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71F3" w14:textId="77777777" w:rsidR="0088014E" w:rsidRPr="00EE05F3" w:rsidRDefault="0088014E" w:rsidP="0088014E">
      <w:pPr>
        <w:spacing w:after="240" w:line="360" w:lineRule="auto"/>
        <w:ind w:left="42"/>
        <w:jc w:val="center"/>
        <w:rPr>
          <w:rFonts w:ascii="Times New Roman" w:hAnsi="Times New Roman" w:cs="Times New Roman"/>
          <w:b/>
          <w:bCs/>
          <w:sz w:val="24"/>
          <w:szCs w:val="24"/>
        </w:rPr>
      </w:pPr>
    </w:p>
    <w:p w14:paraId="246059BC" w14:textId="10EBB8BF" w:rsidR="0088014E" w:rsidRPr="006E4CF7" w:rsidRDefault="0088014E" w:rsidP="0088014E">
      <w:pPr>
        <w:ind w:left="40"/>
        <w:jc w:val="center"/>
        <w:rPr>
          <w:rFonts w:ascii="Times New Roman" w:hAnsi="Times New Roman" w:cs="Times New Roman"/>
          <w:b/>
          <w:bCs/>
          <w:sz w:val="24"/>
          <w:szCs w:val="24"/>
        </w:rPr>
      </w:pPr>
      <w:r w:rsidRPr="006E4CF7">
        <w:rPr>
          <w:rFonts w:ascii="Times New Roman" w:hAnsi="Times New Roman" w:cs="Times New Roman"/>
          <w:b/>
          <w:bCs/>
          <w:sz w:val="24"/>
          <w:szCs w:val="24"/>
        </w:rPr>
        <w:t xml:space="preserve">Student </w:t>
      </w:r>
      <w:r w:rsidR="003F1AEC" w:rsidRPr="006E4CF7">
        <w:rPr>
          <w:rFonts w:ascii="Times New Roman" w:hAnsi="Times New Roman" w:cs="Times New Roman"/>
          <w:b/>
          <w:bCs/>
          <w:sz w:val="24"/>
          <w:szCs w:val="24"/>
        </w:rPr>
        <w:t>(Dis)</w:t>
      </w:r>
      <w:r w:rsidRPr="006E4CF7">
        <w:rPr>
          <w:rFonts w:ascii="Times New Roman" w:hAnsi="Times New Roman" w:cs="Times New Roman"/>
          <w:b/>
          <w:bCs/>
          <w:sz w:val="24"/>
          <w:szCs w:val="24"/>
        </w:rPr>
        <w:t>Satisfaction</w:t>
      </w:r>
      <w:r w:rsidR="00F91D2E" w:rsidRPr="006E4CF7">
        <w:rPr>
          <w:rFonts w:ascii="Times New Roman" w:hAnsi="Times New Roman" w:cs="Times New Roman"/>
          <w:b/>
          <w:bCs/>
          <w:sz w:val="24"/>
          <w:szCs w:val="24"/>
        </w:rPr>
        <w:t xml:space="preserve"> in UK Higher Education</w:t>
      </w:r>
      <w:r w:rsidRPr="006E4CF7">
        <w:rPr>
          <w:rFonts w:ascii="Times New Roman" w:hAnsi="Times New Roman" w:cs="Times New Roman"/>
          <w:b/>
          <w:bCs/>
          <w:sz w:val="24"/>
          <w:szCs w:val="24"/>
        </w:rPr>
        <w:t>:</w:t>
      </w:r>
    </w:p>
    <w:p w14:paraId="1F5F4EB3" w14:textId="77777777" w:rsidR="0088014E" w:rsidRPr="006E4CF7" w:rsidRDefault="0088014E" w:rsidP="0088014E">
      <w:pPr>
        <w:ind w:left="40"/>
        <w:jc w:val="center"/>
        <w:rPr>
          <w:rFonts w:ascii="Times New Roman" w:hAnsi="Times New Roman" w:cs="Times New Roman"/>
          <w:sz w:val="24"/>
          <w:szCs w:val="24"/>
        </w:rPr>
      </w:pPr>
      <w:r w:rsidRPr="006E4CF7">
        <w:rPr>
          <w:rFonts w:ascii="Times New Roman" w:hAnsi="Times New Roman" w:cs="Times New Roman"/>
          <w:b/>
          <w:bCs/>
          <w:sz w:val="24"/>
          <w:szCs w:val="24"/>
        </w:rPr>
        <w:t xml:space="preserve">Teaching-Only Contracts, Esteem Uncertainty and Research Intensity </w:t>
      </w:r>
    </w:p>
    <w:p w14:paraId="6A369ED4" w14:textId="77777777" w:rsidR="00973B3E" w:rsidRPr="006E4CF7" w:rsidRDefault="00973B3E" w:rsidP="00973B3E">
      <w:pPr>
        <w:spacing w:after="240"/>
        <w:ind w:left="40"/>
        <w:jc w:val="center"/>
        <w:rPr>
          <w:rFonts w:ascii="Times New Roman" w:hAnsi="Times New Roman" w:cs="Times New Roman"/>
          <w:i/>
          <w:iCs/>
          <w:sz w:val="24"/>
          <w:szCs w:val="24"/>
        </w:rPr>
      </w:pPr>
    </w:p>
    <w:p w14:paraId="4C781138" w14:textId="77777777" w:rsidR="00973B3E" w:rsidRPr="006E4CF7" w:rsidRDefault="00973B3E" w:rsidP="00973B3E">
      <w:pPr>
        <w:spacing w:after="240"/>
        <w:ind w:left="40"/>
        <w:jc w:val="center"/>
        <w:rPr>
          <w:rFonts w:ascii="Times New Roman" w:hAnsi="Times New Roman" w:cs="Times New Roman"/>
          <w:sz w:val="24"/>
          <w:szCs w:val="24"/>
        </w:rPr>
      </w:pPr>
      <w:proofErr w:type="spellStart"/>
      <w:r w:rsidRPr="006E4CF7">
        <w:rPr>
          <w:rFonts w:ascii="Times New Roman" w:hAnsi="Times New Roman" w:cs="Times New Roman"/>
          <w:sz w:val="24"/>
          <w:szCs w:val="24"/>
          <w:vertAlign w:val="superscript"/>
        </w:rPr>
        <w:t>a</w:t>
      </w:r>
      <w:r w:rsidRPr="006E4CF7">
        <w:rPr>
          <w:rFonts w:ascii="Times New Roman" w:hAnsi="Times New Roman" w:cs="Times New Roman"/>
          <w:sz w:val="24"/>
          <w:szCs w:val="24"/>
        </w:rPr>
        <w:t>Watson</w:t>
      </w:r>
      <w:proofErr w:type="spellEnd"/>
      <w:r w:rsidRPr="006E4CF7">
        <w:rPr>
          <w:rFonts w:ascii="Times New Roman" w:hAnsi="Times New Roman" w:cs="Times New Roman"/>
          <w:sz w:val="24"/>
          <w:szCs w:val="24"/>
        </w:rPr>
        <w:t>, D.</w:t>
      </w:r>
      <w:r w:rsidRPr="006E4CF7">
        <w:rPr>
          <w:rFonts w:ascii="Times New Roman" w:hAnsi="Times New Roman" w:cs="Times New Roman"/>
          <w:sz w:val="24"/>
          <w:szCs w:val="24"/>
          <w:vertAlign w:val="superscript"/>
        </w:rPr>
        <w:t xml:space="preserve"> </w:t>
      </w:r>
      <w:proofErr w:type="spellStart"/>
      <w:r w:rsidRPr="006E4CF7">
        <w:rPr>
          <w:rFonts w:ascii="Times New Roman" w:hAnsi="Times New Roman" w:cs="Times New Roman"/>
          <w:sz w:val="24"/>
          <w:szCs w:val="24"/>
          <w:vertAlign w:val="superscript"/>
        </w:rPr>
        <w:t>b</w:t>
      </w:r>
      <w:r w:rsidRPr="006E4CF7">
        <w:rPr>
          <w:rFonts w:ascii="Times New Roman" w:hAnsi="Times New Roman" w:cs="Times New Roman"/>
          <w:sz w:val="24"/>
          <w:szCs w:val="24"/>
        </w:rPr>
        <w:t>Webb</w:t>
      </w:r>
      <w:proofErr w:type="spellEnd"/>
      <w:r w:rsidRPr="006E4CF7">
        <w:rPr>
          <w:rFonts w:ascii="Times New Roman" w:hAnsi="Times New Roman" w:cs="Times New Roman"/>
          <w:sz w:val="24"/>
          <w:szCs w:val="24"/>
        </w:rPr>
        <w:t xml:space="preserve">, R. and </w:t>
      </w:r>
      <w:proofErr w:type="spellStart"/>
      <w:r w:rsidRPr="006E4CF7">
        <w:rPr>
          <w:rFonts w:ascii="Times New Roman" w:hAnsi="Times New Roman" w:cs="Times New Roman"/>
          <w:sz w:val="24"/>
          <w:szCs w:val="24"/>
          <w:vertAlign w:val="superscript"/>
        </w:rPr>
        <w:t>c</w:t>
      </w:r>
      <w:r w:rsidRPr="006E4CF7">
        <w:rPr>
          <w:rFonts w:ascii="Times New Roman" w:hAnsi="Times New Roman" w:cs="Times New Roman"/>
          <w:sz w:val="24"/>
          <w:szCs w:val="24"/>
        </w:rPr>
        <w:t>Cook</w:t>
      </w:r>
      <w:proofErr w:type="spellEnd"/>
      <w:r w:rsidRPr="006E4CF7">
        <w:rPr>
          <w:rFonts w:ascii="Times New Roman" w:hAnsi="Times New Roman" w:cs="Times New Roman"/>
          <w:sz w:val="24"/>
          <w:szCs w:val="24"/>
        </w:rPr>
        <w:t>, S.</w:t>
      </w:r>
    </w:p>
    <w:p w14:paraId="7B86A4A5" w14:textId="77777777" w:rsidR="007F066C" w:rsidRPr="006E4CF7" w:rsidRDefault="007F066C" w:rsidP="0088014E">
      <w:pPr>
        <w:spacing w:after="240"/>
        <w:ind w:left="40"/>
        <w:jc w:val="center"/>
        <w:rPr>
          <w:rFonts w:ascii="Times New Roman" w:hAnsi="Times New Roman" w:cs="Times New Roman"/>
          <w:i/>
          <w:iCs/>
          <w:sz w:val="24"/>
          <w:szCs w:val="24"/>
        </w:rPr>
      </w:pPr>
    </w:p>
    <w:p w14:paraId="109A59A1" w14:textId="7E6ECBA0" w:rsidR="0088014E" w:rsidRPr="006E4CF7" w:rsidRDefault="0088014E" w:rsidP="0088014E">
      <w:pPr>
        <w:spacing w:after="240"/>
        <w:ind w:left="40"/>
        <w:jc w:val="center"/>
        <w:rPr>
          <w:rFonts w:ascii="Times New Roman" w:hAnsi="Times New Roman" w:cs="Times New Roman"/>
          <w:i/>
          <w:iCs/>
          <w:sz w:val="24"/>
          <w:szCs w:val="24"/>
        </w:rPr>
      </w:pPr>
      <w:r w:rsidRPr="006E4CF7">
        <w:rPr>
          <w:rFonts w:ascii="Times New Roman" w:hAnsi="Times New Roman" w:cs="Times New Roman"/>
          <w:i/>
          <w:iCs/>
          <w:sz w:val="24"/>
          <w:szCs w:val="24"/>
        </w:rPr>
        <w:t>Abstract</w:t>
      </w:r>
    </w:p>
    <w:p w14:paraId="0C6D2406" w14:textId="77777777" w:rsidR="0088014E" w:rsidRPr="006E4CF7" w:rsidRDefault="0088014E" w:rsidP="0088014E">
      <w:pPr>
        <w:spacing w:after="240"/>
        <w:ind w:left="284" w:right="521"/>
        <w:jc w:val="both"/>
        <w:rPr>
          <w:rFonts w:ascii="Times New Roman" w:hAnsi="Times New Roman" w:cs="Times New Roman"/>
          <w:sz w:val="20"/>
          <w:szCs w:val="20"/>
        </w:rPr>
      </w:pPr>
      <w:r w:rsidRPr="006E4CF7">
        <w:rPr>
          <w:rFonts w:ascii="Times New Roman" w:hAnsi="Times New Roman" w:cs="Times New Roman"/>
          <w:sz w:val="20"/>
          <w:szCs w:val="20"/>
        </w:rPr>
        <w:t>This study investigates the impact of teaching-only contracts on student satisfaction in UK Higher Education, with a focus on esteem uncertainty through the lens of asset specificity. Utilising an institutional-level student dissatisfaction index, we analyse the combined effects of teaching-only contracts, faculty compensation and research intensity. The findings suggest that while teaching-only contracts can enhance student satisfaction by encouraging pedagogical innovation, their positive impacts are at risk of being diminished by issues of esteem uncertainty, especially due to limited opportunities for career advancement and institutional focus on research. Our study provides valuable insights for Higher Education policymakers, underlining the importance of addressing the esteem-related challenges academic staff face. By incorporating these factors into policy decisions, it’s possible to bolster educational quality and improve student experiences, ensuring that the advantages of teaching specialisation are not undermined by wider institutional practices.</w:t>
      </w:r>
    </w:p>
    <w:p w14:paraId="520BA5F0" w14:textId="77777777" w:rsidR="0088014E" w:rsidRPr="006E4CF7" w:rsidRDefault="0088014E" w:rsidP="0088014E">
      <w:pPr>
        <w:spacing w:after="240" w:line="360" w:lineRule="auto"/>
        <w:jc w:val="both"/>
        <w:rPr>
          <w:rFonts w:ascii="Times New Roman" w:hAnsi="Times New Roman" w:cs="Times New Roman"/>
          <w:sz w:val="20"/>
          <w:szCs w:val="20"/>
        </w:rPr>
      </w:pPr>
    </w:p>
    <w:p w14:paraId="23E9C507" w14:textId="77777777" w:rsidR="0088014E" w:rsidRPr="006E4CF7" w:rsidRDefault="0088014E" w:rsidP="0088014E">
      <w:pPr>
        <w:spacing w:after="240" w:line="360" w:lineRule="auto"/>
        <w:jc w:val="both"/>
        <w:rPr>
          <w:rFonts w:ascii="Times New Roman" w:hAnsi="Times New Roman" w:cs="Times New Roman"/>
          <w:sz w:val="20"/>
          <w:szCs w:val="20"/>
        </w:rPr>
      </w:pPr>
    </w:p>
    <w:p w14:paraId="5A38530A" w14:textId="77777777" w:rsidR="0088014E" w:rsidRPr="006E4CF7" w:rsidRDefault="0088014E" w:rsidP="0088014E">
      <w:pPr>
        <w:spacing w:after="240" w:line="360" w:lineRule="auto"/>
        <w:jc w:val="both"/>
        <w:rPr>
          <w:rFonts w:ascii="Times New Roman" w:hAnsi="Times New Roman" w:cs="Times New Roman"/>
          <w:sz w:val="20"/>
          <w:szCs w:val="20"/>
        </w:rPr>
      </w:pPr>
    </w:p>
    <w:p w14:paraId="3DD69AFF" w14:textId="77777777" w:rsidR="0088014E" w:rsidRPr="006E4CF7" w:rsidRDefault="0088014E" w:rsidP="0088014E">
      <w:pPr>
        <w:spacing w:after="240" w:line="360" w:lineRule="auto"/>
        <w:jc w:val="both"/>
        <w:rPr>
          <w:rFonts w:ascii="Times New Roman" w:hAnsi="Times New Roman" w:cs="Times New Roman"/>
          <w:sz w:val="20"/>
          <w:szCs w:val="20"/>
        </w:rPr>
      </w:pPr>
    </w:p>
    <w:p w14:paraId="6D0505D8" w14:textId="77777777" w:rsidR="0088014E" w:rsidRPr="006E4CF7" w:rsidRDefault="0088014E" w:rsidP="0088014E">
      <w:pPr>
        <w:spacing w:after="240" w:line="360" w:lineRule="auto"/>
        <w:jc w:val="both"/>
        <w:rPr>
          <w:rFonts w:ascii="Times New Roman" w:hAnsi="Times New Roman" w:cs="Times New Roman"/>
          <w:sz w:val="20"/>
          <w:szCs w:val="20"/>
        </w:rPr>
      </w:pPr>
    </w:p>
    <w:p w14:paraId="74BE2E2B" w14:textId="77777777" w:rsidR="0088014E" w:rsidRPr="006E4CF7" w:rsidRDefault="0088014E" w:rsidP="0088014E">
      <w:pPr>
        <w:spacing w:after="240" w:line="360" w:lineRule="auto"/>
        <w:ind w:left="42"/>
        <w:jc w:val="both"/>
        <w:rPr>
          <w:rFonts w:ascii="Times New Roman" w:hAnsi="Times New Roman" w:cs="Times New Roman"/>
          <w:sz w:val="20"/>
          <w:szCs w:val="20"/>
        </w:rPr>
      </w:pPr>
    </w:p>
    <w:p w14:paraId="3EFE2DD1" w14:textId="77777777" w:rsidR="0088014E" w:rsidRPr="006E4CF7" w:rsidRDefault="0088014E" w:rsidP="0088014E">
      <w:pPr>
        <w:spacing w:after="240" w:line="360" w:lineRule="auto"/>
        <w:ind w:left="42"/>
        <w:jc w:val="both"/>
        <w:rPr>
          <w:rFonts w:ascii="Times New Roman" w:hAnsi="Times New Roman" w:cs="Times New Roman"/>
          <w:sz w:val="20"/>
          <w:szCs w:val="20"/>
        </w:rPr>
      </w:pPr>
    </w:p>
    <w:p w14:paraId="3830910E" w14:textId="77777777" w:rsidR="0088014E" w:rsidRPr="006E4CF7" w:rsidRDefault="0088014E" w:rsidP="0088014E">
      <w:pPr>
        <w:spacing w:after="240" w:line="360" w:lineRule="auto"/>
        <w:jc w:val="both"/>
        <w:rPr>
          <w:rFonts w:ascii="Times New Roman" w:hAnsi="Times New Roman" w:cs="Times New Roman"/>
          <w:sz w:val="24"/>
          <w:szCs w:val="24"/>
        </w:rPr>
      </w:pPr>
      <w:r w:rsidRPr="006E4CF7">
        <w:rPr>
          <w:rFonts w:ascii="Times New Roman" w:hAnsi="Times New Roman" w:cs="Times New Roman"/>
          <w:b/>
          <w:bCs/>
          <w:sz w:val="24"/>
          <w:szCs w:val="24"/>
        </w:rPr>
        <w:t>Keywords:</w:t>
      </w:r>
      <w:r w:rsidRPr="006E4CF7">
        <w:rPr>
          <w:rFonts w:ascii="Times New Roman" w:hAnsi="Times New Roman" w:cs="Times New Roman"/>
          <w:sz w:val="24"/>
          <w:szCs w:val="24"/>
        </w:rPr>
        <w:t xml:space="preserve"> Teaching-only contracts; Esteem uncertainty; NSS; Student satisfaction</w:t>
      </w:r>
    </w:p>
    <w:p w14:paraId="3A398FAB" w14:textId="77777777" w:rsidR="0088014E" w:rsidRPr="006E4CF7" w:rsidRDefault="0088014E" w:rsidP="0088014E">
      <w:pPr>
        <w:ind w:right="11"/>
        <w:jc w:val="both"/>
        <w:rPr>
          <w:rFonts w:ascii="Times New Roman" w:eastAsia="Calibri" w:hAnsi="Times New Roman" w:cs="Times New Roman"/>
          <w:vertAlign w:val="superscript"/>
        </w:rPr>
      </w:pPr>
    </w:p>
    <w:p w14:paraId="4D4954D5" w14:textId="77777777" w:rsidR="0088014E" w:rsidRPr="006E4CF7" w:rsidRDefault="0088014E" w:rsidP="0088014E">
      <w:pPr>
        <w:ind w:right="11"/>
        <w:jc w:val="both"/>
        <w:rPr>
          <w:rFonts w:ascii="Times New Roman" w:eastAsia="Calibri" w:hAnsi="Times New Roman" w:cs="Times New Roman"/>
          <w:vertAlign w:val="superscript"/>
        </w:rPr>
      </w:pPr>
    </w:p>
    <w:p w14:paraId="114854AF" w14:textId="77777777" w:rsidR="0088014E" w:rsidRPr="006E4CF7" w:rsidRDefault="0088014E" w:rsidP="0088014E">
      <w:pPr>
        <w:ind w:right="11"/>
        <w:jc w:val="both"/>
        <w:rPr>
          <w:rFonts w:ascii="Times New Roman" w:eastAsia="Calibri" w:hAnsi="Times New Roman" w:cs="Times New Roman"/>
          <w:vertAlign w:val="superscript"/>
        </w:rPr>
      </w:pPr>
    </w:p>
    <w:p w14:paraId="1EE5873B" w14:textId="77777777" w:rsidR="0088014E" w:rsidRPr="006E4CF7" w:rsidRDefault="0088014E" w:rsidP="0088014E">
      <w:pPr>
        <w:ind w:right="11"/>
        <w:jc w:val="both"/>
        <w:rPr>
          <w:rFonts w:ascii="Times New Roman" w:eastAsia="Calibri" w:hAnsi="Times New Roman" w:cs="Times New Roman"/>
          <w:vertAlign w:val="superscript"/>
        </w:rPr>
      </w:pPr>
    </w:p>
    <w:p w14:paraId="6681AB1D" w14:textId="77777777" w:rsidR="0088014E" w:rsidRPr="006E4CF7" w:rsidRDefault="0088014E" w:rsidP="0088014E">
      <w:pPr>
        <w:ind w:right="11"/>
        <w:jc w:val="both"/>
        <w:rPr>
          <w:rFonts w:ascii="Times New Roman" w:eastAsia="Calibri" w:hAnsi="Times New Roman" w:cs="Times New Roman"/>
          <w:vertAlign w:val="superscript"/>
        </w:rPr>
      </w:pPr>
    </w:p>
    <w:p w14:paraId="178E58B8" w14:textId="77777777" w:rsidR="0088014E" w:rsidRPr="006E4CF7" w:rsidRDefault="0088014E" w:rsidP="0088014E">
      <w:pPr>
        <w:ind w:right="11"/>
        <w:jc w:val="both"/>
        <w:rPr>
          <w:rFonts w:ascii="Times New Roman" w:eastAsia="Calibri" w:hAnsi="Times New Roman" w:cs="Times New Roman"/>
          <w:vertAlign w:val="superscript"/>
        </w:rPr>
      </w:pPr>
    </w:p>
    <w:p w14:paraId="4AEE54DF" w14:textId="77777777" w:rsidR="0088014E" w:rsidRPr="006E4CF7" w:rsidRDefault="0088014E" w:rsidP="0088014E">
      <w:pPr>
        <w:ind w:right="11"/>
        <w:jc w:val="both"/>
        <w:rPr>
          <w:rFonts w:ascii="Times New Roman" w:eastAsia="Calibri" w:hAnsi="Times New Roman" w:cs="Times New Roman"/>
          <w:vertAlign w:val="superscript"/>
        </w:rPr>
      </w:pPr>
    </w:p>
    <w:p w14:paraId="03D4D03D" w14:textId="77777777" w:rsidR="0088014E" w:rsidRPr="006E4CF7" w:rsidRDefault="0088014E" w:rsidP="0088014E">
      <w:pPr>
        <w:ind w:right="11"/>
        <w:jc w:val="both"/>
        <w:rPr>
          <w:rFonts w:ascii="Times New Roman" w:eastAsia="Calibri" w:hAnsi="Times New Roman" w:cs="Times New Roman"/>
          <w:vertAlign w:val="superscript"/>
        </w:rPr>
      </w:pPr>
    </w:p>
    <w:p w14:paraId="30AC4486" w14:textId="77777777" w:rsidR="008A22F3" w:rsidRPr="006E4CF7" w:rsidRDefault="008A22F3" w:rsidP="008A22F3">
      <w:pPr>
        <w:rPr>
          <w:rFonts w:ascii="Times New Roman" w:eastAsia="Calibri" w:hAnsi="Times New Roman" w:cs="Times New Roman"/>
          <w:vertAlign w:val="superscript"/>
        </w:rPr>
      </w:pPr>
      <w:r w:rsidRPr="006E4CF7">
        <w:rPr>
          <w:rFonts w:ascii="Times New Roman" w:eastAsia="Calibri" w:hAnsi="Times New Roman" w:cs="Times New Roman"/>
          <w:sz w:val="20"/>
          <w:szCs w:val="20"/>
          <w:vertAlign w:val="superscript"/>
        </w:rPr>
        <w:t>a</w:t>
      </w:r>
      <w:r w:rsidRPr="006E4CF7">
        <w:rPr>
          <w:rFonts w:ascii="Times New Roman" w:eastAsia="Calibri" w:hAnsi="Times New Roman" w:cs="Times New Roman"/>
          <w:sz w:val="20"/>
          <w:szCs w:val="20"/>
        </w:rPr>
        <w:t xml:space="preserve"> School of Economics, University of East Anglia, Norwich Research Park, Norwich, United Kingdom, NR4 7TJ, </w:t>
      </w:r>
      <w:hyperlink r:id="rId8" w:history="1">
        <w:r w:rsidRPr="006E4CF7">
          <w:rPr>
            <w:rFonts w:ascii="Times New Roman" w:eastAsia="Calibri" w:hAnsi="Times New Roman" w:cs="Times New Roman"/>
            <w:sz w:val="20"/>
            <w:szCs w:val="20"/>
            <w:u w:val="single"/>
          </w:rPr>
          <w:t>duncan.watson@uea.ac.uk</w:t>
        </w:r>
      </w:hyperlink>
      <w:r w:rsidRPr="006E4CF7">
        <w:rPr>
          <w:rFonts w:ascii="Times New Roman" w:eastAsia="Calibri" w:hAnsi="Times New Roman" w:cs="Times New Roman"/>
          <w:sz w:val="20"/>
          <w:szCs w:val="20"/>
          <w:u w:val="single"/>
        </w:rPr>
        <w:t xml:space="preserve">; </w:t>
      </w:r>
      <w:proofErr w:type="spellStart"/>
      <w:r w:rsidRPr="006E4CF7">
        <w:rPr>
          <w:rFonts w:ascii="Times New Roman" w:eastAsia="Calibri" w:hAnsi="Times New Roman" w:cs="Times New Roman"/>
          <w:sz w:val="20"/>
          <w:szCs w:val="20"/>
          <w:vertAlign w:val="superscript"/>
        </w:rPr>
        <w:t>b</w:t>
      </w:r>
      <w:r w:rsidRPr="006E4CF7">
        <w:rPr>
          <w:rFonts w:ascii="Times New Roman" w:eastAsia="Calibri" w:hAnsi="Times New Roman" w:cs="Times New Roman"/>
          <w:sz w:val="20"/>
          <w:szCs w:val="20"/>
        </w:rPr>
        <w:t>corresponding</w:t>
      </w:r>
      <w:proofErr w:type="spellEnd"/>
      <w:r w:rsidRPr="006E4CF7">
        <w:rPr>
          <w:rFonts w:ascii="Times New Roman" w:eastAsia="Calibri" w:hAnsi="Times New Roman" w:cs="Times New Roman"/>
          <w:sz w:val="20"/>
          <w:szCs w:val="20"/>
        </w:rPr>
        <w:t xml:space="preserve"> author, Stirling Management School, University of Stirling, Stirling, United Kingdom, FK9 4LA, </w:t>
      </w:r>
      <w:hyperlink r:id="rId9" w:history="1">
        <w:r w:rsidRPr="006E4CF7">
          <w:rPr>
            <w:rFonts w:ascii="Times New Roman" w:eastAsia="Calibri" w:hAnsi="Times New Roman" w:cs="Times New Roman"/>
            <w:sz w:val="20"/>
            <w:szCs w:val="20"/>
            <w:u w:val="single"/>
          </w:rPr>
          <w:t>r.m.webb@stir.ac.uk</w:t>
        </w:r>
      </w:hyperlink>
      <w:r w:rsidRPr="006E4CF7">
        <w:rPr>
          <w:rFonts w:ascii="Times New Roman" w:eastAsia="Calibri" w:hAnsi="Times New Roman" w:cs="Times New Roman"/>
          <w:sz w:val="20"/>
          <w:szCs w:val="20"/>
        </w:rPr>
        <w:t>;</w:t>
      </w:r>
      <w:r w:rsidRPr="006E4CF7">
        <w:t xml:space="preserve"> </w:t>
      </w:r>
      <w:proofErr w:type="spellStart"/>
      <w:r w:rsidRPr="006E4CF7">
        <w:rPr>
          <w:rFonts w:ascii="Times New Roman" w:eastAsia="Calibri" w:hAnsi="Times New Roman" w:cs="Times New Roman"/>
          <w:sz w:val="20"/>
          <w:szCs w:val="20"/>
          <w:vertAlign w:val="superscript"/>
        </w:rPr>
        <w:t>c</w:t>
      </w:r>
      <w:r w:rsidRPr="006E4CF7">
        <w:rPr>
          <w:rFonts w:ascii="Times New Roman" w:eastAsia="Calibri" w:hAnsi="Times New Roman" w:cs="Times New Roman"/>
          <w:sz w:val="20"/>
          <w:szCs w:val="20"/>
        </w:rPr>
        <w:t>School</w:t>
      </w:r>
      <w:proofErr w:type="spellEnd"/>
      <w:r w:rsidRPr="006E4CF7">
        <w:rPr>
          <w:rFonts w:ascii="Times New Roman" w:eastAsia="Calibri" w:hAnsi="Times New Roman" w:cs="Times New Roman"/>
          <w:sz w:val="20"/>
          <w:szCs w:val="20"/>
        </w:rPr>
        <w:t xml:space="preserve"> of Social Sciences, Swansea University, Singleton Campus, Swansea, United Kingdom, SA2 8PP, </w:t>
      </w:r>
      <w:hyperlink r:id="rId10" w:history="1">
        <w:r w:rsidRPr="006E4CF7">
          <w:rPr>
            <w:rStyle w:val="Hyperlink"/>
            <w:rFonts w:ascii="Times New Roman" w:eastAsia="Calibri" w:hAnsi="Times New Roman" w:cs="Times New Roman"/>
            <w:color w:val="auto"/>
            <w:sz w:val="20"/>
            <w:szCs w:val="20"/>
          </w:rPr>
          <w:t>s.cook@swansea.ac.uk</w:t>
        </w:r>
      </w:hyperlink>
    </w:p>
    <w:p w14:paraId="3A0DBEB2" w14:textId="77777777" w:rsidR="00E80D31" w:rsidRPr="006E4CF7" w:rsidRDefault="00E80D31" w:rsidP="0001173E">
      <w:pPr>
        <w:rPr>
          <w:rStyle w:val="Hyperlink"/>
          <w:rFonts w:ascii="Times New Roman" w:eastAsia="Calibri" w:hAnsi="Times New Roman" w:cs="Times New Roman"/>
          <w:color w:val="auto"/>
          <w:sz w:val="20"/>
          <w:szCs w:val="20"/>
        </w:rPr>
        <w:sectPr w:rsidR="00E80D31" w:rsidRPr="006E4CF7" w:rsidSect="00B07F0C">
          <w:footerReference w:type="default" r:id="rId11"/>
          <w:pgSz w:w="11906" w:h="16838"/>
          <w:pgMar w:top="1440" w:right="1440" w:bottom="1440" w:left="1440" w:header="708" w:footer="708" w:gutter="0"/>
          <w:cols w:space="708"/>
          <w:titlePg/>
          <w:docGrid w:linePitch="360"/>
        </w:sectPr>
      </w:pPr>
    </w:p>
    <w:p w14:paraId="1D655F3A" w14:textId="135CF318" w:rsidR="001C4DBE" w:rsidRPr="006E4CF7" w:rsidRDefault="001C4DBE" w:rsidP="001C4DBE">
      <w:pPr>
        <w:pStyle w:val="ListParagraph"/>
        <w:numPr>
          <w:ilvl w:val="0"/>
          <w:numId w:val="1"/>
        </w:numPr>
        <w:spacing w:after="240" w:line="360" w:lineRule="auto"/>
        <w:ind w:left="284" w:hanging="284"/>
        <w:jc w:val="both"/>
        <w:rPr>
          <w:rFonts w:ascii="Times New Roman" w:hAnsi="Times New Roman" w:cs="Times New Roman"/>
          <w:b/>
          <w:bCs/>
          <w:sz w:val="24"/>
          <w:szCs w:val="24"/>
        </w:rPr>
      </w:pPr>
      <w:r w:rsidRPr="006E4CF7">
        <w:rPr>
          <w:rFonts w:ascii="Times New Roman" w:hAnsi="Times New Roman" w:cs="Times New Roman"/>
          <w:b/>
          <w:bCs/>
          <w:sz w:val="24"/>
          <w:szCs w:val="24"/>
        </w:rPr>
        <w:lastRenderedPageBreak/>
        <w:t>Introduction</w:t>
      </w:r>
      <w:r w:rsidR="00A25FDB" w:rsidRPr="006E4CF7">
        <w:rPr>
          <w:rFonts w:ascii="Times New Roman" w:hAnsi="Times New Roman" w:cs="Times New Roman"/>
          <w:b/>
          <w:bCs/>
          <w:sz w:val="24"/>
          <w:szCs w:val="24"/>
        </w:rPr>
        <w:t xml:space="preserve"> </w:t>
      </w:r>
    </w:p>
    <w:p w14:paraId="58C65E08" w14:textId="0908512F" w:rsidR="001F40B7" w:rsidRPr="006E4CF7" w:rsidRDefault="001F40B7" w:rsidP="001F40B7">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Over the past few decades, the UK Higher Education </w:t>
      </w:r>
      <w:r w:rsidR="00E2755C" w:rsidRPr="006E4CF7">
        <w:rPr>
          <w:rFonts w:ascii="Times New Roman" w:hAnsi="Times New Roman" w:cs="Times New Roman"/>
          <w:sz w:val="24"/>
          <w:szCs w:val="24"/>
        </w:rPr>
        <w:t xml:space="preserve">(HE) </w:t>
      </w:r>
      <w:r w:rsidRPr="006E4CF7">
        <w:rPr>
          <w:rFonts w:ascii="Times New Roman" w:hAnsi="Times New Roman" w:cs="Times New Roman"/>
          <w:sz w:val="24"/>
          <w:szCs w:val="24"/>
        </w:rPr>
        <w:t xml:space="preserve">sector has placed an increasing focus on enhancing teaching methods and quality, as evidenced by a series of reports and initiatives aimed at promoting excellence in teaching. This is highlighted by seminal works such as the Hale Report (Report of the Committee on University Teaching Methods, 1964) and the Dearing Report (National Committee of Inquiry into Higher Education, 1997), alongside the creation of pivotal institutions and </w:t>
      </w:r>
      <w:r w:rsidR="00297A9B" w:rsidRPr="006E4CF7">
        <w:rPr>
          <w:rFonts w:ascii="Times New Roman" w:hAnsi="Times New Roman" w:cs="Times New Roman"/>
          <w:sz w:val="24"/>
          <w:szCs w:val="24"/>
        </w:rPr>
        <w:t>programmes</w:t>
      </w:r>
      <w:r w:rsidRPr="006E4CF7">
        <w:rPr>
          <w:rFonts w:ascii="Times New Roman" w:hAnsi="Times New Roman" w:cs="Times New Roman"/>
          <w:sz w:val="24"/>
          <w:szCs w:val="24"/>
        </w:rPr>
        <w:t xml:space="preserve"> like the Institute for Learning and Teaching in Higher Education, the Learning and Teaching Support Network, the Higher Education Staff Development Agency, Centres of Excellence, National Teaching Fellowships, and the Teaching Quality Enhancement Fund National Coordination Team, culminating in the establishment of Advance HE. These efforts underscore a </w:t>
      </w:r>
      <w:r w:rsidR="009225F4" w:rsidRPr="006E4CF7">
        <w:rPr>
          <w:rFonts w:ascii="Times New Roman" w:hAnsi="Times New Roman" w:cs="Times New Roman"/>
          <w:sz w:val="24"/>
          <w:szCs w:val="24"/>
        </w:rPr>
        <w:t>move</w:t>
      </w:r>
      <w:r w:rsidRPr="006E4CF7">
        <w:rPr>
          <w:rFonts w:ascii="Times New Roman" w:hAnsi="Times New Roman" w:cs="Times New Roman"/>
          <w:sz w:val="24"/>
          <w:szCs w:val="24"/>
        </w:rPr>
        <w:t xml:space="preserve"> towards prioriti</w:t>
      </w:r>
      <w:r w:rsidR="00346936" w:rsidRPr="006E4CF7">
        <w:rPr>
          <w:rFonts w:ascii="Times New Roman" w:hAnsi="Times New Roman" w:cs="Times New Roman"/>
          <w:sz w:val="24"/>
          <w:szCs w:val="24"/>
        </w:rPr>
        <w:t>s</w:t>
      </w:r>
      <w:r w:rsidRPr="006E4CF7">
        <w:rPr>
          <w:rFonts w:ascii="Times New Roman" w:hAnsi="Times New Roman" w:cs="Times New Roman"/>
          <w:sz w:val="24"/>
          <w:szCs w:val="24"/>
        </w:rPr>
        <w:t xml:space="preserve">ing teaching quality, with a now-standard expectation for UK academics to seek </w:t>
      </w:r>
      <w:r w:rsidR="00D560CD" w:rsidRPr="006E4CF7">
        <w:rPr>
          <w:rFonts w:ascii="Times New Roman" w:hAnsi="Times New Roman" w:cs="Times New Roman"/>
          <w:sz w:val="24"/>
          <w:szCs w:val="24"/>
        </w:rPr>
        <w:t xml:space="preserve">Advance HE teaching </w:t>
      </w:r>
      <w:r w:rsidR="007A5A3E" w:rsidRPr="006E4CF7">
        <w:rPr>
          <w:rFonts w:ascii="Times New Roman" w:hAnsi="Times New Roman" w:cs="Times New Roman"/>
          <w:sz w:val="24"/>
          <w:szCs w:val="24"/>
        </w:rPr>
        <w:t>qualifications</w:t>
      </w:r>
      <w:r w:rsidRPr="006E4CF7">
        <w:rPr>
          <w:rFonts w:ascii="Times New Roman" w:hAnsi="Times New Roman" w:cs="Times New Roman"/>
          <w:sz w:val="24"/>
          <w:szCs w:val="24"/>
        </w:rPr>
        <w:t>.</w:t>
      </w:r>
    </w:p>
    <w:p w14:paraId="24FEC5E9" w14:textId="77777777" w:rsidR="00410990" w:rsidRPr="006E4CF7" w:rsidRDefault="00286886" w:rsidP="001F40B7">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In addition, the</w:t>
      </w:r>
      <w:r w:rsidR="00B71A69" w:rsidRPr="006E4CF7">
        <w:rPr>
          <w:rFonts w:ascii="Times New Roman" w:hAnsi="Times New Roman" w:cs="Times New Roman"/>
          <w:sz w:val="24"/>
          <w:szCs w:val="24"/>
        </w:rPr>
        <w:t xml:space="preserve"> UK HE sector has evolved over the past decades</w:t>
      </w:r>
      <w:r w:rsidR="00B02B9D" w:rsidRPr="006E4CF7">
        <w:rPr>
          <w:rFonts w:ascii="Times New Roman" w:hAnsi="Times New Roman" w:cs="Times New Roman"/>
          <w:sz w:val="24"/>
          <w:szCs w:val="24"/>
        </w:rPr>
        <w:t>, as the focus in the la</w:t>
      </w:r>
      <w:r w:rsidR="00E040B9" w:rsidRPr="006E4CF7">
        <w:rPr>
          <w:rFonts w:ascii="Times New Roman" w:hAnsi="Times New Roman" w:cs="Times New Roman"/>
          <w:sz w:val="24"/>
          <w:szCs w:val="24"/>
        </w:rPr>
        <w:t xml:space="preserve">te 1990s by the UK Government of massifying the sector and heavily encouraging </w:t>
      </w:r>
      <w:r w:rsidR="00375CE8" w:rsidRPr="006E4CF7">
        <w:rPr>
          <w:rFonts w:ascii="Times New Roman" w:hAnsi="Times New Roman" w:cs="Times New Roman"/>
          <w:sz w:val="24"/>
          <w:szCs w:val="24"/>
        </w:rPr>
        <w:t>late teens to choose university</w:t>
      </w:r>
      <w:r w:rsidR="00312903" w:rsidRPr="006E4CF7">
        <w:rPr>
          <w:rFonts w:ascii="Times New Roman" w:hAnsi="Times New Roman" w:cs="Times New Roman"/>
          <w:sz w:val="24"/>
          <w:szCs w:val="24"/>
        </w:rPr>
        <w:t xml:space="preserve"> </w:t>
      </w:r>
      <w:bookmarkStart w:id="0" w:name="_Hlk175639581"/>
      <w:r w:rsidR="00312903" w:rsidRPr="006E4CF7">
        <w:rPr>
          <w:rFonts w:ascii="Times New Roman" w:hAnsi="Times New Roman" w:cs="Times New Roman"/>
          <w:sz w:val="24"/>
          <w:szCs w:val="24"/>
        </w:rPr>
        <w:t>(see Cook et al 2018)</w:t>
      </w:r>
      <w:r w:rsidR="00375CE8" w:rsidRPr="006E4CF7">
        <w:rPr>
          <w:rFonts w:ascii="Times New Roman" w:hAnsi="Times New Roman" w:cs="Times New Roman"/>
          <w:sz w:val="24"/>
          <w:szCs w:val="24"/>
        </w:rPr>
        <w:t xml:space="preserve">. </w:t>
      </w:r>
      <w:r w:rsidR="003A494B" w:rsidRPr="006E4CF7">
        <w:rPr>
          <w:rFonts w:ascii="Times New Roman" w:hAnsi="Times New Roman" w:cs="Times New Roman"/>
          <w:sz w:val="24"/>
          <w:szCs w:val="24"/>
        </w:rPr>
        <w:t xml:space="preserve"> </w:t>
      </w:r>
      <w:bookmarkEnd w:id="0"/>
      <w:r w:rsidR="003A494B" w:rsidRPr="006E4CF7">
        <w:rPr>
          <w:rFonts w:ascii="Times New Roman" w:hAnsi="Times New Roman" w:cs="Times New Roman"/>
          <w:sz w:val="24"/>
          <w:szCs w:val="24"/>
        </w:rPr>
        <w:t xml:space="preserve">The introduction of fees accelerated this effect, creating a </w:t>
      </w:r>
      <w:r w:rsidR="00025D41" w:rsidRPr="006E4CF7">
        <w:rPr>
          <w:rFonts w:ascii="Times New Roman" w:hAnsi="Times New Roman" w:cs="Times New Roman"/>
          <w:sz w:val="24"/>
          <w:szCs w:val="24"/>
        </w:rPr>
        <w:t xml:space="preserve">‘consumer culture’ with students increasingly demanding </w:t>
      </w:r>
      <w:r w:rsidR="005A691A" w:rsidRPr="006E4CF7">
        <w:rPr>
          <w:rFonts w:ascii="Times New Roman" w:hAnsi="Times New Roman" w:cs="Times New Roman"/>
          <w:sz w:val="24"/>
          <w:szCs w:val="24"/>
        </w:rPr>
        <w:t xml:space="preserve">‘value for money’ (see Cook et al 2018).  </w:t>
      </w:r>
      <w:r w:rsidR="0062441B" w:rsidRPr="006E4CF7">
        <w:rPr>
          <w:rFonts w:ascii="Times New Roman" w:hAnsi="Times New Roman" w:cs="Times New Roman"/>
          <w:sz w:val="24"/>
          <w:szCs w:val="24"/>
        </w:rPr>
        <w:t>This, in turn</w:t>
      </w:r>
      <w:r w:rsidR="00417057" w:rsidRPr="006E4CF7">
        <w:rPr>
          <w:rFonts w:ascii="Times New Roman" w:hAnsi="Times New Roman" w:cs="Times New Roman"/>
          <w:sz w:val="24"/>
          <w:szCs w:val="24"/>
        </w:rPr>
        <w:t xml:space="preserve">, led to </w:t>
      </w:r>
      <w:proofErr w:type="spellStart"/>
      <w:r w:rsidR="006E1089" w:rsidRPr="006E4CF7">
        <w:rPr>
          <w:rFonts w:ascii="Times New Roman" w:hAnsi="Times New Roman" w:cs="Times New Roman"/>
          <w:sz w:val="24"/>
          <w:szCs w:val="24"/>
        </w:rPr>
        <w:t>metricisation</w:t>
      </w:r>
      <w:proofErr w:type="spellEnd"/>
      <w:r w:rsidR="00505D89" w:rsidRPr="006E4CF7">
        <w:rPr>
          <w:rFonts w:ascii="Times New Roman" w:hAnsi="Times New Roman" w:cs="Times New Roman"/>
          <w:sz w:val="24"/>
          <w:szCs w:val="24"/>
        </w:rPr>
        <w:t xml:space="preserve"> </w:t>
      </w:r>
      <w:r w:rsidR="000E0CC0" w:rsidRPr="006E4CF7">
        <w:rPr>
          <w:rFonts w:ascii="Times New Roman" w:hAnsi="Times New Roman" w:cs="Times New Roman"/>
          <w:sz w:val="24"/>
          <w:szCs w:val="24"/>
        </w:rPr>
        <w:t>and categorisation in order to signal the quality of both the university and the teaching</w:t>
      </w:r>
      <w:r w:rsidR="00505D89" w:rsidRPr="006E4CF7">
        <w:rPr>
          <w:rFonts w:ascii="Times New Roman" w:hAnsi="Times New Roman" w:cs="Times New Roman"/>
          <w:sz w:val="24"/>
          <w:szCs w:val="24"/>
        </w:rPr>
        <w:t xml:space="preserve"> </w:t>
      </w:r>
      <w:r w:rsidR="005F59A3" w:rsidRPr="006E4CF7">
        <w:rPr>
          <w:rFonts w:ascii="Times New Roman" w:hAnsi="Times New Roman" w:cs="Times New Roman"/>
          <w:sz w:val="24"/>
          <w:szCs w:val="24"/>
        </w:rPr>
        <w:t xml:space="preserve">and </w:t>
      </w:r>
      <w:r w:rsidR="002A6B36" w:rsidRPr="006E4CF7">
        <w:rPr>
          <w:rFonts w:ascii="Times New Roman" w:hAnsi="Times New Roman" w:cs="Times New Roman"/>
          <w:sz w:val="24"/>
          <w:szCs w:val="24"/>
        </w:rPr>
        <w:t>league tables covering all areas of university provision abounded, for example, the Research Exercise Framework</w:t>
      </w:r>
      <w:r w:rsidR="00BF2905" w:rsidRPr="006E4CF7">
        <w:rPr>
          <w:rFonts w:ascii="Times New Roman" w:hAnsi="Times New Roman" w:cs="Times New Roman"/>
          <w:sz w:val="24"/>
          <w:szCs w:val="24"/>
        </w:rPr>
        <w:t xml:space="preserve"> (REF)</w:t>
      </w:r>
      <w:r w:rsidR="002A6B36" w:rsidRPr="006E4CF7">
        <w:rPr>
          <w:rFonts w:ascii="Times New Roman" w:hAnsi="Times New Roman" w:cs="Times New Roman"/>
          <w:sz w:val="24"/>
          <w:szCs w:val="24"/>
        </w:rPr>
        <w:t xml:space="preserve"> to signal</w:t>
      </w:r>
      <w:r w:rsidR="00BF2905" w:rsidRPr="006E4CF7">
        <w:rPr>
          <w:rFonts w:ascii="Times New Roman" w:hAnsi="Times New Roman" w:cs="Times New Roman"/>
          <w:sz w:val="24"/>
          <w:szCs w:val="24"/>
        </w:rPr>
        <w:t xml:space="preserve"> research quality, the Teaching Excellence Framework (TEF) to signal </w:t>
      </w:r>
      <w:r w:rsidR="007C1E56" w:rsidRPr="006E4CF7">
        <w:rPr>
          <w:rFonts w:ascii="Times New Roman" w:hAnsi="Times New Roman" w:cs="Times New Roman"/>
          <w:sz w:val="24"/>
          <w:szCs w:val="24"/>
        </w:rPr>
        <w:t>teaching quality, and of course the National Student Survey (NSS).</w:t>
      </w:r>
    </w:p>
    <w:p w14:paraId="1922D3AB" w14:textId="32CF7DD2" w:rsidR="00286886" w:rsidRPr="006E4CF7" w:rsidRDefault="00410990" w:rsidP="001F40B7">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The marketisation of UK higher education (HE) has significantly altered staffing models and academic practices, often exacerbating inequalities between teaching and research roles. The shift towards a market-driven approach, influenced by neoliberal policies, has prioritized metrics such as student satisfaction, employability, and league table rankings (Brown &amp; Carasso, 2013). This emphasis has led to the bifurcation of academic staff into research-intensive and teaching-focused roles, creating disparities in status, job security, and career progression (</w:t>
      </w:r>
      <w:r w:rsidR="00D74134" w:rsidRPr="006E4CF7">
        <w:rPr>
          <w:rFonts w:ascii="Times New Roman" w:hAnsi="Times New Roman" w:cs="Times New Roman"/>
          <w:sz w:val="24"/>
          <w:szCs w:val="24"/>
        </w:rPr>
        <w:t>see Gros</w:t>
      </w:r>
      <w:r w:rsidR="00F5208A" w:rsidRPr="006E4CF7">
        <w:rPr>
          <w:rFonts w:ascii="Times New Roman" w:hAnsi="Times New Roman" w:cs="Times New Roman"/>
          <w:sz w:val="24"/>
          <w:szCs w:val="24"/>
        </w:rPr>
        <w:t xml:space="preserve"> </w:t>
      </w:r>
      <w:r w:rsidR="00D74134" w:rsidRPr="006E4CF7">
        <w:rPr>
          <w:rFonts w:ascii="Times New Roman" w:hAnsi="Times New Roman" w:cs="Times New Roman"/>
          <w:sz w:val="24"/>
          <w:szCs w:val="24"/>
        </w:rPr>
        <w:t>et al 2020</w:t>
      </w:r>
      <w:r w:rsidR="00F5208A" w:rsidRPr="006E4CF7">
        <w:rPr>
          <w:rFonts w:ascii="Times New Roman" w:hAnsi="Times New Roman" w:cs="Times New Roman"/>
          <w:sz w:val="24"/>
          <w:szCs w:val="24"/>
        </w:rPr>
        <w:t>;</w:t>
      </w:r>
      <w:r w:rsidR="00F5208A" w:rsidRPr="006E4CF7">
        <w:t xml:space="preserve"> </w:t>
      </w:r>
      <w:r w:rsidR="00F5208A" w:rsidRPr="006E4CF7">
        <w:rPr>
          <w:rFonts w:ascii="Times New Roman" w:hAnsi="Times New Roman" w:cs="Times New Roman"/>
          <w:sz w:val="24"/>
          <w:szCs w:val="24"/>
        </w:rPr>
        <w:t>McKinley et al 2021;</w:t>
      </w:r>
      <w:r w:rsidR="00D74134" w:rsidRPr="006E4CF7">
        <w:rPr>
          <w:rFonts w:ascii="Times New Roman" w:hAnsi="Times New Roman" w:cs="Times New Roman"/>
          <w:sz w:val="24"/>
          <w:szCs w:val="24"/>
        </w:rPr>
        <w:t xml:space="preserve"> </w:t>
      </w:r>
      <w:r w:rsidR="00FC2BBB" w:rsidRPr="006E4CF7">
        <w:rPr>
          <w:rFonts w:ascii="Times New Roman" w:hAnsi="Times New Roman" w:cs="Times New Roman"/>
          <w:sz w:val="24"/>
          <w:szCs w:val="24"/>
        </w:rPr>
        <w:t>or</w:t>
      </w:r>
      <w:r w:rsidR="00E14EB0" w:rsidRPr="006E4CF7">
        <w:rPr>
          <w:rFonts w:ascii="Times New Roman" w:hAnsi="Times New Roman" w:cs="Times New Roman"/>
          <w:sz w:val="24"/>
          <w:szCs w:val="24"/>
        </w:rPr>
        <w:t xml:space="preserve"> </w:t>
      </w:r>
      <w:r w:rsidR="00FC2BBB" w:rsidRPr="006E4CF7">
        <w:rPr>
          <w:rFonts w:ascii="Times New Roman" w:hAnsi="Times New Roman" w:cs="Times New Roman"/>
          <w:sz w:val="24"/>
          <w:szCs w:val="24"/>
        </w:rPr>
        <w:t>ea</w:t>
      </w:r>
      <w:r w:rsidR="00E14EB0" w:rsidRPr="006E4CF7">
        <w:rPr>
          <w:rFonts w:ascii="Times New Roman" w:hAnsi="Times New Roman" w:cs="Times New Roman"/>
          <w:sz w:val="24"/>
          <w:szCs w:val="24"/>
        </w:rPr>
        <w:t xml:space="preserve">rly studies from </w:t>
      </w:r>
      <w:proofErr w:type="spellStart"/>
      <w:r w:rsidRPr="006E4CF7">
        <w:rPr>
          <w:rFonts w:ascii="Times New Roman" w:hAnsi="Times New Roman" w:cs="Times New Roman"/>
          <w:sz w:val="24"/>
          <w:szCs w:val="24"/>
        </w:rPr>
        <w:t>Fanghanel</w:t>
      </w:r>
      <w:proofErr w:type="spellEnd"/>
      <w:r w:rsidRPr="006E4CF7">
        <w:rPr>
          <w:rFonts w:ascii="Times New Roman" w:hAnsi="Times New Roman" w:cs="Times New Roman"/>
          <w:sz w:val="24"/>
          <w:szCs w:val="24"/>
        </w:rPr>
        <w:t xml:space="preserve">, 2012; Archer, 2008).  </w:t>
      </w:r>
      <w:r w:rsidR="007C1E56" w:rsidRPr="006E4CF7">
        <w:rPr>
          <w:rFonts w:ascii="Times New Roman" w:hAnsi="Times New Roman" w:cs="Times New Roman"/>
          <w:sz w:val="24"/>
          <w:szCs w:val="24"/>
        </w:rPr>
        <w:t xml:space="preserve">This has led to </w:t>
      </w:r>
      <w:r w:rsidR="00442EE1" w:rsidRPr="006E4CF7">
        <w:rPr>
          <w:rFonts w:ascii="Times New Roman" w:hAnsi="Times New Roman" w:cs="Times New Roman"/>
          <w:sz w:val="24"/>
          <w:szCs w:val="24"/>
        </w:rPr>
        <w:t>an increased</w:t>
      </w:r>
      <w:r w:rsidR="00D27B7B" w:rsidRPr="006E4CF7">
        <w:rPr>
          <w:rFonts w:ascii="Times New Roman" w:hAnsi="Times New Roman" w:cs="Times New Roman"/>
          <w:sz w:val="24"/>
          <w:szCs w:val="24"/>
        </w:rPr>
        <w:t>, if surface,</w:t>
      </w:r>
      <w:r w:rsidR="00442EE1" w:rsidRPr="006E4CF7">
        <w:rPr>
          <w:rFonts w:ascii="Times New Roman" w:hAnsi="Times New Roman" w:cs="Times New Roman"/>
          <w:sz w:val="24"/>
          <w:szCs w:val="24"/>
        </w:rPr>
        <w:t xml:space="preserve"> foc</w:t>
      </w:r>
      <w:r w:rsidR="0018439C" w:rsidRPr="006E4CF7">
        <w:rPr>
          <w:rFonts w:ascii="Times New Roman" w:hAnsi="Times New Roman" w:cs="Times New Roman"/>
          <w:sz w:val="24"/>
          <w:szCs w:val="24"/>
        </w:rPr>
        <w:t xml:space="preserve">us on </w:t>
      </w:r>
      <w:r w:rsidR="00FB5015" w:rsidRPr="006E4CF7">
        <w:rPr>
          <w:rFonts w:ascii="Times New Roman" w:hAnsi="Times New Roman" w:cs="Times New Roman"/>
          <w:sz w:val="24"/>
          <w:szCs w:val="24"/>
        </w:rPr>
        <w:t>the scholarship of teaching and learning</w:t>
      </w:r>
      <w:r w:rsidR="0018439C" w:rsidRPr="006E4CF7">
        <w:rPr>
          <w:rFonts w:ascii="Times New Roman" w:hAnsi="Times New Roman" w:cs="Times New Roman"/>
          <w:sz w:val="24"/>
          <w:szCs w:val="24"/>
        </w:rPr>
        <w:t xml:space="preserve"> </w:t>
      </w:r>
      <w:r w:rsidR="00D27B7B" w:rsidRPr="006E4CF7">
        <w:rPr>
          <w:rFonts w:ascii="Times New Roman" w:hAnsi="Times New Roman" w:cs="Times New Roman"/>
          <w:sz w:val="24"/>
          <w:szCs w:val="24"/>
        </w:rPr>
        <w:t>in terms of Boyer’s (1990) seminal work</w:t>
      </w:r>
      <w:r w:rsidR="006F5B7F" w:rsidRPr="006E4CF7">
        <w:rPr>
          <w:rFonts w:ascii="Times New Roman" w:hAnsi="Times New Roman" w:cs="Times New Roman"/>
          <w:sz w:val="24"/>
          <w:szCs w:val="24"/>
        </w:rPr>
        <w:t xml:space="preserve"> and to what </w:t>
      </w:r>
      <w:r w:rsidR="009968BD" w:rsidRPr="006E4CF7">
        <w:rPr>
          <w:rFonts w:ascii="Times New Roman" w:hAnsi="Times New Roman" w:cs="Times New Roman"/>
          <w:sz w:val="24"/>
          <w:szCs w:val="24"/>
        </w:rPr>
        <w:t>Whitchurch (200</w:t>
      </w:r>
      <w:r w:rsidR="009B4E77" w:rsidRPr="006E4CF7">
        <w:rPr>
          <w:rFonts w:ascii="Times New Roman" w:hAnsi="Times New Roman" w:cs="Times New Roman"/>
          <w:sz w:val="24"/>
          <w:szCs w:val="24"/>
        </w:rPr>
        <w:t>9</w:t>
      </w:r>
      <w:r w:rsidR="009968BD" w:rsidRPr="006E4CF7">
        <w:rPr>
          <w:rFonts w:ascii="Times New Roman" w:hAnsi="Times New Roman" w:cs="Times New Roman"/>
          <w:sz w:val="24"/>
          <w:szCs w:val="24"/>
        </w:rPr>
        <w:t>)</w:t>
      </w:r>
      <w:r w:rsidR="0071234A" w:rsidRPr="006E4CF7">
        <w:rPr>
          <w:rFonts w:ascii="Times New Roman" w:hAnsi="Times New Roman" w:cs="Times New Roman"/>
          <w:sz w:val="24"/>
          <w:szCs w:val="24"/>
        </w:rPr>
        <w:t xml:space="preserve"> </w:t>
      </w:r>
      <w:r w:rsidR="00DF3B9C" w:rsidRPr="006E4CF7">
        <w:rPr>
          <w:rFonts w:ascii="Times New Roman" w:hAnsi="Times New Roman" w:cs="Times New Roman"/>
          <w:sz w:val="24"/>
          <w:szCs w:val="24"/>
        </w:rPr>
        <w:t xml:space="preserve">and later </w:t>
      </w:r>
      <w:r w:rsidR="001455D9" w:rsidRPr="006E4CF7">
        <w:rPr>
          <w:rFonts w:ascii="Times New Roman" w:hAnsi="Times New Roman" w:cs="Times New Roman"/>
          <w:sz w:val="24"/>
          <w:szCs w:val="24"/>
        </w:rPr>
        <w:lastRenderedPageBreak/>
        <w:t>White et al (2020)</w:t>
      </w:r>
      <w:r w:rsidR="00DF3B9C" w:rsidRPr="006E4CF7">
        <w:rPr>
          <w:rFonts w:ascii="Times New Roman" w:hAnsi="Times New Roman" w:cs="Times New Roman"/>
          <w:sz w:val="24"/>
          <w:szCs w:val="24"/>
        </w:rPr>
        <w:t xml:space="preserve"> </w:t>
      </w:r>
      <w:r w:rsidR="0071234A" w:rsidRPr="006E4CF7">
        <w:rPr>
          <w:rFonts w:ascii="Times New Roman" w:hAnsi="Times New Roman" w:cs="Times New Roman"/>
          <w:sz w:val="24"/>
          <w:szCs w:val="24"/>
        </w:rPr>
        <w:t>refer</w:t>
      </w:r>
      <w:r w:rsidR="004556C4" w:rsidRPr="006E4CF7">
        <w:rPr>
          <w:rFonts w:ascii="Times New Roman" w:hAnsi="Times New Roman" w:cs="Times New Roman"/>
          <w:sz w:val="24"/>
          <w:szCs w:val="24"/>
        </w:rPr>
        <w:t xml:space="preserve"> </w:t>
      </w:r>
      <w:r w:rsidR="0071234A" w:rsidRPr="006E4CF7">
        <w:rPr>
          <w:rFonts w:ascii="Times New Roman" w:hAnsi="Times New Roman" w:cs="Times New Roman"/>
          <w:sz w:val="24"/>
          <w:szCs w:val="24"/>
        </w:rPr>
        <w:t>to as ‘blended professionals’</w:t>
      </w:r>
      <w:r w:rsidR="00BB1BE7" w:rsidRPr="006E4CF7">
        <w:rPr>
          <w:rFonts w:ascii="Times New Roman" w:hAnsi="Times New Roman" w:cs="Times New Roman"/>
          <w:sz w:val="24"/>
          <w:szCs w:val="24"/>
        </w:rPr>
        <w:t xml:space="preserve">, with </w:t>
      </w:r>
      <w:proofErr w:type="spellStart"/>
      <w:r w:rsidR="00BB1BE7" w:rsidRPr="006E4CF7">
        <w:rPr>
          <w:rFonts w:ascii="Times New Roman" w:hAnsi="Times New Roman" w:cs="Times New Roman"/>
          <w:sz w:val="24"/>
          <w:szCs w:val="24"/>
        </w:rPr>
        <w:t>Obexer</w:t>
      </w:r>
      <w:proofErr w:type="spellEnd"/>
      <w:r w:rsidR="00BB1BE7" w:rsidRPr="006E4CF7">
        <w:rPr>
          <w:rFonts w:ascii="Times New Roman" w:hAnsi="Times New Roman" w:cs="Times New Roman"/>
          <w:sz w:val="24"/>
          <w:szCs w:val="24"/>
        </w:rPr>
        <w:t xml:space="preserve"> (2022) </w:t>
      </w:r>
      <w:r w:rsidR="009B4E77" w:rsidRPr="006E4CF7">
        <w:rPr>
          <w:rFonts w:ascii="Times New Roman" w:hAnsi="Times New Roman" w:cs="Times New Roman"/>
          <w:sz w:val="24"/>
          <w:szCs w:val="24"/>
        </w:rPr>
        <w:t xml:space="preserve">more </w:t>
      </w:r>
      <w:r w:rsidR="00BB1BE7" w:rsidRPr="006E4CF7">
        <w:rPr>
          <w:rFonts w:ascii="Times New Roman" w:hAnsi="Times New Roman" w:cs="Times New Roman"/>
          <w:sz w:val="24"/>
          <w:szCs w:val="24"/>
        </w:rPr>
        <w:t xml:space="preserve">recently referring to </w:t>
      </w:r>
      <w:r w:rsidR="00C94F3F" w:rsidRPr="006E4CF7">
        <w:rPr>
          <w:rFonts w:ascii="Times New Roman" w:hAnsi="Times New Roman" w:cs="Times New Roman"/>
          <w:sz w:val="24"/>
          <w:szCs w:val="24"/>
        </w:rPr>
        <w:t>academics being ‘lost in third space’.</w:t>
      </w:r>
    </w:p>
    <w:p w14:paraId="55C2A3BC" w14:textId="2CC5B88D" w:rsidR="00F0380D" w:rsidRPr="006E4CF7" w:rsidRDefault="00C94F3F" w:rsidP="00F0380D">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However, d</w:t>
      </w:r>
      <w:r w:rsidR="00006CBE" w:rsidRPr="006E4CF7">
        <w:rPr>
          <w:rFonts w:ascii="Times New Roman" w:hAnsi="Times New Roman" w:cs="Times New Roman"/>
          <w:sz w:val="24"/>
          <w:szCs w:val="24"/>
        </w:rPr>
        <w:t xml:space="preserve">espite these developments, the traditional emphasis on research over teaching has significantly shaped academic priorities, as detailed in the analyses by Coate et al. (2001), Zubrick et al. (2001), Van Note Chism (2006), </w:t>
      </w:r>
      <w:proofErr w:type="spellStart"/>
      <w:r w:rsidR="00006CBE" w:rsidRPr="006E4CF7">
        <w:rPr>
          <w:rFonts w:ascii="Times New Roman" w:hAnsi="Times New Roman" w:cs="Times New Roman"/>
          <w:sz w:val="24"/>
          <w:szCs w:val="24"/>
        </w:rPr>
        <w:t>Cretchley</w:t>
      </w:r>
      <w:proofErr w:type="spellEnd"/>
      <w:r w:rsidR="00006CBE" w:rsidRPr="006E4CF7">
        <w:rPr>
          <w:rFonts w:ascii="Times New Roman" w:hAnsi="Times New Roman" w:cs="Times New Roman"/>
          <w:sz w:val="24"/>
          <w:szCs w:val="24"/>
        </w:rPr>
        <w:t xml:space="preserve"> et al. (2014) and Bamber et al. (2022). Even though tuition fees now account for a substantial portion of university revenue—53% in 2021</w:t>
      </w:r>
      <w:r w:rsidR="00080E7C" w:rsidRPr="006E4CF7">
        <w:rPr>
          <w:rFonts w:ascii="Times New Roman" w:hAnsi="Times New Roman" w:cs="Times New Roman"/>
          <w:sz w:val="24"/>
          <w:szCs w:val="24"/>
        </w:rPr>
        <w:t xml:space="preserve">(HESA 2022), </w:t>
      </w:r>
      <w:r w:rsidR="00006CBE" w:rsidRPr="006E4CF7">
        <w:rPr>
          <w:rFonts w:ascii="Times New Roman" w:hAnsi="Times New Roman" w:cs="Times New Roman"/>
          <w:sz w:val="24"/>
          <w:szCs w:val="24"/>
        </w:rPr>
        <w:t>this research-centric orientation continues to dominate career advancement and institutional prestige. Such prioriti</w:t>
      </w:r>
      <w:r w:rsidR="00BE1CDD" w:rsidRPr="006E4CF7">
        <w:rPr>
          <w:rFonts w:ascii="Times New Roman" w:hAnsi="Times New Roman" w:cs="Times New Roman"/>
          <w:sz w:val="24"/>
          <w:szCs w:val="24"/>
        </w:rPr>
        <w:t>s</w:t>
      </w:r>
      <w:r w:rsidR="00006CBE" w:rsidRPr="006E4CF7">
        <w:rPr>
          <w:rFonts w:ascii="Times New Roman" w:hAnsi="Times New Roman" w:cs="Times New Roman"/>
          <w:sz w:val="24"/>
          <w:szCs w:val="24"/>
        </w:rPr>
        <w:t>ation of research facilitates the development of</w:t>
      </w:r>
      <w:r w:rsidR="00650CA9" w:rsidRPr="006E4CF7">
        <w:rPr>
          <w:rFonts w:ascii="Times New Roman" w:hAnsi="Times New Roman" w:cs="Times New Roman"/>
          <w:sz w:val="24"/>
          <w:szCs w:val="24"/>
        </w:rPr>
        <w:t xml:space="preserve"> a</w:t>
      </w:r>
      <w:r w:rsidR="00006CBE" w:rsidRPr="006E4CF7">
        <w:rPr>
          <w:rFonts w:ascii="Times New Roman" w:hAnsi="Times New Roman" w:cs="Times New Roman"/>
          <w:sz w:val="24"/>
          <w:szCs w:val="24"/>
        </w:rPr>
        <w:t xml:space="preserve"> research-led teaching</w:t>
      </w:r>
      <w:r w:rsidR="00650CA9" w:rsidRPr="006E4CF7">
        <w:rPr>
          <w:rFonts w:ascii="Times New Roman" w:hAnsi="Times New Roman" w:cs="Times New Roman"/>
          <w:sz w:val="24"/>
          <w:szCs w:val="24"/>
        </w:rPr>
        <w:t xml:space="preserve"> narrative</w:t>
      </w:r>
      <w:r w:rsidR="00006CBE" w:rsidRPr="006E4CF7">
        <w:rPr>
          <w:rFonts w:ascii="Times New Roman" w:hAnsi="Times New Roman" w:cs="Times New Roman"/>
          <w:sz w:val="24"/>
          <w:szCs w:val="24"/>
        </w:rPr>
        <w:t xml:space="preserve">, as highlighted by Hay et al. (2015), where cutting-edge scholarly insights </w:t>
      </w:r>
      <w:r w:rsidR="00650CA9" w:rsidRPr="006E4CF7">
        <w:rPr>
          <w:rFonts w:ascii="Times New Roman" w:hAnsi="Times New Roman" w:cs="Times New Roman"/>
          <w:sz w:val="24"/>
          <w:szCs w:val="24"/>
        </w:rPr>
        <w:t xml:space="preserve">can </w:t>
      </w:r>
      <w:r w:rsidR="00006CBE" w:rsidRPr="006E4CF7">
        <w:rPr>
          <w:rFonts w:ascii="Times New Roman" w:hAnsi="Times New Roman" w:cs="Times New Roman"/>
          <w:sz w:val="24"/>
          <w:szCs w:val="24"/>
        </w:rPr>
        <w:t>directly inform and enrich the curriculum. This approach suggests that students greatly benefit from being instructed by academics who are actively contributing to their fields, underscoring a symbiotic relationship between research and teaching quality. However, this scenario also points to the necessity for a more equitable valuation of teaching alongside research. The key challenge involves recogni</w:t>
      </w:r>
      <w:r w:rsidR="00581906" w:rsidRPr="006E4CF7">
        <w:rPr>
          <w:rFonts w:ascii="Times New Roman" w:hAnsi="Times New Roman" w:cs="Times New Roman"/>
          <w:sz w:val="24"/>
          <w:szCs w:val="24"/>
        </w:rPr>
        <w:t>s</w:t>
      </w:r>
      <w:r w:rsidR="00006CBE" w:rsidRPr="006E4CF7">
        <w:rPr>
          <w:rFonts w:ascii="Times New Roman" w:hAnsi="Times New Roman" w:cs="Times New Roman"/>
          <w:sz w:val="24"/>
          <w:szCs w:val="24"/>
        </w:rPr>
        <w:t>ing the merits of research-led teaching while simultaneously advocating for a recalibration that positions teaching on equal footing with research. This adjustment implies a strategic shift in the sector</w:t>
      </w:r>
      <w:r w:rsidR="00E23305" w:rsidRPr="006E4CF7">
        <w:rPr>
          <w:rFonts w:ascii="Times New Roman" w:hAnsi="Times New Roman" w:cs="Times New Roman"/>
          <w:sz w:val="24"/>
          <w:szCs w:val="24"/>
        </w:rPr>
        <w:t>’</w:t>
      </w:r>
      <w:r w:rsidR="00006CBE" w:rsidRPr="006E4CF7">
        <w:rPr>
          <w:rFonts w:ascii="Times New Roman" w:hAnsi="Times New Roman" w:cs="Times New Roman"/>
          <w:sz w:val="24"/>
          <w:szCs w:val="24"/>
        </w:rPr>
        <w:t>s stance, aiming to harmoni</w:t>
      </w:r>
      <w:r w:rsidR="00581906" w:rsidRPr="006E4CF7">
        <w:rPr>
          <w:rFonts w:ascii="Times New Roman" w:hAnsi="Times New Roman" w:cs="Times New Roman"/>
          <w:sz w:val="24"/>
          <w:szCs w:val="24"/>
        </w:rPr>
        <w:t>s</w:t>
      </w:r>
      <w:r w:rsidR="00006CBE" w:rsidRPr="006E4CF7">
        <w:rPr>
          <w:rFonts w:ascii="Times New Roman" w:hAnsi="Times New Roman" w:cs="Times New Roman"/>
          <w:sz w:val="24"/>
          <w:szCs w:val="24"/>
        </w:rPr>
        <w:t xml:space="preserve">e the contributions of both </w:t>
      </w:r>
      <w:r w:rsidR="00777692" w:rsidRPr="006E4CF7">
        <w:rPr>
          <w:rFonts w:ascii="Times New Roman" w:hAnsi="Times New Roman" w:cs="Times New Roman"/>
          <w:sz w:val="24"/>
          <w:szCs w:val="24"/>
        </w:rPr>
        <w:t>areas</w:t>
      </w:r>
      <w:r w:rsidR="00006CBE" w:rsidRPr="006E4CF7">
        <w:rPr>
          <w:rFonts w:ascii="Times New Roman" w:hAnsi="Times New Roman" w:cs="Times New Roman"/>
          <w:sz w:val="24"/>
          <w:szCs w:val="24"/>
        </w:rPr>
        <w:t xml:space="preserve"> to the academic </w:t>
      </w:r>
      <w:r w:rsidR="0006151E" w:rsidRPr="006E4CF7">
        <w:rPr>
          <w:rFonts w:ascii="Times New Roman" w:hAnsi="Times New Roman" w:cs="Times New Roman"/>
          <w:sz w:val="24"/>
          <w:szCs w:val="24"/>
        </w:rPr>
        <w:t>mission</w:t>
      </w:r>
      <w:r w:rsidR="00006CBE" w:rsidRPr="006E4CF7">
        <w:rPr>
          <w:rFonts w:ascii="Times New Roman" w:hAnsi="Times New Roman" w:cs="Times New Roman"/>
          <w:sz w:val="24"/>
          <w:szCs w:val="24"/>
        </w:rPr>
        <w:t>. The goal is to ensure that enriching student learning through research-led pedagogy is complemented by a steadfast dedication to teaching excellence.</w:t>
      </w:r>
    </w:p>
    <w:p w14:paraId="0C17A397" w14:textId="63E78DFE" w:rsidR="00581906" w:rsidRPr="006E4CF7" w:rsidRDefault="00581906" w:rsidP="00581906">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This rebalancing might already be underway, evidenced by the increased adoption of teaching-only contracts. From 2014-15 to 2021-22, the sector witnessed a significant shift in the contracting methods for academics. The proportion of dual teaching and research contracts decreased from 49% to 43%, while </w:t>
      </w:r>
      <w:r w:rsidR="00AE0AA1" w:rsidRPr="006E4CF7">
        <w:rPr>
          <w:rFonts w:ascii="Times New Roman" w:hAnsi="Times New Roman" w:cs="Times New Roman"/>
          <w:sz w:val="24"/>
          <w:szCs w:val="24"/>
        </w:rPr>
        <w:t xml:space="preserve">teaching only contracts have increased from 51,970 to 81,080.  This data can only be sorted by employment function, and </w:t>
      </w:r>
      <w:r w:rsidR="00AE0AA1" w:rsidRPr="006E4CF7">
        <w:rPr>
          <w:rFonts w:ascii="Times New Roman" w:hAnsi="Times New Roman" w:cs="Times New Roman"/>
          <w:i/>
          <w:iCs/>
          <w:sz w:val="24"/>
          <w:szCs w:val="24"/>
        </w:rPr>
        <w:t>may</w:t>
      </w:r>
      <w:r w:rsidR="00AE0AA1" w:rsidRPr="006E4CF7">
        <w:rPr>
          <w:rFonts w:ascii="Times New Roman" w:hAnsi="Times New Roman" w:cs="Times New Roman"/>
          <w:sz w:val="24"/>
          <w:szCs w:val="24"/>
        </w:rPr>
        <w:t xml:space="preserve"> include PhD student teaching, however, it remains that teaching only contracts </w:t>
      </w:r>
      <w:r w:rsidR="00CC1E90" w:rsidRPr="006E4CF7">
        <w:rPr>
          <w:rFonts w:ascii="Times New Roman" w:hAnsi="Times New Roman" w:cs="Times New Roman"/>
          <w:sz w:val="24"/>
          <w:szCs w:val="24"/>
        </w:rPr>
        <w:t xml:space="preserve">increased in this period by </w:t>
      </w:r>
      <w:r w:rsidR="003017E6" w:rsidRPr="006E4CF7">
        <w:rPr>
          <w:rFonts w:ascii="Times New Roman" w:hAnsi="Times New Roman" w:cs="Times New Roman"/>
          <w:sz w:val="24"/>
          <w:szCs w:val="24"/>
        </w:rPr>
        <w:t>over 64%</w:t>
      </w:r>
      <w:r w:rsidR="00AE0AA1" w:rsidRPr="006E4CF7">
        <w:rPr>
          <w:rFonts w:ascii="Times New Roman" w:hAnsi="Times New Roman" w:cs="Times New Roman"/>
          <w:sz w:val="24"/>
          <w:szCs w:val="24"/>
        </w:rPr>
        <w:t xml:space="preserve"> </w:t>
      </w:r>
      <w:r w:rsidR="00B82D6A" w:rsidRPr="006E4CF7">
        <w:rPr>
          <w:rFonts w:ascii="Times New Roman" w:hAnsi="Times New Roman" w:cs="Times New Roman"/>
          <w:sz w:val="24"/>
          <w:szCs w:val="24"/>
        </w:rPr>
        <w:t>(</w:t>
      </w:r>
      <w:r w:rsidR="00AE0AA1" w:rsidRPr="006E4CF7">
        <w:rPr>
          <w:rFonts w:ascii="Times New Roman" w:hAnsi="Times New Roman" w:cs="Times New Roman"/>
          <w:sz w:val="24"/>
          <w:szCs w:val="24"/>
        </w:rPr>
        <w:t xml:space="preserve">see </w:t>
      </w:r>
      <w:r w:rsidR="00B82D6A" w:rsidRPr="006E4CF7">
        <w:rPr>
          <w:rFonts w:ascii="Times New Roman" w:hAnsi="Times New Roman" w:cs="Times New Roman"/>
          <w:sz w:val="24"/>
          <w:szCs w:val="24"/>
        </w:rPr>
        <w:t>HESA 2024)</w:t>
      </w:r>
      <w:r w:rsidRPr="006E4CF7">
        <w:rPr>
          <w:rFonts w:ascii="Times New Roman" w:hAnsi="Times New Roman" w:cs="Times New Roman"/>
          <w:sz w:val="24"/>
          <w:szCs w:val="24"/>
        </w:rPr>
        <w:t>. Our paper conducts an empirical investigation into how this shift might influence the quality of the student experience. One theory suggests that such contracts, by allowing educators to focus solely on teaching without the demands of research, might enable a ‘</w:t>
      </w:r>
      <w:r w:rsidRPr="006E4CF7">
        <w:rPr>
          <w:rFonts w:ascii="Times New Roman" w:hAnsi="Times New Roman" w:cs="Times New Roman"/>
          <w:i/>
          <w:iCs/>
          <w:sz w:val="24"/>
          <w:szCs w:val="24"/>
        </w:rPr>
        <w:t>sophisticated division of labour</w:t>
      </w:r>
      <w:r w:rsidRPr="006E4CF7">
        <w:rPr>
          <w:rFonts w:ascii="Times New Roman" w:hAnsi="Times New Roman" w:cs="Times New Roman"/>
          <w:sz w:val="24"/>
          <w:szCs w:val="24"/>
        </w:rPr>
        <w:t xml:space="preserve">’ akin to </w:t>
      </w:r>
      <w:r w:rsidR="00CA77B2" w:rsidRPr="006E4CF7">
        <w:rPr>
          <w:rFonts w:ascii="Times New Roman" w:hAnsi="Times New Roman" w:cs="Times New Roman"/>
          <w:sz w:val="24"/>
          <w:szCs w:val="24"/>
        </w:rPr>
        <w:t xml:space="preserve">the </w:t>
      </w:r>
      <w:r w:rsidRPr="006E4CF7">
        <w:rPr>
          <w:rFonts w:ascii="Times New Roman" w:hAnsi="Times New Roman" w:cs="Times New Roman"/>
          <w:sz w:val="24"/>
          <w:szCs w:val="24"/>
        </w:rPr>
        <w:t>commercial sector (</w:t>
      </w:r>
      <w:proofErr w:type="spellStart"/>
      <w:r w:rsidRPr="006E4CF7">
        <w:rPr>
          <w:rFonts w:ascii="Times New Roman" w:hAnsi="Times New Roman" w:cs="Times New Roman"/>
          <w:sz w:val="24"/>
          <w:szCs w:val="24"/>
        </w:rPr>
        <w:t>Sidorkin</w:t>
      </w:r>
      <w:proofErr w:type="spellEnd"/>
      <w:r w:rsidRPr="006E4CF7">
        <w:rPr>
          <w:rFonts w:ascii="Times New Roman" w:hAnsi="Times New Roman" w:cs="Times New Roman"/>
          <w:sz w:val="24"/>
          <w:szCs w:val="24"/>
        </w:rPr>
        <w:t xml:space="preserve">, 2012). This approach posits that educators, liberated from research pressures, can fully commit their skills to teaching, potentially enhancing student outcomes through increased engagement in pedagogical innovations. Our analysis will therefore examine the nature of these innovations, </w:t>
      </w:r>
      <w:r w:rsidRPr="006E4CF7">
        <w:rPr>
          <w:rFonts w:ascii="Times New Roman" w:hAnsi="Times New Roman" w:cs="Times New Roman"/>
          <w:sz w:val="24"/>
          <w:szCs w:val="24"/>
        </w:rPr>
        <w:lastRenderedPageBreak/>
        <w:t xml:space="preserve">which may include methodologies such as flipping the classroom (Cook et al., 2021), co-creation (Bovill, 2020), e-learning (Alpert et al., 2016; Cook et al., 2019; Snowden et al., 2014; </w:t>
      </w:r>
      <w:proofErr w:type="spellStart"/>
      <w:r w:rsidRPr="006E4CF7">
        <w:rPr>
          <w:rFonts w:ascii="Times New Roman" w:hAnsi="Times New Roman" w:cs="Times New Roman"/>
          <w:sz w:val="24"/>
          <w:szCs w:val="24"/>
        </w:rPr>
        <w:t>Kentnor</w:t>
      </w:r>
      <w:proofErr w:type="spellEnd"/>
      <w:r w:rsidRPr="006E4CF7">
        <w:rPr>
          <w:rFonts w:ascii="Times New Roman" w:hAnsi="Times New Roman" w:cs="Times New Roman"/>
          <w:sz w:val="24"/>
          <w:szCs w:val="24"/>
        </w:rPr>
        <w:t>, 2015; Devitt-Jones, 2020), and blended learning (</w:t>
      </w:r>
      <w:proofErr w:type="spellStart"/>
      <w:r w:rsidRPr="006E4CF7">
        <w:rPr>
          <w:rFonts w:ascii="Times New Roman" w:hAnsi="Times New Roman" w:cs="Times New Roman"/>
          <w:sz w:val="24"/>
          <w:szCs w:val="24"/>
        </w:rPr>
        <w:t>Kentnor</w:t>
      </w:r>
      <w:proofErr w:type="spellEnd"/>
      <w:r w:rsidRPr="006E4CF7">
        <w:rPr>
          <w:rFonts w:ascii="Times New Roman" w:hAnsi="Times New Roman" w:cs="Times New Roman"/>
          <w:sz w:val="24"/>
          <w:szCs w:val="24"/>
        </w:rPr>
        <w:t xml:space="preserve">, 2015; </w:t>
      </w:r>
      <w:proofErr w:type="spellStart"/>
      <w:r w:rsidRPr="006E4CF7">
        <w:rPr>
          <w:rFonts w:ascii="Times New Roman" w:hAnsi="Times New Roman" w:cs="Times New Roman"/>
          <w:sz w:val="24"/>
          <w:szCs w:val="24"/>
        </w:rPr>
        <w:t>Figlio</w:t>
      </w:r>
      <w:proofErr w:type="spellEnd"/>
      <w:r w:rsidRPr="006E4CF7">
        <w:rPr>
          <w:rFonts w:ascii="Times New Roman" w:hAnsi="Times New Roman" w:cs="Times New Roman"/>
          <w:sz w:val="24"/>
          <w:szCs w:val="24"/>
        </w:rPr>
        <w:t>, 2013; Alpert et al., 2016).</w:t>
      </w:r>
    </w:p>
    <w:p w14:paraId="1C8C12AD" w14:textId="259D8018" w:rsidR="005B7DD3" w:rsidRPr="006E4CF7" w:rsidRDefault="00581906" w:rsidP="00581906">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Despite this potential, prevailing </w:t>
      </w:r>
      <w:r w:rsidR="00894668" w:rsidRPr="006E4CF7">
        <w:rPr>
          <w:rFonts w:ascii="Times New Roman" w:hAnsi="Times New Roman" w:cs="Times New Roman"/>
          <w:sz w:val="24"/>
          <w:szCs w:val="24"/>
        </w:rPr>
        <w:t>scepticism</w:t>
      </w:r>
      <w:r w:rsidRPr="006E4CF7">
        <w:rPr>
          <w:rFonts w:ascii="Times New Roman" w:hAnsi="Times New Roman" w:cs="Times New Roman"/>
          <w:sz w:val="24"/>
          <w:szCs w:val="24"/>
        </w:rPr>
        <w:t xml:space="preserve"> questions </w:t>
      </w:r>
      <w:r w:rsidR="003F2DE6" w:rsidRPr="006E4CF7">
        <w:rPr>
          <w:rFonts w:ascii="Times New Roman" w:hAnsi="Times New Roman" w:cs="Times New Roman"/>
          <w:sz w:val="24"/>
          <w:szCs w:val="24"/>
        </w:rPr>
        <w:t>tea</w:t>
      </w:r>
      <w:r w:rsidR="004519FC" w:rsidRPr="006E4CF7">
        <w:rPr>
          <w:rFonts w:ascii="Times New Roman" w:hAnsi="Times New Roman" w:cs="Times New Roman"/>
          <w:sz w:val="24"/>
          <w:szCs w:val="24"/>
        </w:rPr>
        <w:t>c</w:t>
      </w:r>
      <w:r w:rsidR="003F2DE6" w:rsidRPr="006E4CF7">
        <w:rPr>
          <w:rFonts w:ascii="Times New Roman" w:hAnsi="Times New Roman" w:cs="Times New Roman"/>
          <w:sz w:val="24"/>
          <w:szCs w:val="24"/>
        </w:rPr>
        <w:t>hing-only contrac</w:t>
      </w:r>
      <w:r w:rsidR="004519FC" w:rsidRPr="006E4CF7">
        <w:rPr>
          <w:rFonts w:ascii="Times New Roman" w:hAnsi="Times New Roman" w:cs="Times New Roman"/>
          <w:sz w:val="24"/>
          <w:szCs w:val="24"/>
        </w:rPr>
        <w:t>ts</w:t>
      </w:r>
      <w:r w:rsidRPr="006E4CF7">
        <w:rPr>
          <w:rFonts w:ascii="Times New Roman" w:hAnsi="Times New Roman" w:cs="Times New Roman"/>
          <w:sz w:val="24"/>
          <w:szCs w:val="24"/>
        </w:rPr>
        <w:t xml:space="preserve"> effectiveness in genuinely shifting the cultural focus towards teaching improvements rather than simply accommodating the increasing number of students (Macfarlane, 2021). For instance, the rise in teaching-only contracts could merely signify a broader trend towards casualisation, where the strategic employment of non-permanent staff is aimed at managing costs in an environment of growing student populations. Such a trend might result in a disconnect between the adoption of teaching-only contracts and the enhancement of the student experience. However, this paper proposes to examine a third complicating factor in the impact of teaching-only contracts: esteem uncertainty. </w:t>
      </w:r>
    </w:p>
    <w:p w14:paraId="27302EE2" w14:textId="69578E97" w:rsidR="00996636" w:rsidRPr="006E4CF7" w:rsidRDefault="00650CA9" w:rsidP="00A66247">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Esteem uncertainty in academia refers to the inconsistency in how teaching roles are valued and acknowledged. </w:t>
      </w:r>
      <w:r w:rsidR="001D51C8" w:rsidRPr="006E4CF7">
        <w:rPr>
          <w:rFonts w:ascii="Times New Roman" w:hAnsi="Times New Roman" w:cs="Times New Roman"/>
          <w:sz w:val="24"/>
          <w:szCs w:val="24"/>
        </w:rPr>
        <w:t>Such uncertainty continues despite of, and maybe because of, the creation of organisations to promote teaching excellence</w:t>
      </w:r>
      <w:r w:rsidR="005417E4" w:rsidRPr="006E4CF7">
        <w:rPr>
          <w:rFonts w:ascii="Times New Roman" w:hAnsi="Times New Roman" w:cs="Times New Roman"/>
          <w:sz w:val="24"/>
          <w:szCs w:val="24"/>
        </w:rPr>
        <w:t>.</w:t>
      </w:r>
      <w:r w:rsidR="001D51C8" w:rsidRPr="006E4CF7">
        <w:rPr>
          <w:rFonts w:ascii="Times New Roman" w:hAnsi="Times New Roman" w:cs="Times New Roman"/>
          <w:sz w:val="24"/>
          <w:szCs w:val="24"/>
        </w:rPr>
        <w:t xml:space="preserve"> </w:t>
      </w:r>
      <w:r w:rsidR="005417E4" w:rsidRPr="006E4CF7">
        <w:rPr>
          <w:rFonts w:ascii="Times New Roman" w:hAnsi="Times New Roman" w:cs="Times New Roman"/>
          <w:sz w:val="24"/>
          <w:szCs w:val="24"/>
        </w:rPr>
        <w:t>I</w:t>
      </w:r>
      <w:r w:rsidR="001D51C8" w:rsidRPr="006E4CF7">
        <w:rPr>
          <w:rFonts w:ascii="Times New Roman" w:hAnsi="Times New Roman" w:cs="Times New Roman"/>
          <w:sz w:val="24"/>
          <w:szCs w:val="24"/>
        </w:rPr>
        <w:t xml:space="preserve">n the UK </w:t>
      </w:r>
      <w:proofErr w:type="spellStart"/>
      <w:r w:rsidR="001D51C8" w:rsidRPr="006E4CF7">
        <w:rPr>
          <w:rFonts w:ascii="Times New Roman" w:hAnsi="Times New Roman" w:cs="Times New Roman"/>
          <w:sz w:val="24"/>
          <w:szCs w:val="24"/>
        </w:rPr>
        <w:t>AdvanceHE</w:t>
      </w:r>
      <w:proofErr w:type="spellEnd"/>
      <w:r w:rsidR="001D51C8" w:rsidRPr="006E4CF7">
        <w:rPr>
          <w:rFonts w:ascii="Times New Roman" w:hAnsi="Times New Roman" w:cs="Times New Roman"/>
          <w:sz w:val="24"/>
          <w:szCs w:val="24"/>
        </w:rPr>
        <w:t xml:space="preserve"> was established </w:t>
      </w:r>
      <w:r w:rsidR="00ED1A29" w:rsidRPr="006E4CF7">
        <w:rPr>
          <w:rFonts w:ascii="Times New Roman" w:hAnsi="Times New Roman" w:cs="Times New Roman"/>
          <w:sz w:val="24"/>
          <w:szCs w:val="24"/>
        </w:rPr>
        <w:t>to</w:t>
      </w:r>
      <w:r w:rsidR="001D51C8" w:rsidRPr="006E4CF7">
        <w:rPr>
          <w:rFonts w:ascii="Times New Roman" w:hAnsi="Times New Roman" w:cs="Times New Roman"/>
          <w:sz w:val="24"/>
          <w:szCs w:val="24"/>
        </w:rPr>
        <w:t xml:space="preserve"> recognise outstanding teachers via National Teaching Fellowships (NTF) and </w:t>
      </w:r>
      <w:r w:rsidR="00ED1A29" w:rsidRPr="006E4CF7">
        <w:rPr>
          <w:rFonts w:ascii="Times New Roman" w:hAnsi="Times New Roman" w:cs="Times New Roman"/>
          <w:sz w:val="24"/>
          <w:szCs w:val="24"/>
        </w:rPr>
        <w:t xml:space="preserve">a </w:t>
      </w:r>
      <w:r w:rsidR="001D51C8" w:rsidRPr="006E4CF7">
        <w:rPr>
          <w:rFonts w:ascii="Times New Roman" w:hAnsi="Times New Roman" w:cs="Times New Roman"/>
          <w:sz w:val="24"/>
          <w:szCs w:val="24"/>
        </w:rPr>
        <w:t>more formal Fellowships scheme</w:t>
      </w:r>
      <w:r w:rsidR="00764491" w:rsidRPr="006E4CF7">
        <w:rPr>
          <w:rFonts w:ascii="Times New Roman" w:hAnsi="Times New Roman" w:cs="Times New Roman"/>
          <w:sz w:val="24"/>
          <w:szCs w:val="24"/>
        </w:rPr>
        <w:t>. However,</w:t>
      </w:r>
      <w:r w:rsidR="001D51C8" w:rsidRPr="006E4CF7">
        <w:rPr>
          <w:rFonts w:ascii="Times New Roman" w:hAnsi="Times New Roman" w:cs="Times New Roman"/>
          <w:sz w:val="24"/>
          <w:szCs w:val="24"/>
        </w:rPr>
        <w:t xml:space="preserve"> such </w:t>
      </w:r>
      <w:r w:rsidR="001A5403" w:rsidRPr="006E4CF7">
        <w:rPr>
          <w:rFonts w:ascii="Times New Roman" w:hAnsi="Times New Roman" w:cs="Times New Roman"/>
          <w:sz w:val="24"/>
          <w:szCs w:val="24"/>
        </w:rPr>
        <w:t>awards</w:t>
      </w:r>
      <w:r w:rsidR="001D51C8" w:rsidRPr="006E4CF7">
        <w:rPr>
          <w:rFonts w:ascii="Times New Roman" w:hAnsi="Times New Roman" w:cs="Times New Roman"/>
          <w:sz w:val="24"/>
          <w:szCs w:val="24"/>
        </w:rPr>
        <w:t xml:space="preserve"> ha</w:t>
      </w:r>
      <w:r w:rsidR="001A5403" w:rsidRPr="006E4CF7">
        <w:rPr>
          <w:rFonts w:ascii="Times New Roman" w:hAnsi="Times New Roman" w:cs="Times New Roman"/>
          <w:sz w:val="24"/>
          <w:szCs w:val="24"/>
        </w:rPr>
        <w:t>ve</w:t>
      </w:r>
      <w:r w:rsidR="001D51C8" w:rsidRPr="006E4CF7">
        <w:rPr>
          <w:rFonts w:ascii="Times New Roman" w:hAnsi="Times New Roman" w:cs="Times New Roman"/>
          <w:sz w:val="24"/>
          <w:szCs w:val="24"/>
        </w:rPr>
        <w:t xml:space="preserve"> struggled to gain impact</w:t>
      </w:r>
      <w:r w:rsidR="00950F62" w:rsidRPr="006E4CF7">
        <w:rPr>
          <w:rFonts w:ascii="Times New Roman" w:hAnsi="Times New Roman" w:cs="Times New Roman"/>
          <w:sz w:val="24"/>
          <w:szCs w:val="24"/>
        </w:rPr>
        <w:t>,</w:t>
      </w:r>
      <w:r w:rsidR="001D51C8" w:rsidRPr="006E4CF7">
        <w:rPr>
          <w:rFonts w:ascii="Times New Roman" w:hAnsi="Times New Roman" w:cs="Times New Roman"/>
          <w:sz w:val="24"/>
          <w:szCs w:val="24"/>
        </w:rPr>
        <w:t xml:space="preserve"> transferability</w:t>
      </w:r>
      <w:r w:rsidR="006D105B" w:rsidRPr="006E4CF7">
        <w:rPr>
          <w:rFonts w:ascii="Times New Roman" w:hAnsi="Times New Roman" w:cs="Times New Roman"/>
          <w:sz w:val="24"/>
          <w:szCs w:val="24"/>
        </w:rPr>
        <w:t>, or indeed</w:t>
      </w:r>
      <w:r w:rsidR="00950F62" w:rsidRPr="006E4CF7">
        <w:rPr>
          <w:rFonts w:ascii="Times New Roman" w:hAnsi="Times New Roman" w:cs="Times New Roman"/>
          <w:sz w:val="24"/>
          <w:szCs w:val="24"/>
        </w:rPr>
        <w:t>,</w:t>
      </w:r>
      <w:r w:rsidR="006D105B" w:rsidRPr="006E4CF7">
        <w:rPr>
          <w:rFonts w:ascii="Times New Roman" w:hAnsi="Times New Roman" w:cs="Times New Roman"/>
          <w:sz w:val="24"/>
          <w:szCs w:val="24"/>
        </w:rPr>
        <w:t xml:space="preserve"> consistency of utilisation</w:t>
      </w:r>
      <w:r w:rsidR="001D51C8" w:rsidRPr="006E4CF7">
        <w:rPr>
          <w:rFonts w:ascii="Times New Roman" w:hAnsi="Times New Roman" w:cs="Times New Roman"/>
          <w:sz w:val="24"/>
          <w:szCs w:val="24"/>
        </w:rPr>
        <w:t xml:space="preserve"> across different institution</w:t>
      </w:r>
      <w:r w:rsidR="00B879A0" w:rsidRPr="006E4CF7">
        <w:rPr>
          <w:rFonts w:ascii="Times New Roman" w:hAnsi="Times New Roman" w:cs="Times New Roman"/>
          <w:sz w:val="24"/>
          <w:szCs w:val="24"/>
        </w:rPr>
        <w:t>s</w:t>
      </w:r>
      <w:r w:rsidR="00950F62" w:rsidRPr="006E4CF7">
        <w:rPr>
          <w:rFonts w:ascii="Times New Roman" w:hAnsi="Times New Roman" w:cs="Times New Roman"/>
          <w:sz w:val="24"/>
          <w:szCs w:val="24"/>
        </w:rPr>
        <w:t xml:space="preserve"> and</w:t>
      </w:r>
      <w:r w:rsidR="001D51C8" w:rsidRPr="006E4CF7">
        <w:rPr>
          <w:rFonts w:ascii="Times New Roman" w:hAnsi="Times New Roman" w:cs="Times New Roman"/>
          <w:sz w:val="24"/>
          <w:szCs w:val="24"/>
        </w:rPr>
        <w:t xml:space="preserve"> countries, and esteem uncertainty remains (see Bamber et al 2021).</w:t>
      </w:r>
      <w:r w:rsidR="00996636" w:rsidRPr="006E4CF7">
        <w:rPr>
          <w:rFonts w:ascii="Times New Roman" w:hAnsi="Times New Roman" w:cs="Times New Roman"/>
          <w:sz w:val="24"/>
          <w:szCs w:val="24"/>
        </w:rPr>
        <w:t xml:space="preserve"> </w:t>
      </w:r>
      <w:r w:rsidR="00D24F32" w:rsidRPr="006E4CF7">
        <w:rPr>
          <w:rFonts w:ascii="Times New Roman" w:hAnsi="Times New Roman" w:cs="Times New Roman"/>
          <w:sz w:val="24"/>
          <w:szCs w:val="24"/>
        </w:rPr>
        <w:t>R</w:t>
      </w:r>
      <w:r w:rsidR="00996636" w:rsidRPr="006E4CF7">
        <w:rPr>
          <w:rFonts w:ascii="Times New Roman" w:hAnsi="Times New Roman" w:cs="Times New Roman"/>
          <w:sz w:val="24"/>
          <w:szCs w:val="24"/>
        </w:rPr>
        <w:t xml:space="preserve">ecent work </w:t>
      </w:r>
      <w:r w:rsidR="00D24F32" w:rsidRPr="006E4CF7">
        <w:rPr>
          <w:rFonts w:ascii="Times New Roman" w:hAnsi="Times New Roman" w:cs="Times New Roman"/>
          <w:sz w:val="24"/>
          <w:szCs w:val="24"/>
        </w:rPr>
        <w:t xml:space="preserve">by </w:t>
      </w:r>
      <w:r w:rsidR="00996636" w:rsidRPr="006E4CF7">
        <w:rPr>
          <w:rFonts w:ascii="Times New Roman" w:hAnsi="Times New Roman" w:cs="Times New Roman"/>
          <w:sz w:val="24"/>
          <w:szCs w:val="24"/>
        </w:rPr>
        <w:t xml:space="preserve">Arico et al (2024) </w:t>
      </w:r>
      <w:r w:rsidR="003045D2" w:rsidRPr="006E4CF7">
        <w:rPr>
          <w:rFonts w:ascii="Times New Roman" w:hAnsi="Times New Roman" w:cs="Times New Roman"/>
          <w:sz w:val="24"/>
          <w:szCs w:val="24"/>
        </w:rPr>
        <w:t xml:space="preserve">reported that over 30% of surveyed respondents believed </w:t>
      </w:r>
      <w:r w:rsidR="00CA4B1A" w:rsidRPr="006E4CF7">
        <w:rPr>
          <w:rFonts w:ascii="Times New Roman" w:hAnsi="Times New Roman" w:cs="Times New Roman"/>
          <w:sz w:val="24"/>
          <w:szCs w:val="24"/>
        </w:rPr>
        <w:t>that,  as</w:t>
      </w:r>
      <w:r w:rsidR="00A66247" w:rsidRPr="006E4CF7">
        <w:t xml:space="preserve"> </w:t>
      </w:r>
      <w:r w:rsidR="00A66247" w:rsidRPr="006E4CF7">
        <w:rPr>
          <w:rFonts w:ascii="Times New Roman" w:hAnsi="Times New Roman" w:cs="Times New Roman"/>
          <w:sz w:val="24"/>
          <w:szCs w:val="24"/>
        </w:rPr>
        <w:t>teaching-track</w:t>
      </w:r>
      <w:r w:rsidR="00CA4B1A" w:rsidRPr="006E4CF7">
        <w:rPr>
          <w:rFonts w:ascii="Times New Roman" w:hAnsi="Times New Roman" w:cs="Times New Roman"/>
          <w:sz w:val="24"/>
          <w:szCs w:val="24"/>
        </w:rPr>
        <w:t xml:space="preserve"> </w:t>
      </w:r>
      <w:r w:rsidR="00A66247" w:rsidRPr="006E4CF7">
        <w:rPr>
          <w:rFonts w:ascii="Times New Roman" w:hAnsi="Times New Roman" w:cs="Times New Roman"/>
          <w:sz w:val="24"/>
          <w:szCs w:val="24"/>
        </w:rPr>
        <w:t>economists</w:t>
      </w:r>
      <w:r w:rsidR="00CA4B1A" w:rsidRPr="006E4CF7">
        <w:rPr>
          <w:rFonts w:ascii="Times New Roman" w:hAnsi="Times New Roman" w:cs="Times New Roman"/>
          <w:sz w:val="24"/>
          <w:szCs w:val="24"/>
        </w:rPr>
        <w:t>, they were</w:t>
      </w:r>
      <w:r w:rsidR="003045D2" w:rsidRPr="006E4CF7">
        <w:rPr>
          <w:rFonts w:ascii="Times New Roman" w:hAnsi="Times New Roman" w:cs="Times New Roman"/>
          <w:sz w:val="24"/>
          <w:szCs w:val="24"/>
        </w:rPr>
        <w:t xml:space="preserve"> hired to </w:t>
      </w:r>
      <w:r w:rsidR="00F12DE5" w:rsidRPr="006E4CF7">
        <w:rPr>
          <w:rFonts w:ascii="Times New Roman" w:hAnsi="Times New Roman" w:cs="Times New Roman"/>
          <w:sz w:val="24"/>
          <w:szCs w:val="24"/>
        </w:rPr>
        <w:t>help research staff reduce their workloads</w:t>
      </w:r>
      <w:r w:rsidR="006D0C2F" w:rsidRPr="006E4CF7">
        <w:rPr>
          <w:rFonts w:ascii="Times New Roman" w:hAnsi="Times New Roman" w:cs="Times New Roman"/>
          <w:sz w:val="24"/>
          <w:szCs w:val="24"/>
        </w:rPr>
        <w:t xml:space="preserve"> </w:t>
      </w:r>
      <w:r w:rsidR="00C96833" w:rsidRPr="006E4CF7">
        <w:rPr>
          <w:rFonts w:ascii="Times New Roman" w:hAnsi="Times New Roman" w:cs="Times New Roman"/>
          <w:sz w:val="24"/>
          <w:szCs w:val="24"/>
        </w:rPr>
        <w:t>whilst also</w:t>
      </w:r>
      <w:r w:rsidR="006D0C2F" w:rsidRPr="006E4CF7">
        <w:rPr>
          <w:rFonts w:ascii="Times New Roman" w:hAnsi="Times New Roman" w:cs="Times New Roman"/>
          <w:sz w:val="24"/>
          <w:szCs w:val="24"/>
        </w:rPr>
        <w:t xml:space="preserve"> </w:t>
      </w:r>
      <w:r w:rsidR="00C96833" w:rsidRPr="006E4CF7">
        <w:rPr>
          <w:rFonts w:ascii="Times New Roman" w:hAnsi="Times New Roman" w:cs="Times New Roman"/>
          <w:sz w:val="24"/>
          <w:szCs w:val="24"/>
        </w:rPr>
        <w:t xml:space="preserve">stating that </w:t>
      </w:r>
      <w:r w:rsidR="00D77B4D" w:rsidRPr="006E4CF7">
        <w:rPr>
          <w:rFonts w:ascii="Times New Roman" w:hAnsi="Times New Roman" w:cs="Times New Roman"/>
          <w:sz w:val="24"/>
          <w:szCs w:val="24"/>
        </w:rPr>
        <w:t>there remain</w:t>
      </w:r>
      <w:r w:rsidR="00C96833" w:rsidRPr="006E4CF7">
        <w:rPr>
          <w:rFonts w:ascii="Times New Roman" w:hAnsi="Times New Roman" w:cs="Times New Roman"/>
          <w:sz w:val="24"/>
          <w:szCs w:val="24"/>
        </w:rPr>
        <w:t>s</w:t>
      </w:r>
      <w:r w:rsidR="00D77B4D" w:rsidRPr="006E4CF7">
        <w:rPr>
          <w:rFonts w:ascii="Times New Roman" w:hAnsi="Times New Roman" w:cs="Times New Roman"/>
          <w:sz w:val="24"/>
          <w:szCs w:val="24"/>
        </w:rPr>
        <w:t xml:space="preserve"> a ‘gap </w:t>
      </w:r>
      <w:r w:rsidR="00AB547A" w:rsidRPr="006E4CF7">
        <w:rPr>
          <w:rFonts w:ascii="Times New Roman" w:hAnsi="Times New Roman" w:cs="Times New Roman"/>
          <w:sz w:val="24"/>
          <w:szCs w:val="24"/>
        </w:rPr>
        <w:t>between</w:t>
      </w:r>
      <w:r w:rsidR="00D77B4D" w:rsidRPr="006E4CF7">
        <w:rPr>
          <w:rFonts w:ascii="Times New Roman" w:hAnsi="Times New Roman" w:cs="Times New Roman"/>
          <w:sz w:val="24"/>
          <w:szCs w:val="24"/>
        </w:rPr>
        <w:t xml:space="preserve"> what UK teaching-track </w:t>
      </w:r>
      <w:r w:rsidR="00AB547A" w:rsidRPr="006E4CF7">
        <w:rPr>
          <w:rFonts w:ascii="Times New Roman" w:hAnsi="Times New Roman" w:cs="Times New Roman"/>
          <w:sz w:val="24"/>
          <w:szCs w:val="24"/>
        </w:rPr>
        <w:t>economists</w:t>
      </w:r>
      <w:r w:rsidR="00D77B4D" w:rsidRPr="006E4CF7">
        <w:rPr>
          <w:rFonts w:ascii="Times New Roman" w:hAnsi="Times New Roman" w:cs="Times New Roman"/>
          <w:sz w:val="24"/>
          <w:szCs w:val="24"/>
        </w:rPr>
        <w:t xml:space="preserve"> spend their time on and what they need to be doing for promotion’ (</w:t>
      </w:r>
      <w:r w:rsidR="00C96833" w:rsidRPr="006E4CF7">
        <w:rPr>
          <w:rFonts w:ascii="Times New Roman" w:hAnsi="Times New Roman" w:cs="Times New Roman"/>
          <w:sz w:val="24"/>
          <w:szCs w:val="24"/>
        </w:rPr>
        <w:t xml:space="preserve">Arico et al 2024 page 326 and </w:t>
      </w:r>
      <w:r w:rsidR="00B53452" w:rsidRPr="006E4CF7">
        <w:rPr>
          <w:rFonts w:ascii="Times New Roman" w:hAnsi="Times New Roman" w:cs="Times New Roman"/>
          <w:sz w:val="24"/>
          <w:szCs w:val="24"/>
        </w:rPr>
        <w:t xml:space="preserve">also </w:t>
      </w:r>
      <w:r w:rsidR="00DC05AE" w:rsidRPr="006E4CF7">
        <w:rPr>
          <w:rFonts w:ascii="Times New Roman" w:hAnsi="Times New Roman" w:cs="Times New Roman"/>
          <w:sz w:val="24"/>
          <w:szCs w:val="24"/>
        </w:rPr>
        <w:t>see Harland and Wald 2018</w:t>
      </w:r>
      <w:r w:rsidR="00AB547A" w:rsidRPr="006E4CF7">
        <w:rPr>
          <w:rFonts w:ascii="Times New Roman" w:hAnsi="Times New Roman" w:cs="Times New Roman"/>
          <w:sz w:val="24"/>
          <w:szCs w:val="24"/>
        </w:rPr>
        <w:t>)</w:t>
      </w:r>
      <w:r w:rsidR="00D77B4D" w:rsidRPr="006E4CF7">
        <w:rPr>
          <w:rFonts w:ascii="Times New Roman" w:hAnsi="Times New Roman" w:cs="Times New Roman"/>
          <w:sz w:val="24"/>
          <w:szCs w:val="24"/>
        </w:rPr>
        <w:t>.</w:t>
      </w:r>
    </w:p>
    <w:p w14:paraId="19BE5B44" w14:textId="52B1A9BF" w:rsidR="00816DCE" w:rsidRPr="006E4CF7" w:rsidRDefault="00650CA9" w:rsidP="005B7DD3">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Through the Scholarship of Learning and Teaching (</w:t>
      </w:r>
      <w:proofErr w:type="spellStart"/>
      <w:r w:rsidRPr="006E4CF7">
        <w:rPr>
          <w:rFonts w:ascii="Times New Roman" w:hAnsi="Times New Roman" w:cs="Times New Roman"/>
          <w:sz w:val="24"/>
          <w:szCs w:val="24"/>
        </w:rPr>
        <w:t>SoTL</w:t>
      </w:r>
      <w:proofErr w:type="spellEnd"/>
      <w:r w:rsidRPr="006E4CF7">
        <w:rPr>
          <w:rFonts w:ascii="Times New Roman" w:hAnsi="Times New Roman" w:cs="Times New Roman"/>
          <w:sz w:val="24"/>
          <w:szCs w:val="24"/>
        </w:rPr>
        <w:t xml:space="preserve">) literature, we can gain further insight into this issue. </w:t>
      </w:r>
      <w:r w:rsidR="005B7DD3" w:rsidRPr="006E4CF7">
        <w:rPr>
          <w:rFonts w:ascii="Times New Roman" w:hAnsi="Times New Roman" w:cs="Times New Roman"/>
          <w:sz w:val="24"/>
          <w:szCs w:val="24"/>
        </w:rPr>
        <w:t xml:space="preserve">This body of work outlines two central challenges: </w:t>
      </w:r>
      <w:r w:rsidR="00BE1CDD" w:rsidRPr="006E4CF7">
        <w:rPr>
          <w:rFonts w:ascii="Times New Roman" w:hAnsi="Times New Roman" w:cs="Times New Roman"/>
          <w:sz w:val="24"/>
          <w:szCs w:val="24"/>
        </w:rPr>
        <w:t>clear definition of</w:t>
      </w:r>
      <w:r w:rsidR="005B7DD3" w:rsidRPr="006E4CF7">
        <w:rPr>
          <w:rFonts w:ascii="Times New Roman" w:hAnsi="Times New Roman" w:cs="Times New Roman"/>
          <w:sz w:val="24"/>
          <w:szCs w:val="24"/>
        </w:rPr>
        <w:t xml:space="preserve"> </w:t>
      </w:r>
      <w:proofErr w:type="spellStart"/>
      <w:r w:rsidR="005B7DD3" w:rsidRPr="006E4CF7">
        <w:rPr>
          <w:rFonts w:ascii="Times New Roman" w:hAnsi="Times New Roman" w:cs="Times New Roman"/>
          <w:sz w:val="24"/>
          <w:szCs w:val="24"/>
        </w:rPr>
        <w:t>SoTL</w:t>
      </w:r>
      <w:proofErr w:type="spellEnd"/>
      <w:r w:rsidR="005B7DD3" w:rsidRPr="006E4CF7">
        <w:rPr>
          <w:rFonts w:ascii="Times New Roman" w:hAnsi="Times New Roman" w:cs="Times New Roman"/>
          <w:sz w:val="24"/>
          <w:szCs w:val="24"/>
        </w:rPr>
        <w:t xml:space="preserve"> remains elusive, and its application in supporting teaching-only pathways is inconsistently implemented across </w:t>
      </w:r>
      <w:r w:rsidR="00BE1CDD" w:rsidRPr="006E4CF7">
        <w:rPr>
          <w:rFonts w:ascii="Times New Roman" w:hAnsi="Times New Roman" w:cs="Times New Roman"/>
          <w:sz w:val="24"/>
          <w:szCs w:val="24"/>
        </w:rPr>
        <w:t>HE</w:t>
      </w:r>
      <w:r w:rsidR="005B7DD3" w:rsidRPr="006E4CF7">
        <w:rPr>
          <w:rFonts w:ascii="Times New Roman" w:hAnsi="Times New Roman" w:cs="Times New Roman"/>
          <w:sz w:val="24"/>
          <w:szCs w:val="24"/>
        </w:rPr>
        <w:t xml:space="preserve">. Scholars such as Vardia and Quin (2011) Smith and Walker (2022) </w:t>
      </w:r>
      <w:r w:rsidR="00AB547A" w:rsidRPr="006E4CF7">
        <w:rPr>
          <w:rFonts w:ascii="Times New Roman" w:hAnsi="Times New Roman" w:cs="Times New Roman"/>
          <w:sz w:val="24"/>
          <w:szCs w:val="24"/>
        </w:rPr>
        <w:t xml:space="preserve">and Arico et al (2024) all </w:t>
      </w:r>
      <w:r w:rsidR="005B7DD3" w:rsidRPr="006E4CF7">
        <w:rPr>
          <w:rFonts w:ascii="Times New Roman" w:hAnsi="Times New Roman" w:cs="Times New Roman"/>
          <w:sz w:val="24"/>
          <w:szCs w:val="24"/>
        </w:rPr>
        <w:t xml:space="preserve">highlight the confusion over what constitutes </w:t>
      </w:r>
      <w:proofErr w:type="spellStart"/>
      <w:r w:rsidR="005B7DD3" w:rsidRPr="006E4CF7">
        <w:rPr>
          <w:rFonts w:ascii="Times New Roman" w:hAnsi="Times New Roman" w:cs="Times New Roman"/>
          <w:sz w:val="24"/>
          <w:szCs w:val="24"/>
        </w:rPr>
        <w:t>SoTL</w:t>
      </w:r>
      <w:proofErr w:type="spellEnd"/>
      <w:r w:rsidR="005B7DD3" w:rsidRPr="006E4CF7">
        <w:rPr>
          <w:rFonts w:ascii="Times New Roman" w:hAnsi="Times New Roman" w:cs="Times New Roman"/>
          <w:sz w:val="24"/>
          <w:szCs w:val="24"/>
        </w:rPr>
        <w:t xml:space="preserve">, leading to varied criteria for career pathways in countries like the UK and Australia. Vardia and Quin </w:t>
      </w:r>
      <w:r w:rsidR="006F584C" w:rsidRPr="006E4CF7">
        <w:rPr>
          <w:rFonts w:ascii="Times New Roman" w:hAnsi="Times New Roman" w:cs="Times New Roman"/>
          <w:sz w:val="24"/>
          <w:szCs w:val="24"/>
        </w:rPr>
        <w:t xml:space="preserve">(2011) </w:t>
      </w:r>
      <w:r w:rsidR="005B7DD3" w:rsidRPr="006E4CF7">
        <w:rPr>
          <w:rFonts w:ascii="Times New Roman" w:hAnsi="Times New Roman" w:cs="Times New Roman"/>
          <w:sz w:val="24"/>
          <w:szCs w:val="24"/>
        </w:rPr>
        <w:t xml:space="preserve">observe a departure from traditional scholarship definitions, while Smith and </w:t>
      </w:r>
      <w:r w:rsidR="005B7DD3" w:rsidRPr="006E4CF7">
        <w:rPr>
          <w:rFonts w:ascii="Times New Roman" w:hAnsi="Times New Roman" w:cs="Times New Roman"/>
          <w:sz w:val="24"/>
          <w:szCs w:val="24"/>
        </w:rPr>
        <w:lastRenderedPageBreak/>
        <w:t>Walker critique the inconsistencies in these definitions across different academic levels and question the feasibility of fulfilling scholarly activities under teaching-only contracts.</w:t>
      </w:r>
    </w:p>
    <w:p w14:paraId="7F4B64AD" w14:textId="4378D747" w:rsidR="005B7DD3" w:rsidRPr="006E4CF7" w:rsidRDefault="005B7DD3" w:rsidP="005B7DD3">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The debate extends with Bennett et al. (2018), Chalmers (2011), and Canning and Masika (2020) also reporting on the low esteem and uncertainty surrounding teaching-only positions. Calls for a clearer definition of ‘</w:t>
      </w:r>
      <w:r w:rsidRPr="006E4CF7">
        <w:rPr>
          <w:rFonts w:ascii="Times New Roman" w:hAnsi="Times New Roman" w:cs="Times New Roman"/>
          <w:i/>
          <w:iCs/>
          <w:sz w:val="24"/>
          <w:szCs w:val="24"/>
        </w:rPr>
        <w:t>scholarship</w:t>
      </w:r>
      <w:r w:rsidRPr="006E4CF7">
        <w:rPr>
          <w:rFonts w:ascii="Times New Roman" w:hAnsi="Times New Roman" w:cs="Times New Roman"/>
          <w:sz w:val="24"/>
          <w:szCs w:val="24"/>
        </w:rPr>
        <w:t xml:space="preserve">’ emerge, yet the proliferation of diverse proposals only seems to deepen the uncertainty. Cranton (2011) advocates for an expansion of </w:t>
      </w:r>
      <w:proofErr w:type="spellStart"/>
      <w:r w:rsidRPr="006E4CF7">
        <w:rPr>
          <w:rFonts w:ascii="Times New Roman" w:hAnsi="Times New Roman" w:cs="Times New Roman"/>
          <w:sz w:val="24"/>
          <w:szCs w:val="24"/>
        </w:rPr>
        <w:t>SoTL</w:t>
      </w:r>
      <w:proofErr w:type="spellEnd"/>
      <w:r w:rsidRPr="006E4CF7">
        <w:rPr>
          <w:rFonts w:ascii="Times New Roman" w:hAnsi="Times New Roman" w:cs="Times New Roman"/>
          <w:sz w:val="24"/>
          <w:szCs w:val="24"/>
        </w:rPr>
        <w:t xml:space="preserve"> to encompass critical reflections on teaching norms and values, contrasting with Canning and Masika</w:t>
      </w:r>
      <w:r w:rsidR="00650CA9" w:rsidRPr="006E4CF7">
        <w:rPr>
          <w:rFonts w:ascii="Times New Roman" w:hAnsi="Times New Roman" w:cs="Times New Roman"/>
          <w:sz w:val="24"/>
          <w:szCs w:val="24"/>
        </w:rPr>
        <w:t>’</w:t>
      </w:r>
      <w:r w:rsidRPr="006E4CF7">
        <w:rPr>
          <w:rFonts w:ascii="Times New Roman" w:hAnsi="Times New Roman" w:cs="Times New Roman"/>
          <w:sz w:val="24"/>
          <w:szCs w:val="24"/>
        </w:rPr>
        <w:t xml:space="preserve">s (2020) view that </w:t>
      </w:r>
      <w:proofErr w:type="spellStart"/>
      <w:r w:rsidRPr="006E4CF7">
        <w:rPr>
          <w:rFonts w:ascii="Times New Roman" w:hAnsi="Times New Roman" w:cs="Times New Roman"/>
          <w:sz w:val="24"/>
          <w:szCs w:val="24"/>
        </w:rPr>
        <w:t>SoTL</w:t>
      </w:r>
      <w:proofErr w:type="spellEnd"/>
      <w:r w:rsidRPr="006E4CF7">
        <w:rPr>
          <w:rFonts w:ascii="Times New Roman" w:hAnsi="Times New Roman" w:cs="Times New Roman"/>
          <w:sz w:val="24"/>
          <w:szCs w:val="24"/>
        </w:rPr>
        <w:t xml:space="preserve"> is already overly broad, suggesting that further clarification might not be straightforward.</w:t>
      </w:r>
      <w:r w:rsidR="00184F04" w:rsidRPr="006E4CF7">
        <w:rPr>
          <w:rFonts w:ascii="Times New Roman" w:hAnsi="Times New Roman" w:cs="Times New Roman"/>
          <w:sz w:val="24"/>
          <w:szCs w:val="24"/>
        </w:rPr>
        <w:t xml:space="preserve"> </w:t>
      </w:r>
      <w:r w:rsidR="00FA30D2" w:rsidRPr="006E4CF7">
        <w:rPr>
          <w:rFonts w:ascii="Times New Roman" w:hAnsi="Times New Roman" w:cs="Times New Roman"/>
          <w:sz w:val="24"/>
          <w:szCs w:val="24"/>
        </w:rPr>
        <w:t>Moreover, a</w:t>
      </w:r>
      <w:r w:rsidR="00184F04" w:rsidRPr="006E4CF7">
        <w:rPr>
          <w:rFonts w:ascii="Times New Roman" w:hAnsi="Times New Roman" w:cs="Times New Roman"/>
          <w:sz w:val="24"/>
          <w:szCs w:val="24"/>
        </w:rPr>
        <w:t>n interesting review of the scholarship of teaching and learning by Tight (2018) concludes</w:t>
      </w:r>
      <w:r w:rsidR="00067850" w:rsidRPr="006E4CF7">
        <w:rPr>
          <w:rFonts w:ascii="Times New Roman" w:hAnsi="Times New Roman" w:cs="Times New Roman"/>
          <w:sz w:val="24"/>
          <w:szCs w:val="24"/>
        </w:rPr>
        <w:t>:</w:t>
      </w:r>
      <w:r w:rsidR="00184F04" w:rsidRPr="006E4CF7">
        <w:rPr>
          <w:rFonts w:ascii="Times New Roman" w:hAnsi="Times New Roman" w:cs="Times New Roman"/>
          <w:sz w:val="24"/>
          <w:szCs w:val="24"/>
        </w:rPr>
        <w:t xml:space="preserve"> ‘in 30, 40 or 50 years’ time, the scholarship of teaching and research will be little more than a historical footnote, scarcely remembered by anyone’ (Tight 2018, page 73).</w:t>
      </w:r>
    </w:p>
    <w:p w14:paraId="70F72010" w14:textId="3AFBA768" w:rsidR="005B7DD3" w:rsidRPr="006E4CF7" w:rsidRDefault="005B7DD3" w:rsidP="005B7DD3">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The practical consequences of esteem uncertainty in the academic sector are significant, affecting the career trajectories and visibility of individuals in teaching-only positions. Ambler et al. (2023) and McIntosh et al. (2019) delve into the limited advancement opportunities for staff in these roles, noting the stark statistic that less than 1% of </w:t>
      </w:r>
      <w:r w:rsidR="00650CA9" w:rsidRPr="006E4CF7">
        <w:rPr>
          <w:rFonts w:ascii="Times New Roman" w:hAnsi="Times New Roman" w:cs="Times New Roman"/>
          <w:sz w:val="24"/>
          <w:szCs w:val="24"/>
        </w:rPr>
        <w:t>P</w:t>
      </w:r>
      <w:r w:rsidRPr="006E4CF7">
        <w:rPr>
          <w:rFonts w:ascii="Times New Roman" w:hAnsi="Times New Roman" w:cs="Times New Roman"/>
          <w:sz w:val="24"/>
          <w:szCs w:val="24"/>
        </w:rPr>
        <w:t xml:space="preserve">rofessors occupy teaching-only positions. This issue is compounded by the </w:t>
      </w:r>
      <w:r w:rsidR="00BE1CDD" w:rsidRPr="006E4CF7">
        <w:rPr>
          <w:rFonts w:ascii="Times New Roman" w:hAnsi="Times New Roman" w:cs="Times New Roman"/>
          <w:sz w:val="24"/>
          <w:szCs w:val="24"/>
        </w:rPr>
        <w:t>‘</w:t>
      </w:r>
      <w:r w:rsidRPr="006E4CF7">
        <w:rPr>
          <w:rFonts w:ascii="Times New Roman" w:hAnsi="Times New Roman" w:cs="Times New Roman"/>
          <w:i/>
          <w:iCs/>
          <w:sz w:val="24"/>
          <w:szCs w:val="24"/>
        </w:rPr>
        <w:t>invisibility</w:t>
      </w:r>
      <w:r w:rsidR="00BE1CDD" w:rsidRPr="006E4CF7">
        <w:rPr>
          <w:rFonts w:ascii="Times New Roman" w:hAnsi="Times New Roman" w:cs="Times New Roman"/>
          <w:sz w:val="24"/>
          <w:szCs w:val="24"/>
        </w:rPr>
        <w:t>’</w:t>
      </w:r>
      <w:r w:rsidRPr="006E4CF7">
        <w:rPr>
          <w:rFonts w:ascii="Times New Roman" w:hAnsi="Times New Roman" w:cs="Times New Roman"/>
          <w:sz w:val="24"/>
          <w:szCs w:val="24"/>
        </w:rPr>
        <w:t xml:space="preserve"> of teaching-focused staff, who, overshadowed by their research-focused counterparts, often carry a disproportionate burden of teaching and administrative responsibilities. The sector’s reliance on Student Evaluations of Teaching (SETs) as a primary measure of teaching quality—despite criticisms that SETs are flawed, potentially discriminatory, and could incentivi</w:t>
      </w:r>
      <w:r w:rsidR="00BE1CDD" w:rsidRPr="006E4CF7">
        <w:rPr>
          <w:rFonts w:ascii="Times New Roman" w:hAnsi="Times New Roman" w:cs="Times New Roman"/>
          <w:sz w:val="24"/>
          <w:szCs w:val="24"/>
        </w:rPr>
        <w:t>s</w:t>
      </w:r>
      <w:r w:rsidRPr="006E4CF7">
        <w:rPr>
          <w:rFonts w:ascii="Times New Roman" w:hAnsi="Times New Roman" w:cs="Times New Roman"/>
          <w:sz w:val="24"/>
          <w:szCs w:val="24"/>
        </w:rPr>
        <w:t>e poor practice (Linse, 2017; Gourley and Madonia, 2021; Stroebe, 2020; Heffernan, 2022; Cook et al., 20</w:t>
      </w:r>
      <w:r w:rsidR="00BE1CDD" w:rsidRPr="006E4CF7">
        <w:rPr>
          <w:rFonts w:ascii="Times New Roman" w:hAnsi="Times New Roman" w:cs="Times New Roman"/>
          <w:sz w:val="24"/>
          <w:szCs w:val="24"/>
        </w:rPr>
        <w:t>24</w:t>
      </w:r>
      <w:r w:rsidRPr="006E4CF7">
        <w:rPr>
          <w:rFonts w:ascii="Times New Roman" w:hAnsi="Times New Roman" w:cs="Times New Roman"/>
          <w:sz w:val="24"/>
          <w:szCs w:val="24"/>
        </w:rPr>
        <w:t>)—adds another layer of complexity. This reliance contributes to an uncertain evaluation framework, potentially justifying Canning and Masika</w:t>
      </w:r>
      <w:r w:rsidR="00BE1CDD" w:rsidRPr="006E4CF7">
        <w:rPr>
          <w:rFonts w:ascii="Times New Roman" w:hAnsi="Times New Roman" w:cs="Times New Roman"/>
          <w:sz w:val="24"/>
          <w:szCs w:val="24"/>
        </w:rPr>
        <w:t>’</w:t>
      </w:r>
      <w:r w:rsidRPr="006E4CF7">
        <w:rPr>
          <w:rFonts w:ascii="Times New Roman" w:hAnsi="Times New Roman" w:cs="Times New Roman"/>
          <w:sz w:val="24"/>
          <w:szCs w:val="24"/>
        </w:rPr>
        <w:t xml:space="preserve">s (2020) controversial suggestion to abandon </w:t>
      </w:r>
      <w:proofErr w:type="spellStart"/>
      <w:r w:rsidRPr="006E4CF7">
        <w:rPr>
          <w:rFonts w:ascii="Times New Roman" w:hAnsi="Times New Roman" w:cs="Times New Roman"/>
          <w:sz w:val="24"/>
          <w:szCs w:val="24"/>
        </w:rPr>
        <w:t>SoTL</w:t>
      </w:r>
      <w:proofErr w:type="spellEnd"/>
      <w:r w:rsidRPr="006E4CF7">
        <w:rPr>
          <w:rFonts w:ascii="Times New Roman" w:hAnsi="Times New Roman" w:cs="Times New Roman"/>
          <w:sz w:val="24"/>
          <w:szCs w:val="24"/>
        </w:rPr>
        <w:t xml:space="preserve"> altogether. The broader implications highlight the challenges teaching-focused academics face in achieving recognition and advancement, underscoring the need for systemic changes to address the valuation and recognition of teaching within the </w:t>
      </w:r>
      <w:r w:rsidR="00650CA9" w:rsidRPr="006E4CF7">
        <w:rPr>
          <w:rFonts w:ascii="Times New Roman" w:hAnsi="Times New Roman" w:cs="Times New Roman"/>
          <w:sz w:val="24"/>
          <w:szCs w:val="24"/>
        </w:rPr>
        <w:t>HE</w:t>
      </w:r>
      <w:r w:rsidRPr="006E4CF7">
        <w:rPr>
          <w:rFonts w:ascii="Times New Roman" w:hAnsi="Times New Roman" w:cs="Times New Roman"/>
          <w:sz w:val="24"/>
          <w:szCs w:val="24"/>
        </w:rPr>
        <w:t xml:space="preserve"> landscape.</w:t>
      </w:r>
    </w:p>
    <w:p w14:paraId="7A4E8DA4" w14:textId="601E101C" w:rsidR="006F584C" w:rsidRPr="006E4CF7" w:rsidRDefault="00581906" w:rsidP="006F584C">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To assess the impact of esteem uncertainty on the student experience in the context of teaching-only contracts, this paper is organi</w:t>
      </w:r>
      <w:r w:rsidR="005B7DD3" w:rsidRPr="006E4CF7">
        <w:rPr>
          <w:rFonts w:ascii="Times New Roman" w:hAnsi="Times New Roman" w:cs="Times New Roman"/>
          <w:sz w:val="24"/>
          <w:szCs w:val="24"/>
        </w:rPr>
        <w:t>s</w:t>
      </w:r>
      <w:r w:rsidRPr="006E4CF7">
        <w:rPr>
          <w:rFonts w:ascii="Times New Roman" w:hAnsi="Times New Roman" w:cs="Times New Roman"/>
          <w:sz w:val="24"/>
          <w:szCs w:val="24"/>
        </w:rPr>
        <w:t>ed as follows</w:t>
      </w:r>
      <w:r w:rsidR="00BE1CDD"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00160237" w:rsidRPr="006E4CF7">
        <w:rPr>
          <w:rFonts w:ascii="Times New Roman" w:hAnsi="Times New Roman" w:cs="Times New Roman"/>
          <w:sz w:val="24"/>
          <w:szCs w:val="24"/>
        </w:rPr>
        <w:t xml:space="preserve">Section 2 presents a theoretical framework that critically evaluates the widespread belief that teaching-only contracts, through the application of an economic division of labour in higher education, will automatically result in improved outcomes. </w:t>
      </w:r>
      <w:r w:rsidRPr="006E4CF7">
        <w:rPr>
          <w:rFonts w:ascii="Times New Roman" w:hAnsi="Times New Roman" w:cs="Times New Roman"/>
          <w:sz w:val="24"/>
          <w:szCs w:val="24"/>
        </w:rPr>
        <w:t xml:space="preserve">This theoretical discussion sets the stage for the empirical </w:t>
      </w:r>
      <w:r w:rsidR="00EA1F29" w:rsidRPr="006E4CF7">
        <w:rPr>
          <w:rFonts w:ascii="Times New Roman" w:hAnsi="Times New Roman" w:cs="Times New Roman"/>
          <w:sz w:val="24"/>
          <w:szCs w:val="24"/>
        </w:rPr>
        <w:t>methodology</w:t>
      </w:r>
      <w:r w:rsidRPr="006E4CF7">
        <w:rPr>
          <w:rFonts w:ascii="Times New Roman" w:hAnsi="Times New Roman" w:cs="Times New Roman"/>
          <w:sz w:val="24"/>
          <w:szCs w:val="24"/>
        </w:rPr>
        <w:t xml:space="preserve"> </w:t>
      </w:r>
      <w:r w:rsidR="00BE1CDD" w:rsidRPr="006E4CF7">
        <w:rPr>
          <w:rFonts w:ascii="Times New Roman" w:hAnsi="Times New Roman" w:cs="Times New Roman"/>
          <w:sz w:val="24"/>
          <w:szCs w:val="24"/>
        </w:rPr>
        <w:lastRenderedPageBreak/>
        <w:t xml:space="preserve">then </w:t>
      </w:r>
      <w:r w:rsidR="00160237" w:rsidRPr="006E4CF7">
        <w:rPr>
          <w:rFonts w:ascii="Times New Roman" w:hAnsi="Times New Roman" w:cs="Times New Roman"/>
          <w:sz w:val="24"/>
          <w:szCs w:val="24"/>
        </w:rPr>
        <w:t>introduced</w:t>
      </w:r>
      <w:r w:rsidRPr="006E4CF7">
        <w:rPr>
          <w:rFonts w:ascii="Times New Roman" w:hAnsi="Times New Roman" w:cs="Times New Roman"/>
          <w:sz w:val="24"/>
          <w:szCs w:val="24"/>
        </w:rPr>
        <w:t xml:space="preserve"> in Section 3. In this section, we utili</w:t>
      </w:r>
      <w:r w:rsidR="00247BC3" w:rsidRPr="006E4CF7">
        <w:rPr>
          <w:rFonts w:ascii="Times New Roman" w:hAnsi="Times New Roman" w:cs="Times New Roman"/>
          <w:sz w:val="24"/>
          <w:szCs w:val="24"/>
        </w:rPr>
        <w:t>s</w:t>
      </w:r>
      <w:r w:rsidRPr="006E4CF7">
        <w:rPr>
          <w:rFonts w:ascii="Times New Roman" w:hAnsi="Times New Roman" w:cs="Times New Roman"/>
          <w:sz w:val="24"/>
          <w:szCs w:val="24"/>
        </w:rPr>
        <w:t xml:space="preserve">e data from the National </w:t>
      </w:r>
      <w:r w:rsidR="005B7DD3" w:rsidRPr="006E4CF7">
        <w:rPr>
          <w:rFonts w:ascii="Times New Roman" w:hAnsi="Times New Roman" w:cs="Times New Roman"/>
          <w:sz w:val="24"/>
          <w:szCs w:val="24"/>
        </w:rPr>
        <w:t>Student Survey</w:t>
      </w:r>
      <w:r w:rsidRPr="006E4CF7">
        <w:rPr>
          <w:rFonts w:ascii="Times New Roman" w:hAnsi="Times New Roman" w:cs="Times New Roman"/>
          <w:sz w:val="24"/>
          <w:szCs w:val="24"/>
        </w:rPr>
        <w:t xml:space="preserve"> (NSS) to construct a fuzzy index measure of student dissatisfaction </w:t>
      </w:r>
      <w:r w:rsidR="00160237" w:rsidRPr="006E4CF7">
        <w:rPr>
          <w:rFonts w:ascii="Times New Roman" w:hAnsi="Times New Roman" w:cs="Times New Roman"/>
          <w:sz w:val="24"/>
          <w:szCs w:val="24"/>
        </w:rPr>
        <w:t>for UK HE institutions</w:t>
      </w:r>
      <w:r w:rsidRPr="006E4CF7">
        <w:rPr>
          <w:rFonts w:ascii="Times New Roman" w:hAnsi="Times New Roman" w:cs="Times New Roman"/>
          <w:sz w:val="24"/>
          <w:szCs w:val="24"/>
        </w:rPr>
        <w:t xml:space="preserve">. Based on this </w:t>
      </w:r>
      <w:r w:rsidR="00EA1F29" w:rsidRPr="006E4CF7">
        <w:rPr>
          <w:rFonts w:ascii="Times New Roman" w:hAnsi="Times New Roman" w:cs="Times New Roman"/>
          <w:sz w:val="24"/>
          <w:szCs w:val="24"/>
        </w:rPr>
        <w:t xml:space="preserve">approach, our </w:t>
      </w:r>
      <w:r w:rsidR="00BE1CDD" w:rsidRPr="006E4CF7">
        <w:rPr>
          <w:rFonts w:ascii="Times New Roman" w:hAnsi="Times New Roman" w:cs="Times New Roman"/>
          <w:sz w:val="24"/>
          <w:szCs w:val="24"/>
        </w:rPr>
        <w:t xml:space="preserve">regression </w:t>
      </w:r>
      <w:r w:rsidR="00EA1F29" w:rsidRPr="006E4CF7">
        <w:rPr>
          <w:rFonts w:ascii="Times New Roman" w:hAnsi="Times New Roman" w:cs="Times New Roman"/>
          <w:sz w:val="24"/>
          <w:szCs w:val="24"/>
        </w:rPr>
        <w:t>results</w:t>
      </w:r>
      <w:r w:rsidR="00BE1CDD" w:rsidRPr="006E4CF7">
        <w:rPr>
          <w:rFonts w:ascii="Times New Roman" w:hAnsi="Times New Roman" w:cs="Times New Roman"/>
          <w:sz w:val="24"/>
          <w:szCs w:val="24"/>
        </w:rPr>
        <w:t xml:space="preserve"> and hypothesis tests</w:t>
      </w:r>
      <w:r w:rsidR="00EA1F29" w:rsidRPr="006E4CF7">
        <w:rPr>
          <w:rFonts w:ascii="Times New Roman" w:hAnsi="Times New Roman" w:cs="Times New Roman"/>
          <w:sz w:val="24"/>
          <w:szCs w:val="24"/>
        </w:rPr>
        <w:t xml:space="preserve"> are </w:t>
      </w:r>
      <w:r w:rsidR="00160237" w:rsidRPr="006E4CF7">
        <w:rPr>
          <w:rFonts w:ascii="Times New Roman" w:hAnsi="Times New Roman" w:cs="Times New Roman"/>
          <w:sz w:val="24"/>
          <w:szCs w:val="24"/>
        </w:rPr>
        <w:t xml:space="preserve">then </w:t>
      </w:r>
      <w:r w:rsidR="00EA1F29" w:rsidRPr="006E4CF7">
        <w:rPr>
          <w:rFonts w:ascii="Times New Roman" w:hAnsi="Times New Roman" w:cs="Times New Roman"/>
          <w:sz w:val="24"/>
          <w:szCs w:val="24"/>
        </w:rPr>
        <w:t>presented in Section 4.</w:t>
      </w:r>
      <w:r w:rsidRPr="006E4CF7">
        <w:rPr>
          <w:rFonts w:ascii="Times New Roman" w:hAnsi="Times New Roman" w:cs="Times New Roman"/>
          <w:sz w:val="24"/>
          <w:szCs w:val="24"/>
        </w:rPr>
        <w:t xml:space="preserve"> </w:t>
      </w:r>
      <w:r w:rsidR="006F584C" w:rsidRPr="006E4CF7">
        <w:rPr>
          <w:rFonts w:ascii="Times New Roman" w:hAnsi="Times New Roman" w:cs="Times New Roman"/>
          <w:sz w:val="24"/>
          <w:szCs w:val="24"/>
        </w:rPr>
        <w:t>Section 5 wraps up with strategic recommendations for better employing teaching-only contracts to enhance educational outcomes.</w:t>
      </w:r>
    </w:p>
    <w:p w14:paraId="2B6088B7" w14:textId="68772C72" w:rsidR="00C22DD2" w:rsidRPr="006E4CF7" w:rsidRDefault="00C22DD2" w:rsidP="008F2AF6">
      <w:pPr>
        <w:spacing w:after="240" w:line="360" w:lineRule="auto"/>
        <w:jc w:val="both"/>
        <w:rPr>
          <w:rFonts w:ascii="Times New Roman" w:hAnsi="Times New Roman" w:cs="Times New Roman"/>
          <w:b/>
          <w:bCs/>
          <w:sz w:val="24"/>
          <w:szCs w:val="24"/>
        </w:rPr>
      </w:pPr>
      <w:r w:rsidRPr="006E4CF7">
        <w:rPr>
          <w:rFonts w:ascii="Times New Roman" w:hAnsi="Times New Roman" w:cs="Times New Roman"/>
          <w:b/>
          <w:bCs/>
          <w:sz w:val="24"/>
          <w:szCs w:val="24"/>
        </w:rPr>
        <w:t xml:space="preserve">2. </w:t>
      </w:r>
      <w:r w:rsidR="00247BC3" w:rsidRPr="006E4CF7">
        <w:rPr>
          <w:rFonts w:ascii="Times New Roman" w:hAnsi="Times New Roman" w:cs="Times New Roman"/>
          <w:b/>
          <w:bCs/>
          <w:sz w:val="24"/>
          <w:szCs w:val="24"/>
        </w:rPr>
        <w:t>Theoretical Insights</w:t>
      </w:r>
    </w:p>
    <w:p w14:paraId="2764F4A8" w14:textId="1D5E74CD" w:rsidR="0016170E" w:rsidRPr="006E4CF7" w:rsidRDefault="004039A4" w:rsidP="0016170E">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To explore the effect of esteem uncertainty on teaching-only contracts for student experience enhancement, we draw from the concept of asset specificity, as outlined in Williamson’s ‘</w:t>
      </w:r>
      <w:r w:rsidRPr="006E4CF7">
        <w:rPr>
          <w:rFonts w:ascii="Times New Roman" w:hAnsi="Times New Roman" w:cs="Times New Roman"/>
          <w:i/>
          <w:iCs/>
          <w:sz w:val="24"/>
          <w:szCs w:val="24"/>
        </w:rPr>
        <w:t>theory of the firm</w:t>
      </w:r>
      <w:r w:rsidRPr="006E4CF7">
        <w:rPr>
          <w:rFonts w:ascii="Times New Roman" w:hAnsi="Times New Roman" w:cs="Times New Roman"/>
          <w:sz w:val="24"/>
          <w:szCs w:val="24"/>
        </w:rPr>
        <w:t xml:space="preserve">’ (Williamson, 1981; Riordan and Williamson, 1985). </w:t>
      </w:r>
      <w:r w:rsidR="006F584C" w:rsidRPr="006E4CF7">
        <w:rPr>
          <w:rFonts w:ascii="Times New Roman" w:hAnsi="Times New Roman" w:cs="Times New Roman"/>
          <w:sz w:val="24"/>
          <w:szCs w:val="24"/>
        </w:rPr>
        <w:t>This theory suggests that highly valuable and irreplaceable assets, due to their unique characteristics and the challenges in acquiring similar assets from the market, should be tightly incorporated into organ</w:t>
      </w:r>
      <w:r w:rsidR="006B6D27" w:rsidRPr="006E4CF7">
        <w:rPr>
          <w:rFonts w:ascii="Times New Roman" w:hAnsi="Times New Roman" w:cs="Times New Roman"/>
          <w:sz w:val="24"/>
          <w:szCs w:val="24"/>
        </w:rPr>
        <w:t>is</w:t>
      </w:r>
      <w:r w:rsidR="006F584C" w:rsidRPr="006E4CF7">
        <w:rPr>
          <w:rFonts w:ascii="Times New Roman" w:hAnsi="Times New Roman" w:cs="Times New Roman"/>
          <w:sz w:val="24"/>
          <w:szCs w:val="24"/>
        </w:rPr>
        <w:t>ations.</w:t>
      </w:r>
      <w:r w:rsidR="0016170E" w:rsidRPr="006E4CF7">
        <w:t xml:space="preserve"> </w:t>
      </w:r>
      <w:r w:rsidR="0016170E" w:rsidRPr="006E4CF7">
        <w:rPr>
          <w:rFonts w:ascii="Times New Roman" w:hAnsi="Times New Roman" w:cs="Times New Roman"/>
          <w:sz w:val="24"/>
          <w:szCs w:val="24"/>
        </w:rPr>
        <w:t>Riordan and Williamson theorise on whether it is more economical for a firm to make those assets required for trade or buy them in the marketplace.  The more specialised the asset is, the higher the assets ‘specificity’ and therefore the more expensive and difficult to find in the marketplace; and, as a result, they argue it becomes more economical to bring the production of the asset inside the firm:</w:t>
      </w:r>
    </w:p>
    <w:p w14:paraId="7FDC3E92" w14:textId="670A9E0E" w:rsidR="003D300E" w:rsidRPr="006E4CF7" w:rsidRDefault="0016170E" w:rsidP="0016170E">
      <w:pPr>
        <w:spacing w:after="240" w:line="360" w:lineRule="auto"/>
        <w:ind w:left="709"/>
        <w:jc w:val="both"/>
        <w:rPr>
          <w:rFonts w:ascii="Times New Roman" w:hAnsi="Times New Roman" w:cs="Times New Roman"/>
          <w:i/>
          <w:iCs/>
          <w:sz w:val="24"/>
          <w:szCs w:val="24"/>
        </w:rPr>
      </w:pPr>
      <w:r w:rsidRPr="006E4CF7">
        <w:rPr>
          <w:rFonts w:ascii="Times New Roman" w:hAnsi="Times New Roman" w:cs="Times New Roman"/>
          <w:i/>
          <w:iCs/>
          <w:sz w:val="24"/>
          <w:szCs w:val="24"/>
        </w:rPr>
        <w:t>‘Accordingly, whereas internal organisation is at a transaction cost disadvantage to the market where asset specificity is slight, this disadvantage decreases and is eventually reversed as the condition of asset specificity deepens’ (Riordan and Williamson 1985, p.368).</w:t>
      </w:r>
    </w:p>
    <w:p w14:paraId="142C8F84" w14:textId="10A3C502" w:rsidR="00E4686A" w:rsidRPr="006E4CF7" w:rsidRDefault="002F7FEB" w:rsidP="008E07BE">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The body of literature on asset specificity has primarily been shaped by three theories: transaction cost economics (TCE), the resource-based view (RBV), and relational exchange theory (RET) (</w:t>
      </w:r>
      <w:r w:rsidR="0045595C" w:rsidRPr="006E4CF7">
        <w:rPr>
          <w:rFonts w:ascii="Times New Roman" w:hAnsi="Times New Roman" w:cs="Times New Roman"/>
          <w:sz w:val="24"/>
          <w:szCs w:val="24"/>
        </w:rPr>
        <w:t xml:space="preserve">see </w:t>
      </w:r>
      <w:r w:rsidRPr="006E4CF7">
        <w:rPr>
          <w:rFonts w:ascii="Times New Roman" w:hAnsi="Times New Roman" w:cs="Times New Roman"/>
          <w:sz w:val="24"/>
          <w:szCs w:val="24"/>
        </w:rPr>
        <w:t>De Vita et al., 2011). These theories emphasis</w:t>
      </w:r>
      <w:r w:rsidR="0045595C" w:rsidRPr="006E4CF7">
        <w:rPr>
          <w:rFonts w:ascii="Times New Roman" w:hAnsi="Times New Roman" w:cs="Times New Roman"/>
          <w:sz w:val="24"/>
          <w:szCs w:val="24"/>
        </w:rPr>
        <w:t>e</w:t>
      </w:r>
      <w:r w:rsidRPr="006E4CF7">
        <w:rPr>
          <w:rFonts w:ascii="Times New Roman" w:hAnsi="Times New Roman" w:cs="Times New Roman"/>
          <w:sz w:val="24"/>
          <w:szCs w:val="24"/>
        </w:rPr>
        <w:t xml:space="preserve"> the value of internal resources</w:t>
      </w:r>
      <w:r w:rsidR="00316537"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00316537" w:rsidRPr="006E4CF7">
        <w:rPr>
          <w:rFonts w:ascii="Times New Roman" w:hAnsi="Times New Roman" w:cs="Times New Roman"/>
          <w:sz w:val="24"/>
          <w:szCs w:val="24"/>
        </w:rPr>
        <w:t xml:space="preserve">with knowledge flows limited, and asset specificity unexplored </w:t>
      </w:r>
      <w:r w:rsidRPr="006E4CF7">
        <w:rPr>
          <w:rFonts w:ascii="Times New Roman" w:hAnsi="Times New Roman" w:cs="Times New Roman"/>
          <w:sz w:val="24"/>
          <w:szCs w:val="24"/>
        </w:rPr>
        <w:t>(</w:t>
      </w:r>
      <w:r w:rsidR="00920C2F" w:rsidRPr="006E4CF7">
        <w:rPr>
          <w:rFonts w:ascii="Times New Roman" w:hAnsi="Times New Roman" w:cs="Times New Roman"/>
          <w:sz w:val="24"/>
          <w:szCs w:val="24"/>
        </w:rPr>
        <w:t xml:space="preserve">see </w:t>
      </w:r>
      <w:proofErr w:type="spellStart"/>
      <w:r w:rsidRPr="006E4CF7">
        <w:rPr>
          <w:rFonts w:ascii="Times New Roman" w:hAnsi="Times New Roman" w:cs="Times New Roman"/>
          <w:sz w:val="24"/>
          <w:szCs w:val="24"/>
        </w:rPr>
        <w:t>Lichtenthaler</w:t>
      </w:r>
      <w:proofErr w:type="spellEnd"/>
      <w:r w:rsidRPr="006E4CF7">
        <w:rPr>
          <w:rFonts w:ascii="Times New Roman" w:hAnsi="Times New Roman" w:cs="Times New Roman"/>
          <w:sz w:val="24"/>
          <w:szCs w:val="24"/>
        </w:rPr>
        <w:t xml:space="preserve"> and </w:t>
      </w:r>
      <w:proofErr w:type="spellStart"/>
      <w:r w:rsidRPr="006E4CF7">
        <w:rPr>
          <w:rFonts w:ascii="Times New Roman" w:hAnsi="Times New Roman" w:cs="Times New Roman"/>
          <w:sz w:val="24"/>
          <w:szCs w:val="24"/>
        </w:rPr>
        <w:t>Lichtenthaler</w:t>
      </w:r>
      <w:proofErr w:type="spellEnd"/>
      <w:r w:rsidRPr="006E4CF7">
        <w:rPr>
          <w:rFonts w:ascii="Times New Roman" w:hAnsi="Times New Roman" w:cs="Times New Roman"/>
          <w:sz w:val="24"/>
          <w:szCs w:val="24"/>
        </w:rPr>
        <w:t>, 2009</w:t>
      </w:r>
      <w:r w:rsidR="00097671" w:rsidRPr="006E4CF7">
        <w:rPr>
          <w:rFonts w:ascii="Times New Roman" w:hAnsi="Times New Roman" w:cs="Times New Roman"/>
          <w:sz w:val="24"/>
          <w:szCs w:val="24"/>
        </w:rPr>
        <w:t xml:space="preserve">; </w:t>
      </w:r>
      <w:r w:rsidRPr="006E4CF7">
        <w:rPr>
          <w:rFonts w:ascii="Times New Roman" w:hAnsi="Times New Roman" w:cs="Times New Roman"/>
          <w:sz w:val="24"/>
          <w:szCs w:val="24"/>
        </w:rPr>
        <w:t xml:space="preserve">Odagiri, 2003; </w:t>
      </w:r>
      <w:proofErr w:type="spellStart"/>
      <w:r w:rsidRPr="006E4CF7">
        <w:rPr>
          <w:rFonts w:ascii="Times New Roman" w:hAnsi="Times New Roman" w:cs="Times New Roman"/>
          <w:sz w:val="24"/>
          <w:szCs w:val="24"/>
        </w:rPr>
        <w:t>Geyskens</w:t>
      </w:r>
      <w:proofErr w:type="spellEnd"/>
      <w:r w:rsidRPr="006E4CF7">
        <w:rPr>
          <w:rFonts w:ascii="Times New Roman" w:hAnsi="Times New Roman" w:cs="Times New Roman"/>
          <w:sz w:val="24"/>
          <w:szCs w:val="24"/>
        </w:rPr>
        <w:t xml:space="preserve"> et al., 2006). </w:t>
      </w:r>
      <w:r w:rsidR="00461391" w:rsidRPr="006E4CF7">
        <w:rPr>
          <w:rFonts w:ascii="Times New Roman" w:hAnsi="Times New Roman" w:cs="Times New Roman"/>
          <w:sz w:val="24"/>
          <w:szCs w:val="24"/>
        </w:rPr>
        <w:t>Focusing on TCE</w:t>
      </w:r>
      <w:r w:rsidR="004A3209" w:rsidRPr="006E4CF7">
        <w:rPr>
          <w:rFonts w:ascii="Times New Roman" w:hAnsi="Times New Roman" w:cs="Times New Roman"/>
          <w:sz w:val="24"/>
          <w:szCs w:val="24"/>
        </w:rPr>
        <w:t xml:space="preserve"> the t</w:t>
      </w:r>
      <w:r w:rsidR="00E4686A" w:rsidRPr="006E4CF7">
        <w:rPr>
          <w:rFonts w:ascii="Times New Roman" w:hAnsi="Times New Roman" w:cs="Times New Roman"/>
          <w:sz w:val="24"/>
          <w:szCs w:val="24"/>
        </w:rPr>
        <w:t xml:space="preserve">ransaction cost approach </w:t>
      </w:r>
      <w:r w:rsidR="004A3209" w:rsidRPr="006E4CF7">
        <w:rPr>
          <w:rFonts w:ascii="Times New Roman" w:hAnsi="Times New Roman" w:cs="Times New Roman"/>
          <w:sz w:val="24"/>
          <w:szCs w:val="24"/>
        </w:rPr>
        <w:t>equals an academic</w:t>
      </w:r>
      <w:r w:rsidR="00AE62EE" w:rsidRPr="006E4CF7">
        <w:rPr>
          <w:rFonts w:ascii="Times New Roman" w:hAnsi="Times New Roman" w:cs="Times New Roman"/>
          <w:sz w:val="24"/>
          <w:szCs w:val="24"/>
        </w:rPr>
        <w:t>’</w:t>
      </w:r>
      <w:r w:rsidR="004A3209" w:rsidRPr="006E4CF7">
        <w:rPr>
          <w:rFonts w:ascii="Times New Roman" w:hAnsi="Times New Roman" w:cs="Times New Roman"/>
          <w:sz w:val="24"/>
          <w:szCs w:val="24"/>
        </w:rPr>
        <w:t>s</w:t>
      </w:r>
      <w:r w:rsidR="00E4686A" w:rsidRPr="006E4CF7">
        <w:rPr>
          <w:rFonts w:ascii="Times New Roman" w:hAnsi="Times New Roman" w:cs="Times New Roman"/>
          <w:sz w:val="24"/>
          <w:szCs w:val="24"/>
        </w:rPr>
        <w:t xml:space="preserve"> personal </w:t>
      </w:r>
      <w:r w:rsidR="004A3209" w:rsidRPr="006E4CF7">
        <w:rPr>
          <w:rFonts w:ascii="Times New Roman" w:hAnsi="Times New Roman" w:cs="Times New Roman"/>
          <w:sz w:val="24"/>
          <w:szCs w:val="24"/>
        </w:rPr>
        <w:t>time</w:t>
      </w:r>
      <w:r w:rsidR="00E4686A" w:rsidRPr="006E4CF7">
        <w:rPr>
          <w:rFonts w:ascii="Times New Roman" w:hAnsi="Times New Roman" w:cs="Times New Roman"/>
          <w:sz w:val="24"/>
          <w:szCs w:val="24"/>
        </w:rPr>
        <w:t xml:space="preserve"> to achieve maximum impact for promotion or </w:t>
      </w:r>
      <w:r w:rsidR="00765007" w:rsidRPr="006E4CF7">
        <w:rPr>
          <w:rFonts w:ascii="Times New Roman" w:hAnsi="Times New Roman" w:cs="Times New Roman"/>
          <w:sz w:val="24"/>
          <w:szCs w:val="24"/>
        </w:rPr>
        <w:t>esteem</w:t>
      </w:r>
      <w:r w:rsidR="00DA5567" w:rsidRPr="006E4CF7">
        <w:rPr>
          <w:rFonts w:ascii="Times New Roman" w:hAnsi="Times New Roman" w:cs="Times New Roman"/>
          <w:sz w:val="24"/>
          <w:szCs w:val="24"/>
        </w:rPr>
        <w:t>. The internal rules predict a certain type of behaviour and this is to be con</w:t>
      </w:r>
      <w:r w:rsidR="006901EA" w:rsidRPr="006E4CF7">
        <w:rPr>
          <w:rFonts w:ascii="Times New Roman" w:hAnsi="Times New Roman" w:cs="Times New Roman"/>
          <w:sz w:val="24"/>
          <w:szCs w:val="24"/>
        </w:rPr>
        <w:t xml:space="preserve">trasted with the marketplace, which is </w:t>
      </w:r>
      <w:r w:rsidR="00461391" w:rsidRPr="006E4CF7">
        <w:rPr>
          <w:rFonts w:ascii="Times New Roman" w:hAnsi="Times New Roman" w:cs="Times New Roman"/>
          <w:sz w:val="24"/>
          <w:szCs w:val="24"/>
        </w:rPr>
        <w:t xml:space="preserve">proxied by </w:t>
      </w:r>
      <w:r w:rsidR="006901EA" w:rsidRPr="006E4CF7">
        <w:rPr>
          <w:rFonts w:ascii="Times New Roman" w:hAnsi="Times New Roman" w:cs="Times New Roman"/>
          <w:sz w:val="24"/>
          <w:szCs w:val="24"/>
        </w:rPr>
        <w:t>student feedback</w:t>
      </w:r>
      <w:r w:rsidR="00AF7383" w:rsidRPr="006E4CF7">
        <w:rPr>
          <w:rFonts w:ascii="Times New Roman" w:hAnsi="Times New Roman" w:cs="Times New Roman"/>
          <w:sz w:val="24"/>
          <w:szCs w:val="24"/>
        </w:rPr>
        <w:t xml:space="preserve">. </w:t>
      </w:r>
      <w:r w:rsidR="00E4686A" w:rsidRPr="006E4CF7">
        <w:rPr>
          <w:rFonts w:ascii="Times New Roman" w:hAnsi="Times New Roman" w:cs="Times New Roman"/>
          <w:sz w:val="24"/>
          <w:szCs w:val="24"/>
        </w:rPr>
        <w:t xml:space="preserve">In simple terms, the two polar mechanisms </w:t>
      </w:r>
      <w:r w:rsidR="00461391" w:rsidRPr="006E4CF7">
        <w:rPr>
          <w:rFonts w:ascii="Times New Roman" w:hAnsi="Times New Roman" w:cs="Times New Roman"/>
          <w:sz w:val="24"/>
          <w:szCs w:val="24"/>
        </w:rPr>
        <w:t>are</w:t>
      </w:r>
      <w:r w:rsidR="00E4686A" w:rsidRPr="006E4CF7">
        <w:rPr>
          <w:rFonts w:ascii="Times New Roman" w:hAnsi="Times New Roman" w:cs="Times New Roman"/>
          <w:sz w:val="24"/>
          <w:szCs w:val="24"/>
        </w:rPr>
        <w:t xml:space="preserve"> to comply with internal edict (fully comply with </w:t>
      </w:r>
      <w:r w:rsidR="007D035D" w:rsidRPr="006E4CF7">
        <w:rPr>
          <w:rFonts w:ascii="Times New Roman" w:hAnsi="Times New Roman" w:cs="Times New Roman"/>
          <w:sz w:val="24"/>
          <w:szCs w:val="24"/>
        </w:rPr>
        <w:t>internal</w:t>
      </w:r>
      <w:r w:rsidR="00E4686A" w:rsidRPr="006E4CF7">
        <w:rPr>
          <w:rFonts w:ascii="Times New Roman" w:hAnsi="Times New Roman" w:cs="Times New Roman"/>
          <w:sz w:val="24"/>
          <w:szCs w:val="24"/>
        </w:rPr>
        <w:t xml:space="preserve"> rules) or undertake </w:t>
      </w:r>
      <w:r w:rsidR="00765007" w:rsidRPr="006E4CF7">
        <w:rPr>
          <w:rFonts w:ascii="Times New Roman" w:hAnsi="Times New Roman" w:cs="Times New Roman"/>
          <w:sz w:val="24"/>
          <w:szCs w:val="24"/>
        </w:rPr>
        <w:t>an individual</w:t>
      </w:r>
      <w:r w:rsidR="00E4686A" w:rsidRPr="006E4CF7">
        <w:rPr>
          <w:rFonts w:ascii="Times New Roman" w:hAnsi="Times New Roman" w:cs="Times New Roman"/>
          <w:sz w:val="24"/>
          <w:szCs w:val="24"/>
        </w:rPr>
        <w:t xml:space="preserve"> </w:t>
      </w:r>
      <w:r w:rsidR="00FD4FE2" w:rsidRPr="006E4CF7">
        <w:rPr>
          <w:rFonts w:ascii="Times New Roman" w:hAnsi="Times New Roman" w:cs="Times New Roman"/>
          <w:sz w:val="24"/>
          <w:szCs w:val="24"/>
        </w:rPr>
        <w:t xml:space="preserve">innovative </w:t>
      </w:r>
      <w:r w:rsidR="00E4686A" w:rsidRPr="006E4CF7">
        <w:rPr>
          <w:rFonts w:ascii="Times New Roman" w:hAnsi="Times New Roman" w:cs="Times New Roman"/>
          <w:sz w:val="24"/>
          <w:szCs w:val="24"/>
        </w:rPr>
        <w:t>approach reliant on pedagogical underpinning (and later feedback from students</w:t>
      </w:r>
      <w:r w:rsidR="00461391" w:rsidRPr="006E4CF7">
        <w:rPr>
          <w:rFonts w:ascii="Times New Roman" w:hAnsi="Times New Roman" w:cs="Times New Roman"/>
          <w:sz w:val="24"/>
          <w:szCs w:val="24"/>
        </w:rPr>
        <w:t xml:space="preserve">, see </w:t>
      </w:r>
      <w:r w:rsidR="00E4686A" w:rsidRPr="006E4CF7">
        <w:rPr>
          <w:rFonts w:ascii="Times New Roman" w:hAnsi="Times New Roman" w:cs="Times New Roman"/>
          <w:sz w:val="24"/>
          <w:szCs w:val="24"/>
        </w:rPr>
        <w:t xml:space="preserve">Coase 1937, Williamson 1975).  </w:t>
      </w:r>
      <w:r w:rsidR="00FD12B5" w:rsidRPr="006E4CF7">
        <w:rPr>
          <w:rFonts w:ascii="Times New Roman" w:hAnsi="Times New Roman" w:cs="Times New Roman"/>
          <w:sz w:val="24"/>
          <w:szCs w:val="24"/>
        </w:rPr>
        <w:t xml:space="preserve">Asset specificity has </w:t>
      </w:r>
      <w:r w:rsidR="00286529" w:rsidRPr="006E4CF7">
        <w:rPr>
          <w:rFonts w:ascii="Times New Roman" w:hAnsi="Times New Roman" w:cs="Times New Roman"/>
          <w:sz w:val="24"/>
          <w:szCs w:val="24"/>
        </w:rPr>
        <w:t xml:space="preserve">been </w:t>
      </w:r>
      <w:r w:rsidR="00025791" w:rsidRPr="006E4CF7">
        <w:rPr>
          <w:rFonts w:ascii="Times New Roman" w:hAnsi="Times New Roman" w:cs="Times New Roman"/>
          <w:sz w:val="24"/>
          <w:szCs w:val="24"/>
        </w:rPr>
        <w:t xml:space="preserve">utilised </w:t>
      </w:r>
      <w:r w:rsidR="00025791" w:rsidRPr="006E4CF7">
        <w:rPr>
          <w:rFonts w:ascii="Times New Roman" w:hAnsi="Times New Roman" w:cs="Times New Roman"/>
          <w:sz w:val="24"/>
          <w:szCs w:val="24"/>
        </w:rPr>
        <w:lastRenderedPageBreak/>
        <w:t xml:space="preserve">across a </w:t>
      </w:r>
      <w:r w:rsidR="00FD12B5" w:rsidRPr="006E4CF7">
        <w:rPr>
          <w:rFonts w:ascii="Times New Roman" w:hAnsi="Times New Roman" w:cs="Times New Roman"/>
          <w:sz w:val="24"/>
          <w:szCs w:val="24"/>
        </w:rPr>
        <w:t xml:space="preserve">number of disciplines, </w:t>
      </w:r>
      <w:r w:rsidR="00286529" w:rsidRPr="006E4CF7">
        <w:rPr>
          <w:rFonts w:ascii="Times New Roman" w:hAnsi="Times New Roman" w:cs="Times New Roman"/>
          <w:sz w:val="24"/>
          <w:szCs w:val="24"/>
        </w:rPr>
        <w:t xml:space="preserve">see </w:t>
      </w:r>
      <w:r w:rsidR="00E7492A" w:rsidRPr="006E4CF7">
        <w:rPr>
          <w:rFonts w:ascii="Times New Roman" w:hAnsi="Times New Roman" w:cs="Times New Roman"/>
          <w:sz w:val="24"/>
          <w:szCs w:val="24"/>
        </w:rPr>
        <w:t>for example Zaheer and Venka</w:t>
      </w:r>
      <w:r w:rsidR="00025791" w:rsidRPr="006E4CF7">
        <w:rPr>
          <w:rFonts w:ascii="Times New Roman" w:hAnsi="Times New Roman" w:cs="Times New Roman"/>
          <w:sz w:val="24"/>
          <w:szCs w:val="24"/>
        </w:rPr>
        <w:t>tra</w:t>
      </w:r>
      <w:r w:rsidR="00E7492A" w:rsidRPr="006E4CF7">
        <w:rPr>
          <w:rFonts w:ascii="Times New Roman" w:hAnsi="Times New Roman" w:cs="Times New Roman"/>
          <w:sz w:val="24"/>
          <w:szCs w:val="24"/>
        </w:rPr>
        <w:t>man</w:t>
      </w:r>
      <w:r w:rsidR="00765007" w:rsidRPr="006E4CF7">
        <w:rPr>
          <w:rFonts w:ascii="Times New Roman" w:hAnsi="Times New Roman" w:cs="Times New Roman"/>
          <w:sz w:val="24"/>
          <w:szCs w:val="24"/>
        </w:rPr>
        <w:t>’s</w:t>
      </w:r>
      <w:r w:rsidR="00E7492A" w:rsidRPr="006E4CF7">
        <w:rPr>
          <w:rFonts w:ascii="Times New Roman" w:hAnsi="Times New Roman" w:cs="Times New Roman"/>
          <w:sz w:val="24"/>
          <w:szCs w:val="24"/>
        </w:rPr>
        <w:t xml:space="preserve"> </w:t>
      </w:r>
      <w:r w:rsidR="00025791" w:rsidRPr="006E4CF7">
        <w:rPr>
          <w:rFonts w:ascii="Times New Roman" w:hAnsi="Times New Roman" w:cs="Times New Roman"/>
          <w:sz w:val="24"/>
          <w:szCs w:val="24"/>
        </w:rPr>
        <w:t xml:space="preserve">(1994) paper </w:t>
      </w:r>
      <w:r w:rsidR="008E07BE" w:rsidRPr="006E4CF7">
        <w:rPr>
          <w:rFonts w:ascii="Times New Roman" w:hAnsi="Times New Roman" w:cs="Times New Roman"/>
          <w:sz w:val="24"/>
          <w:szCs w:val="24"/>
        </w:rPr>
        <w:t xml:space="preserve">on </w:t>
      </w:r>
      <w:r w:rsidR="00025791" w:rsidRPr="006E4CF7">
        <w:rPr>
          <w:rFonts w:ascii="Times New Roman" w:hAnsi="Times New Roman" w:cs="Times New Roman"/>
          <w:sz w:val="24"/>
          <w:szCs w:val="24"/>
        </w:rPr>
        <w:t xml:space="preserve">the </w:t>
      </w:r>
      <w:r w:rsidR="008E07BE" w:rsidRPr="006E4CF7">
        <w:rPr>
          <w:rFonts w:ascii="Times New Roman" w:hAnsi="Times New Roman" w:cs="Times New Roman"/>
          <w:sz w:val="24"/>
          <w:szCs w:val="24"/>
        </w:rPr>
        <w:t>‘Determinants of Electronic Integration in the Insurance Industry’ or</w:t>
      </w:r>
      <w:r w:rsidR="00765007" w:rsidRPr="006E4CF7">
        <w:rPr>
          <w:rFonts w:ascii="Times New Roman" w:hAnsi="Times New Roman" w:cs="Times New Roman"/>
          <w:sz w:val="24"/>
          <w:szCs w:val="24"/>
        </w:rPr>
        <w:t>,</w:t>
      </w:r>
      <w:r w:rsidR="008E07BE" w:rsidRPr="006E4CF7">
        <w:rPr>
          <w:rFonts w:ascii="Times New Roman" w:hAnsi="Times New Roman" w:cs="Times New Roman"/>
          <w:sz w:val="24"/>
          <w:szCs w:val="24"/>
        </w:rPr>
        <w:t xml:space="preserve"> for a broader review</w:t>
      </w:r>
      <w:r w:rsidR="00286529" w:rsidRPr="006E4CF7">
        <w:rPr>
          <w:rFonts w:ascii="Times New Roman" w:hAnsi="Times New Roman" w:cs="Times New Roman"/>
          <w:sz w:val="24"/>
          <w:szCs w:val="24"/>
        </w:rPr>
        <w:t>, see Zheng et al (2020)</w:t>
      </w:r>
      <w:r w:rsidR="00913046" w:rsidRPr="006E4CF7">
        <w:rPr>
          <w:rFonts w:ascii="Times New Roman" w:hAnsi="Times New Roman" w:cs="Times New Roman"/>
          <w:sz w:val="24"/>
          <w:szCs w:val="24"/>
        </w:rPr>
        <w:t xml:space="preserve"> or </w:t>
      </w:r>
      <w:r w:rsidR="00573296" w:rsidRPr="006E4CF7">
        <w:rPr>
          <w:rFonts w:ascii="Times New Roman" w:hAnsi="Times New Roman" w:cs="Times New Roman"/>
          <w:sz w:val="24"/>
          <w:szCs w:val="24"/>
        </w:rPr>
        <w:t>Wang et al (2019)</w:t>
      </w:r>
      <w:r w:rsidR="00286529" w:rsidRPr="006E4CF7">
        <w:rPr>
          <w:rFonts w:ascii="Times New Roman" w:hAnsi="Times New Roman" w:cs="Times New Roman"/>
          <w:sz w:val="24"/>
          <w:szCs w:val="24"/>
        </w:rPr>
        <w:t>.</w:t>
      </w:r>
    </w:p>
    <w:p w14:paraId="435CA338" w14:textId="447BADBA" w:rsidR="004039A4" w:rsidRPr="006E4CF7" w:rsidRDefault="00765007" w:rsidP="008F2AF6">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Focusing upon the notion of</w:t>
      </w:r>
      <w:r w:rsidR="004039A4" w:rsidRPr="006E4CF7">
        <w:rPr>
          <w:rFonts w:ascii="Times New Roman" w:hAnsi="Times New Roman" w:cs="Times New Roman"/>
          <w:sz w:val="24"/>
          <w:szCs w:val="24"/>
        </w:rPr>
        <w:t xml:space="preserve"> esteem uncertainty, we identify its connection with asset specificity on two fronts: asset valuation and institutional-level decision-making. Esteem uncertainty arises from the institution</w:t>
      </w:r>
      <w:r w:rsidR="006B6D27" w:rsidRPr="006E4CF7">
        <w:rPr>
          <w:rFonts w:ascii="Times New Roman" w:hAnsi="Times New Roman" w:cs="Times New Roman"/>
          <w:sz w:val="24"/>
          <w:szCs w:val="24"/>
        </w:rPr>
        <w:t>’</w:t>
      </w:r>
      <w:r w:rsidR="004039A4" w:rsidRPr="006E4CF7">
        <w:rPr>
          <w:rFonts w:ascii="Times New Roman" w:hAnsi="Times New Roman" w:cs="Times New Roman"/>
          <w:sz w:val="24"/>
          <w:szCs w:val="24"/>
        </w:rPr>
        <w:t>s failure to adequately value and recogni</w:t>
      </w:r>
      <w:r w:rsidR="006B6D27" w:rsidRPr="006E4CF7">
        <w:rPr>
          <w:rFonts w:ascii="Times New Roman" w:hAnsi="Times New Roman" w:cs="Times New Roman"/>
          <w:sz w:val="24"/>
          <w:szCs w:val="24"/>
        </w:rPr>
        <w:t>s</w:t>
      </w:r>
      <w:r w:rsidR="004039A4" w:rsidRPr="006E4CF7">
        <w:rPr>
          <w:rFonts w:ascii="Times New Roman" w:hAnsi="Times New Roman" w:cs="Times New Roman"/>
          <w:sz w:val="24"/>
          <w:szCs w:val="24"/>
        </w:rPr>
        <w:t>e teaching roles, paralleling the valuation challenge faced by specific assets. This comparison suggests that teaching roles, similar to specific assets, require a strategic integration within the academic framework to address their undervalued status.</w:t>
      </w:r>
    </w:p>
    <w:p w14:paraId="1787C56C" w14:textId="2AA2B991" w:rsidR="006B6D27" w:rsidRPr="006E4CF7" w:rsidRDefault="006B6D27" w:rsidP="008F2AF6">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Our reinterpretation of Williamson’s theory highlights the unique nature of teaching practices and roles, likening them to highly specific assets that hold unique value and are custom-fit for their academic environments. These assets include a Professor’s niche expertise, a Lecturer’s innovative teaching methods, or the distinctive mentorship relationships between teachers and students. Each is crucial to the educational mission, embodying qualities that cannot be easily replicated or replaced, thus underscoring their irreplaceable role within academia. However, the presence of esteem uncertainty introduces complexity. Academics face a dilemma: conform to the expectations of their institutions or pursue independent innovation in teaching, where subsequent rewards might tend to zero. Esteem uncertainty often nudges academics toward compliance, prioritising alignment with established norms at the potential expense of educational innovation. This tension reveals how the recognition and valuation of teaching as a specific asset within universities can influence and potentially constrain academic behaviour.</w:t>
      </w:r>
    </w:p>
    <w:p w14:paraId="7D2245B6" w14:textId="20A140FD" w:rsidR="006210CC" w:rsidRPr="006E4CF7" w:rsidRDefault="006B6D27" w:rsidP="00962DCB">
      <w:pPr>
        <w:spacing w:after="240" w:line="360" w:lineRule="auto"/>
        <w:jc w:val="both"/>
        <w:rPr>
          <w:rFonts w:ascii="Times New Roman" w:hAnsi="Times New Roman" w:cs="Times New Roman"/>
          <w:b/>
          <w:bCs/>
          <w:sz w:val="24"/>
          <w:szCs w:val="24"/>
        </w:rPr>
      </w:pPr>
      <w:r w:rsidRPr="006E4CF7">
        <w:rPr>
          <w:rFonts w:ascii="Times New Roman" w:hAnsi="Times New Roman" w:cs="Times New Roman"/>
          <w:sz w:val="24"/>
          <w:szCs w:val="24"/>
        </w:rPr>
        <w:t xml:space="preserve">Therefore, we propose a shift from Williamson’s original </w:t>
      </w:r>
      <w:r w:rsidRPr="006E4CF7">
        <w:rPr>
          <w:rFonts w:ascii="Times New Roman" w:hAnsi="Times New Roman" w:cs="Times New Roman"/>
          <w:i/>
          <w:iCs/>
          <w:sz w:val="24"/>
          <w:szCs w:val="24"/>
        </w:rPr>
        <w:t>‘make-or-buy’</w:t>
      </w:r>
      <w:r w:rsidRPr="006E4CF7">
        <w:rPr>
          <w:rFonts w:ascii="Times New Roman" w:hAnsi="Times New Roman" w:cs="Times New Roman"/>
          <w:sz w:val="24"/>
          <w:szCs w:val="24"/>
        </w:rPr>
        <w:t xml:space="preserve"> framework to a </w:t>
      </w:r>
      <w:r w:rsidRPr="006E4CF7">
        <w:rPr>
          <w:rFonts w:ascii="Times New Roman" w:hAnsi="Times New Roman" w:cs="Times New Roman"/>
          <w:i/>
          <w:iCs/>
          <w:sz w:val="24"/>
          <w:szCs w:val="24"/>
        </w:rPr>
        <w:t>‘comply-or-innovate’</w:t>
      </w:r>
      <w:r w:rsidRPr="006E4CF7">
        <w:rPr>
          <w:rFonts w:ascii="Times New Roman" w:hAnsi="Times New Roman" w:cs="Times New Roman"/>
          <w:sz w:val="24"/>
          <w:szCs w:val="24"/>
        </w:rPr>
        <w:t xml:space="preserve"> </w:t>
      </w:r>
      <w:r w:rsidR="00B01F73" w:rsidRPr="006E4CF7">
        <w:rPr>
          <w:rFonts w:ascii="Times New Roman" w:hAnsi="Times New Roman" w:cs="Times New Roman"/>
          <w:sz w:val="24"/>
          <w:szCs w:val="24"/>
        </w:rPr>
        <w:t>approach</w:t>
      </w:r>
      <w:r w:rsidRPr="006E4CF7">
        <w:rPr>
          <w:rFonts w:ascii="Times New Roman" w:hAnsi="Times New Roman" w:cs="Times New Roman"/>
          <w:sz w:val="24"/>
          <w:szCs w:val="24"/>
        </w:rPr>
        <w:t xml:space="preserve">. This </w:t>
      </w:r>
      <w:r w:rsidR="00C27E98" w:rsidRPr="006E4CF7">
        <w:rPr>
          <w:rFonts w:ascii="Times New Roman" w:hAnsi="Times New Roman" w:cs="Times New Roman"/>
          <w:sz w:val="24"/>
          <w:szCs w:val="24"/>
        </w:rPr>
        <w:t>switch, while, like the make</w:t>
      </w:r>
      <w:r w:rsidR="00050BEB" w:rsidRPr="006E4CF7">
        <w:rPr>
          <w:rFonts w:ascii="Times New Roman" w:hAnsi="Times New Roman" w:cs="Times New Roman"/>
          <w:sz w:val="24"/>
          <w:szCs w:val="24"/>
        </w:rPr>
        <w:t>-or-buy decision, is not perfect</w:t>
      </w:r>
      <w:r w:rsidR="00E34984" w:rsidRPr="006E4CF7">
        <w:rPr>
          <w:rFonts w:ascii="Times New Roman" w:hAnsi="Times New Roman" w:cs="Times New Roman"/>
          <w:sz w:val="24"/>
          <w:szCs w:val="24"/>
        </w:rPr>
        <w:t xml:space="preserve">, it allows us to develop a </w:t>
      </w:r>
      <w:r w:rsidRPr="006E4CF7">
        <w:rPr>
          <w:rFonts w:ascii="Times New Roman" w:hAnsi="Times New Roman" w:cs="Times New Roman"/>
          <w:sz w:val="24"/>
          <w:szCs w:val="24"/>
        </w:rPr>
        <w:t xml:space="preserve">new perspective </w:t>
      </w:r>
      <w:r w:rsidR="00E34984" w:rsidRPr="006E4CF7">
        <w:rPr>
          <w:rFonts w:ascii="Times New Roman" w:hAnsi="Times New Roman" w:cs="Times New Roman"/>
          <w:sz w:val="24"/>
          <w:szCs w:val="24"/>
        </w:rPr>
        <w:t>that</w:t>
      </w:r>
      <w:r w:rsidR="00442132" w:rsidRPr="006E4CF7">
        <w:rPr>
          <w:rFonts w:ascii="Times New Roman" w:hAnsi="Times New Roman" w:cs="Times New Roman"/>
          <w:sz w:val="24"/>
          <w:szCs w:val="24"/>
        </w:rPr>
        <w:t xml:space="preserve"> helps us understand</w:t>
      </w:r>
      <w:r w:rsidR="00E34984" w:rsidRPr="006E4CF7">
        <w:rPr>
          <w:rFonts w:ascii="Times New Roman" w:hAnsi="Times New Roman" w:cs="Times New Roman"/>
          <w:sz w:val="24"/>
          <w:szCs w:val="24"/>
        </w:rPr>
        <w:t xml:space="preserve"> </w:t>
      </w:r>
      <w:r w:rsidRPr="006E4CF7">
        <w:rPr>
          <w:rFonts w:ascii="Times New Roman" w:hAnsi="Times New Roman" w:cs="Times New Roman"/>
          <w:sz w:val="24"/>
          <w:szCs w:val="24"/>
        </w:rPr>
        <w:t>the decision-making process for academics caught between adherence to institutional standards and the pursuit of pedagogical advancement, as visually depicted in Figure 1</w:t>
      </w:r>
      <w:r w:rsidR="00D666D1" w:rsidRPr="006E4CF7">
        <w:rPr>
          <w:rFonts w:ascii="Times New Roman" w:hAnsi="Times New Roman" w:cs="Times New Roman"/>
          <w:sz w:val="24"/>
          <w:szCs w:val="24"/>
        </w:rPr>
        <w:t xml:space="preserve">. </w:t>
      </w:r>
      <w:r w:rsidR="002038D4" w:rsidRPr="006E4CF7">
        <w:rPr>
          <w:rFonts w:ascii="Times New Roman" w:hAnsi="Times New Roman" w:cs="Times New Roman"/>
          <w:sz w:val="24"/>
          <w:szCs w:val="24"/>
        </w:rPr>
        <w:t xml:space="preserve">In our approach, part (b) in the figure shows how we substitute the internal versus external make-or-buy decision with comply-or-innovate. </w:t>
      </w:r>
      <w:r w:rsidRPr="006E4CF7">
        <w:rPr>
          <w:rFonts w:ascii="Times New Roman" w:hAnsi="Times New Roman" w:cs="Times New Roman"/>
          <w:sz w:val="24"/>
          <w:szCs w:val="24"/>
        </w:rPr>
        <w:t>This dichotomy underscores the choice between integration within the existing system and the pursuit of novel teaching approaches</w:t>
      </w:r>
      <w:r w:rsidR="0005134B" w:rsidRPr="006E4CF7">
        <w:rPr>
          <w:rFonts w:ascii="Times New Roman" w:hAnsi="Times New Roman" w:cs="Times New Roman"/>
          <w:sz w:val="24"/>
          <w:szCs w:val="24"/>
        </w:rPr>
        <w:t>.</w:t>
      </w:r>
      <w:r w:rsidR="00BE6A63" w:rsidRPr="006E4CF7">
        <w:rPr>
          <w:rFonts w:ascii="Times New Roman" w:hAnsi="Times New Roman" w:cs="Times New Roman"/>
          <w:sz w:val="24"/>
          <w:szCs w:val="24"/>
        </w:rPr>
        <w:t xml:space="preserve"> </w:t>
      </w:r>
      <w:r w:rsidR="00B64212" w:rsidRPr="006E4CF7">
        <w:rPr>
          <w:rFonts w:ascii="Times New Roman" w:hAnsi="Times New Roman" w:cs="Times New Roman"/>
          <w:sz w:val="24"/>
          <w:szCs w:val="24"/>
        </w:rPr>
        <w:t xml:space="preserve">The net benefit for the academic from independent innovation, rather than complying with internal guidelines, is dependent on competing production and governance factors. These factors are also a function of the University’s uniqueness (that is, the extent that it’s learning and teaching strategy differs from </w:t>
      </w:r>
      <w:r w:rsidR="00B64212" w:rsidRPr="006E4CF7">
        <w:rPr>
          <w:rFonts w:ascii="Times New Roman" w:hAnsi="Times New Roman" w:cs="Times New Roman"/>
          <w:sz w:val="24"/>
          <w:szCs w:val="24"/>
        </w:rPr>
        <w:lastRenderedPageBreak/>
        <w:t>practices utilised elsewhere in the sector).</w:t>
      </w:r>
      <w:r w:rsidR="00D61627" w:rsidRPr="006E4CF7">
        <w:rPr>
          <w:rFonts w:ascii="Times New Roman" w:hAnsi="Times New Roman" w:cs="Times New Roman"/>
          <w:sz w:val="24"/>
          <w:szCs w:val="24"/>
        </w:rPr>
        <w:t xml:space="preserve"> Internal promotion gains </w:t>
      </w:r>
      <w:r w:rsidR="00D47D7E" w:rsidRPr="006E4CF7">
        <w:rPr>
          <w:rFonts w:ascii="Times New Roman" w:hAnsi="Times New Roman" w:cs="Times New Roman"/>
          <w:sz w:val="24"/>
          <w:szCs w:val="24"/>
        </w:rPr>
        <w:t xml:space="preserve">may come </w:t>
      </w:r>
      <w:r w:rsidR="00D61627" w:rsidRPr="006E4CF7">
        <w:rPr>
          <w:rFonts w:ascii="Times New Roman" w:hAnsi="Times New Roman" w:cs="Times New Roman"/>
          <w:sz w:val="24"/>
          <w:szCs w:val="24"/>
        </w:rPr>
        <w:t>from complying with the University’s strategy</w:t>
      </w:r>
      <w:r w:rsidR="00D47D7E" w:rsidRPr="006E4CF7">
        <w:rPr>
          <w:rFonts w:ascii="Times New Roman" w:hAnsi="Times New Roman" w:cs="Times New Roman"/>
          <w:sz w:val="24"/>
          <w:szCs w:val="24"/>
        </w:rPr>
        <w:t xml:space="preserve"> whereas</w:t>
      </w:r>
      <w:r w:rsidR="00BD3B75" w:rsidRPr="006E4CF7">
        <w:rPr>
          <w:rFonts w:ascii="Times New Roman" w:hAnsi="Times New Roman" w:cs="Times New Roman"/>
          <w:sz w:val="24"/>
          <w:szCs w:val="24"/>
        </w:rPr>
        <w:t xml:space="preserve"> external </w:t>
      </w:r>
      <w:r w:rsidR="00E4732B" w:rsidRPr="006E4CF7">
        <w:rPr>
          <w:rFonts w:ascii="Times New Roman" w:hAnsi="Times New Roman" w:cs="Times New Roman"/>
          <w:sz w:val="24"/>
          <w:szCs w:val="24"/>
        </w:rPr>
        <w:t xml:space="preserve">benefits may emanate from innovating and then </w:t>
      </w:r>
      <w:r w:rsidR="00962DCB" w:rsidRPr="006E4CF7">
        <w:rPr>
          <w:rFonts w:ascii="Times New Roman" w:hAnsi="Times New Roman" w:cs="Times New Roman"/>
          <w:sz w:val="24"/>
          <w:szCs w:val="24"/>
        </w:rPr>
        <w:t xml:space="preserve">using </w:t>
      </w:r>
      <w:r w:rsidR="00C44FBB" w:rsidRPr="006E4CF7">
        <w:rPr>
          <w:rFonts w:ascii="Times New Roman" w:hAnsi="Times New Roman" w:cs="Times New Roman"/>
          <w:sz w:val="24"/>
          <w:szCs w:val="24"/>
        </w:rPr>
        <w:t>the innovative approach</w:t>
      </w:r>
      <w:r w:rsidR="00962DCB" w:rsidRPr="006E4CF7">
        <w:rPr>
          <w:rFonts w:ascii="Times New Roman" w:hAnsi="Times New Roman" w:cs="Times New Roman"/>
          <w:sz w:val="24"/>
          <w:szCs w:val="24"/>
        </w:rPr>
        <w:t xml:space="preserve"> to </w:t>
      </w:r>
      <w:r w:rsidR="00C44FBB" w:rsidRPr="006E4CF7">
        <w:rPr>
          <w:rFonts w:ascii="Times New Roman" w:hAnsi="Times New Roman" w:cs="Times New Roman"/>
          <w:sz w:val="24"/>
          <w:szCs w:val="24"/>
        </w:rPr>
        <w:t xml:space="preserve">move to </w:t>
      </w:r>
      <w:r w:rsidR="00962DCB" w:rsidRPr="006E4CF7">
        <w:rPr>
          <w:rFonts w:ascii="Times New Roman" w:hAnsi="Times New Roman" w:cs="Times New Roman"/>
          <w:sz w:val="24"/>
          <w:szCs w:val="24"/>
        </w:rPr>
        <w:t>another university.</w:t>
      </w:r>
    </w:p>
    <w:p w14:paraId="5819BE1B" w14:textId="27B59BAF" w:rsidR="000370C5" w:rsidRPr="006E4CF7" w:rsidRDefault="000370C5" w:rsidP="000370C5">
      <w:pPr>
        <w:rPr>
          <w:rFonts w:ascii="Times New Roman" w:hAnsi="Times New Roman" w:cs="Times New Roman"/>
          <w:b/>
          <w:bCs/>
          <w:sz w:val="24"/>
          <w:szCs w:val="24"/>
        </w:rPr>
      </w:pPr>
      <w:r w:rsidRPr="006E4CF7">
        <w:rPr>
          <w:rFonts w:ascii="Times New Roman" w:hAnsi="Times New Roman" w:cs="Times New Roman"/>
          <w:b/>
          <w:bCs/>
          <w:sz w:val="24"/>
          <w:szCs w:val="24"/>
        </w:rPr>
        <w:t>Figure 1: Adapting the Riordan &amp; Williamson Asset Specificity Approach</w:t>
      </w:r>
    </w:p>
    <w:p w14:paraId="2C58F498" w14:textId="77777777" w:rsidR="006210CC" w:rsidRPr="006E4CF7" w:rsidRDefault="006210CC" w:rsidP="000370C5">
      <w:pPr>
        <w:rPr>
          <w:rFonts w:ascii="Times New Roman" w:hAnsi="Times New Roman" w:cs="Times New Roman"/>
          <w:b/>
          <w:bCs/>
          <w:sz w:val="24"/>
          <w:szCs w:val="24"/>
        </w:rPr>
      </w:pPr>
    </w:p>
    <w:p w14:paraId="4BDB9F4A" w14:textId="77777777" w:rsidR="000370C5" w:rsidRPr="006E4CF7" w:rsidRDefault="000370C5" w:rsidP="000370C5">
      <w:pPr>
        <w:numPr>
          <w:ilvl w:val="0"/>
          <w:numId w:val="10"/>
        </w:numPr>
        <w:spacing w:after="240" w:line="360" w:lineRule="auto"/>
        <w:ind w:left="426" w:hanging="426"/>
        <w:contextualSpacing/>
        <w:jc w:val="both"/>
        <w:rPr>
          <w:rFonts w:ascii="Times New Roman" w:hAnsi="Times New Roman" w:cs="Times New Roman"/>
          <w:i/>
          <w:iCs/>
          <w:sz w:val="24"/>
          <w:szCs w:val="24"/>
        </w:rPr>
      </w:pPr>
      <w:r w:rsidRPr="006E4CF7">
        <w:rPr>
          <w:rFonts w:ascii="Times New Roman" w:hAnsi="Times New Roman" w:cs="Times New Roman"/>
          <w:i/>
          <w:iCs/>
          <w:sz w:val="24"/>
          <w:szCs w:val="24"/>
        </w:rPr>
        <w:t>Riordan &amp; Williamson Approach</w:t>
      </w:r>
      <w:r w:rsidRPr="006E4CF7">
        <w:rPr>
          <w:rFonts w:ascii="Times New Roman" w:hAnsi="Times New Roman" w:cs="Times New Roman"/>
          <w:i/>
          <w:iCs/>
          <w:sz w:val="24"/>
          <w:szCs w:val="24"/>
        </w:rPr>
        <w:tab/>
      </w:r>
      <w:r w:rsidRPr="006E4CF7">
        <w:rPr>
          <w:rFonts w:ascii="Times New Roman" w:hAnsi="Times New Roman" w:cs="Times New Roman"/>
          <w:i/>
          <w:iCs/>
          <w:sz w:val="24"/>
          <w:szCs w:val="24"/>
        </w:rPr>
        <w:tab/>
      </w:r>
      <w:r w:rsidRPr="006E4CF7">
        <w:rPr>
          <w:rFonts w:ascii="Times New Roman" w:hAnsi="Times New Roman" w:cs="Times New Roman"/>
          <w:i/>
          <w:iCs/>
          <w:sz w:val="24"/>
          <w:szCs w:val="24"/>
        </w:rPr>
        <w:tab/>
        <w:t>(b) Higher Education Approach</w:t>
      </w:r>
    </w:p>
    <w:p w14:paraId="437AC34F" w14:textId="77777777" w:rsidR="000370C5" w:rsidRPr="006E4CF7" w:rsidRDefault="000370C5" w:rsidP="000370C5">
      <w:pPr>
        <w:spacing w:after="240" w:line="360" w:lineRule="auto"/>
        <w:jc w:val="both"/>
        <w:rPr>
          <w:rFonts w:ascii="Times New Roman" w:hAnsi="Times New Roman" w:cs="Times New Roman"/>
          <w:bCs/>
          <w:sz w:val="24"/>
          <w:szCs w:val="24"/>
        </w:rPr>
      </w:pP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4864" behindDoc="0" locked="0" layoutInCell="1" allowOverlap="1" wp14:anchorId="7F777063" wp14:editId="241F747C">
                <wp:simplePos x="0" y="0"/>
                <wp:positionH relativeFrom="margin">
                  <wp:posOffset>4514850</wp:posOffset>
                </wp:positionH>
                <wp:positionV relativeFrom="paragraph">
                  <wp:posOffset>7620</wp:posOffset>
                </wp:positionV>
                <wp:extent cx="1130300" cy="292100"/>
                <wp:effectExtent l="0" t="0" r="12700" b="12700"/>
                <wp:wrapNone/>
                <wp:docPr id="1902993410" name="Text Box 1902993410"/>
                <wp:cNvGraphicFramePr/>
                <a:graphic xmlns:a="http://schemas.openxmlformats.org/drawingml/2006/main">
                  <a:graphicData uri="http://schemas.microsoft.com/office/word/2010/wordprocessingShape">
                    <wps:wsp>
                      <wps:cNvSpPr txBox="1"/>
                      <wps:spPr>
                        <a:xfrm>
                          <a:off x="0" y="0"/>
                          <a:ext cx="1130300" cy="292100"/>
                        </a:xfrm>
                        <a:prstGeom prst="rect">
                          <a:avLst/>
                        </a:prstGeom>
                        <a:solidFill>
                          <a:sysClr val="window" lastClr="FFFFFF"/>
                        </a:solidFill>
                        <a:ln w="6350">
                          <a:solidFill>
                            <a:prstClr val="black"/>
                          </a:solidFill>
                        </a:ln>
                      </wps:spPr>
                      <wps:txbx>
                        <w:txbxContent>
                          <w:p w14:paraId="7A3CD201"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 xml:space="preserve">Internal/Comply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F777063" id="_x0000_t202" coordsize="21600,21600" o:spt="202" path="m,l,21600r21600,l21600,xe">
                <v:stroke joinstyle="miter"/>
                <v:path gradientshapeok="t" o:connecttype="rect"/>
              </v:shapetype>
              <v:shape id="Text Box 1902993410" o:spid="_x0000_s1026" type="#_x0000_t202" style="position:absolute;left:0;text-align:left;margin-left:355.5pt;margin-top:.6pt;width:89pt;height:2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" fillcolor="window" strokeweight=".5pt">
                <v:textbox>
                  <w:txbxContent>
                    <w:p w14:paraId="7A3CD201"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 xml:space="preserve">Internal/Comply </w:t>
                      </w:r>
                    </w:p>
                  </w:txbxContent>
                </v:textbox>
                <w10:wrap anchorx="margin"/>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65C48FE3" wp14:editId="40D0E54F">
                <wp:simplePos x="0" y="0"/>
                <wp:positionH relativeFrom="column">
                  <wp:posOffset>427990</wp:posOffset>
                </wp:positionH>
                <wp:positionV relativeFrom="paragraph">
                  <wp:posOffset>153670</wp:posOffset>
                </wp:positionV>
                <wp:extent cx="739140" cy="341630"/>
                <wp:effectExtent l="0" t="38100" r="60960" b="20320"/>
                <wp:wrapNone/>
                <wp:docPr id="894934297" name="Straight Arrow Connector 894934297"/>
                <wp:cNvGraphicFramePr/>
                <a:graphic xmlns:a="http://schemas.openxmlformats.org/drawingml/2006/main">
                  <a:graphicData uri="http://schemas.microsoft.com/office/word/2010/wordprocessingShape">
                    <wps:wsp>
                      <wps:cNvCnPr/>
                      <wps:spPr>
                        <a:xfrm flipV="1">
                          <a:off x="0" y="0"/>
                          <a:ext cx="739140" cy="34099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B7B3BE2" id="_x0000_t32" coordsize="21600,21600" o:spt="32" o:oned="t" path="m,l21600,21600e" filled="f">
                <v:path arrowok="t" fillok="f" o:connecttype="none"/>
                <o:lock v:ext="edit" shapetype="t"/>
              </v:shapetype>
              <v:shape id="Straight Arrow Connector 894934297" o:spid="_x0000_s1026" type="#_x0000_t32" style="position:absolute;margin-left:33.7pt;margin-top:12.1pt;width:58.2pt;height:26.9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" strokecolor="windowText" strokeweight="2pt">
                <v:stroke endarrow="block" joinstyle="miter"/>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14:anchorId="28F9EC7B" wp14:editId="16F1E9ED">
                <wp:simplePos x="0" y="0"/>
                <wp:positionH relativeFrom="column">
                  <wp:posOffset>429260</wp:posOffset>
                </wp:positionH>
                <wp:positionV relativeFrom="paragraph">
                  <wp:posOffset>704850</wp:posOffset>
                </wp:positionV>
                <wp:extent cx="750570" cy="251460"/>
                <wp:effectExtent l="0" t="0" r="68580" b="72390"/>
                <wp:wrapNone/>
                <wp:docPr id="671047270" name="Straight Arrow Connector 671047270"/>
                <wp:cNvGraphicFramePr/>
                <a:graphic xmlns:a="http://schemas.openxmlformats.org/drawingml/2006/main">
                  <a:graphicData uri="http://schemas.microsoft.com/office/word/2010/wordprocessingShape">
                    <wps:wsp>
                      <wps:cNvCnPr/>
                      <wps:spPr>
                        <a:xfrm>
                          <a:off x="0" y="0"/>
                          <a:ext cx="750570" cy="25082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686686" id="Straight Arrow Connector 671047270" o:spid="_x0000_s1026" type="#_x0000_t32" style="position:absolute;margin-left:33.8pt;margin-top:55.5pt;width:59.1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" strokecolor="windowText" strokeweight="2pt">
                <v:stroke endarrow="block" joinstyle="miter"/>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76672" behindDoc="0" locked="0" layoutInCell="1" allowOverlap="1" wp14:anchorId="59A7E843" wp14:editId="198630E7">
                <wp:simplePos x="0" y="0"/>
                <wp:positionH relativeFrom="column">
                  <wp:posOffset>1261745</wp:posOffset>
                </wp:positionH>
                <wp:positionV relativeFrom="paragraph">
                  <wp:posOffset>29210</wp:posOffset>
                </wp:positionV>
                <wp:extent cx="889000" cy="281940"/>
                <wp:effectExtent l="0" t="0" r="25400" b="22860"/>
                <wp:wrapNone/>
                <wp:docPr id="1397247302" name="Text Box 1397247302"/>
                <wp:cNvGraphicFramePr/>
                <a:graphic xmlns:a="http://schemas.openxmlformats.org/drawingml/2006/main">
                  <a:graphicData uri="http://schemas.microsoft.com/office/word/2010/wordprocessingShape">
                    <wps:wsp>
                      <wps:cNvSpPr txBox="1"/>
                      <wps:spPr>
                        <a:xfrm>
                          <a:off x="0" y="0"/>
                          <a:ext cx="889000" cy="281940"/>
                        </a:xfrm>
                        <a:prstGeom prst="rect">
                          <a:avLst/>
                        </a:prstGeom>
                        <a:solidFill>
                          <a:sysClr val="window" lastClr="FFFFFF"/>
                        </a:solidFill>
                        <a:ln w="6350">
                          <a:solidFill>
                            <a:prstClr val="black"/>
                          </a:solidFill>
                        </a:ln>
                      </wps:spPr>
                      <wps:txbx>
                        <w:txbxContent>
                          <w:p w14:paraId="70DF81DA"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Firm/Make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9A7E843" id="Text Box 1397247302" o:spid="_x0000_s1027" type="#_x0000_t202" style="position:absolute;left:0;text-align:left;margin-left:99.35pt;margin-top:2.3pt;width:70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" fillcolor="window" strokeweight=".5pt">
                <v:textbox>
                  <w:txbxContent>
                    <w:p w14:paraId="70DF81DA"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Firm/Make</w:t>
                      </w:r>
                    </w:p>
                  </w:txbxContent>
                </v:textbox>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77696" behindDoc="0" locked="0" layoutInCell="1" allowOverlap="1" wp14:anchorId="4C0ECA3C" wp14:editId="6E71421A">
                <wp:simplePos x="0" y="0"/>
                <wp:positionH relativeFrom="column">
                  <wp:posOffset>1242060</wp:posOffset>
                </wp:positionH>
                <wp:positionV relativeFrom="paragraph">
                  <wp:posOffset>876935</wp:posOffset>
                </wp:positionV>
                <wp:extent cx="897255" cy="281940"/>
                <wp:effectExtent l="0" t="0" r="17145" b="22860"/>
                <wp:wrapNone/>
                <wp:docPr id="1954133431" name="Text Box 1954133431"/>
                <wp:cNvGraphicFramePr/>
                <a:graphic xmlns:a="http://schemas.openxmlformats.org/drawingml/2006/main">
                  <a:graphicData uri="http://schemas.microsoft.com/office/word/2010/wordprocessingShape">
                    <wps:wsp>
                      <wps:cNvSpPr txBox="1"/>
                      <wps:spPr>
                        <a:xfrm>
                          <a:off x="0" y="0"/>
                          <a:ext cx="897255" cy="281940"/>
                        </a:xfrm>
                        <a:prstGeom prst="rect">
                          <a:avLst/>
                        </a:prstGeom>
                        <a:solidFill>
                          <a:sysClr val="window" lastClr="FFFFFF"/>
                        </a:solidFill>
                        <a:ln w="6350">
                          <a:solidFill>
                            <a:prstClr val="black"/>
                          </a:solidFill>
                        </a:ln>
                      </wps:spPr>
                      <wps:txbx>
                        <w:txbxContent>
                          <w:p w14:paraId="20F9F7CF"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Market/Buy</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C0ECA3C" id="Text Box 1954133431" o:spid="_x0000_s1028" type="#_x0000_t202" style="position:absolute;left:0;text-align:left;margin-left:97.8pt;margin-top:69.05pt;width:70.6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" fillcolor="window" strokeweight=".5pt">
                <v:textbox>
                  <w:txbxContent>
                    <w:p w14:paraId="20F9F7CF"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Market/Buy</w:t>
                      </w:r>
                    </w:p>
                  </w:txbxContent>
                </v:textbox>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14:anchorId="0A01C547" wp14:editId="00F9E294">
                <wp:simplePos x="0" y="0"/>
                <wp:positionH relativeFrom="column">
                  <wp:posOffset>1421765</wp:posOffset>
                </wp:positionH>
                <wp:positionV relativeFrom="paragraph">
                  <wp:posOffset>473075</wp:posOffset>
                </wp:positionV>
                <wp:extent cx="462280" cy="242570"/>
                <wp:effectExtent l="0" t="23495" r="47625" b="47625"/>
                <wp:wrapNone/>
                <wp:docPr id="2017931335" name="Arrow: Left-Right 2017931335"/>
                <wp:cNvGraphicFramePr/>
                <a:graphic xmlns:a="http://schemas.openxmlformats.org/drawingml/2006/main">
                  <a:graphicData uri="http://schemas.microsoft.com/office/word/2010/wordprocessingShape">
                    <wps:wsp>
                      <wps:cNvSpPr/>
                      <wps:spPr>
                        <a:xfrm rot="5400000">
                          <a:off x="0" y="0"/>
                          <a:ext cx="462280" cy="242570"/>
                        </a:xfrm>
                        <a:prstGeom prst="leftRightArrow">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6DBE7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017931335" o:spid="_x0000_s1026" type="#_x0000_t69" style="position:absolute;margin-left:111.95pt;margin-top:37.25pt;width:36.4pt;height:19.1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" adj="5667" fillcolor="window" strokeweight="1pt"/>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14:anchorId="0D75FA92" wp14:editId="021A6C5D">
                <wp:simplePos x="0" y="0"/>
                <wp:positionH relativeFrom="column">
                  <wp:posOffset>95885</wp:posOffset>
                </wp:positionH>
                <wp:positionV relativeFrom="paragraph">
                  <wp:posOffset>38735</wp:posOffset>
                </wp:positionV>
                <wp:extent cx="290830" cy="1072515"/>
                <wp:effectExtent l="0" t="0" r="13970" b="13335"/>
                <wp:wrapNone/>
                <wp:docPr id="16389626" name="Right Bracket 16389626"/>
                <wp:cNvGraphicFramePr/>
                <a:graphic xmlns:a="http://schemas.openxmlformats.org/drawingml/2006/main">
                  <a:graphicData uri="http://schemas.microsoft.com/office/word/2010/wordprocessingShape">
                    <wps:wsp>
                      <wps:cNvSpPr/>
                      <wps:spPr>
                        <a:xfrm>
                          <a:off x="0" y="0"/>
                          <a:ext cx="290195" cy="1071880"/>
                        </a:xfrm>
                        <a:prstGeom prst="rightBracket">
                          <a:avLst/>
                        </a:prstGeom>
                        <a:noFill/>
                        <a:ln w="254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E4EE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6389626" o:spid="_x0000_s1026" type="#_x0000_t86" style="position:absolute;margin-left:7.55pt;margin-top:3.05pt;width:22.9pt;height:8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" adj="487" strokecolor="windowText" strokeweight="2pt">
                <v:stroke joinstyle="miter"/>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4ABBE90A" wp14:editId="25E7FE24">
                <wp:simplePos x="0" y="0"/>
                <wp:positionH relativeFrom="margin">
                  <wp:align>left</wp:align>
                </wp:positionH>
                <wp:positionV relativeFrom="paragraph">
                  <wp:posOffset>88265</wp:posOffset>
                </wp:positionV>
                <wp:extent cx="354965" cy="964565"/>
                <wp:effectExtent l="0" t="0" r="26035" b="26035"/>
                <wp:wrapNone/>
                <wp:docPr id="1649003136" name="Text Box 1649003136"/>
                <wp:cNvGraphicFramePr/>
                <a:graphic xmlns:a="http://schemas.openxmlformats.org/drawingml/2006/main">
                  <a:graphicData uri="http://schemas.microsoft.com/office/word/2010/wordprocessingShape">
                    <wps:wsp>
                      <wps:cNvSpPr txBox="1"/>
                      <wps:spPr>
                        <a:xfrm>
                          <a:off x="0" y="0"/>
                          <a:ext cx="354965" cy="964565"/>
                        </a:xfrm>
                        <a:prstGeom prst="rect">
                          <a:avLst/>
                        </a:prstGeom>
                        <a:solidFill>
                          <a:sysClr val="window" lastClr="FFFFFF"/>
                        </a:solidFill>
                        <a:ln w="6350">
                          <a:solidFill>
                            <a:prstClr val="black"/>
                          </a:solidFill>
                        </a:ln>
                      </wps:spPr>
                      <wps:txbx>
                        <w:txbxContent>
                          <w:p w14:paraId="32D3848B" w14:textId="77777777" w:rsidR="000370C5" w:rsidRPr="00F12D87" w:rsidRDefault="000370C5" w:rsidP="000370C5">
                            <w:pPr>
                              <w:jc w:val="center"/>
                              <w:rPr>
                                <w:rFonts w:ascii="Arial" w:hAnsi="Arial" w:cs="Arial"/>
                              </w:rPr>
                            </w:pPr>
                            <w:r w:rsidRPr="00F12D87">
                              <w:rPr>
                                <w:rFonts w:ascii="Arial" w:hAnsi="Arial" w:cs="Arial"/>
                              </w:rPr>
                              <w:t>Cost</w:t>
                            </w:r>
                          </w:p>
                        </w:txbxContent>
                      </wps:txbx>
                      <wps:bodyPr rot="0" spcFirstLastPara="0" vertOverflow="clip" horzOverflow="clip"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BE90A" id="Text Box 1649003136" o:spid="_x0000_s1029" type="#_x0000_t202" style="position:absolute;left:0;text-align:left;margin-left:0;margin-top:6.95pt;width:27.95pt;height:75.9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" fillcolor="window" strokeweight=".5pt">
                <v:textbox style="layout-flow:vertical;mso-layout-flow-alt:bottom-to-top">
                  <w:txbxContent>
                    <w:p w14:paraId="32D3848B" w14:textId="77777777" w:rsidR="000370C5" w:rsidRPr="00F12D87" w:rsidRDefault="000370C5" w:rsidP="000370C5">
                      <w:pPr>
                        <w:jc w:val="center"/>
                        <w:rPr>
                          <w:rFonts w:ascii="Arial" w:hAnsi="Arial" w:cs="Arial"/>
                        </w:rPr>
                      </w:pPr>
                      <w:r w:rsidRPr="00F12D87">
                        <w:rPr>
                          <w:rFonts w:ascii="Arial" w:hAnsi="Arial" w:cs="Arial"/>
                        </w:rPr>
                        <w:t>Cost</w:t>
                      </w:r>
                    </w:p>
                  </w:txbxContent>
                </v:textbox>
                <w10:wrap anchorx="margin"/>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500D612D" wp14:editId="2C55DABC">
                <wp:simplePos x="0" y="0"/>
                <wp:positionH relativeFrom="column">
                  <wp:posOffset>3329940</wp:posOffset>
                </wp:positionH>
                <wp:positionV relativeFrom="paragraph">
                  <wp:posOffset>52705</wp:posOffset>
                </wp:positionV>
                <wp:extent cx="290830" cy="1072515"/>
                <wp:effectExtent l="0" t="0" r="13970" b="13335"/>
                <wp:wrapNone/>
                <wp:docPr id="207351524" name="Right Bracket 207351524"/>
                <wp:cNvGraphicFramePr/>
                <a:graphic xmlns:a="http://schemas.openxmlformats.org/drawingml/2006/main">
                  <a:graphicData uri="http://schemas.microsoft.com/office/word/2010/wordprocessingShape">
                    <wps:wsp>
                      <wps:cNvSpPr/>
                      <wps:spPr>
                        <a:xfrm>
                          <a:off x="0" y="0"/>
                          <a:ext cx="290195" cy="1071880"/>
                        </a:xfrm>
                        <a:prstGeom prst="rightBracket">
                          <a:avLst/>
                        </a:prstGeom>
                        <a:noFill/>
                        <a:ln w="254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D276F" id="Right Bracket 207351524" o:spid="_x0000_s1026" type="#_x0000_t86" style="position:absolute;margin-left:262.2pt;margin-top:4.15pt;width:22.9pt;height:8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" adj="487" strokecolor="windowText" strokeweight="2pt">
                <v:stroke joinstyle="miter"/>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2816" behindDoc="0" locked="0" layoutInCell="1" allowOverlap="1" wp14:anchorId="74B51A89" wp14:editId="62C7FB78">
                <wp:simplePos x="0" y="0"/>
                <wp:positionH relativeFrom="margin">
                  <wp:posOffset>3216910</wp:posOffset>
                </wp:positionH>
                <wp:positionV relativeFrom="paragraph">
                  <wp:posOffset>112395</wp:posOffset>
                </wp:positionV>
                <wp:extent cx="354965" cy="964565"/>
                <wp:effectExtent l="0" t="0" r="26035" b="26035"/>
                <wp:wrapNone/>
                <wp:docPr id="522272453" name="Text Box 522272453"/>
                <wp:cNvGraphicFramePr/>
                <a:graphic xmlns:a="http://schemas.openxmlformats.org/drawingml/2006/main">
                  <a:graphicData uri="http://schemas.microsoft.com/office/word/2010/wordprocessingShape">
                    <wps:wsp>
                      <wps:cNvSpPr txBox="1"/>
                      <wps:spPr>
                        <a:xfrm>
                          <a:off x="0" y="0"/>
                          <a:ext cx="354965" cy="964565"/>
                        </a:xfrm>
                        <a:prstGeom prst="rect">
                          <a:avLst/>
                        </a:prstGeom>
                        <a:solidFill>
                          <a:sysClr val="window" lastClr="FFFFFF"/>
                        </a:solidFill>
                        <a:ln w="6350">
                          <a:solidFill>
                            <a:prstClr val="black"/>
                          </a:solidFill>
                        </a:ln>
                      </wps:spPr>
                      <wps:txbx>
                        <w:txbxContent>
                          <w:p w14:paraId="005D89B0" w14:textId="77777777" w:rsidR="000370C5" w:rsidRPr="00F12D87" w:rsidRDefault="000370C5" w:rsidP="000370C5">
                            <w:pPr>
                              <w:jc w:val="center"/>
                              <w:rPr>
                                <w:rFonts w:ascii="Arial" w:hAnsi="Arial" w:cs="Arial"/>
                              </w:rPr>
                            </w:pPr>
                            <w:r w:rsidRPr="00F12D87">
                              <w:rPr>
                                <w:rFonts w:ascii="Arial" w:hAnsi="Arial" w:cs="Arial"/>
                              </w:rPr>
                              <w:t>Cost</w:t>
                            </w:r>
                          </w:p>
                        </w:txbxContent>
                      </wps:txbx>
                      <wps:bodyPr rot="0" spcFirstLastPara="0" vertOverflow="clip" horzOverflow="clip"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51A89" id="Text Box 522272453" o:spid="_x0000_s1030" type="#_x0000_t202" style="position:absolute;left:0;text-align:left;margin-left:253.3pt;margin-top:8.85pt;width:27.95pt;height:75.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" fillcolor="window" strokeweight=".5pt">
                <v:textbox style="layout-flow:vertical;mso-layout-flow-alt:bottom-to-top">
                  <w:txbxContent>
                    <w:p w14:paraId="005D89B0" w14:textId="77777777" w:rsidR="000370C5" w:rsidRPr="00F12D87" w:rsidRDefault="000370C5" w:rsidP="000370C5">
                      <w:pPr>
                        <w:jc w:val="center"/>
                        <w:rPr>
                          <w:rFonts w:ascii="Arial" w:hAnsi="Arial" w:cs="Arial"/>
                        </w:rPr>
                      </w:pPr>
                      <w:r w:rsidRPr="00F12D87">
                        <w:rPr>
                          <w:rFonts w:ascii="Arial" w:hAnsi="Arial" w:cs="Arial"/>
                        </w:rPr>
                        <w:t>Cost</w:t>
                      </w:r>
                    </w:p>
                  </w:txbxContent>
                </v:textbox>
                <w10:wrap anchorx="margin"/>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5888" behindDoc="0" locked="0" layoutInCell="1" allowOverlap="1" wp14:anchorId="2D07149E" wp14:editId="03AECC11">
                <wp:simplePos x="0" y="0"/>
                <wp:positionH relativeFrom="column">
                  <wp:posOffset>3712845</wp:posOffset>
                </wp:positionH>
                <wp:positionV relativeFrom="paragraph">
                  <wp:posOffset>163830</wp:posOffset>
                </wp:positionV>
                <wp:extent cx="739140" cy="340995"/>
                <wp:effectExtent l="0" t="38100" r="60960" b="20955"/>
                <wp:wrapNone/>
                <wp:docPr id="1974139575" name="Straight Arrow Connector 1974139575"/>
                <wp:cNvGraphicFramePr/>
                <a:graphic xmlns:a="http://schemas.openxmlformats.org/drawingml/2006/main">
                  <a:graphicData uri="http://schemas.microsoft.com/office/word/2010/wordprocessingShape">
                    <wps:wsp>
                      <wps:cNvCnPr/>
                      <wps:spPr>
                        <a:xfrm flipV="1">
                          <a:off x="0" y="0"/>
                          <a:ext cx="739140" cy="34099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372E4A0" id="Straight Arrow Connector 1974139575" o:spid="_x0000_s1026" type="#_x0000_t32" style="position:absolute;margin-left:292.35pt;margin-top:12.9pt;width:58.2pt;height:26.8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" strokecolor="windowText" strokeweight="2pt">
                <v:stroke endarrow="block" joinstyle="miter"/>
              </v:shape>
            </w:pict>
          </mc:Fallback>
        </mc:AlternateContent>
      </w: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6912" behindDoc="0" locked="0" layoutInCell="1" allowOverlap="1" wp14:anchorId="63D75368" wp14:editId="56A7B591">
                <wp:simplePos x="0" y="0"/>
                <wp:positionH relativeFrom="column">
                  <wp:posOffset>3716020</wp:posOffset>
                </wp:positionH>
                <wp:positionV relativeFrom="paragraph">
                  <wp:posOffset>690245</wp:posOffset>
                </wp:positionV>
                <wp:extent cx="750570" cy="251460"/>
                <wp:effectExtent l="0" t="0" r="68580" b="72390"/>
                <wp:wrapNone/>
                <wp:docPr id="1345153185" name="Straight Arrow Connector 1345153185"/>
                <wp:cNvGraphicFramePr/>
                <a:graphic xmlns:a="http://schemas.openxmlformats.org/drawingml/2006/main">
                  <a:graphicData uri="http://schemas.microsoft.com/office/word/2010/wordprocessingShape">
                    <wps:wsp>
                      <wps:cNvCnPr/>
                      <wps:spPr>
                        <a:xfrm>
                          <a:off x="0" y="0"/>
                          <a:ext cx="750570" cy="250825"/>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09FC52" id="Straight Arrow Connector 1345153185" o:spid="_x0000_s1026" type="#_x0000_t32" style="position:absolute;margin-left:292.6pt;margin-top:54.35pt;width:59.1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" strokecolor="windowText" strokeweight="2pt">
                <v:stroke endarrow="block" joinstyle="miter"/>
              </v:shape>
            </w:pict>
          </mc:Fallback>
        </mc:AlternateContent>
      </w:r>
    </w:p>
    <w:p w14:paraId="57A376FA" w14:textId="77777777" w:rsidR="000370C5" w:rsidRPr="006E4CF7" w:rsidRDefault="000370C5" w:rsidP="000370C5">
      <w:pPr>
        <w:spacing w:after="240" w:line="360" w:lineRule="auto"/>
        <w:jc w:val="both"/>
        <w:rPr>
          <w:rFonts w:ascii="Times New Roman" w:hAnsi="Times New Roman" w:cs="Times New Roman"/>
          <w:bCs/>
          <w:sz w:val="24"/>
          <w:szCs w:val="24"/>
        </w:rPr>
      </w:pP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7936" behindDoc="0" locked="0" layoutInCell="1" allowOverlap="1" wp14:anchorId="7AED4E05" wp14:editId="7CD7078E">
                <wp:simplePos x="0" y="0"/>
                <wp:positionH relativeFrom="column">
                  <wp:posOffset>4837430</wp:posOffset>
                </wp:positionH>
                <wp:positionV relativeFrom="paragraph">
                  <wp:posOffset>159385</wp:posOffset>
                </wp:positionV>
                <wp:extent cx="462280" cy="242570"/>
                <wp:effectExtent l="0" t="23495" r="47625" b="47625"/>
                <wp:wrapNone/>
                <wp:docPr id="943567180" name="Arrow: Left-Right 943567180"/>
                <wp:cNvGraphicFramePr/>
                <a:graphic xmlns:a="http://schemas.openxmlformats.org/drawingml/2006/main">
                  <a:graphicData uri="http://schemas.microsoft.com/office/word/2010/wordprocessingShape">
                    <wps:wsp>
                      <wps:cNvSpPr/>
                      <wps:spPr>
                        <a:xfrm rot="5400000">
                          <a:off x="0" y="0"/>
                          <a:ext cx="462280" cy="242570"/>
                        </a:xfrm>
                        <a:prstGeom prst="leftRightArrow">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A4950" id="Arrow: Left-Right 943567180" o:spid="_x0000_s1026" type="#_x0000_t69" style="position:absolute;margin-left:380.9pt;margin-top:12.55pt;width:36.4pt;height:19.1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" adj="5667" fillcolor="window" strokeweight="1pt"/>
            </w:pict>
          </mc:Fallback>
        </mc:AlternateContent>
      </w:r>
    </w:p>
    <w:p w14:paraId="35184763" w14:textId="77777777" w:rsidR="000370C5" w:rsidRPr="006E4CF7" w:rsidRDefault="000370C5" w:rsidP="000370C5">
      <w:pPr>
        <w:spacing w:after="240" w:line="360" w:lineRule="auto"/>
        <w:jc w:val="both"/>
        <w:rPr>
          <w:rFonts w:ascii="Times New Roman" w:hAnsi="Times New Roman" w:cs="Times New Roman"/>
          <w:bCs/>
          <w:sz w:val="24"/>
          <w:szCs w:val="24"/>
        </w:rPr>
      </w:pPr>
      <w:r w:rsidRPr="006E4CF7">
        <w:rPr>
          <w:rFonts w:ascii="Times New Roman" w:hAnsi="Times New Roman" w:cs="Times New Roman"/>
          <w:noProof/>
          <w:sz w:val="24"/>
          <w:szCs w:val="24"/>
          <w:lang w:eastAsia="en-GB"/>
        </w:rPr>
        <mc:AlternateContent>
          <mc:Choice Requires="wps">
            <w:drawing>
              <wp:anchor distT="0" distB="0" distL="114300" distR="114300" simplePos="0" relativeHeight="251683840" behindDoc="0" locked="0" layoutInCell="1" allowOverlap="1" wp14:anchorId="6049C899" wp14:editId="09A172B9">
                <wp:simplePos x="0" y="0"/>
                <wp:positionH relativeFrom="margin">
                  <wp:posOffset>4616450</wp:posOffset>
                </wp:positionH>
                <wp:positionV relativeFrom="paragraph">
                  <wp:posOffset>161290</wp:posOffset>
                </wp:positionV>
                <wp:extent cx="962025" cy="425450"/>
                <wp:effectExtent l="0" t="0" r="28575" b="12700"/>
                <wp:wrapNone/>
                <wp:docPr id="1135659331" name="Text Box 1135659331"/>
                <wp:cNvGraphicFramePr/>
                <a:graphic xmlns:a="http://schemas.openxmlformats.org/drawingml/2006/main">
                  <a:graphicData uri="http://schemas.microsoft.com/office/word/2010/wordprocessingShape">
                    <wps:wsp>
                      <wps:cNvSpPr txBox="1"/>
                      <wps:spPr>
                        <a:xfrm>
                          <a:off x="0" y="0"/>
                          <a:ext cx="962025" cy="425450"/>
                        </a:xfrm>
                        <a:prstGeom prst="rect">
                          <a:avLst/>
                        </a:prstGeom>
                        <a:solidFill>
                          <a:sysClr val="window" lastClr="FFFFFF"/>
                        </a:solidFill>
                        <a:ln w="6350">
                          <a:solidFill>
                            <a:prstClr val="black"/>
                          </a:solidFill>
                        </a:ln>
                      </wps:spPr>
                      <wps:txbx>
                        <w:txbxContent>
                          <w:p w14:paraId="55039D2E"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External/</w:t>
                            </w:r>
                          </w:p>
                          <w:p w14:paraId="06B1C3CF"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Innovate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9C899" id="Text Box 1135659331" o:spid="_x0000_s1031" type="#_x0000_t202" style="position:absolute;left:0;text-align:left;margin-left:363.5pt;margin-top:12.7pt;width:75.75pt;height:3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" fillcolor="window" strokeweight=".5pt">
                <v:textbox>
                  <w:txbxContent>
                    <w:p w14:paraId="55039D2E"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External/</w:t>
                      </w:r>
                    </w:p>
                    <w:p w14:paraId="06B1C3CF" w14:textId="77777777" w:rsidR="000370C5" w:rsidRPr="00F12D87" w:rsidRDefault="000370C5" w:rsidP="000370C5">
                      <w:pPr>
                        <w:jc w:val="center"/>
                        <w:rPr>
                          <w:rFonts w:ascii="Arial" w:hAnsi="Arial" w:cs="Arial"/>
                          <w:sz w:val="20"/>
                          <w:szCs w:val="20"/>
                        </w:rPr>
                      </w:pPr>
                      <w:r w:rsidRPr="00F12D87">
                        <w:rPr>
                          <w:rFonts w:ascii="Arial" w:hAnsi="Arial" w:cs="Arial"/>
                          <w:sz w:val="20"/>
                          <w:szCs w:val="20"/>
                        </w:rPr>
                        <w:t>Innovate</w:t>
                      </w:r>
                    </w:p>
                  </w:txbxContent>
                </v:textbox>
                <w10:wrap anchorx="margin"/>
              </v:shape>
            </w:pict>
          </mc:Fallback>
        </mc:AlternateContent>
      </w:r>
    </w:p>
    <w:p w14:paraId="437B0A50" w14:textId="77777777" w:rsidR="000370C5" w:rsidRPr="006E4CF7" w:rsidRDefault="000370C5" w:rsidP="000370C5">
      <w:pPr>
        <w:spacing w:after="240" w:line="360" w:lineRule="auto"/>
        <w:jc w:val="both"/>
        <w:rPr>
          <w:rFonts w:ascii="Times New Roman" w:hAnsi="Times New Roman" w:cs="Times New Roman"/>
          <w:sz w:val="24"/>
          <w:szCs w:val="24"/>
        </w:rPr>
      </w:pPr>
    </w:p>
    <w:p w14:paraId="47D8E56F" w14:textId="6CCA0E01" w:rsidR="00BF1C27" w:rsidRPr="006E4CF7" w:rsidRDefault="00BF1C27" w:rsidP="00D05062">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The significance of institutional factors in HE for either fostering or impeding teaching innovation has been thoroughly examined in the literature, with notable contributions from </w:t>
      </w:r>
      <w:proofErr w:type="spellStart"/>
      <w:r w:rsidRPr="006E4CF7">
        <w:rPr>
          <w:rFonts w:ascii="Times New Roman" w:hAnsi="Times New Roman" w:cs="Times New Roman"/>
          <w:sz w:val="24"/>
          <w:szCs w:val="24"/>
        </w:rPr>
        <w:t>Hasanefendic</w:t>
      </w:r>
      <w:proofErr w:type="spellEnd"/>
      <w:r w:rsidRPr="006E4CF7">
        <w:rPr>
          <w:rFonts w:ascii="Times New Roman" w:hAnsi="Times New Roman" w:cs="Times New Roman"/>
          <w:sz w:val="24"/>
          <w:szCs w:val="24"/>
        </w:rPr>
        <w:t xml:space="preserve"> et al. (2017), Degn (2016), and O’Meara et al. (2008). These studies highlight the role of institutional constraints and the prevailing academic culture as barriers to the development of teaching practices, emphasi</w:t>
      </w:r>
      <w:r w:rsidR="006B6D27" w:rsidRPr="006E4CF7">
        <w:rPr>
          <w:rFonts w:ascii="Times New Roman" w:hAnsi="Times New Roman" w:cs="Times New Roman"/>
          <w:sz w:val="24"/>
          <w:szCs w:val="24"/>
        </w:rPr>
        <w:t>s</w:t>
      </w:r>
      <w:r w:rsidRPr="006E4CF7">
        <w:rPr>
          <w:rFonts w:ascii="Times New Roman" w:hAnsi="Times New Roman" w:cs="Times New Roman"/>
          <w:sz w:val="24"/>
          <w:szCs w:val="24"/>
        </w:rPr>
        <w:t xml:space="preserve">ing a crucial connection between institutional frameworks and the recognition of teaching efforts. Aiming to encapsulate the complexity detailed in Williamson's framework, our model zeroes in on the concept of </w:t>
      </w:r>
      <w:r w:rsidRPr="006E4CF7">
        <w:rPr>
          <w:rFonts w:ascii="Times New Roman" w:hAnsi="Times New Roman" w:cs="Times New Roman"/>
          <w:i/>
          <w:iCs/>
          <w:sz w:val="24"/>
          <w:szCs w:val="24"/>
        </w:rPr>
        <w:t>‘net benefit from creation’</w:t>
      </w:r>
      <w:r w:rsidRPr="006E4CF7">
        <w:rPr>
          <w:rFonts w:ascii="Times New Roman" w:hAnsi="Times New Roman" w:cs="Times New Roman"/>
          <w:sz w:val="24"/>
          <w:szCs w:val="24"/>
        </w:rPr>
        <w:t>. This determines an academic</w:t>
      </w:r>
      <w:r w:rsidR="006B6D27" w:rsidRPr="006E4CF7">
        <w:rPr>
          <w:rFonts w:ascii="Times New Roman" w:hAnsi="Times New Roman" w:cs="Times New Roman"/>
          <w:sz w:val="24"/>
          <w:szCs w:val="24"/>
        </w:rPr>
        <w:t>’</w:t>
      </w:r>
      <w:r w:rsidRPr="006E4CF7">
        <w:rPr>
          <w:rFonts w:ascii="Times New Roman" w:hAnsi="Times New Roman" w:cs="Times New Roman"/>
          <w:sz w:val="24"/>
          <w:szCs w:val="24"/>
        </w:rPr>
        <w:t xml:space="preserve">s propensity for pedagogical innovation—if the net benefit is positive—or for maintaining existing practices without innovation if the net benefit is negative. To further explore this dynamic, </w:t>
      </w:r>
      <w:r w:rsidR="00E841CE" w:rsidRPr="006E4CF7">
        <w:rPr>
          <w:rFonts w:ascii="Times New Roman" w:hAnsi="Times New Roman" w:cs="Times New Roman"/>
          <w:sz w:val="24"/>
          <w:szCs w:val="24"/>
        </w:rPr>
        <w:t xml:space="preserve">as illustrated in Figure 2, </w:t>
      </w:r>
      <w:r w:rsidRPr="006E4CF7">
        <w:rPr>
          <w:rFonts w:ascii="Times New Roman" w:hAnsi="Times New Roman" w:cs="Times New Roman"/>
          <w:sz w:val="24"/>
          <w:szCs w:val="24"/>
        </w:rPr>
        <w:t>we break down the influence of esteem uncertainty on academic behaviour into two components: Production Costs and Governance.</w:t>
      </w:r>
    </w:p>
    <w:p w14:paraId="7F382E8D" w14:textId="0749A3BC" w:rsidR="00E841CE" w:rsidRPr="006E4CF7" w:rsidRDefault="00BF1C27" w:rsidP="00D05062">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Beginning from a point where esteem uncertainty is low and its effect on the net benefits from creation is neutral, the Production Costs Line </w:t>
      </w:r>
      <w:r w:rsidRPr="006E4CF7">
        <w:rPr>
          <w:rFonts w:ascii="Times New Roman" w:hAnsi="Times New Roman" w:cs="Times New Roman"/>
          <w:i/>
          <w:iCs/>
          <w:sz w:val="24"/>
          <w:szCs w:val="24"/>
        </w:rPr>
        <w:t>(∆P)</w:t>
      </w:r>
      <w:r w:rsidRPr="006E4CF7">
        <w:rPr>
          <w:rFonts w:ascii="Times New Roman" w:hAnsi="Times New Roman" w:cs="Times New Roman"/>
          <w:sz w:val="24"/>
          <w:szCs w:val="24"/>
        </w:rPr>
        <w:t xml:space="preserve"> slowly moves downward, entering negative territory, as esteem uncertainty within the HE institution rises. </w:t>
      </w:r>
      <w:r w:rsidR="00953E81" w:rsidRPr="006E4CF7">
        <w:rPr>
          <w:rFonts w:ascii="Times New Roman" w:hAnsi="Times New Roman" w:cs="Times New Roman"/>
          <w:sz w:val="24"/>
          <w:szCs w:val="24"/>
        </w:rPr>
        <w:t>This delineation captures how the direct costs—encompassing time, effort, and material resources—associated with developing and implementing innovative teaching methods become a significant burden. In environments characteri</w:t>
      </w:r>
      <w:r w:rsidRPr="006E4CF7">
        <w:rPr>
          <w:rFonts w:ascii="Times New Roman" w:hAnsi="Times New Roman" w:cs="Times New Roman"/>
          <w:sz w:val="24"/>
          <w:szCs w:val="24"/>
        </w:rPr>
        <w:t>s</w:t>
      </w:r>
      <w:r w:rsidR="00953E81" w:rsidRPr="006E4CF7">
        <w:rPr>
          <w:rFonts w:ascii="Times New Roman" w:hAnsi="Times New Roman" w:cs="Times New Roman"/>
          <w:sz w:val="24"/>
          <w:szCs w:val="24"/>
        </w:rPr>
        <w:t>ed by high esteem uncertainty, where the value and recognition of teaching efforts are</w:t>
      </w:r>
      <w:r w:rsidR="006B6D27" w:rsidRPr="006E4CF7">
        <w:rPr>
          <w:rFonts w:ascii="Times New Roman" w:hAnsi="Times New Roman" w:cs="Times New Roman"/>
          <w:sz w:val="24"/>
          <w:szCs w:val="24"/>
        </w:rPr>
        <w:t xml:space="preserve"> particularly</w:t>
      </w:r>
      <w:r w:rsidR="00953E81" w:rsidRPr="006E4CF7">
        <w:rPr>
          <w:rFonts w:ascii="Times New Roman" w:hAnsi="Times New Roman" w:cs="Times New Roman"/>
          <w:sz w:val="24"/>
          <w:szCs w:val="24"/>
        </w:rPr>
        <w:t xml:space="preserve"> ambiguous, these escalating costs directly detract from the net benefits of innovation.</w:t>
      </w:r>
      <w:r w:rsidR="0014325B" w:rsidRPr="006E4CF7">
        <w:rPr>
          <w:rFonts w:ascii="Times New Roman" w:hAnsi="Times New Roman" w:cs="Times New Roman"/>
          <w:sz w:val="24"/>
          <w:szCs w:val="24"/>
        </w:rPr>
        <w:t xml:space="preserve">  </w:t>
      </w:r>
      <w:r w:rsidR="00953E81" w:rsidRPr="006E4CF7">
        <w:rPr>
          <w:rFonts w:ascii="Times New Roman" w:hAnsi="Times New Roman" w:cs="Times New Roman"/>
          <w:sz w:val="24"/>
          <w:szCs w:val="24"/>
        </w:rPr>
        <w:t xml:space="preserve">Academics, confronted with this increasing cost burden, </w:t>
      </w:r>
      <w:r w:rsidR="0070794E" w:rsidRPr="006E4CF7">
        <w:rPr>
          <w:rFonts w:ascii="Times New Roman" w:hAnsi="Times New Roman" w:cs="Times New Roman"/>
          <w:sz w:val="24"/>
          <w:szCs w:val="24"/>
        </w:rPr>
        <w:t xml:space="preserve">will </w:t>
      </w:r>
      <w:r w:rsidR="00953E81" w:rsidRPr="006E4CF7">
        <w:rPr>
          <w:rFonts w:ascii="Times New Roman" w:hAnsi="Times New Roman" w:cs="Times New Roman"/>
          <w:sz w:val="24"/>
          <w:szCs w:val="24"/>
        </w:rPr>
        <w:t xml:space="preserve">naturally gravitate towards more resource-efficient strategies. This includes leveraging readily available </w:t>
      </w:r>
      <w:r w:rsidR="00953E81" w:rsidRPr="006E4CF7">
        <w:rPr>
          <w:rFonts w:ascii="Times New Roman" w:hAnsi="Times New Roman" w:cs="Times New Roman"/>
          <w:sz w:val="24"/>
          <w:szCs w:val="24"/>
        </w:rPr>
        <w:lastRenderedPageBreak/>
        <w:t>textbook resources or recycling materials from previous courses, actions that stem not from a reluctance to innovate but from a rational adaptation to a context where the potential rewards for innovation are mired in uncertainty</w:t>
      </w:r>
      <w:r w:rsidR="00EB7A67" w:rsidRPr="006E4CF7">
        <w:rPr>
          <w:rFonts w:ascii="Times New Roman" w:hAnsi="Times New Roman" w:cs="Times New Roman"/>
          <w:sz w:val="24"/>
          <w:szCs w:val="24"/>
        </w:rPr>
        <w:t xml:space="preserve">, or workload </w:t>
      </w:r>
      <w:r w:rsidR="00D30347" w:rsidRPr="006E4CF7">
        <w:rPr>
          <w:rFonts w:ascii="Times New Roman" w:hAnsi="Times New Roman" w:cs="Times New Roman"/>
          <w:sz w:val="24"/>
          <w:szCs w:val="24"/>
        </w:rPr>
        <w:t>levels, as reported by Arico et al (2024)</w:t>
      </w:r>
      <w:r w:rsidR="00953E81" w:rsidRPr="006E4CF7">
        <w:rPr>
          <w:rFonts w:ascii="Times New Roman" w:hAnsi="Times New Roman" w:cs="Times New Roman"/>
          <w:sz w:val="24"/>
          <w:szCs w:val="24"/>
        </w:rPr>
        <w:t>. Consequently, this pragmatic shift towards minimi</w:t>
      </w:r>
      <w:r w:rsidRPr="006E4CF7">
        <w:rPr>
          <w:rFonts w:ascii="Times New Roman" w:hAnsi="Times New Roman" w:cs="Times New Roman"/>
          <w:sz w:val="24"/>
          <w:szCs w:val="24"/>
        </w:rPr>
        <w:t>s</w:t>
      </w:r>
      <w:r w:rsidR="00953E81" w:rsidRPr="006E4CF7">
        <w:rPr>
          <w:rFonts w:ascii="Times New Roman" w:hAnsi="Times New Roman" w:cs="Times New Roman"/>
          <w:sz w:val="24"/>
          <w:szCs w:val="24"/>
        </w:rPr>
        <w:t>ing resource expenditure by relying on established materials rather than venturing into the creation of bespoke, innovative content becomes a strategic response to the amplified financial and personal investments demanded by an unclear institutional valuation of teaching innovation</w:t>
      </w:r>
      <w:r w:rsidR="00FF7202" w:rsidRPr="006E4CF7">
        <w:rPr>
          <w:rFonts w:ascii="Times New Roman" w:hAnsi="Times New Roman" w:cs="Times New Roman"/>
          <w:sz w:val="24"/>
          <w:szCs w:val="24"/>
        </w:rPr>
        <w:t xml:space="preserve"> (see, for example, Lucas 2006).</w:t>
      </w:r>
    </w:p>
    <w:p w14:paraId="54442C69" w14:textId="295EDB2C" w:rsidR="004678B1" w:rsidRPr="006E4CF7" w:rsidRDefault="004678B1" w:rsidP="00D05062">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The Governance Effects Line </w:t>
      </w:r>
      <w:r w:rsidRPr="006E4CF7">
        <w:rPr>
          <w:rFonts w:ascii="Times New Roman" w:hAnsi="Times New Roman" w:cs="Times New Roman"/>
          <w:i/>
          <w:iCs/>
          <w:sz w:val="24"/>
          <w:szCs w:val="24"/>
        </w:rPr>
        <w:t>(∆G</w:t>
      </w:r>
      <w:r w:rsidRPr="006E4CF7">
        <w:rPr>
          <w:rFonts w:ascii="Times New Roman" w:hAnsi="Times New Roman" w:cs="Times New Roman"/>
          <w:sz w:val="24"/>
          <w:szCs w:val="24"/>
        </w:rPr>
        <w:t xml:space="preserve">) tracks how the allure of indirect benefits from pedagogical innovation—such as career advancement and professional recognition—fades as esteem uncertainty in </w:t>
      </w:r>
      <w:r w:rsidR="006B6D27" w:rsidRPr="006E4CF7">
        <w:rPr>
          <w:rFonts w:ascii="Times New Roman" w:hAnsi="Times New Roman" w:cs="Times New Roman"/>
          <w:sz w:val="24"/>
          <w:szCs w:val="24"/>
        </w:rPr>
        <w:t>HE</w:t>
      </w:r>
      <w:r w:rsidRPr="006E4CF7">
        <w:rPr>
          <w:rFonts w:ascii="Times New Roman" w:hAnsi="Times New Roman" w:cs="Times New Roman"/>
          <w:sz w:val="24"/>
          <w:szCs w:val="24"/>
        </w:rPr>
        <w:t xml:space="preserve"> increases. Initially, when uncertainty is low, these incentives are compelling, offering clear prospects for career progression and accolades, thereby fostering a climate that rewards innovative teaching. However, as uncertainty grows, the line dips, indicating a decline in these motivational forces. This decrease suggests that while the possibility of rewards persists, their perceived value and likelihood diminish, weakening the connection between innovation and career advancement. Academics may then lean towards the safer route of traditional teaching methods, recalibrating their expectations and approaches in light of reduced incentives for innovation, leading to a more cautious engagement with new pedagogical strategies.</w:t>
      </w:r>
    </w:p>
    <w:p w14:paraId="7E90F265" w14:textId="1CECEBD3" w:rsidR="00FC099B" w:rsidRPr="006E4CF7" w:rsidRDefault="00FC099B" w:rsidP="00D05062">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To synthesi</w:t>
      </w:r>
      <w:r w:rsidR="00EA1F29" w:rsidRPr="006E4CF7">
        <w:rPr>
          <w:rFonts w:ascii="Times New Roman" w:hAnsi="Times New Roman" w:cs="Times New Roman"/>
          <w:sz w:val="24"/>
          <w:szCs w:val="24"/>
        </w:rPr>
        <w:t>s</w:t>
      </w:r>
      <w:r w:rsidRPr="006E4CF7">
        <w:rPr>
          <w:rFonts w:ascii="Times New Roman" w:hAnsi="Times New Roman" w:cs="Times New Roman"/>
          <w:sz w:val="24"/>
          <w:szCs w:val="24"/>
        </w:rPr>
        <w:t>e the insights from both Production Costs and Governance Effects, Figure 2 combines these elements to illustrate the overall net impact on the incentive for pedagogical innovation against the backdrop of esteem uncertainty. The intersection of these lines with the esteem uncertainty axis is identified as the ‘</w:t>
      </w:r>
      <w:r w:rsidRPr="006E4CF7">
        <w:rPr>
          <w:rFonts w:ascii="Times New Roman" w:hAnsi="Times New Roman" w:cs="Times New Roman"/>
          <w:i/>
          <w:iCs/>
          <w:sz w:val="24"/>
          <w:szCs w:val="24"/>
        </w:rPr>
        <w:t>Pedagogical Decision Point’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P</w:t>
      </w:r>
      <w:r w:rsidRPr="006E4CF7">
        <w:rPr>
          <w:rFonts w:ascii="Times New Roman" w:hAnsi="Times New Roman" w:cs="Times New Roman"/>
          <w:sz w:val="24"/>
          <w:szCs w:val="24"/>
        </w:rPr>
        <w:t xml:space="preserve">). This critical juncture marks the threshold of esteem uncertainty beyond which the costs and diminishing indirect benefits collectively influence academic behaviour towards teaching innovation. To the left of this point, esteem uncertainties are sufficiently low, indicating that the environment is conducive to pedagogical creation; the net benefits of innovation, despite the costs, are bolstered by the indirect benefits associated with career progression and recognition. Conversely, to the right of </w:t>
      </w:r>
      <w:r w:rsidR="004678B1" w:rsidRPr="006E4CF7">
        <w:rPr>
          <w:rFonts w:ascii="Times New Roman" w:hAnsi="Times New Roman" w:cs="Times New Roman"/>
          <w:i/>
          <w:iCs/>
          <w:sz w:val="24"/>
          <w:szCs w:val="24"/>
        </w:rPr>
        <w:t>P</w:t>
      </w:r>
      <w:r w:rsidRPr="006E4CF7">
        <w:rPr>
          <w:rFonts w:ascii="Times New Roman" w:hAnsi="Times New Roman" w:cs="Times New Roman"/>
          <w:sz w:val="24"/>
          <w:szCs w:val="24"/>
        </w:rPr>
        <w:t xml:space="preserve">, esteem uncertainty reaches levels that significantly dampen the incentives for innovation. Here, the cumulative impact of higher direct costs and the weakened strength of governance effects push academics towards a more conservative outlook, where the risks and uncertainties associated with pedagogical innovation are deemed too great, leading </w:t>
      </w:r>
      <w:r w:rsidRPr="006E4CF7">
        <w:rPr>
          <w:rFonts w:ascii="Times New Roman" w:hAnsi="Times New Roman" w:cs="Times New Roman"/>
          <w:sz w:val="24"/>
          <w:szCs w:val="24"/>
        </w:rPr>
        <w:lastRenderedPageBreak/>
        <w:t>to a preference for adhering to established teaching practices over exploring new, potentially unrewarded pedagogical strategies.</w:t>
      </w:r>
    </w:p>
    <w:p w14:paraId="22463E8F" w14:textId="13BCB968" w:rsidR="000370C5" w:rsidRPr="006E4CF7" w:rsidRDefault="00551759" w:rsidP="00C22DD2">
      <w:pPr>
        <w:spacing w:after="240" w:line="360" w:lineRule="auto"/>
        <w:jc w:val="both"/>
        <w:rPr>
          <w:rFonts w:ascii="Times New Roman" w:hAnsi="Times New Roman" w:cs="Times New Roman"/>
          <w:sz w:val="24"/>
          <w:szCs w:val="24"/>
        </w:rPr>
      </w:pPr>
      <w:r w:rsidRPr="006E4CF7">
        <w:rPr>
          <w:noProof/>
        </w:rPr>
        <mc:AlternateContent>
          <mc:Choice Requires="wps">
            <w:drawing>
              <wp:anchor distT="0" distB="0" distL="114300" distR="114300" simplePos="0" relativeHeight="251689984" behindDoc="0" locked="0" layoutInCell="1" allowOverlap="1" wp14:anchorId="4A219975" wp14:editId="508CAE80">
                <wp:simplePos x="0" y="0"/>
                <wp:positionH relativeFrom="column">
                  <wp:posOffset>3638550</wp:posOffset>
                </wp:positionH>
                <wp:positionV relativeFrom="paragraph">
                  <wp:posOffset>1422400</wp:posOffset>
                </wp:positionV>
                <wp:extent cx="266700" cy="266700"/>
                <wp:effectExtent l="0" t="0" r="0" b="0"/>
                <wp:wrapNone/>
                <wp:docPr id="516418293" name="Text Box 2"/>
                <wp:cNvGraphicFramePr/>
                <a:graphic xmlns:a="http://schemas.openxmlformats.org/drawingml/2006/main">
                  <a:graphicData uri="http://schemas.microsoft.com/office/word/2010/wordprocessingShape">
                    <wps:wsp>
                      <wps:cNvSpPr txBox="1"/>
                      <wps:spPr>
                        <a:xfrm>
                          <a:off x="0" y="0"/>
                          <a:ext cx="266700" cy="266700"/>
                        </a:xfrm>
                        <a:prstGeom prst="rect">
                          <a:avLst/>
                        </a:prstGeom>
                        <a:noFill/>
                        <a:ln w="6350">
                          <a:noFill/>
                        </a:ln>
                      </wps:spPr>
                      <wps:txbx>
                        <w:txbxContent>
                          <w:p w14:paraId="4913FC7E" w14:textId="27105C2A" w:rsidR="00551759" w:rsidRPr="00F12D87" w:rsidRDefault="00FC099B">
                            <w:pPr>
                              <w:rPr>
                                <w:b/>
                                <w:bCs/>
                              </w:rPr>
                            </w:pPr>
                            <w:r w:rsidRPr="00F12D87">
                              <w:rPr>
                                <w:b/>
                                <w:bC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19975" id="Text Box 2" o:spid="_x0000_s1032" type="#_x0000_t202" style="position:absolute;left:0;text-align:left;margin-left:286.5pt;margin-top:112pt;width:21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" filled="f" stroked="f" strokeweight=".5pt">
                <v:textbox>
                  <w:txbxContent>
                    <w:p w14:paraId="4913FC7E" w14:textId="27105C2A" w:rsidR="00551759" w:rsidRPr="00F12D87" w:rsidRDefault="00FC099B">
                      <w:pPr>
                        <w:rPr>
                          <w:b/>
                          <w:bCs/>
                        </w:rPr>
                      </w:pPr>
                      <w:r w:rsidRPr="00F12D87">
                        <w:rPr>
                          <w:b/>
                          <w:bCs/>
                        </w:rPr>
                        <w:t>P</w:t>
                      </w:r>
                    </w:p>
                  </w:txbxContent>
                </v:textbox>
              </v:shape>
            </w:pict>
          </mc:Fallback>
        </mc:AlternateContent>
      </w:r>
      <w:r w:rsidRPr="006E4CF7">
        <w:rPr>
          <w:noProof/>
        </w:rPr>
        <mc:AlternateContent>
          <mc:Choice Requires="wps">
            <w:drawing>
              <wp:anchor distT="0" distB="0" distL="114300" distR="114300" simplePos="0" relativeHeight="251688960" behindDoc="0" locked="0" layoutInCell="1" allowOverlap="1" wp14:anchorId="062D63EF" wp14:editId="61F90816">
                <wp:simplePos x="0" y="0"/>
                <wp:positionH relativeFrom="column">
                  <wp:posOffset>3670300</wp:posOffset>
                </wp:positionH>
                <wp:positionV relativeFrom="paragraph">
                  <wp:posOffset>1612900</wp:posOffset>
                </wp:positionV>
                <wp:extent cx="45719" cy="45719"/>
                <wp:effectExtent l="0" t="0" r="12065" b="12065"/>
                <wp:wrapNone/>
                <wp:docPr id="348906044" name="Oval 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29998C" id="Oval 1" o:spid="_x0000_s1026" style="position:absolute;margin-left:289pt;margin-top:127pt;width:3.6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" fillcolor="#4472c4 [3204]" strokecolor="#09101d [484]" strokeweight="1pt">
                <v:stroke joinstyle="miter"/>
              </v:oval>
            </w:pict>
          </mc:Fallback>
        </mc:AlternateContent>
      </w:r>
      <w:r w:rsidRPr="006E4CF7">
        <w:rPr>
          <w:noProof/>
        </w:rPr>
        <w:drawing>
          <wp:inline distT="0" distB="0" distL="0" distR="0" wp14:anchorId="2A2013BA" wp14:editId="21606BCE">
            <wp:extent cx="5731510" cy="3402330"/>
            <wp:effectExtent l="0" t="0" r="2540" b="7620"/>
            <wp:docPr id="1564734971" name="Chart 1">
              <a:extLst xmlns:a="http://schemas.openxmlformats.org/drawingml/2006/main">
                <a:ext uri="{FF2B5EF4-FFF2-40B4-BE49-F238E27FC236}">
                  <a16:creationId xmlns:a16="http://schemas.microsoft.com/office/drawing/2014/main" id="{9F2EA31F-DEF7-6E3D-EE15-A3E1CA19A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347A18" w14:textId="0AD2195E" w:rsidR="00071034" w:rsidRPr="006E4CF7" w:rsidRDefault="006D0ECD" w:rsidP="00071034">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In summary, our theoretical discussion has illustrated how esteem uncertainty can negate the motivation for innovation among teaching staff. However, considering the impact of esteem uncertainty likely differs across the </w:t>
      </w:r>
      <w:r w:rsidR="0067784B" w:rsidRPr="006E4CF7">
        <w:rPr>
          <w:rFonts w:ascii="Times New Roman" w:hAnsi="Times New Roman" w:cs="Times New Roman"/>
          <w:sz w:val="24"/>
          <w:szCs w:val="24"/>
        </w:rPr>
        <w:t>sector—shaped</w:t>
      </w:r>
      <w:r w:rsidRPr="006E4CF7">
        <w:rPr>
          <w:rFonts w:ascii="Times New Roman" w:hAnsi="Times New Roman" w:cs="Times New Roman"/>
          <w:sz w:val="24"/>
          <w:szCs w:val="24"/>
        </w:rPr>
        <w:t xml:space="preserve"> by how successfully institutions support pedagogical innovation to lessen staff burdens and by their human resource policies that incentivi</w:t>
      </w:r>
      <w:r w:rsidR="00F12D87" w:rsidRPr="006E4CF7">
        <w:rPr>
          <w:rFonts w:ascii="Times New Roman" w:hAnsi="Times New Roman" w:cs="Times New Roman"/>
          <w:sz w:val="24"/>
          <w:szCs w:val="24"/>
        </w:rPr>
        <w:t>s</w:t>
      </w:r>
      <w:r w:rsidRPr="006E4CF7">
        <w:rPr>
          <w:rFonts w:ascii="Times New Roman" w:hAnsi="Times New Roman" w:cs="Times New Roman"/>
          <w:sz w:val="24"/>
          <w:szCs w:val="24"/>
        </w:rPr>
        <w:t xml:space="preserve">e innovative teaching—it becomes crucial to empirically test the effects of esteem uncertainty. This testing is necessary to determine whether, despite the challenges posed by esteem uncertainty, teaching-only contracts might still enhance the student experience overall, highlighting the need for an evidence-based approach to </w:t>
      </w:r>
      <w:r w:rsidR="0067784B" w:rsidRPr="006E4CF7">
        <w:rPr>
          <w:rFonts w:ascii="Times New Roman" w:hAnsi="Times New Roman" w:cs="Times New Roman"/>
          <w:sz w:val="24"/>
          <w:szCs w:val="24"/>
        </w:rPr>
        <w:t>understanding</w:t>
      </w:r>
      <w:r w:rsidRPr="006E4CF7">
        <w:rPr>
          <w:rFonts w:ascii="Times New Roman" w:hAnsi="Times New Roman" w:cs="Times New Roman"/>
          <w:sz w:val="24"/>
          <w:szCs w:val="24"/>
        </w:rPr>
        <w:t xml:space="preserve"> the conditions under which innovation in teaching is fostered or hindered within</w:t>
      </w:r>
      <w:r w:rsidR="000B73FC" w:rsidRPr="006E4CF7">
        <w:rPr>
          <w:rFonts w:ascii="Times New Roman" w:hAnsi="Times New Roman" w:cs="Times New Roman"/>
          <w:sz w:val="24"/>
          <w:szCs w:val="24"/>
        </w:rPr>
        <w:t xml:space="preserve"> universities</w:t>
      </w:r>
    </w:p>
    <w:p w14:paraId="5A453CBE" w14:textId="2D1FC775" w:rsidR="004A5E97" w:rsidRPr="006E4CF7" w:rsidRDefault="00071034" w:rsidP="00071034">
      <w:pPr>
        <w:spacing w:after="240" w:line="360" w:lineRule="auto"/>
        <w:jc w:val="both"/>
        <w:rPr>
          <w:rFonts w:ascii="Times New Roman" w:hAnsi="Times New Roman" w:cs="Times New Roman"/>
          <w:b/>
          <w:bCs/>
          <w:sz w:val="24"/>
          <w:szCs w:val="24"/>
        </w:rPr>
      </w:pPr>
      <w:r w:rsidRPr="006E4CF7">
        <w:rPr>
          <w:rFonts w:ascii="Times New Roman" w:hAnsi="Times New Roman" w:cs="Times New Roman"/>
          <w:b/>
          <w:bCs/>
          <w:sz w:val="24"/>
          <w:szCs w:val="24"/>
        </w:rPr>
        <w:t xml:space="preserve">3. </w:t>
      </w:r>
      <w:r w:rsidR="00EA1F29" w:rsidRPr="006E4CF7">
        <w:rPr>
          <w:rFonts w:ascii="Times New Roman" w:hAnsi="Times New Roman" w:cs="Times New Roman"/>
          <w:b/>
          <w:bCs/>
          <w:sz w:val="24"/>
          <w:szCs w:val="24"/>
        </w:rPr>
        <w:t>Empirical Methodology</w:t>
      </w:r>
    </w:p>
    <w:p w14:paraId="73734A7F" w14:textId="3860DA20" w:rsidR="00163042" w:rsidRPr="006E4CF7" w:rsidRDefault="00F77ECC" w:rsidP="00163042">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To assess the quality of student experiences, we utili</w:t>
      </w:r>
      <w:r w:rsidR="00F12D87" w:rsidRPr="006E4CF7">
        <w:rPr>
          <w:rFonts w:ascii="Times New Roman" w:hAnsi="Times New Roman" w:cs="Times New Roman"/>
          <w:sz w:val="24"/>
          <w:szCs w:val="24"/>
        </w:rPr>
        <w:t>s</w:t>
      </w:r>
      <w:r w:rsidRPr="006E4CF7">
        <w:rPr>
          <w:rFonts w:ascii="Times New Roman" w:hAnsi="Times New Roman" w:cs="Times New Roman"/>
          <w:sz w:val="24"/>
          <w:szCs w:val="24"/>
        </w:rPr>
        <w:t xml:space="preserve">e 2021-22 NSS data, aiming to fully leverage institutional data </w:t>
      </w:r>
      <w:r w:rsidR="00E841CE" w:rsidRPr="006E4CF7">
        <w:rPr>
          <w:rFonts w:ascii="Times New Roman" w:hAnsi="Times New Roman" w:cs="Times New Roman"/>
          <w:sz w:val="24"/>
          <w:szCs w:val="24"/>
        </w:rPr>
        <w:t>to maximise available</w:t>
      </w:r>
      <w:r w:rsidRPr="006E4CF7">
        <w:rPr>
          <w:rFonts w:ascii="Times New Roman" w:hAnsi="Times New Roman" w:cs="Times New Roman"/>
          <w:sz w:val="24"/>
          <w:szCs w:val="24"/>
        </w:rPr>
        <w:t xml:space="preserve"> independent variables. This timeframe is particularly relevant as it precedes the removal of the </w:t>
      </w:r>
      <w:r w:rsidR="00F12D87" w:rsidRPr="006E4CF7">
        <w:rPr>
          <w:rFonts w:ascii="Times New Roman" w:hAnsi="Times New Roman" w:cs="Times New Roman"/>
          <w:i/>
          <w:iCs/>
          <w:sz w:val="24"/>
          <w:szCs w:val="24"/>
        </w:rPr>
        <w:t>‘</w:t>
      </w:r>
      <w:r w:rsidRPr="006E4CF7">
        <w:rPr>
          <w:rFonts w:ascii="Times New Roman" w:hAnsi="Times New Roman" w:cs="Times New Roman"/>
          <w:i/>
          <w:iCs/>
          <w:sz w:val="24"/>
          <w:szCs w:val="24"/>
        </w:rPr>
        <w:t>summative satisfaction</w:t>
      </w:r>
      <w:r w:rsidR="00F12D87" w:rsidRPr="006E4CF7">
        <w:rPr>
          <w:rFonts w:ascii="Times New Roman" w:hAnsi="Times New Roman" w:cs="Times New Roman"/>
          <w:i/>
          <w:iCs/>
          <w:sz w:val="24"/>
          <w:szCs w:val="24"/>
        </w:rPr>
        <w:t>’</w:t>
      </w:r>
      <w:r w:rsidRPr="006E4CF7">
        <w:rPr>
          <w:rFonts w:ascii="Times New Roman" w:hAnsi="Times New Roman" w:cs="Times New Roman"/>
          <w:sz w:val="24"/>
          <w:szCs w:val="24"/>
        </w:rPr>
        <w:t xml:space="preserve"> question, which could ostensibly serve as a natural dependent variable for measuring student experience. Nevertheless, this approach has been met with significant criticism regarding its effectiveness. For instance, Attwood (2010) has </w:t>
      </w:r>
      <w:r w:rsidR="00F12D87" w:rsidRPr="006E4CF7">
        <w:rPr>
          <w:rFonts w:ascii="Times New Roman" w:hAnsi="Times New Roman" w:cs="Times New Roman"/>
          <w:sz w:val="24"/>
          <w:szCs w:val="24"/>
        </w:rPr>
        <w:t>labelled</w:t>
      </w:r>
      <w:r w:rsidRPr="006E4CF7">
        <w:rPr>
          <w:rFonts w:ascii="Times New Roman" w:hAnsi="Times New Roman" w:cs="Times New Roman"/>
          <w:sz w:val="24"/>
          <w:szCs w:val="24"/>
        </w:rPr>
        <w:t xml:space="preserve"> it a </w:t>
      </w:r>
      <w:r w:rsidR="00F12D87" w:rsidRPr="006E4CF7">
        <w:rPr>
          <w:rFonts w:ascii="Times New Roman" w:hAnsi="Times New Roman" w:cs="Times New Roman"/>
          <w:sz w:val="24"/>
          <w:szCs w:val="24"/>
        </w:rPr>
        <w:t>“</w:t>
      </w:r>
      <w:r w:rsidRPr="006E4CF7">
        <w:rPr>
          <w:rFonts w:ascii="Times New Roman" w:hAnsi="Times New Roman" w:cs="Times New Roman"/>
          <w:i/>
          <w:iCs/>
          <w:sz w:val="24"/>
          <w:szCs w:val="24"/>
        </w:rPr>
        <w:t xml:space="preserve">statistically laughable exercise in neoliberal </w:t>
      </w:r>
      <w:r w:rsidRPr="006E4CF7">
        <w:rPr>
          <w:rFonts w:ascii="Times New Roman" w:hAnsi="Times New Roman" w:cs="Times New Roman"/>
          <w:i/>
          <w:iCs/>
          <w:sz w:val="24"/>
          <w:szCs w:val="24"/>
        </w:rPr>
        <w:lastRenderedPageBreak/>
        <w:t>populism</w:t>
      </w:r>
      <w:r w:rsidR="00F12D87" w:rsidRPr="006E4CF7">
        <w:rPr>
          <w:rFonts w:ascii="Times New Roman" w:hAnsi="Times New Roman" w:cs="Times New Roman"/>
          <w:i/>
          <w:iCs/>
          <w:sz w:val="24"/>
          <w:szCs w:val="24"/>
        </w:rPr>
        <w:t>”</w:t>
      </w:r>
      <w:r w:rsidRPr="006E4CF7">
        <w:rPr>
          <w:rFonts w:ascii="Times New Roman" w:hAnsi="Times New Roman" w:cs="Times New Roman"/>
          <w:sz w:val="24"/>
          <w:szCs w:val="24"/>
        </w:rPr>
        <w:t xml:space="preserve">, while Harvey (2008) has condemned it as </w:t>
      </w:r>
      <w:r w:rsidR="00F12D87" w:rsidRPr="006E4CF7">
        <w:rPr>
          <w:rFonts w:ascii="Times New Roman" w:hAnsi="Times New Roman" w:cs="Times New Roman"/>
          <w:sz w:val="24"/>
          <w:szCs w:val="24"/>
        </w:rPr>
        <w:t>“</w:t>
      </w:r>
      <w:r w:rsidRPr="006E4CF7">
        <w:rPr>
          <w:rFonts w:ascii="Times New Roman" w:hAnsi="Times New Roman" w:cs="Times New Roman"/>
          <w:i/>
          <w:iCs/>
          <w:sz w:val="24"/>
          <w:szCs w:val="24"/>
        </w:rPr>
        <w:t>superficial, expensive, heavily manipulated, and methodologically useless</w:t>
      </w:r>
      <w:r w:rsidR="00F12D87" w:rsidRPr="006E4CF7">
        <w:rPr>
          <w:rFonts w:ascii="Times New Roman" w:hAnsi="Times New Roman" w:cs="Times New Roman"/>
          <w:sz w:val="24"/>
          <w:szCs w:val="24"/>
        </w:rPr>
        <w:t>”</w:t>
      </w:r>
      <w:r w:rsidRPr="006E4CF7">
        <w:rPr>
          <w:rFonts w:ascii="Times New Roman" w:hAnsi="Times New Roman" w:cs="Times New Roman"/>
          <w:sz w:val="24"/>
          <w:szCs w:val="24"/>
        </w:rPr>
        <w:t>. Yet, for our purposes, a more pressing issue is the lack of variation in outcomes across institutions, complicating institutional-level analysis and prompting researchers to focus on subject-level empirical analysis (Cheng and Marsh 2010; Agnew et al., 2016; Langan et al., 2013; Vaughan and Yorke, 2009). To circumvent this challenge and the problem of limited variability in the dependent variable, we have opted to use the dissatisfaction index methodology proposed by Cook et al. (2023). This approach allows us to utili</w:t>
      </w:r>
      <w:r w:rsidR="00F12D87" w:rsidRPr="006E4CF7">
        <w:rPr>
          <w:rFonts w:ascii="Times New Roman" w:hAnsi="Times New Roman" w:cs="Times New Roman"/>
          <w:sz w:val="24"/>
          <w:szCs w:val="24"/>
        </w:rPr>
        <w:t>s</w:t>
      </w:r>
      <w:r w:rsidRPr="006E4CF7">
        <w:rPr>
          <w:rFonts w:ascii="Times New Roman" w:hAnsi="Times New Roman" w:cs="Times New Roman"/>
          <w:sz w:val="24"/>
          <w:szCs w:val="24"/>
        </w:rPr>
        <w:t xml:space="preserve">e all student feedback, facilitating clearer differentiation </w:t>
      </w:r>
      <w:r w:rsidR="00F12D87" w:rsidRPr="006E4CF7">
        <w:rPr>
          <w:rFonts w:ascii="Times New Roman" w:hAnsi="Times New Roman" w:cs="Times New Roman"/>
          <w:sz w:val="24"/>
          <w:szCs w:val="24"/>
        </w:rPr>
        <w:t>across</w:t>
      </w:r>
      <w:r w:rsidRPr="006E4CF7">
        <w:rPr>
          <w:rFonts w:ascii="Times New Roman" w:hAnsi="Times New Roman" w:cs="Times New Roman"/>
          <w:sz w:val="24"/>
          <w:szCs w:val="24"/>
        </w:rPr>
        <w:t xml:space="preserve"> </w:t>
      </w:r>
      <w:r w:rsidR="00B83879" w:rsidRPr="006E4CF7">
        <w:rPr>
          <w:rFonts w:ascii="Times New Roman" w:hAnsi="Times New Roman" w:cs="Times New Roman"/>
          <w:sz w:val="24"/>
          <w:szCs w:val="24"/>
        </w:rPr>
        <w:t>universities</w:t>
      </w:r>
      <w:r w:rsidRPr="006E4CF7">
        <w:rPr>
          <w:rFonts w:ascii="Times New Roman" w:hAnsi="Times New Roman" w:cs="Times New Roman"/>
          <w:sz w:val="24"/>
          <w:szCs w:val="24"/>
        </w:rPr>
        <w:t>.</w:t>
      </w:r>
    </w:p>
    <w:p w14:paraId="021941BA" w14:textId="2C3C000B" w:rsidR="008112E7" w:rsidRPr="006E4CF7" w:rsidRDefault="005C3EB6" w:rsidP="00163042">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Of note</w:t>
      </w:r>
      <w:r w:rsidR="00B83879" w:rsidRPr="006E4CF7">
        <w:rPr>
          <w:rFonts w:ascii="Times New Roman" w:hAnsi="Times New Roman" w:cs="Times New Roman"/>
          <w:sz w:val="24"/>
          <w:szCs w:val="24"/>
        </w:rPr>
        <w:t>,</w:t>
      </w:r>
      <w:r w:rsidR="002D2D30" w:rsidRPr="006E4CF7">
        <w:rPr>
          <w:rFonts w:ascii="Times New Roman" w:hAnsi="Times New Roman" w:cs="Times New Roman"/>
          <w:sz w:val="24"/>
          <w:szCs w:val="24"/>
        </w:rPr>
        <w:t xml:space="preserve"> of course,</w:t>
      </w:r>
      <w:r w:rsidR="00567419" w:rsidRPr="006E4CF7">
        <w:rPr>
          <w:rFonts w:ascii="Times New Roman" w:hAnsi="Times New Roman" w:cs="Times New Roman"/>
          <w:sz w:val="24"/>
          <w:szCs w:val="24"/>
        </w:rPr>
        <w:t xml:space="preserve"> is the </w:t>
      </w:r>
      <w:r w:rsidR="00B83879" w:rsidRPr="006E4CF7">
        <w:rPr>
          <w:rFonts w:ascii="Times New Roman" w:hAnsi="Times New Roman" w:cs="Times New Roman"/>
          <w:sz w:val="24"/>
          <w:szCs w:val="24"/>
        </w:rPr>
        <w:t>impact of COVID-19 on the</w:t>
      </w:r>
      <w:r w:rsidR="00D236D2" w:rsidRPr="006E4CF7">
        <w:rPr>
          <w:rFonts w:ascii="Times New Roman" w:hAnsi="Times New Roman" w:cs="Times New Roman"/>
          <w:sz w:val="24"/>
          <w:szCs w:val="24"/>
        </w:rPr>
        <w:t xml:space="preserve"> </w:t>
      </w:r>
      <w:r w:rsidR="00B83879" w:rsidRPr="006E4CF7">
        <w:rPr>
          <w:rFonts w:ascii="Times New Roman" w:hAnsi="Times New Roman" w:cs="Times New Roman"/>
          <w:sz w:val="24"/>
          <w:szCs w:val="24"/>
        </w:rPr>
        <w:t xml:space="preserve">data. Our analysis indicates that student dissatisfaction has increased compared to 2019 levels. However, we find that this rise in dissatisfaction does not affect the nature of our hypothesis tests. It is important to acknowledge that while this study focuses on different issues, further work </w:t>
      </w:r>
      <w:r w:rsidR="00152ED4" w:rsidRPr="006E4CF7">
        <w:rPr>
          <w:rFonts w:ascii="Times New Roman" w:hAnsi="Times New Roman" w:cs="Times New Roman"/>
          <w:sz w:val="24"/>
          <w:szCs w:val="24"/>
        </w:rPr>
        <w:t>overtime</w:t>
      </w:r>
      <w:r w:rsidR="00B83879" w:rsidRPr="006E4CF7">
        <w:rPr>
          <w:rFonts w:ascii="Times New Roman" w:hAnsi="Times New Roman" w:cs="Times New Roman"/>
          <w:sz w:val="24"/>
          <w:szCs w:val="24"/>
        </w:rPr>
        <w:t xml:space="preserve"> is necessary to ascertain the true effects of COVID-19 on student experiences. This broader analysis is beyond the scope of our current paper but remains a crucial area for future research.</w:t>
      </w:r>
    </w:p>
    <w:p w14:paraId="5ABD3DC5" w14:textId="0DBC5CA2" w:rsidR="004826A7" w:rsidRPr="006E4CF7" w:rsidRDefault="00F77ECC" w:rsidP="007026B8">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To develop the dissatisfaction index, we generate dissatisfaction outcomes for all 26 NSS questions, covering eight essential categories. For each question, we construct a dummy variable, marking a dissatisfaction score whenever an institution does not achieve positive outcomes excee</w:t>
      </w:r>
      <w:r w:rsidR="00E841CE" w:rsidRPr="006E4CF7">
        <w:rPr>
          <w:rFonts w:ascii="Times New Roman" w:hAnsi="Times New Roman" w:cs="Times New Roman"/>
          <w:sz w:val="24"/>
          <w:szCs w:val="24"/>
        </w:rPr>
        <w:t>ding</w:t>
      </w:r>
      <w:r w:rsidRPr="006E4CF7">
        <w:rPr>
          <w:rFonts w:ascii="Times New Roman" w:hAnsi="Times New Roman" w:cs="Times New Roman"/>
          <w:sz w:val="24"/>
          <w:szCs w:val="24"/>
        </w:rPr>
        <w:t xml:space="preserve"> </w:t>
      </w:r>
      <w:r w:rsidR="00E841CE" w:rsidRPr="006E4CF7">
        <w:rPr>
          <w:rFonts w:ascii="Times New Roman" w:hAnsi="Times New Roman" w:cs="Times New Roman"/>
          <w:sz w:val="24"/>
          <w:szCs w:val="24"/>
        </w:rPr>
        <w:t>their</w:t>
      </w:r>
      <w:r w:rsidRPr="006E4CF7">
        <w:rPr>
          <w:rFonts w:ascii="Times New Roman" w:hAnsi="Times New Roman" w:cs="Times New Roman"/>
          <w:sz w:val="24"/>
          <w:szCs w:val="24"/>
        </w:rPr>
        <w:t xml:space="preserve"> benchmark score. These benchmark scores, included within the NSS data, enable equitable comparisons across institutions by adjusting for variations in student populations. </w:t>
      </w:r>
      <w:r w:rsidR="007026B8" w:rsidRPr="006E4CF7">
        <w:rPr>
          <w:rFonts w:ascii="Times New Roman" w:hAnsi="Times New Roman" w:cs="Times New Roman"/>
          <w:sz w:val="24"/>
          <w:szCs w:val="24"/>
        </w:rPr>
        <w:t xml:space="preserve">With up to 26 dissatisfaction scores at our disposal, the next step involves deciding how to aggregate these into a cohesive index. To accomplish this, we implement a two-step weighting process specifically designed to </w:t>
      </w:r>
      <w:r w:rsidR="00F12D87" w:rsidRPr="006E4CF7">
        <w:rPr>
          <w:rFonts w:ascii="Times New Roman" w:hAnsi="Times New Roman" w:cs="Times New Roman"/>
          <w:sz w:val="24"/>
          <w:szCs w:val="24"/>
        </w:rPr>
        <w:t xml:space="preserve">circumvent </w:t>
      </w:r>
      <w:r w:rsidR="007026B8" w:rsidRPr="006E4CF7">
        <w:rPr>
          <w:rFonts w:ascii="Times New Roman" w:hAnsi="Times New Roman" w:cs="Times New Roman"/>
          <w:sz w:val="24"/>
          <w:szCs w:val="24"/>
        </w:rPr>
        <w:t>problems like double-counting:</w:t>
      </w:r>
    </w:p>
    <w:p w14:paraId="1773ADBC" w14:textId="044B0800" w:rsidR="004826A7" w:rsidRPr="006E4CF7" w:rsidRDefault="007026B8" w:rsidP="004826A7">
      <w:pPr>
        <w:pStyle w:val="ListParagraph"/>
        <w:numPr>
          <w:ilvl w:val="0"/>
          <w:numId w:val="17"/>
        </w:numPr>
        <w:spacing w:after="240" w:line="360" w:lineRule="auto"/>
        <w:contextualSpacing w:val="0"/>
        <w:jc w:val="both"/>
        <w:rPr>
          <w:rFonts w:ascii="Times New Roman" w:hAnsi="Times New Roman" w:cs="Times New Roman"/>
          <w:sz w:val="24"/>
          <w:szCs w:val="24"/>
        </w:rPr>
      </w:pPr>
      <w:r w:rsidRPr="006E4CF7">
        <w:rPr>
          <w:rFonts w:ascii="Times New Roman" w:hAnsi="Times New Roman" w:cs="Times New Roman"/>
          <w:i/>
          <w:iCs/>
          <w:sz w:val="24"/>
          <w:szCs w:val="24"/>
        </w:rPr>
        <w:t>Outlier</w:t>
      </w:r>
      <w:r w:rsidR="004826A7" w:rsidRPr="006E4CF7">
        <w:rPr>
          <w:rFonts w:ascii="Times New Roman" w:hAnsi="Times New Roman" w:cs="Times New Roman"/>
          <w:i/>
          <w:iCs/>
          <w:sz w:val="24"/>
          <w:szCs w:val="24"/>
        </w:rPr>
        <w:t xml:space="preserve"> Assignment</w:t>
      </w:r>
      <w:r w:rsidR="004826A7" w:rsidRPr="006E4CF7">
        <w:rPr>
          <w:rFonts w:ascii="Times New Roman" w:hAnsi="Times New Roman" w:cs="Times New Roman"/>
          <w:sz w:val="24"/>
          <w:szCs w:val="24"/>
        </w:rPr>
        <w:t xml:space="preserve">: The first step involves assigning weights based on the coefficient of variation (CV) for the dissatisfaction scores across institutions. The CV, a measure of relative variability, highlights institutions with significantly divergent levels of dissatisfaction, pinpointing areas in need of improvement. Institutions exhibiting outlier dissatisfaction scores are thus </w:t>
      </w:r>
      <w:r w:rsidR="00F53CAD" w:rsidRPr="006E4CF7">
        <w:rPr>
          <w:rFonts w:ascii="Times New Roman" w:hAnsi="Times New Roman" w:cs="Times New Roman"/>
          <w:sz w:val="24"/>
          <w:szCs w:val="24"/>
        </w:rPr>
        <w:t>emphasised</w:t>
      </w:r>
      <w:r w:rsidR="004826A7" w:rsidRPr="006E4CF7">
        <w:rPr>
          <w:rFonts w:ascii="Times New Roman" w:hAnsi="Times New Roman" w:cs="Times New Roman"/>
          <w:sz w:val="24"/>
          <w:szCs w:val="24"/>
        </w:rPr>
        <w:t>, guiding focus towards those with the most pronounced need for enhancement.</w:t>
      </w:r>
    </w:p>
    <w:p w14:paraId="43171478" w14:textId="77777777" w:rsidR="0090298A" w:rsidRPr="006E4CF7" w:rsidRDefault="004826A7" w:rsidP="004826A7">
      <w:pPr>
        <w:pStyle w:val="ListParagraph"/>
        <w:numPr>
          <w:ilvl w:val="0"/>
          <w:numId w:val="17"/>
        </w:numPr>
        <w:spacing w:after="240" w:line="360" w:lineRule="auto"/>
        <w:contextualSpacing w:val="0"/>
        <w:jc w:val="both"/>
        <w:rPr>
          <w:rFonts w:ascii="Times New Roman" w:hAnsi="Times New Roman" w:cs="Times New Roman"/>
          <w:sz w:val="24"/>
          <w:szCs w:val="24"/>
        </w:rPr>
      </w:pPr>
      <w:r w:rsidRPr="006E4CF7">
        <w:rPr>
          <w:rFonts w:ascii="Times New Roman" w:hAnsi="Times New Roman" w:cs="Times New Roman"/>
          <w:i/>
          <w:iCs/>
          <w:sz w:val="24"/>
          <w:szCs w:val="24"/>
        </w:rPr>
        <w:t>Correlation Control</w:t>
      </w:r>
      <w:r w:rsidRPr="006E4CF7">
        <w:rPr>
          <w:rFonts w:ascii="Times New Roman" w:hAnsi="Times New Roman" w:cs="Times New Roman"/>
          <w:sz w:val="24"/>
          <w:szCs w:val="24"/>
        </w:rPr>
        <w:t xml:space="preserve">: To mitigate the effects of multicollinearity—stemming from strong correlations between dissatisfaction scores for different NSS questions—a secondary set of weights is </w:t>
      </w:r>
      <w:r w:rsidR="007026B8" w:rsidRPr="006E4CF7">
        <w:rPr>
          <w:rFonts w:ascii="Times New Roman" w:hAnsi="Times New Roman" w:cs="Times New Roman"/>
          <w:sz w:val="24"/>
          <w:szCs w:val="24"/>
        </w:rPr>
        <w:t xml:space="preserve">also </w:t>
      </w:r>
      <w:r w:rsidRPr="006E4CF7">
        <w:rPr>
          <w:rFonts w:ascii="Times New Roman" w:hAnsi="Times New Roman" w:cs="Times New Roman"/>
          <w:sz w:val="24"/>
          <w:szCs w:val="24"/>
        </w:rPr>
        <w:t xml:space="preserve">computed. This system averages the correlations between dissatisfaction </w:t>
      </w:r>
      <w:r w:rsidRPr="006E4CF7">
        <w:rPr>
          <w:rFonts w:ascii="Times New Roman" w:hAnsi="Times New Roman" w:cs="Times New Roman"/>
          <w:sz w:val="24"/>
          <w:szCs w:val="24"/>
        </w:rPr>
        <w:lastRenderedPageBreak/>
        <w:t>measures and applies adjustments to diminish the impact of multicollinearity. The formula for these weights, is defined as follows:</w:t>
      </w:r>
    </w:p>
    <w:p w14:paraId="5F948BAC" w14:textId="0F18BCFE" w:rsidR="004A5E97" w:rsidRPr="006E4CF7" w:rsidRDefault="004A5E97" w:rsidP="0090298A">
      <w:pPr>
        <w:pStyle w:val="ListParagraph"/>
        <w:spacing w:after="240" w:line="360" w:lineRule="auto"/>
        <w:ind w:left="360"/>
        <w:contextualSpacing w:val="0"/>
        <w:jc w:val="both"/>
        <w:rPr>
          <w:rFonts w:ascii="Times New Roman" w:hAnsi="Times New Roman" w:cs="Times New Roman"/>
          <w:sz w:val="24"/>
          <w:szCs w:val="24"/>
        </w:rPr>
      </w:pPr>
      <w:r w:rsidRPr="006E4CF7">
        <w:rPr>
          <w:position w:val="-57"/>
        </w:rPr>
        <w:object w:dxaOrig="5120" w:dyaOrig="1400" w14:anchorId="64267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70pt" o:ole="" filled="t">
            <v:fill color2="black"/>
            <v:imagedata r:id="rId13" o:title=""/>
          </v:shape>
          <o:OLEObject Type="Embed" ProgID="Microsoft" ShapeID="_x0000_i1025" DrawAspect="Content" ObjectID="_1794637901" r:id="rId14"/>
        </w:object>
      </w:r>
    </w:p>
    <w:p w14:paraId="799D1CE7" w14:textId="77777777" w:rsidR="007026B8" w:rsidRPr="006E4CF7" w:rsidRDefault="004A5E97" w:rsidP="00786D7E">
      <w:pPr>
        <w:autoSpaceDE w:val="0"/>
        <w:spacing w:after="240" w:line="360" w:lineRule="auto"/>
        <w:ind w:left="360"/>
        <w:jc w:val="both"/>
        <w:rPr>
          <w:rFonts w:ascii="Times New Roman" w:hAnsi="Times New Roman" w:cs="Times New Roman"/>
          <w:sz w:val="24"/>
          <w:szCs w:val="24"/>
        </w:rPr>
      </w:pPr>
      <w:r w:rsidRPr="006E4CF7">
        <w:rPr>
          <w:rFonts w:ascii="Times New Roman" w:hAnsi="Times New Roman" w:cs="Times New Roman"/>
          <w:sz w:val="24"/>
          <w:szCs w:val="24"/>
        </w:rPr>
        <w:t xml:space="preserve">where </w:t>
      </w:r>
      <w:r w:rsidRPr="006E4CF7">
        <w:rPr>
          <w:rFonts w:ascii="Times New Roman" w:hAnsi="Times New Roman" w:cs="Times New Roman"/>
          <w:position w:val="-7"/>
          <w:sz w:val="24"/>
          <w:szCs w:val="24"/>
        </w:rPr>
        <w:object w:dxaOrig="460" w:dyaOrig="379" w14:anchorId="3242FACC">
          <v:shape id="_x0000_i1026" type="#_x0000_t75" style="width:24pt;height:19.5pt" o:ole="" filled="t">
            <v:fill color2="black"/>
            <v:imagedata r:id="rId15" o:title=""/>
          </v:shape>
          <o:OLEObject Type="Embed" ProgID="Microsoft" ShapeID="_x0000_i1026" DrawAspect="Content" ObjectID="_1794637902" r:id="rId16"/>
        </w:object>
      </w:r>
      <w:r w:rsidRPr="006E4CF7">
        <w:rPr>
          <w:rFonts w:ascii="Times New Roman" w:eastAsia="MTSYN" w:hAnsi="Times New Roman" w:cs="Times New Roman"/>
          <w:sz w:val="24"/>
          <w:szCs w:val="24"/>
        </w:rPr>
        <w:t xml:space="preserve"> </w:t>
      </w:r>
      <w:r w:rsidRPr="006E4CF7">
        <w:rPr>
          <w:rFonts w:ascii="Times New Roman" w:hAnsi="Times New Roman" w:cs="Times New Roman"/>
          <w:sz w:val="24"/>
          <w:szCs w:val="24"/>
        </w:rPr>
        <w:t xml:space="preserve">represents the correlation between dissatisfaction measures </w:t>
      </w:r>
      <w:r w:rsidRPr="006E4CF7">
        <w:rPr>
          <w:rFonts w:ascii="Times New Roman" w:hAnsi="Times New Roman" w:cs="Times New Roman"/>
          <w:i/>
          <w:sz w:val="24"/>
          <w:szCs w:val="24"/>
        </w:rPr>
        <w:t>k</w:t>
      </w:r>
      <w:r w:rsidRPr="006E4CF7">
        <w:rPr>
          <w:rFonts w:ascii="Times New Roman" w:hAnsi="Times New Roman" w:cs="Times New Roman"/>
          <w:sz w:val="24"/>
          <w:szCs w:val="24"/>
        </w:rPr>
        <w:t xml:space="preserve"> and </w:t>
      </w:r>
      <w:r w:rsidRPr="006E4CF7">
        <w:rPr>
          <w:rFonts w:ascii="Times New Roman" w:hAnsi="Times New Roman" w:cs="Times New Roman"/>
          <w:i/>
          <w:sz w:val="24"/>
          <w:szCs w:val="24"/>
        </w:rPr>
        <w:t>k’</w:t>
      </w:r>
      <w:r w:rsidRPr="006E4CF7">
        <w:rPr>
          <w:rFonts w:ascii="Times New Roman" w:hAnsi="Times New Roman" w:cs="Times New Roman"/>
          <w:sz w:val="24"/>
          <w:szCs w:val="24"/>
        </w:rPr>
        <w:t>. Betti and Verma (2008) follow a ‘</w:t>
      </w:r>
      <w:r w:rsidRPr="006E4CF7">
        <w:rPr>
          <w:rFonts w:ascii="Times New Roman" w:hAnsi="Times New Roman" w:cs="Times New Roman"/>
          <w:i/>
          <w:iCs/>
          <w:sz w:val="24"/>
          <w:szCs w:val="24"/>
        </w:rPr>
        <w:t>largest gap criterion’</w:t>
      </w:r>
      <w:r w:rsidRPr="006E4CF7">
        <w:rPr>
          <w:rFonts w:ascii="Times New Roman" w:hAnsi="Times New Roman" w:cs="Times New Roman"/>
          <w:sz w:val="24"/>
          <w:szCs w:val="24"/>
        </w:rPr>
        <w:t>, where the threshold</w:t>
      </w:r>
      <w:r w:rsidRPr="006E4CF7">
        <w:rPr>
          <w:rFonts w:ascii="Times New Roman" w:hAnsi="Times New Roman" w:cs="Times New Roman"/>
          <w:position w:val="-5"/>
          <w:sz w:val="24"/>
          <w:szCs w:val="24"/>
        </w:rPr>
        <w:object w:dxaOrig="359" w:dyaOrig="340" w14:anchorId="4E9C3CE6">
          <v:shape id="_x0000_i1027" type="#_x0000_t75" style="width:19.5pt;height:17pt" o:ole="" filled="t">
            <v:fill color2="black"/>
            <v:imagedata r:id="rId17" o:title=""/>
          </v:shape>
          <o:OLEObject Type="Embed" ProgID="Microsoft" ShapeID="_x0000_i1027" DrawAspect="Content" ObjectID="_1794637903" r:id="rId18"/>
        </w:object>
      </w:r>
      <w:r w:rsidRPr="006E4CF7">
        <w:rPr>
          <w:rFonts w:ascii="Times New Roman" w:hAnsi="Times New Roman" w:cs="Times New Roman"/>
          <w:sz w:val="24"/>
          <w:szCs w:val="24"/>
        </w:rPr>
        <w:t xml:space="preserve">is set according to the largest gap between the ordered set of correlation values. However, given this is represented by the correlation with the variable itself, the expression is simplified to the inverse of the average of dissatisfaction correlations (including the variable concerned itself). This ensures that the weighting system is unaffected by the inclusion of dissatisfaction measures that are entirely uncorrelated with </w:t>
      </w:r>
      <w:r w:rsidRPr="006E4CF7">
        <w:rPr>
          <w:rFonts w:ascii="Times New Roman" w:hAnsi="Times New Roman" w:cs="Times New Roman"/>
          <w:i/>
          <w:sz w:val="24"/>
          <w:szCs w:val="24"/>
        </w:rPr>
        <w:t>k</w:t>
      </w:r>
      <w:r w:rsidRPr="006E4CF7">
        <w:rPr>
          <w:rFonts w:ascii="Times New Roman" w:hAnsi="Times New Roman" w:cs="Times New Roman"/>
          <w:sz w:val="24"/>
          <w:szCs w:val="24"/>
        </w:rPr>
        <w:t>.</w:t>
      </w:r>
    </w:p>
    <w:p w14:paraId="46920D2E" w14:textId="77777777" w:rsidR="008B107A" w:rsidRPr="006E4CF7" w:rsidRDefault="009D085E" w:rsidP="009D085E">
      <w:pPr>
        <w:spacing w:after="240" w:line="360" w:lineRule="auto"/>
        <w:jc w:val="both"/>
        <w:rPr>
          <w:rFonts w:ascii="Times New Roman" w:hAnsi="Times New Roman" w:cs="Times New Roman"/>
          <w:sz w:val="24"/>
          <w:szCs w:val="24"/>
        </w:rPr>
      </w:pPr>
      <w:bookmarkStart w:id="1" w:name="_Hlk103862506"/>
      <w:r w:rsidRPr="006E4CF7">
        <w:rPr>
          <w:rFonts w:ascii="Times New Roman" w:hAnsi="Times New Roman" w:cs="Times New Roman"/>
          <w:sz w:val="24"/>
          <w:szCs w:val="24"/>
        </w:rPr>
        <w:t xml:space="preserve">Using this dual-weighting system allows us to merge our dissatisfaction scores into an index that ranges from 0 to 1, as described by Cook et al. (2023). By analysing the entire group of higher education institutions that participate in the National Student Survey (NSS), we have a sample of 362 institutions. From this, we calculate an average dissatisfaction score of </w:t>
      </w:r>
      <w:r w:rsidR="00B16483" w:rsidRPr="006E4CF7">
        <w:rPr>
          <w:rFonts w:ascii="Times New Roman" w:hAnsi="Times New Roman" w:cs="Times New Roman"/>
          <w:sz w:val="24"/>
          <w:szCs w:val="24"/>
        </w:rPr>
        <w:t>0.3816</w:t>
      </w:r>
      <w:r w:rsidRPr="006E4CF7">
        <w:rPr>
          <w:rFonts w:ascii="Times New Roman" w:hAnsi="Times New Roman" w:cs="Times New Roman"/>
          <w:sz w:val="24"/>
          <w:szCs w:val="24"/>
        </w:rPr>
        <w:t xml:space="preserve">. Our next step is to determine the feasibility of accurately evaluating the effects of teaching-only contracts. This process begins by identifying the control variables included in our analysis. We sourced data for these control variables from the Higher Education Statistics Agency (HESA), the Office for Students’ Teaching Excellence Framework (TEF), and the Research Excellence Framework </w:t>
      </w:r>
      <w:r w:rsidR="00670426" w:rsidRPr="006E4CF7">
        <w:rPr>
          <w:rFonts w:ascii="Times New Roman" w:hAnsi="Times New Roman" w:cs="Times New Roman"/>
          <w:sz w:val="24"/>
          <w:szCs w:val="24"/>
        </w:rPr>
        <w:t xml:space="preserve">for 2021 </w:t>
      </w:r>
      <w:r w:rsidRPr="006E4CF7">
        <w:rPr>
          <w:rFonts w:ascii="Times New Roman" w:hAnsi="Times New Roman" w:cs="Times New Roman"/>
          <w:sz w:val="24"/>
          <w:szCs w:val="24"/>
        </w:rPr>
        <w:t>(REF</w:t>
      </w:r>
      <w:r w:rsidR="00670426" w:rsidRPr="006E4CF7">
        <w:rPr>
          <w:rFonts w:ascii="Times New Roman" w:hAnsi="Times New Roman" w:cs="Times New Roman"/>
          <w:sz w:val="24"/>
          <w:szCs w:val="24"/>
        </w:rPr>
        <w:t>2021</w:t>
      </w:r>
      <w:r w:rsidRPr="006E4CF7">
        <w:rPr>
          <w:rFonts w:ascii="Times New Roman" w:hAnsi="Times New Roman" w:cs="Times New Roman"/>
          <w:sz w:val="24"/>
          <w:szCs w:val="24"/>
        </w:rPr>
        <w:t>). It’s important to highlight that the coverage of this data significantly limits our sample size.</w:t>
      </w:r>
    </w:p>
    <w:p w14:paraId="0C9F50D1" w14:textId="754893C0" w:rsidR="009D085E" w:rsidRPr="006E4CF7" w:rsidRDefault="004B693E" w:rsidP="009D085E">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Missing data reduces our sample size from 362 institutions to 138, as some institutions are excluded due to the stringent control variables we've applied. Although this reduction in sample size increases our average dissatisfaction score to 0.4514, it does not compromise the integrity of our index. The institutions excluded tend to be heterogeneous, such as colleges with very small populations. Arguably, this exclusion enhances the robustness of our analysis, as the remaining sample is more homogeneous and better suited for regression analysis. Thus, the control variables not only refine the dataset but also improve the reliability of subsequent regression analysis by focusing on a more consistent set of institutions. </w:t>
      </w:r>
      <w:r w:rsidR="00A47304" w:rsidRPr="006E4CF7">
        <w:rPr>
          <w:rFonts w:ascii="Times New Roman" w:hAnsi="Times New Roman" w:cs="Times New Roman"/>
          <w:sz w:val="24"/>
          <w:szCs w:val="24"/>
        </w:rPr>
        <w:t xml:space="preserve">In addition, </w:t>
      </w:r>
      <w:r w:rsidR="002C349E" w:rsidRPr="006E4CF7">
        <w:rPr>
          <w:rFonts w:ascii="Times New Roman" w:hAnsi="Times New Roman" w:cs="Times New Roman"/>
          <w:sz w:val="24"/>
          <w:szCs w:val="24"/>
        </w:rPr>
        <w:t>w</w:t>
      </w:r>
      <w:r w:rsidR="00BB4A40" w:rsidRPr="006E4CF7">
        <w:rPr>
          <w:rFonts w:ascii="Times New Roman" w:hAnsi="Times New Roman" w:cs="Times New Roman"/>
          <w:sz w:val="24"/>
          <w:szCs w:val="24"/>
        </w:rPr>
        <w:t xml:space="preserve">e also </w:t>
      </w:r>
      <w:r w:rsidR="00BB4A40" w:rsidRPr="006E4CF7">
        <w:rPr>
          <w:rFonts w:ascii="Times New Roman" w:hAnsi="Times New Roman" w:cs="Times New Roman"/>
          <w:sz w:val="24"/>
          <w:szCs w:val="24"/>
        </w:rPr>
        <w:lastRenderedPageBreak/>
        <w:t xml:space="preserve">investigated whether restricting our index according to NSS question 'themes', which might arguably be more closely linked to providing a proxy for teaching quality, but this </w:t>
      </w:r>
      <w:r w:rsidR="0015448B" w:rsidRPr="006E4CF7">
        <w:rPr>
          <w:rFonts w:ascii="Times New Roman" w:hAnsi="Times New Roman" w:cs="Times New Roman"/>
          <w:sz w:val="24"/>
          <w:szCs w:val="24"/>
        </w:rPr>
        <w:t>failed to</w:t>
      </w:r>
      <w:r w:rsidR="00BB4A40" w:rsidRPr="006E4CF7">
        <w:rPr>
          <w:rFonts w:ascii="Times New Roman" w:hAnsi="Times New Roman" w:cs="Times New Roman"/>
          <w:sz w:val="24"/>
          <w:szCs w:val="24"/>
        </w:rPr>
        <w:t xml:space="preserve"> yield any significant findings.</w:t>
      </w:r>
    </w:p>
    <w:bookmarkEnd w:id="1"/>
    <w:p w14:paraId="3C2D0665" w14:textId="6C90D43F" w:rsidR="00EF3A57" w:rsidRPr="006E4CF7" w:rsidRDefault="00EF3A57" w:rsidP="00EF3A57">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To ensure our analysis of NSS outcomes is robust, we have carefully selected control variables based on previous empirical evidence. Each variable is supported by key research, allowing us to explore the broad spectrum of factors influencing student satisfaction. These variables include:</w:t>
      </w:r>
    </w:p>
    <w:p w14:paraId="265B2510" w14:textId="69090C59" w:rsidR="00EF3A57" w:rsidRPr="006E4CF7" w:rsidRDefault="00EF3A57" w:rsidP="00EF3A57">
      <w:pPr>
        <w:pStyle w:val="ListParagraph"/>
        <w:numPr>
          <w:ilvl w:val="0"/>
          <w:numId w:val="27"/>
        </w:num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i/>
          <w:iCs/>
          <w:sz w:val="24"/>
          <w:szCs w:val="24"/>
        </w:rPr>
        <w:t>Inflation:</w:t>
      </w:r>
      <w:r w:rsidRPr="006E4CF7">
        <w:rPr>
          <w:rFonts w:ascii="Times New Roman" w:hAnsi="Times New Roman" w:cs="Times New Roman"/>
          <w:sz w:val="24"/>
          <w:szCs w:val="24"/>
        </w:rPr>
        <w:t xml:space="preserve"> In line with Cook et al. (2023), who identified a positive relationship between student satisfaction and degree classification, we incorporate a ‘grade inflation’ measure. This measure flags institutions with a rise in the proportion of first-class degrees from the previous year, aiming to evaluate its influence on student satisfaction. This approach could help control for potential gamification effects, wherein the challenge of earning a degree may be modified to boost student satisfaction.</w:t>
      </w:r>
    </w:p>
    <w:p w14:paraId="11A99E86" w14:textId="181B5F03" w:rsidR="00EF3A57" w:rsidRPr="006E4CF7" w:rsidRDefault="00EF3A57" w:rsidP="00EF3A57">
      <w:pPr>
        <w:pStyle w:val="ListParagraph"/>
        <w:numPr>
          <w:ilvl w:val="0"/>
          <w:numId w:val="27"/>
        </w:num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i/>
          <w:iCs/>
          <w:sz w:val="24"/>
          <w:szCs w:val="24"/>
        </w:rPr>
        <w:t>Size:</w:t>
      </w:r>
      <w:r w:rsidRPr="006E4CF7">
        <w:rPr>
          <w:rFonts w:ascii="Times New Roman" w:hAnsi="Times New Roman" w:cs="Times New Roman"/>
          <w:sz w:val="24"/>
          <w:szCs w:val="24"/>
        </w:rPr>
        <w:t xml:space="preserve"> Lenton (201</w:t>
      </w:r>
      <w:r w:rsidR="00EA280D" w:rsidRPr="006E4CF7">
        <w:rPr>
          <w:rFonts w:ascii="Times New Roman" w:hAnsi="Times New Roman" w:cs="Times New Roman"/>
          <w:sz w:val="24"/>
          <w:szCs w:val="24"/>
        </w:rPr>
        <w:t>5</w:t>
      </w:r>
      <w:r w:rsidRPr="006E4CF7">
        <w:rPr>
          <w:rFonts w:ascii="Times New Roman" w:hAnsi="Times New Roman" w:cs="Times New Roman"/>
          <w:sz w:val="24"/>
          <w:szCs w:val="24"/>
        </w:rPr>
        <w:t>) indicates that Staff-Student Ratios significantly impact NSS outcomes, where a smaller ratio tends to enhance favourable responses. However, this analysis is conducted at the discipline level, which allows for specific contextual considerations. In contrast, our University-level analysis averages these ratios across the institution, potentially obscuring significant departmental or course-level variations. Therefore, we argue that it is more appropriate for discipline-specific studies. Instead, we use overall staffing numbers as a proxy for institution size, acknowledging its complex impact on the student experience. Larger staff numbers might improve experiences by enabling smaller class sizes, whereas smaller institutions could offer more personalised interactions, fostering community spirit and potentially reducing dissatisfaction.</w:t>
      </w:r>
    </w:p>
    <w:p w14:paraId="333327A3" w14:textId="1BF81FB7" w:rsidR="00EF3A57" w:rsidRPr="006E4CF7" w:rsidRDefault="00EF3A57" w:rsidP="00EF3A57">
      <w:pPr>
        <w:pStyle w:val="ListParagraph"/>
        <w:numPr>
          <w:ilvl w:val="0"/>
          <w:numId w:val="27"/>
        </w:num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i/>
          <w:iCs/>
          <w:sz w:val="24"/>
          <w:szCs w:val="24"/>
        </w:rPr>
        <w:t>Outreach:</w:t>
      </w:r>
      <w:r w:rsidRPr="006E4CF7">
        <w:rPr>
          <w:rFonts w:ascii="Times New Roman" w:hAnsi="Times New Roman" w:cs="Times New Roman"/>
          <w:sz w:val="24"/>
          <w:szCs w:val="24"/>
        </w:rPr>
        <w:t xml:space="preserve"> Reflecting on Cook et al.’s (2019) findings on the significance of social class in the valuation of degrees, we include an outreach dummy variable for Universities exceeding their HESA’s benchmark for students arriving from state schools. The impact of this variable on student satisfaction is theoretically ambiguous, considering possible attitudinal differences towards HE and its perceived value.</w:t>
      </w:r>
    </w:p>
    <w:p w14:paraId="4C847174" w14:textId="6689ED35" w:rsidR="00EF3A57" w:rsidRPr="006E4CF7" w:rsidRDefault="00EF3A57" w:rsidP="00EF3A57">
      <w:pPr>
        <w:pStyle w:val="ListParagraph"/>
        <w:numPr>
          <w:ilvl w:val="0"/>
          <w:numId w:val="27"/>
        </w:num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i/>
          <w:iCs/>
          <w:sz w:val="24"/>
          <w:szCs w:val="24"/>
        </w:rPr>
        <w:t>Employment:</w:t>
      </w:r>
      <w:r w:rsidRPr="006E4CF7">
        <w:rPr>
          <w:rFonts w:ascii="Times New Roman" w:hAnsi="Times New Roman" w:cs="Times New Roman"/>
          <w:sz w:val="24"/>
          <w:szCs w:val="24"/>
        </w:rPr>
        <w:t xml:space="preserve"> Lenton (201</w:t>
      </w:r>
      <w:r w:rsidR="00EA280D" w:rsidRPr="006E4CF7">
        <w:rPr>
          <w:rFonts w:ascii="Times New Roman" w:hAnsi="Times New Roman" w:cs="Times New Roman"/>
          <w:sz w:val="24"/>
          <w:szCs w:val="24"/>
        </w:rPr>
        <w:t>5</w:t>
      </w:r>
      <w:r w:rsidRPr="006E4CF7">
        <w:rPr>
          <w:rFonts w:ascii="Times New Roman" w:hAnsi="Times New Roman" w:cs="Times New Roman"/>
          <w:sz w:val="24"/>
          <w:szCs w:val="24"/>
        </w:rPr>
        <w:t xml:space="preserve">) highlights student employability as a significant factor influencing student satisfaction. Accordingly, we have incorporated this element as a control in our analysis. Using TEF data on graduate outcomes, we employ a dummy variable to identify institutions that surpass benchmarks for high graduate employment </w:t>
      </w:r>
      <w:r w:rsidRPr="006E4CF7">
        <w:rPr>
          <w:rFonts w:ascii="Times New Roman" w:hAnsi="Times New Roman" w:cs="Times New Roman"/>
          <w:sz w:val="24"/>
          <w:szCs w:val="24"/>
        </w:rPr>
        <w:lastRenderedPageBreak/>
        <w:t>rates. Institutions achieving superior employment outcomes may focus on practical, career-oriented education, potentially increasing student satisfaction by demonstrating the practical benefits of their programs.</w:t>
      </w:r>
    </w:p>
    <w:p w14:paraId="79A96F9D" w14:textId="313BF789" w:rsidR="00F91CB8" w:rsidRPr="006E4CF7" w:rsidRDefault="00EF3A57" w:rsidP="00EF3A57">
      <w:pPr>
        <w:pStyle w:val="ListParagraph"/>
        <w:numPr>
          <w:ilvl w:val="0"/>
          <w:numId w:val="27"/>
        </w:num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i/>
          <w:iCs/>
          <w:sz w:val="24"/>
          <w:szCs w:val="24"/>
        </w:rPr>
        <w:t>Casualisation:</w:t>
      </w:r>
      <w:r w:rsidRPr="006E4CF7">
        <w:rPr>
          <w:rFonts w:ascii="Times New Roman" w:hAnsi="Times New Roman" w:cs="Times New Roman"/>
          <w:sz w:val="24"/>
          <w:szCs w:val="24"/>
        </w:rPr>
        <w:t xml:space="preserve"> Williams (2021) observes that an increase in the proportion of casual teaching correlates with a decrease in student satisfaction. Thus, we include this factor in our analysis. Our variable quantifies the proportion of academic staff on fixed-term contracts, noting that high turnover can disrupt teaching continuity, hinder the development of meaningful faculty-student relationships, and reflect a prioritization of cost-saving over academic quality. These issues can negatively affect the educational experience and reduce student satisfaction. However, this measure does not account for fixed-term contracts potentially linked to research funding.</w:t>
      </w:r>
    </w:p>
    <w:p w14:paraId="68ABD080" w14:textId="49342CDF" w:rsidR="00C65F96" w:rsidRPr="006E4CF7" w:rsidRDefault="0070573D" w:rsidP="00E40B5A">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With these control variables in place, we can effectively isolate the impact of teaching-only contracts on student dissatisfaction. Our methodology uses two models to examine how employment practices influence student experiences. Model 1 introduces two key variables: the proportion of faculty on teaching-only contracts (</w:t>
      </w:r>
      <w:proofErr w:type="spellStart"/>
      <w:r w:rsidRPr="006E4CF7">
        <w:rPr>
          <w:rFonts w:ascii="Times New Roman" w:hAnsi="Times New Roman" w:cs="Times New Roman"/>
          <w:sz w:val="24"/>
          <w:szCs w:val="24"/>
        </w:rPr>
        <w:t>TeachingOnly</w:t>
      </w:r>
      <w:proofErr w:type="spellEnd"/>
      <w:r w:rsidRPr="006E4CF7">
        <w:rPr>
          <w:rFonts w:ascii="Times New Roman" w:hAnsi="Times New Roman" w:cs="Times New Roman"/>
          <w:sz w:val="24"/>
          <w:szCs w:val="24"/>
        </w:rPr>
        <w:t>) and an interaction term (</w:t>
      </w:r>
      <w:proofErr w:type="spellStart"/>
      <w:r w:rsidRPr="006E4CF7">
        <w:rPr>
          <w:rFonts w:ascii="Times New Roman" w:hAnsi="Times New Roman" w:cs="Times New Roman"/>
          <w:sz w:val="24"/>
          <w:szCs w:val="24"/>
        </w:rPr>
        <w:t>TeachingOnly×LowPaySkew</w:t>
      </w:r>
      <w:proofErr w:type="spellEnd"/>
      <w:r w:rsidRPr="006E4CF7">
        <w:rPr>
          <w:rFonts w:ascii="Times New Roman" w:hAnsi="Times New Roman" w:cs="Times New Roman"/>
          <w:sz w:val="24"/>
          <w:szCs w:val="24"/>
        </w:rPr>
        <w:t xml:space="preserve">). </w:t>
      </w:r>
      <w:r w:rsidR="004B287F" w:rsidRPr="006E4CF7">
        <w:rPr>
          <w:rFonts w:ascii="Times New Roman" w:hAnsi="Times New Roman" w:cs="Times New Roman"/>
          <w:sz w:val="24"/>
          <w:szCs w:val="24"/>
        </w:rPr>
        <w:t xml:space="preserve">HESA provides salary data in bands (e.g., Contract salary &lt; £20,092; Contract salary ≥ £20,092 and &lt; £26,341; Contract salary ≥ £26,341 and &lt; £35,326; Contract salary ≥ £35,326 and &lt; £47,419; Contract salary ≥ £47,419 and &lt; £63,668; Contract salary ≥ £63,668). Instead of applying a standard low-pay classification, we use the £47,419 threshold as a middle band. To define </w:t>
      </w:r>
      <w:proofErr w:type="spellStart"/>
      <w:r w:rsidR="004B287F" w:rsidRPr="006E4CF7">
        <w:rPr>
          <w:rFonts w:ascii="Times New Roman" w:hAnsi="Times New Roman" w:cs="Times New Roman"/>
          <w:sz w:val="24"/>
          <w:szCs w:val="24"/>
        </w:rPr>
        <w:t>LowPaySkew</w:t>
      </w:r>
      <w:proofErr w:type="spellEnd"/>
      <w:r w:rsidR="004B287F" w:rsidRPr="006E4CF7">
        <w:rPr>
          <w:rFonts w:ascii="Times New Roman" w:hAnsi="Times New Roman" w:cs="Times New Roman"/>
          <w:sz w:val="24"/>
          <w:szCs w:val="24"/>
        </w:rPr>
        <w:t>, we calculate the proportion of teaching staff earning below £47,419 relative to those earning above this threshold. A dummy variable is then created to flag institutions where a higher proportion of teaching staff fall into the lower salary range.</w:t>
      </w:r>
      <w:r w:rsidRPr="006E4CF7">
        <w:rPr>
          <w:rFonts w:ascii="Times New Roman" w:hAnsi="Times New Roman" w:cs="Times New Roman"/>
          <w:sz w:val="24"/>
          <w:szCs w:val="24"/>
        </w:rPr>
        <w:t xml:space="preserve"> We calculate the proportion of teaching staff earning below £47,419 compared to those earning above </w:t>
      </w:r>
      <w:r w:rsidR="00BB288B" w:rsidRPr="006E4CF7">
        <w:rPr>
          <w:rFonts w:ascii="Times New Roman" w:hAnsi="Times New Roman" w:cs="Times New Roman"/>
          <w:sz w:val="24"/>
          <w:szCs w:val="24"/>
        </w:rPr>
        <w:t>it and</w:t>
      </w:r>
      <w:r w:rsidRPr="006E4CF7">
        <w:rPr>
          <w:rFonts w:ascii="Times New Roman" w:hAnsi="Times New Roman" w:cs="Times New Roman"/>
          <w:sz w:val="24"/>
          <w:szCs w:val="24"/>
        </w:rPr>
        <w:t xml:space="preserve"> create a dummy variable for institutions where a higher proportion of teaching staff are in the lower salary range.</w:t>
      </w:r>
    </w:p>
    <w:p w14:paraId="4357BC16" w14:textId="12C53090" w:rsidR="005E6F05" w:rsidRPr="006E4CF7" w:rsidRDefault="0070573D" w:rsidP="00C663DB">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One concern is that lower pay might simply reflect less experience, affecting student satisfaction. However, evidence shows that teaching-only staff face fewer promotion opportunities compared to research-focused peers, regardless of pay (Arico et al., 2024). Teaching-only contracts often come with more limited career advancement, so higher pay does not necessarily indicate seniority or improved student outcomes. Our </w:t>
      </w:r>
      <w:proofErr w:type="spellStart"/>
      <w:r w:rsidRPr="006E4CF7">
        <w:rPr>
          <w:rFonts w:ascii="Times New Roman" w:hAnsi="Times New Roman" w:cs="Times New Roman"/>
          <w:sz w:val="24"/>
          <w:szCs w:val="24"/>
        </w:rPr>
        <w:t>LowPaySkew</w:t>
      </w:r>
      <w:proofErr w:type="spellEnd"/>
      <w:r w:rsidRPr="006E4CF7">
        <w:rPr>
          <w:rFonts w:ascii="Times New Roman" w:hAnsi="Times New Roman" w:cs="Times New Roman"/>
          <w:sz w:val="24"/>
          <w:szCs w:val="24"/>
        </w:rPr>
        <w:t xml:space="preserve"> measure reflects this, recognising that pay alone is not a sufficient indicator of career progression or recognition in teaching roles.</w:t>
      </w:r>
      <w:r w:rsidR="002F31D4" w:rsidRPr="006E4CF7">
        <w:rPr>
          <w:rFonts w:ascii="Times New Roman" w:hAnsi="Times New Roman" w:cs="Times New Roman"/>
          <w:sz w:val="24"/>
          <w:szCs w:val="24"/>
        </w:rPr>
        <w:t xml:space="preserve"> </w:t>
      </w:r>
    </w:p>
    <w:p w14:paraId="18106529" w14:textId="6B4F7F6C" w:rsidR="0032373F" w:rsidRPr="006E4CF7" w:rsidRDefault="0032373F" w:rsidP="0032373F">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lastRenderedPageBreak/>
        <w:t xml:space="preserve">Bringing </w:t>
      </w:r>
      <w:r w:rsidR="00D81C4A" w:rsidRPr="006E4CF7">
        <w:rPr>
          <w:rFonts w:ascii="Times New Roman" w:hAnsi="Times New Roman" w:cs="Times New Roman"/>
          <w:sz w:val="24"/>
          <w:szCs w:val="24"/>
        </w:rPr>
        <w:t>our approach</w:t>
      </w:r>
      <w:r w:rsidRPr="006E4CF7">
        <w:rPr>
          <w:rFonts w:ascii="Times New Roman" w:hAnsi="Times New Roman" w:cs="Times New Roman"/>
          <w:sz w:val="24"/>
          <w:szCs w:val="24"/>
        </w:rPr>
        <w:t xml:space="preserve"> together, </w:t>
      </w:r>
      <w:r w:rsidR="000A24AE" w:rsidRPr="006E4CF7">
        <w:rPr>
          <w:rFonts w:ascii="Times New Roman" w:hAnsi="Times New Roman" w:cs="Times New Roman"/>
          <w:sz w:val="24"/>
          <w:szCs w:val="24"/>
        </w:rPr>
        <w:t xml:space="preserve">in </w:t>
      </w:r>
      <w:r w:rsidRPr="006E4CF7">
        <w:rPr>
          <w:rFonts w:ascii="Times New Roman" w:hAnsi="Times New Roman" w:cs="Times New Roman"/>
          <w:sz w:val="24"/>
          <w:szCs w:val="24"/>
        </w:rPr>
        <w:t xml:space="preserve">our theoretical framework, teaching roles are viewed as specialised assets that are integral to the academic mission but undervalued in many institutions, especially when research is prioritised. Asset specificity implies that the more tailored and specialised these roles are, the more important it is for institutions to recognise and reward them appropriately. The empirical model uses variables like the proportion of teaching-only contracts and </w:t>
      </w:r>
      <w:proofErr w:type="spellStart"/>
      <w:r w:rsidRPr="006E4CF7">
        <w:rPr>
          <w:rFonts w:ascii="Times New Roman" w:hAnsi="Times New Roman" w:cs="Times New Roman"/>
          <w:sz w:val="24"/>
          <w:szCs w:val="24"/>
        </w:rPr>
        <w:t>LowPaySkew</w:t>
      </w:r>
      <w:proofErr w:type="spellEnd"/>
      <w:r w:rsidRPr="006E4CF7">
        <w:rPr>
          <w:rFonts w:ascii="Times New Roman" w:hAnsi="Times New Roman" w:cs="Times New Roman"/>
          <w:sz w:val="24"/>
          <w:szCs w:val="24"/>
        </w:rPr>
        <w:t xml:space="preserve"> to test whether institutions that undervalue these specialised teaching roles—through lower pay and limited career advancement—experience higher student dissatisfaction. This reflects the theoretical expectation that when these specific assets (teaching roles) are not adequately integrated or valued, the educational outcomes, including student satisfaction, suffer.</w:t>
      </w:r>
    </w:p>
    <w:p w14:paraId="73000F46" w14:textId="54AE76C6" w:rsidR="0029238C" w:rsidRPr="006E4CF7" w:rsidRDefault="000A24AE" w:rsidP="0070573D">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We</w:t>
      </w:r>
      <w:r w:rsidR="0029238C" w:rsidRPr="006E4CF7">
        <w:rPr>
          <w:rFonts w:ascii="Times New Roman" w:hAnsi="Times New Roman" w:cs="Times New Roman"/>
          <w:sz w:val="24"/>
          <w:szCs w:val="24"/>
        </w:rPr>
        <w:t xml:space="preserve"> explore two hypotheses:</w:t>
      </w:r>
    </w:p>
    <w:p w14:paraId="799861CF" w14:textId="237B6D22" w:rsidR="0029238C" w:rsidRPr="006E4CF7" w:rsidRDefault="0029238C" w:rsidP="0029238C">
      <w:pPr>
        <w:pStyle w:val="ListParagraph"/>
        <w:numPr>
          <w:ilvl w:val="0"/>
          <w:numId w:val="23"/>
        </w:num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Hypothesis 1 (</w:t>
      </w:r>
      <w:r w:rsidRPr="006E4CF7">
        <w:rPr>
          <w:rFonts w:ascii="Times New Roman" w:hAnsi="Times New Roman" w:cs="Times New Roman"/>
          <w:b/>
          <w:bCs/>
          <w:sz w:val="24"/>
          <w:szCs w:val="24"/>
        </w:rPr>
        <w:t>H1</w:t>
      </w:r>
      <w:r w:rsidRPr="006E4CF7">
        <w:rPr>
          <w:rFonts w:ascii="Times New Roman" w:hAnsi="Times New Roman" w:cs="Times New Roman"/>
          <w:sz w:val="24"/>
          <w:szCs w:val="24"/>
        </w:rPr>
        <w:t xml:space="preserve">) </w:t>
      </w:r>
      <w:r w:rsidR="0045289F" w:rsidRPr="006E4CF7">
        <w:rPr>
          <w:rFonts w:ascii="Times New Roman" w:hAnsi="Times New Roman" w:cs="Times New Roman"/>
          <w:sz w:val="24"/>
          <w:szCs w:val="24"/>
        </w:rPr>
        <w:t>proposes</w:t>
      </w:r>
      <w:r w:rsidRPr="006E4CF7">
        <w:rPr>
          <w:rFonts w:ascii="Times New Roman" w:hAnsi="Times New Roman" w:cs="Times New Roman"/>
          <w:sz w:val="24"/>
          <w:szCs w:val="24"/>
        </w:rPr>
        <w:t xml:space="preserve"> a negative correlation between the proportion of faculty on teaching-only contracts and student dissatisfaction, suggesting that faculty devoted solely to teaching may enhance the educational environment through increased engagement and quality instruction. We represent this hypothesis in our analysis as </w:t>
      </w:r>
      <m:oMath>
        <m:r>
          <w:rPr>
            <w:rFonts w:ascii="Cambria Math" w:hAnsi="Cambria Math" w:cs="Times New Roman"/>
            <w:sz w:val="24"/>
            <w:szCs w:val="24"/>
          </w:rPr>
          <m:t xml:space="preserve">H1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TeachingOnly</m:t>
            </m:r>
          </m:sub>
        </m:sSub>
        <m:r>
          <w:rPr>
            <w:rFonts w:ascii="Cambria Math" w:hAnsi="Cambria Math" w:cs="Times New Roman"/>
            <w:sz w:val="24"/>
            <w:szCs w:val="24"/>
          </w:rPr>
          <m:t>&lt;0</m:t>
        </m:r>
      </m:oMath>
      <w:r w:rsidRPr="006E4CF7">
        <w:rPr>
          <w:rFonts w:ascii="Times New Roman"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TeachingOnly</m:t>
            </m:r>
          </m:sub>
        </m:sSub>
      </m:oMath>
      <w:r w:rsidRPr="006E4CF7">
        <w:rPr>
          <w:rFonts w:ascii="Times New Roman" w:hAnsi="Times New Roman" w:cs="Times New Roman"/>
          <w:sz w:val="24"/>
          <w:szCs w:val="24"/>
        </w:rPr>
        <w:t xml:space="preserve"> denoting the coefficient for the </w:t>
      </w:r>
      <w:proofErr w:type="spellStart"/>
      <w:r w:rsidRPr="006E4CF7">
        <w:rPr>
          <w:rFonts w:ascii="Times New Roman" w:hAnsi="Times New Roman" w:cs="Times New Roman"/>
          <w:i/>
          <w:iCs/>
          <w:sz w:val="24"/>
          <w:szCs w:val="24"/>
        </w:rPr>
        <w:t>TeachingOnly</w:t>
      </w:r>
      <w:proofErr w:type="spellEnd"/>
      <w:r w:rsidRPr="006E4CF7">
        <w:rPr>
          <w:rFonts w:ascii="Times New Roman" w:hAnsi="Times New Roman" w:cs="Times New Roman"/>
          <w:sz w:val="24"/>
          <w:szCs w:val="24"/>
        </w:rPr>
        <w:t xml:space="preserve"> variable in our regression model. A negative coefficient here would indicate that an uptick in teaching-only contracts correlates with improved student satisfaction.</w:t>
      </w:r>
    </w:p>
    <w:p w14:paraId="2B82E43D" w14:textId="0700DBFD" w:rsidR="0029238C" w:rsidRPr="006E4CF7" w:rsidRDefault="0029238C" w:rsidP="0029238C">
      <w:pPr>
        <w:pStyle w:val="ListParagraph"/>
        <w:numPr>
          <w:ilvl w:val="0"/>
          <w:numId w:val="23"/>
        </w:numPr>
        <w:autoSpaceDE w:val="0"/>
        <w:spacing w:after="240" w:line="360" w:lineRule="auto"/>
        <w:jc w:val="both"/>
        <w:rPr>
          <w:rFonts w:ascii="Times New Roman" w:eastAsiaTheme="minorEastAsia" w:hAnsi="Times New Roman" w:cs="Times New Roman"/>
          <w:sz w:val="24"/>
          <w:szCs w:val="24"/>
        </w:rPr>
      </w:pPr>
      <w:r w:rsidRPr="006E4CF7">
        <w:rPr>
          <w:rFonts w:ascii="Times New Roman" w:hAnsi="Times New Roman" w:cs="Times New Roman"/>
          <w:sz w:val="24"/>
          <w:szCs w:val="24"/>
        </w:rPr>
        <w:t>Hypothesis 2 (</w:t>
      </w:r>
      <w:r w:rsidRPr="006E4CF7">
        <w:rPr>
          <w:rFonts w:ascii="Times New Roman" w:hAnsi="Times New Roman" w:cs="Times New Roman"/>
          <w:b/>
          <w:bCs/>
          <w:sz w:val="24"/>
          <w:szCs w:val="24"/>
        </w:rPr>
        <w:t>H2</w:t>
      </w:r>
      <w:r w:rsidRPr="006E4CF7">
        <w:rPr>
          <w:rFonts w:ascii="Times New Roman" w:hAnsi="Times New Roman" w:cs="Times New Roman"/>
          <w:sz w:val="24"/>
          <w:szCs w:val="24"/>
        </w:rPr>
        <w:t xml:space="preserve">) explores the combined effect of the proportion of faculty on teaching-only contracts and the tendency for these positions to offer lower pay, predicting a positive relationship with student dissatisfaction. This hypothesis </w:t>
      </w:r>
      <w:r w:rsidR="00BE60A1" w:rsidRPr="006E4CF7">
        <w:rPr>
          <w:rFonts w:ascii="Times New Roman" w:hAnsi="Times New Roman" w:cs="Times New Roman"/>
          <w:sz w:val="24"/>
          <w:szCs w:val="24"/>
        </w:rPr>
        <w:t>postulates</w:t>
      </w:r>
      <w:r w:rsidRPr="006E4CF7">
        <w:rPr>
          <w:rFonts w:ascii="Times New Roman" w:hAnsi="Times New Roman" w:cs="Times New Roman"/>
          <w:sz w:val="24"/>
          <w:szCs w:val="24"/>
        </w:rPr>
        <w:t xml:space="preserve"> that although teaching-only contracts might inherently improve the student experience, any such potential benefits are likely diminished or even nullified when these roles predominantly feature lower salaries. The concern is that challenges related to career progression and esteem uncertainty among lower-paid, teaching-focused faculty could detract from the positive impacts of their focused teaching efforts. Thus, we propose: </w:t>
      </w:r>
      <m:oMath>
        <m:r>
          <w:rPr>
            <w:rFonts w:ascii="Cambria Math" w:hAnsi="Cambria Math" w:cs="Times New Roman"/>
            <w:sz w:val="24"/>
            <w:szCs w:val="24"/>
          </w:rPr>
          <m:t xml:space="preserve">H2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TeachingOnly </m:t>
            </m:r>
            <m:r>
              <m:rPr>
                <m:sty m:val="p"/>
              </m:rPr>
              <w:rPr>
                <w:rFonts w:ascii="Cambria Math" w:hAnsi="Cambria Math" w:cs="Times New Roman"/>
                <w:sz w:val="24"/>
                <w:szCs w:val="24"/>
              </w:rPr>
              <m:t>Χ</m:t>
            </m:r>
            <m:r>
              <w:rPr>
                <w:rFonts w:ascii="Cambria Math" w:hAnsi="Cambria Math" w:cs="Times New Roman"/>
                <w:sz w:val="24"/>
                <w:szCs w:val="24"/>
              </w:rPr>
              <m:t xml:space="preserve"> LowPaySkew</m:t>
            </m:r>
          </m:sub>
        </m:sSub>
        <m:r>
          <w:rPr>
            <w:rFonts w:ascii="Cambria Math" w:hAnsi="Cambria Math" w:cs="Times New Roman"/>
            <w:sz w:val="24"/>
            <w:szCs w:val="24"/>
          </w:rPr>
          <m:t xml:space="preserve">&gt;0. </m:t>
        </m:r>
      </m:oMath>
      <w:r w:rsidRPr="006E4CF7">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TeachingOnly </m:t>
            </m:r>
            <m:r>
              <m:rPr>
                <m:sty m:val="p"/>
              </m:rPr>
              <w:rPr>
                <w:rFonts w:ascii="Cambria Math" w:hAnsi="Cambria Math" w:cs="Times New Roman"/>
                <w:sz w:val="24"/>
                <w:szCs w:val="24"/>
              </w:rPr>
              <m:t>Χ</m:t>
            </m:r>
            <m:r>
              <w:rPr>
                <w:rFonts w:ascii="Cambria Math" w:hAnsi="Cambria Math" w:cs="Times New Roman"/>
                <w:sz w:val="24"/>
                <w:szCs w:val="24"/>
              </w:rPr>
              <m:t xml:space="preserve"> LowPaySkew</m:t>
            </m:r>
          </m:sub>
        </m:sSub>
      </m:oMath>
      <w:r w:rsidRPr="006E4CF7">
        <w:rPr>
          <w:rFonts w:ascii="Times New Roman" w:eastAsiaTheme="minorEastAsia" w:hAnsi="Times New Roman" w:cs="Times New Roman"/>
          <w:sz w:val="24"/>
          <w:szCs w:val="24"/>
        </w:rPr>
        <w:t xml:space="preserve"> denotes the coefficient for the interaction term </w:t>
      </w:r>
      <w:proofErr w:type="spellStart"/>
      <w:r w:rsidRPr="006E4CF7">
        <w:rPr>
          <w:rFonts w:ascii="Times New Roman" w:eastAsiaTheme="minorEastAsia" w:hAnsi="Times New Roman" w:cs="Times New Roman"/>
          <w:i/>
          <w:iCs/>
          <w:sz w:val="24"/>
          <w:szCs w:val="24"/>
        </w:rPr>
        <w:t>TeachingOnly×LowPaySkew</w:t>
      </w:r>
      <w:proofErr w:type="spellEnd"/>
      <w:r w:rsidRPr="006E4CF7">
        <w:rPr>
          <w:rFonts w:ascii="Times New Roman" w:eastAsiaTheme="minorEastAsia" w:hAnsi="Times New Roman" w:cs="Times New Roman"/>
          <w:sz w:val="24"/>
          <w:szCs w:val="24"/>
        </w:rPr>
        <w:t xml:space="preserve"> in our regression model. A positive coefficient would indicate that student satisfaction is negatively affected when teaching-only contracts are coupled with a bias towards lower compensation.</w:t>
      </w:r>
    </w:p>
    <w:p w14:paraId="566FB4A4" w14:textId="440568E9" w:rsidR="00DF2C49" w:rsidRPr="006E4CF7" w:rsidRDefault="0029238C" w:rsidP="0029238C">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lastRenderedPageBreak/>
        <w:t xml:space="preserve">An integral aspect of our analysis is understanding how research activities might influence the student experience, either through direct engagement in research-led teaching or indirectly by shaping the implementation of teaching-only contracts. Such dynamics could either promote further investment in pedagogical development or, conversely, limit these opportunities due to an overburdened workload for faculty. To account for these potential influences, we include a rudimentary proxy – a dummy variable for </w:t>
      </w:r>
      <w:r w:rsidRPr="006E4CF7">
        <w:rPr>
          <w:rFonts w:ascii="Times New Roman" w:hAnsi="Times New Roman" w:cs="Times New Roman"/>
          <w:i/>
          <w:iCs/>
          <w:sz w:val="24"/>
          <w:szCs w:val="24"/>
        </w:rPr>
        <w:t>Russell Group</w:t>
      </w:r>
      <w:r w:rsidRPr="006E4CF7">
        <w:rPr>
          <w:rFonts w:ascii="Times New Roman" w:hAnsi="Times New Roman" w:cs="Times New Roman"/>
          <w:sz w:val="24"/>
          <w:szCs w:val="24"/>
        </w:rPr>
        <w:t xml:space="preserve"> universities, recognised for their research intensity and prestigious rankings. However, this simple binary classification may not capture the full complexity of research’s impact on teaching quality and student satisfaction. The multifaceted relationship between research intensity, faculty contract types, and their collective effect on the educational environment necessitates a more sophisticated analysis. Recognising the limitations of our initial proxy therefore motivates the development of </w:t>
      </w:r>
      <w:r w:rsidR="00C03084" w:rsidRPr="006E4CF7">
        <w:rPr>
          <w:rFonts w:ascii="Times New Roman" w:hAnsi="Times New Roman" w:cs="Times New Roman"/>
          <w:sz w:val="24"/>
          <w:szCs w:val="24"/>
        </w:rPr>
        <w:t>our second model.</w:t>
      </w:r>
    </w:p>
    <w:p w14:paraId="08F95080" w14:textId="77777777" w:rsidR="00143615" w:rsidRPr="006E4CF7" w:rsidRDefault="00143615" w:rsidP="00143615">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To better understand the impact of research intensity on student dissatisfaction, Model 2 categorises universities based on three factors: the division of labour between teaching and research activities; compensation for teaching contracts, using the previously described </w:t>
      </w:r>
      <w:proofErr w:type="spellStart"/>
      <w:r w:rsidRPr="006E4CF7">
        <w:rPr>
          <w:rFonts w:ascii="Times New Roman" w:hAnsi="Times New Roman" w:cs="Times New Roman"/>
          <w:sz w:val="24"/>
          <w:szCs w:val="24"/>
        </w:rPr>
        <w:t>LowPaySkew</w:t>
      </w:r>
      <w:proofErr w:type="spellEnd"/>
      <w:r w:rsidRPr="006E4CF7">
        <w:rPr>
          <w:rFonts w:ascii="Times New Roman" w:hAnsi="Times New Roman" w:cs="Times New Roman"/>
          <w:sz w:val="24"/>
          <w:szCs w:val="24"/>
        </w:rPr>
        <w:t xml:space="preserve"> measure; and research performance, proxied by Grade Point Averages (GPAs) from REF2021 data. This classification allows for a detailed analysis of the relative balance between teaching and research across a select sample of institutions:</w:t>
      </w:r>
    </w:p>
    <w:p w14:paraId="7DC8EC4E" w14:textId="77777777" w:rsidR="00143615" w:rsidRPr="006E4CF7" w:rsidRDefault="00143615" w:rsidP="00143615">
      <w:p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sz w:val="24"/>
          <w:szCs w:val="24"/>
        </w:rPr>
        <w:t>•</w:t>
      </w:r>
      <w:r w:rsidRPr="006E4CF7">
        <w:rPr>
          <w:rFonts w:ascii="Times New Roman" w:hAnsi="Times New Roman" w:cs="Times New Roman"/>
          <w:sz w:val="24"/>
          <w:szCs w:val="24"/>
        </w:rPr>
        <w:tab/>
        <w:t>Baseline: Represents universities with a low utilisation of teaching-only contracts, defined as having a proportion of teaching-only contracts in the first quartile. These institutions serve as our foundational comparison group, indicating minimal division of labour between teaching and research. All other categories comprise institutions in the top three quartiles, reflecting a greater division of labour.</w:t>
      </w:r>
    </w:p>
    <w:p w14:paraId="201E7A67" w14:textId="77777777" w:rsidR="00143615" w:rsidRPr="006E4CF7" w:rsidRDefault="00143615" w:rsidP="00143615">
      <w:p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sz w:val="24"/>
          <w:szCs w:val="24"/>
        </w:rPr>
        <w:t>•</w:t>
      </w:r>
      <w:r w:rsidRPr="006E4CF7">
        <w:rPr>
          <w:rFonts w:ascii="Times New Roman" w:hAnsi="Times New Roman" w:cs="Times New Roman"/>
          <w:sz w:val="24"/>
          <w:szCs w:val="24"/>
        </w:rPr>
        <w:tab/>
        <w:t>Research-Seeker: Identifies universities employing a higher-than-median proportion of teaching-only contracts at lower pay scales and achieving below-median research intensity. These can be categorised as institutions with low teaching esteem and low research performance.</w:t>
      </w:r>
    </w:p>
    <w:p w14:paraId="4C4A83E1" w14:textId="77777777" w:rsidR="00143615" w:rsidRPr="006E4CF7" w:rsidRDefault="00143615" w:rsidP="00143615">
      <w:p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sz w:val="24"/>
          <w:szCs w:val="24"/>
        </w:rPr>
        <w:t>•</w:t>
      </w:r>
      <w:r w:rsidRPr="006E4CF7">
        <w:rPr>
          <w:rFonts w:ascii="Times New Roman" w:hAnsi="Times New Roman" w:cs="Times New Roman"/>
          <w:sz w:val="24"/>
          <w:szCs w:val="24"/>
        </w:rPr>
        <w:tab/>
        <w:t>Research-Leader: Similar to Research-Seekers in terms of compensation but distinguished by higher-than-median research performance, categorising them as institutions with low teaching esteem but high research output.</w:t>
      </w:r>
    </w:p>
    <w:p w14:paraId="61B22CFF" w14:textId="77777777" w:rsidR="00143615" w:rsidRPr="006E4CF7" w:rsidRDefault="00143615" w:rsidP="00143615">
      <w:p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sz w:val="24"/>
          <w:szCs w:val="24"/>
        </w:rPr>
        <w:lastRenderedPageBreak/>
        <w:t>•</w:t>
      </w:r>
      <w:r w:rsidRPr="006E4CF7">
        <w:rPr>
          <w:rFonts w:ascii="Times New Roman" w:hAnsi="Times New Roman" w:cs="Times New Roman"/>
          <w:sz w:val="24"/>
          <w:szCs w:val="24"/>
        </w:rPr>
        <w:tab/>
        <w:t>Value-Innovator: These institutions are notable for offering better compensation for teaching-only contracts while maintaining below-median research intensity, characterising them as high teaching esteem establishments with lower research performance.</w:t>
      </w:r>
    </w:p>
    <w:p w14:paraId="06AB0A7F" w14:textId="6EF7E117" w:rsidR="00B55466" w:rsidRPr="006E4CF7" w:rsidRDefault="00143615" w:rsidP="00143615">
      <w:pPr>
        <w:spacing w:after="240" w:line="360" w:lineRule="auto"/>
        <w:ind w:left="426" w:hanging="426"/>
        <w:jc w:val="both"/>
        <w:rPr>
          <w:rFonts w:ascii="Times New Roman" w:hAnsi="Times New Roman" w:cs="Times New Roman"/>
          <w:sz w:val="24"/>
          <w:szCs w:val="24"/>
        </w:rPr>
      </w:pPr>
      <w:r w:rsidRPr="006E4CF7">
        <w:rPr>
          <w:rFonts w:ascii="Times New Roman" w:hAnsi="Times New Roman" w:cs="Times New Roman"/>
          <w:sz w:val="24"/>
          <w:szCs w:val="24"/>
        </w:rPr>
        <w:t>•</w:t>
      </w:r>
      <w:r w:rsidRPr="006E4CF7">
        <w:rPr>
          <w:rFonts w:ascii="Times New Roman" w:hAnsi="Times New Roman" w:cs="Times New Roman"/>
          <w:sz w:val="24"/>
          <w:szCs w:val="24"/>
        </w:rPr>
        <w:tab/>
        <w:t>Pioneer: Characterised by generous compensation for teaching-only contracts and a strong, above-median commitment to research, potentially exemplifying an ideal balance of high teaching esteem and robust research performance.</w:t>
      </w:r>
    </w:p>
    <w:p w14:paraId="733BAB16" w14:textId="42822180" w:rsidR="007549B4" w:rsidRPr="006E4CF7" w:rsidRDefault="007549B4" w:rsidP="007549B4">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Hypothesis 3 (</w:t>
      </w:r>
      <w:r w:rsidRPr="006E4CF7">
        <w:rPr>
          <w:rFonts w:ascii="Times New Roman" w:hAnsi="Times New Roman" w:cs="Times New Roman"/>
          <w:b/>
          <w:bCs/>
          <w:sz w:val="24"/>
          <w:szCs w:val="24"/>
        </w:rPr>
        <w:t>H3</w:t>
      </w:r>
      <w:r w:rsidRPr="006E4CF7">
        <w:rPr>
          <w:rFonts w:ascii="Times New Roman" w:hAnsi="Times New Roman" w:cs="Times New Roman"/>
          <w:sz w:val="24"/>
          <w:szCs w:val="24"/>
        </w:rPr>
        <w:t xml:space="preserve">) introduces a more complex narrative, suggesting that although teaching-only contracts can enhance student satisfaction, their positive impact may be undermined by the challenges of high research intensity, which can lead to increased workloads and esteem uncertainty concerns. However, Universities that actively tackle salary disparities and improve career progression for teaching-only staff, especially those in the </w:t>
      </w:r>
      <w:r w:rsidRPr="006E4CF7">
        <w:rPr>
          <w:rFonts w:ascii="Times New Roman" w:hAnsi="Times New Roman" w:cs="Times New Roman"/>
          <w:i/>
          <w:iCs/>
          <w:sz w:val="24"/>
          <w:szCs w:val="24"/>
        </w:rPr>
        <w:t xml:space="preserve">Pioneer </w:t>
      </w:r>
      <w:r w:rsidRPr="006E4CF7">
        <w:rPr>
          <w:rFonts w:ascii="Times New Roman" w:hAnsi="Times New Roman" w:cs="Times New Roman"/>
          <w:sz w:val="24"/>
          <w:szCs w:val="24"/>
        </w:rPr>
        <w:t>categor</w:t>
      </w:r>
      <w:r w:rsidR="001E6302" w:rsidRPr="006E4CF7">
        <w:rPr>
          <w:rFonts w:ascii="Times New Roman" w:hAnsi="Times New Roman" w:cs="Times New Roman"/>
          <w:sz w:val="24"/>
          <w:szCs w:val="24"/>
        </w:rPr>
        <w:t>y</w:t>
      </w:r>
      <w:r w:rsidRPr="006E4CF7">
        <w:rPr>
          <w:rFonts w:ascii="Times New Roman" w:hAnsi="Times New Roman" w:cs="Times New Roman"/>
          <w:sz w:val="24"/>
          <w:szCs w:val="24"/>
        </w:rPr>
        <w:t xml:space="preserve">, can mitigate or even overturn these adverse effects. This is attributed to addressing esteem uncertainty by valuing teaching roles equally with research roles. Model 2 therefore offers a more comprehensive framework to examine how </w:t>
      </w:r>
      <w:r w:rsidR="00B16483" w:rsidRPr="006E4CF7">
        <w:rPr>
          <w:rFonts w:ascii="Times New Roman" w:hAnsi="Times New Roman" w:cs="Times New Roman"/>
          <w:sz w:val="24"/>
          <w:szCs w:val="24"/>
        </w:rPr>
        <w:t>U</w:t>
      </w:r>
      <w:r w:rsidRPr="006E4CF7">
        <w:rPr>
          <w:rFonts w:ascii="Times New Roman" w:hAnsi="Times New Roman" w:cs="Times New Roman"/>
          <w:sz w:val="24"/>
          <w:szCs w:val="24"/>
        </w:rPr>
        <w:t>niversity policies regarding teaching-only contracts influence student satisfaction, with a specific focus on overcoming the esteem-related challenges faced by teaching-focused faculty.</w:t>
      </w:r>
    </w:p>
    <w:p w14:paraId="663AD8F9" w14:textId="4523AAE4" w:rsidR="00032734" w:rsidRPr="006E4CF7" w:rsidRDefault="00032734" w:rsidP="00660F0A">
      <w:pPr>
        <w:spacing w:after="240" w:line="360" w:lineRule="auto"/>
        <w:jc w:val="both"/>
        <w:rPr>
          <w:rFonts w:ascii="Times New Roman" w:hAnsi="Times New Roman" w:cs="Times New Roman"/>
          <w:b/>
          <w:bCs/>
          <w:sz w:val="24"/>
          <w:szCs w:val="24"/>
        </w:rPr>
      </w:pPr>
      <w:r w:rsidRPr="006E4CF7">
        <w:rPr>
          <w:rFonts w:ascii="Times New Roman" w:hAnsi="Times New Roman" w:cs="Times New Roman"/>
          <w:b/>
          <w:bCs/>
          <w:sz w:val="24"/>
          <w:szCs w:val="24"/>
        </w:rPr>
        <w:t>4. Empirical Results</w:t>
      </w:r>
    </w:p>
    <w:p w14:paraId="01D22A49" w14:textId="582C1DC8" w:rsidR="0046604C" w:rsidRPr="006E4CF7" w:rsidRDefault="00150D03" w:rsidP="00F12D87">
      <w:pPr>
        <w:spacing w:line="360" w:lineRule="auto"/>
        <w:jc w:val="both"/>
        <w:rPr>
          <w:rFonts w:ascii="Times New Roman" w:hAnsi="Times New Roman" w:cs="Times New Roman"/>
          <w:sz w:val="24"/>
          <w:szCs w:val="24"/>
        </w:rPr>
      </w:pPr>
      <w:r w:rsidRPr="006E4CF7">
        <w:rPr>
          <w:rFonts w:ascii="Times New Roman" w:hAnsi="Times New Roman" w:cs="Times New Roman"/>
          <w:sz w:val="24"/>
          <w:szCs w:val="24"/>
        </w:rPr>
        <w:t>To analyse</w:t>
      </w:r>
      <w:r w:rsidR="0046604C" w:rsidRPr="006E4CF7">
        <w:rPr>
          <w:rFonts w:ascii="Times New Roman" w:hAnsi="Times New Roman" w:cs="Times New Roman"/>
          <w:sz w:val="24"/>
          <w:szCs w:val="24"/>
        </w:rPr>
        <w:t xml:space="preserve"> our </w:t>
      </w:r>
      <w:r w:rsidR="007549B4" w:rsidRPr="006E4CF7">
        <w:rPr>
          <w:rFonts w:ascii="Times New Roman" w:hAnsi="Times New Roman" w:cs="Times New Roman"/>
          <w:sz w:val="24"/>
          <w:szCs w:val="24"/>
        </w:rPr>
        <w:t xml:space="preserve">student </w:t>
      </w:r>
      <w:r w:rsidR="0046604C" w:rsidRPr="006E4CF7">
        <w:rPr>
          <w:rFonts w:ascii="Times New Roman" w:hAnsi="Times New Roman" w:cs="Times New Roman"/>
          <w:sz w:val="24"/>
          <w:szCs w:val="24"/>
        </w:rPr>
        <w:t>dissatisfaction index, with values ranging from 0 to 1, we select the Tobit regression model for its adept handling of censoring at both dataset extremes. This model aptly accommodates the dissatisfaction index</w:t>
      </w:r>
      <w:r w:rsidR="00F12D87" w:rsidRPr="006E4CF7">
        <w:rPr>
          <w:rFonts w:ascii="Times New Roman" w:hAnsi="Times New Roman" w:cs="Times New Roman"/>
          <w:sz w:val="24"/>
          <w:szCs w:val="24"/>
        </w:rPr>
        <w:t>’</w:t>
      </w:r>
      <w:r w:rsidR="0046604C" w:rsidRPr="006E4CF7">
        <w:rPr>
          <w:rFonts w:ascii="Times New Roman" w:hAnsi="Times New Roman" w:cs="Times New Roman"/>
          <w:sz w:val="24"/>
          <w:szCs w:val="24"/>
        </w:rPr>
        <w:t>s continuous yet limited nature. The Tobit model</w:t>
      </w:r>
      <w:r w:rsidR="00F12D87" w:rsidRPr="006E4CF7">
        <w:rPr>
          <w:rFonts w:ascii="Times New Roman" w:hAnsi="Times New Roman" w:cs="Times New Roman"/>
          <w:sz w:val="24"/>
          <w:szCs w:val="24"/>
        </w:rPr>
        <w:t>’</w:t>
      </w:r>
      <w:r w:rsidR="0046604C" w:rsidRPr="006E4CF7">
        <w:rPr>
          <w:rFonts w:ascii="Times New Roman" w:hAnsi="Times New Roman" w:cs="Times New Roman"/>
          <w:sz w:val="24"/>
          <w:szCs w:val="24"/>
        </w:rPr>
        <w:t>s application is well-matched with the theory that student dissatisfaction acts as a latent variable constrained within a definite range, aligning with the fuzzy deprivation methodology. This methodological choice enables a comprehensive analysis of the factors affecting student dissatisfaction levels across institutions, utili</w:t>
      </w:r>
      <w:r w:rsidR="00F12D87" w:rsidRPr="006E4CF7">
        <w:rPr>
          <w:rFonts w:ascii="Times New Roman" w:hAnsi="Times New Roman" w:cs="Times New Roman"/>
          <w:sz w:val="24"/>
          <w:szCs w:val="24"/>
        </w:rPr>
        <w:t>s</w:t>
      </w:r>
      <w:r w:rsidR="0046604C" w:rsidRPr="006E4CF7">
        <w:rPr>
          <w:rFonts w:ascii="Times New Roman" w:hAnsi="Times New Roman" w:cs="Times New Roman"/>
          <w:sz w:val="24"/>
          <w:szCs w:val="24"/>
        </w:rPr>
        <w:t>ing the full breadth of data, especially those at the index</w:t>
      </w:r>
      <w:r w:rsidR="00F12D87" w:rsidRPr="006E4CF7">
        <w:rPr>
          <w:rFonts w:ascii="Times New Roman" w:hAnsi="Times New Roman" w:cs="Times New Roman"/>
          <w:sz w:val="24"/>
          <w:szCs w:val="24"/>
        </w:rPr>
        <w:t>’</w:t>
      </w:r>
      <w:r w:rsidR="0046604C" w:rsidRPr="006E4CF7">
        <w:rPr>
          <w:rFonts w:ascii="Times New Roman" w:hAnsi="Times New Roman" w:cs="Times New Roman"/>
          <w:sz w:val="24"/>
          <w:szCs w:val="24"/>
        </w:rPr>
        <w:t xml:space="preserve">s boundaries. To ensure our findings’ robustness, we also conducted preliminary analyses with alternative models, such as the Fractional Logit model. While these additional tests slightly modified the estimates, they did not alter their significance, affirming the Tobit model’s suitability for our research objectives. </w:t>
      </w:r>
      <w:r w:rsidR="00F12D87" w:rsidRPr="006E4CF7">
        <w:rPr>
          <w:rFonts w:ascii="Times New Roman" w:hAnsi="Times New Roman" w:cs="Times New Roman"/>
          <w:sz w:val="24"/>
          <w:szCs w:val="24"/>
        </w:rPr>
        <w:t>Our</w:t>
      </w:r>
      <w:r w:rsidR="0046604C" w:rsidRPr="006E4CF7">
        <w:rPr>
          <w:rFonts w:ascii="Times New Roman" w:hAnsi="Times New Roman" w:cs="Times New Roman"/>
          <w:sz w:val="24"/>
          <w:szCs w:val="24"/>
        </w:rPr>
        <w:t xml:space="preserve"> primary empirical findings are detailed in </w:t>
      </w:r>
      <w:r w:rsidR="007549B4" w:rsidRPr="006E4CF7">
        <w:rPr>
          <w:rFonts w:ascii="Times New Roman" w:hAnsi="Times New Roman" w:cs="Times New Roman"/>
          <w:sz w:val="24"/>
          <w:szCs w:val="24"/>
        </w:rPr>
        <w:t>Table 1</w:t>
      </w:r>
      <w:r w:rsidR="0046604C" w:rsidRPr="006E4CF7">
        <w:rPr>
          <w:rFonts w:ascii="Times New Roman" w:hAnsi="Times New Roman" w:cs="Times New Roman"/>
          <w:sz w:val="24"/>
          <w:szCs w:val="24"/>
        </w:rPr>
        <w:t>:</w:t>
      </w:r>
    </w:p>
    <w:p w14:paraId="63F818F9" w14:textId="77777777" w:rsidR="0046604C" w:rsidRPr="006E4CF7" w:rsidRDefault="0046604C" w:rsidP="0046604C">
      <w:pPr>
        <w:rPr>
          <w:rFonts w:ascii="Times New Roman" w:hAnsi="Times New Roman" w:cs="Times New Roman"/>
          <w:sz w:val="24"/>
          <w:szCs w:val="24"/>
        </w:rPr>
      </w:pPr>
    </w:p>
    <w:p w14:paraId="57433027" w14:textId="77777777" w:rsidR="00392062" w:rsidRPr="006E4CF7" w:rsidRDefault="00392062" w:rsidP="00392062">
      <w:pPr>
        <w:rPr>
          <w:rFonts w:ascii="Times New Roman" w:hAnsi="Times New Roman" w:cs="Times New Roman"/>
          <w:b/>
          <w:bCs/>
          <w:sz w:val="24"/>
          <w:szCs w:val="24"/>
        </w:rPr>
      </w:pPr>
      <w:r w:rsidRPr="006E4CF7">
        <w:rPr>
          <w:rFonts w:ascii="Times New Roman" w:hAnsi="Times New Roman" w:cs="Times New Roman"/>
          <w:b/>
          <w:bCs/>
          <w:sz w:val="24"/>
          <w:szCs w:val="24"/>
        </w:rPr>
        <w:t>Table 1: Tobit Analysis of the Dissatisfaction Index</w:t>
      </w:r>
    </w:p>
    <w:tbl>
      <w:tblPr>
        <w:tblStyle w:val="GridTable4"/>
        <w:tblW w:w="0" w:type="auto"/>
        <w:tblInd w:w="-5" w:type="dxa"/>
        <w:tblLook w:val="04A0" w:firstRow="1" w:lastRow="0" w:firstColumn="1" w:lastColumn="0" w:noHBand="0" w:noVBand="1"/>
      </w:tblPr>
      <w:tblGrid>
        <w:gridCol w:w="5451"/>
        <w:gridCol w:w="1868"/>
        <w:gridCol w:w="1702"/>
      </w:tblGrid>
      <w:tr w:rsidR="006E4CF7" w:rsidRPr="006E4CF7" w14:paraId="7BB7CB92" w14:textId="77777777" w:rsidTr="00FE2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479B35F0" w14:textId="77777777" w:rsidR="00392062" w:rsidRPr="006E4CF7" w:rsidRDefault="00392062" w:rsidP="00FE2184">
            <w:pPr>
              <w:jc w:val="both"/>
              <w:rPr>
                <w:rFonts w:ascii="Times New Roman" w:hAnsi="Times New Roman" w:cs="Times New Roman"/>
                <w:color w:val="auto"/>
              </w:rPr>
            </w:pPr>
            <w:r w:rsidRPr="006E4CF7">
              <w:rPr>
                <w:rFonts w:ascii="Times New Roman" w:hAnsi="Times New Roman" w:cs="Times New Roman"/>
                <w:color w:val="auto"/>
              </w:rPr>
              <w:t>Variable</w:t>
            </w:r>
          </w:p>
        </w:tc>
        <w:tc>
          <w:tcPr>
            <w:tcW w:w="1868" w:type="dxa"/>
          </w:tcPr>
          <w:p w14:paraId="28711600" w14:textId="77777777" w:rsidR="00392062" w:rsidRPr="006E4CF7" w:rsidRDefault="00392062" w:rsidP="00FE218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4CF7">
              <w:rPr>
                <w:rFonts w:ascii="Times New Roman" w:hAnsi="Times New Roman" w:cs="Times New Roman"/>
                <w:color w:val="auto"/>
              </w:rPr>
              <w:t>Model 1</w:t>
            </w:r>
          </w:p>
        </w:tc>
        <w:tc>
          <w:tcPr>
            <w:tcW w:w="1702" w:type="dxa"/>
          </w:tcPr>
          <w:p w14:paraId="1565C15D" w14:textId="77777777" w:rsidR="00392062" w:rsidRPr="006E4CF7" w:rsidRDefault="00392062" w:rsidP="00FE218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E4CF7">
              <w:rPr>
                <w:rFonts w:ascii="Times New Roman" w:hAnsi="Times New Roman" w:cs="Times New Roman"/>
                <w:color w:val="auto"/>
              </w:rPr>
              <w:t>Model 2</w:t>
            </w:r>
          </w:p>
        </w:tc>
      </w:tr>
      <w:tr w:rsidR="006E4CF7" w:rsidRPr="006E4CF7" w14:paraId="58B8AD01"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5509A87C"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lastRenderedPageBreak/>
              <w:t>Constant</w:t>
            </w:r>
          </w:p>
        </w:tc>
        <w:tc>
          <w:tcPr>
            <w:tcW w:w="1868" w:type="dxa"/>
          </w:tcPr>
          <w:p w14:paraId="6E916E0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0.34243***</w:t>
            </w:r>
          </w:p>
        </w:tc>
        <w:tc>
          <w:tcPr>
            <w:tcW w:w="1702" w:type="dxa"/>
          </w:tcPr>
          <w:p w14:paraId="5C378365"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0.66233***</w:t>
            </w:r>
          </w:p>
        </w:tc>
      </w:tr>
      <w:tr w:rsidR="006E4CF7" w:rsidRPr="006E4CF7" w14:paraId="14FE8231"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3FD1EE1C"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Inflation</w:t>
            </w:r>
          </w:p>
        </w:tc>
        <w:tc>
          <w:tcPr>
            <w:tcW w:w="1868" w:type="dxa"/>
          </w:tcPr>
          <w:p w14:paraId="73A86D7A"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-0.14182*         </w:t>
            </w:r>
          </w:p>
        </w:tc>
        <w:tc>
          <w:tcPr>
            <w:tcW w:w="1702" w:type="dxa"/>
          </w:tcPr>
          <w:p w14:paraId="1F7CE233"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-0.02153  </w:t>
            </w:r>
          </w:p>
        </w:tc>
      </w:tr>
      <w:tr w:rsidR="006E4CF7" w:rsidRPr="006E4CF7" w14:paraId="14439739"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02D5461B"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Size</w:t>
            </w:r>
          </w:p>
        </w:tc>
        <w:tc>
          <w:tcPr>
            <w:tcW w:w="1868" w:type="dxa"/>
          </w:tcPr>
          <w:p w14:paraId="4AEF250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-0.00026</w:t>
            </w:r>
          </w:p>
        </w:tc>
        <w:tc>
          <w:tcPr>
            <w:tcW w:w="1702" w:type="dxa"/>
          </w:tcPr>
          <w:p w14:paraId="536CE96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-0.00047</w:t>
            </w:r>
          </w:p>
        </w:tc>
      </w:tr>
      <w:tr w:rsidR="006E4CF7" w:rsidRPr="006E4CF7" w14:paraId="14DE8753"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000D2806"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Outreach</w:t>
            </w:r>
          </w:p>
        </w:tc>
        <w:tc>
          <w:tcPr>
            <w:tcW w:w="1868" w:type="dxa"/>
          </w:tcPr>
          <w:p w14:paraId="13C51824"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-0.01948         </w:t>
            </w:r>
          </w:p>
        </w:tc>
        <w:tc>
          <w:tcPr>
            <w:tcW w:w="1702" w:type="dxa"/>
          </w:tcPr>
          <w:p w14:paraId="0B3BEC22"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-0.02740</w:t>
            </w:r>
          </w:p>
        </w:tc>
      </w:tr>
      <w:tr w:rsidR="006E4CF7" w:rsidRPr="006E4CF7" w14:paraId="0A691912"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37FA3A90"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Employment</w:t>
            </w:r>
          </w:p>
        </w:tc>
        <w:tc>
          <w:tcPr>
            <w:tcW w:w="1868" w:type="dxa"/>
          </w:tcPr>
          <w:p w14:paraId="15A56B91"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0.00016**    </w:t>
            </w:r>
          </w:p>
        </w:tc>
        <w:tc>
          <w:tcPr>
            <w:tcW w:w="1702" w:type="dxa"/>
          </w:tcPr>
          <w:p w14:paraId="061C655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0.00019**</w:t>
            </w:r>
          </w:p>
        </w:tc>
      </w:tr>
      <w:tr w:rsidR="006E4CF7" w:rsidRPr="006E4CF7" w14:paraId="7EC350C2"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7CF3862D" w14:textId="77777777" w:rsidR="00392062" w:rsidRPr="006E4CF7" w:rsidRDefault="00392062" w:rsidP="00FE2184">
            <w:pPr>
              <w:jc w:val="both"/>
              <w:rPr>
                <w:rFonts w:ascii="Times New Roman" w:hAnsi="Times New Roman" w:cs="Times New Roman"/>
                <w:b w:val="0"/>
                <w:bCs w:val="0"/>
              </w:rPr>
            </w:pPr>
            <w:proofErr w:type="spellStart"/>
            <w:r w:rsidRPr="006E4CF7">
              <w:rPr>
                <w:rFonts w:ascii="Times New Roman" w:hAnsi="Times New Roman" w:cs="Times New Roman"/>
                <w:b w:val="0"/>
                <w:bCs w:val="0"/>
              </w:rPr>
              <w:t>Causalisation</w:t>
            </w:r>
            <w:proofErr w:type="spellEnd"/>
          </w:p>
        </w:tc>
        <w:tc>
          <w:tcPr>
            <w:tcW w:w="1868" w:type="dxa"/>
          </w:tcPr>
          <w:p w14:paraId="256F66DB"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0.00367**</w:t>
            </w:r>
          </w:p>
        </w:tc>
        <w:tc>
          <w:tcPr>
            <w:tcW w:w="1702" w:type="dxa"/>
          </w:tcPr>
          <w:p w14:paraId="3DC9B8CC"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-0.00206</w:t>
            </w:r>
          </w:p>
        </w:tc>
      </w:tr>
      <w:tr w:rsidR="006E4CF7" w:rsidRPr="006E4CF7" w14:paraId="49ABD313"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25FE1CD6" w14:textId="77777777" w:rsidR="00392062" w:rsidRPr="006E4CF7" w:rsidRDefault="00392062" w:rsidP="00FE2184">
            <w:pPr>
              <w:jc w:val="both"/>
              <w:rPr>
                <w:rFonts w:ascii="Times New Roman" w:hAnsi="Times New Roman" w:cs="Times New Roman"/>
                <w:b w:val="0"/>
                <w:bCs w:val="0"/>
              </w:rPr>
            </w:pPr>
            <w:proofErr w:type="spellStart"/>
            <w:r w:rsidRPr="006E4CF7">
              <w:rPr>
                <w:rFonts w:ascii="Times New Roman" w:hAnsi="Times New Roman" w:cs="Times New Roman"/>
                <w:b w:val="0"/>
                <w:bCs w:val="0"/>
              </w:rPr>
              <w:t>TeachingOnly</w:t>
            </w:r>
            <w:proofErr w:type="spellEnd"/>
          </w:p>
        </w:tc>
        <w:tc>
          <w:tcPr>
            <w:tcW w:w="1868" w:type="dxa"/>
          </w:tcPr>
          <w:p w14:paraId="20A5090C"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-0.00489***</w:t>
            </w:r>
          </w:p>
        </w:tc>
        <w:tc>
          <w:tcPr>
            <w:tcW w:w="1702" w:type="dxa"/>
          </w:tcPr>
          <w:p w14:paraId="7658D9E3"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E4CF7" w:rsidRPr="006E4CF7" w14:paraId="39171809"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5FCD523F" w14:textId="77777777" w:rsidR="00392062" w:rsidRPr="006E4CF7" w:rsidRDefault="00392062" w:rsidP="00FE2184">
            <w:pPr>
              <w:jc w:val="both"/>
              <w:rPr>
                <w:rFonts w:ascii="Times New Roman" w:hAnsi="Times New Roman" w:cs="Times New Roman"/>
                <w:b w:val="0"/>
                <w:bCs w:val="0"/>
              </w:rPr>
            </w:pPr>
            <w:proofErr w:type="spellStart"/>
            <w:r w:rsidRPr="006E4CF7">
              <w:rPr>
                <w:rFonts w:ascii="Times New Roman" w:hAnsi="Times New Roman" w:cs="Times New Roman"/>
                <w:b w:val="0"/>
                <w:bCs w:val="0"/>
              </w:rPr>
              <w:t>TeachingOnly</w:t>
            </w:r>
            <w:proofErr w:type="spellEnd"/>
            <w:r w:rsidRPr="006E4CF7">
              <w:rPr>
                <w:rFonts w:ascii="Times New Roman" w:hAnsi="Times New Roman" w:cs="Times New Roman"/>
                <w:b w:val="0"/>
                <w:bCs w:val="0"/>
              </w:rPr>
              <w:t>*</w:t>
            </w:r>
            <w:proofErr w:type="spellStart"/>
            <w:r w:rsidRPr="006E4CF7">
              <w:rPr>
                <w:rFonts w:ascii="Times New Roman" w:hAnsi="Times New Roman" w:cs="Times New Roman"/>
                <w:b w:val="0"/>
                <w:bCs w:val="0"/>
              </w:rPr>
              <w:t>LowPaySkew</w:t>
            </w:r>
            <w:proofErr w:type="spellEnd"/>
          </w:p>
        </w:tc>
        <w:tc>
          <w:tcPr>
            <w:tcW w:w="1868" w:type="dxa"/>
          </w:tcPr>
          <w:p w14:paraId="62D92CA0"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0.00243**</w:t>
            </w:r>
          </w:p>
        </w:tc>
        <w:tc>
          <w:tcPr>
            <w:tcW w:w="1702" w:type="dxa"/>
          </w:tcPr>
          <w:p w14:paraId="4091EBFD"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E4CF7" w:rsidRPr="006E4CF7" w14:paraId="0F5A9FAF"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4601E3EA"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Russell Group</w:t>
            </w:r>
          </w:p>
        </w:tc>
        <w:tc>
          <w:tcPr>
            <w:tcW w:w="1868" w:type="dxa"/>
          </w:tcPr>
          <w:p w14:paraId="51916F42"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0.05940        </w:t>
            </w:r>
          </w:p>
        </w:tc>
        <w:tc>
          <w:tcPr>
            <w:tcW w:w="1702" w:type="dxa"/>
          </w:tcPr>
          <w:p w14:paraId="53661C5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E4CF7" w:rsidRPr="006E4CF7" w14:paraId="13C54216"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22ACC123" w14:textId="77777777" w:rsidR="00392062" w:rsidRPr="006E4CF7" w:rsidRDefault="00392062" w:rsidP="00FE2184">
            <w:pPr>
              <w:jc w:val="both"/>
              <w:rPr>
                <w:rFonts w:ascii="Times New Roman" w:hAnsi="Times New Roman" w:cs="Times New Roman"/>
              </w:rPr>
            </w:pPr>
            <w:r w:rsidRPr="006E4CF7">
              <w:rPr>
                <w:rFonts w:ascii="Times New Roman" w:hAnsi="Times New Roman" w:cs="Times New Roman"/>
              </w:rPr>
              <w:t>Proxy Types</w:t>
            </w:r>
          </w:p>
        </w:tc>
        <w:tc>
          <w:tcPr>
            <w:tcW w:w="1868" w:type="dxa"/>
          </w:tcPr>
          <w:p w14:paraId="587A16E8"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2" w:type="dxa"/>
          </w:tcPr>
          <w:p w14:paraId="5ECDAF27"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E4CF7" w:rsidRPr="006E4CF7" w14:paraId="71E4A3F0"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11851472"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Baseline (</w:t>
            </w:r>
            <m:oMath>
              <m:r>
                <m:rPr>
                  <m:sty m:val="b"/>
                </m:rPr>
                <w:rPr>
                  <w:rFonts w:ascii="Cambria Math" w:hAnsi="Cambria Math" w:cs="Times New Roman"/>
                  <w:sz w:val="16"/>
                  <w:szCs w:val="16"/>
                </w:rPr>
                <m:t>=</m:t>
              </m:r>
              <m:sSub>
                <m:sSubPr>
                  <m:ctrlPr>
                    <w:rPr>
                      <w:rFonts w:ascii="Cambria Math" w:hAnsi="Cambria Math" w:cs="Times New Roman"/>
                      <w:sz w:val="16"/>
                      <w:szCs w:val="16"/>
                    </w:rPr>
                  </m:ctrlPr>
                </m:sSubPr>
                <m:e>
                  <m:r>
                    <m:rPr>
                      <m:sty m:val="b"/>
                    </m:rPr>
                    <w:rPr>
                      <w:rFonts w:ascii="Cambria Math" w:hAnsi="Cambria Math" w:cs="Times New Roman"/>
                      <w:sz w:val="16"/>
                      <w:szCs w:val="16"/>
                    </w:rPr>
                    <m:t>1</m:t>
                  </m:r>
                </m:e>
                <m:sub>
                  <m:r>
                    <m:rPr>
                      <m:sty m:val="b"/>
                    </m:rPr>
                    <w:rPr>
                      <w:rFonts w:ascii="Cambria Math" w:hAnsi="Cambria Math" w:cs="Times New Roman"/>
                      <w:sz w:val="16"/>
                      <w:szCs w:val="16"/>
                    </w:rPr>
                    <m:t>P≤</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1</m:t>
                      </m:r>
                    </m:sub>
                  </m:sSub>
                </m:sub>
              </m:sSub>
            </m:oMath>
            <w:r w:rsidRPr="006E4CF7">
              <w:rPr>
                <w:rFonts w:ascii="Arial" w:eastAsiaTheme="minorEastAsia" w:hAnsi="Arial" w:cs="Arial"/>
                <w:sz w:val="16"/>
                <w:szCs w:val="16"/>
              </w:rPr>
              <w:t xml:space="preserve"> </w:t>
            </w:r>
            <w:r w:rsidRPr="006E4CF7">
              <w:rPr>
                <w:rFonts w:ascii="Arial" w:eastAsiaTheme="minorEastAsia" w:hAnsi="Arial" w:cs="Arial"/>
                <w:b w:val="0"/>
                <w:bCs w:val="0"/>
                <w:sz w:val="16"/>
                <w:szCs w:val="16"/>
              </w:rPr>
              <w:t>where P is the proportion of teaching-only contracts)</w:t>
            </w:r>
          </w:p>
        </w:tc>
        <w:tc>
          <w:tcPr>
            <w:tcW w:w="1868" w:type="dxa"/>
          </w:tcPr>
          <w:p w14:paraId="396E13B6"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2" w:type="dxa"/>
          </w:tcPr>
          <w:p w14:paraId="4EF6ECB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w:t>
            </w:r>
          </w:p>
        </w:tc>
      </w:tr>
      <w:tr w:rsidR="006E4CF7" w:rsidRPr="006E4CF7" w14:paraId="43292254"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6B721E81"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 xml:space="preserve">Research-Seeker </w:t>
            </w:r>
            <w:bookmarkStart w:id="2" w:name="_Hlk172122971"/>
            <w:r w:rsidRPr="006E4CF7">
              <w:rPr>
                <w:rFonts w:ascii="Times New Roman" w:hAnsi="Times New Roman" w:cs="Times New Roman"/>
                <w:b w:val="0"/>
                <w:bCs w:val="0"/>
              </w:rPr>
              <w:t>(</w:t>
            </w:r>
            <m:oMath>
              <m:r>
                <m:rPr>
                  <m:sty m:val="b"/>
                </m:rPr>
                <w:rPr>
                  <w:rFonts w:ascii="Cambria Math" w:hAnsi="Cambria Math" w:cs="Times New Roman"/>
                  <w:sz w:val="16"/>
                  <w:szCs w:val="16"/>
                </w:rPr>
                <m:t>=</m:t>
              </m:r>
              <m:sSub>
                <m:sSubPr>
                  <m:ctrlPr>
                    <w:rPr>
                      <w:rFonts w:ascii="Cambria Math" w:hAnsi="Cambria Math" w:cs="Times New Roman"/>
                      <w:sz w:val="16"/>
                      <w:szCs w:val="16"/>
                    </w:rPr>
                  </m:ctrlPr>
                </m:sSubPr>
                <m:e>
                  <m:r>
                    <m:rPr>
                      <m:sty m:val="b"/>
                    </m:rPr>
                    <w:rPr>
                      <w:rFonts w:ascii="Cambria Math" w:hAnsi="Cambria Math" w:cs="Times New Roman"/>
                      <w:sz w:val="16"/>
                      <w:szCs w:val="16"/>
                    </w:rPr>
                    <m:t>1</m:t>
                  </m:r>
                </m:e>
                <m:sub>
                  <m:r>
                    <m:rPr>
                      <m:sty m:val="b"/>
                    </m:rPr>
                    <w:rPr>
                      <w:rFonts w:ascii="Cambria Math" w:hAnsi="Cambria Math" w:cs="Times New Roman"/>
                      <w:sz w:val="16"/>
                      <w:szCs w:val="16"/>
                    </w:rPr>
                    <m:t>(P&gt;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)⋀(LowPaySkew&gt;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)⋀(GPA≤</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ub>
              </m:sSub>
            </m:oMath>
            <w:bookmarkEnd w:id="2"/>
            <w:r w:rsidRPr="006E4CF7">
              <w:rPr>
                <w:rFonts w:ascii="Times New Roman" w:eastAsiaTheme="minorEastAsia" w:hAnsi="Times New Roman" w:cs="Times New Roman"/>
                <w:sz w:val="16"/>
                <w:szCs w:val="16"/>
              </w:rPr>
              <w:t>)</w:t>
            </w:r>
          </w:p>
        </w:tc>
        <w:tc>
          <w:tcPr>
            <w:tcW w:w="1868" w:type="dxa"/>
          </w:tcPr>
          <w:p w14:paraId="14091F7F"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2" w:type="dxa"/>
          </w:tcPr>
          <w:p w14:paraId="3D09FC84"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-0.16727*        </w:t>
            </w:r>
          </w:p>
        </w:tc>
      </w:tr>
      <w:tr w:rsidR="006E4CF7" w:rsidRPr="006E4CF7" w14:paraId="371EA6F9"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1C16CA35"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Research-Leader (</w:t>
            </w:r>
            <m:oMath>
              <m:r>
                <m:rPr>
                  <m:sty m:val="b"/>
                </m:rPr>
                <w:rPr>
                  <w:rFonts w:ascii="Cambria Math" w:hAnsi="Cambria Math" w:cs="Times New Roman"/>
                  <w:sz w:val="16"/>
                  <w:szCs w:val="16"/>
                </w:rPr>
                <m:t>=</m:t>
              </m:r>
              <m:sSub>
                <m:sSubPr>
                  <m:ctrlPr>
                    <w:rPr>
                      <w:rFonts w:ascii="Cambria Math" w:hAnsi="Cambria Math" w:cs="Times New Roman"/>
                      <w:sz w:val="16"/>
                      <w:szCs w:val="16"/>
                    </w:rPr>
                  </m:ctrlPr>
                </m:sSubPr>
                <m:e>
                  <m:r>
                    <m:rPr>
                      <m:sty m:val="b"/>
                    </m:rPr>
                    <w:rPr>
                      <w:rFonts w:ascii="Cambria Math" w:hAnsi="Cambria Math" w:cs="Times New Roman"/>
                      <w:sz w:val="16"/>
                      <w:szCs w:val="16"/>
                    </w:rPr>
                    <m:t>1</m:t>
                  </m:r>
                </m:e>
                <m:sub>
                  <m:r>
                    <m:rPr>
                      <m:sty m:val="b"/>
                    </m:rPr>
                    <w:rPr>
                      <w:rFonts w:ascii="Cambria Math" w:hAnsi="Cambria Math" w:cs="Times New Roman"/>
                      <w:sz w:val="16"/>
                      <w:szCs w:val="16"/>
                    </w:rPr>
                    <m:t>(P&gt;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)⋀(LowPaySkew&gt;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i"/>
                        </m:rPr>
                        <w:rPr>
                          <w:rFonts w:ascii="Cambria Math" w:hAnsi="Cambria Math" w:cs="Times New Roman"/>
                          <w:sz w:val="16"/>
                          <w:szCs w:val="16"/>
                        </w:rPr>
                        <m:t>2</m:t>
                      </m:r>
                    </m:sub>
                  </m:sSub>
                  <m:r>
                    <m:rPr>
                      <m:sty m:val="b"/>
                    </m:rPr>
                    <w:rPr>
                      <w:rFonts w:ascii="Cambria Math" w:hAnsi="Cambria Math" w:cs="Times New Roman"/>
                      <w:sz w:val="16"/>
                      <w:szCs w:val="16"/>
                    </w:rPr>
                    <m:t>)⋀(GPA&gt;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ub>
              </m:sSub>
            </m:oMath>
            <w:r w:rsidRPr="006E4CF7">
              <w:rPr>
                <w:rFonts w:ascii="Times New Roman" w:eastAsiaTheme="minorEastAsia" w:hAnsi="Times New Roman" w:cs="Times New Roman"/>
                <w:sz w:val="16"/>
                <w:szCs w:val="16"/>
              </w:rPr>
              <w:t>)</w:t>
            </w:r>
          </w:p>
        </w:tc>
        <w:tc>
          <w:tcPr>
            <w:tcW w:w="1868" w:type="dxa"/>
          </w:tcPr>
          <w:p w14:paraId="315816FE"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2" w:type="dxa"/>
          </w:tcPr>
          <w:p w14:paraId="1B76C98B"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 0.05682         </w:t>
            </w:r>
          </w:p>
        </w:tc>
      </w:tr>
      <w:tr w:rsidR="006E4CF7" w:rsidRPr="006E4CF7" w14:paraId="5AA18206"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2DF87141"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Value-Innovator (</w:t>
            </w:r>
            <m:oMath>
              <m:r>
                <m:rPr>
                  <m:sty m:val="b"/>
                </m:rPr>
                <w:rPr>
                  <w:rFonts w:ascii="Cambria Math" w:hAnsi="Cambria Math" w:cs="Times New Roman"/>
                  <w:sz w:val="16"/>
                  <w:szCs w:val="16"/>
                </w:rPr>
                <m:t>=</m:t>
              </m:r>
              <m:sSub>
                <m:sSubPr>
                  <m:ctrlPr>
                    <w:rPr>
                      <w:rFonts w:ascii="Cambria Math" w:hAnsi="Cambria Math" w:cs="Times New Roman"/>
                      <w:sz w:val="16"/>
                      <w:szCs w:val="16"/>
                    </w:rPr>
                  </m:ctrlPr>
                </m:sSubPr>
                <m:e>
                  <m:r>
                    <m:rPr>
                      <m:sty m:val="b"/>
                    </m:rPr>
                    <w:rPr>
                      <w:rFonts w:ascii="Cambria Math" w:hAnsi="Cambria Math" w:cs="Times New Roman"/>
                      <w:sz w:val="16"/>
                      <w:szCs w:val="16"/>
                    </w:rPr>
                    <m:t>1</m:t>
                  </m:r>
                </m:e>
                <m:sub>
                  <m:r>
                    <m:rPr>
                      <m:sty m:val="b"/>
                    </m:rPr>
                    <w:rPr>
                      <w:rFonts w:ascii="Cambria Math" w:hAnsi="Cambria Math" w:cs="Times New Roman"/>
                      <w:sz w:val="16"/>
                      <w:szCs w:val="16"/>
                    </w:rPr>
                    <m:t>(P&gt;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)⋀(LowPaySkew≤</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i"/>
                        </m:rPr>
                        <w:rPr>
                          <w:rFonts w:ascii="Cambria Math" w:hAnsi="Cambria Math" w:cs="Times New Roman"/>
                          <w:sz w:val="16"/>
                          <w:szCs w:val="16"/>
                        </w:rPr>
                        <m:t>2</m:t>
                      </m:r>
                    </m:sub>
                  </m:sSub>
                  <m:r>
                    <m:rPr>
                      <m:sty m:val="b"/>
                    </m:rPr>
                    <w:rPr>
                      <w:rFonts w:ascii="Cambria Math" w:hAnsi="Cambria Math" w:cs="Times New Roman"/>
                      <w:sz w:val="16"/>
                      <w:szCs w:val="16"/>
                    </w:rPr>
                    <m:t>)⋀(GPA≤</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ub>
              </m:sSub>
            </m:oMath>
            <w:r w:rsidRPr="006E4CF7">
              <w:rPr>
                <w:rFonts w:ascii="Times New Roman" w:eastAsiaTheme="minorEastAsia" w:hAnsi="Times New Roman" w:cs="Times New Roman"/>
                <w:sz w:val="16"/>
                <w:szCs w:val="16"/>
              </w:rPr>
              <w:t>)</w:t>
            </w:r>
          </w:p>
        </w:tc>
        <w:tc>
          <w:tcPr>
            <w:tcW w:w="1868" w:type="dxa"/>
          </w:tcPr>
          <w:p w14:paraId="2F1D9970"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2" w:type="dxa"/>
          </w:tcPr>
          <w:p w14:paraId="1D943AD3"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-0.24836***      </w:t>
            </w:r>
          </w:p>
        </w:tc>
      </w:tr>
      <w:tr w:rsidR="006E4CF7" w:rsidRPr="006E4CF7" w14:paraId="0EB00C56"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01060410"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Pioneer (</w:t>
            </w:r>
            <m:oMath>
              <m:r>
                <m:rPr>
                  <m:sty m:val="b"/>
                </m:rPr>
                <w:rPr>
                  <w:rFonts w:ascii="Cambria Math" w:hAnsi="Cambria Math" w:cs="Times New Roman"/>
                  <w:sz w:val="16"/>
                  <w:szCs w:val="16"/>
                </w:rPr>
                <m:t>=</m:t>
              </m:r>
              <m:sSub>
                <m:sSubPr>
                  <m:ctrlPr>
                    <w:rPr>
                      <w:rFonts w:ascii="Cambria Math" w:hAnsi="Cambria Math" w:cs="Times New Roman"/>
                      <w:sz w:val="16"/>
                      <w:szCs w:val="16"/>
                    </w:rPr>
                  </m:ctrlPr>
                </m:sSubPr>
                <m:e>
                  <m:r>
                    <m:rPr>
                      <m:sty m:val="b"/>
                    </m:rPr>
                    <w:rPr>
                      <w:rFonts w:ascii="Cambria Math" w:hAnsi="Cambria Math" w:cs="Times New Roman"/>
                      <w:sz w:val="16"/>
                      <w:szCs w:val="16"/>
                    </w:rPr>
                    <m:t>1</m:t>
                  </m:r>
                </m:e>
                <m:sub>
                  <m:r>
                    <m:rPr>
                      <m:sty m:val="b"/>
                    </m:rPr>
                    <w:rPr>
                      <w:rFonts w:ascii="Cambria Math" w:hAnsi="Cambria Math" w:cs="Times New Roman"/>
                      <w:sz w:val="16"/>
                      <w:szCs w:val="16"/>
                    </w:rPr>
                    <m:t>(P&gt;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1</m:t>
                      </m:r>
                    </m:sub>
                  </m:sSub>
                  <m:r>
                    <m:rPr>
                      <m:sty m:val="b"/>
                    </m:rPr>
                    <w:rPr>
                      <w:rFonts w:ascii="Cambria Math" w:hAnsi="Cambria Math" w:cs="Times New Roman"/>
                      <w:sz w:val="16"/>
                      <w:szCs w:val="16"/>
                    </w:rPr>
                    <m:t>)⋀(LowPaySkew≤</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i"/>
                        </m:rPr>
                        <w:rPr>
                          <w:rFonts w:ascii="Cambria Math" w:hAnsi="Cambria Math" w:cs="Times New Roman"/>
                          <w:sz w:val="16"/>
                          <w:szCs w:val="16"/>
                        </w:rPr>
                        <m:t>2</m:t>
                      </m:r>
                    </m:sub>
                  </m:sSub>
                  <m:r>
                    <m:rPr>
                      <m:sty m:val="b"/>
                    </m:rPr>
                    <w:rPr>
                      <w:rFonts w:ascii="Cambria Math" w:hAnsi="Cambria Math" w:cs="Times New Roman"/>
                      <w:sz w:val="16"/>
                      <w:szCs w:val="16"/>
                    </w:rPr>
                    <m:t>)⋀(GPA&gt;</m:t>
                  </m:r>
                  <m:sSub>
                    <m:sSubPr>
                      <m:ctrlPr>
                        <w:rPr>
                          <w:rFonts w:ascii="Cambria Math" w:hAnsi="Cambria Math" w:cs="Times New Roman"/>
                          <w:sz w:val="16"/>
                          <w:szCs w:val="16"/>
                        </w:rPr>
                      </m:ctrlPr>
                    </m:sSubPr>
                    <m:e>
                      <m:r>
                        <m:rPr>
                          <m:sty m:val="b"/>
                        </m:rPr>
                        <w:rPr>
                          <w:rFonts w:ascii="Cambria Math" w:hAnsi="Cambria Math" w:cs="Times New Roman"/>
                          <w:sz w:val="16"/>
                          <w:szCs w:val="16"/>
                        </w:rPr>
                        <m:t>Q</m:t>
                      </m:r>
                    </m:e>
                    <m:sub>
                      <m:r>
                        <m:rPr>
                          <m:sty m:val="b"/>
                        </m:rPr>
                        <w:rPr>
                          <w:rFonts w:ascii="Cambria Math" w:hAnsi="Cambria Math" w:cs="Times New Roman"/>
                          <w:sz w:val="16"/>
                          <w:szCs w:val="16"/>
                        </w:rPr>
                        <m:t>2</m:t>
                      </m:r>
                    </m:sub>
                  </m:sSub>
                  <m:r>
                    <m:rPr>
                      <m:sty m:val="b"/>
                    </m:rPr>
                    <w:rPr>
                      <w:rFonts w:ascii="Cambria Math" w:hAnsi="Cambria Math" w:cs="Times New Roman"/>
                      <w:sz w:val="16"/>
                      <w:szCs w:val="16"/>
                    </w:rPr>
                    <m:t>)</m:t>
                  </m:r>
                </m:sub>
              </m:sSub>
            </m:oMath>
            <w:r w:rsidRPr="006E4CF7">
              <w:rPr>
                <w:rFonts w:ascii="Times New Roman" w:eastAsiaTheme="minorEastAsia" w:hAnsi="Times New Roman" w:cs="Times New Roman"/>
                <w:sz w:val="16"/>
                <w:szCs w:val="16"/>
              </w:rPr>
              <w:t>)</w:t>
            </w:r>
          </w:p>
        </w:tc>
        <w:tc>
          <w:tcPr>
            <w:tcW w:w="1868" w:type="dxa"/>
          </w:tcPr>
          <w:p w14:paraId="5ED69228"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2" w:type="dxa"/>
          </w:tcPr>
          <w:p w14:paraId="68B1F926"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-0.19834*        </w:t>
            </w:r>
          </w:p>
        </w:tc>
      </w:tr>
      <w:tr w:rsidR="006E4CF7" w:rsidRPr="006E4CF7" w14:paraId="576A75F8"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12D5F771" w14:textId="77777777" w:rsidR="00392062" w:rsidRPr="006E4CF7" w:rsidRDefault="00392062" w:rsidP="00FE2184">
            <w:pPr>
              <w:jc w:val="both"/>
              <w:rPr>
                <w:rFonts w:ascii="Times New Roman" w:hAnsi="Times New Roman" w:cs="Times New Roman"/>
                <w:b w:val="0"/>
                <w:bCs w:val="0"/>
              </w:rPr>
            </w:pPr>
          </w:p>
        </w:tc>
        <w:tc>
          <w:tcPr>
            <w:tcW w:w="1868" w:type="dxa"/>
          </w:tcPr>
          <w:p w14:paraId="3582665E"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702" w:type="dxa"/>
          </w:tcPr>
          <w:p w14:paraId="669E0674"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E4CF7" w:rsidRPr="006E4CF7" w14:paraId="383F6CA8"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2A3C7F2A"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Sigma</w:t>
            </w:r>
          </w:p>
        </w:tc>
        <w:tc>
          <w:tcPr>
            <w:tcW w:w="1868" w:type="dxa"/>
          </w:tcPr>
          <w:p w14:paraId="6DE74074"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0.30174***</w:t>
            </w:r>
          </w:p>
        </w:tc>
        <w:tc>
          <w:tcPr>
            <w:tcW w:w="1702" w:type="dxa"/>
          </w:tcPr>
          <w:p w14:paraId="5BA085F2"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 xml:space="preserve">0.31621***      </w:t>
            </w:r>
          </w:p>
        </w:tc>
      </w:tr>
      <w:tr w:rsidR="006E4CF7" w:rsidRPr="006E4CF7" w14:paraId="28B8B2CE"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74383767"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Log-Likelihood Function</w:t>
            </w:r>
          </w:p>
        </w:tc>
        <w:tc>
          <w:tcPr>
            <w:tcW w:w="1868" w:type="dxa"/>
          </w:tcPr>
          <w:p w14:paraId="2BB26A79"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-54.706</w:t>
            </w:r>
          </w:p>
        </w:tc>
        <w:tc>
          <w:tcPr>
            <w:tcW w:w="1702" w:type="dxa"/>
          </w:tcPr>
          <w:p w14:paraId="76AB67C4"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-33.498</w:t>
            </w:r>
          </w:p>
        </w:tc>
      </w:tr>
      <w:tr w:rsidR="006E4CF7" w:rsidRPr="006E4CF7" w14:paraId="51B8645F" w14:textId="77777777" w:rsidTr="00FE21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51" w:type="dxa"/>
          </w:tcPr>
          <w:p w14:paraId="50B05231"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Akaike Information Criterion</w:t>
            </w:r>
          </w:p>
        </w:tc>
        <w:tc>
          <w:tcPr>
            <w:tcW w:w="1868" w:type="dxa"/>
          </w:tcPr>
          <w:p w14:paraId="174DF4F9"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129.4</w:t>
            </w:r>
          </w:p>
        </w:tc>
        <w:tc>
          <w:tcPr>
            <w:tcW w:w="1702" w:type="dxa"/>
          </w:tcPr>
          <w:p w14:paraId="24BBBFC3" w14:textId="77777777" w:rsidR="00392062" w:rsidRPr="006E4CF7" w:rsidRDefault="00392062" w:rsidP="00FE218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99.0</w:t>
            </w:r>
          </w:p>
        </w:tc>
      </w:tr>
      <w:tr w:rsidR="006E4CF7" w:rsidRPr="006E4CF7" w14:paraId="70E30D83" w14:textId="77777777" w:rsidTr="00FE2184">
        <w:tc>
          <w:tcPr>
            <w:cnfStyle w:val="001000000000" w:firstRow="0" w:lastRow="0" w:firstColumn="1" w:lastColumn="0" w:oddVBand="0" w:evenVBand="0" w:oddHBand="0" w:evenHBand="0" w:firstRowFirstColumn="0" w:firstRowLastColumn="0" w:lastRowFirstColumn="0" w:lastRowLastColumn="0"/>
            <w:tcW w:w="5451" w:type="dxa"/>
          </w:tcPr>
          <w:p w14:paraId="29EF63C2" w14:textId="77777777" w:rsidR="00392062" w:rsidRPr="006E4CF7" w:rsidRDefault="00392062" w:rsidP="00FE2184">
            <w:pPr>
              <w:jc w:val="both"/>
              <w:rPr>
                <w:rFonts w:ascii="Times New Roman" w:hAnsi="Times New Roman" w:cs="Times New Roman"/>
                <w:b w:val="0"/>
                <w:bCs w:val="0"/>
              </w:rPr>
            </w:pPr>
            <w:r w:rsidRPr="006E4CF7">
              <w:rPr>
                <w:rFonts w:ascii="Times New Roman" w:hAnsi="Times New Roman" w:cs="Times New Roman"/>
                <w:b w:val="0"/>
                <w:bCs w:val="0"/>
              </w:rPr>
              <w:t>Observations</w:t>
            </w:r>
          </w:p>
        </w:tc>
        <w:tc>
          <w:tcPr>
            <w:tcW w:w="1868" w:type="dxa"/>
          </w:tcPr>
          <w:p w14:paraId="5FD2DBBF"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138</w:t>
            </w:r>
          </w:p>
        </w:tc>
        <w:tc>
          <w:tcPr>
            <w:tcW w:w="1702" w:type="dxa"/>
          </w:tcPr>
          <w:p w14:paraId="37451929" w14:textId="77777777" w:rsidR="00392062" w:rsidRPr="006E4CF7" w:rsidRDefault="00392062" w:rsidP="00FE218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E4CF7">
              <w:rPr>
                <w:rFonts w:ascii="Times New Roman" w:hAnsi="Times New Roman" w:cs="Times New Roman"/>
              </w:rPr>
              <w:t>108</w:t>
            </w:r>
          </w:p>
        </w:tc>
      </w:tr>
    </w:tbl>
    <w:p w14:paraId="518A4FB4" w14:textId="77777777" w:rsidR="00392062" w:rsidRPr="006E4CF7" w:rsidRDefault="00392062" w:rsidP="00392062">
      <w:pPr>
        <w:spacing w:after="240" w:line="360" w:lineRule="auto"/>
        <w:jc w:val="both"/>
        <w:rPr>
          <w:rFonts w:ascii="Times New Roman" w:eastAsiaTheme="minorEastAsia" w:hAnsi="Times New Roman" w:cs="Times New Roman"/>
          <w:i/>
          <w:iCs/>
          <w:sz w:val="16"/>
          <w:szCs w:val="16"/>
        </w:rPr>
      </w:pPr>
      <w:r w:rsidRPr="006E4CF7">
        <w:rPr>
          <w:rFonts w:ascii="Times New Roman" w:hAnsi="Times New Roman" w:cs="Times New Roman"/>
          <w:i/>
          <w:iCs/>
          <w:sz w:val="16"/>
          <w:szCs w:val="16"/>
        </w:rPr>
        <w:t xml:space="preserve">Note: *, ** and *** are significant at 10%, 5% and 1% respectively. Our sample size has been restricted to eliminate missing data.; Further details of the determination of all variables are provided in the appendix.  </w:t>
      </w:r>
    </w:p>
    <w:p w14:paraId="04E84592" w14:textId="6E339B43" w:rsidR="0046604C" w:rsidRPr="006E4CF7" w:rsidRDefault="0046604C" w:rsidP="001504FC">
      <w:pPr>
        <w:autoSpaceDE w:val="0"/>
        <w:spacing w:after="240" w:line="360" w:lineRule="auto"/>
        <w:jc w:val="both"/>
        <w:rPr>
          <w:rFonts w:ascii="Times New Roman" w:hAnsi="Times New Roman" w:cs="Times New Roman"/>
          <w:i/>
          <w:iCs/>
          <w:sz w:val="24"/>
          <w:szCs w:val="24"/>
        </w:rPr>
      </w:pPr>
      <w:r w:rsidRPr="006E4CF7">
        <w:rPr>
          <w:rFonts w:ascii="Times New Roman" w:hAnsi="Times New Roman" w:cs="Times New Roman"/>
          <w:sz w:val="24"/>
          <w:szCs w:val="24"/>
        </w:rPr>
        <w:t xml:space="preserve">Starting with the variables </w:t>
      </w:r>
      <w:r w:rsidRPr="006E4CF7">
        <w:rPr>
          <w:rFonts w:ascii="Times New Roman" w:hAnsi="Times New Roman" w:cs="Times New Roman"/>
          <w:i/>
          <w:iCs/>
          <w:sz w:val="24"/>
          <w:szCs w:val="24"/>
        </w:rPr>
        <w:t>Size</w:t>
      </w:r>
      <w:r w:rsidR="00545E6D" w:rsidRPr="006E4CF7">
        <w:rPr>
          <w:rFonts w:ascii="Times New Roman" w:hAnsi="Times New Roman" w:cs="Times New Roman"/>
          <w:i/>
          <w:iCs/>
          <w:sz w:val="24"/>
          <w:szCs w:val="24"/>
        </w:rPr>
        <w:t xml:space="preserve"> </w:t>
      </w:r>
      <w:r w:rsidR="00545E6D" w:rsidRPr="006E4CF7">
        <w:rPr>
          <w:rFonts w:ascii="Times New Roman" w:hAnsi="Times New Roman" w:cs="Times New Roman"/>
          <w:sz w:val="24"/>
          <w:szCs w:val="24"/>
        </w:rPr>
        <w:t>and</w:t>
      </w:r>
      <w:r w:rsidRPr="006E4CF7">
        <w:rPr>
          <w:rFonts w:ascii="Times New Roman" w:hAnsi="Times New Roman" w:cs="Times New Roman"/>
          <w:i/>
          <w:iCs/>
          <w:sz w:val="24"/>
          <w:szCs w:val="24"/>
        </w:rPr>
        <w:t xml:space="preserve"> Outreach</w:t>
      </w:r>
      <w:r w:rsidRPr="006E4CF7">
        <w:rPr>
          <w:rFonts w:ascii="Times New Roman" w:hAnsi="Times New Roman" w:cs="Times New Roman"/>
          <w:sz w:val="24"/>
          <w:szCs w:val="24"/>
        </w:rPr>
        <w:t>, which did not show a significant impact on dissatisfaction</w:t>
      </w:r>
      <w:r w:rsidR="00545E6D" w:rsidRPr="006E4CF7">
        <w:rPr>
          <w:rFonts w:ascii="Times New Roman" w:hAnsi="Times New Roman" w:cs="Times New Roman"/>
          <w:sz w:val="24"/>
          <w:szCs w:val="24"/>
        </w:rPr>
        <w:t xml:space="preserve"> in either model</w:t>
      </w:r>
      <w:r w:rsidRPr="006E4CF7">
        <w:rPr>
          <w:rFonts w:ascii="Times New Roman" w:hAnsi="Times New Roman" w:cs="Times New Roman"/>
          <w:sz w:val="24"/>
          <w:szCs w:val="24"/>
        </w:rPr>
        <w:t>, it</w:t>
      </w:r>
      <w:r w:rsidR="00F12D87" w:rsidRPr="006E4CF7">
        <w:rPr>
          <w:rFonts w:ascii="Times New Roman" w:hAnsi="Times New Roman" w:cs="Times New Roman"/>
          <w:sz w:val="24"/>
          <w:szCs w:val="24"/>
        </w:rPr>
        <w:t>’</w:t>
      </w:r>
      <w:r w:rsidRPr="006E4CF7">
        <w:rPr>
          <w:rFonts w:ascii="Times New Roman" w:hAnsi="Times New Roman" w:cs="Times New Roman"/>
          <w:sz w:val="24"/>
          <w:szCs w:val="24"/>
        </w:rPr>
        <w:t>s crucial to understand that their lack of statistical significance doesn</w:t>
      </w:r>
      <w:r w:rsidR="00F12D87" w:rsidRPr="006E4CF7">
        <w:rPr>
          <w:rFonts w:ascii="Times New Roman" w:hAnsi="Times New Roman" w:cs="Times New Roman"/>
          <w:sz w:val="24"/>
          <w:szCs w:val="24"/>
        </w:rPr>
        <w:t>’</w:t>
      </w:r>
      <w:r w:rsidRPr="006E4CF7">
        <w:rPr>
          <w:rFonts w:ascii="Times New Roman" w:hAnsi="Times New Roman" w:cs="Times New Roman"/>
          <w:sz w:val="24"/>
          <w:szCs w:val="24"/>
        </w:rPr>
        <w:t xml:space="preserve">t automatically render them irrelevant. The non-detection of an effect might stem from the limitations inherent in the proxy measures employed, possibly failing to encapsulate the full breadth of these dimensions. For example, the use of overall staffing </w:t>
      </w:r>
      <w:r w:rsidR="00F12D87" w:rsidRPr="006E4CF7">
        <w:rPr>
          <w:rFonts w:ascii="Times New Roman" w:hAnsi="Times New Roman" w:cs="Times New Roman"/>
          <w:sz w:val="24"/>
          <w:szCs w:val="24"/>
        </w:rPr>
        <w:t>numbers</w:t>
      </w:r>
      <w:r w:rsidRPr="006E4CF7">
        <w:rPr>
          <w:rFonts w:ascii="Times New Roman" w:hAnsi="Times New Roman" w:cs="Times New Roman"/>
          <w:sz w:val="24"/>
          <w:szCs w:val="24"/>
        </w:rPr>
        <w:t xml:space="preserve"> as a proxy for </w:t>
      </w:r>
      <w:r w:rsidRPr="006E4CF7">
        <w:rPr>
          <w:rFonts w:ascii="Times New Roman" w:hAnsi="Times New Roman" w:cs="Times New Roman"/>
          <w:i/>
          <w:iCs/>
          <w:sz w:val="24"/>
          <w:szCs w:val="24"/>
        </w:rPr>
        <w:t>Size</w:t>
      </w:r>
      <w:r w:rsidRPr="006E4CF7">
        <w:rPr>
          <w:rFonts w:ascii="Times New Roman" w:hAnsi="Times New Roman" w:cs="Times New Roman"/>
          <w:sz w:val="24"/>
          <w:szCs w:val="24"/>
        </w:rPr>
        <w:t xml:space="preserve"> might not precisely convey how the size of an institution influences student experience or satisfaction. As such, the potential impact of these variables on student dissatisfaction shouldn’t be outright dismissed; they might affect dissatisfaction through channels not explored in our study.</w:t>
      </w:r>
    </w:p>
    <w:p w14:paraId="43CB09CC" w14:textId="22F5BAFC" w:rsidR="00545E6D" w:rsidRPr="006E4CF7" w:rsidRDefault="00545E6D" w:rsidP="00545E6D">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The negative link between </w:t>
      </w:r>
      <w:r w:rsidRPr="006E4CF7">
        <w:rPr>
          <w:rFonts w:ascii="Times New Roman" w:hAnsi="Times New Roman" w:cs="Times New Roman"/>
          <w:i/>
          <w:iCs/>
          <w:sz w:val="24"/>
          <w:szCs w:val="24"/>
        </w:rPr>
        <w:t>Inflation</w:t>
      </w:r>
      <w:r w:rsidRPr="006E4CF7">
        <w:rPr>
          <w:rFonts w:ascii="Times New Roman" w:hAnsi="Times New Roman" w:cs="Times New Roman"/>
          <w:sz w:val="24"/>
          <w:szCs w:val="24"/>
        </w:rPr>
        <w:t xml:space="preserve"> and dissatisfaction (-0.14182*) in Model 1 suggests that when grade inflation increases, dissatisfaction decreases. This might mean students enjoy the short-term boost of higher grades but may overlook the long-term problems, such as the diminishing value of academic qualifications and the challenge of recognizing real academic success. Although this relationship wasn’t confirmed in Model 2’s smaller sample, it still hints that students might value immediate gratification from higher grades without fully understanding the consequences of grade inflation, like devaluing academic achievements and making it harder to identify genuine learning. This could turn education into more of a game, focusing on grades rather than true learning and growth. Alternatively, this correlation could </w:t>
      </w:r>
      <w:r w:rsidRPr="006E4CF7">
        <w:rPr>
          <w:rFonts w:ascii="Times New Roman" w:hAnsi="Times New Roman" w:cs="Times New Roman"/>
          <w:sz w:val="24"/>
          <w:szCs w:val="24"/>
        </w:rPr>
        <w:lastRenderedPageBreak/>
        <w:t>also indicate real improvements in teaching methods or course content that genuinely enhance student performance. The challenge is distinguishing between these scenarios, especially since the effects of perceived grade inflation and actual educational improvements might overlap. This complexity underscores the need for more detailed research to unravel these intertwined aspects. Future studies could look at long-term changes in educational quality and student outcomes or explore students' perceptions of grade inflation compared to real advancements in education.</w:t>
      </w:r>
    </w:p>
    <w:p w14:paraId="20199EAB" w14:textId="22504BDF" w:rsidR="001504FC" w:rsidRPr="006E4CF7" w:rsidRDefault="009E7B8E" w:rsidP="001504FC">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The </w:t>
      </w:r>
      <w:r w:rsidRPr="006E4CF7">
        <w:rPr>
          <w:rFonts w:ascii="Times New Roman" w:hAnsi="Times New Roman" w:cs="Times New Roman"/>
          <w:i/>
          <w:iCs/>
          <w:sz w:val="24"/>
          <w:szCs w:val="24"/>
        </w:rPr>
        <w:t>Employment</w:t>
      </w:r>
      <w:r w:rsidRPr="006E4CF7">
        <w:rPr>
          <w:rFonts w:ascii="Times New Roman" w:hAnsi="Times New Roman" w:cs="Times New Roman"/>
          <w:sz w:val="24"/>
          <w:szCs w:val="24"/>
        </w:rPr>
        <w:t xml:space="preserve"> variable </w:t>
      </w:r>
      <w:r w:rsidR="004307DA" w:rsidRPr="006E4CF7">
        <w:rPr>
          <w:rFonts w:ascii="Times New Roman" w:hAnsi="Times New Roman" w:cs="Times New Roman"/>
          <w:sz w:val="24"/>
          <w:szCs w:val="24"/>
        </w:rPr>
        <w:t xml:space="preserve">in Model 1 and Model 2 </w:t>
      </w:r>
      <w:r w:rsidRPr="006E4CF7">
        <w:rPr>
          <w:rFonts w:ascii="Times New Roman" w:hAnsi="Times New Roman" w:cs="Times New Roman"/>
          <w:sz w:val="24"/>
          <w:szCs w:val="24"/>
        </w:rPr>
        <w:t>reveals a minor yet significant positive link with dissatisfaction (0.00016**</w:t>
      </w:r>
      <w:r w:rsidR="00545E6D" w:rsidRPr="006E4CF7">
        <w:rPr>
          <w:rFonts w:ascii="Times New Roman" w:hAnsi="Times New Roman" w:cs="Times New Roman"/>
          <w:sz w:val="24"/>
          <w:szCs w:val="24"/>
        </w:rPr>
        <w:t xml:space="preserve"> and 0.00019**, respectively</w:t>
      </w:r>
      <w:r w:rsidRPr="006E4CF7">
        <w:rPr>
          <w:rFonts w:ascii="Times New Roman" w:hAnsi="Times New Roman" w:cs="Times New Roman"/>
          <w:sz w:val="24"/>
          <w:szCs w:val="24"/>
        </w:rPr>
        <w:t>)</w:t>
      </w:r>
      <w:r w:rsidR="001504FC" w:rsidRPr="006E4CF7">
        <w:rPr>
          <w:rFonts w:ascii="Times New Roman" w:hAnsi="Times New Roman" w:cs="Times New Roman"/>
          <w:sz w:val="24"/>
          <w:szCs w:val="24"/>
        </w:rPr>
        <w:t xml:space="preserve">, contrary to our initial expectations. </w:t>
      </w:r>
      <w:r w:rsidR="003532A2" w:rsidRPr="006E4CF7">
        <w:rPr>
          <w:rFonts w:ascii="Times New Roman" w:hAnsi="Times New Roman" w:cs="Times New Roman"/>
          <w:sz w:val="24"/>
          <w:szCs w:val="24"/>
        </w:rPr>
        <w:t>T</w:t>
      </w:r>
      <w:r w:rsidRPr="006E4CF7">
        <w:rPr>
          <w:rFonts w:ascii="Times New Roman" w:hAnsi="Times New Roman" w:cs="Times New Roman"/>
          <w:sz w:val="24"/>
          <w:szCs w:val="24"/>
        </w:rPr>
        <w:t xml:space="preserve">his surprising finding could point to a mismatch between student expectations of future employment opportunities—perhaps influenced by the </w:t>
      </w:r>
      <w:r w:rsidR="007549B4" w:rsidRPr="006E4CF7">
        <w:rPr>
          <w:rFonts w:ascii="Times New Roman" w:hAnsi="Times New Roman" w:cs="Times New Roman"/>
          <w:sz w:val="24"/>
          <w:szCs w:val="24"/>
        </w:rPr>
        <w:t>U</w:t>
      </w:r>
      <w:r w:rsidRPr="006E4CF7">
        <w:rPr>
          <w:rFonts w:ascii="Times New Roman" w:hAnsi="Times New Roman" w:cs="Times New Roman"/>
          <w:sz w:val="24"/>
          <w:szCs w:val="24"/>
        </w:rPr>
        <w:t>niversity’s reputation or promotional activities—and the actual outcomes determined by institutional practices and the broader job market. Such dissatisfaction may arise when the reality falls short of students’ high expectations, indicating a discrepancy between the employment prospects expected and those realised. This observation highlights the need for more in-depth investigation. Specifically, further studies should examine how the adjustment and alignment of student expectations with the realistic possibilities of post-graduation employment can influence student satisfaction levels. Conducting this research could provide educational institutions with crucial insights into how to effectively manage student expectations, possibly mitigating dissatisfaction and offering clearer insights into the dynamics between employment prospects and student satisfaction</w:t>
      </w:r>
      <w:r w:rsidR="001504FC" w:rsidRPr="006E4CF7">
        <w:rPr>
          <w:rFonts w:ascii="Times New Roman" w:hAnsi="Times New Roman" w:cs="Times New Roman"/>
          <w:sz w:val="24"/>
          <w:szCs w:val="24"/>
        </w:rPr>
        <w:t>.</w:t>
      </w:r>
    </w:p>
    <w:p w14:paraId="39711E32" w14:textId="050864AF" w:rsidR="009E7B8E" w:rsidRPr="006E4CF7" w:rsidRDefault="004307DA" w:rsidP="009E7B8E">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While only observed in Model 1, t</w:t>
      </w:r>
      <w:r w:rsidR="009E7B8E" w:rsidRPr="006E4CF7">
        <w:rPr>
          <w:rFonts w:ascii="Times New Roman" w:hAnsi="Times New Roman" w:cs="Times New Roman"/>
          <w:sz w:val="24"/>
          <w:szCs w:val="24"/>
        </w:rPr>
        <w:t xml:space="preserve">he </w:t>
      </w:r>
      <w:r w:rsidR="009E7B8E" w:rsidRPr="006E4CF7">
        <w:rPr>
          <w:rFonts w:ascii="Times New Roman" w:hAnsi="Times New Roman" w:cs="Times New Roman"/>
          <w:i/>
          <w:iCs/>
          <w:sz w:val="24"/>
          <w:szCs w:val="24"/>
        </w:rPr>
        <w:t>Casualisation</w:t>
      </w:r>
      <w:r w:rsidR="009E7B8E" w:rsidRPr="006E4CF7">
        <w:rPr>
          <w:rFonts w:ascii="Times New Roman" w:hAnsi="Times New Roman" w:cs="Times New Roman"/>
          <w:sz w:val="24"/>
          <w:szCs w:val="24"/>
        </w:rPr>
        <w:t xml:space="preserve"> variable’s positive correlation with dissatisfaction (0.00367**) highlights the potential negative impact that a reliance on fixed-term contract staff has on student satisfaction. This correlation raises concerns about the stability of the teaching workforce and its effects on the quality of education and student support. Students might view this dependence as a sign of institutional instability or a reduced commitment to their educational journey, which could adversely affect their overall satisfaction. This scenario suggests that educational institutions should reevaluate their staffing models, focusing on the balance between fixed-term and permanent staff to address these concerns. By increasing the stability of the teaching workforce, institutions could enhance the consistency and quality of teaching and support, potentially leading to reduced student dissatisfaction.</w:t>
      </w:r>
    </w:p>
    <w:p w14:paraId="1165C382" w14:textId="453BF73A" w:rsidR="004307DA" w:rsidRPr="006E4CF7" w:rsidRDefault="004307DA" w:rsidP="004307DA">
      <w:pPr>
        <w:autoSpaceDE w:val="0"/>
        <w:spacing w:after="240" w:line="360" w:lineRule="auto"/>
        <w:jc w:val="both"/>
        <w:rPr>
          <w:rFonts w:ascii="Times New Roman" w:hAnsi="Times New Roman" w:cs="Times New Roman"/>
          <w:sz w:val="24"/>
          <w:szCs w:val="24"/>
        </w:rPr>
      </w:pPr>
      <w:bookmarkStart w:id="3" w:name="_Hlk162008324"/>
      <w:r w:rsidRPr="006E4CF7">
        <w:rPr>
          <w:rFonts w:ascii="Times New Roman" w:hAnsi="Times New Roman" w:cs="Times New Roman"/>
          <w:sz w:val="24"/>
          <w:szCs w:val="24"/>
        </w:rPr>
        <w:lastRenderedPageBreak/>
        <w:t xml:space="preserve">We now move on to our hypothesis tests. The strong negative relationship between the </w:t>
      </w:r>
      <w:proofErr w:type="spellStart"/>
      <w:r w:rsidRPr="006E4CF7">
        <w:rPr>
          <w:rFonts w:ascii="Times New Roman" w:hAnsi="Times New Roman" w:cs="Times New Roman"/>
          <w:i/>
          <w:iCs/>
          <w:sz w:val="24"/>
          <w:szCs w:val="24"/>
        </w:rPr>
        <w:t>TeachingOnly</w:t>
      </w:r>
      <w:proofErr w:type="spellEnd"/>
      <w:r w:rsidRPr="006E4CF7">
        <w:rPr>
          <w:rFonts w:ascii="Times New Roman" w:hAnsi="Times New Roman" w:cs="Times New Roman"/>
          <w:sz w:val="24"/>
          <w:szCs w:val="24"/>
        </w:rPr>
        <w:t xml:space="preserve"> variable and dissatisfaction (-0.00489***) in Model 1 confirms our first hypothesis (</w:t>
      </w:r>
      <w:r w:rsidRPr="006E4CF7">
        <w:rPr>
          <w:rFonts w:ascii="Times New Roman" w:hAnsi="Times New Roman" w:cs="Times New Roman"/>
          <w:b/>
          <w:bCs/>
          <w:sz w:val="24"/>
          <w:szCs w:val="24"/>
        </w:rPr>
        <w:t>H1</w:t>
      </w:r>
      <w:r w:rsidRPr="006E4CF7">
        <w:rPr>
          <w:rFonts w:ascii="Times New Roman" w:hAnsi="Times New Roman" w:cs="Times New Roman"/>
          <w:sz w:val="24"/>
          <w:szCs w:val="24"/>
        </w:rPr>
        <w:t xml:space="preserve">), which proposes that contracts focusing solely on teaching positively affect student satisfaction. This result suggests that when faculty members are dedicated exclusively to teaching, it could improve the quality of instruction, leading to higher student satisfaction. Students appreciate the full attention and expertise of faculty who aren't juggling teaching with research responsibilities, perceiving this as indicative of a superior educational experience, which in turn boosts their satisfaction. On the other hand, the interaction term </w:t>
      </w:r>
      <w:proofErr w:type="spellStart"/>
      <w:r w:rsidRPr="006E4CF7">
        <w:rPr>
          <w:rFonts w:ascii="Times New Roman" w:hAnsi="Times New Roman" w:cs="Times New Roman"/>
          <w:i/>
          <w:iCs/>
          <w:sz w:val="24"/>
          <w:szCs w:val="24"/>
        </w:rPr>
        <w:t>TeachingOnly×LowPaySkew</w:t>
      </w:r>
      <w:proofErr w:type="spellEnd"/>
      <w:r w:rsidRPr="006E4CF7">
        <w:rPr>
          <w:rFonts w:ascii="Times New Roman" w:hAnsi="Times New Roman" w:cs="Times New Roman"/>
          <w:sz w:val="24"/>
          <w:szCs w:val="24"/>
        </w:rPr>
        <w:t>, showing a significant positive effect on dissatisfaction (0.00243**), supports our second hypothesis (</w:t>
      </w:r>
      <w:r w:rsidRPr="006E4CF7">
        <w:rPr>
          <w:rFonts w:ascii="Times New Roman" w:hAnsi="Times New Roman" w:cs="Times New Roman"/>
          <w:b/>
          <w:bCs/>
          <w:sz w:val="24"/>
          <w:szCs w:val="24"/>
        </w:rPr>
        <w:t>H2</w:t>
      </w:r>
      <w:r w:rsidRPr="006E4CF7">
        <w:rPr>
          <w:rFonts w:ascii="Times New Roman" w:hAnsi="Times New Roman" w:cs="Times New Roman"/>
          <w:sz w:val="24"/>
          <w:szCs w:val="24"/>
        </w:rPr>
        <w:t>). This hypothesis suggests that while teaching-only contracts generally enhance student satisfaction, this benefit decreases when these positions are</w:t>
      </w:r>
      <w:r w:rsidR="007549B4" w:rsidRPr="006E4CF7">
        <w:rPr>
          <w:rFonts w:ascii="Times New Roman" w:hAnsi="Times New Roman" w:cs="Times New Roman"/>
          <w:sz w:val="24"/>
          <w:szCs w:val="24"/>
        </w:rPr>
        <w:t xml:space="preserve"> relatively</w:t>
      </w:r>
      <w:r w:rsidRPr="006E4CF7">
        <w:rPr>
          <w:rFonts w:ascii="Times New Roman" w:hAnsi="Times New Roman" w:cs="Times New Roman"/>
          <w:sz w:val="24"/>
          <w:szCs w:val="24"/>
        </w:rPr>
        <w:t xml:space="preserve"> poorly paid. This important finding demonstrates that the positive impact of teaching-only contracts is conditional and can be significantly reduced if these roles offer limited opportunities for advancement and compensation.</w:t>
      </w:r>
    </w:p>
    <w:p w14:paraId="7C46E635" w14:textId="60F7D4AA" w:rsidR="00495703" w:rsidRPr="006E4CF7" w:rsidRDefault="00495703" w:rsidP="00495703">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In Model 1, our Russell Group dummy variable is found to be insignificant, indicating that there</w:t>
      </w:r>
      <w:r w:rsidR="007549B4" w:rsidRPr="006E4CF7">
        <w:rPr>
          <w:rFonts w:ascii="Times New Roman" w:hAnsi="Times New Roman" w:cs="Times New Roman"/>
          <w:sz w:val="24"/>
          <w:szCs w:val="24"/>
        </w:rPr>
        <w:t>’</w:t>
      </w:r>
      <w:r w:rsidRPr="006E4CF7">
        <w:rPr>
          <w:rFonts w:ascii="Times New Roman" w:hAnsi="Times New Roman" w:cs="Times New Roman"/>
          <w:sz w:val="24"/>
          <w:szCs w:val="24"/>
        </w:rPr>
        <w:t xml:space="preserve">s no evidence to suggest that these institutions perform better. This finding encourages the use of Model 2, which breaks down </w:t>
      </w:r>
      <w:r w:rsidR="007549B4" w:rsidRPr="006E4CF7">
        <w:rPr>
          <w:rFonts w:ascii="Times New Roman" w:hAnsi="Times New Roman" w:cs="Times New Roman"/>
          <w:sz w:val="24"/>
          <w:szCs w:val="24"/>
        </w:rPr>
        <w:t>U</w:t>
      </w:r>
      <w:r w:rsidRPr="006E4CF7">
        <w:rPr>
          <w:rFonts w:ascii="Times New Roman" w:hAnsi="Times New Roman" w:cs="Times New Roman"/>
          <w:sz w:val="24"/>
          <w:szCs w:val="24"/>
        </w:rPr>
        <w:t>niversity outcomes into more detailed interactions among the use of teaching-only staff, low pay skew, and research intensity.</w:t>
      </w:r>
      <w:r w:rsidR="008E31C7" w:rsidRPr="006E4CF7">
        <w:t xml:space="preserve"> </w:t>
      </w:r>
      <w:r w:rsidRPr="006E4CF7">
        <w:rPr>
          <w:rFonts w:ascii="Times New Roman" w:hAnsi="Times New Roman" w:cs="Times New Roman"/>
          <w:sz w:val="24"/>
          <w:szCs w:val="24"/>
        </w:rPr>
        <w:t>In line with our third hypothesis (</w:t>
      </w:r>
      <w:r w:rsidRPr="006E4CF7">
        <w:rPr>
          <w:rFonts w:ascii="Times New Roman" w:hAnsi="Times New Roman" w:cs="Times New Roman"/>
          <w:b/>
          <w:bCs/>
          <w:sz w:val="24"/>
          <w:szCs w:val="24"/>
        </w:rPr>
        <w:t>H3</w:t>
      </w:r>
      <w:r w:rsidRPr="006E4CF7">
        <w:rPr>
          <w:rFonts w:ascii="Times New Roman" w:hAnsi="Times New Roman" w:cs="Times New Roman"/>
          <w:sz w:val="24"/>
          <w:szCs w:val="24"/>
        </w:rPr>
        <w:t xml:space="preserve">), we uncover more complex relationships and confirm the positive effects of employing teaching-only staff. However, these benefits can be significantly influenced by how institutions manage esteem uncertainty. This impact is seen on two fronts. First, career progression opportunities can enhance these positive effects. For instance, </w:t>
      </w:r>
      <w:r w:rsidRPr="006E4CF7">
        <w:rPr>
          <w:rFonts w:ascii="Times New Roman" w:hAnsi="Times New Roman" w:cs="Times New Roman"/>
          <w:i/>
          <w:iCs/>
          <w:sz w:val="24"/>
          <w:szCs w:val="24"/>
        </w:rPr>
        <w:t>Value-Innovators</w:t>
      </w:r>
      <w:r w:rsidRPr="006E4CF7">
        <w:rPr>
          <w:rFonts w:ascii="Times New Roman" w:hAnsi="Times New Roman" w:cs="Times New Roman"/>
          <w:sz w:val="24"/>
          <w:szCs w:val="24"/>
        </w:rPr>
        <w:t xml:space="preserve">, which employ more teaching-only staff who receive relatively high wages, outperform their </w:t>
      </w:r>
      <w:r w:rsidRPr="006E4CF7">
        <w:rPr>
          <w:rFonts w:ascii="Times New Roman" w:hAnsi="Times New Roman" w:cs="Times New Roman"/>
          <w:i/>
          <w:iCs/>
          <w:sz w:val="24"/>
          <w:szCs w:val="24"/>
        </w:rPr>
        <w:t>Research-Seeker</w:t>
      </w:r>
      <w:r w:rsidRPr="006E4CF7">
        <w:rPr>
          <w:rFonts w:ascii="Times New Roman" w:hAnsi="Times New Roman" w:cs="Times New Roman"/>
          <w:sz w:val="24"/>
          <w:szCs w:val="24"/>
        </w:rPr>
        <w:t xml:space="preserve"> counterparts (-0.24836 versus -0.16727). Second, the level of research intensity, as indicated by the insignificant estimate for </w:t>
      </w:r>
      <w:r w:rsidRPr="006E4CF7">
        <w:rPr>
          <w:rFonts w:ascii="Times New Roman" w:hAnsi="Times New Roman" w:cs="Times New Roman"/>
          <w:i/>
          <w:iCs/>
          <w:sz w:val="24"/>
          <w:szCs w:val="24"/>
        </w:rPr>
        <w:t>Research</w:t>
      </w:r>
      <w:r w:rsidR="003B037F" w:rsidRPr="006E4CF7">
        <w:rPr>
          <w:rFonts w:ascii="Times New Roman" w:hAnsi="Times New Roman" w:cs="Times New Roman"/>
          <w:i/>
          <w:iCs/>
          <w:sz w:val="24"/>
          <w:szCs w:val="24"/>
        </w:rPr>
        <w:t>-</w:t>
      </w:r>
      <w:r w:rsidRPr="006E4CF7">
        <w:rPr>
          <w:rFonts w:ascii="Times New Roman" w:hAnsi="Times New Roman" w:cs="Times New Roman"/>
          <w:i/>
          <w:iCs/>
          <w:sz w:val="24"/>
          <w:szCs w:val="24"/>
        </w:rPr>
        <w:t>Leader</w:t>
      </w:r>
      <w:r w:rsidRPr="006E4CF7">
        <w:rPr>
          <w:rFonts w:ascii="Times New Roman" w:hAnsi="Times New Roman" w:cs="Times New Roman"/>
          <w:sz w:val="24"/>
          <w:szCs w:val="24"/>
        </w:rPr>
        <w:t xml:space="preserve">, can negate the benefits of using teaching-only contracts. This might suggest that teaching-only staff are often employed primarily to alleviate the teaching burdens from researchers, not necessarily to improve teaching quality. The </w:t>
      </w:r>
      <w:r w:rsidRPr="006E4CF7">
        <w:rPr>
          <w:rFonts w:ascii="Times New Roman" w:hAnsi="Times New Roman" w:cs="Times New Roman"/>
          <w:i/>
          <w:iCs/>
          <w:sz w:val="24"/>
          <w:szCs w:val="24"/>
        </w:rPr>
        <w:t xml:space="preserve">Pioneer </w:t>
      </w:r>
      <w:r w:rsidRPr="006E4CF7">
        <w:rPr>
          <w:rFonts w:ascii="Times New Roman" w:hAnsi="Times New Roman" w:cs="Times New Roman"/>
          <w:sz w:val="24"/>
          <w:szCs w:val="24"/>
        </w:rPr>
        <w:t>result remains negative and significant (-0.19834), illustrating that this outcome can be avoided. Ultimately, this suggests that strategies promoting equal esteem for both teaching and research roles are likely to maximise overall outcomes.</w:t>
      </w:r>
    </w:p>
    <w:p w14:paraId="190749B5" w14:textId="132FCEC6" w:rsidR="00D22540" w:rsidRPr="006E4CF7" w:rsidRDefault="009776C0" w:rsidP="00495703">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Overall,</w:t>
      </w:r>
      <w:r w:rsidR="00057769" w:rsidRPr="006E4CF7">
        <w:rPr>
          <w:rFonts w:ascii="Times New Roman" w:hAnsi="Times New Roman" w:cs="Times New Roman"/>
          <w:sz w:val="24"/>
          <w:szCs w:val="24"/>
        </w:rPr>
        <w:t xml:space="preserve"> due to poor strategies adopted </w:t>
      </w:r>
      <w:r w:rsidR="007549B4" w:rsidRPr="006E4CF7">
        <w:rPr>
          <w:rFonts w:ascii="Times New Roman" w:hAnsi="Times New Roman" w:cs="Times New Roman"/>
          <w:sz w:val="24"/>
          <w:szCs w:val="24"/>
        </w:rPr>
        <w:t>at the</w:t>
      </w:r>
      <w:r w:rsidR="00057769" w:rsidRPr="006E4CF7">
        <w:rPr>
          <w:rFonts w:ascii="Times New Roman" w:hAnsi="Times New Roman" w:cs="Times New Roman"/>
          <w:sz w:val="24"/>
          <w:szCs w:val="24"/>
        </w:rPr>
        <w:t xml:space="preserve"> institution</w:t>
      </w:r>
      <w:r w:rsidR="007549B4" w:rsidRPr="006E4CF7">
        <w:rPr>
          <w:rFonts w:ascii="Times New Roman" w:hAnsi="Times New Roman" w:cs="Times New Roman"/>
          <w:sz w:val="24"/>
          <w:szCs w:val="24"/>
        </w:rPr>
        <w:t>al level</w:t>
      </w:r>
      <w:r w:rsidR="00057769"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bookmarkEnd w:id="3"/>
      <w:r w:rsidR="00D22540" w:rsidRPr="006E4CF7">
        <w:rPr>
          <w:rFonts w:ascii="Times New Roman" w:hAnsi="Times New Roman" w:cs="Times New Roman"/>
          <w:sz w:val="24"/>
          <w:szCs w:val="24"/>
        </w:rPr>
        <w:t xml:space="preserve">our empirical analysis suggests that the influence of teaching-only contracts on student satisfaction </w:t>
      </w:r>
      <w:r w:rsidR="00057769" w:rsidRPr="006E4CF7">
        <w:rPr>
          <w:rFonts w:ascii="Times New Roman" w:hAnsi="Times New Roman" w:cs="Times New Roman"/>
          <w:sz w:val="24"/>
          <w:szCs w:val="24"/>
        </w:rPr>
        <w:t>might</w:t>
      </w:r>
      <w:r w:rsidR="00D22540" w:rsidRPr="006E4CF7">
        <w:rPr>
          <w:rFonts w:ascii="Times New Roman" w:hAnsi="Times New Roman" w:cs="Times New Roman"/>
          <w:sz w:val="24"/>
          <w:szCs w:val="24"/>
        </w:rPr>
        <w:t xml:space="preserve"> be minimal. </w:t>
      </w:r>
      <w:r w:rsidR="00057769" w:rsidRPr="006E4CF7">
        <w:rPr>
          <w:rFonts w:ascii="Times New Roman" w:hAnsi="Times New Roman" w:cs="Times New Roman"/>
          <w:sz w:val="24"/>
          <w:szCs w:val="24"/>
        </w:rPr>
        <w:t xml:space="preserve">Indeed, </w:t>
      </w:r>
      <w:r w:rsidR="00D22540" w:rsidRPr="006E4CF7">
        <w:rPr>
          <w:rFonts w:ascii="Times New Roman" w:hAnsi="Times New Roman" w:cs="Times New Roman"/>
          <w:sz w:val="24"/>
          <w:szCs w:val="24"/>
        </w:rPr>
        <w:lastRenderedPageBreak/>
        <w:t>findings from the Fractional Logit model indicate that, under certain conditions, teaching-only contracts could even exacerbate student dissatisfaction. This highlights the intricate dynamics involved, underscoring the importance of a comprehensive understanding and integration of teaching-only roles within the academic framework to actualise their potential benefits. The insights gained underscore the complexity discussed in Section 3, where esteem uncertainty—related to the acknowledgment and career progression of teaching-only positions—markedly diminishes the effectiveness of these contracts in enhancing student satisfaction. This evidence significantly contributes to the theoretical discussions, demonstrating that without adequately addressing esteem uncertainty, the expected advantages of teaching-only contracts in improving student outcomes might not be fully realised.</w:t>
      </w:r>
    </w:p>
    <w:p w14:paraId="0FD5F5CF" w14:textId="6E55AF74" w:rsidR="00B662CA" w:rsidRPr="006E4CF7" w:rsidRDefault="0059286A" w:rsidP="00C045D5">
      <w:pPr>
        <w:autoSpaceDE w:val="0"/>
        <w:spacing w:after="240" w:line="360" w:lineRule="auto"/>
        <w:jc w:val="both"/>
        <w:rPr>
          <w:rFonts w:ascii="Times New Roman" w:hAnsi="Times New Roman" w:cs="Times New Roman"/>
          <w:b/>
          <w:bCs/>
          <w:sz w:val="24"/>
          <w:szCs w:val="24"/>
        </w:rPr>
      </w:pPr>
      <w:r w:rsidRPr="006E4CF7">
        <w:rPr>
          <w:rFonts w:ascii="Times New Roman" w:hAnsi="Times New Roman" w:cs="Times New Roman"/>
          <w:b/>
          <w:bCs/>
          <w:sz w:val="24"/>
          <w:szCs w:val="24"/>
        </w:rPr>
        <w:t>5. Conclusions</w:t>
      </w:r>
    </w:p>
    <w:p w14:paraId="4D16BBB6" w14:textId="4E9A4BBD" w:rsidR="00C045D5" w:rsidRPr="006E4CF7" w:rsidRDefault="00C045D5" w:rsidP="00C045D5">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Our investigation explored how esteem uncertainty affects the potential benefits of teaching-only contracts in enhancing the student experience. While teaching-only contracts are designed to improve student outcomes by allowing staff to focus on teaching, the positive effects can be limited by esteem uncertainty, particularly related to career progression and recognition for teaching-focused academics. Importantly, we find that esteem uncertainty needs to be modelled carefully, as simpler explanations—such as the assumption that seniority and higher pay automatically lead to increased student satisfaction—are inconsistent with the evidence. Research shows that teaching-only staff face limited promotion opportunities, regardless of pay, suggesting that factors beyond seniority are crucial in shaping student satisfaction.</w:t>
      </w:r>
    </w:p>
    <w:p w14:paraId="1AB74380" w14:textId="6362C764" w:rsidR="007549B4" w:rsidRPr="006E4CF7" w:rsidRDefault="007549B4" w:rsidP="00C045D5">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Our study provides empirical support for the significant impact of esteem uncertainty on student satisfaction, a theme central to our hypotheses and explored via two </w:t>
      </w:r>
      <w:r w:rsidR="002A13B7" w:rsidRPr="006E4CF7">
        <w:rPr>
          <w:rFonts w:ascii="Times New Roman" w:hAnsi="Times New Roman" w:cs="Times New Roman"/>
          <w:sz w:val="24"/>
          <w:szCs w:val="24"/>
        </w:rPr>
        <w:t>empirical</w:t>
      </w:r>
      <w:r w:rsidRPr="006E4CF7">
        <w:rPr>
          <w:rFonts w:ascii="Times New Roman" w:hAnsi="Times New Roman" w:cs="Times New Roman"/>
          <w:sz w:val="24"/>
          <w:szCs w:val="24"/>
        </w:rPr>
        <w:t xml:space="preserve"> models. </w:t>
      </w:r>
      <w:r w:rsidR="00DD09F1" w:rsidRPr="006E4CF7">
        <w:rPr>
          <w:rFonts w:ascii="Times New Roman" w:hAnsi="Times New Roman" w:cs="Times New Roman"/>
          <w:sz w:val="24"/>
          <w:szCs w:val="24"/>
        </w:rPr>
        <w:t>We</w:t>
      </w:r>
      <w:r w:rsidR="0007416C" w:rsidRPr="006E4CF7">
        <w:rPr>
          <w:rFonts w:ascii="Times New Roman" w:hAnsi="Times New Roman" w:cs="Times New Roman"/>
          <w:sz w:val="24"/>
          <w:szCs w:val="24"/>
        </w:rPr>
        <w:t xml:space="preserve"> do</w:t>
      </w:r>
      <w:r w:rsidR="00DD09F1" w:rsidRPr="006E4CF7">
        <w:rPr>
          <w:rFonts w:ascii="Times New Roman" w:hAnsi="Times New Roman" w:cs="Times New Roman"/>
          <w:sz w:val="24"/>
          <w:szCs w:val="24"/>
        </w:rPr>
        <w:t xml:space="preserve"> face </w:t>
      </w:r>
      <w:r w:rsidR="0007416C" w:rsidRPr="006E4CF7">
        <w:rPr>
          <w:rFonts w:ascii="Times New Roman" w:hAnsi="Times New Roman" w:cs="Times New Roman"/>
          <w:sz w:val="24"/>
          <w:szCs w:val="24"/>
        </w:rPr>
        <w:t xml:space="preserve">some </w:t>
      </w:r>
      <w:r w:rsidR="00DD09F1" w:rsidRPr="006E4CF7">
        <w:rPr>
          <w:rFonts w:ascii="Times New Roman" w:hAnsi="Times New Roman" w:cs="Times New Roman"/>
          <w:sz w:val="24"/>
          <w:szCs w:val="24"/>
        </w:rPr>
        <w:t>challenges regarding the scope of our empirical investigation. For example, we are unable to disentangle the proportion of teaching carried out by Graduate Teaching Assistants and ascertain the proportion of fixed contracts characterised by research-funded projects. Despite these data limitations, our findings support all three of our hypotheses.</w:t>
      </w:r>
      <w:r w:rsidR="00EF5A1B" w:rsidRPr="006E4CF7">
        <w:rPr>
          <w:rFonts w:ascii="Times New Roman" w:hAnsi="Times New Roman" w:cs="Times New Roman"/>
          <w:sz w:val="24"/>
          <w:szCs w:val="24"/>
        </w:rPr>
        <w:t xml:space="preserve">  </w:t>
      </w:r>
      <w:r w:rsidRPr="006E4CF7">
        <w:rPr>
          <w:rFonts w:ascii="Times New Roman" w:hAnsi="Times New Roman" w:cs="Times New Roman"/>
          <w:sz w:val="24"/>
          <w:szCs w:val="24"/>
        </w:rPr>
        <w:t>We reveal that the benefits of teaching-only contracts, intended to enhance student satisfaction by allowing faculty to speciali</w:t>
      </w:r>
      <w:r w:rsidR="002A13B7" w:rsidRPr="006E4CF7">
        <w:rPr>
          <w:rFonts w:ascii="Times New Roman" w:hAnsi="Times New Roman" w:cs="Times New Roman"/>
          <w:sz w:val="24"/>
          <w:szCs w:val="24"/>
        </w:rPr>
        <w:t>s</w:t>
      </w:r>
      <w:r w:rsidRPr="006E4CF7">
        <w:rPr>
          <w:rFonts w:ascii="Times New Roman" w:hAnsi="Times New Roman" w:cs="Times New Roman"/>
          <w:sz w:val="24"/>
          <w:szCs w:val="24"/>
        </w:rPr>
        <w:t xml:space="preserve">e in teaching, can be nullified when these roles are mainly adopted to cope with the growing demands of </w:t>
      </w:r>
      <w:r w:rsidR="002A13B7" w:rsidRPr="006E4CF7">
        <w:rPr>
          <w:rFonts w:ascii="Times New Roman" w:hAnsi="Times New Roman" w:cs="Times New Roman"/>
          <w:sz w:val="24"/>
          <w:szCs w:val="24"/>
        </w:rPr>
        <w:t>HE</w:t>
      </w:r>
      <w:r w:rsidRPr="006E4CF7">
        <w:rPr>
          <w:rFonts w:ascii="Times New Roman" w:hAnsi="Times New Roman" w:cs="Times New Roman"/>
          <w:sz w:val="24"/>
          <w:szCs w:val="24"/>
        </w:rPr>
        <w:t xml:space="preserve"> within a cost-saving strategy. This outcome aligns with our first hypothesis (</w:t>
      </w:r>
      <w:r w:rsidRPr="006E4CF7">
        <w:rPr>
          <w:rFonts w:ascii="Times New Roman" w:hAnsi="Times New Roman" w:cs="Times New Roman"/>
          <w:b/>
          <w:bCs/>
          <w:sz w:val="24"/>
          <w:szCs w:val="24"/>
        </w:rPr>
        <w:t>H1</w:t>
      </w:r>
      <w:r w:rsidRPr="006E4CF7">
        <w:rPr>
          <w:rFonts w:ascii="Times New Roman" w:hAnsi="Times New Roman" w:cs="Times New Roman"/>
          <w:sz w:val="24"/>
          <w:szCs w:val="24"/>
        </w:rPr>
        <w:t>), which suggests that teaching-only contracts positively influence student satisfaction. Moreover, the situation worsens when teaching-only positions become casual</w:t>
      </w:r>
      <w:r w:rsidR="002A13B7" w:rsidRPr="006E4CF7">
        <w:rPr>
          <w:rFonts w:ascii="Times New Roman" w:hAnsi="Times New Roman" w:cs="Times New Roman"/>
          <w:sz w:val="24"/>
          <w:szCs w:val="24"/>
        </w:rPr>
        <w:t>is</w:t>
      </w:r>
      <w:r w:rsidRPr="006E4CF7">
        <w:rPr>
          <w:rFonts w:ascii="Times New Roman" w:hAnsi="Times New Roman" w:cs="Times New Roman"/>
          <w:sz w:val="24"/>
          <w:szCs w:val="24"/>
        </w:rPr>
        <w:t xml:space="preserve">ed, leading to low pay and job insecurity. This condition corroborates our second </w:t>
      </w:r>
      <w:r w:rsidRPr="006E4CF7">
        <w:rPr>
          <w:rFonts w:ascii="Times New Roman" w:hAnsi="Times New Roman" w:cs="Times New Roman"/>
          <w:sz w:val="24"/>
          <w:szCs w:val="24"/>
        </w:rPr>
        <w:lastRenderedPageBreak/>
        <w:t>hypothesis (</w:t>
      </w:r>
      <w:r w:rsidRPr="006E4CF7">
        <w:rPr>
          <w:rFonts w:ascii="Times New Roman" w:hAnsi="Times New Roman" w:cs="Times New Roman"/>
          <w:b/>
          <w:bCs/>
          <w:sz w:val="24"/>
          <w:szCs w:val="24"/>
        </w:rPr>
        <w:t>H2</w:t>
      </w:r>
      <w:r w:rsidRPr="006E4CF7">
        <w:rPr>
          <w:rFonts w:ascii="Times New Roman" w:hAnsi="Times New Roman" w:cs="Times New Roman"/>
          <w:sz w:val="24"/>
          <w:szCs w:val="24"/>
        </w:rPr>
        <w:t xml:space="preserve">), indicating employment terms diminish the effectiveness of teaching-only roles, potentially harming student satisfaction significantly. Lastly, our findings stress the need for </w:t>
      </w:r>
      <w:r w:rsidR="002A13B7" w:rsidRPr="006E4CF7">
        <w:rPr>
          <w:rFonts w:ascii="Times New Roman" w:hAnsi="Times New Roman" w:cs="Times New Roman"/>
          <w:sz w:val="24"/>
          <w:szCs w:val="24"/>
        </w:rPr>
        <w:t>U</w:t>
      </w:r>
      <w:r w:rsidRPr="006E4CF7">
        <w:rPr>
          <w:rFonts w:ascii="Times New Roman" w:hAnsi="Times New Roman" w:cs="Times New Roman"/>
          <w:sz w:val="24"/>
          <w:szCs w:val="24"/>
        </w:rPr>
        <w:t xml:space="preserve">niversities to carefully </w:t>
      </w:r>
      <w:proofErr w:type="spellStart"/>
      <w:r w:rsidRPr="006E4CF7">
        <w:rPr>
          <w:rFonts w:ascii="Times New Roman" w:hAnsi="Times New Roman" w:cs="Times New Roman"/>
          <w:sz w:val="24"/>
          <w:szCs w:val="24"/>
        </w:rPr>
        <w:t>strategi</w:t>
      </w:r>
      <w:r w:rsidR="002A13B7" w:rsidRPr="006E4CF7">
        <w:rPr>
          <w:rFonts w:ascii="Times New Roman" w:hAnsi="Times New Roman" w:cs="Times New Roman"/>
          <w:sz w:val="24"/>
          <w:szCs w:val="24"/>
        </w:rPr>
        <w:t>s</w:t>
      </w:r>
      <w:r w:rsidRPr="006E4CF7">
        <w:rPr>
          <w:rFonts w:ascii="Times New Roman" w:hAnsi="Times New Roman" w:cs="Times New Roman"/>
          <w:sz w:val="24"/>
          <w:szCs w:val="24"/>
        </w:rPr>
        <w:t>e</w:t>
      </w:r>
      <w:proofErr w:type="spellEnd"/>
      <w:r w:rsidRPr="006E4CF7">
        <w:rPr>
          <w:rFonts w:ascii="Times New Roman" w:hAnsi="Times New Roman" w:cs="Times New Roman"/>
          <w:sz w:val="24"/>
          <w:szCs w:val="24"/>
        </w:rPr>
        <w:t xml:space="preserve"> around the dual challenges of teaching and research commitments and contractual faculty conditions, as proposed in our third hypothesis (</w:t>
      </w:r>
      <w:r w:rsidRPr="006E4CF7">
        <w:rPr>
          <w:rFonts w:ascii="Times New Roman" w:hAnsi="Times New Roman" w:cs="Times New Roman"/>
          <w:b/>
          <w:bCs/>
          <w:sz w:val="24"/>
          <w:szCs w:val="24"/>
        </w:rPr>
        <w:t>H3</w:t>
      </w:r>
      <w:r w:rsidRPr="006E4CF7">
        <w:rPr>
          <w:rFonts w:ascii="Times New Roman" w:hAnsi="Times New Roman" w:cs="Times New Roman"/>
          <w:sz w:val="24"/>
          <w:szCs w:val="24"/>
        </w:rPr>
        <w:t>). The interplay of these factors, as analy</w:t>
      </w:r>
      <w:r w:rsidR="002A13B7" w:rsidRPr="006E4CF7">
        <w:rPr>
          <w:rFonts w:ascii="Times New Roman" w:hAnsi="Times New Roman" w:cs="Times New Roman"/>
          <w:sz w:val="24"/>
          <w:szCs w:val="24"/>
        </w:rPr>
        <w:t>s</w:t>
      </w:r>
      <w:r w:rsidRPr="006E4CF7">
        <w:rPr>
          <w:rFonts w:ascii="Times New Roman" w:hAnsi="Times New Roman" w:cs="Times New Roman"/>
          <w:sz w:val="24"/>
          <w:szCs w:val="24"/>
        </w:rPr>
        <w:t xml:space="preserve">ed in our models, shows that the success of teaching-only contracts in improving student satisfaction crucially depends on </w:t>
      </w:r>
      <w:r w:rsidR="003B037F" w:rsidRPr="006E4CF7">
        <w:rPr>
          <w:rFonts w:ascii="Times New Roman" w:hAnsi="Times New Roman" w:cs="Times New Roman"/>
          <w:sz w:val="24"/>
          <w:szCs w:val="24"/>
        </w:rPr>
        <w:t>removing</w:t>
      </w:r>
      <w:r w:rsidRPr="006E4CF7">
        <w:rPr>
          <w:rFonts w:ascii="Times New Roman" w:hAnsi="Times New Roman" w:cs="Times New Roman"/>
          <w:sz w:val="24"/>
          <w:szCs w:val="24"/>
        </w:rPr>
        <w:t xml:space="preserve"> </w:t>
      </w:r>
      <w:r w:rsidR="002A13B7" w:rsidRPr="006E4CF7">
        <w:rPr>
          <w:rFonts w:ascii="Times New Roman" w:hAnsi="Times New Roman" w:cs="Times New Roman"/>
          <w:sz w:val="24"/>
          <w:szCs w:val="24"/>
        </w:rPr>
        <w:t>esteem uncertainty</w:t>
      </w:r>
      <w:r w:rsidRPr="006E4CF7">
        <w:rPr>
          <w:rFonts w:ascii="Times New Roman" w:hAnsi="Times New Roman" w:cs="Times New Roman"/>
          <w:sz w:val="24"/>
          <w:szCs w:val="24"/>
        </w:rPr>
        <w:t>.</w:t>
      </w:r>
    </w:p>
    <w:p w14:paraId="472D71BD" w14:textId="0B13A73A" w:rsidR="003F5197" w:rsidRPr="006E4CF7" w:rsidRDefault="003F5197" w:rsidP="007549B4">
      <w:pPr>
        <w:autoSpaceDE w:val="0"/>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 xml:space="preserve">Regarding practical implications, </w:t>
      </w:r>
      <w:r w:rsidR="00495703" w:rsidRPr="006E4CF7">
        <w:rPr>
          <w:rFonts w:ascii="Times New Roman" w:hAnsi="Times New Roman" w:cs="Times New Roman"/>
          <w:sz w:val="24"/>
          <w:szCs w:val="24"/>
        </w:rPr>
        <w:t>our findings emphasi</w:t>
      </w:r>
      <w:r w:rsidR="002A13B7" w:rsidRPr="006E4CF7">
        <w:rPr>
          <w:rFonts w:ascii="Times New Roman" w:hAnsi="Times New Roman" w:cs="Times New Roman"/>
          <w:sz w:val="24"/>
          <w:szCs w:val="24"/>
        </w:rPr>
        <w:t>s</w:t>
      </w:r>
      <w:r w:rsidR="00495703" w:rsidRPr="006E4CF7">
        <w:rPr>
          <w:rFonts w:ascii="Times New Roman" w:hAnsi="Times New Roman" w:cs="Times New Roman"/>
          <w:sz w:val="24"/>
          <w:szCs w:val="24"/>
        </w:rPr>
        <w:t>e the need for HE institutions to carefully consider their strategic approach to faculty contracts, ensuring that efforts to optimise costs do not undermine the quality of education and student satisfaction</w:t>
      </w:r>
      <w:r w:rsidRPr="006E4CF7">
        <w:rPr>
          <w:rFonts w:ascii="Times New Roman" w:hAnsi="Times New Roman" w:cs="Times New Roman"/>
          <w:sz w:val="24"/>
          <w:szCs w:val="24"/>
        </w:rPr>
        <w:t xml:space="preserve">. This involves creating transparent and equitable career paths for teaching-only staff, akin to those of their research-focused colleagues, to mitigate esteem uncertainty. Recognising and rewarding teaching excellence, involving teaching-only faculty in decision-making, and clearly communicating their value are essential steps. Without such measures, the utilisation of teaching-only contracts as a cost-saving response to the massification of HE risks not only neutralising their potential benefits but may indeed result in negative outcomes </w:t>
      </w:r>
      <w:r w:rsidR="003532A2" w:rsidRPr="006E4CF7">
        <w:rPr>
          <w:rFonts w:ascii="Times New Roman" w:hAnsi="Times New Roman" w:cs="Times New Roman"/>
          <w:sz w:val="24"/>
          <w:szCs w:val="24"/>
        </w:rPr>
        <w:t>for the student experience</w:t>
      </w:r>
      <w:r w:rsidRPr="006E4CF7">
        <w:rPr>
          <w:rFonts w:ascii="Times New Roman" w:hAnsi="Times New Roman" w:cs="Times New Roman"/>
          <w:sz w:val="24"/>
          <w:szCs w:val="24"/>
        </w:rPr>
        <w:t>. Addressing these concerns head-on can enable institutions to harness the intended advantages of teaching-only contracts effectively.</w:t>
      </w:r>
    </w:p>
    <w:p w14:paraId="4C3E72ED" w14:textId="725FB49E" w:rsidR="00E0555A" w:rsidRPr="006E4CF7" w:rsidRDefault="00E0555A" w:rsidP="00E0555A">
      <w:pPr>
        <w:spacing w:after="240" w:line="360" w:lineRule="auto"/>
        <w:jc w:val="both"/>
        <w:rPr>
          <w:rFonts w:ascii="Times New Roman" w:hAnsi="Times New Roman" w:cs="Times New Roman"/>
          <w:sz w:val="24"/>
          <w:szCs w:val="24"/>
        </w:rPr>
      </w:pPr>
      <w:r w:rsidRPr="006E4CF7">
        <w:rPr>
          <w:rFonts w:ascii="Times New Roman" w:hAnsi="Times New Roman" w:cs="Times New Roman"/>
          <w:sz w:val="24"/>
          <w:szCs w:val="24"/>
        </w:rPr>
        <w:t>Our analysis exposes a sector caught in a double bind: the relentless chase for student enrolment under economic pressures, including a significant reduction in the real value of tuition fees, propels institutions towards cost-cutting strategies. This financially driven approach, while intended to navigate financial challenges, risks degrading the student experience when the commitment to teaching excellence is merely nominal. The journey from theoretical exploration to the practical deployment of teaching-only contracts leads to a compelling conclusion: ‘</w:t>
      </w:r>
      <w:r w:rsidRPr="006E4CF7">
        <w:rPr>
          <w:rFonts w:ascii="Times New Roman" w:hAnsi="Times New Roman" w:cs="Times New Roman"/>
          <w:i/>
          <w:iCs/>
          <w:sz w:val="24"/>
          <w:szCs w:val="24"/>
        </w:rPr>
        <w:t xml:space="preserve">Bad economics </w:t>
      </w:r>
      <w:r w:rsidR="003532A2" w:rsidRPr="006E4CF7">
        <w:rPr>
          <w:rFonts w:ascii="Times New Roman" w:hAnsi="Times New Roman" w:cs="Times New Roman"/>
          <w:i/>
          <w:iCs/>
          <w:sz w:val="24"/>
          <w:szCs w:val="24"/>
        </w:rPr>
        <w:t>begets</w:t>
      </w:r>
      <w:r w:rsidRPr="006E4CF7">
        <w:rPr>
          <w:rFonts w:ascii="Times New Roman" w:hAnsi="Times New Roman" w:cs="Times New Roman"/>
          <w:i/>
          <w:iCs/>
          <w:sz w:val="24"/>
          <w:szCs w:val="24"/>
        </w:rPr>
        <w:t xml:space="preserve"> bad policy</w:t>
      </w:r>
      <w:r w:rsidRPr="006E4CF7">
        <w:rPr>
          <w:rFonts w:ascii="Times New Roman" w:hAnsi="Times New Roman" w:cs="Times New Roman"/>
          <w:sz w:val="24"/>
          <w:szCs w:val="24"/>
        </w:rPr>
        <w:t>’. This principle is starkly illustrated by our findings, showing that when the pursuit of economic efficiency</w:t>
      </w:r>
      <w:r w:rsidR="003532A2" w:rsidRPr="006E4CF7">
        <w:rPr>
          <w:rFonts w:ascii="Times New Roman" w:hAnsi="Times New Roman" w:cs="Times New Roman"/>
          <w:sz w:val="24"/>
          <w:szCs w:val="24"/>
        </w:rPr>
        <w:t xml:space="preserve"> </w:t>
      </w:r>
      <w:r w:rsidRPr="006E4CF7">
        <w:rPr>
          <w:rFonts w:ascii="Times New Roman" w:hAnsi="Times New Roman" w:cs="Times New Roman"/>
          <w:sz w:val="24"/>
          <w:szCs w:val="24"/>
        </w:rPr>
        <w:t>takes precedence over the inherent value of teaching, it results in not only diminished educational quality but also reinforces a cycle of flawed policy choices.</w:t>
      </w:r>
    </w:p>
    <w:p w14:paraId="05954241" w14:textId="0F3423CB" w:rsidR="00B747E8" w:rsidRPr="006E4CF7" w:rsidRDefault="00B747E8" w:rsidP="00B747E8">
      <w:pPr>
        <w:spacing w:after="240"/>
        <w:jc w:val="both"/>
        <w:rPr>
          <w:rFonts w:ascii="Times New Roman" w:hAnsi="Times New Roman" w:cs="Times New Roman"/>
          <w:b/>
          <w:bCs/>
          <w:sz w:val="24"/>
          <w:szCs w:val="24"/>
        </w:rPr>
      </w:pPr>
      <w:r w:rsidRPr="006E4CF7">
        <w:rPr>
          <w:rFonts w:ascii="Times New Roman" w:hAnsi="Times New Roman" w:cs="Times New Roman"/>
          <w:b/>
          <w:bCs/>
          <w:sz w:val="24"/>
          <w:szCs w:val="24"/>
        </w:rPr>
        <w:t>References</w:t>
      </w:r>
    </w:p>
    <w:p w14:paraId="5709F5BF" w14:textId="27229BD9" w:rsidR="00E07639" w:rsidRPr="006E4CF7" w:rsidRDefault="00E07639"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Agnew, S., Cameron-Agnew, T., Lau, A. and Walker, S. 2016. What business school characteristics are correlated with more favourable NSS (NSS) rankings?</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International Journal of Management Education</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14(3): 219-227.</w:t>
      </w:r>
    </w:p>
    <w:p w14:paraId="4A1B7C2C" w14:textId="4E3480E2"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Alpert, W. T. Couch, K. A. and Harmon, O. R. (2016)</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A Randomized Assessment of Online Learning</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American Economic Review</w:t>
      </w:r>
      <w:r w:rsidRPr="006E4CF7">
        <w:rPr>
          <w:rFonts w:ascii="Times New Roman" w:hAnsi="Times New Roman" w:cs="Times New Roman"/>
          <w:sz w:val="24"/>
          <w:szCs w:val="24"/>
        </w:rPr>
        <w:t>, 106(5)</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378-82.</w:t>
      </w:r>
    </w:p>
    <w:p w14:paraId="720B1C55" w14:textId="141769B5" w:rsidR="00581906" w:rsidRPr="006E4CF7" w:rsidRDefault="00581906"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lastRenderedPageBreak/>
        <w:t xml:space="preserve">Ambler, R., Huxley, G. &amp; Peacey, M.W. </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2023</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Teaching at University, </w:t>
      </w:r>
      <w:r w:rsidRPr="006E4CF7">
        <w:rPr>
          <w:rFonts w:ascii="Times New Roman" w:hAnsi="Times New Roman" w:cs="Times New Roman"/>
          <w:i/>
          <w:iCs/>
          <w:sz w:val="24"/>
          <w:szCs w:val="24"/>
        </w:rPr>
        <w:t>Education Economics</w:t>
      </w:r>
      <w:r w:rsidRPr="006E4CF7">
        <w:rPr>
          <w:rFonts w:ascii="Times New Roman" w:hAnsi="Times New Roman" w:cs="Times New Roman"/>
          <w:sz w:val="24"/>
          <w:szCs w:val="24"/>
        </w:rPr>
        <w:t>, 31:5, 572-598.</w:t>
      </w:r>
    </w:p>
    <w:p w14:paraId="5F1C363A" w14:textId="6B690F52" w:rsidR="00E07639" w:rsidRPr="006E4CF7" w:rsidRDefault="00E07639"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Attwood, R. (2010, September 30). Hollow victory: 12 Angry Scholars Berate 'Risible' NSS</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 xml:space="preserve"> Times HE, Available from </w:t>
      </w:r>
      <w:hyperlink r:id="rId19" w:history="1">
        <w:r w:rsidR="009D3F0A" w:rsidRPr="006E4CF7">
          <w:rPr>
            <w:rStyle w:val="Hyperlink"/>
            <w:rFonts w:ascii="Times New Roman" w:hAnsi="Times New Roman" w:cs="Times New Roman"/>
            <w:color w:val="auto"/>
            <w:sz w:val="24"/>
            <w:szCs w:val="24"/>
          </w:rPr>
          <w:t>http://www.timeshighereducation.co.uk/story.asp?sectioncode=26&amp;storycode=413687</w:t>
        </w:r>
      </w:hyperlink>
      <w:r w:rsidR="009D3F0A" w:rsidRPr="006E4CF7">
        <w:rPr>
          <w:rFonts w:ascii="Times New Roman" w:hAnsi="Times New Roman" w:cs="Times New Roman"/>
          <w:sz w:val="24"/>
          <w:szCs w:val="24"/>
        </w:rPr>
        <w:t xml:space="preserve"> </w:t>
      </w:r>
    </w:p>
    <w:p w14:paraId="1B77858B" w14:textId="4442227D"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Bamber, M., McCormack, J., &amp; Lyons, B. J. (2021)</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Conceptualising ‘Within-Group Stigmatisation’ among High-Status Workers</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Work, Employment and Society, </w:t>
      </w:r>
      <w:r w:rsidR="009D3F0A" w:rsidRPr="006E4CF7">
        <w:rPr>
          <w:rFonts w:ascii="Times New Roman" w:hAnsi="Times New Roman" w:cs="Times New Roman"/>
          <w:sz w:val="24"/>
          <w:szCs w:val="24"/>
        </w:rPr>
        <w:t>37(3): 757-775.</w:t>
      </w:r>
    </w:p>
    <w:p w14:paraId="0585D88B" w14:textId="170B9001"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Bennett, D., Roberts, L., </w:t>
      </w:r>
      <w:proofErr w:type="spellStart"/>
      <w:r w:rsidRPr="006E4CF7">
        <w:rPr>
          <w:rFonts w:ascii="Times New Roman" w:hAnsi="Times New Roman" w:cs="Times New Roman"/>
          <w:sz w:val="24"/>
          <w:szCs w:val="24"/>
        </w:rPr>
        <w:t>Ananthram</w:t>
      </w:r>
      <w:proofErr w:type="spellEnd"/>
      <w:r w:rsidRPr="006E4CF7">
        <w:rPr>
          <w:rFonts w:ascii="Times New Roman" w:hAnsi="Times New Roman" w:cs="Times New Roman"/>
          <w:sz w:val="24"/>
          <w:szCs w:val="24"/>
        </w:rPr>
        <w:t xml:space="preserve">, S. and Broughton, M. (2018). What is required to develop career pathways for teaching academics?, </w:t>
      </w:r>
      <w:r w:rsidRPr="006E4CF7">
        <w:rPr>
          <w:rFonts w:ascii="Times New Roman" w:hAnsi="Times New Roman" w:cs="Times New Roman"/>
          <w:i/>
          <w:iCs/>
          <w:sz w:val="24"/>
          <w:szCs w:val="24"/>
        </w:rPr>
        <w:t>Higher Education</w:t>
      </w:r>
      <w:r w:rsidRPr="006E4CF7">
        <w:rPr>
          <w:rFonts w:ascii="Times New Roman" w:hAnsi="Times New Roman" w:cs="Times New Roman"/>
          <w:sz w:val="24"/>
          <w:szCs w:val="24"/>
        </w:rPr>
        <w:t>, 75: 271-286.</w:t>
      </w:r>
    </w:p>
    <w:p w14:paraId="7C4CB947" w14:textId="0B02CD2C"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Betti, G. and Verma, V. (2008)</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Fuzzy measures of the incidence of relative poverty and deprivation: a multi-dimensional perspective</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Statistical Methods &amp; Applications</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17</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225–250.</w:t>
      </w:r>
    </w:p>
    <w:p w14:paraId="266CCD9C" w14:textId="5D835F50"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Bovill, C. (2020)</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Co-creation in learning and teaching: the case for a whole-class approach in higher education</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Higher Education</w:t>
      </w:r>
      <w:r w:rsidR="00DB6A00" w:rsidRPr="006E4CF7">
        <w:rPr>
          <w:rFonts w:ascii="Times New Roman" w:hAnsi="Times New Roman" w:cs="Times New Roman"/>
          <w:sz w:val="24"/>
          <w:szCs w:val="24"/>
        </w:rPr>
        <w:t>,</w:t>
      </w:r>
      <w:r w:rsidRPr="006E4CF7">
        <w:rPr>
          <w:rFonts w:ascii="Times New Roman" w:hAnsi="Times New Roman" w:cs="Times New Roman"/>
          <w:sz w:val="24"/>
          <w:szCs w:val="24"/>
        </w:rPr>
        <w:t xml:space="preserve"> 79</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1023–1037.</w:t>
      </w:r>
    </w:p>
    <w:p w14:paraId="5CF619AF" w14:textId="07054AD2" w:rsidR="00FA69ED" w:rsidRPr="006E4CF7" w:rsidRDefault="00FA69ED"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Boyer, E. L. (1990). Scholarship reconsidered: Priorities of the professoriate. (PDF), Carnegie Foundation for the Advancement of Teaching</w:t>
      </w:r>
    </w:p>
    <w:p w14:paraId="11DD95C8" w14:textId="7788FA45"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Canning, J. and Masika, R. 2022. The scholarship of teaching and learning (</w:t>
      </w:r>
      <w:proofErr w:type="spellStart"/>
      <w:r w:rsidRPr="006E4CF7">
        <w:rPr>
          <w:rFonts w:ascii="Times New Roman" w:hAnsi="Times New Roman" w:cs="Times New Roman"/>
          <w:sz w:val="24"/>
          <w:szCs w:val="24"/>
        </w:rPr>
        <w:t>SoTL</w:t>
      </w:r>
      <w:proofErr w:type="spellEnd"/>
      <w:r w:rsidRPr="006E4CF7">
        <w:rPr>
          <w:rFonts w:ascii="Times New Roman" w:hAnsi="Times New Roman" w:cs="Times New Roman"/>
          <w:sz w:val="24"/>
          <w:szCs w:val="24"/>
        </w:rPr>
        <w:t>): The thorn in the flesh of educational research, Studies in Higher Education, 47: 1084-1096.</w:t>
      </w:r>
    </w:p>
    <w:p w14:paraId="6DCA1CFF" w14:textId="371DEB6D"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Chalmers, D. (2011). Progress and challenges to the recognition and reward of the scholarship of teaching in higher education, </w:t>
      </w:r>
      <w:r w:rsidRPr="006E4CF7">
        <w:rPr>
          <w:rFonts w:ascii="Times New Roman" w:hAnsi="Times New Roman" w:cs="Times New Roman"/>
          <w:i/>
          <w:iCs/>
          <w:sz w:val="24"/>
          <w:szCs w:val="24"/>
        </w:rPr>
        <w:t>Higher Education Research and Development,</w:t>
      </w:r>
      <w:r w:rsidRPr="006E4CF7">
        <w:rPr>
          <w:rFonts w:ascii="Times New Roman" w:hAnsi="Times New Roman" w:cs="Times New Roman"/>
          <w:sz w:val="24"/>
          <w:szCs w:val="24"/>
        </w:rPr>
        <w:t xml:space="preserve"> 30: 25-38.</w:t>
      </w:r>
    </w:p>
    <w:p w14:paraId="4775E474" w14:textId="69BF5FC6" w:rsidR="00E07639" w:rsidRPr="006E4CF7" w:rsidRDefault="00E07639"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Cheng, J.H.S., and Marsh, H.W </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2010</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NSS: Are Differences Between Universities and Courses Reliable and Meaningful?</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Oxford Review of Education</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36(6): 693-712.</w:t>
      </w:r>
    </w:p>
    <w:p w14:paraId="0122ADC1" w14:textId="03A34DEB" w:rsidR="00E1636A" w:rsidRPr="006E4CF7" w:rsidRDefault="00E1636A"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Coase, R,, "The Nature of the Firm," </w:t>
      </w:r>
      <w:proofErr w:type="spellStart"/>
      <w:r w:rsidRPr="006E4CF7">
        <w:rPr>
          <w:rFonts w:ascii="Times New Roman" w:hAnsi="Times New Roman" w:cs="Times New Roman"/>
          <w:sz w:val="24"/>
          <w:szCs w:val="24"/>
        </w:rPr>
        <w:t>Economica</w:t>
      </w:r>
      <w:proofErr w:type="spellEnd"/>
      <w:r w:rsidRPr="006E4CF7">
        <w:rPr>
          <w:rFonts w:ascii="Times New Roman" w:hAnsi="Times New Roman" w:cs="Times New Roman"/>
          <w:sz w:val="24"/>
          <w:szCs w:val="24"/>
        </w:rPr>
        <w:t>, 4 (1937), 386-405.</w:t>
      </w:r>
    </w:p>
    <w:p w14:paraId="25B73AAC" w14:textId="1EECE53A"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Coate, K. Barnett, R. and Williams, G. (2001)</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 xml:space="preserve">Relationships between teaching and research in higher education in England, </w:t>
      </w:r>
      <w:r w:rsidRPr="006E4CF7">
        <w:rPr>
          <w:rFonts w:ascii="Times New Roman" w:hAnsi="Times New Roman" w:cs="Times New Roman"/>
          <w:i/>
          <w:iCs/>
          <w:sz w:val="24"/>
          <w:szCs w:val="24"/>
        </w:rPr>
        <w:t>Higher Education Quarterly</w:t>
      </w:r>
      <w:r w:rsidRPr="006E4CF7">
        <w:rPr>
          <w:rFonts w:ascii="Times New Roman" w:hAnsi="Times New Roman" w:cs="Times New Roman"/>
          <w:sz w:val="24"/>
          <w:szCs w:val="24"/>
        </w:rPr>
        <w:t>, 55</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2</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158–174.</w:t>
      </w:r>
    </w:p>
    <w:p w14:paraId="01529495" w14:textId="31BA621A"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Cook, S., Watson, D. and </w:t>
      </w:r>
      <w:proofErr w:type="spellStart"/>
      <w:r w:rsidRPr="006E4CF7">
        <w:rPr>
          <w:rFonts w:ascii="Times New Roman" w:hAnsi="Times New Roman" w:cs="Times New Roman"/>
          <w:sz w:val="24"/>
          <w:szCs w:val="24"/>
        </w:rPr>
        <w:t>Vougas</w:t>
      </w:r>
      <w:proofErr w:type="spellEnd"/>
      <w:r w:rsidRPr="006E4CF7">
        <w:rPr>
          <w:rFonts w:ascii="Times New Roman" w:hAnsi="Times New Roman" w:cs="Times New Roman"/>
          <w:sz w:val="24"/>
          <w:szCs w:val="24"/>
        </w:rPr>
        <w:t>, D. (2019)</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Solving the quantitative skills gap: A flexible learning call to arms!</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Higher Education Pedagogies</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4</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1</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17-31.</w:t>
      </w:r>
    </w:p>
    <w:p w14:paraId="581ABF2A" w14:textId="46FF710D"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Cook, S., Watson, D. Webb, R. and Shepherd, C. (2021) ‘Flipping the classroom: Is it the type of flipping that adds value?’, </w:t>
      </w:r>
      <w:r w:rsidRPr="006E4CF7">
        <w:rPr>
          <w:rFonts w:ascii="Times New Roman" w:hAnsi="Times New Roman" w:cs="Times New Roman"/>
          <w:i/>
          <w:iCs/>
          <w:sz w:val="24"/>
          <w:szCs w:val="24"/>
        </w:rPr>
        <w:t>Studies in Higher Education</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46</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8</w:t>
      </w:r>
      <w:r w:rsidR="009D3F0A" w:rsidRPr="006E4CF7">
        <w:rPr>
          <w:rFonts w:ascii="Times New Roman" w:hAnsi="Times New Roman" w:cs="Times New Roman"/>
          <w:sz w:val="24"/>
          <w:szCs w:val="24"/>
        </w:rPr>
        <w:t>): 1649-1663.</w:t>
      </w:r>
    </w:p>
    <w:p w14:paraId="22E4AC3D" w14:textId="6ADCC794" w:rsidR="004826A7" w:rsidRPr="006E4CF7" w:rsidRDefault="00B747E8" w:rsidP="004826A7">
      <w:pPr>
        <w:spacing w:after="120"/>
        <w:jc w:val="both"/>
        <w:rPr>
          <w:rFonts w:ascii="Times New Roman" w:hAnsi="Times New Roman" w:cs="Times New Roman"/>
          <w:sz w:val="24"/>
          <w:szCs w:val="24"/>
        </w:rPr>
      </w:pPr>
      <w:r w:rsidRPr="006E4CF7">
        <w:rPr>
          <w:rFonts w:ascii="Times New Roman" w:hAnsi="Times New Roman" w:cs="Times New Roman"/>
          <w:sz w:val="24"/>
          <w:szCs w:val="24"/>
        </w:rPr>
        <w:t>Cook, S., Watson, D.</w:t>
      </w:r>
      <w:r w:rsidR="004826A7" w:rsidRPr="006E4CF7">
        <w:rPr>
          <w:rFonts w:ascii="Times New Roman" w:hAnsi="Times New Roman" w:cs="Times New Roman"/>
          <w:sz w:val="24"/>
          <w:szCs w:val="24"/>
        </w:rPr>
        <w:t>, Webb, A.</w:t>
      </w:r>
      <w:r w:rsidRPr="006E4CF7">
        <w:rPr>
          <w:rFonts w:ascii="Times New Roman" w:hAnsi="Times New Roman" w:cs="Times New Roman"/>
          <w:sz w:val="24"/>
          <w:szCs w:val="24"/>
        </w:rPr>
        <w:t xml:space="preserve"> and Webb, R. (2023)</w:t>
      </w:r>
      <w:r w:rsidR="009D3F0A" w:rsidRPr="006E4CF7">
        <w:rPr>
          <w:rFonts w:ascii="Times New Roman" w:hAnsi="Times New Roman" w:cs="Times New Roman"/>
          <w:sz w:val="24"/>
          <w:szCs w:val="24"/>
        </w:rPr>
        <w:t xml:space="preserve">. </w:t>
      </w:r>
      <w:r w:rsidR="004826A7" w:rsidRPr="006E4CF7">
        <w:rPr>
          <w:rFonts w:ascii="Times New Roman" w:hAnsi="Times New Roman" w:cs="Times New Roman"/>
          <w:sz w:val="24"/>
          <w:szCs w:val="24"/>
        </w:rPr>
        <w:t xml:space="preserve">Student dissatisfaction in Higher Education: a ‘fuzzy’ index approach’, </w:t>
      </w:r>
      <w:r w:rsidR="004826A7" w:rsidRPr="006E4CF7">
        <w:rPr>
          <w:rFonts w:ascii="Times New Roman" w:hAnsi="Times New Roman" w:cs="Times New Roman"/>
          <w:i/>
          <w:iCs/>
          <w:sz w:val="24"/>
          <w:szCs w:val="24"/>
        </w:rPr>
        <w:t>Studies in Higher Education</w:t>
      </w:r>
      <w:r w:rsidR="004826A7" w:rsidRPr="006E4CF7">
        <w:rPr>
          <w:rFonts w:ascii="Times New Roman" w:hAnsi="Times New Roman" w:cs="Times New Roman"/>
          <w:sz w:val="24"/>
          <w:szCs w:val="24"/>
        </w:rPr>
        <w:t>, E-Pub ahead of Print.</w:t>
      </w:r>
    </w:p>
    <w:p w14:paraId="1B4C7457" w14:textId="7FB8BDCE" w:rsidR="00BE1CDD" w:rsidRPr="006E4CF7" w:rsidRDefault="00BE1CDD" w:rsidP="00BE1CDD">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Cook, S., Watson, D. and Webb, R. (2024). Performance evaluation in teaching: Dissecting student evaluations in higher education, </w:t>
      </w:r>
      <w:r w:rsidRPr="006E4CF7">
        <w:rPr>
          <w:rFonts w:ascii="Times New Roman" w:hAnsi="Times New Roman" w:cs="Times New Roman"/>
          <w:i/>
          <w:iCs/>
          <w:sz w:val="24"/>
          <w:szCs w:val="24"/>
        </w:rPr>
        <w:t>Studies in Educational Evaluation</w:t>
      </w:r>
      <w:r w:rsidRPr="006E4CF7">
        <w:rPr>
          <w:rFonts w:ascii="Times New Roman" w:hAnsi="Times New Roman" w:cs="Times New Roman"/>
          <w:sz w:val="24"/>
          <w:szCs w:val="24"/>
        </w:rPr>
        <w:t>, 81, 101342.</w:t>
      </w:r>
    </w:p>
    <w:p w14:paraId="7A36C1EA" w14:textId="052C9B3F"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Cranton, P. (2011).  A transformative perspective on the Scholarship of Teaching and Learning,  </w:t>
      </w:r>
      <w:r w:rsidRPr="006E4CF7">
        <w:rPr>
          <w:rFonts w:ascii="Times New Roman" w:hAnsi="Times New Roman" w:cs="Times New Roman"/>
          <w:i/>
          <w:iCs/>
          <w:sz w:val="24"/>
          <w:szCs w:val="24"/>
        </w:rPr>
        <w:t>Higher Education Research and Development</w:t>
      </w:r>
      <w:r w:rsidRPr="006E4CF7">
        <w:rPr>
          <w:rFonts w:ascii="Times New Roman" w:hAnsi="Times New Roman" w:cs="Times New Roman"/>
          <w:sz w:val="24"/>
          <w:szCs w:val="24"/>
        </w:rPr>
        <w:t>, 30: 75-86.</w:t>
      </w:r>
    </w:p>
    <w:p w14:paraId="3AC98742" w14:textId="1C72C686" w:rsidR="00B747E8" w:rsidRPr="006E4CF7" w:rsidRDefault="00B747E8" w:rsidP="00B747E8">
      <w:pPr>
        <w:spacing w:after="120"/>
        <w:jc w:val="both"/>
        <w:rPr>
          <w:rFonts w:ascii="Times New Roman" w:hAnsi="Times New Roman" w:cs="Times New Roman"/>
          <w:sz w:val="24"/>
          <w:szCs w:val="24"/>
        </w:rPr>
      </w:pPr>
      <w:proofErr w:type="spellStart"/>
      <w:r w:rsidRPr="006E4CF7">
        <w:rPr>
          <w:rFonts w:ascii="Times New Roman" w:hAnsi="Times New Roman" w:cs="Times New Roman"/>
          <w:sz w:val="24"/>
          <w:szCs w:val="24"/>
        </w:rPr>
        <w:t>Cretchley</w:t>
      </w:r>
      <w:proofErr w:type="spellEnd"/>
      <w:r w:rsidRPr="006E4CF7">
        <w:rPr>
          <w:rFonts w:ascii="Times New Roman" w:hAnsi="Times New Roman" w:cs="Times New Roman"/>
          <w:sz w:val="24"/>
          <w:szCs w:val="24"/>
        </w:rPr>
        <w:t>, P. Edwards, S. O’Shea, P. Sheard, J. Hurst, J. and Brookes, W. (2014)</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Research and/or learning and teaching: a study of Australian professors’ priorities, beliefs and behaviours</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Higher Education Research and Development</w:t>
      </w:r>
      <w:r w:rsidRPr="006E4CF7">
        <w:rPr>
          <w:rFonts w:ascii="Times New Roman" w:hAnsi="Times New Roman" w:cs="Times New Roman"/>
          <w:sz w:val="24"/>
          <w:szCs w:val="24"/>
        </w:rPr>
        <w:t>, 33(4)</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649-669.</w:t>
      </w:r>
    </w:p>
    <w:p w14:paraId="6056D434" w14:textId="79BF788D"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Degn, L. (2016)</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Academic Sensemaking and Behavioural Responses – Exploring How Academics Perceive and Respond to Identity Threats in Times of Turmoil</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Studies in Higher Education</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43</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2</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305-321</w:t>
      </w:r>
      <w:r w:rsidR="009D3F0A" w:rsidRPr="006E4CF7">
        <w:rPr>
          <w:rFonts w:ascii="Times New Roman" w:hAnsi="Times New Roman" w:cs="Times New Roman"/>
          <w:sz w:val="24"/>
          <w:szCs w:val="24"/>
        </w:rPr>
        <w:t>.</w:t>
      </w:r>
    </w:p>
    <w:p w14:paraId="6EF8655A" w14:textId="224A4775" w:rsidR="00B747E8" w:rsidRPr="006E4CF7" w:rsidRDefault="00B747E8" w:rsidP="00B747E8">
      <w:pPr>
        <w:spacing w:after="120"/>
        <w:jc w:val="both"/>
        <w:rPr>
          <w:rFonts w:ascii="Times New Roman" w:hAnsi="Times New Roman" w:cs="Times New Roman"/>
          <w:sz w:val="24"/>
          <w:szCs w:val="24"/>
        </w:rPr>
      </w:pPr>
      <w:proofErr w:type="spellStart"/>
      <w:r w:rsidRPr="006E4CF7">
        <w:rPr>
          <w:rFonts w:ascii="Times New Roman" w:hAnsi="Times New Roman" w:cs="Times New Roman"/>
          <w:sz w:val="24"/>
          <w:szCs w:val="24"/>
        </w:rPr>
        <w:lastRenderedPageBreak/>
        <w:t>Figlio</w:t>
      </w:r>
      <w:proofErr w:type="spellEnd"/>
      <w:r w:rsidRPr="006E4CF7">
        <w:rPr>
          <w:rFonts w:ascii="Times New Roman" w:hAnsi="Times New Roman" w:cs="Times New Roman"/>
          <w:sz w:val="24"/>
          <w:szCs w:val="24"/>
        </w:rPr>
        <w:t>, D. Rush, M. and Yin, L. (2013)</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Is It Live or Is It Internet? Experimental Estimates of the Effects of Online Instruction on Student Learning</w:t>
      </w:r>
      <w:r w:rsidR="009D3F0A" w:rsidRPr="006E4CF7">
        <w:rPr>
          <w:rFonts w:ascii="Times New Roman" w:hAnsi="Times New Roman" w:cs="Times New Roman"/>
          <w:sz w:val="24"/>
          <w:szCs w:val="24"/>
        </w:rPr>
        <w:t>,</w:t>
      </w:r>
      <w:r w:rsidRPr="006E4CF7">
        <w:t xml:space="preserve"> </w:t>
      </w:r>
      <w:r w:rsidRPr="006E4CF7">
        <w:rPr>
          <w:rFonts w:ascii="Times New Roman" w:hAnsi="Times New Roman" w:cs="Times New Roman"/>
          <w:i/>
          <w:iCs/>
          <w:sz w:val="24"/>
          <w:szCs w:val="24"/>
        </w:rPr>
        <w:t>Journal of Labor Economics</w:t>
      </w:r>
      <w:r w:rsidRPr="006E4CF7">
        <w:rPr>
          <w:rFonts w:ascii="Times New Roman" w:hAnsi="Times New Roman" w:cs="Times New Roman"/>
          <w:sz w:val="24"/>
          <w:szCs w:val="24"/>
        </w:rPr>
        <w:t>, 31</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4</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763-784.</w:t>
      </w:r>
    </w:p>
    <w:p w14:paraId="440B0BD9" w14:textId="11941959" w:rsidR="003124EE" w:rsidRPr="006E4CF7" w:rsidRDefault="003124EE" w:rsidP="003124EE">
      <w:pPr>
        <w:spacing w:after="240"/>
        <w:jc w:val="both"/>
        <w:rPr>
          <w:rFonts w:ascii="Times New Roman" w:hAnsi="Times New Roman" w:cs="Times New Roman"/>
          <w:sz w:val="24"/>
          <w:szCs w:val="24"/>
        </w:rPr>
      </w:pPr>
      <w:proofErr w:type="spellStart"/>
      <w:r w:rsidRPr="006E4CF7">
        <w:rPr>
          <w:rFonts w:ascii="Times New Roman" w:hAnsi="Times New Roman" w:cs="Times New Roman"/>
          <w:sz w:val="24"/>
          <w:szCs w:val="24"/>
        </w:rPr>
        <w:t>Geyskens</w:t>
      </w:r>
      <w:proofErr w:type="spellEnd"/>
      <w:r w:rsidRPr="006E4CF7">
        <w:rPr>
          <w:rFonts w:ascii="Times New Roman" w:hAnsi="Times New Roman" w:cs="Times New Roman"/>
          <w:sz w:val="24"/>
          <w:szCs w:val="24"/>
        </w:rPr>
        <w:t>, I., Steenkamp, J.B. and Kumar, N. (2006), “Make, ally, or buy? A meta-analysis of transaction cost theory”, Academy of Management Journal, Vol. 49 No. 3, pp. 519-543.</w:t>
      </w:r>
    </w:p>
    <w:p w14:paraId="61A0FDBE" w14:textId="76054A94" w:rsidR="00DB6A00" w:rsidRPr="006E4CF7" w:rsidRDefault="00DB6A00"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 xml:space="preserve">Gourley, P. and Madonia, G. (2021). The impact of tenure on faculty course evaluations, </w:t>
      </w:r>
      <w:r w:rsidRPr="006E4CF7">
        <w:rPr>
          <w:rFonts w:ascii="Times New Roman" w:hAnsi="Times New Roman" w:cs="Times New Roman"/>
          <w:i/>
          <w:iCs/>
          <w:sz w:val="24"/>
          <w:szCs w:val="24"/>
        </w:rPr>
        <w:t>Education Economics</w:t>
      </w:r>
      <w:r w:rsidRPr="006E4CF7">
        <w:rPr>
          <w:rFonts w:ascii="Times New Roman" w:hAnsi="Times New Roman" w:cs="Times New Roman"/>
          <w:sz w:val="24"/>
          <w:szCs w:val="24"/>
        </w:rPr>
        <w:t>, 29: 73-104.</w:t>
      </w:r>
    </w:p>
    <w:p w14:paraId="194E0340" w14:textId="2E288660" w:rsidR="0043009F" w:rsidRPr="006E4CF7" w:rsidRDefault="0043009F"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 xml:space="preserve">Gros, B., </w:t>
      </w:r>
      <w:proofErr w:type="spellStart"/>
      <w:r w:rsidRPr="006E4CF7">
        <w:rPr>
          <w:rFonts w:ascii="Times New Roman" w:hAnsi="Times New Roman" w:cs="Times New Roman"/>
          <w:sz w:val="24"/>
          <w:szCs w:val="24"/>
        </w:rPr>
        <w:t>Viader</w:t>
      </w:r>
      <w:proofErr w:type="spellEnd"/>
      <w:r w:rsidRPr="006E4CF7">
        <w:rPr>
          <w:rFonts w:ascii="Times New Roman" w:hAnsi="Times New Roman" w:cs="Times New Roman"/>
          <w:sz w:val="24"/>
          <w:szCs w:val="24"/>
        </w:rPr>
        <w:t xml:space="preserve">, M., Cornet, A., Martínez, M., Palés, J. and Sancho, M. (2020) The Research-Teaching Nexus and Its Influence on Student Learning. </w:t>
      </w:r>
      <w:r w:rsidRPr="006E4CF7">
        <w:rPr>
          <w:rFonts w:ascii="Times New Roman" w:hAnsi="Times New Roman" w:cs="Times New Roman"/>
          <w:i/>
          <w:iCs/>
          <w:sz w:val="24"/>
          <w:szCs w:val="24"/>
        </w:rPr>
        <w:t>International Journal of Higher Education</w:t>
      </w:r>
      <w:r w:rsidR="00D74134" w:rsidRPr="006E4CF7">
        <w:rPr>
          <w:rFonts w:ascii="Times New Roman" w:hAnsi="Times New Roman" w:cs="Times New Roman"/>
          <w:i/>
          <w:iCs/>
          <w:sz w:val="24"/>
          <w:szCs w:val="24"/>
        </w:rPr>
        <w:t xml:space="preserve">. </w:t>
      </w:r>
      <w:r w:rsidRPr="006E4CF7">
        <w:rPr>
          <w:rFonts w:ascii="Times New Roman" w:hAnsi="Times New Roman" w:cs="Times New Roman"/>
          <w:sz w:val="24"/>
          <w:szCs w:val="24"/>
        </w:rPr>
        <w:t>9(3), pp.109-119.</w:t>
      </w:r>
    </w:p>
    <w:p w14:paraId="7B2EF98D" w14:textId="4474EAA4" w:rsidR="0036697B" w:rsidRPr="006E4CF7" w:rsidRDefault="0036697B"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Harland, T</w:t>
      </w:r>
      <w:r w:rsidR="00847959" w:rsidRPr="006E4CF7">
        <w:rPr>
          <w:rFonts w:ascii="Times New Roman" w:hAnsi="Times New Roman" w:cs="Times New Roman"/>
          <w:sz w:val="24"/>
          <w:szCs w:val="24"/>
        </w:rPr>
        <w:t xml:space="preserve">. and Wald, N. </w:t>
      </w:r>
      <w:r w:rsidRPr="006E4CF7">
        <w:rPr>
          <w:rFonts w:ascii="Times New Roman" w:hAnsi="Times New Roman" w:cs="Times New Roman"/>
          <w:sz w:val="24"/>
          <w:szCs w:val="24"/>
        </w:rPr>
        <w:t>(2018)</w:t>
      </w:r>
      <w:r w:rsidR="00847959" w:rsidRPr="006E4CF7">
        <w:rPr>
          <w:rFonts w:ascii="Times New Roman" w:hAnsi="Times New Roman" w:cs="Times New Roman"/>
          <w:sz w:val="24"/>
          <w:szCs w:val="24"/>
        </w:rPr>
        <w:t xml:space="preserve"> Vanilla teaching as a rational choice: the impact of research and compliance on teacher development. </w:t>
      </w:r>
      <w:r w:rsidRPr="006E4CF7">
        <w:rPr>
          <w:rFonts w:ascii="Times New Roman" w:hAnsi="Times New Roman" w:cs="Times New Roman"/>
          <w:i/>
          <w:iCs/>
          <w:sz w:val="24"/>
          <w:szCs w:val="24"/>
        </w:rPr>
        <w:t xml:space="preserve">Teaching </w:t>
      </w:r>
      <w:r w:rsidR="00847959" w:rsidRPr="006E4CF7">
        <w:rPr>
          <w:rFonts w:ascii="Times New Roman" w:hAnsi="Times New Roman" w:cs="Times New Roman"/>
          <w:i/>
          <w:iCs/>
          <w:sz w:val="24"/>
          <w:szCs w:val="24"/>
        </w:rPr>
        <w:t>i</w:t>
      </w:r>
      <w:r w:rsidRPr="006E4CF7">
        <w:rPr>
          <w:rFonts w:ascii="Times New Roman" w:hAnsi="Times New Roman" w:cs="Times New Roman"/>
          <w:i/>
          <w:iCs/>
          <w:sz w:val="24"/>
          <w:szCs w:val="24"/>
        </w:rPr>
        <w:t>n Higher Education.</w:t>
      </w:r>
      <w:r w:rsidRPr="006E4CF7">
        <w:rPr>
          <w:rFonts w:ascii="Times New Roman" w:hAnsi="Times New Roman" w:cs="Times New Roman"/>
          <w:sz w:val="24"/>
          <w:szCs w:val="24"/>
        </w:rPr>
        <w:t xml:space="preserve"> Vol. 23, No. 4</w:t>
      </w:r>
      <w:r w:rsidR="00847959" w:rsidRPr="006E4CF7">
        <w:rPr>
          <w:rFonts w:ascii="Times New Roman" w:hAnsi="Times New Roman" w:cs="Times New Roman"/>
          <w:sz w:val="24"/>
          <w:szCs w:val="24"/>
        </w:rPr>
        <w:t xml:space="preserve">. </w:t>
      </w:r>
      <w:r w:rsidRPr="006E4CF7">
        <w:rPr>
          <w:rFonts w:ascii="Times New Roman" w:hAnsi="Times New Roman" w:cs="Times New Roman"/>
          <w:sz w:val="24"/>
          <w:szCs w:val="24"/>
        </w:rPr>
        <w:t xml:space="preserve"> </w:t>
      </w:r>
      <w:r w:rsidR="00847959" w:rsidRPr="006E4CF7">
        <w:rPr>
          <w:rFonts w:ascii="Times New Roman" w:hAnsi="Times New Roman" w:cs="Times New Roman"/>
          <w:sz w:val="24"/>
          <w:szCs w:val="24"/>
        </w:rPr>
        <w:t xml:space="preserve">pp. </w:t>
      </w:r>
      <w:r w:rsidRPr="006E4CF7">
        <w:rPr>
          <w:rFonts w:ascii="Times New Roman" w:hAnsi="Times New Roman" w:cs="Times New Roman"/>
          <w:sz w:val="24"/>
          <w:szCs w:val="24"/>
        </w:rPr>
        <w:t>419–434</w:t>
      </w:r>
      <w:r w:rsidR="00847959" w:rsidRPr="006E4CF7">
        <w:rPr>
          <w:rFonts w:ascii="Times New Roman" w:hAnsi="Times New Roman" w:cs="Times New Roman"/>
          <w:sz w:val="24"/>
          <w:szCs w:val="24"/>
        </w:rPr>
        <w:t xml:space="preserve">. </w:t>
      </w:r>
      <w:r w:rsidRPr="006E4CF7">
        <w:rPr>
          <w:rFonts w:ascii="Times New Roman" w:hAnsi="Times New Roman" w:cs="Times New Roman"/>
          <w:sz w:val="24"/>
          <w:szCs w:val="24"/>
        </w:rPr>
        <w:t>https://Doi.Org/10.1080/13562517.2017.1395408</w:t>
      </w:r>
    </w:p>
    <w:p w14:paraId="7CA6A4FC" w14:textId="5428991F" w:rsidR="00E07639" w:rsidRPr="006E4CF7" w:rsidRDefault="00E07639"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Harvey, L. (2008, June 12). Jumping through hoops on a white elephant: a survey signifying nothing</w:t>
      </w:r>
      <w:r w:rsidR="00DB6A00" w:rsidRPr="006E4CF7">
        <w:rPr>
          <w:rFonts w:ascii="Times New Roman" w:hAnsi="Times New Roman" w:cs="Times New Roman"/>
          <w:sz w:val="24"/>
          <w:szCs w:val="24"/>
        </w:rPr>
        <w:t>,</w:t>
      </w:r>
      <w:r w:rsidRPr="006E4CF7">
        <w:rPr>
          <w:rFonts w:ascii="Times New Roman" w:hAnsi="Times New Roman" w:cs="Times New Roman"/>
          <w:sz w:val="24"/>
          <w:szCs w:val="24"/>
        </w:rPr>
        <w:t xml:space="preserve"> Times Higher Education, Available online at: </w:t>
      </w:r>
      <w:hyperlink r:id="rId20" w:history="1">
        <w:r w:rsidR="009D3F0A" w:rsidRPr="006E4CF7">
          <w:rPr>
            <w:rStyle w:val="Hyperlink"/>
            <w:rFonts w:ascii="Times New Roman" w:hAnsi="Times New Roman" w:cs="Times New Roman"/>
            <w:color w:val="auto"/>
            <w:sz w:val="24"/>
            <w:szCs w:val="24"/>
          </w:rPr>
          <w:t>http://www.timeshighereducation.co.uk/story.asp?storyCode=402335&amp;sectioncode=26</w:t>
        </w:r>
      </w:hyperlink>
      <w:r w:rsidR="009D3F0A" w:rsidRPr="006E4CF7">
        <w:rPr>
          <w:rFonts w:ascii="Times New Roman" w:hAnsi="Times New Roman" w:cs="Times New Roman"/>
          <w:sz w:val="24"/>
          <w:szCs w:val="24"/>
        </w:rPr>
        <w:t xml:space="preserve"> </w:t>
      </w:r>
    </w:p>
    <w:p w14:paraId="05C2F970" w14:textId="52E0485A" w:rsidR="00B747E8" w:rsidRPr="006E4CF7" w:rsidRDefault="00B747E8" w:rsidP="00B747E8">
      <w:pPr>
        <w:spacing w:after="240"/>
        <w:jc w:val="both"/>
        <w:rPr>
          <w:rFonts w:ascii="Times New Roman" w:hAnsi="Times New Roman" w:cs="Times New Roman"/>
          <w:sz w:val="24"/>
          <w:szCs w:val="24"/>
        </w:rPr>
      </w:pPr>
      <w:proofErr w:type="spellStart"/>
      <w:r w:rsidRPr="006E4CF7">
        <w:rPr>
          <w:rFonts w:ascii="Times New Roman" w:hAnsi="Times New Roman" w:cs="Times New Roman"/>
          <w:sz w:val="24"/>
          <w:szCs w:val="24"/>
        </w:rPr>
        <w:t>Hasanefendic</w:t>
      </w:r>
      <w:proofErr w:type="spellEnd"/>
      <w:r w:rsidRPr="006E4CF7">
        <w:rPr>
          <w:rFonts w:ascii="Times New Roman" w:hAnsi="Times New Roman" w:cs="Times New Roman"/>
          <w:sz w:val="24"/>
          <w:szCs w:val="24"/>
        </w:rPr>
        <w:t xml:space="preserve">, S. </w:t>
      </w:r>
      <w:proofErr w:type="spellStart"/>
      <w:r w:rsidRPr="006E4CF7">
        <w:rPr>
          <w:rFonts w:ascii="Times New Roman" w:hAnsi="Times New Roman" w:cs="Times New Roman"/>
          <w:sz w:val="24"/>
          <w:szCs w:val="24"/>
        </w:rPr>
        <w:t>Birkholzc</w:t>
      </w:r>
      <w:proofErr w:type="spellEnd"/>
      <w:r w:rsidRPr="006E4CF7">
        <w:rPr>
          <w:rFonts w:ascii="Times New Roman" w:hAnsi="Times New Roman" w:cs="Times New Roman"/>
          <w:sz w:val="24"/>
          <w:szCs w:val="24"/>
        </w:rPr>
        <w:t xml:space="preserve">, J. M. Horta, H. and van der </w:t>
      </w:r>
      <w:proofErr w:type="spellStart"/>
      <w:r w:rsidRPr="006E4CF7">
        <w:rPr>
          <w:rFonts w:ascii="Times New Roman" w:hAnsi="Times New Roman" w:cs="Times New Roman"/>
          <w:sz w:val="24"/>
          <w:szCs w:val="24"/>
        </w:rPr>
        <w:t>Sijdea</w:t>
      </w:r>
      <w:proofErr w:type="spellEnd"/>
      <w:r w:rsidRPr="006E4CF7">
        <w:rPr>
          <w:rFonts w:ascii="Times New Roman" w:hAnsi="Times New Roman" w:cs="Times New Roman"/>
          <w:sz w:val="24"/>
          <w:szCs w:val="24"/>
        </w:rPr>
        <w:t>, P. (2017)</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Individuals in action: bringing about innovation in higher educatio</w:t>
      </w:r>
      <w:r w:rsidR="009D3F0A" w:rsidRPr="006E4CF7">
        <w:rPr>
          <w:rFonts w:ascii="Times New Roman" w:hAnsi="Times New Roman" w:cs="Times New Roman"/>
          <w:sz w:val="24"/>
          <w:szCs w:val="24"/>
        </w:rPr>
        <w:t>n,</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European Journal of Higher Education</w:t>
      </w:r>
      <w:r w:rsidRPr="006E4CF7">
        <w:rPr>
          <w:rFonts w:ascii="Times New Roman" w:hAnsi="Times New Roman" w:cs="Times New Roman"/>
          <w:sz w:val="24"/>
          <w:szCs w:val="24"/>
        </w:rPr>
        <w:t>, 7</w:t>
      </w:r>
      <w:r w:rsidR="00F0380D" w:rsidRPr="006E4CF7">
        <w:rPr>
          <w:rFonts w:ascii="Times New Roman" w:hAnsi="Times New Roman" w:cs="Times New Roman"/>
          <w:sz w:val="24"/>
          <w:szCs w:val="24"/>
        </w:rPr>
        <w:t>(</w:t>
      </w:r>
      <w:r w:rsidRPr="006E4CF7">
        <w:rPr>
          <w:rFonts w:ascii="Times New Roman" w:hAnsi="Times New Roman" w:cs="Times New Roman"/>
          <w:sz w:val="24"/>
          <w:szCs w:val="24"/>
        </w:rPr>
        <w:t>2</w:t>
      </w:r>
      <w:r w:rsidR="00F0380D" w:rsidRPr="006E4CF7">
        <w:rPr>
          <w:rFonts w:ascii="Times New Roman" w:hAnsi="Times New Roman" w:cs="Times New Roman"/>
          <w:sz w:val="24"/>
          <w:szCs w:val="24"/>
        </w:rPr>
        <w:t xml:space="preserve">): </w:t>
      </w:r>
      <w:r w:rsidRPr="006E4CF7">
        <w:rPr>
          <w:rFonts w:ascii="Times New Roman" w:hAnsi="Times New Roman" w:cs="Times New Roman"/>
          <w:sz w:val="24"/>
          <w:szCs w:val="24"/>
        </w:rPr>
        <w:t>101–119.</w:t>
      </w:r>
    </w:p>
    <w:p w14:paraId="270F4A98" w14:textId="51C6635D" w:rsidR="00F0380D" w:rsidRPr="006E4CF7" w:rsidRDefault="00F0380D" w:rsidP="00F0380D">
      <w:pPr>
        <w:spacing w:after="240"/>
        <w:jc w:val="both"/>
        <w:rPr>
          <w:rFonts w:ascii="Times New Roman" w:hAnsi="Times New Roman" w:cs="Times New Roman"/>
          <w:sz w:val="24"/>
          <w:szCs w:val="24"/>
        </w:rPr>
      </w:pPr>
      <w:r w:rsidRPr="006E4CF7">
        <w:rPr>
          <w:rFonts w:ascii="Times New Roman" w:hAnsi="Times New Roman" w:cs="Times New Roman"/>
          <w:sz w:val="24"/>
          <w:szCs w:val="24"/>
        </w:rPr>
        <w:t>Hay, D.B. and Weller, S. and Ashton, K. (2015)</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 xml:space="preserve">Researcher led teaching: embodiment of academic practice, </w:t>
      </w:r>
      <w:r w:rsidRPr="006E4CF7">
        <w:rPr>
          <w:rFonts w:ascii="Times New Roman" w:hAnsi="Times New Roman" w:cs="Times New Roman"/>
          <w:i/>
          <w:iCs/>
          <w:sz w:val="24"/>
          <w:szCs w:val="24"/>
        </w:rPr>
        <w:t>Higher Education Review</w:t>
      </w:r>
      <w:r w:rsidRPr="006E4CF7">
        <w:rPr>
          <w:rFonts w:ascii="Times New Roman" w:hAnsi="Times New Roman" w:cs="Times New Roman"/>
          <w:sz w:val="24"/>
          <w:szCs w:val="24"/>
        </w:rPr>
        <w:t xml:space="preserve">, 4(1): 25-39. </w:t>
      </w:r>
    </w:p>
    <w:p w14:paraId="10F37278" w14:textId="0B425B83" w:rsidR="00DB6A00" w:rsidRPr="006E4CF7" w:rsidRDefault="00DB6A00"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Heffernan, T. (2022). Sexism, racism, prejudice, and bias: a literature review and synthesis of research surrounding student evaluations of courses and teaching, Assessment and Evaluation in Higher Education, 47: 144-154.</w:t>
      </w:r>
    </w:p>
    <w:p w14:paraId="30933E97" w14:textId="07C54F12" w:rsidR="00B16DA3" w:rsidRPr="006E4CF7" w:rsidRDefault="00B16DA3"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 xml:space="preserve">HESA (2022) ‘Income of HE providers by location, category and academic year (£ millions)’ </w:t>
      </w:r>
      <w:hyperlink r:id="rId21" w:history="1">
        <w:r w:rsidR="00B82D6A" w:rsidRPr="006E4CF7">
          <w:rPr>
            <w:rStyle w:val="Hyperlink"/>
            <w:rFonts w:ascii="Times New Roman" w:hAnsi="Times New Roman" w:cs="Times New Roman"/>
            <w:color w:val="auto"/>
            <w:sz w:val="24"/>
            <w:szCs w:val="24"/>
          </w:rPr>
          <w:t>https://www.hesa.ac.uk/data-and-analysis/finances/chart-1</w:t>
        </w:r>
      </w:hyperlink>
    </w:p>
    <w:p w14:paraId="7F4A0824" w14:textId="0F2F813A" w:rsidR="00B82D6A" w:rsidRPr="006E4CF7" w:rsidRDefault="00B82D6A"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HESA</w:t>
      </w:r>
      <w:r w:rsidR="0002369B" w:rsidRPr="006E4CF7">
        <w:rPr>
          <w:rFonts w:ascii="Times New Roman" w:hAnsi="Times New Roman" w:cs="Times New Roman"/>
          <w:sz w:val="24"/>
          <w:szCs w:val="24"/>
        </w:rPr>
        <w:t xml:space="preserve"> (2024) ‘Higher Education Staff Statistics: UK, 2021/22’</w:t>
      </w:r>
      <w:r w:rsidR="00D256EE" w:rsidRPr="006E4CF7">
        <w:t xml:space="preserve"> </w:t>
      </w:r>
      <w:hyperlink r:id="rId22" w:history="1">
        <w:r w:rsidR="00D256EE" w:rsidRPr="006E4CF7">
          <w:rPr>
            <w:rStyle w:val="Hyperlink"/>
            <w:rFonts w:ascii="Times New Roman" w:hAnsi="Times New Roman" w:cs="Times New Roman"/>
            <w:color w:val="auto"/>
            <w:sz w:val="24"/>
            <w:szCs w:val="24"/>
          </w:rPr>
          <w:t>https://www.hesa.ac.uk/news/17-01-2023/sb264-higher-education-staff-statistics</w:t>
        </w:r>
      </w:hyperlink>
    </w:p>
    <w:p w14:paraId="6CAF58B4" w14:textId="644B1C8D" w:rsidR="00E07639" w:rsidRPr="006E4CF7" w:rsidRDefault="00E07639" w:rsidP="00B747E8">
      <w:pPr>
        <w:spacing w:after="240"/>
        <w:jc w:val="both"/>
        <w:rPr>
          <w:rFonts w:ascii="Times New Roman" w:hAnsi="Times New Roman" w:cs="Times New Roman"/>
          <w:sz w:val="24"/>
          <w:szCs w:val="24"/>
        </w:rPr>
      </w:pPr>
      <w:r w:rsidRPr="006E4CF7">
        <w:rPr>
          <w:rFonts w:ascii="Times New Roman" w:hAnsi="Times New Roman" w:cs="Times New Roman"/>
          <w:sz w:val="24"/>
          <w:szCs w:val="24"/>
        </w:rPr>
        <w:t>Langan, A.M., Dunleavy P., and Fielding A. 2013. Applying Models to National Surveys of Undergraduate Science Students: What Affects Ratings of Satisfaction?</w:t>
      </w:r>
      <w:r w:rsidR="009D3F0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Education Sciences</w:t>
      </w:r>
      <w:r w:rsidR="009D3F0A" w:rsidRPr="006E4CF7">
        <w:rPr>
          <w:rFonts w:ascii="Times New Roman" w:hAnsi="Times New Roman" w:cs="Times New Roman"/>
          <w:sz w:val="24"/>
          <w:szCs w:val="24"/>
        </w:rPr>
        <w:t xml:space="preserve">, </w:t>
      </w:r>
      <w:r w:rsidRPr="006E4CF7">
        <w:rPr>
          <w:rFonts w:ascii="Times New Roman" w:hAnsi="Times New Roman" w:cs="Times New Roman"/>
          <w:sz w:val="24"/>
          <w:szCs w:val="24"/>
        </w:rPr>
        <w:t>3(2): 193–207.</w:t>
      </w:r>
    </w:p>
    <w:p w14:paraId="083839F4" w14:textId="5949FC5E" w:rsidR="0012324E" w:rsidRPr="006E4CF7" w:rsidRDefault="0012324E"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Lenton, P. (2015). Determining student satisfaction: An economic analysis of the National Student Survey, Economics of Education Review, 47: 118-127.</w:t>
      </w:r>
    </w:p>
    <w:p w14:paraId="698CB781" w14:textId="6133A585" w:rsidR="008E004D" w:rsidRPr="006E4CF7" w:rsidRDefault="008E004D" w:rsidP="008E004D">
      <w:pPr>
        <w:spacing w:after="120"/>
        <w:jc w:val="both"/>
        <w:rPr>
          <w:rFonts w:ascii="Times New Roman" w:hAnsi="Times New Roman" w:cs="Times New Roman"/>
          <w:sz w:val="24"/>
          <w:szCs w:val="24"/>
        </w:rPr>
      </w:pPr>
      <w:proofErr w:type="spellStart"/>
      <w:r w:rsidRPr="006E4CF7">
        <w:rPr>
          <w:rFonts w:ascii="Times New Roman" w:hAnsi="Times New Roman" w:cs="Times New Roman"/>
          <w:sz w:val="24"/>
          <w:szCs w:val="24"/>
        </w:rPr>
        <w:t>Lichtenthaler</w:t>
      </w:r>
      <w:proofErr w:type="spellEnd"/>
      <w:r w:rsidRPr="006E4CF7">
        <w:rPr>
          <w:rFonts w:ascii="Times New Roman" w:hAnsi="Times New Roman" w:cs="Times New Roman"/>
          <w:sz w:val="24"/>
          <w:szCs w:val="24"/>
        </w:rPr>
        <w:t xml:space="preserve">, U. and </w:t>
      </w:r>
      <w:proofErr w:type="spellStart"/>
      <w:r w:rsidRPr="006E4CF7">
        <w:rPr>
          <w:rFonts w:ascii="Times New Roman" w:hAnsi="Times New Roman" w:cs="Times New Roman"/>
          <w:sz w:val="24"/>
          <w:szCs w:val="24"/>
        </w:rPr>
        <w:t>Lichtenthaler</w:t>
      </w:r>
      <w:proofErr w:type="spellEnd"/>
      <w:r w:rsidRPr="006E4CF7">
        <w:rPr>
          <w:rFonts w:ascii="Times New Roman" w:hAnsi="Times New Roman" w:cs="Times New Roman"/>
          <w:sz w:val="24"/>
          <w:szCs w:val="24"/>
        </w:rPr>
        <w:t>, E. (2009). “A capability-based framework for open innovation: complementing absorptive capacity”, Journal of Management Studies, Vol. 46 No. 8, pp. 1315-1338.</w:t>
      </w:r>
    </w:p>
    <w:p w14:paraId="56078CD6" w14:textId="3904004F"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Linse, A. (2017). Interpreting and using student ratings data: Guidance for faculty serving as administrators and on evaluation committees, </w:t>
      </w:r>
      <w:r w:rsidRPr="006E4CF7">
        <w:rPr>
          <w:rFonts w:ascii="Times New Roman" w:hAnsi="Times New Roman" w:cs="Times New Roman"/>
          <w:i/>
          <w:iCs/>
          <w:sz w:val="24"/>
          <w:szCs w:val="24"/>
        </w:rPr>
        <w:t>Studies in Educational Evaluation</w:t>
      </w:r>
      <w:r w:rsidRPr="006E4CF7">
        <w:rPr>
          <w:rFonts w:ascii="Times New Roman" w:hAnsi="Times New Roman" w:cs="Times New Roman"/>
          <w:sz w:val="24"/>
          <w:szCs w:val="24"/>
        </w:rPr>
        <w:t>, 54: 94-106.</w:t>
      </w:r>
    </w:p>
    <w:p w14:paraId="15064E8A" w14:textId="7DE43C16" w:rsidR="009D623F" w:rsidRPr="006E4CF7" w:rsidRDefault="009D623F"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Lucas, L. 2006. The Research Game in Academic Life. McGraw-Hill Education (UK).</w:t>
      </w:r>
    </w:p>
    <w:p w14:paraId="29E9C18F" w14:textId="70FC2AE4" w:rsidR="00795152" w:rsidRPr="006E4CF7" w:rsidRDefault="00795152"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lastRenderedPageBreak/>
        <w:t>Macfarlane, B. (2021)</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The spirit of research</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Oxford Review of Education</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47</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737-751.</w:t>
      </w:r>
    </w:p>
    <w:p w14:paraId="18F89240" w14:textId="4462681D" w:rsidR="00F5208A" w:rsidRPr="006E4CF7" w:rsidRDefault="00F5208A"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McKinley, J., McIntosh, S., Milligan, L. and Mikołajewska, A., 2021. Eyes on the enterprise: Problematising the concept of a teaching-research nexus in UK higher education. Higher Education, 81(5), pp.1023-1041.</w:t>
      </w:r>
    </w:p>
    <w:p w14:paraId="1D36059F" w14:textId="7765D711" w:rsidR="00581906" w:rsidRPr="006E4CF7" w:rsidRDefault="00581906"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McIntosh, S., McKinley, J., Milligan, L. O. &amp; Mikolajewska, A. </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2022</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Issues of (in) visibility and compromise in academic work in UK universities</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Studies in Higher Education</w:t>
      </w:r>
      <w:r w:rsidRPr="006E4CF7">
        <w:rPr>
          <w:rFonts w:ascii="Times New Roman" w:hAnsi="Times New Roman" w:cs="Times New Roman"/>
          <w:sz w:val="24"/>
          <w:szCs w:val="24"/>
        </w:rPr>
        <w:t>, 47(6), 1057-1068.</w:t>
      </w:r>
    </w:p>
    <w:p w14:paraId="636BCFC6" w14:textId="6313B94A"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National Committee of Inquiry into Higher Education (1997). Higher Education in the Learning Society [The Dearing Report]. London, HMSO.</w:t>
      </w:r>
    </w:p>
    <w:p w14:paraId="14323A48" w14:textId="19F38548" w:rsidR="00240256" w:rsidRPr="006E4CF7" w:rsidRDefault="00240256" w:rsidP="00B747E8">
      <w:pPr>
        <w:spacing w:after="120"/>
        <w:jc w:val="both"/>
        <w:rPr>
          <w:rFonts w:ascii="Times New Roman" w:hAnsi="Times New Roman" w:cs="Times New Roman"/>
          <w:sz w:val="24"/>
          <w:szCs w:val="24"/>
        </w:rPr>
      </w:pPr>
      <w:proofErr w:type="spellStart"/>
      <w:r w:rsidRPr="006E4CF7">
        <w:rPr>
          <w:rFonts w:ascii="Times New Roman" w:hAnsi="Times New Roman" w:cs="Times New Roman"/>
          <w:sz w:val="24"/>
          <w:szCs w:val="24"/>
        </w:rPr>
        <w:t>Obexer</w:t>
      </w:r>
      <w:proofErr w:type="spellEnd"/>
      <w:r w:rsidRPr="006E4CF7">
        <w:rPr>
          <w:rFonts w:ascii="Times New Roman" w:hAnsi="Times New Roman" w:cs="Times New Roman"/>
          <w:sz w:val="24"/>
          <w:szCs w:val="24"/>
        </w:rPr>
        <w:t>, R. (2022). Lost in third space: Identity work of a “blended professional” in higher education. Studies in Technology Enhanced Learning, 2(3). https://doi.org/10.21428/8c225f6e.14771617</w:t>
      </w:r>
    </w:p>
    <w:p w14:paraId="5EBC4DEB" w14:textId="4FFD3BE4" w:rsidR="002E3255" w:rsidRPr="006E4CF7" w:rsidRDefault="002E3255" w:rsidP="002E3255">
      <w:pPr>
        <w:spacing w:after="120"/>
        <w:jc w:val="both"/>
        <w:rPr>
          <w:rFonts w:ascii="Times New Roman" w:hAnsi="Times New Roman" w:cs="Times New Roman"/>
          <w:sz w:val="24"/>
          <w:szCs w:val="24"/>
        </w:rPr>
      </w:pPr>
      <w:r w:rsidRPr="006E4CF7">
        <w:rPr>
          <w:rFonts w:ascii="Times New Roman" w:hAnsi="Times New Roman" w:cs="Times New Roman"/>
          <w:sz w:val="24"/>
          <w:szCs w:val="24"/>
        </w:rPr>
        <w:t>Odagiri, H. (2003), “Transaction costs and capabilities as determinants of the R&amp;D boundaries of the firm: a case study of the ten largest pharmaceutical firms in Japan”, Managerial and Decision Economics,  Vol. 24 Nos 2/3, pp. 187-211.</w:t>
      </w:r>
    </w:p>
    <w:p w14:paraId="11856DE6" w14:textId="1EE1FD3A"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O’Meara, K., A. L. </w:t>
      </w:r>
      <w:proofErr w:type="spellStart"/>
      <w:r w:rsidRPr="006E4CF7">
        <w:rPr>
          <w:rFonts w:ascii="Times New Roman" w:hAnsi="Times New Roman" w:cs="Times New Roman"/>
          <w:sz w:val="24"/>
          <w:szCs w:val="24"/>
        </w:rPr>
        <w:t>Terosky</w:t>
      </w:r>
      <w:proofErr w:type="spellEnd"/>
      <w:r w:rsidRPr="006E4CF7">
        <w:rPr>
          <w:rFonts w:ascii="Times New Roman" w:hAnsi="Times New Roman" w:cs="Times New Roman"/>
          <w:sz w:val="24"/>
          <w:szCs w:val="24"/>
        </w:rPr>
        <w:t xml:space="preserve">, and A. Neumann. </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2008</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Faculty Careers and Work Lives: A Professional Growth Perspective</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ASHE Higher Education Report</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34(3): 1–221. San Francisco: Jossey-Bass.</w:t>
      </w:r>
    </w:p>
    <w:p w14:paraId="46D5BA4A" w14:textId="1CE805A0"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Riordan, M. and Williamson, O. (1985). Asset Specificity and Economic Organization, </w:t>
      </w:r>
      <w:r w:rsidRPr="006E4CF7">
        <w:rPr>
          <w:rFonts w:ascii="Times New Roman" w:hAnsi="Times New Roman" w:cs="Times New Roman"/>
          <w:i/>
          <w:iCs/>
          <w:sz w:val="24"/>
          <w:szCs w:val="24"/>
        </w:rPr>
        <w:t>International Journal of Industrial Organization</w:t>
      </w:r>
      <w:r w:rsidR="00535B4A" w:rsidRPr="006E4CF7">
        <w:rPr>
          <w:rFonts w:ascii="Times New Roman" w:hAnsi="Times New Roman" w:cs="Times New Roman"/>
          <w:i/>
          <w:iCs/>
          <w:sz w:val="24"/>
          <w:szCs w:val="24"/>
        </w:rPr>
        <w:t>,</w:t>
      </w:r>
      <w:r w:rsidRPr="006E4CF7">
        <w:rPr>
          <w:rFonts w:ascii="Times New Roman" w:hAnsi="Times New Roman" w:cs="Times New Roman"/>
          <w:sz w:val="24"/>
          <w:szCs w:val="24"/>
        </w:rPr>
        <w:t xml:space="preserve"> 3</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365-378.</w:t>
      </w:r>
    </w:p>
    <w:p w14:paraId="6F5CE473" w14:textId="40D2290A" w:rsidR="00E23305" w:rsidRPr="006E4CF7" w:rsidRDefault="00E23305" w:rsidP="00B747E8">
      <w:pPr>
        <w:spacing w:after="120"/>
        <w:jc w:val="both"/>
        <w:rPr>
          <w:rFonts w:ascii="Times New Roman" w:hAnsi="Times New Roman" w:cs="Times New Roman"/>
          <w:sz w:val="24"/>
          <w:szCs w:val="24"/>
        </w:rPr>
      </w:pPr>
      <w:proofErr w:type="spellStart"/>
      <w:r w:rsidRPr="006E4CF7">
        <w:rPr>
          <w:rFonts w:ascii="Times New Roman" w:hAnsi="Times New Roman" w:cs="Times New Roman"/>
          <w:sz w:val="24"/>
          <w:szCs w:val="24"/>
        </w:rPr>
        <w:t>Sidorkin</w:t>
      </w:r>
      <w:proofErr w:type="spellEnd"/>
      <w:r w:rsidRPr="006E4CF7">
        <w:rPr>
          <w:rFonts w:ascii="Times New Roman" w:hAnsi="Times New Roman" w:cs="Times New Roman"/>
          <w:sz w:val="24"/>
          <w:szCs w:val="24"/>
        </w:rPr>
        <w:t>, A.M. 2012. Mad Hatters, Jackbooted Managers, and the Massification of Higher Education. Educational Theory, 62: 487-500.</w:t>
      </w:r>
    </w:p>
    <w:p w14:paraId="73FB6F21" w14:textId="673E45D0"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Smith, S. and Walker, D. (2024). Scholarship and academic capitals: the </w:t>
      </w:r>
      <w:proofErr w:type="spellStart"/>
      <w:r w:rsidRPr="006E4CF7">
        <w:rPr>
          <w:rFonts w:ascii="Times New Roman" w:hAnsi="Times New Roman" w:cs="Times New Roman"/>
          <w:sz w:val="24"/>
          <w:szCs w:val="24"/>
        </w:rPr>
        <w:t>boundaried</w:t>
      </w:r>
      <w:proofErr w:type="spellEnd"/>
      <w:r w:rsidRPr="006E4CF7">
        <w:rPr>
          <w:rFonts w:ascii="Times New Roman" w:hAnsi="Times New Roman" w:cs="Times New Roman"/>
          <w:sz w:val="24"/>
          <w:szCs w:val="24"/>
        </w:rPr>
        <w:t xml:space="preserve"> nature of education-focused career tracks, </w:t>
      </w:r>
      <w:r w:rsidRPr="006E4CF7">
        <w:rPr>
          <w:rFonts w:ascii="Times New Roman" w:hAnsi="Times New Roman" w:cs="Times New Roman"/>
          <w:i/>
          <w:iCs/>
          <w:sz w:val="24"/>
          <w:szCs w:val="24"/>
        </w:rPr>
        <w:t>Teaching in Higher Education</w:t>
      </w:r>
      <w:r w:rsidRPr="006E4CF7">
        <w:rPr>
          <w:rFonts w:ascii="Times New Roman" w:hAnsi="Times New Roman" w:cs="Times New Roman"/>
          <w:sz w:val="24"/>
          <w:szCs w:val="24"/>
        </w:rPr>
        <w:t>, 29(1): 111-125.</w:t>
      </w:r>
    </w:p>
    <w:p w14:paraId="74CD3C12" w14:textId="0BBA3120" w:rsidR="00DB6A00" w:rsidRPr="006E4CF7" w:rsidRDefault="00DB6A00"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Stroebe, W. (2020). Student evaluations of teaching encourages poor teaching and contributes to grade inflation: A theoretical and empirical analysis, </w:t>
      </w:r>
      <w:r w:rsidRPr="006E4CF7">
        <w:rPr>
          <w:rFonts w:ascii="Times New Roman" w:hAnsi="Times New Roman" w:cs="Times New Roman"/>
          <w:i/>
          <w:iCs/>
          <w:sz w:val="24"/>
          <w:szCs w:val="24"/>
        </w:rPr>
        <w:t>Basic and Applied Social Psychology</w:t>
      </w:r>
      <w:r w:rsidRPr="006E4CF7">
        <w:rPr>
          <w:rFonts w:ascii="Times New Roman" w:hAnsi="Times New Roman" w:cs="Times New Roman"/>
          <w:sz w:val="24"/>
          <w:szCs w:val="24"/>
        </w:rPr>
        <w:t>, 42: 276-294.</w:t>
      </w:r>
    </w:p>
    <w:p w14:paraId="46ADA954" w14:textId="0E428FA2" w:rsidR="00BF0F3D" w:rsidRPr="006E4CF7" w:rsidRDefault="00BF0F3D"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Tight, M. (2018). Tracking the scholarship of teaching and learning. Policy Reviews in Higher Education, 2(1), 61-78.</w:t>
      </w:r>
    </w:p>
    <w:p w14:paraId="6C594FCF" w14:textId="7FF4FE50" w:rsidR="005B7DD3" w:rsidRPr="006E4CF7" w:rsidRDefault="005B7DD3"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Vardia, I. and Quin, R. (2011). Promotion and the scholarship of teaching and learning,  </w:t>
      </w:r>
      <w:r w:rsidRPr="006E4CF7">
        <w:rPr>
          <w:rFonts w:ascii="Times New Roman" w:hAnsi="Times New Roman" w:cs="Times New Roman"/>
          <w:i/>
          <w:iCs/>
          <w:sz w:val="24"/>
          <w:szCs w:val="24"/>
        </w:rPr>
        <w:t>Higher Education Research and Development</w:t>
      </w:r>
      <w:r w:rsidRPr="006E4CF7">
        <w:rPr>
          <w:rFonts w:ascii="Times New Roman" w:hAnsi="Times New Roman" w:cs="Times New Roman"/>
          <w:sz w:val="24"/>
          <w:szCs w:val="24"/>
        </w:rPr>
        <w:t>, 30: 39-49.</w:t>
      </w:r>
    </w:p>
    <w:p w14:paraId="3C41AE05" w14:textId="7B7FAE94"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Van Note Chism, N. (2006). Teaching Awards: What Do They Award?</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The Journal of Higher Education</w:t>
      </w:r>
      <w:r w:rsidRPr="006E4CF7">
        <w:rPr>
          <w:rFonts w:ascii="Times New Roman" w:hAnsi="Times New Roman" w:cs="Times New Roman"/>
          <w:sz w:val="24"/>
          <w:szCs w:val="24"/>
        </w:rPr>
        <w:t>, 77</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589-617.</w:t>
      </w:r>
    </w:p>
    <w:p w14:paraId="46F6754D" w14:textId="319C9AEC" w:rsidR="00E07639" w:rsidRPr="006E4CF7" w:rsidRDefault="00E07639"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Vaughan, D. and Yorke, M. 2009. ‘I Can’t Believe It’s Not Better’: The Paradox of NSS Scores for Art &amp; Design. York: Higher Education Academy. </w:t>
      </w:r>
      <w:hyperlink r:id="rId23" w:history="1">
        <w:r w:rsidRPr="006E4CF7">
          <w:rPr>
            <w:rStyle w:val="Hyperlink"/>
            <w:rFonts w:ascii="Times New Roman" w:hAnsi="Times New Roman" w:cs="Times New Roman"/>
            <w:color w:val="auto"/>
            <w:sz w:val="24"/>
            <w:szCs w:val="24"/>
          </w:rPr>
          <w:t>https://www.heacademy.ac.uk/system/files/NSS-Report.pdf</w:t>
        </w:r>
      </w:hyperlink>
      <w:r w:rsidRPr="006E4CF7">
        <w:rPr>
          <w:rFonts w:ascii="Times New Roman" w:hAnsi="Times New Roman" w:cs="Times New Roman"/>
          <w:sz w:val="24"/>
          <w:szCs w:val="24"/>
        </w:rPr>
        <w:t xml:space="preserve"> </w:t>
      </w:r>
    </w:p>
    <w:p w14:paraId="34887ED2" w14:textId="602D342F" w:rsidR="00506B6F" w:rsidRPr="006E4CF7" w:rsidRDefault="00506B6F"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Whitchurch, C. (2009). The rise of the blended professional in higher education: a comparison between the United Kingdom, Australia and the United States. Higher Education, 58(3), 407–418. https://doi.org/10.1007/s10734-009-9202-4</w:t>
      </w:r>
    </w:p>
    <w:p w14:paraId="52BF53D4" w14:textId="7AFDF86A" w:rsidR="006512B3" w:rsidRPr="006E4CF7" w:rsidRDefault="006512B3"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White S, White S, Borthwick K.</w:t>
      </w:r>
      <w:r w:rsidR="0006623E" w:rsidRPr="006E4CF7">
        <w:rPr>
          <w:rFonts w:ascii="Times New Roman" w:hAnsi="Times New Roman" w:cs="Times New Roman"/>
          <w:sz w:val="24"/>
          <w:szCs w:val="24"/>
        </w:rPr>
        <w:t xml:space="preserve"> (2021)</w:t>
      </w:r>
      <w:r w:rsidRPr="006E4CF7">
        <w:rPr>
          <w:rFonts w:ascii="Times New Roman" w:hAnsi="Times New Roman" w:cs="Times New Roman"/>
          <w:sz w:val="24"/>
          <w:szCs w:val="24"/>
        </w:rPr>
        <w:t xml:space="preserve"> Blended professionals, technology and online</w:t>
      </w:r>
      <w:r w:rsidR="00436B22" w:rsidRPr="006E4CF7">
        <w:rPr>
          <w:rFonts w:ascii="Times New Roman" w:hAnsi="Times New Roman" w:cs="Times New Roman"/>
          <w:sz w:val="24"/>
          <w:szCs w:val="24"/>
        </w:rPr>
        <w:t xml:space="preserve"> </w:t>
      </w:r>
      <w:r w:rsidRPr="006E4CF7">
        <w:rPr>
          <w:rFonts w:ascii="Times New Roman" w:hAnsi="Times New Roman" w:cs="Times New Roman"/>
          <w:sz w:val="24"/>
          <w:szCs w:val="24"/>
        </w:rPr>
        <w:t xml:space="preserve">learning: Identifying a socio-technical third space in higher education. </w:t>
      </w:r>
      <w:r w:rsidRPr="006E4CF7">
        <w:rPr>
          <w:rFonts w:ascii="Times New Roman" w:hAnsi="Times New Roman" w:cs="Times New Roman"/>
          <w:i/>
          <w:iCs/>
          <w:sz w:val="24"/>
          <w:szCs w:val="24"/>
        </w:rPr>
        <w:t>Higher Educ</w:t>
      </w:r>
      <w:r w:rsidR="00436B22" w:rsidRPr="006E4CF7">
        <w:rPr>
          <w:rFonts w:ascii="Times New Roman" w:hAnsi="Times New Roman" w:cs="Times New Roman"/>
          <w:i/>
          <w:iCs/>
          <w:sz w:val="24"/>
          <w:szCs w:val="24"/>
        </w:rPr>
        <w:t>ation</w:t>
      </w:r>
      <w:r w:rsidRPr="006E4CF7">
        <w:rPr>
          <w:rFonts w:ascii="Times New Roman" w:hAnsi="Times New Roman" w:cs="Times New Roman"/>
          <w:i/>
          <w:iCs/>
          <w:sz w:val="24"/>
          <w:szCs w:val="24"/>
        </w:rPr>
        <w:t xml:space="preserve"> Q</w:t>
      </w:r>
      <w:r w:rsidR="00436B22" w:rsidRPr="006E4CF7">
        <w:rPr>
          <w:rFonts w:ascii="Times New Roman" w:hAnsi="Times New Roman" w:cs="Times New Roman"/>
          <w:i/>
          <w:iCs/>
          <w:sz w:val="24"/>
          <w:szCs w:val="24"/>
        </w:rPr>
        <w:t>uarterly</w:t>
      </w:r>
      <w:r w:rsidR="0006623E" w:rsidRPr="006E4CF7">
        <w:rPr>
          <w:rFonts w:ascii="Times New Roman" w:hAnsi="Times New Roman" w:cs="Times New Roman"/>
          <w:i/>
          <w:iCs/>
          <w:sz w:val="24"/>
          <w:szCs w:val="24"/>
        </w:rPr>
        <w:t>.</w:t>
      </w:r>
      <w:r w:rsidR="0006623E" w:rsidRPr="006E4CF7">
        <w:rPr>
          <w:rFonts w:ascii="Times New Roman" w:hAnsi="Times New Roman" w:cs="Times New Roman"/>
          <w:sz w:val="24"/>
          <w:szCs w:val="24"/>
        </w:rPr>
        <w:t xml:space="preserve">  Vol. </w:t>
      </w:r>
      <w:r w:rsidRPr="006E4CF7">
        <w:rPr>
          <w:rFonts w:ascii="Times New Roman" w:hAnsi="Times New Roman" w:cs="Times New Roman"/>
          <w:sz w:val="24"/>
          <w:szCs w:val="24"/>
        </w:rPr>
        <w:t>75</w:t>
      </w:r>
      <w:r w:rsidR="0006623E" w:rsidRPr="006E4CF7">
        <w:rPr>
          <w:rFonts w:ascii="Times New Roman" w:hAnsi="Times New Roman" w:cs="Times New Roman"/>
          <w:sz w:val="24"/>
          <w:szCs w:val="24"/>
        </w:rPr>
        <w:t>. pp</w:t>
      </w:r>
      <w:r w:rsidRPr="006E4CF7">
        <w:rPr>
          <w:rFonts w:ascii="Times New Roman" w:hAnsi="Times New Roman" w:cs="Times New Roman"/>
          <w:sz w:val="24"/>
          <w:szCs w:val="24"/>
        </w:rPr>
        <w:t>161–174.</w:t>
      </w:r>
      <w:r w:rsidR="0006623E" w:rsidRPr="006E4CF7">
        <w:rPr>
          <w:rFonts w:ascii="Times New Roman" w:hAnsi="Times New Roman" w:cs="Times New Roman"/>
          <w:sz w:val="24"/>
          <w:szCs w:val="24"/>
        </w:rPr>
        <w:t xml:space="preserve"> </w:t>
      </w:r>
      <w:hyperlink r:id="rId24" w:history="1">
        <w:r w:rsidR="0006623E" w:rsidRPr="006E4CF7">
          <w:rPr>
            <w:rStyle w:val="Hyperlink"/>
            <w:rFonts w:ascii="Times New Roman" w:hAnsi="Times New Roman" w:cs="Times New Roman"/>
            <w:color w:val="auto"/>
            <w:sz w:val="24"/>
            <w:szCs w:val="24"/>
          </w:rPr>
          <w:t>https://doi.org/10.1111/hequ.12252</w:t>
        </w:r>
      </w:hyperlink>
    </w:p>
    <w:p w14:paraId="69283D23" w14:textId="16CD082D" w:rsidR="003C5549" w:rsidRPr="006E4CF7" w:rsidRDefault="003C5549"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lastRenderedPageBreak/>
        <w:t>Williams, R. J. (2021). The effect of casual teaching on student satisfaction: evidence from the UK. Education Economics, 30(1): 91–111.</w:t>
      </w:r>
    </w:p>
    <w:p w14:paraId="1B27EC9F" w14:textId="1D01CD28" w:rsidR="00B747E8" w:rsidRPr="006E4CF7" w:rsidRDefault="00B747E8" w:rsidP="00B747E8">
      <w:pPr>
        <w:spacing w:after="120"/>
        <w:jc w:val="both"/>
        <w:rPr>
          <w:rFonts w:ascii="Times New Roman" w:hAnsi="Times New Roman" w:cs="Times New Roman"/>
          <w:sz w:val="24"/>
          <w:szCs w:val="24"/>
        </w:rPr>
      </w:pPr>
      <w:r w:rsidRPr="006E4CF7">
        <w:rPr>
          <w:rFonts w:ascii="Times New Roman" w:hAnsi="Times New Roman" w:cs="Times New Roman"/>
          <w:sz w:val="24"/>
          <w:szCs w:val="24"/>
        </w:rPr>
        <w:t>Williamson, O. (1981). The Modern Corporation: Origins, Evolution, Attributes</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w:t>
      </w:r>
      <w:r w:rsidRPr="006E4CF7">
        <w:rPr>
          <w:rFonts w:ascii="Times New Roman" w:hAnsi="Times New Roman" w:cs="Times New Roman"/>
          <w:i/>
          <w:iCs/>
          <w:sz w:val="24"/>
          <w:szCs w:val="24"/>
        </w:rPr>
        <w:t>Journal of Economic Literature</w:t>
      </w:r>
      <w:r w:rsidR="00535B4A" w:rsidRPr="006E4CF7">
        <w:rPr>
          <w:rFonts w:ascii="Times New Roman" w:hAnsi="Times New Roman" w:cs="Times New Roman"/>
          <w:i/>
          <w:iCs/>
          <w:sz w:val="24"/>
          <w:szCs w:val="24"/>
        </w:rPr>
        <w:t>,</w:t>
      </w:r>
      <w:r w:rsidRPr="006E4CF7">
        <w:rPr>
          <w:rFonts w:ascii="Times New Roman" w:hAnsi="Times New Roman" w:cs="Times New Roman"/>
          <w:i/>
          <w:iCs/>
          <w:sz w:val="24"/>
          <w:szCs w:val="24"/>
        </w:rPr>
        <w:t xml:space="preserve"> </w:t>
      </w:r>
      <w:r w:rsidRPr="006E4CF7">
        <w:rPr>
          <w:rFonts w:ascii="Times New Roman" w:hAnsi="Times New Roman" w:cs="Times New Roman"/>
          <w:sz w:val="24"/>
          <w:szCs w:val="24"/>
        </w:rPr>
        <w:t>19</w:t>
      </w:r>
      <w:r w:rsidR="00535B4A" w:rsidRPr="006E4CF7">
        <w:rPr>
          <w:rFonts w:ascii="Times New Roman" w:hAnsi="Times New Roman" w:cs="Times New Roman"/>
          <w:sz w:val="24"/>
          <w:szCs w:val="24"/>
        </w:rPr>
        <w:t>:</w:t>
      </w:r>
      <w:r w:rsidRPr="006E4CF7">
        <w:rPr>
          <w:rFonts w:ascii="Times New Roman" w:hAnsi="Times New Roman" w:cs="Times New Roman"/>
          <w:sz w:val="24"/>
          <w:szCs w:val="24"/>
        </w:rPr>
        <w:t xml:space="preserve"> 1537-1568.</w:t>
      </w:r>
    </w:p>
    <w:p w14:paraId="676FF3B9" w14:textId="5D2C4981" w:rsidR="00E84C58" w:rsidRPr="006E4CF7" w:rsidRDefault="00960AA3" w:rsidP="00E84C58">
      <w:pPr>
        <w:spacing w:after="120"/>
        <w:jc w:val="both"/>
        <w:rPr>
          <w:rFonts w:ascii="Times New Roman" w:hAnsi="Times New Roman" w:cs="Times New Roman"/>
          <w:sz w:val="24"/>
          <w:szCs w:val="24"/>
        </w:rPr>
      </w:pPr>
      <w:r w:rsidRPr="006E4CF7">
        <w:rPr>
          <w:rFonts w:ascii="Times New Roman" w:hAnsi="Times New Roman" w:cs="Times New Roman"/>
          <w:sz w:val="24"/>
          <w:szCs w:val="24"/>
        </w:rPr>
        <w:t>Zaheer, A, and Venkatraman, N. (1994)</w:t>
      </w:r>
      <w:r w:rsidR="00E84C58" w:rsidRPr="006E4CF7">
        <w:rPr>
          <w:rFonts w:ascii="Times New Roman" w:hAnsi="Times New Roman" w:cs="Times New Roman"/>
          <w:sz w:val="24"/>
          <w:szCs w:val="24"/>
        </w:rPr>
        <w:t>. Determinants of Electronic Integration in the</w:t>
      </w:r>
    </w:p>
    <w:p w14:paraId="7C98A777" w14:textId="1216AD49" w:rsidR="00960AA3" w:rsidRPr="006E4CF7" w:rsidRDefault="00E84C58" w:rsidP="00E84C58">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Insurance Industry: An Empirical Test. </w:t>
      </w:r>
      <w:r w:rsidR="00D14B60" w:rsidRPr="006E4CF7">
        <w:rPr>
          <w:rFonts w:ascii="Times New Roman" w:hAnsi="Times New Roman" w:cs="Times New Roman"/>
          <w:sz w:val="24"/>
          <w:szCs w:val="24"/>
        </w:rPr>
        <w:t>Management Science. Vol. 40, No. 5.</w:t>
      </w:r>
    </w:p>
    <w:p w14:paraId="2D7801F6" w14:textId="4B7BE43B" w:rsidR="008867A7" w:rsidRPr="006E4CF7" w:rsidRDefault="008867A7" w:rsidP="00B049A6">
      <w:pPr>
        <w:spacing w:after="120"/>
        <w:jc w:val="both"/>
        <w:rPr>
          <w:rFonts w:ascii="Times New Roman" w:hAnsi="Times New Roman" w:cs="Times New Roman"/>
          <w:sz w:val="24"/>
          <w:szCs w:val="24"/>
        </w:rPr>
      </w:pPr>
      <w:r w:rsidRPr="006E4CF7">
        <w:rPr>
          <w:rFonts w:ascii="Times New Roman" w:hAnsi="Times New Roman" w:cs="Times New Roman"/>
          <w:sz w:val="24"/>
          <w:szCs w:val="24"/>
        </w:rPr>
        <w:t>Zheng, F., Jiao, H., Gu, J., Moon, H.-C. and Yin, W. (2021), The impact of knowledge flows on asset specificity from the perspective of open innovation, Journal of Knowledge Management, Vol. 26 No. 3, pp. 548-573. https://doi.org/10.1108/JKM-08-2020-0590</w:t>
      </w:r>
    </w:p>
    <w:p w14:paraId="28411F44" w14:textId="3D48D09E" w:rsidR="009958E2" w:rsidRPr="006E4CF7" w:rsidRDefault="00B747E8" w:rsidP="00B049A6">
      <w:pPr>
        <w:spacing w:after="120"/>
        <w:jc w:val="both"/>
        <w:rPr>
          <w:rFonts w:ascii="Times New Roman" w:hAnsi="Times New Roman" w:cs="Times New Roman"/>
          <w:sz w:val="24"/>
          <w:szCs w:val="24"/>
        </w:rPr>
      </w:pPr>
      <w:r w:rsidRPr="006E4CF7">
        <w:rPr>
          <w:rFonts w:ascii="Times New Roman" w:hAnsi="Times New Roman" w:cs="Times New Roman"/>
          <w:sz w:val="24"/>
          <w:szCs w:val="24"/>
        </w:rPr>
        <w:t xml:space="preserve">Zubrick, A. Reid, I.  and Rossiter, P. (2001) ‘Strengthening the Nexus Between Teaching and Research’ Department of Education, Training and Youth Affairs. Office of Teaching and Learning, Office of Research and Development. Curtin University of Technology. In association with the University of Ballarat and Evaluations and Investigations </w:t>
      </w:r>
      <w:proofErr w:type="spellStart"/>
      <w:r w:rsidR="00297A9B" w:rsidRPr="006E4CF7">
        <w:rPr>
          <w:rFonts w:ascii="Times New Roman" w:hAnsi="Times New Roman" w:cs="Times New Roman"/>
          <w:sz w:val="24"/>
          <w:szCs w:val="24"/>
        </w:rPr>
        <w:t>Programme</w:t>
      </w:r>
      <w:r w:rsidRPr="006E4CF7">
        <w:rPr>
          <w:rFonts w:ascii="Times New Roman" w:hAnsi="Times New Roman" w:cs="Times New Roman"/>
          <w:sz w:val="24"/>
          <w:szCs w:val="24"/>
        </w:rPr>
        <w:t>me</w:t>
      </w:r>
      <w:proofErr w:type="spellEnd"/>
      <w:r w:rsidRPr="006E4CF7">
        <w:rPr>
          <w:rFonts w:ascii="Times New Roman" w:hAnsi="Times New Roman" w:cs="Times New Roman"/>
          <w:sz w:val="24"/>
          <w:szCs w:val="24"/>
        </w:rPr>
        <w:t>, Higher Education Division.</w:t>
      </w:r>
    </w:p>
    <w:sectPr w:rsidR="009958E2" w:rsidRPr="006E4CF7" w:rsidSect="00B07F0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0BF66" w14:textId="77777777" w:rsidR="006C777D" w:rsidRPr="00F12D87" w:rsidRDefault="006C777D" w:rsidP="009756AC">
      <w:r w:rsidRPr="00F12D87">
        <w:separator/>
      </w:r>
    </w:p>
  </w:endnote>
  <w:endnote w:type="continuationSeparator" w:id="0">
    <w:p w14:paraId="7756D0FA" w14:textId="77777777" w:rsidR="006C777D" w:rsidRPr="00F12D87" w:rsidRDefault="006C777D" w:rsidP="009756AC">
      <w:r w:rsidRPr="00F12D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TSYN">
    <w:altName w:val="MS Mincho"/>
    <w:charset w:val="8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582413"/>
      <w:docPartObj>
        <w:docPartGallery w:val="Page Numbers (Bottom of Page)"/>
        <w:docPartUnique/>
      </w:docPartObj>
    </w:sdtPr>
    <w:sdtContent>
      <w:p w14:paraId="2C026A2A" w14:textId="0B9006F4" w:rsidR="00B8024D" w:rsidRPr="00F12D87" w:rsidRDefault="00B8024D">
        <w:pPr>
          <w:pStyle w:val="Footer"/>
          <w:jc w:val="center"/>
        </w:pPr>
        <w:r w:rsidRPr="00F12D87">
          <w:rPr>
            <w:rFonts w:ascii="Arial" w:hAnsi="Arial" w:cs="Arial"/>
            <w:sz w:val="16"/>
            <w:szCs w:val="16"/>
          </w:rPr>
          <w:fldChar w:fldCharType="begin"/>
        </w:r>
        <w:r w:rsidRPr="00F12D87">
          <w:rPr>
            <w:rFonts w:ascii="Arial" w:hAnsi="Arial" w:cs="Arial"/>
            <w:sz w:val="16"/>
            <w:szCs w:val="16"/>
          </w:rPr>
          <w:instrText xml:space="preserve"> PAGE   \* MERGEFORMAT </w:instrText>
        </w:r>
        <w:r w:rsidRPr="00F12D87">
          <w:rPr>
            <w:rFonts w:ascii="Arial" w:hAnsi="Arial" w:cs="Arial"/>
            <w:sz w:val="16"/>
            <w:szCs w:val="16"/>
          </w:rPr>
          <w:fldChar w:fldCharType="separate"/>
        </w:r>
        <w:r w:rsidRPr="00F12D87">
          <w:rPr>
            <w:rFonts w:ascii="Arial" w:hAnsi="Arial" w:cs="Arial"/>
            <w:sz w:val="16"/>
            <w:szCs w:val="16"/>
          </w:rPr>
          <w:t>2</w:t>
        </w:r>
        <w:r w:rsidRPr="00F12D87">
          <w:rPr>
            <w:rFonts w:ascii="Arial" w:hAnsi="Arial" w:cs="Arial"/>
            <w:sz w:val="16"/>
            <w:szCs w:val="16"/>
          </w:rPr>
          <w:fldChar w:fldCharType="end"/>
        </w:r>
      </w:p>
    </w:sdtContent>
  </w:sdt>
  <w:p w14:paraId="15ECB3FF" w14:textId="77777777" w:rsidR="00B8024D" w:rsidRPr="00F12D87" w:rsidRDefault="00B80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43DEC" w14:textId="77777777" w:rsidR="006C777D" w:rsidRPr="00F12D87" w:rsidRDefault="006C777D" w:rsidP="009756AC">
      <w:r w:rsidRPr="00F12D87">
        <w:separator/>
      </w:r>
    </w:p>
  </w:footnote>
  <w:footnote w:type="continuationSeparator" w:id="0">
    <w:p w14:paraId="36BC3362" w14:textId="77777777" w:rsidR="006C777D" w:rsidRPr="00F12D87" w:rsidRDefault="006C777D" w:rsidP="009756AC">
      <w:r w:rsidRPr="00F12D8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4E4E"/>
    <w:multiLevelType w:val="hybridMultilevel"/>
    <w:tmpl w:val="B370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7006E"/>
    <w:multiLevelType w:val="hybridMultilevel"/>
    <w:tmpl w:val="63D2E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DFC2D78"/>
    <w:multiLevelType w:val="hybridMultilevel"/>
    <w:tmpl w:val="540CDF6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F40292"/>
    <w:multiLevelType w:val="hybridMultilevel"/>
    <w:tmpl w:val="79C4B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16508"/>
    <w:multiLevelType w:val="hybridMultilevel"/>
    <w:tmpl w:val="72C0A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43BBE"/>
    <w:multiLevelType w:val="hybridMultilevel"/>
    <w:tmpl w:val="30A4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612FE"/>
    <w:multiLevelType w:val="hybridMultilevel"/>
    <w:tmpl w:val="CF7A1AE4"/>
    <w:lvl w:ilvl="0" w:tplc="9894D0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31678"/>
    <w:multiLevelType w:val="hybridMultilevel"/>
    <w:tmpl w:val="7D38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005AF"/>
    <w:multiLevelType w:val="hybridMultilevel"/>
    <w:tmpl w:val="97B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9018EE"/>
    <w:multiLevelType w:val="hybridMultilevel"/>
    <w:tmpl w:val="F6FE363A"/>
    <w:lvl w:ilvl="0" w:tplc="08090001">
      <w:start w:val="1"/>
      <w:numFmt w:val="bullet"/>
      <w:lvlText w:val=""/>
      <w:lvlJc w:val="left"/>
      <w:pPr>
        <w:ind w:left="360" w:hanging="360"/>
      </w:pPr>
      <w:rPr>
        <w:rFonts w:ascii="Symbol" w:hAnsi="Symbol" w:hint="default"/>
      </w:rPr>
    </w:lvl>
    <w:lvl w:ilvl="1" w:tplc="D0EEBE98">
      <w:numFmt w:val="bullet"/>
      <w:lvlText w:val="•"/>
      <w:lvlJc w:val="left"/>
      <w:pPr>
        <w:ind w:left="1440" w:hanging="720"/>
      </w:pPr>
      <w:rPr>
        <w:rFonts w:ascii="Calibri Light" w:eastAsiaTheme="minorHAnsi"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996FA0"/>
    <w:multiLevelType w:val="hybridMultilevel"/>
    <w:tmpl w:val="4606D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2534A4"/>
    <w:multiLevelType w:val="hybridMultilevel"/>
    <w:tmpl w:val="69A0A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AE0122"/>
    <w:multiLevelType w:val="hybridMultilevel"/>
    <w:tmpl w:val="465831C2"/>
    <w:lvl w:ilvl="0" w:tplc="B5CE4E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65361C"/>
    <w:multiLevelType w:val="hybridMultilevel"/>
    <w:tmpl w:val="161E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727C39"/>
    <w:multiLevelType w:val="hybridMultilevel"/>
    <w:tmpl w:val="C9881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483D67"/>
    <w:multiLevelType w:val="hybridMultilevel"/>
    <w:tmpl w:val="93E65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B056B0"/>
    <w:multiLevelType w:val="hybridMultilevel"/>
    <w:tmpl w:val="E4900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370B61"/>
    <w:multiLevelType w:val="hybridMultilevel"/>
    <w:tmpl w:val="611CEA6C"/>
    <w:lvl w:ilvl="0" w:tplc="52389EBE">
      <w:numFmt w:val="bullet"/>
      <w:lvlText w:val="•"/>
      <w:lvlJc w:val="left"/>
      <w:pPr>
        <w:ind w:left="1100" w:hanging="74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33364"/>
    <w:multiLevelType w:val="hybridMultilevel"/>
    <w:tmpl w:val="A3347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6A6D6D"/>
    <w:multiLevelType w:val="hybridMultilevel"/>
    <w:tmpl w:val="722EA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DDE1FF5"/>
    <w:multiLevelType w:val="hybridMultilevel"/>
    <w:tmpl w:val="AA32F018"/>
    <w:lvl w:ilvl="0" w:tplc="DEF01DA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56390A"/>
    <w:multiLevelType w:val="hybridMultilevel"/>
    <w:tmpl w:val="C47EC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D26036"/>
    <w:multiLevelType w:val="hybridMultilevel"/>
    <w:tmpl w:val="A31CE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771C88"/>
    <w:multiLevelType w:val="hybridMultilevel"/>
    <w:tmpl w:val="63FAE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BC6960"/>
    <w:multiLevelType w:val="hybridMultilevel"/>
    <w:tmpl w:val="A1BE7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2F7F09"/>
    <w:multiLevelType w:val="hybridMultilevel"/>
    <w:tmpl w:val="7F8EC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4497635">
    <w:abstractNumId w:val="20"/>
  </w:num>
  <w:num w:numId="2" w16cid:durableId="1853106719">
    <w:abstractNumId w:val="19"/>
  </w:num>
  <w:num w:numId="3" w16cid:durableId="420371718">
    <w:abstractNumId w:val="1"/>
  </w:num>
  <w:num w:numId="4" w16cid:durableId="1871723651">
    <w:abstractNumId w:val="14"/>
  </w:num>
  <w:num w:numId="5" w16cid:durableId="1051928927">
    <w:abstractNumId w:val="9"/>
  </w:num>
  <w:num w:numId="6" w16cid:durableId="1444611295">
    <w:abstractNumId w:val="25"/>
  </w:num>
  <w:num w:numId="7" w16cid:durableId="2137409774">
    <w:abstractNumId w:val="10"/>
  </w:num>
  <w:num w:numId="8" w16cid:durableId="295841824">
    <w:abstractNumId w:val="13"/>
  </w:num>
  <w:num w:numId="9" w16cid:durableId="168644569">
    <w:abstractNumId w:val="24"/>
  </w:num>
  <w:num w:numId="10" w16cid:durableId="521629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9399789">
    <w:abstractNumId w:val="2"/>
  </w:num>
  <w:num w:numId="12" w16cid:durableId="576597199">
    <w:abstractNumId w:val="12"/>
  </w:num>
  <w:num w:numId="13" w16cid:durableId="1189679852">
    <w:abstractNumId w:val="5"/>
  </w:num>
  <w:num w:numId="14" w16cid:durableId="339283753">
    <w:abstractNumId w:val="6"/>
  </w:num>
  <w:num w:numId="15" w16cid:durableId="2004435115">
    <w:abstractNumId w:val="4"/>
  </w:num>
  <w:num w:numId="16" w16cid:durableId="1436097618">
    <w:abstractNumId w:val="11"/>
  </w:num>
  <w:num w:numId="17" w16cid:durableId="1471433973">
    <w:abstractNumId w:val="3"/>
  </w:num>
  <w:num w:numId="18" w16cid:durableId="1953854900">
    <w:abstractNumId w:val="15"/>
  </w:num>
  <w:num w:numId="19" w16cid:durableId="1166238622">
    <w:abstractNumId w:val="18"/>
  </w:num>
  <w:num w:numId="20" w16cid:durableId="540213787">
    <w:abstractNumId w:val="23"/>
  </w:num>
  <w:num w:numId="21" w16cid:durableId="523180104">
    <w:abstractNumId w:val="8"/>
  </w:num>
  <w:num w:numId="22" w16cid:durableId="1017123330">
    <w:abstractNumId w:val="22"/>
  </w:num>
  <w:num w:numId="23" w16cid:durableId="675159446">
    <w:abstractNumId w:val="16"/>
  </w:num>
  <w:num w:numId="24" w16cid:durableId="978075409">
    <w:abstractNumId w:val="7"/>
  </w:num>
  <w:num w:numId="25" w16cid:durableId="345520207">
    <w:abstractNumId w:val="21"/>
  </w:num>
  <w:num w:numId="26" w16cid:durableId="1928462709">
    <w:abstractNumId w:val="0"/>
  </w:num>
  <w:num w:numId="27" w16cid:durableId="7582591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3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BE"/>
    <w:rsid w:val="00000DA8"/>
    <w:rsid w:val="0000397B"/>
    <w:rsid w:val="00003E32"/>
    <w:rsid w:val="000042DC"/>
    <w:rsid w:val="00004A5B"/>
    <w:rsid w:val="00004B8D"/>
    <w:rsid w:val="0000500D"/>
    <w:rsid w:val="00006066"/>
    <w:rsid w:val="00006724"/>
    <w:rsid w:val="00006CBE"/>
    <w:rsid w:val="00007186"/>
    <w:rsid w:val="000106D9"/>
    <w:rsid w:val="000109B6"/>
    <w:rsid w:val="0001173E"/>
    <w:rsid w:val="00013112"/>
    <w:rsid w:val="00013186"/>
    <w:rsid w:val="00013431"/>
    <w:rsid w:val="000149FB"/>
    <w:rsid w:val="00014CFF"/>
    <w:rsid w:val="000156D3"/>
    <w:rsid w:val="000157D0"/>
    <w:rsid w:val="000164C6"/>
    <w:rsid w:val="0001727C"/>
    <w:rsid w:val="00017518"/>
    <w:rsid w:val="00017858"/>
    <w:rsid w:val="0001792D"/>
    <w:rsid w:val="00017973"/>
    <w:rsid w:val="00020184"/>
    <w:rsid w:val="00020827"/>
    <w:rsid w:val="00020F62"/>
    <w:rsid w:val="000214F9"/>
    <w:rsid w:val="000234E5"/>
    <w:rsid w:val="0002369B"/>
    <w:rsid w:val="00024BC3"/>
    <w:rsid w:val="00025791"/>
    <w:rsid w:val="00025D41"/>
    <w:rsid w:val="00026661"/>
    <w:rsid w:val="00027B33"/>
    <w:rsid w:val="00027F77"/>
    <w:rsid w:val="00031134"/>
    <w:rsid w:val="00032734"/>
    <w:rsid w:val="0003344A"/>
    <w:rsid w:val="000348A2"/>
    <w:rsid w:val="000352EA"/>
    <w:rsid w:val="00036487"/>
    <w:rsid w:val="000370C5"/>
    <w:rsid w:val="000434DE"/>
    <w:rsid w:val="00046E91"/>
    <w:rsid w:val="00047918"/>
    <w:rsid w:val="00047A32"/>
    <w:rsid w:val="00047ADA"/>
    <w:rsid w:val="00047C9D"/>
    <w:rsid w:val="00050BEB"/>
    <w:rsid w:val="0005134B"/>
    <w:rsid w:val="0005277B"/>
    <w:rsid w:val="00053EEF"/>
    <w:rsid w:val="00054D0F"/>
    <w:rsid w:val="0005594C"/>
    <w:rsid w:val="000559D9"/>
    <w:rsid w:val="0005646F"/>
    <w:rsid w:val="00056619"/>
    <w:rsid w:val="00056B52"/>
    <w:rsid w:val="0005731C"/>
    <w:rsid w:val="00057498"/>
    <w:rsid w:val="00057769"/>
    <w:rsid w:val="0006151E"/>
    <w:rsid w:val="000652B2"/>
    <w:rsid w:val="00065AE2"/>
    <w:rsid w:val="0006623E"/>
    <w:rsid w:val="000665EE"/>
    <w:rsid w:val="00066911"/>
    <w:rsid w:val="00066933"/>
    <w:rsid w:val="00066E23"/>
    <w:rsid w:val="00067030"/>
    <w:rsid w:val="00067609"/>
    <w:rsid w:val="00067850"/>
    <w:rsid w:val="00067F4D"/>
    <w:rsid w:val="00070DF3"/>
    <w:rsid w:val="00071034"/>
    <w:rsid w:val="0007143A"/>
    <w:rsid w:val="0007145B"/>
    <w:rsid w:val="00073C88"/>
    <w:rsid w:val="0007416C"/>
    <w:rsid w:val="000754A0"/>
    <w:rsid w:val="0007739A"/>
    <w:rsid w:val="00077B62"/>
    <w:rsid w:val="00080E7C"/>
    <w:rsid w:val="000815A0"/>
    <w:rsid w:val="00081853"/>
    <w:rsid w:val="000819EA"/>
    <w:rsid w:val="00082441"/>
    <w:rsid w:val="00082F68"/>
    <w:rsid w:val="000854C9"/>
    <w:rsid w:val="00086CC5"/>
    <w:rsid w:val="00092BBB"/>
    <w:rsid w:val="00093236"/>
    <w:rsid w:val="00095BFD"/>
    <w:rsid w:val="00096032"/>
    <w:rsid w:val="00096D9C"/>
    <w:rsid w:val="00097671"/>
    <w:rsid w:val="00097DB4"/>
    <w:rsid w:val="000A032E"/>
    <w:rsid w:val="000A17C7"/>
    <w:rsid w:val="000A24AE"/>
    <w:rsid w:val="000A35D8"/>
    <w:rsid w:val="000A36C2"/>
    <w:rsid w:val="000A3AF3"/>
    <w:rsid w:val="000A407E"/>
    <w:rsid w:val="000A48D7"/>
    <w:rsid w:val="000A68FE"/>
    <w:rsid w:val="000A7CCC"/>
    <w:rsid w:val="000B242A"/>
    <w:rsid w:val="000B4C62"/>
    <w:rsid w:val="000B71EB"/>
    <w:rsid w:val="000B73FC"/>
    <w:rsid w:val="000B7907"/>
    <w:rsid w:val="000B79B8"/>
    <w:rsid w:val="000C3BB3"/>
    <w:rsid w:val="000C512C"/>
    <w:rsid w:val="000C5609"/>
    <w:rsid w:val="000C6987"/>
    <w:rsid w:val="000C7471"/>
    <w:rsid w:val="000C7997"/>
    <w:rsid w:val="000D155D"/>
    <w:rsid w:val="000D2444"/>
    <w:rsid w:val="000D4784"/>
    <w:rsid w:val="000D5665"/>
    <w:rsid w:val="000D7E0C"/>
    <w:rsid w:val="000E0B75"/>
    <w:rsid w:val="000E0CC0"/>
    <w:rsid w:val="000E114B"/>
    <w:rsid w:val="000E13E1"/>
    <w:rsid w:val="000E1801"/>
    <w:rsid w:val="000E2216"/>
    <w:rsid w:val="000E40E3"/>
    <w:rsid w:val="000E4B2B"/>
    <w:rsid w:val="000E5C46"/>
    <w:rsid w:val="000E5FDB"/>
    <w:rsid w:val="000E66DE"/>
    <w:rsid w:val="000E6A76"/>
    <w:rsid w:val="000E6CD6"/>
    <w:rsid w:val="000F0F70"/>
    <w:rsid w:val="000F1D08"/>
    <w:rsid w:val="000F3E1B"/>
    <w:rsid w:val="000F5735"/>
    <w:rsid w:val="000F6F12"/>
    <w:rsid w:val="000F7BD5"/>
    <w:rsid w:val="0010342D"/>
    <w:rsid w:val="0010369A"/>
    <w:rsid w:val="00104C4A"/>
    <w:rsid w:val="00105076"/>
    <w:rsid w:val="00107026"/>
    <w:rsid w:val="001105F2"/>
    <w:rsid w:val="00111034"/>
    <w:rsid w:val="0011246D"/>
    <w:rsid w:val="0011285E"/>
    <w:rsid w:val="001141EF"/>
    <w:rsid w:val="0011487F"/>
    <w:rsid w:val="00114A20"/>
    <w:rsid w:val="00115664"/>
    <w:rsid w:val="001156CD"/>
    <w:rsid w:val="00116430"/>
    <w:rsid w:val="0011677F"/>
    <w:rsid w:val="00117C63"/>
    <w:rsid w:val="00120645"/>
    <w:rsid w:val="001209C7"/>
    <w:rsid w:val="00121E95"/>
    <w:rsid w:val="00121F3A"/>
    <w:rsid w:val="0012284C"/>
    <w:rsid w:val="0012324E"/>
    <w:rsid w:val="00124937"/>
    <w:rsid w:val="00125BEC"/>
    <w:rsid w:val="00126609"/>
    <w:rsid w:val="0012762C"/>
    <w:rsid w:val="00127ECA"/>
    <w:rsid w:val="00131623"/>
    <w:rsid w:val="001329C8"/>
    <w:rsid w:val="001330FF"/>
    <w:rsid w:val="001336A3"/>
    <w:rsid w:val="00134278"/>
    <w:rsid w:val="001351F4"/>
    <w:rsid w:val="001357F1"/>
    <w:rsid w:val="0013769C"/>
    <w:rsid w:val="00137CFB"/>
    <w:rsid w:val="0014325B"/>
    <w:rsid w:val="00143615"/>
    <w:rsid w:val="001455D9"/>
    <w:rsid w:val="00145C5A"/>
    <w:rsid w:val="00145E50"/>
    <w:rsid w:val="001504FC"/>
    <w:rsid w:val="00150C5E"/>
    <w:rsid w:val="00150D03"/>
    <w:rsid w:val="00150D9C"/>
    <w:rsid w:val="001521A9"/>
    <w:rsid w:val="001522AC"/>
    <w:rsid w:val="00152ED4"/>
    <w:rsid w:val="00153EBD"/>
    <w:rsid w:val="0015448B"/>
    <w:rsid w:val="00154E83"/>
    <w:rsid w:val="00155AC6"/>
    <w:rsid w:val="00156ABB"/>
    <w:rsid w:val="00160237"/>
    <w:rsid w:val="001605EE"/>
    <w:rsid w:val="00160702"/>
    <w:rsid w:val="00160B70"/>
    <w:rsid w:val="001613A9"/>
    <w:rsid w:val="0016170E"/>
    <w:rsid w:val="00163042"/>
    <w:rsid w:val="00163750"/>
    <w:rsid w:val="001644CD"/>
    <w:rsid w:val="001650A0"/>
    <w:rsid w:val="0016621B"/>
    <w:rsid w:val="00167769"/>
    <w:rsid w:val="0017050A"/>
    <w:rsid w:val="00170851"/>
    <w:rsid w:val="00170B9E"/>
    <w:rsid w:val="001734B0"/>
    <w:rsid w:val="0017378D"/>
    <w:rsid w:val="00173866"/>
    <w:rsid w:val="001766AE"/>
    <w:rsid w:val="00176AE7"/>
    <w:rsid w:val="001776CF"/>
    <w:rsid w:val="00181AE9"/>
    <w:rsid w:val="00183156"/>
    <w:rsid w:val="0018439C"/>
    <w:rsid w:val="001848B1"/>
    <w:rsid w:val="00184F04"/>
    <w:rsid w:val="00187021"/>
    <w:rsid w:val="00187597"/>
    <w:rsid w:val="0019176E"/>
    <w:rsid w:val="00191F4D"/>
    <w:rsid w:val="00191FC9"/>
    <w:rsid w:val="0019393A"/>
    <w:rsid w:val="00194DCF"/>
    <w:rsid w:val="0019512B"/>
    <w:rsid w:val="00196BA1"/>
    <w:rsid w:val="00197B3E"/>
    <w:rsid w:val="001A1317"/>
    <w:rsid w:val="001A238F"/>
    <w:rsid w:val="001A3309"/>
    <w:rsid w:val="001A3C24"/>
    <w:rsid w:val="001A49D0"/>
    <w:rsid w:val="001A5403"/>
    <w:rsid w:val="001A6DB8"/>
    <w:rsid w:val="001B0086"/>
    <w:rsid w:val="001B172D"/>
    <w:rsid w:val="001B2FC0"/>
    <w:rsid w:val="001B53B9"/>
    <w:rsid w:val="001B5B79"/>
    <w:rsid w:val="001B5E46"/>
    <w:rsid w:val="001B73AF"/>
    <w:rsid w:val="001B7F9C"/>
    <w:rsid w:val="001C0E2B"/>
    <w:rsid w:val="001C0F5C"/>
    <w:rsid w:val="001C3DEC"/>
    <w:rsid w:val="001C4322"/>
    <w:rsid w:val="001C4DBE"/>
    <w:rsid w:val="001C52C4"/>
    <w:rsid w:val="001C5914"/>
    <w:rsid w:val="001C6428"/>
    <w:rsid w:val="001C6525"/>
    <w:rsid w:val="001C740F"/>
    <w:rsid w:val="001D102A"/>
    <w:rsid w:val="001D1D06"/>
    <w:rsid w:val="001D250B"/>
    <w:rsid w:val="001D2519"/>
    <w:rsid w:val="001D33A9"/>
    <w:rsid w:val="001D3ACD"/>
    <w:rsid w:val="001D3F37"/>
    <w:rsid w:val="001D4AD1"/>
    <w:rsid w:val="001D51C8"/>
    <w:rsid w:val="001E1F20"/>
    <w:rsid w:val="001E2D8A"/>
    <w:rsid w:val="001E4376"/>
    <w:rsid w:val="001E4C43"/>
    <w:rsid w:val="001E4F1B"/>
    <w:rsid w:val="001E6302"/>
    <w:rsid w:val="001E66E3"/>
    <w:rsid w:val="001E6A9D"/>
    <w:rsid w:val="001F154C"/>
    <w:rsid w:val="001F2D22"/>
    <w:rsid w:val="001F3930"/>
    <w:rsid w:val="001F40B7"/>
    <w:rsid w:val="001F59DA"/>
    <w:rsid w:val="001F63B8"/>
    <w:rsid w:val="001F6E10"/>
    <w:rsid w:val="001F7B4C"/>
    <w:rsid w:val="00202D9C"/>
    <w:rsid w:val="0020320F"/>
    <w:rsid w:val="002038D4"/>
    <w:rsid w:val="00203A33"/>
    <w:rsid w:val="00203C3C"/>
    <w:rsid w:val="00207108"/>
    <w:rsid w:val="00207239"/>
    <w:rsid w:val="00207331"/>
    <w:rsid w:val="00210917"/>
    <w:rsid w:val="002114EE"/>
    <w:rsid w:val="002127F2"/>
    <w:rsid w:val="002129EB"/>
    <w:rsid w:val="0021473A"/>
    <w:rsid w:val="00215AEA"/>
    <w:rsid w:val="0022121B"/>
    <w:rsid w:val="002221A0"/>
    <w:rsid w:val="0022594C"/>
    <w:rsid w:val="00226E68"/>
    <w:rsid w:val="00227AC3"/>
    <w:rsid w:val="00227CC1"/>
    <w:rsid w:val="002326B8"/>
    <w:rsid w:val="00232D4C"/>
    <w:rsid w:val="00232E75"/>
    <w:rsid w:val="00233725"/>
    <w:rsid w:val="00235619"/>
    <w:rsid w:val="00236898"/>
    <w:rsid w:val="002375D8"/>
    <w:rsid w:val="00240256"/>
    <w:rsid w:val="00241740"/>
    <w:rsid w:val="00243C80"/>
    <w:rsid w:val="00245793"/>
    <w:rsid w:val="00246127"/>
    <w:rsid w:val="002462F1"/>
    <w:rsid w:val="00247BC3"/>
    <w:rsid w:val="00247E9B"/>
    <w:rsid w:val="00250C1F"/>
    <w:rsid w:val="00252E7C"/>
    <w:rsid w:val="0025491B"/>
    <w:rsid w:val="00255D3A"/>
    <w:rsid w:val="00255FC3"/>
    <w:rsid w:val="00256C65"/>
    <w:rsid w:val="00260A3A"/>
    <w:rsid w:val="002613F4"/>
    <w:rsid w:val="00263008"/>
    <w:rsid w:val="0026315A"/>
    <w:rsid w:val="00264AC2"/>
    <w:rsid w:val="00265120"/>
    <w:rsid w:val="00271921"/>
    <w:rsid w:val="00273523"/>
    <w:rsid w:val="00274395"/>
    <w:rsid w:val="00275B0A"/>
    <w:rsid w:val="00275EC4"/>
    <w:rsid w:val="0027750A"/>
    <w:rsid w:val="002806AB"/>
    <w:rsid w:val="002826FB"/>
    <w:rsid w:val="00283AB6"/>
    <w:rsid w:val="002855E8"/>
    <w:rsid w:val="00285B44"/>
    <w:rsid w:val="00285E43"/>
    <w:rsid w:val="00285E5C"/>
    <w:rsid w:val="00286529"/>
    <w:rsid w:val="00286886"/>
    <w:rsid w:val="00286CB1"/>
    <w:rsid w:val="00286F69"/>
    <w:rsid w:val="00287381"/>
    <w:rsid w:val="002879BF"/>
    <w:rsid w:val="0029176C"/>
    <w:rsid w:val="00291907"/>
    <w:rsid w:val="00291DAF"/>
    <w:rsid w:val="0029238C"/>
    <w:rsid w:val="00293204"/>
    <w:rsid w:val="00293BCF"/>
    <w:rsid w:val="00296182"/>
    <w:rsid w:val="0029783A"/>
    <w:rsid w:val="00297A9B"/>
    <w:rsid w:val="00297C3B"/>
    <w:rsid w:val="002A0FFE"/>
    <w:rsid w:val="002A13B7"/>
    <w:rsid w:val="002A242C"/>
    <w:rsid w:val="002A34FD"/>
    <w:rsid w:val="002A3E1C"/>
    <w:rsid w:val="002A66FD"/>
    <w:rsid w:val="002A6B36"/>
    <w:rsid w:val="002B0B8A"/>
    <w:rsid w:val="002B113D"/>
    <w:rsid w:val="002B2866"/>
    <w:rsid w:val="002B28CE"/>
    <w:rsid w:val="002B30CB"/>
    <w:rsid w:val="002B38F8"/>
    <w:rsid w:val="002B4925"/>
    <w:rsid w:val="002B4995"/>
    <w:rsid w:val="002B52D2"/>
    <w:rsid w:val="002B553F"/>
    <w:rsid w:val="002B7526"/>
    <w:rsid w:val="002B7C16"/>
    <w:rsid w:val="002C0A54"/>
    <w:rsid w:val="002C10A1"/>
    <w:rsid w:val="002C119D"/>
    <w:rsid w:val="002C3001"/>
    <w:rsid w:val="002C349E"/>
    <w:rsid w:val="002C788A"/>
    <w:rsid w:val="002D20EF"/>
    <w:rsid w:val="002D26DA"/>
    <w:rsid w:val="002D2C64"/>
    <w:rsid w:val="002D2D30"/>
    <w:rsid w:val="002D3029"/>
    <w:rsid w:val="002D506D"/>
    <w:rsid w:val="002D515B"/>
    <w:rsid w:val="002D7397"/>
    <w:rsid w:val="002D7470"/>
    <w:rsid w:val="002D7B7E"/>
    <w:rsid w:val="002D7E7A"/>
    <w:rsid w:val="002E03D1"/>
    <w:rsid w:val="002E07F6"/>
    <w:rsid w:val="002E158E"/>
    <w:rsid w:val="002E165A"/>
    <w:rsid w:val="002E1CF5"/>
    <w:rsid w:val="002E1D5D"/>
    <w:rsid w:val="002E2353"/>
    <w:rsid w:val="002E2454"/>
    <w:rsid w:val="002E2B09"/>
    <w:rsid w:val="002E3255"/>
    <w:rsid w:val="002E39DC"/>
    <w:rsid w:val="002E4462"/>
    <w:rsid w:val="002E4E08"/>
    <w:rsid w:val="002E5073"/>
    <w:rsid w:val="002E579E"/>
    <w:rsid w:val="002E5A11"/>
    <w:rsid w:val="002F074E"/>
    <w:rsid w:val="002F08FE"/>
    <w:rsid w:val="002F1140"/>
    <w:rsid w:val="002F1E64"/>
    <w:rsid w:val="002F31D4"/>
    <w:rsid w:val="002F35CC"/>
    <w:rsid w:val="002F3B35"/>
    <w:rsid w:val="002F661F"/>
    <w:rsid w:val="002F725D"/>
    <w:rsid w:val="002F7476"/>
    <w:rsid w:val="002F7FEB"/>
    <w:rsid w:val="003009C2"/>
    <w:rsid w:val="00300DA5"/>
    <w:rsid w:val="00301490"/>
    <w:rsid w:val="003017E6"/>
    <w:rsid w:val="0030197A"/>
    <w:rsid w:val="00302D9D"/>
    <w:rsid w:val="00303A8A"/>
    <w:rsid w:val="00303F1E"/>
    <w:rsid w:val="003045D2"/>
    <w:rsid w:val="00305AD6"/>
    <w:rsid w:val="00305FA8"/>
    <w:rsid w:val="00306C8E"/>
    <w:rsid w:val="00306F9D"/>
    <w:rsid w:val="00307BB9"/>
    <w:rsid w:val="00307CAD"/>
    <w:rsid w:val="00310C83"/>
    <w:rsid w:val="00311936"/>
    <w:rsid w:val="00311AD6"/>
    <w:rsid w:val="003124EE"/>
    <w:rsid w:val="00312903"/>
    <w:rsid w:val="003130E7"/>
    <w:rsid w:val="0031497F"/>
    <w:rsid w:val="0031570C"/>
    <w:rsid w:val="0031586B"/>
    <w:rsid w:val="0031607E"/>
    <w:rsid w:val="00316537"/>
    <w:rsid w:val="00316E3D"/>
    <w:rsid w:val="003201B5"/>
    <w:rsid w:val="00320EC5"/>
    <w:rsid w:val="003216FA"/>
    <w:rsid w:val="0032313E"/>
    <w:rsid w:val="0032373F"/>
    <w:rsid w:val="003237F8"/>
    <w:rsid w:val="0032498C"/>
    <w:rsid w:val="00325DD5"/>
    <w:rsid w:val="00327CBE"/>
    <w:rsid w:val="00330212"/>
    <w:rsid w:val="0033088B"/>
    <w:rsid w:val="0033217B"/>
    <w:rsid w:val="0033278C"/>
    <w:rsid w:val="00332EE5"/>
    <w:rsid w:val="003330A6"/>
    <w:rsid w:val="003348B6"/>
    <w:rsid w:val="00334D5E"/>
    <w:rsid w:val="0034095A"/>
    <w:rsid w:val="00345671"/>
    <w:rsid w:val="003460B2"/>
    <w:rsid w:val="0034618B"/>
    <w:rsid w:val="00346936"/>
    <w:rsid w:val="003503C5"/>
    <w:rsid w:val="003532A2"/>
    <w:rsid w:val="0035495F"/>
    <w:rsid w:val="00356263"/>
    <w:rsid w:val="003569D3"/>
    <w:rsid w:val="00360D3C"/>
    <w:rsid w:val="003610DD"/>
    <w:rsid w:val="00362049"/>
    <w:rsid w:val="00364F4F"/>
    <w:rsid w:val="00365EDA"/>
    <w:rsid w:val="00365F06"/>
    <w:rsid w:val="0036697B"/>
    <w:rsid w:val="00367B19"/>
    <w:rsid w:val="00372986"/>
    <w:rsid w:val="003735A7"/>
    <w:rsid w:val="003740A9"/>
    <w:rsid w:val="00375CE8"/>
    <w:rsid w:val="00376AA5"/>
    <w:rsid w:val="003809B8"/>
    <w:rsid w:val="00380F33"/>
    <w:rsid w:val="003835D7"/>
    <w:rsid w:val="0038505A"/>
    <w:rsid w:val="0038714A"/>
    <w:rsid w:val="00392062"/>
    <w:rsid w:val="00393E6E"/>
    <w:rsid w:val="00393F5B"/>
    <w:rsid w:val="0039460D"/>
    <w:rsid w:val="003960AD"/>
    <w:rsid w:val="003963D5"/>
    <w:rsid w:val="00396BDD"/>
    <w:rsid w:val="00396ED8"/>
    <w:rsid w:val="003A05DD"/>
    <w:rsid w:val="003A0ED7"/>
    <w:rsid w:val="003A1443"/>
    <w:rsid w:val="003A2582"/>
    <w:rsid w:val="003A494B"/>
    <w:rsid w:val="003A61A5"/>
    <w:rsid w:val="003B037F"/>
    <w:rsid w:val="003B263E"/>
    <w:rsid w:val="003B34A5"/>
    <w:rsid w:val="003B5972"/>
    <w:rsid w:val="003B6547"/>
    <w:rsid w:val="003B6F6E"/>
    <w:rsid w:val="003B74CC"/>
    <w:rsid w:val="003B7AD4"/>
    <w:rsid w:val="003C104D"/>
    <w:rsid w:val="003C1CB1"/>
    <w:rsid w:val="003C3820"/>
    <w:rsid w:val="003C4277"/>
    <w:rsid w:val="003C53AF"/>
    <w:rsid w:val="003C5549"/>
    <w:rsid w:val="003C5641"/>
    <w:rsid w:val="003C5BCD"/>
    <w:rsid w:val="003D10CA"/>
    <w:rsid w:val="003D2974"/>
    <w:rsid w:val="003D300E"/>
    <w:rsid w:val="003D3FDB"/>
    <w:rsid w:val="003D51D7"/>
    <w:rsid w:val="003D769A"/>
    <w:rsid w:val="003E2036"/>
    <w:rsid w:val="003E3510"/>
    <w:rsid w:val="003E6512"/>
    <w:rsid w:val="003E7815"/>
    <w:rsid w:val="003E7F15"/>
    <w:rsid w:val="003F0C87"/>
    <w:rsid w:val="003F0F9E"/>
    <w:rsid w:val="003F1AEC"/>
    <w:rsid w:val="003F2DE6"/>
    <w:rsid w:val="003F3C87"/>
    <w:rsid w:val="003F5197"/>
    <w:rsid w:val="003F5B85"/>
    <w:rsid w:val="003F6349"/>
    <w:rsid w:val="003F6C69"/>
    <w:rsid w:val="003F75AA"/>
    <w:rsid w:val="003F76C9"/>
    <w:rsid w:val="00400A16"/>
    <w:rsid w:val="00402723"/>
    <w:rsid w:val="00402CF8"/>
    <w:rsid w:val="004039A4"/>
    <w:rsid w:val="0040610B"/>
    <w:rsid w:val="00406376"/>
    <w:rsid w:val="00406647"/>
    <w:rsid w:val="00410990"/>
    <w:rsid w:val="00412DCF"/>
    <w:rsid w:val="004149EC"/>
    <w:rsid w:val="00414D91"/>
    <w:rsid w:val="004156FD"/>
    <w:rsid w:val="00417057"/>
    <w:rsid w:val="0041743D"/>
    <w:rsid w:val="00417626"/>
    <w:rsid w:val="00417791"/>
    <w:rsid w:val="00417F0F"/>
    <w:rsid w:val="004204A4"/>
    <w:rsid w:val="00420A71"/>
    <w:rsid w:val="00420BC7"/>
    <w:rsid w:val="00423632"/>
    <w:rsid w:val="004253B1"/>
    <w:rsid w:val="00426E83"/>
    <w:rsid w:val="004273C3"/>
    <w:rsid w:val="0042744D"/>
    <w:rsid w:val="0043009F"/>
    <w:rsid w:val="004307DA"/>
    <w:rsid w:val="00431A91"/>
    <w:rsid w:val="00434B74"/>
    <w:rsid w:val="00434C4E"/>
    <w:rsid w:val="00435EBE"/>
    <w:rsid w:val="00436B22"/>
    <w:rsid w:val="00436BE5"/>
    <w:rsid w:val="0044175C"/>
    <w:rsid w:val="00442132"/>
    <w:rsid w:val="00442EE1"/>
    <w:rsid w:val="00443EB1"/>
    <w:rsid w:val="00444ADF"/>
    <w:rsid w:val="0044626E"/>
    <w:rsid w:val="00447FA6"/>
    <w:rsid w:val="00451228"/>
    <w:rsid w:val="0045190E"/>
    <w:rsid w:val="004519FC"/>
    <w:rsid w:val="004523CB"/>
    <w:rsid w:val="0045289F"/>
    <w:rsid w:val="00453B55"/>
    <w:rsid w:val="004556C4"/>
    <w:rsid w:val="0045595C"/>
    <w:rsid w:val="00455BEB"/>
    <w:rsid w:val="004574D6"/>
    <w:rsid w:val="00457A3B"/>
    <w:rsid w:val="00461391"/>
    <w:rsid w:val="00462571"/>
    <w:rsid w:val="00465103"/>
    <w:rsid w:val="00465385"/>
    <w:rsid w:val="00465510"/>
    <w:rsid w:val="0046604C"/>
    <w:rsid w:val="00466850"/>
    <w:rsid w:val="004669C9"/>
    <w:rsid w:val="004678B1"/>
    <w:rsid w:val="00467DBA"/>
    <w:rsid w:val="004709D3"/>
    <w:rsid w:val="004721CE"/>
    <w:rsid w:val="00473959"/>
    <w:rsid w:val="00476AC8"/>
    <w:rsid w:val="00482363"/>
    <w:rsid w:val="004826A7"/>
    <w:rsid w:val="004828A9"/>
    <w:rsid w:val="00483AC9"/>
    <w:rsid w:val="00484CDD"/>
    <w:rsid w:val="00485D45"/>
    <w:rsid w:val="004866B4"/>
    <w:rsid w:val="0048670E"/>
    <w:rsid w:val="00486CFE"/>
    <w:rsid w:val="00487F8C"/>
    <w:rsid w:val="00492398"/>
    <w:rsid w:val="00492F8E"/>
    <w:rsid w:val="00493187"/>
    <w:rsid w:val="0049354A"/>
    <w:rsid w:val="0049362C"/>
    <w:rsid w:val="00495259"/>
    <w:rsid w:val="00495341"/>
    <w:rsid w:val="00495703"/>
    <w:rsid w:val="0049616E"/>
    <w:rsid w:val="0049798B"/>
    <w:rsid w:val="00497B94"/>
    <w:rsid w:val="004A0A4D"/>
    <w:rsid w:val="004A21D0"/>
    <w:rsid w:val="004A23DA"/>
    <w:rsid w:val="004A3209"/>
    <w:rsid w:val="004A32AA"/>
    <w:rsid w:val="004A32AF"/>
    <w:rsid w:val="004A357C"/>
    <w:rsid w:val="004A4390"/>
    <w:rsid w:val="004A478D"/>
    <w:rsid w:val="004A533C"/>
    <w:rsid w:val="004A5E97"/>
    <w:rsid w:val="004A61F2"/>
    <w:rsid w:val="004A7B72"/>
    <w:rsid w:val="004A7D33"/>
    <w:rsid w:val="004B0D62"/>
    <w:rsid w:val="004B2072"/>
    <w:rsid w:val="004B287F"/>
    <w:rsid w:val="004B6414"/>
    <w:rsid w:val="004B693E"/>
    <w:rsid w:val="004C06FC"/>
    <w:rsid w:val="004C0F86"/>
    <w:rsid w:val="004C169B"/>
    <w:rsid w:val="004C18D4"/>
    <w:rsid w:val="004C402F"/>
    <w:rsid w:val="004C4ACB"/>
    <w:rsid w:val="004D02E9"/>
    <w:rsid w:val="004D1D18"/>
    <w:rsid w:val="004D1E17"/>
    <w:rsid w:val="004D3F15"/>
    <w:rsid w:val="004D47C0"/>
    <w:rsid w:val="004D4EC2"/>
    <w:rsid w:val="004D5688"/>
    <w:rsid w:val="004D6964"/>
    <w:rsid w:val="004E0046"/>
    <w:rsid w:val="004E0D0B"/>
    <w:rsid w:val="004E10E2"/>
    <w:rsid w:val="004E1BC6"/>
    <w:rsid w:val="004E3A92"/>
    <w:rsid w:val="004E4DB0"/>
    <w:rsid w:val="004E5660"/>
    <w:rsid w:val="004E5B46"/>
    <w:rsid w:val="004E5C5B"/>
    <w:rsid w:val="004E776B"/>
    <w:rsid w:val="004F1080"/>
    <w:rsid w:val="004F10CB"/>
    <w:rsid w:val="004F28DE"/>
    <w:rsid w:val="004F6AD5"/>
    <w:rsid w:val="004F7122"/>
    <w:rsid w:val="004F7686"/>
    <w:rsid w:val="004F78F9"/>
    <w:rsid w:val="00500514"/>
    <w:rsid w:val="005017EF"/>
    <w:rsid w:val="00501849"/>
    <w:rsid w:val="00501F18"/>
    <w:rsid w:val="005044DB"/>
    <w:rsid w:val="00505D89"/>
    <w:rsid w:val="005066D7"/>
    <w:rsid w:val="00506B6F"/>
    <w:rsid w:val="00506BDE"/>
    <w:rsid w:val="00510595"/>
    <w:rsid w:val="00512A69"/>
    <w:rsid w:val="0051351B"/>
    <w:rsid w:val="00515759"/>
    <w:rsid w:val="00515CF2"/>
    <w:rsid w:val="00516006"/>
    <w:rsid w:val="005202F8"/>
    <w:rsid w:val="00521568"/>
    <w:rsid w:val="005217DE"/>
    <w:rsid w:val="005222DA"/>
    <w:rsid w:val="00522643"/>
    <w:rsid w:val="00524D96"/>
    <w:rsid w:val="00524D99"/>
    <w:rsid w:val="00525B4E"/>
    <w:rsid w:val="0052716D"/>
    <w:rsid w:val="005277D3"/>
    <w:rsid w:val="00530B02"/>
    <w:rsid w:val="00531372"/>
    <w:rsid w:val="00532558"/>
    <w:rsid w:val="0053350D"/>
    <w:rsid w:val="00533602"/>
    <w:rsid w:val="0053411D"/>
    <w:rsid w:val="00534A7D"/>
    <w:rsid w:val="00534DB5"/>
    <w:rsid w:val="00535B4A"/>
    <w:rsid w:val="00535CF4"/>
    <w:rsid w:val="00537FCC"/>
    <w:rsid w:val="005417E4"/>
    <w:rsid w:val="00541ABE"/>
    <w:rsid w:val="00542273"/>
    <w:rsid w:val="00542A33"/>
    <w:rsid w:val="00543486"/>
    <w:rsid w:val="00543726"/>
    <w:rsid w:val="005446A8"/>
    <w:rsid w:val="00545868"/>
    <w:rsid w:val="005458EE"/>
    <w:rsid w:val="00545E6D"/>
    <w:rsid w:val="00547CF5"/>
    <w:rsid w:val="0055020B"/>
    <w:rsid w:val="00551759"/>
    <w:rsid w:val="00551DB7"/>
    <w:rsid w:val="00552AF1"/>
    <w:rsid w:val="00553BDA"/>
    <w:rsid w:val="00554536"/>
    <w:rsid w:val="00554868"/>
    <w:rsid w:val="00556066"/>
    <w:rsid w:val="00561141"/>
    <w:rsid w:val="00561984"/>
    <w:rsid w:val="00563354"/>
    <w:rsid w:val="00563407"/>
    <w:rsid w:val="005639CA"/>
    <w:rsid w:val="005639EA"/>
    <w:rsid w:val="00564E2C"/>
    <w:rsid w:val="0056722D"/>
    <w:rsid w:val="00567419"/>
    <w:rsid w:val="005677CA"/>
    <w:rsid w:val="005718BF"/>
    <w:rsid w:val="005729D2"/>
    <w:rsid w:val="00572CBE"/>
    <w:rsid w:val="005730A8"/>
    <w:rsid w:val="00573296"/>
    <w:rsid w:val="005738F7"/>
    <w:rsid w:val="00577399"/>
    <w:rsid w:val="00577FB6"/>
    <w:rsid w:val="0058132E"/>
    <w:rsid w:val="00581906"/>
    <w:rsid w:val="005849A5"/>
    <w:rsid w:val="00584AB5"/>
    <w:rsid w:val="005870B7"/>
    <w:rsid w:val="0058762C"/>
    <w:rsid w:val="0058769D"/>
    <w:rsid w:val="005876EE"/>
    <w:rsid w:val="00587E64"/>
    <w:rsid w:val="00590145"/>
    <w:rsid w:val="00591555"/>
    <w:rsid w:val="005918B5"/>
    <w:rsid w:val="00591AB8"/>
    <w:rsid w:val="0059286A"/>
    <w:rsid w:val="005932AF"/>
    <w:rsid w:val="00594573"/>
    <w:rsid w:val="00594B59"/>
    <w:rsid w:val="00594E46"/>
    <w:rsid w:val="00594F95"/>
    <w:rsid w:val="005973AE"/>
    <w:rsid w:val="00597D23"/>
    <w:rsid w:val="00597F31"/>
    <w:rsid w:val="005A00B7"/>
    <w:rsid w:val="005A04D6"/>
    <w:rsid w:val="005A48BF"/>
    <w:rsid w:val="005A691A"/>
    <w:rsid w:val="005B1665"/>
    <w:rsid w:val="005B1B2C"/>
    <w:rsid w:val="005B2C83"/>
    <w:rsid w:val="005B2EC5"/>
    <w:rsid w:val="005B3475"/>
    <w:rsid w:val="005B352F"/>
    <w:rsid w:val="005B415F"/>
    <w:rsid w:val="005B4931"/>
    <w:rsid w:val="005B52D1"/>
    <w:rsid w:val="005B59AA"/>
    <w:rsid w:val="005B7DD3"/>
    <w:rsid w:val="005C17A5"/>
    <w:rsid w:val="005C2930"/>
    <w:rsid w:val="005C2F61"/>
    <w:rsid w:val="005C3EB6"/>
    <w:rsid w:val="005C5440"/>
    <w:rsid w:val="005C751A"/>
    <w:rsid w:val="005D1E9B"/>
    <w:rsid w:val="005D3E00"/>
    <w:rsid w:val="005D4079"/>
    <w:rsid w:val="005D598B"/>
    <w:rsid w:val="005D6378"/>
    <w:rsid w:val="005D7FE7"/>
    <w:rsid w:val="005E0331"/>
    <w:rsid w:val="005E1FF9"/>
    <w:rsid w:val="005E2018"/>
    <w:rsid w:val="005E4F5B"/>
    <w:rsid w:val="005E5839"/>
    <w:rsid w:val="005E667B"/>
    <w:rsid w:val="005E6689"/>
    <w:rsid w:val="005E6CC4"/>
    <w:rsid w:val="005E6F05"/>
    <w:rsid w:val="005F0106"/>
    <w:rsid w:val="005F1A71"/>
    <w:rsid w:val="005F1C91"/>
    <w:rsid w:val="005F2F95"/>
    <w:rsid w:val="005F385A"/>
    <w:rsid w:val="005F4C61"/>
    <w:rsid w:val="005F59A3"/>
    <w:rsid w:val="006013DE"/>
    <w:rsid w:val="00601872"/>
    <w:rsid w:val="0060207D"/>
    <w:rsid w:val="00602AEF"/>
    <w:rsid w:val="00602EF3"/>
    <w:rsid w:val="00602FEB"/>
    <w:rsid w:val="00603018"/>
    <w:rsid w:val="00603776"/>
    <w:rsid w:val="00603B62"/>
    <w:rsid w:val="00603C11"/>
    <w:rsid w:val="00603DD3"/>
    <w:rsid w:val="00607BA7"/>
    <w:rsid w:val="0061198C"/>
    <w:rsid w:val="00611A01"/>
    <w:rsid w:val="00611D7E"/>
    <w:rsid w:val="0061334F"/>
    <w:rsid w:val="0061463D"/>
    <w:rsid w:val="00615514"/>
    <w:rsid w:val="00615953"/>
    <w:rsid w:val="00616451"/>
    <w:rsid w:val="00620B9D"/>
    <w:rsid w:val="006210CC"/>
    <w:rsid w:val="00621CA7"/>
    <w:rsid w:val="0062272E"/>
    <w:rsid w:val="00622AC0"/>
    <w:rsid w:val="00622FF7"/>
    <w:rsid w:val="006230CD"/>
    <w:rsid w:val="00623495"/>
    <w:rsid w:val="0062441B"/>
    <w:rsid w:val="00624D38"/>
    <w:rsid w:val="00625DC6"/>
    <w:rsid w:val="00626594"/>
    <w:rsid w:val="00630A3C"/>
    <w:rsid w:val="00631760"/>
    <w:rsid w:val="00632E5C"/>
    <w:rsid w:val="00633088"/>
    <w:rsid w:val="00633B99"/>
    <w:rsid w:val="00633C27"/>
    <w:rsid w:val="00634239"/>
    <w:rsid w:val="00635259"/>
    <w:rsid w:val="00635A74"/>
    <w:rsid w:val="00636006"/>
    <w:rsid w:val="00636109"/>
    <w:rsid w:val="00636C19"/>
    <w:rsid w:val="00641C30"/>
    <w:rsid w:val="006446E4"/>
    <w:rsid w:val="0064528B"/>
    <w:rsid w:val="00646A37"/>
    <w:rsid w:val="006470CE"/>
    <w:rsid w:val="00647F15"/>
    <w:rsid w:val="00650A02"/>
    <w:rsid w:val="00650CA9"/>
    <w:rsid w:val="006512B3"/>
    <w:rsid w:val="006525B8"/>
    <w:rsid w:val="0065449D"/>
    <w:rsid w:val="00656756"/>
    <w:rsid w:val="00657558"/>
    <w:rsid w:val="00657886"/>
    <w:rsid w:val="00660F0A"/>
    <w:rsid w:val="006611E1"/>
    <w:rsid w:val="00662698"/>
    <w:rsid w:val="006628FA"/>
    <w:rsid w:val="00662E7A"/>
    <w:rsid w:val="00663FFF"/>
    <w:rsid w:val="006649C4"/>
    <w:rsid w:val="00664D40"/>
    <w:rsid w:val="00670426"/>
    <w:rsid w:val="00670F5F"/>
    <w:rsid w:val="00672724"/>
    <w:rsid w:val="00672BD7"/>
    <w:rsid w:val="00673C43"/>
    <w:rsid w:val="0067482B"/>
    <w:rsid w:val="006755B7"/>
    <w:rsid w:val="00677370"/>
    <w:rsid w:val="0067784B"/>
    <w:rsid w:val="00677BEB"/>
    <w:rsid w:val="006809AC"/>
    <w:rsid w:val="00681CB4"/>
    <w:rsid w:val="00683B7F"/>
    <w:rsid w:val="00683D87"/>
    <w:rsid w:val="00686D96"/>
    <w:rsid w:val="0068739C"/>
    <w:rsid w:val="0068778D"/>
    <w:rsid w:val="00687A02"/>
    <w:rsid w:val="006901EA"/>
    <w:rsid w:val="00690C77"/>
    <w:rsid w:val="006939C3"/>
    <w:rsid w:val="006941D9"/>
    <w:rsid w:val="00694E8F"/>
    <w:rsid w:val="00695DEA"/>
    <w:rsid w:val="00695E9E"/>
    <w:rsid w:val="006961B5"/>
    <w:rsid w:val="00697BE4"/>
    <w:rsid w:val="006A0239"/>
    <w:rsid w:val="006A0CC9"/>
    <w:rsid w:val="006A10FF"/>
    <w:rsid w:val="006A13F7"/>
    <w:rsid w:val="006A27C6"/>
    <w:rsid w:val="006A3070"/>
    <w:rsid w:val="006A37C1"/>
    <w:rsid w:val="006A53E9"/>
    <w:rsid w:val="006A5785"/>
    <w:rsid w:val="006A647A"/>
    <w:rsid w:val="006B0FCF"/>
    <w:rsid w:val="006B255F"/>
    <w:rsid w:val="006B3ED7"/>
    <w:rsid w:val="006B6D27"/>
    <w:rsid w:val="006B71FD"/>
    <w:rsid w:val="006C1288"/>
    <w:rsid w:val="006C132F"/>
    <w:rsid w:val="006C2048"/>
    <w:rsid w:val="006C3BB3"/>
    <w:rsid w:val="006C3D0B"/>
    <w:rsid w:val="006C434B"/>
    <w:rsid w:val="006C4541"/>
    <w:rsid w:val="006C63D7"/>
    <w:rsid w:val="006C777D"/>
    <w:rsid w:val="006D0A97"/>
    <w:rsid w:val="006D0C2F"/>
    <w:rsid w:val="006D0C8C"/>
    <w:rsid w:val="006D0ECD"/>
    <w:rsid w:val="006D105B"/>
    <w:rsid w:val="006D2162"/>
    <w:rsid w:val="006D2525"/>
    <w:rsid w:val="006D3469"/>
    <w:rsid w:val="006D4441"/>
    <w:rsid w:val="006D4F4F"/>
    <w:rsid w:val="006D76B4"/>
    <w:rsid w:val="006D78CD"/>
    <w:rsid w:val="006E0BF4"/>
    <w:rsid w:val="006E1089"/>
    <w:rsid w:val="006E257F"/>
    <w:rsid w:val="006E2D6E"/>
    <w:rsid w:val="006E3554"/>
    <w:rsid w:val="006E4CF7"/>
    <w:rsid w:val="006E5BE0"/>
    <w:rsid w:val="006E6254"/>
    <w:rsid w:val="006E6270"/>
    <w:rsid w:val="006E6E84"/>
    <w:rsid w:val="006F0879"/>
    <w:rsid w:val="006F563B"/>
    <w:rsid w:val="006F584C"/>
    <w:rsid w:val="006F5B7F"/>
    <w:rsid w:val="006F6A92"/>
    <w:rsid w:val="006F715E"/>
    <w:rsid w:val="006F7E27"/>
    <w:rsid w:val="00700A5B"/>
    <w:rsid w:val="00700B9B"/>
    <w:rsid w:val="00701CD8"/>
    <w:rsid w:val="007022F4"/>
    <w:rsid w:val="007026B8"/>
    <w:rsid w:val="00704528"/>
    <w:rsid w:val="0070573D"/>
    <w:rsid w:val="0070794E"/>
    <w:rsid w:val="007103F2"/>
    <w:rsid w:val="0071078E"/>
    <w:rsid w:val="007107BB"/>
    <w:rsid w:val="0071124E"/>
    <w:rsid w:val="0071234A"/>
    <w:rsid w:val="00721789"/>
    <w:rsid w:val="00724616"/>
    <w:rsid w:val="0072605B"/>
    <w:rsid w:val="00726705"/>
    <w:rsid w:val="00726E2F"/>
    <w:rsid w:val="00727265"/>
    <w:rsid w:val="0073067F"/>
    <w:rsid w:val="00730D78"/>
    <w:rsid w:val="00730EE3"/>
    <w:rsid w:val="0073201B"/>
    <w:rsid w:val="00732FA8"/>
    <w:rsid w:val="00733580"/>
    <w:rsid w:val="0073373A"/>
    <w:rsid w:val="007342CE"/>
    <w:rsid w:val="00734D5E"/>
    <w:rsid w:val="007365CF"/>
    <w:rsid w:val="00740204"/>
    <w:rsid w:val="00741BE9"/>
    <w:rsid w:val="00742989"/>
    <w:rsid w:val="007431F7"/>
    <w:rsid w:val="007437EA"/>
    <w:rsid w:val="0074402F"/>
    <w:rsid w:val="00746D19"/>
    <w:rsid w:val="00746E7B"/>
    <w:rsid w:val="007470EF"/>
    <w:rsid w:val="0075288A"/>
    <w:rsid w:val="007529CE"/>
    <w:rsid w:val="00752C5C"/>
    <w:rsid w:val="00753CB5"/>
    <w:rsid w:val="007545B2"/>
    <w:rsid w:val="007549B4"/>
    <w:rsid w:val="007561B9"/>
    <w:rsid w:val="00760468"/>
    <w:rsid w:val="007605EC"/>
    <w:rsid w:val="00762EF4"/>
    <w:rsid w:val="00764172"/>
    <w:rsid w:val="00764491"/>
    <w:rsid w:val="00765007"/>
    <w:rsid w:val="00771DB5"/>
    <w:rsid w:val="007734B8"/>
    <w:rsid w:val="00773532"/>
    <w:rsid w:val="0077582F"/>
    <w:rsid w:val="00775961"/>
    <w:rsid w:val="00776804"/>
    <w:rsid w:val="00777692"/>
    <w:rsid w:val="0078026A"/>
    <w:rsid w:val="007809CE"/>
    <w:rsid w:val="00786D7E"/>
    <w:rsid w:val="007912FE"/>
    <w:rsid w:val="00791ABD"/>
    <w:rsid w:val="0079210F"/>
    <w:rsid w:val="00793FDF"/>
    <w:rsid w:val="00795152"/>
    <w:rsid w:val="00795423"/>
    <w:rsid w:val="007974E8"/>
    <w:rsid w:val="00797C5D"/>
    <w:rsid w:val="007A01E4"/>
    <w:rsid w:val="007A0FE4"/>
    <w:rsid w:val="007A13C6"/>
    <w:rsid w:val="007A14A7"/>
    <w:rsid w:val="007A22A6"/>
    <w:rsid w:val="007A29E3"/>
    <w:rsid w:val="007A42D5"/>
    <w:rsid w:val="007A451F"/>
    <w:rsid w:val="007A4E5E"/>
    <w:rsid w:val="007A552A"/>
    <w:rsid w:val="007A5A3E"/>
    <w:rsid w:val="007A7CCC"/>
    <w:rsid w:val="007B1272"/>
    <w:rsid w:val="007B2DF2"/>
    <w:rsid w:val="007B352F"/>
    <w:rsid w:val="007B37BC"/>
    <w:rsid w:val="007B3D48"/>
    <w:rsid w:val="007B49D5"/>
    <w:rsid w:val="007B61C4"/>
    <w:rsid w:val="007C0A9D"/>
    <w:rsid w:val="007C1E56"/>
    <w:rsid w:val="007C2EA9"/>
    <w:rsid w:val="007C31EB"/>
    <w:rsid w:val="007C320D"/>
    <w:rsid w:val="007C4ABE"/>
    <w:rsid w:val="007C67F2"/>
    <w:rsid w:val="007D01BA"/>
    <w:rsid w:val="007D035D"/>
    <w:rsid w:val="007D03E8"/>
    <w:rsid w:val="007D08CD"/>
    <w:rsid w:val="007D219F"/>
    <w:rsid w:val="007D314F"/>
    <w:rsid w:val="007D4D47"/>
    <w:rsid w:val="007D56CF"/>
    <w:rsid w:val="007D757A"/>
    <w:rsid w:val="007E22E3"/>
    <w:rsid w:val="007E231F"/>
    <w:rsid w:val="007E40AA"/>
    <w:rsid w:val="007E7B4C"/>
    <w:rsid w:val="007E7F67"/>
    <w:rsid w:val="007F066C"/>
    <w:rsid w:val="007F1875"/>
    <w:rsid w:val="007F2605"/>
    <w:rsid w:val="007F3873"/>
    <w:rsid w:val="007F5044"/>
    <w:rsid w:val="007F5066"/>
    <w:rsid w:val="007F7929"/>
    <w:rsid w:val="007F7FE5"/>
    <w:rsid w:val="008042BF"/>
    <w:rsid w:val="00805131"/>
    <w:rsid w:val="008052A4"/>
    <w:rsid w:val="008068BB"/>
    <w:rsid w:val="00806A71"/>
    <w:rsid w:val="00806C39"/>
    <w:rsid w:val="008105CB"/>
    <w:rsid w:val="00810AC6"/>
    <w:rsid w:val="00810C6E"/>
    <w:rsid w:val="00810C9A"/>
    <w:rsid w:val="008112E7"/>
    <w:rsid w:val="00812338"/>
    <w:rsid w:val="00813CFB"/>
    <w:rsid w:val="00816DCE"/>
    <w:rsid w:val="008200F9"/>
    <w:rsid w:val="00820E64"/>
    <w:rsid w:val="00820FA3"/>
    <w:rsid w:val="00821969"/>
    <w:rsid w:val="00824800"/>
    <w:rsid w:val="00824E39"/>
    <w:rsid w:val="00825E52"/>
    <w:rsid w:val="00827379"/>
    <w:rsid w:val="00831F90"/>
    <w:rsid w:val="0083291E"/>
    <w:rsid w:val="008331C7"/>
    <w:rsid w:val="008353CD"/>
    <w:rsid w:val="00835ABC"/>
    <w:rsid w:val="00835FE1"/>
    <w:rsid w:val="0084049B"/>
    <w:rsid w:val="00840989"/>
    <w:rsid w:val="00840B4F"/>
    <w:rsid w:val="00840F81"/>
    <w:rsid w:val="0084167D"/>
    <w:rsid w:val="008432FE"/>
    <w:rsid w:val="0084440A"/>
    <w:rsid w:val="00845ABC"/>
    <w:rsid w:val="00847959"/>
    <w:rsid w:val="00850BB6"/>
    <w:rsid w:val="00851B54"/>
    <w:rsid w:val="008526F9"/>
    <w:rsid w:val="00852B32"/>
    <w:rsid w:val="00855C91"/>
    <w:rsid w:val="00856D8B"/>
    <w:rsid w:val="00860340"/>
    <w:rsid w:val="008613FE"/>
    <w:rsid w:val="00861990"/>
    <w:rsid w:val="00861B46"/>
    <w:rsid w:val="00861FED"/>
    <w:rsid w:val="008638B3"/>
    <w:rsid w:val="008644A1"/>
    <w:rsid w:val="00865257"/>
    <w:rsid w:val="00870BE9"/>
    <w:rsid w:val="00871099"/>
    <w:rsid w:val="00871A3D"/>
    <w:rsid w:val="00871B2D"/>
    <w:rsid w:val="008726F8"/>
    <w:rsid w:val="0087338E"/>
    <w:rsid w:val="00873490"/>
    <w:rsid w:val="00873E34"/>
    <w:rsid w:val="008748BB"/>
    <w:rsid w:val="008759EB"/>
    <w:rsid w:val="00877898"/>
    <w:rsid w:val="0088014E"/>
    <w:rsid w:val="00880AA4"/>
    <w:rsid w:val="00881CFB"/>
    <w:rsid w:val="008822F4"/>
    <w:rsid w:val="008832FE"/>
    <w:rsid w:val="00883D04"/>
    <w:rsid w:val="00884A8F"/>
    <w:rsid w:val="008851AB"/>
    <w:rsid w:val="008852BF"/>
    <w:rsid w:val="00886651"/>
    <w:rsid w:val="008867A7"/>
    <w:rsid w:val="008921BA"/>
    <w:rsid w:val="00893E6A"/>
    <w:rsid w:val="00894668"/>
    <w:rsid w:val="00895643"/>
    <w:rsid w:val="00896366"/>
    <w:rsid w:val="008978C8"/>
    <w:rsid w:val="008A0996"/>
    <w:rsid w:val="008A0C94"/>
    <w:rsid w:val="008A22F3"/>
    <w:rsid w:val="008A3146"/>
    <w:rsid w:val="008A5462"/>
    <w:rsid w:val="008A57FC"/>
    <w:rsid w:val="008A686A"/>
    <w:rsid w:val="008A7967"/>
    <w:rsid w:val="008A7B3F"/>
    <w:rsid w:val="008A7B95"/>
    <w:rsid w:val="008B019A"/>
    <w:rsid w:val="008B0AA6"/>
    <w:rsid w:val="008B107A"/>
    <w:rsid w:val="008B29EE"/>
    <w:rsid w:val="008B2E11"/>
    <w:rsid w:val="008B477D"/>
    <w:rsid w:val="008B4C1C"/>
    <w:rsid w:val="008B4C80"/>
    <w:rsid w:val="008B688B"/>
    <w:rsid w:val="008B7CDC"/>
    <w:rsid w:val="008B7E37"/>
    <w:rsid w:val="008C0BC5"/>
    <w:rsid w:val="008C1106"/>
    <w:rsid w:val="008C126F"/>
    <w:rsid w:val="008C12AE"/>
    <w:rsid w:val="008C2EAF"/>
    <w:rsid w:val="008C3C64"/>
    <w:rsid w:val="008C6642"/>
    <w:rsid w:val="008C6EB2"/>
    <w:rsid w:val="008C72BE"/>
    <w:rsid w:val="008D01AA"/>
    <w:rsid w:val="008D0AC0"/>
    <w:rsid w:val="008D1AB3"/>
    <w:rsid w:val="008D3D48"/>
    <w:rsid w:val="008D4E35"/>
    <w:rsid w:val="008D5770"/>
    <w:rsid w:val="008D7257"/>
    <w:rsid w:val="008E004D"/>
    <w:rsid w:val="008E07BE"/>
    <w:rsid w:val="008E2C37"/>
    <w:rsid w:val="008E31C7"/>
    <w:rsid w:val="008E4613"/>
    <w:rsid w:val="008E4A4A"/>
    <w:rsid w:val="008E53DE"/>
    <w:rsid w:val="008E54C0"/>
    <w:rsid w:val="008E6086"/>
    <w:rsid w:val="008E627E"/>
    <w:rsid w:val="008F1DD6"/>
    <w:rsid w:val="008F2060"/>
    <w:rsid w:val="008F2AF6"/>
    <w:rsid w:val="008F303B"/>
    <w:rsid w:val="008F3E09"/>
    <w:rsid w:val="008F4791"/>
    <w:rsid w:val="008F78D5"/>
    <w:rsid w:val="00900377"/>
    <w:rsid w:val="00901C3E"/>
    <w:rsid w:val="00902638"/>
    <w:rsid w:val="0090298A"/>
    <w:rsid w:val="00903218"/>
    <w:rsid w:val="009042F0"/>
    <w:rsid w:val="00905A10"/>
    <w:rsid w:val="0091165E"/>
    <w:rsid w:val="009124B4"/>
    <w:rsid w:val="00913046"/>
    <w:rsid w:val="00914358"/>
    <w:rsid w:val="00915BAE"/>
    <w:rsid w:val="00915EEE"/>
    <w:rsid w:val="00916197"/>
    <w:rsid w:val="00920C2F"/>
    <w:rsid w:val="00920ECA"/>
    <w:rsid w:val="00921728"/>
    <w:rsid w:val="009217E5"/>
    <w:rsid w:val="00921B52"/>
    <w:rsid w:val="00921FFD"/>
    <w:rsid w:val="009225F4"/>
    <w:rsid w:val="00922C94"/>
    <w:rsid w:val="00924DC8"/>
    <w:rsid w:val="00925F6F"/>
    <w:rsid w:val="0092635F"/>
    <w:rsid w:val="00927304"/>
    <w:rsid w:val="00927D51"/>
    <w:rsid w:val="009305D7"/>
    <w:rsid w:val="00931B54"/>
    <w:rsid w:val="009333E7"/>
    <w:rsid w:val="00933BA6"/>
    <w:rsid w:val="00933C3A"/>
    <w:rsid w:val="009342DF"/>
    <w:rsid w:val="0093444B"/>
    <w:rsid w:val="00935032"/>
    <w:rsid w:val="00935F1D"/>
    <w:rsid w:val="00936799"/>
    <w:rsid w:val="009409BF"/>
    <w:rsid w:val="00941625"/>
    <w:rsid w:val="00943469"/>
    <w:rsid w:val="00944139"/>
    <w:rsid w:val="00944B0F"/>
    <w:rsid w:val="00944E72"/>
    <w:rsid w:val="00945035"/>
    <w:rsid w:val="0094580F"/>
    <w:rsid w:val="009470F7"/>
    <w:rsid w:val="009508CA"/>
    <w:rsid w:val="00950F62"/>
    <w:rsid w:val="00952091"/>
    <w:rsid w:val="00953E81"/>
    <w:rsid w:val="00955D08"/>
    <w:rsid w:val="00955F7E"/>
    <w:rsid w:val="009570A8"/>
    <w:rsid w:val="00960AA3"/>
    <w:rsid w:val="00960AA7"/>
    <w:rsid w:val="0096173B"/>
    <w:rsid w:val="00961966"/>
    <w:rsid w:val="00961D1D"/>
    <w:rsid w:val="00962195"/>
    <w:rsid w:val="00962523"/>
    <w:rsid w:val="00962DCB"/>
    <w:rsid w:val="00963FB2"/>
    <w:rsid w:val="00967468"/>
    <w:rsid w:val="00967D09"/>
    <w:rsid w:val="0097101F"/>
    <w:rsid w:val="00973B3E"/>
    <w:rsid w:val="0097483E"/>
    <w:rsid w:val="009756AC"/>
    <w:rsid w:val="00976F41"/>
    <w:rsid w:val="009776C0"/>
    <w:rsid w:val="0098003A"/>
    <w:rsid w:val="00982840"/>
    <w:rsid w:val="00984F8D"/>
    <w:rsid w:val="009851D5"/>
    <w:rsid w:val="009860F7"/>
    <w:rsid w:val="00992882"/>
    <w:rsid w:val="00992B3B"/>
    <w:rsid w:val="009938A0"/>
    <w:rsid w:val="009958E2"/>
    <w:rsid w:val="0099615E"/>
    <w:rsid w:val="009962DC"/>
    <w:rsid w:val="00996636"/>
    <w:rsid w:val="009968BD"/>
    <w:rsid w:val="00996C75"/>
    <w:rsid w:val="009972B1"/>
    <w:rsid w:val="009A0C21"/>
    <w:rsid w:val="009A1F2D"/>
    <w:rsid w:val="009A21C8"/>
    <w:rsid w:val="009A2DC8"/>
    <w:rsid w:val="009A36A5"/>
    <w:rsid w:val="009A5AC6"/>
    <w:rsid w:val="009A5E71"/>
    <w:rsid w:val="009A7942"/>
    <w:rsid w:val="009A7E95"/>
    <w:rsid w:val="009B03CB"/>
    <w:rsid w:val="009B1358"/>
    <w:rsid w:val="009B1651"/>
    <w:rsid w:val="009B36CB"/>
    <w:rsid w:val="009B3A45"/>
    <w:rsid w:val="009B3C81"/>
    <w:rsid w:val="009B3D41"/>
    <w:rsid w:val="009B4E77"/>
    <w:rsid w:val="009B5873"/>
    <w:rsid w:val="009B6887"/>
    <w:rsid w:val="009C2D15"/>
    <w:rsid w:val="009C52C3"/>
    <w:rsid w:val="009C67CE"/>
    <w:rsid w:val="009D085E"/>
    <w:rsid w:val="009D3A0E"/>
    <w:rsid w:val="009D3F0A"/>
    <w:rsid w:val="009D41FA"/>
    <w:rsid w:val="009D482C"/>
    <w:rsid w:val="009D54B5"/>
    <w:rsid w:val="009D623F"/>
    <w:rsid w:val="009D6B77"/>
    <w:rsid w:val="009D74D2"/>
    <w:rsid w:val="009E15A2"/>
    <w:rsid w:val="009E17F2"/>
    <w:rsid w:val="009E314D"/>
    <w:rsid w:val="009E340F"/>
    <w:rsid w:val="009E47D1"/>
    <w:rsid w:val="009E616B"/>
    <w:rsid w:val="009E7091"/>
    <w:rsid w:val="009E7B20"/>
    <w:rsid w:val="009E7B8E"/>
    <w:rsid w:val="009F033A"/>
    <w:rsid w:val="009F1107"/>
    <w:rsid w:val="009F3A2A"/>
    <w:rsid w:val="009F5207"/>
    <w:rsid w:val="009F5BC6"/>
    <w:rsid w:val="009F6045"/>
    <w:rsid w:val="009F65BD"/>
    <w:rsid w:val="00A00665"/>
    <w:rsid w:val="00A01070"/>
    <w:rsid w:val="00A01949"/>
    <w:rsid w:val="00A03D9C"/>
    <w:rsid w:val="00A07526"/>
    <w:rsid w:val="00A1015C"/>
    <w:rsid w:val="00A10EF3"/>
    <w:rsid w:val="00A13981"/>
    <w:rsid w:val="00A1476B"/>
    <w:rsid w:val="00A14ED4"/>
    <w:rsid w:val="00A1533C"/>
    <w:rsid w:val="00A15370"/>
    <w:rsid w:val="00A15590"/>
    <w:rsid w:val="00A170D6"/>
    <w:rsid w:val="00A17ADA"/>
    <w:rsid w:val="00A22530"/>
    <w:rsid w:val="00A226C6"/>
    <w:rsid w:val="00A22984"/>
    <w:rsid w:val="00A22EC6"/>
    <w:rsid w:val="00A245FD"/>
    <w:rsid w:val="00A2513B"/>
    <w:rsid w:val="00A25862"/>
    <w:rsid w:val="00A25FDB"/>
    <w:rsid w:val="00A26D84"/>
    <w:rsid w:val="00A30540"/>
    <w:rsid w:val="00A31D60"/>
    <w:rsid w:val="00A33E9C"/>
    <w:rsid w:val="00A34F47"/>
    <w:rsid w:val="00A372BA"/>
    <w:rsid w:val="00A406DC"/>
    <w:rsid w:val="00A42170"/>
    <w:rsid w:val="00A42990"/>
    <w:rsid w:val="00A42AA5"/>
    <w:rsid w:val="00A43A12"/>
    <w:rsid w:val="00A45266"/>
    <w:rsid w:val="00A46823"/>
    <w:rsid w:val="00A47304"/>
    <w:rsid w:val="00A47682"/>
    <w:rsid w:val="00A47964"/>
    <w:rsid w:val="00A517CE"/>
    <w:rsid w:val="00A52AD5"/>
    <w:rsid w:val="00A556B9"/>
    <w:rsid w:val="00A5573D"/>
    <w:rsid w:val="00A55F55"/>
    <w:rsid w:val="00A56213"/>
    <w:rsid w:val="00A57A59"/>
    <w:rsid w:val="00A61A94"/>
    <w:rsid w:val="00A61B26"/>
    <w:rsid w:val="00A628B4"/>
    <w:rsid w:val="00A62AA8"/>
    <w:rsid w:val="00A63992"/>
    <w:rsid w:val="00A6431F"/>
    <w:rsid w:val="00A647DA"/>
    <w:rsid w:val="00A65E25"/>
    <w:rsid w:val="00A660AA"/>
    <w:rsid w:val="00A66247"/>
    <w:rsid w:val="00A665C0"/>
    <w:rsid w:val="00A66877"/>
    <w:rsid w:val="00A70593"/>
    <w:rsid w:val="00A705E9"/>
    <w:rsid w:val="00A706A7"/>
    <w:rsid w:val="00A70C52"/>
    <w:rsid w:val="00A70EE3"/>
    <w:rsid w:val="00A7314D"/>
    <w:rsid w:val="00A74FFD"/>
    <w:rsid w:val="00A751D9"/>
    <w:rsid w:val="00A77576"/>
    <w:rsid w:val="00A778A9"/>
    <w:rsid w:val="00A8086A"/>
    <w:rsid w:val="00A80DA8"/>
    <w:rsid w:val="00A839CA"/>
    <w:rsid w:val="00A84C2B"/>
    <w:rsid w:val="00A85B0C"/>
    <w:rsid w:val="00A85C4C"/>
    <w:rsid w:val="00A901B2"/>
    <w:rsid w:val="00A90427"/>
    <w:rsid w:val="00A91662"/>
    <w:rsid w:val="00A91941"/>
    <w:rsid w:val="00A9272F"/>
    <w:rsid w:val="00A92F49"/>
    <w:rsid w:val="00A930EB"/>
    <w:rsid w:val="00A93148"/>
    <w:rsid w:val="00A9745A"/>
    <w:rsid w:val="00A97BA0"/>
    <w:rsid w:val="00AA0942"/>
    <w:rsid w:val="00AA0BE9"/>
    <w:rsid w:val="00AA1C15"/>
    <w:rsid w:val="00AA225C"/>
    <w:rsid w:val="00AA2914"/>
    <w:rsid w:val="00AA43E0"/>
    <w:rsid w:val="00AA55FD"/>
    <w:rsid w:val="00AB114F"/>
    <w:rsid w:val="00AB1C98"/>
    <w:rsid w:val="00AB21E1"/>
    <w:rsid w:val="00AB2C33"/>
    <w:rsid w:val="00AB400D"/>
    <w:rsid w:val="00AB4336"/>
    <w:rsid w:val="00AB547A"/>
    <w:rsid w:val="00AB6936"/>
    <w:rsid w:val="00AB6B08"/>
    <w:rsid w:val="00AB7EDF"/>
    <w:rsid w:val="00AC01AB"/>
    <w:rsid w:val="00AC1EAD"/>
    <w:rsid w:val="00AC2585"/>
    <w:rsid w:val="00AC2782"/>
    <w:rsid w:val="00AC3A55"/>
    <w:rsid w:val="00AC427C"/>
    <w:rsid w:val="00AC63D7"/>
    <w:rsid w:val="00AC6627"/>
    <w:rsid w:val="00AC7C28"/>
    <w:rsid w:val="00AC7E22"/>
    <w:rsid w:val="00AD06F0"/>
    <w:rsid w:val="00AD158C"/>
    <w:rsid w:val="00AD36FB"/>
    <w:rsid w:val="00AD37AD"/>
    <w:rsid w:val="00AD49C9"/>
    <w:rsid w:val="00AD51A5"/>
    <w:rsid w:val="00AD6A46"/>
    <w:rsid w:val="00AE06AB"/>
    <w:rsid w:val="00AE07D3"/>
    <w:rsid w:val="00AE07E1"/>
    <w:rsid w:val="00AE0AA1"/>
    <w:rsid w:val="00AE342B"/>
    <w:rsid w:val="00AE409F"/>
    <w:rsid w:val="00AE41CC"/>
    <w:rsid w:val="00AE4664"/>
    <w:rsid w:val="00AE5265"/>
    <w:rsid w:val="00AE5288"/>
    <w:rsid w:val="00AE62EE"/>
    <w:rsid w:val="00AE66AF"/>
    <w:rsid w:val="00AF3909"/>
    <w:rsid w:val="00AF48FC"/>
    <w:rsid w:val="00AF51AF"/>
    <w:rsid w:val="00AF60B5"/>
    <w:rsid w:val="00AF6CBD"/>
    <w:rsid w:val="00AF7383"/>
    <w:rsid w:val="00B0091C"/>
    <w:rsid w:val="00B00DEF"/>
    <w:rsid w:val="00B01F73"/>
    <w:rsid w:val="00B02B9D"/>
    <w:rsid w:val="00B03123"/>
    <w:rsid w:val="00B03A43"/>
    <w:rsid w:val="00B0471A"/>
    <w:rsid w:val="00B049A6"/>
    <w:rsid w:val="00B05A1B"/>
    <w:rsid w:val="00B067A5"/>
    <w:rsid w:val="00B06A3D"/>
    <w:rsid w:val="00B07F0C"/>
    <w:rsid w:val="00B13AFA"/>
    <w:rsid w:val="00B14225"/>
    <w:rsid w:val="00B143EC"/>
    <w:rsid w:val="00B16483"/>
    <w:rsid w:val="00B16DA3"/>
    <w:rsid w:val="00B16F7F"/>
    <w:rsid w:val="00B179AB"/>
    <w:rsid w:val="00B23F29"/>
    <w:rsid w:val="00B255B2"/>
    <w:rsid w:val="00B25895"/>
    <w:rsid w:val="00B2657C"/>
    <w:rsid w:val="00B26941"/>
    <w:rsid w:val="00B27704"/>
    <w:rsid w:val="00B3084D"/>
    <w:rsid w:val="00B3374C"/>
    <w:rsid w:val="00B344FB"/>
    <w:rsid w:val="00B35A5B"/>
    <w:rsid w:val="00B3664E"/>
    <w:rsid w:val="00B37E9D"/>
    <w:rsid w:val="00B40CB9"/>
    <w:rsid w:val="00B43F71"/>
    <w:rsid w:val="00B514E6"/>
    <w:rsid w:val="00B53414"/>
    <w:rsid w:val="00B53452"/>
    <w:rsid w:val="00B53E7C"/>
    <w:rsid w:val="00B54772"/>
    <w:rsid w:val="00B54AE9"/>
    <w:rsid w:val="00B55466"/>
    <w:rsid w:val="00B55792"/>
    <w:rsid w:val="00B562B0"/>
    <w:rsid w:val="00B56E2B"/>
    <w:rsid w:val="00B60CE3"/>
    <w:rsid w:val="00B60E1E"/>
    <w:rsid w:val="00B61A91"/>
    <w:rsid w:val="00B61E63"/>
    <w:rsid w:val="00B6310D"/>
    <w:rsid w:val="00B64212"/>
    <w:rsid w:val="00B64386"/>
    <w:rsid w:val="00B64A94"/>
    <w:rsid w:val="00B662CA"/>
    <w:rsid w:val="00B67D7D"/>
    <w:rsid w:val="00B70769"/>
    <w:rsid w:val="00B71A69"/>
    <w:rsid w:val="00B7258B"/>
    <w:rsid w:val="00B72923"/>
    <w:rsid w:val="00B7349D"/>
    <w:rsid w:val="00B736D6"/>
    <w:rsid w:val="00B747E8"/>
    <w:rsid w:val="00B7521D"/>
    <w:rsid w:val="00B76113"/>
    <w:rsid w:val="00B77F11"/>
    <w:rsid w:val="00B8024D"/>
    <w:rsid w:val="00B8190A"/>
    <w:rsid w:val="00B81FAF"/>
    <w:rsid w:val="00B82106"/>
    <w:rsid w:val="00B82D6A"/>
    <w:rsid w:val="00B82DC8"/>
    <w:rsid w:val="00B83879"/>
    <w:rsid w:val="00B83CD0"/>
    <w:rsid w:val="00B8573C"/>
    <w:rsid w:val="00B85880"/>
    <w:rsid w:val="00B85F57"/>
    <w:rsid w:val="00B86662"/>
    <w:rsid w:val="00B879A0"/>
    <w:rsid w:val="00B926E8"/>
    <w:rsid w:val="00B92702"/>
    <w:rsid w:val="00B93285"/>
    <w:rsid w:val="00B93D5A"/>
    <w:rsid w:val="00B93F01"/>
    <w:rsid w:val="00B94CE8"/>
    <w:rsid w:val="00B956BA"/>
    <w:rsid w:val="00B95ECB"/>
    <w:rsid w:val="00B979B6"/>
    <w:rsid w:val="00BA3AC2"/>
    <w:rsid w:val="00BA45E9"/>
    <w:rsid w:val="00BA55AA"/>
    <w:rsid w:val="00BA5A2F"/>
    <w:rsid w:val="00BA5D75"/>
    <w:rsid w:val="00BA77DC"/>
    <w:rsid w:val="00BB1BE7"/>
    <w:rsid w:val="00BB2743"/>
    <w:rsid w:val="00BB288B"/>
    <w:rsid w:val="00BB2F75"/>
    <w:rsid w:val="00BB372F"/>
    <w:rsid w:val="00BB3BCB"/>
    <w:rsid w:val="00BB4A40"/>
    <w:rsid w:val="00BB4E56"/>
    <w:rsid w:val="00BB7801"/>
    <w:rsid w:val="00BC115A"/>
    <w:rsid w:val="00BC2B0D"/>
    <w:rsid w:val="00BC37E5"/>
    <w:rsid w:val="00BC46C7"/>
    <w:rsid w:val="00BC4937"/>
    <w:rsid w:val="00BC5A60"/>
    <w:rsid w:val="00BC68DB"/>
    <w:rsid w:val="00BC6C4E"/>
    <w:rsid w:val="00BC6F64"/>
    <w:rsid w:val="00BC7060"/>
    <w:rsid w:val="00BD215F"/>
    <w:rsid w:val="00BD262F"/>
    <w:rsid w:val="00BD2A85"/>
    <w:rsid w:val="00BD3B75"/>
    <w:rsid w:val="00BD4C30"/>
    <w:rsid w:val="00BD5E5D"/>
    <w:rsid w:val="00BD60BB"/>
    <w:rsid w:val="00BD615D"/>
    <w:rsid w:val="00BD7947"/>
    <w:rsid w:val="00BE1CDD"/>
    <w:rsid w:val="00BE1D39"/>
    <w:rsid w:val="00BE323E"/>
    <w:rsid w:val="00BE3CCF"/>
    <w:rsid w:val="00BE45E4"/>
    <w:rsid w:val="00BE60A1"/>
    <w:rsid w:val="00BE6139"/>
    <w:rsid w:val="00BE6A63"/>
    <w:rsid w:val="00BE6E9B"/>
    <w:rsid w:val="00BE790A"/>
    <w:rsid w:val="00BE7B58"/>
    <w:rsid w:val="00BE7D38"/>
    <w:rsid w:val="00BF09B8"/>
    <w:rsid w:val="00BF0F3D"/>
    <w:rsid w:val="00BF123F"/>
    <w:rsid w:val="00BF1C27"/>
    <w:rsid w:val="00BF2905"/>
    <w:rsid w:val="00BF3408"/>
    <w:rsid w:val="00BF5B52"/>
    <w:rsid w:val="00BF6896"/>
    <w:rsid w:val="00BF6AC2"/>
    <w:rsid w:val="00BF6B37"/>
    <w:rsid w:val="00BF6E09"/>
    <w:rsid w:val="00BF7827"/>
    <w:rsid w:val="00C00FFC"/>
    <w:rsid w:val="00C03084"/>
    <w:rsid w:val="00C031A5"/>
    <w:rsid w:val="00C03458"/>
    <w:rsid w:val="00C045D5"/>
    <w:rsid w:val="00C048E9"/>
    <w:rsid w:val="00C05DF5"/>
    <w:rsid w:val="00C062C1"/>
    <w:rsid w:val="00C06729"/>
    <w:rsid w:val="00C10F13"/>
    <w:rsid w:val="00C11B61"/>
    <w:rsid w:val="00C1302A"/>
    <w:rsid w:val="00C148D8"/>
    <w:rsid w:val="00C14EEF"/>
    <w:rsid w:val="00C15887"/>
    <w:rsid w:val="00C201EA"/>
    <w:rsid w:val="00C22163"/>
    <w:rsid w:val="00C22DD2"/>
    <w:rsid w:val="00C23019"/>
    <w:rsid w:val="00C25B23"/>
    <w:rsid w:val="00C26367"/>
    <w:rsid w:val="00C2663F"/>
    <w:rsid w:val="00C267D6"/>
    <w:rsid w:val="00C26BB8"/>
    <w:rsid w:val="00C274F7"/>
    <w:rsid w:val="00C27E98"/>
    <w:rsid w:val="00C30D41"/>
    <w:rsid w:val="00C347BE"/>
    <w:rsid w:val="00C36195"/>
    <w:rsid w:val="00C36591"/>
    <w:rsid w:val="00C43D86"/>
    <w:rsid w:val="00C44FBB"/>
    <w:rsid w:val="00C46899"/>
    <w:rsid w:val="00C46C11"/>
    <w:rsid w:val="00C51972"/>
    <w:rsid w:val="00C519D2"/>
    <w:rsid w:val="00C5219D"/>
    <w:rsid w:val="00C52C6F"/>
    <w:rsid w:val="00C5338E"/>
    <w:rsid w:val="00C53B84"/>
    <w:rsid w:val="00C55E95"/>
    <w:rsid w:val="00C57E8A"/>
    <w:rsid w:val="00C60770"/>
    <w:rsid w:val="00C609B7"/>
    <w:rsid w:val="00C61021"/>
    <w:rsid w:val="00C62296"/>
    <w:rsid w:val="00C629C3"/>
    <w:rsid w:val="00C6588A"/>
    <w:rsid w:val="00C65F96"/>
    <w:rsid w:val="00C663DB"/>
    <w:rsid w:val="00C66830"/>
    <w:rsid w:val="00C71813"/>
    <w:rsid w:val="00C72C54"/>
    <w:rsid w:val="00C72E93"/>
    <w:rsid w:val="00C741D4"/>
    <w:rsid w:val="00C75C3C"/>
    <w:rsid w:val="00C76C4C"/>
    <w:rsid w:val="00C77606"/>
    <w:rsid w:val="00C778E4"/>
    <w:rsid w:val="00C779CF"/>
    <w:rsid w:val="00C804D1"/>
    <w:rsid w:val="00C804E6"/>
    <w:rsid w:val="00C835C9"/>
    <w:rsid w:val="00C83955"/>
    <w:rsid w:val="00C84CC4"/>
    <w:rsid w:val="00C852D2"/>
    <w:rsid w:val="00C86C59"/>
    <w:rsid w:val="00C87414"/>
    <w:rsid w:val="00C93312"/>
    <w:rsid w:val="00C94130"/>
    <w:rsid w:val="00C94F3F"/>
    <w:rsid w:val="00C96833"/>
    <w:rsid w:val="00C9691F"/>
    <w:rsid w:val="00C972A4"/>
    <w:rsid w:val="00CA2FDC"/>
    <w:rsid w:val="00CA3298"/>
    <w:rsid w:val="00CA3887"/>
    <w:rsid w:val="00CA4B1A"/>
    <w:rsid w:val="00CA5465"/>
    <w:rsid w:val="00CA557D"/>
    <w:rsid w:val="00CA6385"/>
    <w:rsid w:val="00CA71B0"/>
    <w:rsid w:val="00CA77B2"/>
    <w:rsid w:val="00CB05F2"/>
    <w:rsid w:val="00CB287B"/>
    <w:rsid w:val="00CB3135"/>
    <w:rsid w:val="00CB3329"/>
    <w:rsid w:val="00CB5498"/>
    <w:rsid w:val="00CB6D67"/>
    <w:rsid w:val="00CB7B33"/>
    <w:rsid w:val="00CC02E0"/>
    <w:rsid w:val="00CC0888"/>
    <w:rsid w:val="00CC1E90"/>
    <w:rsid w:val="00CC280F"/>
    <w:rsid w:val="00CC5ACE"/>
    <w:rsid w:val="00CC5F0C"/>
    <w:rsid w:val="00CC6812"/>
    <w:rsid w:val="00CC7ED0"/>
    <w:rsid w:val="00CD000C"/>
    <w:rsid w:val="00CD2F03"/>
    <w:rsid w:val="00CD5F26"/>
    <w:rsid w:val="00CD693B"/>
    <w:rsid w:val="00CD71B2"/>
    <w:rsid w:val="00CD7F12"/>
    <w:rsid w:val="00CE2EFF"/>
    <w:rsid w:val="00CE3BBC"/>
    <w:rsid w:val="00CE4C93"/>
    <w:rsid w:val="00CE5591"/>
    <w:rsid w:val="00CE59A8"/>
    <w:rsid w:val="00CE5A33"/>
    <w:rsid w:val="00CE6C57"/>
    <w:rsid w:val="00CE6DD8"/>
    <w:rsid w:val="00CE706A"/>
    <w:rsid w:val="00CE78BC"/>
    <w:rsid w:val="00CF048E"/>
    <w:rsid w:val="00CF06DE"/>
    <w:rsid w:val="00CF0DD4"/>
    <w:rsid w:val="00CF1071"/>
    <w:rsid w:val="00CF3281"/>
    <w:rsid w:val="00CF4EF8"/>
    <w:rsid w:val="00CF6408"/>
    <w:rsid w:val="00CF751D"/>
    <w:rsid w:val="00CF79BD"/>
    <w:rsid w:val="00CF7AB2"/>
    <w:rsid w:val="00D014D0"/>
    <w:rsid w:val="00D01B03"/>
    <w:rsid w:val="00D04E51"/>
    <w:rsid w:val="00D05062"/>
    <w:rsid w:val="00D0560E"/>
    <w:rsid w:val="00D057F4"/>
    <w:rsid w:val="00D05E28"/>
    <w:rsid w:val="00D0739D"/>
    <w:rsid w:val="00D07C93"/>
    <w:rsid w:val="00D10466"/>
    <w:rsid w:val="00D112F8"/>
    <w:rsid w:val="00D11D71"/>
    <w:rsid w:val="00D126C3"/>
    <w:rsid w:val="00D127AE"/>
    <w:rsid w:val="00D14427"/>
    <w:rsid w:val="00D149FF"/>
    <w:rsid w:val="00D14B60"/>
    <w:rsid w:val="00D1640E"/>
    <w:rsid w:val="00D20811"/>
    <w:rsid w:val="00D20D80"/>
    <w:rsid w:val="00D22540"/>
    <w:rsid w:val="00D2305E"/>
    <w:rsid w:val="00D236D2"/>
    <w:rsid w:val="00D24F32"/>
    <w:rsid w:val="00D256EE"/>
    <w:rsid w:val="00D27B7B"/>
    <w:rsid w:val="00D30347"/>
    <w:rsid w:val="00D30BD3"/>
    <w:rsid w:val="00D31632"/>
    <w:rsid w:val="00D31DDB"/>
    <w:rsid w:val="00D32019"/>
    <w:rsid w:val="00D33CD8"/>
    <w:rsid w:val="00D373EB"/>
    <w:rsid w:val="00D37494"/>
    <w:rsid w:val="00D402B5"/>
    <w:rsid w:val="00D42665"/>
    <w:rsid w:val="00D42B93"/>
    <w:rsid w:val="00D42FC7"/>
    <w:rsid w:val="00D44054"/>
    <w:rsid w:val="00D474C6"/>
    <w:rsid w:val="00D47D7E"/>
    <w:rsid w:val="00D513CB"/>
    <w:rsid w:val="00D519F9"/>
    <w:rsid w:val="00D51AC8"/>
    <w:rsid w:val="00D52C72"/>
    <w:rsid w:val="00D560CD"/>
    <w:rsid w:val="00D5666F"/>
    <w:rsid w:val="00D57451"/>
    <w:rsid w:val="00D57458"/>
    <w:rsid w:val="00D577BB"/>
    <w:rsid w:val="00D61627"/>
    <w:rsid w:val="00D6294E"/>
    <w:rsid w:val="00D63AC9"/>
    <w:rsid w:val="00D63DEA"/>
    <w:rsid w:val="00D65F67"/>
    <w:rsid w:val="00D666CF"/>
    <w:rsid w:val="00D666D1"/>
    <w:rsid w:val="00D67F2D"/>
    <w:rsid w:val="00D70016"/>
    <w:rsid w:val="00D7032D"/>
    <w:rsid w:val="00D70634"/>
    <w:rsid w:val="00D71F4F"/>
    <w:rsid w:val="00D74134"/>
    <w:rsid w:val="00D77233"/>
    <w:rsid w:val="00D77B4D"/>
    <w:rsid w:val="00D81C4A"/>
    <w:rsid w:val="00D829EE"/>
    <w:rsid w:val="00D835A1"/>
    <w:rsid w:val="00D83BFB"/>
    <w:rsid w:val="00D849DE"/>
    <w:rsid w:val="00D85DF7"/>
    <w:rsid w:val="00D8641F"/>
    <w:rsid w:val="00D8695A"/>
    <w:rsid w:val="00D90EBF"/>
    <w:rsid w:val="00D91B5B"/>
    <w:rsid w:val="00D92236"/>
    <w:rsid w:val="00D957C4"/>
    <w:rsid w:val="00D96296"/>
    <w:rsid w:val="00D97292"/>
    <w:rsid w:val="00D9733E"/>
    <w:rsid w:val="00DA0663"/>
    <w:rsid w:val="00DA0E1D"/>
    <w:rsid w:val="00DA126A"/>
    <w:rsid w:val="00DA25A5"/>
    <w:rsid w:val="00DA3436"/>
    <w:rsid w:val="00DA35BB"/>
    <w:rsid w:val="00DA5567"/>
    <w:rsid w:val="00DA732C"/>
    <w:rsid w:val="00DA7A77"/>
    <w:rsid w:val="00DA7F73"/>
    <w:rsid w:val="00DB25E5"/>
    <w:rsid w:val="00DB31C0"/>
    <w:rsid w:val="00DB47A0"/>
    <w:rsid w:val="00DB4801"/>
    <w:rsid w:val="00DB4E00"/>
    <w:rsid w:val="00DB50FE"/>
    <w:rsid w:val="00DB6A00"/>
    <w:rsid w:val="00DB725D"/>
    <w:rsid w:val="00DB73AE"/>
    <w:rsid w:val="00DB74EE"/>
    <w:rsid w:val="00DB766A"/>
    <w:rsid w:val="00DB7D10"/>
    <w:rsid w:val="00DB7E62"/>
    <w:rsid w:val="00DC05AE"/>
    <w:rsid w:val="00DC121F"/>
    <w:rsid w:val="00DC249B"/>
    <w:rsid w:val="00DC26EF"/>
    <w:rsid w:val="00DC29DA"/>
    <w:rsid w:val="00DC4652"/>
    <w:rsid w:val="00DC58E7"/>
    <w:rsid w:val="00DC5CC4"/>
    <w:rsid w:val="00DC73B8"/>
    <w:rsid w:val="00DC7D19"/>
    <w:rsid w:val="00DD09F1"/>
    <w:rsid w:val="00DD0B2A"/>
    <w:rsid w:val="00DD1357"/>
    <w:rsid w:val="00DD2391"/>
    <w:rsid w:val="00DD35E4"/>
    <w:rsid w:val="00DD48E3"/>
    <w:rsid w:val="00DD499B"/>
    <w:rsid w:val="00DD4A74"/>
    <w:rsid w:val="00DD572A"/>
    <w:rsid w:val="00DD72A5"/>
    <w:rsid w:val="00DE17A4"/>
    <w:rsid w:val="00DE1F51"/>
    <w:rsid w:val="00DE2311"/>
    <w:rsid w:val="00DE2676"/>
    <w:rsid w:val="00DE386C"/>
    <w:rsid w:val="00DE5ADC"/>
    <w:rsid w:val="00DE7DD6"/>
    <w:rsid w:val="00DF136D"/>
    <w:rsid w:val="00DF1DDA"/>
    <w:rsid w:val="00DF2C49"/>
    <w:rsid w:val="00DF2E8E"/>
    <w:rsid w:val="00DF3B9C"/>
    <w:rsid w:val="00DF4F8C"/>
    <w:rsid w:val="00DF66B4"/>
    <w:rsid w:val="00DF7C22"/>
    <w:rsid w:val="00DF7CA2"/>
    <w:rsid w:val="00E003B1"/>
    <w:rsid w:val="00E005D9"/>
    <w:rsid w:val="00E020BB"/>
    <w:rsid w:val="00E02693"/>
    <w:rsid w:val="00E03215"/>
    <w:rsid w:val="00E040B9"/>
    <w:rsid w:val="00E0555A"/>
    <w:rsid w:val="00E05F48"/>
    <w:rsid w:val="00E068A3"/>
    <w:rsid w:val="00E07639"/>
    <w:rsid w:val="00E07DEF"/>
    <w:rsid w:val="00E11037"/>
    <w:rsid w:val="00E11096"/>
    <w:rsid w:val="00E1172D"/>
    <w:rsid w:val="00E11E35"/>
    <w:rsid w:val="00E13F2E"/>
    <w:rsid w:val="00E1488E"/>
    <w:rsid w:val="00E14EB0"/>
    <w:rsid w:val="00E1636A"/>
    <w:rsid w:val="00E168FB"/>
    <w:rsid w:val="00E16B06"/>
    <w:rsid w:val="00E1745A"/>
    <w:rsid w:val="00E17724"/>
    <w:rsid w:val="00E23305"/>
    <w:rsid w:val="00E249AE"/>
    <w:rsid w:val="00E24DF6"/>
    <w:rsid w:val="00E26392"/>
    <w:rsid w:val="00E2660E"/>
    <w:rsid w:val="00E2732A"/>
    <w:rsid w:val="00E2755C"/>
    <w:rsid w:val="00E27B56"/>
    <w:rsid w:val="00E27DEE"/>
    <w:rsid w:val="00E27F41"/>
    <w:rsid w:val="00E30E54"/>
    <w:rsid w:val="00E31563"/>
    <w:rsid w:val="00E31D0C"/>
    <w:rsid w:val="00E31D5F"/>
    <w:rsid w:val="00E31DCD"/>
    <w:rsid w:val="00E320BC"/>
    <w:rsid w:val="00E32875"/>
    <w:rsid w:val="00E33402"/>
    <w:rsid w:val="00E34984"/>
    <w:rsid w:val="00E36B88"/>
    <w:rsid w:val="00E3741B"/>
    <w:rsid w:val="00E4045B"/>
    <w:rsid w:val="00E405E3"/>
    <w:rsid w:val="00E40B5A"/>
    <w:rsid w:val="00E4250B"/>
    <w:rsid w:val="00E43054"/>
    <w:rsid w:val="00E44126"/>
    <w:rsid w:val="00E4686A"/>
    <w:rsid w:val="00E46CC7"/>
    <w:rsid w:val="00E4732B"/>
    <w:rsid w:val="00E514F8"/>
    <w:rsid w:val="00E54A41"/>
    <w:rsid w:val="00E54F70"/>
    <w:rsid w:val="00E55647"/>
    <w:rsid w:val="00E607CB"/>
    <w:rsid w:val="00E61224"/>
    <w:rsid w:val="00E61719"/>
    <w:rsid w:val="00E649E3"/>
    <w:rsid w:val="00E65CA5"/>
    <w:rsid w:val="00E70EBA"/>
    <w:rsid w:val="00E72078"/>
    <w:rsid w:val="00E729CF"/>
    <w:rsid w:val="00E72C56"/>
    <w:rsid w:val="00E7302F"/>
    <w:rsid w:val="00E738A4"/>
    <w:rsid w:val="00E73DFC"/>
    <w:rsid w:val="00E7492A"/>
    <w:rsid w:val="00E74E66"/>
    <w:rsid w:val="00E757A3"/>
    <w:rsid w:val="00E762E0"/>
    <w:rsid w:val="00E800F0"/>
    <w:rsid w:val="00E80D31"/>
    <w:rsid w:val="00E8166E"/>
    <w:rsid w:val="00E83442"/>
    <w:rsid w:val="00E83ABE"/>
    <w:rsid w:val="00E83F5C"/>
    <w:rsid w:val="00E841CE"/>
    <w:rsid w:val="00E84C58"/>
    <w:rsid w:val="00E85DA7"/>
    <w:rsid w:val="00E87DA8"/>
    <w:rsid w:val="00E90132"/>
    <w:rsid w:val="00E9058E"/>
    <w:rsid w:val="00E92D4E"/>
    <w:rsid w:val="00E941F1"/>
    <w:rsid w:val="00E95672"/>
    <w:rsid w:val="00E96B07"/>
    <w:rsid w:val="00EA0B9F"/>
    <w:rsid w:val="00EA100E"/>
    <w:rsid w:val="00EA1F29"/>
    <w:rsid w:val="00EA280D"/>
    <w:rsid w:val="00EA280E"/>
    <w:rsid w:val="00EA2EE6"/>
    <w:rsid w:val="00EA4937"/>
    <w:rsid w:val="00EA4944"/>
    <w:rsid w:val="00EA616D"/>
    <w:rsid w:val="00EA6705"/>
    <w:rsid w:val="00EB10E6"/>
    <w:rsid w:val="00EB142D"/>
    <w:rsid w:val="00EB1487"/>
    <w:rsid w:val="00EB14F4"/>
    <w:rsid w:val="00EB150E"/>
    <w:rsid w:val="00EB4020"/>
    <w:rsid w:val="00EB4964"/>
    <w:rsid w:val="00EB5DB3"/>
    <w:rsid w:val="00EB6CA6"/>
    <w:rsid w:val="00EB705E"/>
    <w:rsid w:val="00EB7A67"/>
    <w:rsid w:val="00EB7F43"/>
    <w:rsid w:val="00EC06A7"/>
    <w:rsid w:val="00EC0E54"/>
    <w:rsid w:val="00EC10A6"/>
    <w:rsid w:val="00EC6B36"/>
    <w:rsid w:val="00EC72CA"/>
    <w:rsid w:val="00EC75C0"/>
    <w:rsid w:val="00ED11AF"/>
    <w:rsid w:val="00ED1A29"/>
    <w:rsid w:val="00ED3963"/>
    <w:rsid w:val="00ED454B"/>
    <w:rsid w:val="00ED6FEF"/>
    <w:rsid w:val="00EE01D4"/>
    <w:rsid w:val="00EE05F3"/>
    <w:rsid w:val="00EE2544"/>
    <w:rsid w:val="00EE32C4"/>
    <w:rsid w:val="00EE3378"/>
    <w:rsid w:val="00EE3920"/>
    <w:rsid w:val="00EE43EB"/>
    <w:rsid w:val="00EE4823"/>
    <w:rsid w:val="00EE4C3F"/>
    <w:rsid w:val="00EE6FB6"/>
    <w:rsid w:val="00EE70FE"/>
    <w:rsid w:val="00EF0322"/>
    <w:rsid w:val="00EF0584"/>
    <w:rsid w:val="00EF1485"/>
    <w:rsid w:val="00EF1BE1"/>
    <w:rsid w:val="00EF3A57"/>
    <w:rsid w:val="00EF45D1"/>
    <w:rsid w:val="00EF5A1B"/>
    <w:rsid w:val="00EF5BFF"/>
    <w:rsid w:val="00EF5D52"/>
    <w:rsid w:val="00EF7362"/>
    <w:rsid w:val="00EF7C43"/>
    <w:rsid w:val="00F01DFC"/>
    <w:rsid w:val="00F027BC"/>
    <w:rsid w:val="00F0380D"/>
    <w:rsid w:val="00F0382B"/>
    <w:rsid w:val="00F0487F"/>
    <w:rsid w:val="00F04ABF"/>
    <w:rsid w:val="00F05C72"/>
    <w:rsid w:val="00F05EEB"/>
    <w:rsid w:val="00F11525"/>
    <w:rsid w:val="00F1265B"/>
    <w:rsid w:val="00F12D87"/>
    <w:rsid w:val="00F12DE5"/>
    <w:rsid w:val="00F13707"/>
    <w:rsid w:val="00F14FCB"/>
    <w:rsid w:val="00F1527E"/>
    <w:rsid w:val="00F15409"/>
    <w:rsid w:val="00F166E8"/>
    <w:rsid w:val="00F16E16"/>
    <w:rsid w:val="00F17B2E"/>
    <w:rsid w:val="00F265CD"/>
    <w:rsid w:val="00F2667D"/>
    <w:rsid w:val="00F3242B"/>
    <w:rsid w:val="00F3299C"/>
    <w:rsid w:val="00F33162"/>
    <w:rsid w:val="00F3407C"/>
    <w:rsid w:val="00F37862"/>
    <w:rsid w:val="00F4191C"/>
    <w:rsid w:val="00F41E6C"/>
    <w:rsid w:val="00F43493"/>
    <w:rsid w:val="00F43912"/>
    <w:rsid w:val="00F443E1"/>
    <w:rsid w:val="00F447AD"/>
    <w:rsid w:val="00F45CE3"/>
    <w:rsid w:val="00F46AA3"/>
    <w:rsid w:val="00F51E54"/>
    <w:rsid w:val="00F5208A"/>
    <w:rsid w:val="00F522D1"/>
    <w:rsid w:val="00F52F66"/>
    <w:rsid w:val="00F53CAD"/>
    <w:rsid w:val="00F5478A"/>
    <w:rsid w:val="00F5578F"/>
    <w:rsid w:val="00F572E8"/>
    <w:rsid w:val="00F60BB8"/>
    <w:rsid w:val="00F60C9A"/>
    <w:rsid w:val="00F6368D"/>
    <w:rsid w:val="00F648DA"/>
    <w:rsid w:val="00F65273"/>
    <w:rsid w:val="00F6666E"/>
    <w:rsid w:val="00F7632A"/>
    <w:rsid w:val="00F77BDF"/>
    <w:rsid w:val="00F77ECC"/>
    <w:rsid w:val="00F80BD6"/>
    <w:rsid w:val="00F81B80"/>
    <w:rsid w:val="00F81F1F"/>
    <w:rsid w:val="00F84DCD"/>
    <w:rsid w:val="00F86563"/>
    <w:rsid w:val="00F87041"/>
    <w:rsid w:val="00F87180"/>
    <w:rsid w:val="00F87C3E"/>
    <w:rsid w:val="00F9075E"/>
    <w:rsid w:val="00F91CB8"/>
    <w:rsid w:val="00F91D2E"/>
    <w:rsid w:val="00F922C7"/>
    <w:rsid w:val="00F928E8"/>
    <w:rsid w:val="00F9296C"/>
    <w:rsid w:val="00F93A8C"/>
    <w:rsid w:val="00F93B8F"/>
    <w:rsid w:val="00F95D6C"/>
    <w:rsid w:val="00FA22E6"/>
    <w:rsid w:val="00FA30D2"/>
    <w:rsid w:val="00FA59F8"/>
    <w:rsid w:val="00FA69ED"/>
    <w:rsid w:val="00FB2958"/>
    <w:rsid w:val="00FB3347"/>
    <w:rsid w:val="00FB5015"/>
    <w:rsid w:val="00FB663A"/>
    <w:rsid w:val="00FC0602"/>
    <w:rsid w:val="00FC099B"/>
    <w:rsid w:val="00FC0A29"/>
    <w:rsid w:val="00FC1B2B"/>
    <w:rsid w:val="00FC2BBB"/>
    <w:rsid w:val="00FC2E78"/>
    <w:rsid w:val="00FC3318"/>
    <w:rsid w:val="00FC3897"/>
    <w:rsid w:val="00FC3932"/>
    <w:rsid w:val="00FC4324"/>
    <w:rsid w:val="00FC5920"/>
    <w:rsid w:val="00FC5DD1"/>
    <w:rsid w:val="00FD12B5"/>
    <w:rsid w:val="00FD1438"/>
    <w:rsid w:val="00FD1D2C"/>
    <w:rsid w:val="00FD215B"/>
    <w:rsid w:val="00FD40A6"/>
    <w:rsid w:val="00FD4187"/>
    <w:rsid w:val="00FD4FE2"/>
    <w:rsid w:val="00FD70CA"/>
    <w:rsid w:val="00FE1D89"/>
    <w:rsid w:val="00FE3414"/>
    <w:rsid w:val="00FE3490"/>
    <w:rsid w:val="00FE5947"/>
    <w:rsid w:val="00FE5DE7"/>
    <w:rsid w:val="00FE7282"/>
    <w:rsid w:val="00FF0731"/>
    <w:rsid w:val="00FF0F7A"/>
    <w:rsid w:val="00FF14C4"/>
    <w:rsid w:val="00FF1CC1"/>
    <w:rsid w:val="00FF1E56"/>
    <w:rsid w:val="00FF4E05"/>
    <w:rsid w:val="00FF4EB8"/>
    <w:rsid w:val="00FF538F"/>
    <w:rsid w:val="00FF5730"/>
    <w:rsid w:val="00FF5A1C"/>
    <w:rsid w:val="00FF62C0"/>
    <w:rsid w:val="00FF7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012DF"/>
  <w15:chartTrackingRefBased/>
  <w15:docId w15:val="{C635F982-D9B9-4BDA-BFAE-39E117F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DBE"/>
    <w:pPr>
      <w:ind w:left="720"/>
      <w:contextualSpacing/>
    </w:pPr>
  </w:style>
  <w:style w:type="table" w:styleId="TableGrid">
    <w:name w:val="Table Grid"/>
    <w:basedOn w:val="TableNormal"/>
    <w:uiPriority w:val="39"/>
    <w:rsid w:val="004A5E97"/>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4A5E97"/>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4A5E97"/>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00B9B"/>
    <w:rPr>
      <w:sz w:val="16"/>
      <w:szCs w:val="16"/>
    </w:rPr>
  </w:style>
  <w:style w:type="paragraph" w:styleId="CommentText">
    <w:name w:val="annotation text"/>
    <w:basedOn w:val="Normal"/>
    <w:link w:val="CommentTextChar"/>
    <w:uiPriority w:val="99"/>
    <w:unhideWhenUsed/>
    <w:rsid w:val="00700B9B"/>
    <w:rPr>
      <w:sz w:val="20"/>
      <w:szCs w:val="20"/>
    </w:rPr>
  </w:style>
  <w:style w:type="character" w:customStyle="1" w:styleId="CommentTextChar">
    <w:name w:val="Comment Text Char"/>
    <w:basedOn w:val="DefaultParagraphFont"/>
    <w:link w:val="CommentText"/>
    <w:uiPriority w:val="99"/>
    <w:rsid w:val="00700B9B"/>
    <w:rPr>
      <w:sz w:val="20"/>
      <w:szCs w:val="20"/>
    </w:rPr>
  </w:style>
  <w:style w:type="paragraph" w:styleId="Header">
    <w:name w:val="header"/>
    <w:basedOn w:val="Normal"/>
    <w:link w:val="HeaderChar"/>
    <w:uiPriority w:val="99"/>
    <w:unhideWhenUsed/>
    <w:rsid w:val="009756AC"/>
    <w:pPr>
      <w:tabs>
        <w:tab w:val="center" w:pos="4513"/>
        <w:tab w:val="right" w:pos="9026"/>
      </w:tabs>
    </w:pPr>
  </w:style>
  <w:style w:type="character" w:customStyle="1" w:styleId="HeaderChar">
    <w:name w:val="Header Char"/>
    <w:basedOn w:val="DefaultParagraphFont"/>
    <w:link w:val="Header"/>
    <w:uiPriority w:val="99"/>
    <w:rsid w:val="009756AC"/>
  </w:style>
  <w:style w:type="paragraph" w:styleId="Footer">
    <w:name w:val="footer"/>
    <w:basedOn w:val="Normal"/>
    <w:link w:val="FooterChar"/>
    <w:uiPriority w:val="99"/>
    <w:unhideWhenUsed/>
    <w:rsid w:val="009756AC"/>
    <w:pPr>
      <w:tabs>
        <w:tab w:val="center" w:pos="4513"/>
        <w:tab w:val="right" w:pos="9026"/>
      </w:tabs>
    </w:pPr>
  </w:style>
  <w:style w:type="character" w:customStyle="1" w:styleId="FooterChar">
    <w:name w:val="Footer Char"/>
    <w:basedOn w:val="DefaultParagraphFont"/>
    <w:link w:val="Footer"/>
    <w:uiPriority w:val="99"/>
    <w:rsid w:val="009756AC"/>
  </w:style>
  <w:style w:type="paragraph" w:styleId="Revision">
    <w:name w:val="Revision"/>
    <w:hidden/>
    <w:uiPriority w:val="99"/>
    <w:semiHidden/>
    <w:rsid w:val="00306F9D"/>
  </w:style>
  <w:style w:type="character" w:styleId="Hyperlink">
    <w:name w:val="Hyperlink"/>
    <w:basedOn w:val="DefaultParagraphFont"/>
    <w:uiPriority w:val="99"/>
    <w:unhideWhenUsed/>
    <w:rsid w:val="00191F4D"/>
    <w:rPr>
      <w:color w:val="0563C1" w:themeColor="hyperlink"/>
      <w:u w:val="single"/>
    </w:rPr>
  </w:style>
  <w:style w:type="character" w:styleId="UnresolvedMention">
    <w:name w:val="Unresolved Mention"/>
    <w:basedOn w:val="DefaultParagraphFont"/>
    <w:uiPriority w:val="99"/>
    <w:semiHidden/>
    <w:unhideWhenUsed/>
    <w:rsid w:val="00191F4D"/>
    <w:rPr>
      <w:color w:val="605E5C"/>
      <w:shd w:val="clear" w:color="auto" w:fill="E1DFDD"/>
    </w:rPr>
  </w:style>
  <w:style w:type="paragraph" w:styleId="NormalWeb">
    <w:name w:val="Normal (Web)"/>
    <w:basedOn w:val="Normal"/>
    <w:uiPriority w:val="99"/>
    <w:semiHidden/>
    <w:unhideWhenUsed/>
    <w:rsid w:val="004A21D0"/>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938A0"/>
    <w:rPr>
      <w:b/>
      <w:bCs/>
    </w:rPr>
  </w:style>
  <w:style w:type="character" w:customStyle="1" w:styleId="CommentSubjectChar">
    <w:name w:val="Comment Subject Char"/>
    <w:basedOn w:val="CommentTextChar"/>
    <w:link w:val="CommentSubject"/>
    <w:uiPriority w:val="99"/>
    <w:semiHidden/>
    <w:rsid w:val="009938A0"/>
    <w:rPr>
      <w:b/>
      <w:bCs/>
      <w:sz w:val="20"/>
      <w:szCs w:val="20"/>
    </w:rPr>
  </w:style>
  <w:style w:type="character" w:styleId="PlaceholderText">
    <w:name w:val="Placeholder Text"/>
    <w:basedOn w:val="DefaultParagraphFont"/>
    <w:uiPriority w:val="99"/>
    <w:semiHidden/>
    <w:rsid w:val="008A54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0923">
      <w:bodyDiv w:val="1"/>
      <w:marLeft w:val="0"/>
      <w:marRight w:val="0"/>
      <w:marTop w:val="0"/>
      <w:marBottom w:val="0"/>
      <w:divBdr>
        <w:top w:val="none" w:sz="0" w:space="0" w:color="auto"/>
        <w:left w:val="none" w:sz="0" w:space="0" w:color="auto"/>
        <w:bottom w:val="none" w:sz="0" w:space="0" w:color="auto"/>
        <w:right w:val="none" w:sz="0" w:space="0" w:color="auto"/>
      </w:divBdr>
    </w:div>
    <w:div w:id="142309957">
      <w:bodyDiv w:val="1"/>
      <w:marLeft w:val="0"/>
      <w:marRight w:val="0"/>
      <w:marTop w:val="0"/>
      <w:marBottom w:val="0"/>
      <w:divBdr>
        <w:top w:val="none" w:sz="0" w:space="0" w:color="auto"/>
        <w:left w:val="none" w:sz="0" w:space="0" w:color="auto"/>
        <w:bottom w:val="none" w:sz="0" w:space="0" w:color="auto"/>
        <w:right w:val="none" w:sz="0" w:space="0" w:color="auto"/>
      </w:divBdr>
      <w:divsChild>
        <w:div w:id="261306642">
          <w:marLeft w:val="0"/>
          <w:marRight w:val="0"/>
          <w:marTop w:val="0"/>
          <w:marBottom w:val="0"/>
          <w:divBdr>
            <w:top w:val="none" w:sz="0" w:space="0" w:color="auto"/>
            <w:left w:val="none" w:sz="0" w:space="0" w:color="auto"/>
            <w:bottom w:val="none" w:sz="0" w:space="0" w:color="auto"/>
            <w:right w:val="none" w:sz="0" w:space="0" w:color="auto"/>
          </w:divBdr>
        </w:div>
      </w:divsChild>
    </w:div>
    <w:div w:id="810050860">
      <w:bodyDiv w:val="1"/>
      <w:marLeft w:val="0"/>
      <w:marRight w:val="0"/>
      <w:marTop w:val="0"/>
      <w:marBottom w:val="0"/>
      <w:divBdr>
        <w:top w:val="none" w:sz="0" w:space="0" w:color="auto"/>
        <w:left w:val="none" w:sz="0" w:space="0" w:color="auto"/>
        <w:bottom w:val="none" w:sz="0" w:space="0" w:color="auto"/>
        <w:right w:val="none" w:sz="0" w:space="0" w:color="auto"/>
      </w:divBdr>
    </w:div>
    <w:div w:id="999695861">
      <w:bodyDiv w:val="1"/>
      <w:marLeft w:val="0"/>
      <w:marRight w:val="0"/>
      <w:marTop w:val="0"/>
      <w:marBottom w:val="0"/>
      <w:divBdr>
        <w:top w:val="none" w:sz="0" w:space="0" w:color="auto"/>
        <w:left w:val="none" w:sz="0" w:space="0" w:color="auto"/>
        <w:bottom w:val="none" w:sz="0" w:space="0" w:color="auto"/>
        <w:right w:val="none" w:sz="0" w:space="0" w:color="auto"/>
      </w:divBdr>
    </w:div>
    <w:div w:id="1145854943">
      <w:bodyDiv w:val="1"/>
      <w:marLeft w:val="0"/>
      <w:marRight w:val="0"/>
      <w:marTop w:val="0"/>
      <w:marBottom w:val="0"/>
      <w:divBdr>
        <w:top w:val="none" w:sz="0" w:space="0" w:color="auto"/>
        <w:left w:val="none" w:sz="0" w:space="0" w:color="auto"/>
        <w:bottom w:val="none" w:sz="0" w:space="0" w:color="auto"/>
        <w:right w:val="none" w:sz="0" w:space="0" w:color="auto"/>
      </w:divBdr>
      <w:divsChild>
        <w:div w:id="1764569447">
          <w:marLeft w:val="0"/>
          <w:marRight w:val="0"/>
          <w:marTop w:val="0"/>
          <w:marBottom w:val="0"/>
          <w:divBdr>
            <w:top w:val="none" w:sz="0" w:space="0" w:color="auto"/>
            <w:left w:val="none" w:sz="0" w:space="0" w:color="auto"/>
            <w:bottom w:val="none" w:sz="0" w:space="0" w:color="auto"/>
            <w:right w:val="none" w:sz="0" w:space="0" w:color="auto"/>
          </w:divBdr>
        </w:div>
      </w:divsChild>
    </w:div>
    <w:div w:id="1183396323">
      <w:bodyDiv w:val="1"/>
      <w:marLeft w:val="0"/>
      <w:marRight w:val="0"/>
      <w:marTop w:val="0"/>
      <w:marBottom w:val="0"/>
      <w:divBdr>
        <w:top w:val="none" w:sz="0" w:space="0" w:color="auto"/>
        <w:left w:val="none" w:sz="0" w:space="0" w:color="auto"/>
        <w:bottom w:val="none" w:sz="0" w:space="0" w:color="auto"/>
        <w:right w:val="none" w:sz="0" w:space="0" w:color="auto"/>
      </w:divBdr>
    </w:div>
    <w:div w:id="1479029570">
      <w:bodyDiv w:val="1"/>
      <w:marLeft w:val="0"/>
      <w:marRight w:val="0"/>
      <w:marTop w:val="0"/>
      <w:marBottom w:val="0"/>
      <w:divBdr>
        <w:top w:val="none" w:sz="0" w:space="0" w:color="auto"/>
        <w:left w:val="none" w:sz="0" w:space="0" w:color="auto"/>
        <w:bottom w:val="none" w:sz="0" w:space="0" w:color="auto"/>
        <w:right w:val="none" w:sz="0" w:space="0" w:color="auto"/>
      </w:divBdr>
    </w:div>
    <w:div w:id="1872645971">
      <w:bodyDiv w:val="1"/>
      <w:marLeft w:val="0"/>
      <w:marRight w:val="0"/>
      <w:marTop w:val="0"/>
      <w:marBottom w:val="0"/>
      <w:divBdr>
        <w:top w:val="none" w:sz="0" w:space="0" w:color="auto"/>
        <w:left w:val="none" w:sz="0" w:space="0" w:color="auto"/>
        <w:bottom w:val="none" w:sz="0" w:space="0" w:color="auto"/>
        <w:right w:val="none" w:sz="0" w:space="0" w:color="auto"/>
      </w:divBdr>
    </w:div>
    <w:div w:id="1876504728">
      <w:bodyDiv w:val="1"/>
      <w:marLeft w:val="0"/>
      <w:marRight w:val="0"/>
      <w:marTop w:val="0"/>
      <w:marBottom w:val="0"/>
      <w:divBdr>
        <w:top w:val="none" w:sz="0" w:space="0" w:color="auto"/>
        <w:left w:val="none" w:sz="0" w:space="0" w:color="auto"/>
        <w:bottom w:val="none" w:sz="0" w:space="0" w:color="auto"/>
        <w:right w:val="none" w:sz="0" w:space="0" w:color="auto"/>
      </w:divBdr>
    </w:div>
    <w:div w:id="2005471844">
      <w:bodyDiv w:val="1"/>
      <w:marLeft w:val="0"/>
      <w:marRight w:val="0"/>
      <w:marTop w:val="0"/>
      <w:marBottom w:val="0"/>
      <w:divBdr>
        <w:top w:val="none" w:sz="0" w:space="0" w:color="auto"/>
        <w:left w:val="none" w:sz="0" w:space="0" w:color="auto"/>
        <w:bottom w:val="none" w:sz="0" w:space="0" w:color="auto"/>
        <w:right w:val="none" w:sz="0" w:space="0" w:color="auto"/>
      </w:divBdr>
      <w:divsChild>
        <w:div w:id="324017308">
          <w:marLeft w:val="0"/>
          <w:marRight w:val="0"/>
          <w:marTop w:val="0"/>
          <w:marBottom w:val="0"/>
          <w:divBdr>
            <w:top w:val="single" w:sz="2" w:space="0" w:color="E3E3E3"/>
            <w:left w:val="single" w:sz="2" w:space="0" w:color="E3E3E3"/>
            <w:bottom w:val="single" w:sz="2" w:space="0" w:color="E3E3E3"/>
            <w:right w:val="single" w:sz="2" w:space="0" w:color="E3E3E3"/>
          </w:divBdr>
          <w:divsChild>
            <w:div w:id="1633437411">
              <w:marLeft w:val="0"/>
              <w:marRight w:val="0"/>
              <w:marTop w:val="0"/>
              <w:marBottom w:val="0"/>
              <w:divBdr>
                <w:top w:val="single" w:sz="2" w:space="0" w:color="E3E3E3"/>
                <w:left w:val="single" w:sz="2" w:space="0" w:color="E3E3E3"/>
                <w:bottom w:val="single" w:sz="2" w:space="0" w:color="E3E3E3"/>
                <w:right w:val="single" w:sz="2" w:space="0" w:color="E3E3E3"/>
              </w:divBdr>
              <w:divsChild>
                <w:div w:id="922572348">
                  <w:marLeft w:val="0"/>
                  <w:marRight w:val="0"/>
                  <w:marTop w:val="0"/>
                  <w:marBottom w:val="0"/>
                  <w:divBdr>
                    <w:top w:val="single" w:sz="2" w:space="0" w:color="E3E3E3"/>
                    <w:left w:val="single" w:sz="2" w:space="0" w:color="E3E3E3"/>
                    <w:bottom w:val="single" w:sz="2" w:space="0" w:color="E3E3E3"/>
                    <w:right w:val="single" w:sz="2" w:space="0" w:color="E3E3E3"/>
                  </w:divBdr>
                  <w:divsChild>
                    <w:div w:id="1744721921">
                      <w:marLeft w:val="0"/>
                      <w:marRight w:val="0"/>
                      <w:marTop w:val="0"/>
                      <w:marBottom w:val="0"/>
                      <w:divBdr>
                        <w:top w:val="single" w:sz="2" w:space="0" w:color="E3E3E3"/>
                        <w:left w:val="single" w:sz="2" w:space="0" w:color="E3E3E3"/>
                        <w:bottom w:val="single" w:sz="2" w:space="0" w:color="E3E3E3"/>
                        <w:right w:val="single" w:sz="2" w:space="0" w:color="E3E3E3"/>
                      </w:divBdr>
                      <w:divsChild>
                        <w:div w:id="1319072215">
                          <w:marLeft w:val="0"/>
                          <w:marRight w:val="0"/>
                          <w:marTop w:val="0"/>
                          <w:marBottom w:val="0"/>
                          <w:divBdr>
                            <w:top w:val="single" w:sz="2" w:space="0" w:color="E3E3E3"/>
                            <w:left w:val="single" w:sz="2" w:space="0" w:color="E3E3E3"/>
                            <w:bottom w:val="single" w:sz="2" w:space="0" w:color="E3E3E3"/>
                            <w:right w:val="single" w:sz="2" w:space="0" w:color="E3E3E3"/>
                          </w:divBdr>
                          <w:divsChild>
                            <w:div w:id="845555186">
                              <w:marLeft w:val="0"/>
                              <w:marRight w:val="0"/>
                              <w:marTop w:val="100"/>
                              <w:marBottom w:val="100"/>
                              <w:divBdr>
                                <w:top w:val="single" w:sz="2" w:space="0" w:color="E3E3E3"/>
                                <w:left w:val="single" w:sz="2" w:space="0" w:color="E3E3E3"/>
                                <w:bottom w:val="single" w:sz="2" w:space="0" w:color="E3E3E3"/>
                                <w:right w:val="single" w:sz="2" w:space="0" w:color="E3E3E3"/>
                              </w:divBdr>
                              <w:divsChild>
                                <w:div w:id="460927885">
                                  <w:marLeft w:val="0"/>
                                  <w:marRight w:val="0"/>
                                  <w:marTop w:val="0"/>
                                  <w:marBottom w:val="0"/>
                                  <w:divBdr>
                                    <w:top w:val="single" w:sz="2" w:space="0" w:color="E3E3E3"/>
                                    <w:left w:val="single" w:sz="2" w:space="0" w:color="E3E3E3"/>
                                    <w:bottom w:val="single" w:sz="2" w:space="0" w:color="E3E3E3"/>
                                    <w:right w:val="single" w:sz="2" w:space="0" w:color="E3E3E3"/>
                                  </w:divBdr>
                                  <w:divsChild>
                                    <w:div w:id="89591353">
                                      <w:marLeft w:val="0"/>
                                      <w:marRight w:val="0"/>
                                      <w:marTop w:val="0"/>
                                      <w:marBottom w:val="0"/>
                                      <w:divBdr>
                                        <w:top w:val="single" w:sz="2" w:space="0" w:color="E3E3E3"/>
                                        <w:left w:val="single" w:sz="2" w:space="0" w:color="E3E3E3"/>
                                        <w:bottom w:val="single" w:sz="2" w:space="0" w:color="E3E3E3"/>
                                        <w:right w:val="single" w:sz="2" w:space="0" w:color="E3E3E3"/>
                                      </w:divBdr>
                                      <w:divsChild>
                                        <w:div w:id="52049927">
                                          <w:marLeft w:val="0"/>
                                          <w:marRight w:val="0"/>
                                          <w:marTop w:val="0"/>
                                          <w:marBottom w:val="0"/>
                                          <w:divBdr>
                                            <w:top w:val="single" w:sz="2" w:space="0" w:color="E3E3E3"/>
                                            <w:left w:val="single" w:sz="2" w:space="0" w:color="E3E3E3"/>
                                            <w:bottom w:val="single" w:sz="2" w:space="0" w:color="E3E3E3"/>
                                            <w:right w:val="single" w:sz="2" w:space="0" w:color="E3E3E3"/>
                                          </w:divBdr>
                                          <w:divsChild>
                                            <w:div w:id="170800425">
                                              <w:marLeft w:val="0"/>
                                              <w:marRight w:val="0"/>
                                              <w:marTop w:val="0"/>
                                              <w:marBottom w:val="0"/>
                                              <w:divBdr>
                                                <w:top w:val="single" w:sz="2" w:space="0" w:color="E3E3E3"/>
                                                <w:left w:val="single" w:sz="2" w:space="0" w:color="E3E3E3"/>
                                                <w:bottom w:val="single" w:sz="2" w:space="0" w:color="E3E3E3"/>
                                                <w:right w:val="single" w:sz="2" w:space="0" w:color="E3E3E3"/>
                                              </w:divBdr>
                                              <w:divsChild>
                                                <w:div w:id="1685404583">
                                                  <w:marLeft w:val="0"/>
                                                  <w:marRight w:val="0"/>
                                                  <w:marTop w:val="0"/>
                                                  <w:marBottom w:val="0"/>
                                                  <w:divBdr>
                                                    <w:top w:val="single" w:sz="2" w:space="0" w:color="E3E3E3"/>
                                                    <w:left w:val="single" w:sz="2" w:space="0" w:color="E3E3E3"/>
                                                    <w:bottom w:val="single" w:sz="2" w:space="0" w:color="E3E3E3"/>
                                                    <w:right w:val="single" w:sz="2" w:space="0" w:color="E3E3E3"/>
                                                  </w:divBdr>
                                                  <w:divsChild>
                                                    <w:div w:id="1277907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413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can.watson@uea.ac.uk"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esa.ac.uk/data-and-analysis/finances/chart-1"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www.timeshighereducation.co.uk/story.asp?storyCode=402335&amp;sectioncode=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111/hequ.12252"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www.heacademy.ac.uk/system/files/NSS-Report.pdf" TargetMode="External"/><Relationship Id="rId10" Type="http://schemas.openxmlformats.org/officeDocument/2006/relationships/hyperlink" Target="mailto:s.cook@swansea.ac.uk" TargetMode="External"/><Relationship Id="rId19" Type="http://schemas.openxmlformats.org/officeDocument/2006/relationships/hyperlink" Target="http://www.timeshighereducation.co.uk/story.asp?sectioncode=26&amp;storycode=413687" TargetMode="External"/><Relationship Id="rId4" Type="http://schemas.openxmlformats.org/officeDocument/2006/relationships/settings" Target="settings.xml"/><Relationship Id="rId9" Type="http://schemas.openxmlformats.org/officeDocument/2006/relationships/hyperlink" Target="mailto:r.m.webb@stir.ac.uk" TargetMode="External"/><Relationship Id="rId14" Type="http://schemas.openxmlformats.org/officeDocument/2006/relationships/oleObject" Target="embeddings/oleObject1.bin"/><Relationship Id="rId22" Type="http://schemas.openxmlformats.org/officeDocument/2006/relationships/hyperlink" Target="https://www.hesa.ac.uk/news/17-01-2023/sb264-higher-education-staff-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caev\Dropbox\pd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sz="1400">
                <a:solidFill>
                  <a:schemeClr val="tx1"/>
                </a:solidFill>
                <a:latin typeface="Calibri Light" panose="020F0302020204030204" pitchFamily="34" charset="0"/>
                <a:ea typeface="Calibri Light" panose="020F0302020204030204" pitchFamily="34" charset="0"/>
                <a:cs typeface="Calibri Light" panose="020F0302020204030204" pitchFamily="34" charset="0"/>
              </a:rPr>
              <a:t>Figure 2:</a:t>
            </a:r>
            <a:r>
              <a:rPr lang="en-GB" sz="1400" baseline="0">
                <a:solidFill>
                  <a:schemeClr val="tx1"/>
                </a:solidFill>
                <a:latin typeface="Calibri Light" panose="020F0302020204030204" pitchFamily="34" charset="0"/>
                <a:ea typeface="Calibri Light" panose="020F0302020204030204" pitchFamily="34" charset="0"/>
                <a:cs typeface="Calibri Light" panose="020F0302020204030204" pitchFamily="34" charset="0"/>
              </a:rPr>
              <a:t> The Pedagogical Decision Point </a:t>
            </a:r>
            <a:endParaRPr lang="en-GB" sz="1400">
              <a:solidFill>
                <a:schemeClr val="tx1"/>
              </a:solidFill>
              <a:latin typeface="Calibri Light" panose="020F0302020204030204" pitchFamily="34" charset="0"/>
              <a:ea typeface="Calibri Light" panose="020F0302020204030204" pitchFamily="34" charset="0"/>
              <a:cs typeface="Calibri Light" panose="020F0302020204030204" pitchFamily="34"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∆P</c:v>
                </c:pt>
              </c:strCache>
            </c:strRef>
          </c:tx>
          <c:spPr>
            <a:ln w="22225" cap="rnd">
              <a:solidFill>
                <a:schemeClr val="accent1"/>
              </a:solidFill>
              <a:prstDash val="dash"/>
              <a:round/>
            </a:ln>
            <a:effectLst/>
          </c:spPr>
          <c:marker>
            <c:symbol val="none"/>
          </c:marker>
          <c:cat>
            <c:numRef>
              <c:f>Sheet1!$A$2:$A$22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Sheet1!$B$2:$B$22</c:f>
              <c:numCache>
                <c:formatCode>General</c:formatCode>
                <c:ptCount val="21"/>
                <c:pt idx="0">
                  <c:v>0</c:v>
                </c:pt>
                <c:pt idx="1">
                  <c:v>-1</c:v>
                </c:pt>
                <c:pt idx="2">
                  <c:v>-4</c:v>
                </c:pt>
                <c:pt idx="3">
                  <c:v>-9</c:v>
                </c:pt>
                <c:pt idx="4">
                  <c:v>-16</c:v>
                </c:pt>
                <c:pt idx="5">
                  <c:v>-25</c:v>
                </c:pt>
                <c:pt idx="6">
                  <c:v>-36</c:v>
                </c:pt>
                <c:pt idx="7">
                  <c:v>-49</c:v>
                </c:pt>
                <c:pt idx="8">
                  <c:v>-64</c:v>
                </c:pt>
                <c:pt idx="9">
                  <c:v>-81</c:v>
                </c:pt>
                <c:pt idx="10">
                  <c:v>-100</c:v>
                </c:pt>
                <c:pt idx="11">
                  <c:v>-121</c:v>
                </c:pt>
                <c:pt idx="12">
                  <c:v>-144</c:v>
                </c:pt>
                <c:pt idx="13">
                  <c:v>-169</c:v>
                </c:pt>
                <c:pt idx="14">
                  <c:v>-196</c:v>
                </c:pt>
                <c:pt idx="15">
                  <c:v>-225</c:v>
                </c:pt>
                <c:pt idx="16">
                  <c:v>-256</c:v>
                </c:pt>
                <c:pt idx="17">
                  <c:v>-289</c:v>
                </c:pt>
                <c:pt idx="18">
                  <c:v>-324</c:v>
                </c:pt>
                <c:pt idx="19">
                  <c:v>-361</c:v>
                </c:pt>
                <c:pt idx="20">
                  <c:v>-400</c:v>
                </c:pt>
              </c:numCache>
            </c:numRef>
          </c:val>
          <c:smooth val="0"/>
          <c:extLst>
            <c:ext xmlns:c16="http://schemas.microsoft.com/office/drawing/2014/chart" uri="{C3380CC4-5D6E-409C-BE32-E72D297353CC}">
              <c16:uniqueId val="{00000000-BF47-4FEC-8520-10A73D3E3A47}"/>
            </c:ext>
          </c:extLst>
        </c:ser>
        <c:ser>
          <c:idx val="1"/>
          <c:order val="1"/>
          <c:tx>
            <c:strRef>
              <c:f>Sheet1!$C$1</c:f>
              <c:strCache>
                <c:ptCount val="1"/>
                <c:pt idx="0">
                  <c:v>∆G</c:v>
                </c:pt>
              </c:strCache>
            </c:strRef>
          </c:tx>
          <c:spPr>
            <a:ln w="22225" cap="rnd">
              <a:solidFill>
                <a:schemeClr val="accent2"/>
              </a:solidFill>
              <a:prstDash val="sysDot"/>
              <a:round/>
            </a:ln>
            <a:effectLst/>
          </c:spPr>
          <c:marker>
            <c:symbol val="none"/>
          </c:marker>
          <c:cat>
            <c:numRef>
              <c:f>Sheet1!$A$2:$A$22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Sheet1!$C$2:$C$22</c:f>
              <c:numCache>
                <c:formatCode>General</c:formatCode>
                <c:ptCount val="21"/>
                <c:pt idx="0">
                  <c:v>400</c:v>
                </c:pt>
                <c:pt idx="1">
                  <c:v>380</c:v>
                </c:pt>
                <c:pt idx="2">
                  <c:v>360</c:v>
                </c:pt>
                <c:pt idx="3">
                  <c:v>340</c:v>
                </c:pt>
                <c:pt idx="4">
                  <c:v>320</c:v>
                </c:pt>
                <c:pt idx="5">
                  <c:v>300</c:v>
                </c:pt>
                <c:pt idx="6">
                  <c:v>280</c:v>
                </c:pt>
                <c:pt idx="7">
                  <c:v>260</c:v>
                </c:pt>
                <c:pt idx="8">
                  <c:v>240</c:v>
                </c:pt>
                <c:pt idx="9">
                  <c:v>220</c:v>
                </c:pt>
                <c:pt idx="10">
                  <c:v>200</c:v>
                </c:pt>
                <c:pt idx="11">
                  <c:v>180</c:v>
                </c:pt>
                <c:pt idx="12">
                  <c:v>160</c:v>
                </c:pt>
                <c:pt idx="13">
                  <c:v>140</c:v>
                </c:pt>
                <c:pt idx="14">
                  <c:v>120</c:v>
                </c:pt>
                <c:pt idx="15">
                  <c:v>100</c:v>
                </c:pt>
                <c:pt idx="16">
                  <c:v>80</c:v>
                </c:pt>
                <c:pt idx="17">
                  <c:v>60</c:v>
                </c:pt>
                <c:pt idx="18">
                  <c:v>40</c:v>
                </c:pt>
                <c:pt idx="19">
                  <c:v>20</c:v>
                </c:pt>
                <c:pt idx="20">
                  <c:v>0</c:v>
                </c:pt>
              </c:numCache>
            </c:numRef>
          </c:val>
          <c:smooth val="0"/>
          <c:extLst>
            <c:ext xmlns:c16="http://schemas.microsoft.com/office/drawing/2014/chart" uri="{C3380CC4-5D6E-409C-BE32-E72D297353CC}">
              <c16:uniqueId val="{00000001-BF47-4FEC-8520-10A73D3E3A47}"/>
            </c:ext>
          </c:extLst>
        </c:ser>
        <c:ser>
          <c:idx val="2"/>
          <c:order val="2"/>
          <c:tx>
            <c:strRef>
              <c:f>Sheet1!$D$1</c:f>
              <c:strCache>
                <c:ptCount val="1"/>
                <c:pt idx="0">
                  <c:v>∆P+∆G</c:v>
                </c:pt>
              </c:strCache>
            </c:strRef>
          </c:tx>
          <c:spPr>
            <a:ln w="22225" cap="rnd">
              <a:solidFill>
                <a:schemeClr val="accent3"/>
              </a:solidFill>
              <a:prstDash val="solid"/>
              <a:round/>
            </a:ln>
            <a:effectLst/>
          </c:spPr>
          <c:marker>
            <c:symbol val="none"/>
          </c:marker>
          <c:cat>
            <c:numRef>
              <c:f>Sheet1!$A$2:$A$22</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Sheet1!$D$2:$D$22</c:f>
              <c:numCache>
                <c:formatCode>General</c:formatCode>
                <c:ptCount val="21"/>
                <c:pt idx="0">
                  <c:v>400</c:v>
                </c:pt>
                <c:pt idx="1">
                  <c:v>379</c:v>
                </c:pt>
                <c:pt idx="2">
                  <c:v>356</c:v>
                </c:pt>
                <c:pt idx="3">
                  <c:v>331</c:v>
                </c:pt>
                <c:pt idx="4">
                  <c:v>304</c:v>
                </c:pt>
                <c:pt idx="5">
                  <c:v>275</c:v>
                </c:pt>
                <c:pt idx="6">
                  <c:v>244</c:v>
                </c:pt>
                <c:pt idx="7">
                  <c:v>211</c:v>
                </c:pt>
                <c:pt idx="8">
                  <c:v>176</c:v>
                </c:pt>
                <c:pt idx="9">
                  <c:v>139</c:v>
                </c:pt>
                <c:pt idx="10">
                  <c:v>100</c:v>
                </c:pt>
                <c:pt idx="11">
                  <c:v>59</c:v>
                </c:pt>
                <c:pt idx="12">
                  <c:v>16</c:v>
                </c:pt>
                <c:pt idx="13">
                  <c:v>-29</c:v>
                </c:pt>
                <c:pt idx="14">
                  <c:v>-76</c:v>
                </c:pt>
                <c:pt idx="15">
                  <c:v>-125</c:v>
                </c:pt>
                <c:pt idx="16">
                  <c:v>-176</c:v>
                </c:pt>
                <c:pt idx="17">
                  <c:v>-229</c:v>
                </c:pt>
                <c:pt idx="18">
                  <c:v>-284</c:v>
                </c:pt>
                <c:pt idx="19">
                  <c:v>-341</c:v>
                </c:pt>
                <c:pt idx="20">
                  <c:v>-400</c:v>
                </c:pt>
              </c:numCache>
            </c:numRef>
          </c:val>
          <c:smooth val="0"/>
          <c:extLst>
            <c:ext xmlns:c16="http://schemas.microsoft.com/office/drawing/2014/chart" uri="{C3380CC4-5D6E-409C-BE32-E72D297353CC}">
              <c16:uniqueId val="{00000002-BF47-4FEC-8520-10A73D3E3A47}"/>
            </c:ext>
          </c:extLst>
        </c:ser>
        <c:dLbls>
          <c:showLegendKey val="0"/>
          <c:showVal val="0"/>
          <c:showCatName val="0"/>
          <c:showSerName val="0"/>
          <c:showPercent val="0"/>
          <c:showBubbleSize val="0"/>
        </c:dLbls>
        <c:smooth val="0"/>
        <c:axId val="440068832"/>
        <c:axId val="440067392"/>
      </c:lineChart>
      <c:catAx>
        <c:axId val="44006883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Esteem</a:t>
                </a:r>
                <a:r>
                  <a:rPr lang="en-GB" baseline="0"/>
                  <a:t> Uncertainty</a:t>
                </a:r>
                <a:endParaRPr lang="en-GB"/>
              </a:p>
            </c:rich>
          </c:tx>
          <c:layout>
            <c:manualLayout>
              <c:xMode val="edge"/>
              <c:yMode val="edge"/>
              <c:x val="0.8005733132584586"/>
              <c:y val="0.5025730614623550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accent1"/>
            </a:solidFill>
            <a:round/>
            <a:tailEnd type="triangle"/>
          </a:ln>
          <a:effectLst/>
        </c:spPr>
        <c:txPr>
          <a:bodyPr rot="-60000000" spcFirstLastPara="1" vertOverflow="ellipsis" vert="horz" wrap="square" anchor="ctr" anchorCtr="1"/>
          <a:lstStyle/>
          <a:p>
            <a:pPr>
              <a:defRPr sz="900" b="0" i="0" u="none" strike="noStrike" kern="1200" cap="none" spc="0" normalizeH="0" baseline="0">
                <a:ln>
                  <a:noFill/>
                </a:ln>
                <a:noFill/>
                <a:latin typeface="+mn-lt"/>
                <a:ea typeface="+mn-ea"/>
                <a:cs typeface="+mn-cs"/>
              </a:defRPr>
            </a:pPr>
            <a:endParaRPr lang="en-US"/>
          </a:p>
        </c:txPr>
        <c:crossAx val="440067392"/>
        <c:crosses val="autoZero"/>
        <c:auto val="1"/>
        <c:lblAlgn val="ctr"/>
        <c:lblOffset val="100"/>
        <c:noMultiLvlLbl val="0"/>
      </c:catAx>
      <c:valAx>
        <c:axId val="440067392"/>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Net Benefit from Creation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headEnd type="triangle"/>
            <a:tailEnd type="triangle"/>
          </a:ln>
          <a:effectLst/>
        </c:spPr>
        <c:txPr>
          <a:bodyPr rot="-60000000" spcFirstLastPara="1" vertOverflow="ellipsis" vert="horz" wrap="square" anchor="ctr" anchorCtr="1"/>
          <a:lstStyle/>
          <a:p>
            <a:pPr>
              <a:defRPr sz="900" b="0" i="0" u="none" strike="noStrike" kern="1200" baseline="0">
                <a:noFill/>
                <a:latin typeface="+mn-lt"/>
                <a:ea typeface="+mn-ea"/>
                <a:cs typeface="+mn-cs"/>
              </a:defRPr>
            </a:pPr>
            <a:endParaRPr lang="en-US"/>
          </a:p>
        </c:txPr>
        <c:crossAx val="44006883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D265-AB86-4713-890D-ADFBE1680784}">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9601</Words>
  <Characters>57802</Characters>
  <Application>Microsoft Office Word</Application>
  <DocSecurity>0</DocSecurity>
  <Lines>889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Webb</dc:creator>
  <cp:keywords/>
  <dc:description/>
  <cp:lastModifiedBy>Duncan Watson (ECO - Staff)</cp:lastModifiedBy>
  <cp:revision>2</cp:revision>
  <dcterms:created xsi:type="dcterms:W3CDTF">2024-12-02T09:45:00Z</dcterms:created>
  <dcterms:modified xsi:type="dcterms:W3CDTF">2024-12-02T09:45:00Z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7368c2a592acd49e5d470b0f6d29cddce5a90a420ed42047c49a7766838b4dfb</vt:lpwstr>
  </property>
</Properties>
</file>