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0C0D3" w14:textId="6DD24228" w:rsidR="00DC2E1B" w:rsidRDefault="00796228" w:rsidP="00DC2E1B">
      <w:pPr>
        <w:jc w:val="center"/>
        <w:rPr>
          <w:rFonts w:ascii="Calibri" w:hAnsi="Calibri" w:cs="Calibri"/>
          <w:b/>
          <w:bCs/>
          <w:sz w:val="24"/>
          <w:szCs w:val="24"/>
        </w:rPr>
      </w:pPr>
      <w:r w:rsidRPr="00C51FEE">
        <w:rPr>
          <w:rFonts w:ascii="Calibri" w:hAnsi="Calibri" w:cs="Calibri"/>
          <w:b/>
          <w:bCs/>
          <w:sz w:val="24"/>
          <w:szCs w:val="24"/>
        </w:rPr>
        <w:t>J</w:t>
      </w:r>
      <w:r w:rsidR="00440AA9">
        <w:rPr>
          <w:rFonts w:ascii="Calibri" w:hAnsi="Calibri" w:cs="Calibri"/>
          <w:b/>
          <w:bCs/>
          <w:sz w:val="24"/>
          <w:szCs w:val="24"/>
        </w:rPr>
        <w:t>ournal of European Integration</w:t>
      </w:r>
      <w:r w:rsidR="00DC2E1B">
        <w:rPr>
          <w:rFonts w:ascii="Calibri" w:hAnsi="Calibri" w:cs="Calibri"/>
          <w:b/>
          <w:bCs/>
          <w:sz w:val="24"/>
          <w:szCs w:val="24"/>
        </w:rPr>
        <w:t xml:space="preserve"> - </w:t>
      </w:r>
      <w:r w:rsidRPr="00C51FEE">
        <w:rPr>
          <w:rFonts w:ascii="Calibri" w:hAnsi="Calibri" w:cs="Calibri"/>
          <w:b/>
          <w:bCs/>
          <w:sz w:val="24"/>
          <w:szCs w:val="24"/>
        </w:rPr>
        <w:t>Review article</w:t>
      </w:r>
    </w:p>
    <w:p w14:paraId="2D14218E" w14:textId="3A5A155F" w:rsidR="000A3657" w:rsidRPr="00C51FEE" w:rsidRDefault="00922771" w:rsidP="00DC2E1B">
      <w:pPr>
        <w:jc w:val="center"/>
        <w:rPr>
          <w:rFonts w:ascii="Calibri" w:hAnsi="Calibri" w:cs="Calibri"/>
          <w:b/>
          <w:bCs/>
          <w:sz w:val="24"/>
          <w:szCs w:val="24"/>
        </w:rPr>
      </w:pPr>
      <w:r>
        <w:rPr>
          <w:rFonts w:ascii="Calibri" w:hAnsi="Calibri" w:cs="Calibri"/>
          <w:b/>
          <w:bCs/>
          <w:sz w:val="24"/>
          <w:szCs w:val="24"/>
        </w:rPr>
        <w:t>Setting the E</w:t>
      </w:r>
      <w:r w:rsidR="00520F75">
        <w:rPr>
          <w:rFonts w:ascii="Calibri" w:hAnsi="Calibri" w:cs="Calibri"/>
          <w:b/>
          <w:bCs/>
          <w:sz w:val="24"/>
          <w:szCs w:val="24"/>
        </w:rPr>
        <w:t>uropean</w:t>
      </w:r>
      <w:r>
        <w:rPr>
          <w:rFonts w:ascii="Calibri" w:hAnsi="Calibri" w:cs="Calibri"/>
          <w:b/>
          <w:bCs/>
          <w:sz w:val="24"/>
          <w:szCs w:val="24"/>
        </w:rPr>
        <w:t xml:space="preserve"> agenda</w:t>
      </w:r>
      <w:r w:rsidR="007D134A">
        <w:rPr>
          <w:rFonts w:ascii="Calibri" w:hAnsi="Calibri" w:cs="Calibri"/>
          <w:b/>
          <w:bCs/>
          <w:sz w:val="24"/>
          <w:szCs w:val="24"/>
        </w:rPr>
        <w:t xml:space="preserve"> </w:t>
      </w:r>
      <w:r w:rsidR="009D2DED">
        <w:rPr>
          <w:rFonts w:ascii="Calibri" w:hAnsi="Calibri" w:cs="Calibri"/>
          <w:b/>
          <w:bCs/>
          <w:sz w:val="24"/>
          <w:szCs w:val="24"/>
        </w:rPr>
        <w:t>in</w:t>
      </w:r>
      <w:r w:rsidR="00E61061">
        <w:rPr>
          <w:rFonts w:ascii="Calibri" w:hAnsi="Calibri" w:cs="Calibri"/>
          <w:b/>
          <w:bCs/>
          <w:sz w:val="24"/>
          <w:szCs w:val="24"/>
        </w:rPr>
        <w:t xml:space="preserve"> hard times</w:t>
      </w:r>
      <w:r>
        <w:rPr>
          <w:rFonts w:ascii="Calibri" w:hAnsi="Calibri" w:cs="Calibri"/>
          <w:b/>
          <w:bCs/>
          <w:sz w:val="24"/>
          <w:szCs w:val="24"/>
        </w:rPr>
        <w:t>:</w:t>
      </w:r>
      <w:r w:rsidR="009D2DED">
        <w:rPr>
          <w:rFonts w:ascii="Calibri" w:hAnsi="Calibri" w:cs="Calibri"/>
          <w:b/>
          <w:bCs/>
          <w:sz w:val="24"/>
          <w:szCs w:val="24"/>
        </w:rPr>
        <w:t xml:space="preserve"> </w:t>
      </w:r>
      <w:r>
        <w:rPr>
          <w:rFonts w:ascii="Calibri" w:hAnsi="Calibri" w:cs="Calibri"/>
          <w:b/>
          <w:bCs/>
          <w:sz w:val="24"/>
          <w:szCs w:val="24"/>
        </w:rPr>
        <w:t>The C</w:t>
      </w:r>
      <w:r w:rsidR="00796228" w:rsidRPr="00C51FEE">
        <w:rPr>
          <w:rFonts w:ascii="Calibri" w:hAnsi="Calibri" w:cs="Calibri"/>
          <w:b/>
          <w:bCs/>
          <w:sz w:val="24"/>
          <w:szCs w:val="24"/>
        </w:rPr>
        <w:t>ommission</w:t>
      </w:r>
      <w:r w:rsidR="00520F75">
        <w:rPr>
          <w:rFonts w:ascii="Calibri" w:hAnsi="Calibri" w:cs="Calibri"/>
          <w:b/>
          <w:bCs/>
          <w:sz w:val="24"/>
          <w:szCs w:val="24"/>
        </w:rPr>
        <w:t>, the</w:t>
      </w:r>
      <w:r w:rsidR="00796228" w:rsidRPr="00C51FEE">
        <w:rPr>
          <w:rFonts w:ascii="Calibri" w:hAnsi="Calibri" w:cs="Calibri"/>
          <w:b/>
          <w:bCs/>
          <w:sz w:val="24"/>
          <w:szCs w:val="24"/>
        </w:rPr>
        <w:t xml:space="preserve"> European </w:t>
      </w:r>
      <w:proofErr w:type="gramStart"/>
      <w:r w:rsidR="00796228" w:rsidRPr="00C51FEE">
        <w:rPr>
          <w:rFonts w:ascii="Calibri" w:hAnsi="Calibri" w:cs="Calibri"/>
          <w:b/>
          <w:bCs/>
          <w:sz w:val="24"/>
          <w:szCs w:val="24"/>
        </w:rPr>
        <w:t>Council</w:t>
      </w:r>
      <w:proofErr w:type="gramEnd"/>
      <w:r w:rsidR="00E61061">
        <w:rPr>
          <w:rFonts w:ascii="Calibri" w:hAnsi="Calibri" w:cs="Calibri"/>
          <w:b/>
          <w:bCs/>
          <w:sz w:val="24"/>
          <w:szCs w:val="24"/>
        </w:rPr>
        <w:t xml:space="preserve"> </w:t>
      </w:r>
      <w:r w:rsidR="00520F75">
        <w:rPr>
          <w:rFonts w:ascii="Calibri" w:hAnsi="Calibri" w:cs="Calibri"/>
          <w:b/>
          <w:bCs/>
          <w:sz w:val="24"/>
          <w:szCs w:val="24"/>
        </w:rPr>
        <w:t xml:space="preserve">and the EU </w:t>
      </w:r>
      <w:proofErr w:type="spellStart"/>
      <w:r w:rsidR="00520F75">
        <w:rPr>
          <w:rFonts w:ascii="Calibri" w:hAnsi="Calibri" w:cs="Calibri"/>
          <w:b/>
          <w:bCs/>
          <w:sz w:val="24"/>
          <w:szCs w:val="24"/>
        </w:rPr>
        <w:t>polycrisis</w:t>
      </w:r>
      <w:proofErr w:type="spellEnd"/>
    </w:p>
    <w:p w14:paraId="5FB4F0F4" w14:textId="77777777" w:rsidR="00440AA9" w:rsidRDefault="00440AA9" w:rsidP="001A5B8D">
      <w:pPr>
        <w:rPr>
          <w:rFonts w:ascii="Calibri" w:hAnsi="Calibri" w:cs="Calibri"/>
          <w:sz w:val="24"/>
          <w:szCs w:val="24"/>
        </w:rPr>
      </w:pPr>
    </w:p>
    <w:p w14:paraId="279C7BAA" w14:textId="48A0E7B8" w:rsidR="00C51FEE" w:rsidRDefault="00666DBF" w:rsidP="001A5B8D">
      <w:pPr>
        <w:rPr>
          <w:rFonts w:ascii="Calibri" w:hAnsi="Calibri" w:cs="Calibri"/>
          <w:sz w:val="24"/>
          <w:szCs w:val="24"/>
        </w:rPr>
      </w:pPr>
      <w:r>
        <w:rPr>
          <w:rFonts w:ascii="Calibri" w:hAnsi="Calibri" w:cs="Calibri"/>
          <w:sz w:val="24"/>
          <w:szCs w:val="24"/>
        </w:rPr>
        <w:t xml:space="preserve">Dr Pierre </w:t>
      </w:r>
      <w:proofErr w:type="spellStart"/>
      <w:r>
        <w:rPr>
          <w:rFonts w:ascii="Calibri" w:hAnsi="Calibri" w:cs="Calibri"/>
          <w:sz w:val="24"/>
          <w:szCs w:val="24"/>
        </w:rPr>
        <w:t>Bocquillon</w:t>
      </w:r>
      <w:proofErr w:type="spellEnd"/>
      <w:r>
        <w:rPr>
          <w:rFonts w:ascii="Calibri" w:hAnsi="Calibri" w:cs="Calibri"/>
          <w:sz w:val="24"/>
          <w:szCs w:val="24"/>
        </w:rPr>
        <w:t xml:space="preserve">, </w:t>
      </w:r>
      <w:r w:rsidR="001A5B8D">
        <w:rPr>
          <w:rFonts w:ascii="Calibri" w:hAnsi="Calibri" w:cs="Calibri"/>
          <w:sz w:val="24"/>
          <w:szCs w:val="24"/>
        </w:rPr>
        <w:t>Department of Politics Social and International Studies, University of East Anglia</w:t>
      </w:r>
      <w:r w:rsidR="00E1272D">
        <w:rPr>
          <w:rFonts w:ascii="Calibri" w:hAnsi="Calibri" w:cs="Calibri"/>
          <w:sz w:val="24"/>
          <w:szCs w:val="24"/>
        </w:rPr>
        <w:t xml:space="preserve">, </w:t>
      </w:r>
      <w:hyperlink r:id="rId8" w:history="1">
        <w:r w:rsidR="00E1272D" w:rsidRPr="00BC4A74">
          <w:rPr>
            <w:rStyle w:val="Hyperlink"/>
            <w:rFonts w:ascii="Calibri" w:hAnsi="Calibri" w:cs="Calibri"/>
            <w:sz w:val="24"/>
            <w:szCs w:val="24"/>
          </w:rPr>
          <w:t>p.bocquillon@uea.ac.uk</w:t>
        </w:r>
      </w:hyperlink>
    </w:p>
    <w:p w14:paraId="3A469A43" w14:textId="77777777" w:rsidR="00666DBF" w:rsidRDefault="00666DBF" w:rsidP="00666DBF">
      <w:pPr>
        <w:rPr>
          <w:rFonts w:ascii="Calibri" w:hAnsi="Calibri" w:cs="Calibri"/>
          <w:sz w:val="24"/>
          <w:szCs w:val="24"/>
        </w:rPr>
      </w:pPr>
    </w:p>
    <w:p w14:paraId="4FB2BBA4" w14:textId="18A740C4" w:rsidR="00C35FA4" w:rsidRPr="00DC7722" w:rsidRDefault="00C35FA4" w:rsidP="007C3E56">
      <w:pPr>
        <w:jc w:val="both"/>
        <w:rPr>
          <w:rFonts w:ascii="Calibri" w:hAnsi="Calibri" w:cs="Calibri"/>
          <w:b/>
          <w:bCs/>
          <w:sz w:val="24"/>
          <w:szCs w:val="24"/>
        </w:rPr>
      </w:pPr>
      <w:r w:rsidRPr="00DC7722">
        <w:rPr>
          <w:rFonts w:ascii="Calibri" w:hAnsi="Calibri" w:cs="Calibri"/>
          <w:b/>
          <w:bCs/>
          <w:sz w:val="24"/>
          <w:szCs w:val="24"/>
        </w:rPr>
        <w:t>Book</w:t>
      </w:r>
      <w:r w:rsidR="00DC7722" w:rsidRPr="00DC7722">
        <w:rPr>
          <w:rFonts w:ascii="Calibri" w:hAnsi="Calibri" w:cs="Calibri"/>
          <w:b/>
          <w:bCs/>
          <w:sz w:val="24"/>
          <w:szCs w:val="24"/>
        </w:rPr>
        <w:t>s</w:t>
      </w:r>
      <w:r w:rsidRPr="00DC7722">
        <w:rPr>
          <w:rFonts w:ascii="Calibri" w:hAnsi="Calibri" w:cs="Calibri"/>
          <w:b/>
          <w:bCs/>
          <w:sz w:val="24"/>
          <w:szCs w:val="24"/>
        </w:rPr>
        <w:t xml:space="preserve"> reviewed</w:t>
      </w:r>
      <w:r w:rsidR="00440AA9" w:rsidRPr="00DC7722">
        <w:rPr>
          <w:rFonts w:ascii="Calibri" w:hAnsi="Calibri" w:cs="Calibri"/>
          <w:b/>
          <w:bCs/>
          <w:sz w:val="24"/>
          <w:szCs w:val="24"/>
        </w:rPr>
        <w:t>:</w:t>
      </w:r>
    </w:p>
    <w:p w14:paraId="63A997BC" w14:textId="4EB34D8B" w:rsidR="007C3E56" w:rsidRDefault="002279B1" w:rsidP="007C3E56">
      <w:pPr>
        <w:jc w:val="both"/>
        <w:rPr>
          <w:rFonts w:ascii="Calibri" w:hAnsi="Calibri" w:cs="Calibri"/>
          <w:sz w:val="24"/>
          <w:szCs w:val="24"/>
        </w:rPr>
      </w:pPr>
      <w:proofErr w:type="spellStart"/>
      <w:r w:rsidRPr="002279B1">
        <w:rPr>
          <w:rFonts w:ascii="Calibri" w:hAnsi="Calibri" w:cs="Calibri"/>
          <w:sz w:val="24"/>
          <w:szCs w:val="24"/>
        </w:rPr>
        <w:t>Mérand</w:t>
      </w:r>
      <w:proofErr w:type="spellEnd"/>
      <w:r w:rsidRPr="002279B1">
        <w:rPr>
          <w:rFonts w:ascii="Calibri" w:hAnsi="Calibri" w:cs="Calibri"/>
          <w:sz w:val="24"/>
          <w:szCs w:val="24"/>
        </w:rPr>
        <w:t xml:space="preserve">, F. (2021). </w:t>
      </w:r>
      <w:r w:rsidRPr="003F11BA">
        <w:rPr>
          <w:rFonts w:ascii="Calibri" w:hAnsi="Calibri" w:cs="Calibri"/>
          <w:i/>
          <w:iCs/>
          <w:sz w:val="24"/>
          <w:szCs w:val="24"/>
        </w:rPr>
        <w:t>The political commissioner: A European ethnography</w:t>
      </w:r>
      <w:r w:rsidRPr="002279B1">
        <w:rPr>
          <w:rFonts w:ascii="Calibri" w:hAnsi="Calibri" w:cs="Calibri"/>
          <w:sz w:val="24"/>
          <w:szCs w:val="24"/>
        </w:rPr>
        <w:t>. Oxford University Press.</w:t>
      </w:r>
    </w:p>
    <w:p w14:paraId="58D4188C" w14:textId="582650BD" w:rsidR="003F11BA" w:rsidRDefault="003F11BA" w:rsidP="007C3E56">
      <w:pPr>
        <w:jc w:val="both"/>
        <w:rPr>
          <w:rFonts w:ascii="Calibri" w:hAnsi="Calibri" w:cs="Calibri"/>
          <w:sz w:val="24"/>
          <w:szCs w:val="24"/>
        </w:rPr>
      </w:pPr>
      <w:r w:rsidRPr="003F11BA">
        <w:rPr>
          <w:rFonts w:ascii="Calibri" w:hAnsi="Calibri" w:cs="Calibri"/>
          <w:sz w:val="24"/>
          <w:szCs w:val="24"/>
        </w:rPr>
        <w:t xml:space="preserve">Werts, J. (2021). </w:t>
      </w:r>
      <w:r w:rsidRPr="003F11BA">
        <w:rPr>
          <w:rFonts w:ascii="Calibri" w:hAnsi="Calibri" w:cs="Calibri"/>
          <w:i/>
          <w:iCs/>
          <w:sz w:val="24"/>
          <w:szCs w:val="24"/>
        </w:rPr>
        <w:t>The European Council in the era of crises</w:t>
      </w:r>
      <w:r w:rsidRPr="003F11BA">
        <w:rPr>
          <w:rFonts w:ascii="Calibri" w:hAnsi="Calibri" w:cs="Calibri"/>
          <w:sz w:val="24"/>
          <w:szCs w:val="24"/>
        </w:rPr>
        <w:t>. John Harper Publishing.</w:t>
      </w:r>
    </w:p>
    <w:p w14:paraId="3C8ACE9C" w14:textId="26EBD9B4" w:rsidR="0062619D" w:rsidRDefault="007C3E56" w:rsidP="007C3E56">
      <w:pPr>
        <w:jc w:val="both"/>
        <w:rPr>
          <w:rFonts w:ascii="Calibri" w:hAnsi="Calibri" w:cs="Calibri"/>
          <w:sz w:val="24"/>
          <w:szCs w:val="24"/>
        </w:rPr>
      </w:pPr>
      <w:r w:rsidRPr="007C3E56">
        <w:rPr>
          <w:rFonts w:ascii="Calibri" w:hAnsi="Calibri" w:cs="Calibri"/>
          <w:sz w:val="24"/>
          <w:szCs w:val="24"/>
        </w:rPr>
        <w:t>Wessels, W</w:t>
      </w:r>
      <w:r w:rsidR="003F11BA">
        <w:rPr>
          <w:rFonts w:ascii="Calibri" w:hAnsi="Calibri" w:cs="Calibri"/>
          <w:sz w:val="24"/>
          <w:szCs w:val="24"/>
        </w:rPr>
        <w:t>.</w:t>
      </w:r>
      <w:r w:rsidRPr="007C3E56">
        <w:rPr>
          <w:rFonts w:ascii="Calibri" w:hAnsi="Calibri" w:cs="Calibri"/>
          <w:sz w:val="24"/>
          <w:szCs w:val="24"/>
        </w:rPr>
        <w:t xml:space="preserve">, Schramm, </w:t>
      </w:r>
      <w:r w:rsidR="003F11BA">
        <w:rPr>
          <w:rFonts w:ascii="Calibri" w:hAnsi="Calibri" w:cs="Calibri"/>
          <w:sz w:val="24"/>
          <w:szCs w:val="24"/>
        </w:rPr>
        <w:t>L.</w:t>
      </w:r>
      <w:r w:rsidR="00DD0ECB">
        <w:rPr>
          <w:rFonts w:ascii="Calibri" w:hAnsi="Calibri" w:cs="Calibri"/>
          <w:sz w:val="24"/>
          <w:szCs w:val="24"/>
        </w:rPr>
        <w:t xml:space="preserve"> </w:t>
      </w:r>
      <w:r w:rsidRPr="007C3E56">
        <w:rPr>
          <w:rFonts w:ascii="Calibri" w:hAnsi="Calibri" w:cs="Calibri"/>
          <w:sz w:val="24"/>
          <w:szCs w:val="24"/>
        </w:rPr>
        <w:t>and</w:t>
      </w:r>
      <w:r w:rsidR="00DD0ECB">
        <w:rPr>
          <w:rFonts w:ascii="Calibri" w:hAnsi="Calibri" w:cs="Calibri"/>
          <w:sz w:val="24"/>
          <w:szCs w:val="24"/>
        </w:rPr>
        <w:t xml:space="preserve"> </w:t>
      </w:r>
      <w:proofErr w:type="spellStart"/>
      <w:r w:rsidRPr="007C3E56">
        <w:rPr>
          <w:rFonts w:ascii="Calibri" w:hAnsi="Calibri" w:cs="Calibri"/>
          <w:sz w:val="24"/>
          <w:szCs w:val="24"/>
        </w:rPr>
        <w:t>Kunstein</w:t>
      </w:r>
      <w:proofErr w:type="spellEnd"/>
      <w:r w:rsidR="00DD0ECB">
        <w:rPr>
          <w:rFonts w:ascii="Calibri" w:hAnsi="Calibri" w:cs="Calibri"/>
          <w:sz w:val="24"/>
          <w:szCs w:val="24"/>
        </w:rPr>
        <w:t>, T</w:t>
      </w:r>
      <w:r w:rsidRPr="007C3E56">
        <w:rPr>
          <w:rFonts w:ascii="Calibri" w:hAnsi="Calibri" w:cs="Calibri"/>
          <w:sz w:val="24"/>
          <w:szCs w:val="24"/>
        </w:rPr>
        <w:t xml:space="preserve">. </w:t>
      </w:r>
      <w:r w:rsidR="00DD0ECB">
        <w:rPr>
          <w:rFonts w:ascii="Calibri" w:hAnsi="Calibri" w:cs="Calibri"/>
          <w:sz w:val="24"/>
          <w:szCs w:val="24"/>
        </w:rPr>
        <w:t>(</w:t>
      </w:r>
      <w:r w:rsidRPr="007C3E56">
        <w:rPr>
          <w:rFonts w:ascii="Calibri" w:hAnsi="Calibri" w:cs="Calibri"/>
          <w:sz w:val="24"/>
          <w:szCs w:val="24"/>
        </w:rPr>
        <w:t>2022</w:t>
      </w:r>
      <w:r w:rsidR="00DD0ECB">
        <w:rPr>
          <w:rFonts w:ascii="Calibri" w:hAnsi="Calibri" w:cs="Calibri"/>
          <w:sz w:val="24"/>
          <w:szCs w:val="24"/>
        </w:rPr>
        <w:t>)</w:t>
      </w:r>
      <w:r w:rsidRPr="007C3E56">
        <w:rPr>
          <w:rFonts w:ascii="Calibri" w:hAnsi="Calibri" w:cs="Calibri"/>
          <w:sz w:val="24"/>
          <w:szCs w:val="24"/>
        </w:rPr>
        <w:t xml:space="preserve">. </w:t>
      </w:r>
      <w:r w:rsidRPr="003F11BA">
        <w:rPr>
          <w:rFonts w:ascii="Calibri" w:hAnsi="Calibri" w:cs="Calibri"/>
          <w:i/>
          <w:iCs/>
          <w:sz w:val="24"/>
          <w:szCs w:val="24"/>
        </w:rPr>
        <w:t>The European Council as a Crisis Manager:</w:t>
      </w:r>
      <w:r w:rsidR="003F11BA" w:rsidRPr="003F11BA">
        <w:rPr>
          <w:rFonts w:ascii="Calibri" w:hAnsi="Calibri" w:cs="Calibri"/>
          <w:i/>
          <w:iCs/>
          <w:sz w:val="24"/>
          <w:szCs w:val="24"/>
        </w:rPr>
        <w:t xml:space="preserve"> </w:t>
      </w:r>
      <w:r w:rsidRPr="003F11BA">
        <w:rPr>
          <w:rFonts w:ascii="Calibri" w:hAnsi="Calibri" w:cs="Calibri"/>
          <w:i/>
          <w:iCs/>
          <w:sz w:val="24"/>
          <w:szCs w:val="24"/>
        </w:rPr>
        <w:t>The E</w:t>
      </w:r>
      <w:r w:rsidR="00EB4289">
        <w:rPr>
          <w:rFonts w:ascii="Calibri" w:hAnsi="Calibri" w:cs="Calibri"/>
          <w:i/>
          <w:iCs/>
          <w:sz w:val="24"/>
          <w:szCs w:val="24"/>
        </w:rPr>
        <w:t>U</w:t>
      </w:r>
      <w:r w:rsidRPr="003F11BA">
        <w:rPr>
          <w:rFonts w:ascii="Calibri" w:hAnsi="Calibri" w:cs="Calibri"/>
          <w:i/>
          <w:iCs/>
          <w:sz w:val="24"/>
          <w:szCs w:val="24"/>
        </w:rPr>
        <w:t>’s Fiscal Response to the COVID-19 Pandemic</w:t>
      </w:r>
      <w:r w:rsidRPr="007C3E56">
        <w:rPr>
          <w:rFonts w:ascii="Calibri" w:hAnsi="Calibri" w:cs="Calibri"/>
          <w:sz w:val="24"/>
          <w:szCs w:val="24"/>
        </w:rPr>
        <w:t>. Baden-Baden: Nomos.</w:t>
      </w:r>
    </w:p>
    <w:p w14:paraId="0DD1B970" w14:textId="77777777" w:rsidR="0062619D" w:rsidRDefault="0062619D" w:rsidP="007C3E56">
      <w:pPr>
        <w:rPr>
          <w:rFonts w:ascii="Calibri" w:hAnsi="Calibri" w:cs="Calibri"/>
          <w:sz w:val="24"/>
          <w:szCs w:val="24"/>
        </w:rPr>
      </w:pPr>
    </w:p>
    <w:p w14:paraId="68CB8693" w14:textId="28C2DBF6" w:rsidR="00A16C61" w:rsidRPr="00DC7722" w:rsidRDefault="00A16C61" w:rsidP="007C3E56">
      <w:pPr>
        <w:rPr>
          <w:rFonts w:ascii="Calibri" w:hAnsi="Calibri" w:cs="Calibri"/>
          <w:b/>
          <w:bCs/>
          <w:sz w:val="24"/>
          <w:szCs w:val="24"/>
        </w:rPr>
      </w:pPr>
      <w:r w:rsidRPr="00DC7722">
        <w:rPr>
          <w:rFonts w:ascii="Calibri" w:hAnsi="Calibri" w:cs="Calibri"/>
          <w:b/>
          <w:bCs/>
          <w:sz w:val="24"/>
          <w:szCs w:val="24"/>
        </w:rPr>
        <w:t>Abstract:</w:t>
      </w:r>
    </w:p>
    <w:p w14:paraId="1B57DAD4" w14:textId="074D1583" w:rsidR="00A16C61" w:rsidRDefault="0047200A" w:rsidP="00812E8E">
      <w:pPr>
        <w:jc w:val="both"/>
        <w:rPr>
          <w:rFonts w:ascii="Calibri" w:hAnsi="Calibri" w:cs="Calibri"/>
          <w:sz w:val="24"/>
          <w:szCs w:val="24"/>
        </w:rPr>
      </w:pPr>
      <w:r>
        <w:rPr>
          <w:rFonts w:ascii="Calibri" w:hAnsi="Calibri" w:cs="Calibri"/>
          <w:sz w:val="24"/>
          <w:szCs w:val="24"/>
        </w:rPr>
        <w:t>T</w:t>
      </w:r>
      <w:r w:rsidR="00634FBE">
        <w:rPr>
          <w:rFonts w:ascii="Calibri" w:hAnsi="Calibri" w:cs="Calibri"/>
          <w:sz w:val="24"/>
          <w:szCs w:val="24"/>
        </w:rPr>
        <w:t xml:space="preserve">he </w:t>
      </w:r>
      <w:r w:rsidR="003505DB">
        <w:rPr>
          <w:rFonts w:ascii="Calibri" w:hAnsi="Calibri" w:cs="Calibri"/>
          <w:sz w:val="24"/>
          <w:szCs w:val="24"/>
        </w:rPr>
        <w:t xml:space="preserve">European Commission has traditionally held a key position </w:t>
      </w:r>
      <w:r w:rsidR="004A631E">
        <w:rPr>
          <w:rFonts w:ascii="Calibri" w:hAnsi="Calibri" w:cs="Calibri"/>
          <w:sz w:val="24"/>
          <w:szCs w:val="24"/>
        </w:rPr>
        <w:t xml:space="preserve">in setting the </w:t>
      </w:r>
      <w:r w:rsidR="000035A5">
        <w:rPr>
          <w:rFonts w:ascii="Calibri" w:hAnsi="Calibri" w:cs="Calibri"/>
          <w:sz w:val="24"/>
          <w:szCs w:val="24"/>
        </w:rPr>
        <w:t xml:space="preserve">legislative and political </w:t>
      </w:r>
      <w:r w:rsidR="004A631E">
        <w:rPr>
          <w:rFonts w:ascii="Calibri" w:hAnsi="Calibri" w:cs="Calibri"/>
          <w:sz w:val="24"/>
          <w:szCs w:val="24"/>
        </w:rPr>
        <w:t>agenda of the EU</w:t>
      </w:r>
      <w:r>
        <w:rPr>
          <w:rFonts w:ascii="Calibri" w:hAnsi="Calibri" w:cs="Calibri"/>
          <w:sz w:val="24"/>
          <w:szCs w:val="24"/>
        </w:rPr>
        <w:t xml:space="preserve">. </w:t>
      </w:r>
      <w:r w:rsidR="000035A5">
        <w:rPr>
          <w:rFonts w:ascii="Calibri" w:hAnsi="Calibri" w:cs="Calibri"/>
          <w:sz w:val="24"/>
          <w:szCs w:val="24"/>
        </w:rPr>
        <w:t>However,</w:t>
      </w:r>
      <w:r w:rsidR="004A0A0A">
        <w:rPr>
          <w:rFonts w:ascii="Calibri" w:hAnsi="Calibri" w:cs="Calibri"/>
          <w:sz w:val="24"/>
          <w:szCs w:val="24"/>
        </w:rPr>
        <w:t xml:space="preserve"> its role has become increasingly challenged in an era of </w:t>
      </w:r>
      <w:proofErr w:type="spellStart"/>
      <w:r w:rsidR="004A0A0A">
        <w:rPr>
          <w:rFonts w:ascii="Calibri" w:hAnsi="Calibri" w:cs="Calibri"/>
          <w:sz w:val="24"/>
          <w:szCs w:val="24"/>
        </w:rPr>
        <w:t>polycrisis</w:t>
      </w:r>
      <w:proofErr w:type="spellEnd"/>
      <w:r w:rsidR="00FB69EE">
        <w:rPr>
          <w:rFonts w:ascii="Calibri" w:hAnsi="Calibri" w:cs="Calibri"/>
          <w:sz w:val="24"/>
          <w:szCs w:val="24"/>
        </w:rPr>
        <w:t>. This is notably due to</w:t>
      </w:r>
      <w:r w:rsidR="00417149">
        <w:rPr>
          <w:rFonts w:ascii="Calibri" w:hAnsi="Calibri" w:cs="Calibri"/>
          <w:sz w:val="24"/>
          <w:szCs w:val="24"/>
        </w:rPr>
        <w:t xml:space="preserve"> the rise of the European Council as crisis manager</w:t>
      </w:r>
      <w:r w:rsidR="004C2A09">
        <w:rPr>
          <w:rFonts w:ascii="Calibri" w:hAnsi="Calibri" w:cs="Calibri"/>
          <w:sz w:val="24"/>
          <w:szCs w:val="24"/>
        </w:rPr>
        <w:t xml:space="preserve">, which </w:t>
      </w:r>
      <w:r w:rsidR="007D3FF0">
        <w:rPr>
          <w:rFonts w:ascii="Calibri" w:hAnsi="Calibri" w:cs="Calibri"/>
          <w:sz w:val="24"/>
          <w:szCs w:val="24"/>
        </w:rPr>
        <w:t>possess</w:t>
      </w:r>
      <w:r w:rsidR="004C2A09">
        <w:rPr>
          <w:rFonts w:ascii="Calibri" w:hAnsi="Calibri" w:cs="Calibri"/>
          <w:sz w:val="24"/>
          <w:szCs w:val="24"/>
        </w:rPr>
        <w:t xml:space="preserve">es the political clout, resources, and legitimacy to </w:t>
      </w:r>
      <w:r w:rsidR="00812E8E">
        <w:rPr>
          <w:rFonts w:ascii="Calibri" w:hAnsi="Calibri" w:cs="Calibri"/>
          <w:sz w:val="24"/>
          <w:szCs w:val="24"/>
        </w:rPr>
        <w:t>deal with</w:t>
      </w:r>
      <w:r w:rsidR="004C2A09">
        <w:rPr>
          <w:rFonts w:ascii="Calibri" w:hAnsi="Calibri" w:cs="Calibri"/>
          <w:sz w:val="24"/>
          <w:szCs w:val="24"/>
        </w:rPr>
        <w:t xml:space="preserve"> urgent challenges</w:t>
      </w:r>
      <w:r>
        <w:rPr>
          <w:rFonts w:ascii="Calibri" w:hAnsi="Calibri" w:cs="Calibri"/>
          <w:sz w:val="24"/>
          <w:szCs w:val="24"/>
        </w:rPr>
        <w:t>.</w:t>
      </w:r>
      <w:r w:rsidR="000035A5">
        <w:rPr>
          <w:rFonts w:ascii="Calibri" w:hAnsi="Calibri" w:cs="Calibri"/>
          <w:sz w:val="24"/>
          <w:szCs w:val="24"/>
        </w:rPr>
        <w:t xml:space="preserve"> </w:t>
      </w:r>
      <w:r w:rsidR="005E249B">
        <w:rPr>
          <w:rFonts w:ascii="Calibri" w:hAnsi="Calibri" w:cs="Calibri"/>
          <w:sz w:val="24"/>
          <w:szCs w:val="24"/>
        </w:rPr>
        <w:t xml:space="preserve">While </w:t>
      </w:r>
      <w:r w:rsidR="00181E0F">
        <w:rPr>
          <w:rFonts w:ascii="Calibri" w:hAnsi="Calibri" w:cs="Calibri"/>
          <w:sz w:val="24"/>
          <w:szCs w:val="24"/>
        </w:rPr>
        <w:t>much of the literature has d</w:t>
      </w:r>
      <w:r w:rsidR="00D93BB6">
        <w:rPr>
          <w:rFonts w:ascii="Calibri" w:hAnsi="Calibri" w:cs="Calibri"/>
          <w:sz w:val="24"/>
          <w:szCs w:val="24"/>
        </w:rPr>
        <w:t>ebated</w:t>
      </w:r>
      <w:r w:rsidR="00181E0F">
        <w:rPr>
          <w:rFonts w:ascii="Calibri" w:hAnsi="Calibri" w:cs="Calibri"/>
          <w:sz w:val="24"/>
          <w:szCs w:val="24"/>
        </w:rPr>
        <w:t xml:space="preserve"> </w:t>
      </w:r>
      <w:r w:rsidR="00D93BB6">
        <w:rPr>
          <w:rFonts w:ascii="Calibri" w:hAnsi="Calibri" w:cs="Calibri"/>
          <w:sz w:val="24"/>
          <w:szCs w:val="24"/>
        </w:rPr>
        <w:t>changes in the</w:t>
      </w:r>
      <w:r w:rsidR="00181E0F">
        <w:rPr>
          <w:rFonts w:ascii="Calibri" w:hAnsi="Calibri" w:cs="Calibri"/>
          <w:sz w:val="24"/>
          <w:szCs w:val="24"/>
        </w:rPr>
        <w:t xml:space="preserve"> relative </w:t>
      </w:r>
      <w:r w:rsidR="00D93BB6">
        <w:rPr>
          <w:rFonts w:ascii="Calibri" w:hAnsi="Calibri" w:cs="Calibri"/>
          <w:sz w:val="24"/>
          <w:szCs w:val="24"/>
        </w:rPr>
        <w:t>powers and influence</w:t>
      </w:r>
      <w:r>
        <w:rPr>
          <w:rFonts w:ascii="Calibri" w:hAnsi="Calibri" w:cs="Calibri"/>
          <w:sz w:val="24"/>
          <w:szCs w:val="24"/>
        </w:rPr>
        <w:t xml:space="preserve"> </w:t>
      </w:r>
      <w:r w:rsidR="00D93BB6">
        <w:rPr>
          <w:rFonts w:ascii="Calibri" w:hAnsi="Calibri" w:cs="Calibri"/>
          <w:sz w:val="24"/>
          <w:szCs w:val="24"/>
        </w:rPr>
        <w:t>of the EU’s dual executive</w:t>
      </w:r>
      <w:r w:rsidR="0005057C">
        <w:rPr>
          <w:rFonts w:ascii="Calibri" w:hAnsi="Calibri" w:cs="Calibri"/>
          <w:sz w:val="24"/>
          <w:szCs w:val="24"/>
        </w:rPr>
        <w:t xml:space="preserve"> constituted by the European Council and Commission</w:t>
      </w:r>
      <w:r w:rsidR="007C1339">
        <w:rPr>
          <w:rFonts w:ascii="Calibri" w:hAnsi="Calibri" w:cs="Calibri"/>
          <w:sz w:val="24"/>
          <w:szCs w:val="24"/>
        </w:rPr>
        <w:t>, a close look at their interactions</w:t>
      </w:r>
      <w:r w:rsidR="00CB6C84">
        <w:rPr>
          <w:rFonts w:ascii="Calibri" w:hAnsi="Calibri" w:cs="Calibri"/>
          <w:sz w:val="24"/>
          <w:szCs w:val="24"/>
        </w:rPr>
        <w:t xml:space="preserve"> in dealing with crises</w:t>
      </w:r>
      <w:r w:rsidR="009F548F">
        <w:rPr>
          <w:rFonts w:ascii="Calibri" w:hAnsi="Calibri" w:cs="Calibri"/>
          <w:sz w:val="24"/>
          <w:szCs w:val="24"/>
        </w:rPr>
        <w:t xml:space="preserve"> y</w:t>
      </w:r>
      <w:r w:rsidR="00404183">
        <w:rPr>
          <w:rFonts w:ascii="Calibri" w:hAnsi="Calibri" w:cs="Calibri"/>
          <w:sz w:val="24"/>
          <w:szCs w:val="24"/>
        </w:rPr>
        <w:t xml:space="preserve">ields interesting insights and suggests </w:t>
      </w:r>
      <w:r w:rsidR="00337635">
        <w:rPr>
          <w:rFonts w:ascii="Calibri" w:hAnsi="Calibri" w:cs="Calibri"/>
          <w:sz w:val="24"/>
          <w:szCs w:val="24"/>
        </w:rPr>
        <w:t xml:space="preserve">a more complex </w:t>
      </w:r>
      <w:r w:rsidR="000C4E76">
        <w:rPr>
          <w:rFonts w:ascii="Calibri" w:hAnsi="Calibri" w:cs="Calibri"/>
          <w:sz w:val="24"/>
          <w:szCs w:val="24"/>
        </w:rPr>
        <w:t>inter</w:t>
      </w:r>
      <w:r w:rsidR="00337635">
        <w:rPr>
          <w:rFonts w:ascii="Calibri" w:hAnsi="Calibri" w:cs="Calibri"/>
          <w:sz w:val="24"/>
          <w:szCs w:val="24"/>
        </w:rPr>
        <w:t xml:space="preserve">institutional choreography </w:t>
      </w:r>
      <w:r w:rsidR="00CB6C84">
        <w:rPr>
          <w:rFonts w:ascii="Calibri" w:hAnsi="Calibri" w:cs="Calibri"/>
          <w:sz w:val="24"/>
          <w:szCs w:val="24"/>
        </w:rPr>
        <w:t xml:space="preserve">in agenda setting </w:t>
      </w:r>
      <w:r w:rsidR="00337635">
        <w:rPr>
          <w:rFonts w:ascii="Calibri" w:hAnsi="Calibri" w:cs="Calibri"/>
          <w:sz w:val="24"/>
          <w:szCs w:val="24"/>
        </w:rPr>
        <w:t>than first appears</w:t>
      </w:r>
      <w:r w:rsidR="00CB6C84">
        <w:rPr>
          <w:rFonts w:ascii="Calibri" w:hAnsi="Calibri" w:cs="Calibri"/>
          <w:sz w:val="24"/>
          <w:szCs w:val="24"/>
        </w:rPr>
        <w:t xml:space="preserve">. </w:t>
      </w:r>
      <w:r w:rsidR="002A50CD">
        <w:rPr>
          <w:rFonts w:ascii="Calibri" w:hAnsi="Calibri" w:cs="Calibri"/>
          <w:sz w:val="24"/>
          <w:szCs w:val="24"/>
        </w:rPr>
        <w:t>Systematic comparative case study analysis</w:t>
      </w:r>
      <w:r w:rsidR="000C4E76">
        <w:rPr>
          <w:rFonts w:ascii="Calibri" w:hAnsi="Calibri" w:cs="Calibri"/>
          <w:sz w:val="24"/>
          <w:szCs w:val="24"/>
        </w:rPr>
        <w:t xml:space="preserve"> promises to shed </w:t>
      </w:r>
      <w:r w:rsidR="009445E4">
        <w:rPr>
          <w:rFonts w:ascii="Calibri" w:hAnsi="Calibri" w:cs="Calibri"/>
          <w:sz w:val="24"/>
          <w:szCs w:val="24"/>
        </w:rPr>
        <w:t>light on agenda setting strategies and practices</w:t>
      </w:r>
      <w:r w:rsidR="003D4134">
        <w:rPr>
          <w:rFonts w:ascii="Calibri" w:hAnsi="Calibri" w:cs="Calibri"/>
          <w:sz w:val="24"/>
          <w:szCs w:val="24"/>
        </w:rPr>
        <w:t xml:space="preserve"> across different </w:t>
      </w:r>
      <w:r w:rsidR="00433C0C">
        <w:rPr>
          <w:rFonts w:ascii="Calibri" w:hAnsi="Calibri" w:cs="Calibri"/>
          <w:sz w:val="24"/>
          <w:szCs w:val="24"/>
        </w:rPr>
        <w:t>areas and issues</w:t>
      </w:r>
      <w:r w:rsidR="009D608F">
        <w:rPr>
          <w:rFonts w:ascii="Calibri" w:hAnsi="Calibri" w:cs="Calibri"/>
          <w:sz w:val="24"/>
          <w:szCs w:val="24"/>
        </w:rPr>
        <w:t xml:space="preserve"> in a context of politicisation of </w:t>
      </w:r>
      <w:r w:rsidR="003F0527">
        <w:rPr>
          <w:rFonts w:ascii="Calibri" w:hAnsi="Calibri" w:cs="Calibri"/>
          <w:sz w:val="24"/>
          <w:szCs w:val="24"/>
        </w:rPr>
        <w:t>EU affairs.</w:t>
      </w:r>
    </w:p>
    <w:p w14:paraId="0F7999D0" w14:textId="77777777" w:rsidR="00A16C61" w:rsidRDefault="00A16C61" w:rsidP="007C3E56">
      <w:pPr>
        <w:rPr>
          <w:rFonts w:ascii="Calibri" w:hAnsi="Calibri" w:cs="Calibri"/>
          <w:sz w:val="24"/>
          <w:szCs w:val="24"/>
        </w:rPr>
      </w:pPr>
    </w:p>
    <w:p w14:paraId="717E375B" w14:textId="77777777" w:rsidR="00901C9F" w:rsidRPr="00DC7722" w:rsidRDefault="00A16C61" w:rsidP="007C3E56">
      <w:pPr>
        <w:rPr>
          <w:rFonts w:ascii="Calibri" w:hAnsi="Calibri" w:cs="Calibri"/>
          <w:b/>
          <w:bCs/>
          <w:sz w:val="24"/>
          <w:szCs w:val="24"/>
        </w:rPr>
      </w:pPr>
      <w:r w:rsidRPr="00DC7722">
        <w:rPr>
          <w:rFonts w:ascii="Calibri" w:hAnsi="Calibri" w:cs="Calibri"/>
          <w:b/>
          <w:bCs/>
          <w:sz w:val="24"/>
          <w:szCs w:val="24"/>
        </w:rPr>
        <w:t xml:space="preserve">Keywords: </w:t>
      </w:r>
    </w:p>
    <w:p w14:paraId="129280F1" w14:textId="27513580" w:rsidR="00A16C61" w:rsidRDefault="00520F75" w:rsidP="007C3E56">
      <w:pPr>
        <w:rPr>
          <w:rFonts w:ascii="Calibri" w:hAnsi="Calibri" w:cs="Calibri"/>
          <w:sz w:val="24"/>
          <w:szCs w:val="24"/>
        </w:rPr>
      </w:pPr>
      <w:proofErr w:type="spellStart"/>
      <w:r>
        <w:rPr>
          <w:rFonts w:ascii="Calibri" w:hAnsi="Calibri" w:cs="Calibri"/>
          <w:sz w:val="24"/>
          <w:szCs w:val="24"/>
        </w:rPr>
        <w:t>poly</w:t>
      </w:r>
      <w:r w:rsidR="00CF09CE">
        <w:rPr>
          <w:rFonts w:ascii="Calibri" w:hAnsi="Calibri" w:cs="Calibri"/>
          <w:sz w:val="24"/>
          <w:szCs w:val="24"/>
        </w:rPr>
        <w:t>crisis</w:t>
      </w:r>
      <w:proofErr w:type="spellEnd"/>
      <w:r w:rsidR="00CF09CE">
        <w:rPr>
          <w:rFonts w:ascii="Calibri" w:hAnsi="Calibri" w:cs="Calibri"/>
          <w:sz w:val="24"/>
          <w:szCs w:val="24"/>
        </w:rPr>
        <w:t xml:space="preserve">; </w:t>
      </w:r>
      <w:r w:rsidR="008E1CCB">
        <w:rPr>
          <w:rFonts w:ascii="Calibri" w:hAnsi="Calibri" w:cs="Calibri"/>
          <w:sz w:val="24"/>
          <w:szCs w:val="24"/>
        </w:rPr>
        <w:t xml:space="preserve">EU institutions; </w:t>
      </w:r>
      <w:r w:rsidR="004C0DAD">
        <w:rPr>
          <w:rFonts w:ascii="Calibri" w:hAnsi="Calibri" w:cs="Calibri"/>
          <w:sz w:val="24"/>
          <w:szCs w:val="24"/>
        </w:rPr>
        <w:t>European Commission; European Council; agenda-setting</w:t>
      </w:r>
      <w:r w:rsidR="00CF09CE">
        <w:rPr>
          <w:rFonts w:ascii="Calibri" w:hAnsi="Calibri" w:cs="Calibri"/>
          <w:sz w:val="24"/>
          <w:szCs w:val="24"/>
        </w:rPr>
        <w:t xml:space="preserve"> </w:t>
      </w:r>
    </w:p>
    <w:p w14:paraId="28B9A57F" w14:textId="77777777" w:rsidR="00A16C61" w:rsidRDefault="00A16C61" w:rsidP="007C3E56">
      <w:pPr>
        <w:rPr>
          <w:rFonts w:ascii="Calibri" w:hAnsi="Calibri" w:cs="Calibri"/>
          <w:sz w:val="24"/>
          <w:szCs w:val="24"/>
        </w:rPr>
      </w:pPr>
    </w:p>
    <w:p w14:paraId="0E9CFA97" w14:textId="5E9354DF" w:rsidR="00F72057" w:rsidRPr="00DF2BBC" w:rsidRDefault="00947550" w:rsidP="00F72057">
      <w:pPr>
        <w:rPr>
          <w:rFonts w:ascii="Calibri" w:hAnsi="Calibri" w:cs="Calibri"/>
          <w:b/>
          <w:bCs/>
          <w:sz w:val="24"/>
          <w:szCs w:val="24"/>
        </w:rPr>
      </w:pPr>
      <w:r>
        <w:rPr>
          <w:rFonts w:ascii="Calibri" w:hAnsi="Calibri" w:cs="Calibri"/>
          <w:b/>
          <w:bCs/>
          <w:sz w:val="24"/>
          <w:szCs w:val="24"/>
        </w:rPr>
        <w:t xml:space="preserve">EU </w:t>
      </w:r>
      <w:r w:rsidR="00F72057" w:rsidRPr="00DF2BBC">
        <w:rPr>
          <w:rFonts w:ascii="Calibri" w:hAnsi="Calibri" w:cs="Calibri"/>
          <w:b/>
          <w:bCs/>
          <w:sz w:val="24"/>
          <w:szCs w:val="24"/>
        </w:rPr>
        <w:t>Agenda setting</w:t>
      </w:r>
      <w:r w:rsidR="003D0A7A" w:rsidRPr="00DF2BBC">
        <w:rPr>
          <w:rFonts w:ascii="Calibri" w:hAnsi="Calibri" w:cs="Calibri"/>
          <w:b/>
          <w:bCs/>
          <w:sz w:val="24"/>
          <w:szCs w:val="24"/>
        </w:rPr>
        <w:t xml:space="preserve"> in </w:t>
      </w:r>
      <w:r w:rsidR="000E1F38">
        <w:rPr>
          <w:rFonts w:ascii="Calibri" w:hAnsi="Calibri" w:cs="Calibri"/>
          <w:b/>
          <w:bCs/>
          <w:sz w:val="24"/>
          <w:szCs w:val="24"/>
        </w:rPr>
        <w:t>the post-</w:t>
      </w:r>
      <w:r w:rsidR="003D0A7A" w:rsidRPr="00DF2BBC">
        <w:rPr>
          <w:rFonts w:ascii="Calibri" w:hAnsi="Calibri" w:cs="Calibri"/>
          <w:b/>
          <w:bCs/>
          <w:sz w:val="24"/>
          <w:szCs w:val="24"/>
        </w:rPr>
        <w:t xml:space="preserve">Maastricht </w:t>
      </w:r>
      <w:proofErr w:type="gramStart"/>
      <w:r w:rsidR="003D0A7A" w:rsidRPr="00DF2BBC">
        <w:rPr>
          <w:rFonts w:ascii="Calibri" w:hAnsi="Calibri" w:cs="Calibri"/>
          <w:b/>
          <w:bCs/>
          <w:sz w:val="24"/>
          <w:szCs w:val="24"/>
        </w:rPr>
        <w:t>era</w:t>
      </w:r>
      <w:proofErr w:type="gramEnd"/>
    </w:p>
    <w:p w14:paraId="272E69D9" w14:textId="16BE0C96" w:rsidR="00C75F3B" w:rsidRDefault="009F3988" w:rsidP="00FC6FBC">
      <w:pPr>
        <w:jc w:val="both"/>
        <w:rPr>
          <w:rFonts w:ascii="Calibri" w:hAnsi="Calibri" w:cs="Calibri"/>
          <w:sz w:val="24"/>
          <w:szCs w:val="24"/>
        </w:rPr>
      </w:pPr>
      <w:r>
        <w:rPr>
          <w:rFonts w:ascii="Calibri" w:hAnsi="Calibri" w:cs="Calibri"/>
          <w:sz w:val="24"/>
          <w:szCs w:val="24"/>
        </w:rPr>
        <w:t>T</w:t>
      </w:r>
      <w:r w:rsidR="00622BF9" w:rsidRPr="008909D2">
        <w:rPr>
          <w:rFonts w:ascii="Calibri" w:hAnsi="Calibri" w:cs="Calibri"/>
          <w:sz w:val="24"/>
          <w:szCs w:val="24"/>
        </w:rPr>
        <w:t xml:space="preserve">he </w:t>
      </w:r>
      <w:r>
        <w:rPr>
          <w:rFonts w:ascii="Calibri" w:hAnsi="Calibri" w:cs="Calibri"/>
          <w:sz w:val="24"/>
          <w:szCs w:val="24"/>
        </w:rPr>
        <w:t xml:space="preserve">European </w:t>
      </w:r>
      <w:r w:rsidR="00622BF9" w:rsidRPr="008909D2">
        <w:rPr>
          <w:rFonts w:ascii="Calibri" w:hAnsi="Calibri" w:cs="Calibri"/>
          <w:sz w:val="24"/>
          <w:szCs w:val="24"/>
        </w:rPr>
        <w:t>Commission</w:t>
      </w:r>
      <w:r w:rsidR="000D1258">
        <w:rPr>
          <w:rFonts w:ascii="Calibri" w:hAnsi="Calibri" w:cs="Calibri"/>
          <w:sz w:val="24"/>
          <w:szCs w:val="24"/>
        </w:rPr>
        <w:t>’s role</w:t>
      </w:r>
      <w:r w:rsidR="00622BF9" w:rsidRPr="008909D2">
        <w:rPr>
          <w:rFonts w:ascii="Calibri" w:hAnsi="Calibri" w:cs="Calibri"/>
          <w:sz w:val="24"/>
          <w:szCs w:val="24"/>
        </w:rPr>
        <w:t xml:space="preserve"> a</w:t>
      </w:r>
      <w:r w:rsidR="005C73D3">
        <w:rPr>
          <w:rFonts w:ascii="Calibri" w:hAnsi="Calibri" w:cs="Calibri"/>
          <w:sz w:val="24"/>
          <w:szCs w:val="24"/>
        </w:rPr>
        <w:t>s the primary</w:t>
      </w:r>
      <w:r w:rsidR="00622BF9" w:rsidRPr="008909D2">
        <w:rPr>
          <w:rFonts w:ascii="Calibri" w:hAnsi="Calibri" w:cs="Calibri"/>
          <w:sz w:val="24"/>
          <w:szCs w:val="24"/>
        </w:rPr>
        <w:t xml:space="preserve"> agenda-setter</w:t>
      </w:r>
      <w:r w:rsidR="00873652">
        <w:rPr>
          <w:rFonts w:ascii="Calibri" w:hAnsi="Calibri" w:cs="Calibri"/>
          <w:sz w:val="24"/>
          <w:szCs w:val="24"/>
        </w:rPr>
        <w:t xml:space="preserve"> </w:t>
      </w:r>
      <w:r w:rsidR="0060237A">
        <w:rPr>
          <w:rFonts w:ascii="Calibri" w:hAnsi="Calibri" w:cs="Calibri"/>
          <w:sz w:val="24"/>
          <w:szCs w:val="24"/>
        </w:rPr>
        <w:t xml:space="preserve">in the EU system </w:t>
      </w:r>
      <w:r w:rsidR="00560679">
        <w:rPr>
          <w:rFonts w:ascii="Calibri" w:hAnsi="Calibri" w:cs="Calibri"/>
          <w:sz w:val="24"/>
          <w:szCs w:val="24"/>
        </w:rPr>
        <w:t>has been</w:t>
      </w:r>
      <w:r w:rsidR="0065536A">
        <w:rPr>
          <w:rFonts w:ascii="Calibri" w:hAnsi="Calibri" w:cs="Calibri"/>
          <w:sz w:val="24"/>
          <w:szCs w:val="24"/>
        </w:rPr>
        <w:t xml:space="preserve"> </w:t>
      </w:r>
      <w:r w:rsidR="008A6DDF">
        <w:rPr>
          <w:rFonts w:ascii="Calibri" w:hAnsi="Calibri" w:cs="Calibri"/>
          <w:sz w:val="24"/>
          <w:szCs w:val="24"/>
        </w:rPr>
        <w:t>the object of considerable attention</w:t>
      </w:r>
      <w:r w:rsidR="009E154A">
        <w:rPr>
          <w:rFonts w:ascii="Calibri" w:hAnsi="Calibri" w:cs="Calibri"/>
          <w:sz w:val="24"/>
          <w:szCs w:val="24"/>
        </w:rPr>
        <w:t>.</w:t>
      </w:r>
      <w:r w:rsidR="00622BF9" w:rsidRPr="008909D2">
        <w:rPr>
          <w:rFonts w:ascii="Calibri" w:hAnsi="Calibri" w:cs="Calibri"/>
          <w:sz w:val="24"/>
          <w:szCs w:val="24"/>
        </w:rPr>
        <w:t xml:space="preserve"> </w:t>
      </w:r>
      <w:r w:rsidR="00A379E1">
        <w:rPr>
          <w:rFonts w:ascii="Calibri" w:hAnsi="Calibri" w:cs="Calibri"/>
          <w:sz w:val="24"/>
          <w:szCs w:val="24"/>
        </w:rPr>
        <w:t>The Treaties endow</w:t>
      </w:r>
      <w:r w:rsidR="006851DC">
        <w:rPr>
          <w:rFonts w:ascii="Calibri" w:hAnsi="Calibri" w:cs="Calibri"/>
          <w:sz w:val="24"/>
          <w:szCs w:val="24"/>
        </w:rPr>
        <w:t xml:space="preserve"> the supranational body with</w:t>
      </w:r>
      <w:r w:rsidR="004D610B" w:rsidRPr="008909D2">
        <w:rPr>
          <w:rFonts w:ascii="Calibri" w:hAnsi="Calibri" w:cs="Calibri"/>
          <w:sz w:val="24"/>
          <w:szCs w:val="24"/>
        </w:rPr>
        <w:t xml:space="preserve"> </w:t>
      </w:r>
      <w:r w:rsidR="005C2071">
        <w:rPr>
          <w:rFonts w:ascii="Calibri" w:hAnsi="Calibri" w:cs="Calibri"/>
          <w:sz w:val="24"/>
          <w:szCs w:val="24"/>
        </w:rPr>
        <w:t xml:space="preserve">the </w:t>
      </w:r>
      <w:r w:rsidR="00CC2FB3" w:rsidRPr="008909D2">
        <w:rPr>
          <w:rFonts w:ascii="Calibri" w:hAnsi="Calibri" w:cs="Calibri"/>
          <w:sz w:val="24"/>
          <w:szCs w:val="24"/>
        </w:rPr>
        <w:t>exclusive</w:t>
      </w:r>
      <w:r w:rsidR="005C2071">
        <w:rPr>
          <w:rFonts w:ascii="Calibri" w:hAnsi="Calibri" w:cs="Calibri"/>
          <w:sz w:val="24"/>
          <w:szCs w:val="24"/>
        </w:rPr>
        <w:t xml:space="preserve"> </w:t>
      </w:r>
      <w:r w:rsidR="006851DC">
        <w:rPr>
          <w:rFonts w:ascii="Calibri" w:hAnsi="Calibri" w:cs="Calibri"/>
          <w:sz w:val="24"/>
          <w:szCs w:val="24"/>
        </w:rPr>
        <w:t>right</w:t>
      </w:r>
      <w:r w:rsidR="004D610B" w:rsidRPr="008909D2">
        <w:rPr>
          <w:rFonts w:ascii="Calibri" w:hAnsi="Calibri" w:cs="Calibri"/>
          <w:sz w:val="24"/>
          <w:szCs w:val="24"/>
        </w:rPr>
        <w:t xml:space="preserve"> of </w:t>
      </w:r>
      <w:r w:rsidR="00CC2FB3" w:rsidRPr="008909D2">
        <w:rPr>
          <w:rFonts w:ascii="Calibri" w:hAnsi="Calibri" w:cs="Calibri"/>
          <w:sz w:val="24"/>
          <w:szCs w:val="24"/>
        </w:rPr>
        <w:t>legislative initiati</w:t>
      </w:r>
      <w:r w:rsidR="00CE7D0C">
        <w:rPr>
          <w:rFonts w:ascii="Calibri" w:hAnsi="Calibri" w:cs="Calibri"/>
          <w:sz w:val="24"/>
          <w:szCs w:val="24"/>
        </w:rPr>
        <w:t>ve</w:t>
      </w:r>
      <w:r w:rsidR="00CC2FB3" w:rsidRPr="008909D2">
        <w:rPr>
          <w:rFonts w:ascii="Calibri" w:hAnsi="Calibri" w:cs="Calibri"/>
          <w:sz w:val="24"/>
          <w:szCs w:val="24"/>
        </w:rPr>
        <w:t xml:space="preserve"> under the Community </w:t>
      </w:r>
      <w:r w:rsidR="00CE7D0C">
        <w:rPr>
          <w:rFonts w:ascii="Calibri" w:hAnsi="Calibri" w:cs="Calibri"/>
          <w:sz w:val="24"/>
          <w:szCs w:val="24"/>
        </w:rPr>
        <w:t>M</w:t>
      </w:r>
      <w:r w:rsidR="00CC2FB3" w:rsidRPr="008909D2">
        <w:rPr>
          <w:rFonts w:ascii="Calibri" w:hAnsi="Calibri" w:cs="Calibri"/>
          <w:sz w:val="24"/>
          <w:szCs w:val="24"/>
        </w:rPr>
        <w:t>ethod</w:t>
      </w:r>
      <w:r w:rsidR="00D514DE">
        <w:rPr>
          <w:rFonts w:ascii="Calibri" w:hAnsi="Calibri" w:cs="Calibri"/>
          <w:sz w:val="24"/>
          <w:szCs w:val="24"/>
        </w:rPr>
        <w:t>, which is widely regarded as central to its power</w:t>
      </w:r>
      <w:r w:rsidR="00EC7311">
        <w:rPr>
          <w:rFonts w:ascii="Calibri" w:hAnsi="Calibri" w:cs="Calibri"/>
          <w:sz w:val="24"/>
          <w:szCs w:val="24"/>
        </w:rPr>
        <w:t>s</w:t>
      </w:r>
      <w:r w:rsidR="00D514DE">
        <w:rPr>
          <w:rFonts w:ascii="Calibri" w:hAnsi="Calibri" w:cs="Calibri"/>
          <w:sz w:val="24"/>
          <w:szCs w:val="24"/>
        </w:rPr>
        <w:t xml:space="preserve"> and influence</w:t>
      </w:r>
      <w:r w:rsidR="004C4BDF">
        <w:rPr>
          <w:rFonts w:ascii="Calibri" w:hAnsi="Calibri" w:cs="Calibri"/>
          <w:sz w:val="24"/>
          <w:szCs w:val="24"/>
        </w:rPr>
        <w:t xml:space="preserve">. </w:t>
      </w:r>
      <w:r w:rsidR="000E6F12">
        <w:rPr>
          <w:rFonts w:ascii="Calibri" w:hAnsi="Calibri" w:cs="Calibri"/>
          <w:sz w:val="24"/>
          <w:szCs w:val="24"/>
        </w:rPr>
        <w:t>It</w:t>
      </w:r>
      <w:r w:rsidR="00CE7D0C">
        <w:rPr>
          <w:rFonts w:ascii="Calibri" w:hAnsi="Calibri" w:cs="Calibri"/>
          <w:sz w:val="24"/>
          <w:szCs w:val="24"/>
        </w:rPr>
        <w:t xml:space="preserve"> enables </w:t>
      </w:r>
      <w:r w:rsidR="000E6F12">
        <w:rPr>
          <w:rFonts w:ascii="Calibri" w:hAnsi="Calibri" w:cs="Calibri"/>
          <w:sz w:val="24"/>
          <w:szCs w:val="24"/>
        </w:rPr>
        <w:t>the Commissio</w:t>
      </w:r>
      <w:r w:rsidR="00687800">
        <w:rPr>
          <w:rFonts w:ascii="Calibri" w:hAnsi="Calibri" w:cs="Calibri"/>
          <w:sz w:val="24"/>
          <w:szCs w:val="24"/>
        </w:rPr>
        <w:t>n</w:t>
      </w:r>
      <w:r w:rsidR="00CE7D0C">
        <w:rPr>
          <w:rFonts w:ascii="Calibri" w:hAnsi="Calibri" w:cs="Calibri"/>
          <w:sz w:val="24"/>
          <w:szCs w:val="24"/>
        </w:rPr>
        <w:t xml:space="preserve"> to </w:t>
      </w:r>
      <w:r w:rsidR="007A1B17">
        <w:rPr>
          <w:rFonts w:ascii="Calibri" w:hAnsi="Calibri" w:cs="Calibri"/>
          <w:sz w:val="24"/>
          <w:szCs w:val="24"/>
        </w:rPr>
        <w:t xml:space="preserve">strategically </w:t>
      </w:r>
      <w:r w:rsidR="00967785">
        <w:rPr>
          <w:rFonts w:ascii="Calibri" w:hAnsi="Calibri" w:cs="Calibri"/>
          <w:sz w:val="24"/>
          <w:szCs w:val="24"/>
        </w:rPr>
        <w:t xml:space="preserve">stir the </w:t>
      </w:r>
      <w:r w:rsidR="00967785">
        <w:rPr>
          <w:rFonts w:ascii="Calibri" w:hAnsi="Calibri" w:cs="Calibri"/>
          <w:sz w:val="24"/>
          <w:szCs w:val="24"/>
        </w:rPr>
        <w:lastRenderedPageBreak/>
        <w:t xml:space="preserve">decision-making </w:t>
      </w:r>
      <w:r w:rsidR="005D658D">
        <w:rPr>
          <w:rFonts w:ascii="Calibri" w:hAnsi="Calibri" w:cs="Calibri"/>
          <w:sz w:val="24"/>
          <w:szCs w:val="24"/>
        </w:rPr>
        <w:t>process and</w:t>
      </w:r>
      <w:r w:rsidR="00F825F8">
        <w:rPr>
          <w:rFonts w:ascii="Calibri" w:hAnsi="Calibri" w:cs="Calibri"/>
          <w:sz w:val="24"/>
          <w:szCs w:val="24"/>
        </w:rPr>
        <w:t xml:space="preserve"> exert influence</w:t>
      </w:r>
      <w:r w:rsidR="0053785B">
        <w:rPr>
          <w:rFonts w:ascii="Calibri" w:hAnsi="Calibri" w:cs="Calibri"/>
          <w:sz w:val="24"/>
          <w:szCs w:val="24"/>
        </w:rPr>
        <w:t xml:space="preserve"> on</w:t>
      </w:r>
      <w:r w:rsidR="00F825F8">
        <w:rPr>
          <w:rFonts w:ascii="Calibri" w:hAnsi="Calibri" w:cs="Calibri"/>
          <w:sz w:val="24"/>
          <w:szCs w:val="24"/>
        </w:rPr>
        <w:t xml:space="preserve"> the co-legislators</w:t>
      </w:r>
      <w:r w:rsidR="0011433B">
        <w:rPr>
          <w:rFonts w:ascii="Calibri" w:hAnsi="Calibri" w:cs="Calibri"/>
          <w:sz w:val="24"/>
          <w:szCs w:val="24"/>
        </w:rPr>
        <w:t xml:space="preserve"> – the Council of the EU and the European Parliament </w:t>
      </w:r>
      <w:r w:rsidR="00C75F3B">
        <w:rPr>
          <w:rFonts w:ascii="Calibri" w:hAnsi="Calibri" w:cs="Calibri"/>
          <w:sz w:val="24"/>
          <w:szCs w:val="24"/>
        </w:rPr>
        <w:t>–</w:t>
      </w:r>
      <w:r w:rsidR="00560679">
        <w:rPr>
          <w:rFonts w:ascii="Calibri" w:hAnsi="Calibri" w:cs="Calibri"/>
          <w:sz w:val="24"/>
          <w:szCs w:val="24"/>
        </w:rPr>
        <w:t xml:space="preserve"> drawing on its technical and political expertise</w:t>
      </w:r>
      <w:r w:rsidR="00652B8B" w:rsidRPr="008909D2">
        <w:rPr>
          <w:rFonts w:ascii="Calibri" w:hAnsi="Calibri" w:cs="Calibri"/>
          <w:sz w:val="24"/>
          <w:szCs w:val="24"/>
        </w:rPr>
        <w:t>.</w:t>
      </w:r>
      <w:r w:rsidR="0029626E" w:rsidRPr="008909D2">
        <w:rPr>
          <w:rFonts w:ascii="Calibri" w:hAnsi="Calibri" w:cs="Calibri"/>
          <w:sz w:val="24"/>
          <w:szCs w:val="24"/>
        </w:rPr>
        <w:t xml:space="preserve"> </w:t>
      </w:r>
    </w:p>
    <w:p w14:paraId="33EFDD39" w14:textId="0E1751B8" w:rsidR="0029626E" w:rsidRPr="00FC6FBC" w:rsidRDefault="00785F74" w:rsidP="00FC6FBC">
      <w:pPr>
        <w:jc w:val="both"/>
        <w:rPr>
          <w:rFonts w:ascii="Calibri" w:hAnsi="Calibri" w:cs="Calibri"/>
          <w:sz w:val="24"/>
          <w:szCs w:val="24"/>
        </w:rPr>
      </w:pPr>
      <w:r>
        <w:rPr>
          <w:rFonts w:ascii="Calibri" w:hAnsi="Calibri" w:cs="Calibri"/>
          <w:sz w:val="24"/>
          <w:szCs w:val="24"/>
        </w:rPr>
        <w:t>L</w:t>
      </w:r>
      <w:r w:rsidR="0029626E" w:rsidRPr="008909D2">
        <w:rPr>
          <w:rFonts w:ascii="Calibri" w:hAnsi="Calibri" w:cs="Calibri"/>
          <w:sz w:val="24"/>
          <w:szCs w:val="24"/>
        </w:rPr>
        <w:t xml:space="preserve">egislative politics </w:t>
      </w:r>
      <w:r w:rsidR="007C2E1F" w:rsidRPr="008909D2">
        <w:rPr>
          <w:rFonts w:ascii="Calibri" w:hAnsi="Calibri" w:cs="Calibri"/>
          <w:sz w:val="24"/>
          <w:szCs w:val="24"/>
        </w:rPr>
        <w:t>scholars</w:t>
      </w:r>
      <w:r w:rsidR="0053785B">
        <w:rPr>
          <w:rFonts w:ascii="Calibri" w:hAnsi="Calibri" w:cs="Calibri"/>
          <w:sz w:val="24"/>
          <w:szCs w:val="24"/>
        </w:rPr>
        <w:t xml:space="preserve"> have</w:t>
      </w:r>
      <w:r w:rsidR="007C2E1F" w:rsidRPr="008909D2">
        <w:rPr>
          <w:rFonts w:ascii="Calibri" w:hAnsi="Calibri" w:cs="Calibri"/>
          <w:sz w:val="24"/>
          <w:szCs w:val="24"/>
        </w:rPr>
        <w:t xml:space="preserve"> </w:t>
      </w:r>
      <w:r w:rsidR="00771E64">
        <w:rPr>
          <w:rFonts w:ascii="Calibri" w:hAnsi="Calibri" w:cs="Calibri"/>
          <w:sz w:val="24"/>
          <w:szCs w:val="24"/>
        </w:rPr>
        <w:t>focused on formal legislative procedures</w:t>
      </w:r>
      <w:r w:rsidR="001F2F4E">
        <w:rPr>
          <w:rFonts w:ascii="Calibri" w:hAnsi="Calibri" w:cs="Calibri"/>
          <w:sz w:val="24"/>
          <w:szCs w:val="24"/>
        </w:rPr>
        <w:t xml:space="preserve"> following the adoption of the Maastricht Treaty</w:t>
      </w:r>
      <w:r w:rsidR="00771E64">
        <w:rPr>
          <w:rFonts w:ascii="Calibri" w:hAnsi="Calibri" w:cs="Calibri"/>
          <w:sz w:val="24"/>
          <w:szCs w:val="24"/>
        </w:rPr>
        <w:t xml:space="preserve"> and </w:t>
      </w:r>
      <w:r w:rsidR="007C2E1F" w:rsidRPr="008909D2">
        <w:rPr>
          <w:rFonts w:ascii="Calibri" w:hAnsi="Calibri" w:cs="Calibri"/>
          <w:sz w:val="24"/>
          <w:szCs w:val="24"/>
        </w:rPr>
        <w:t>explored</w:t>
      </w:r>
      <w:r w:rsidR="00473741">
        <w:rPr>
          <w:rFonts w:ascii="Calibri" w:hAnsi="Calibri" w:cs="Calibri"/>
          <w:sz w:val="24"/>
          <w:szCs w:val="24"/>
        </w:rPr>
        <w:t xml:space="preserve"> the impact of Treaty changes </w:t>
      </w:r>
      <w:r w:rsidR="00771E64">
        <w:rPr>
          <w:rFonts w:ascii="Calibri" w:hAnsi="Calibri" w:cs="Calibri"/>
          <w:sz w:val="24"/>
          <w:szCs w:val="24"/>
        </w:rPr>
        <w:t>on</w:t>
      </w:r>
      <w:r w:rsidR="0029626E" w:rsidRPr="008909D2">
        <w:rPr>
          <w:rFonts w:ascii="Calibri" w:hAnsi="Calibri" w:cs="Calibri"/>
          <w:sz w:val="24"/>
          <w:szCs w:val="24"/>
        </w:rPr>
        <w:t xml:space="preserve"> the Commission</w:t>
      </w:r>
      <w:r w:rsidR="00955C3D">
        <w:rPr>
          <w:rFonts w:ascii="Calibri" w:hAnsi="Calibri" w:cs="Calibri"/>
          <w:sz w:val="24"/>
          <w:szCs w:val="24"/>
        </w:rPr>
        <w:t>’s</w:t>
      </w:r>
      <w:r w:rsidR="000A50B8">
        <w:rPr>
          <w:rFonts w:ascii="Calibri" w:hAnsi="Calibri" w:cs="Calibri"/>
          <w:sz w:val="24"/>
          <w:szCs w:val="24"/>
        </w:rPr>
        <w:t xml:space="preserve"> influence as an agenda setter</w:t>
      </w:r>
      <w:r w:rsidR="00E05601">
        <w:rPr>
          <w:rFonts w:ascii="Calibri" w:hAnsi="Calibri" w:cs="Calibri"/>
          <w:sz w:val="24"/>
          <w:szCs w:val="24"/>
        </w:rPr>
        <w:t xml:space="preserve"> </w:t>
      </w:r>
      <w:r w:rsidR="003C291B">
        <w:rPr>
          <w:rFonts w:ascii="Calibri" w:hAnsi="Calibri" w:cs="Calibri"/>
          <w:sz w:val="24"/>
          <w:szCs w:val="24"/>
        </w:rPr>
        <w:t>(</w:t>
      </w:r>
      <w:r w:rsidR="00061222">
        <w:rPr>
          <w:rFonts w:ascii="Calibri" w:hAnsi="Calibri" w:cs="Calibri"/>
          <w:sz w:val="24"/>
          <w:szCs w:val="24"/>
        </w:rPr>
        <w:t xml:space="preserve">e.g. </w:t>
      </w:r>
      <w:proofErr w:type="spellStart"/>
      <w:r w:rsidR="00061222">
        <w:rPr>
          <w:rFonts w:ascii="Calibri" w:hAnsi="Calibri" w:cs="Calibri"/>
          <w:sz w:val="24"/>
          <w:szCs w:val="24"/>
        </w:rPr>
        <w:t>Tsebelis</w:t>
      </w:r>
      <w:proofErr w:type="spellEnd"/>
      <w:r w:rsidR="00061222">
        <w:rPr>
          <w:rFonts w:ascii="Calibri" w:hAnsi="Calibri" w:cs="Calibri"/>
          <w:sz w:val="24"/>
          <w:szCs w:val="24"/>
        </w:rPr>
        <w:t xml:space="preserve"> and </w:t>
      </w:r>
      <w:r w:rsidR="0088512D">
        <w:rPr>
          <w:rFonts w:ascii="Calibri" w:hAnsi="Calibri" w:cs="Calibri"/>
          <w:sz w:val="24"/>
          <w:szCs w:val="24"/>
        </w:rPr>
        <w:t>Kreppel 199</w:t>
      </w:r>
      <w:r w:rsidR="000753DA">
        <w:rPr>
          <w:rFonts w:ascii="Calibri" w:hAnsi="Calibri" w:cs="Calibri"/>
          <w:sz w:val="24"/>
          <w:szCs w:val="24"/>
        </w:rPr>
        <w:t>8</w:t>
      </w:r>
      <w:r w:rsidR="003C291B">
        <w:rPr>
          <w:rFonts w:ascii="Calibri" w:hAnsi="Calibri" w:cs="Calibri"/>
          <w:sz w:val="24"/>
          <w:szCs w:val="24"/>
        </w:rPr>
        <w:t>)</w:t>
      </w:r>
      <w:r w:rsidR="0029626E" w:rsidRPr="008909D2">
        <w:rPr>
          <w:rFonts w:ascii="Calibri" w:hAnsi="Calibri" w:cs="Calibri"/>
          <w:sz w:val="24"/>
          <w:szCs w:val="24"/>
        </w:rPr>
        <w:t>.</w:t>
      </w:r>
      <w:r w:rsidR="001E1551">
        <w:rPr>
          <w:rFonts w:ascii="Calibri" w:hAnsi="Calibri" w:cs="Calibri"/>
          <w:sz w:val="24"/>
          <w:szCs w:val="24"/>
        </w:rPr>
        <w:t xml:space="preserve"> </w:t>
      </w:r>
      <w:r w:rsidR="000A50B8">
        <w:rPr>
          <w:rFonts w:ascii="Calibri" w:hAnsi="Calibri" w:cs="Calibri"/>
          <w:sz w:val="24"/>
          <w:szCs w:val="24"/>
        </w:rPr>
        <w:t>Adopting a broader definition of</w:t>
      </w:r>
      <w:r w:rsidR="00D76526" w:rsidRPr="00FC6FBC">
        <w:rPr>
          <w:rFonts w:ascii="Calibri" w:hAnsi="Calibri" w:cs="Calibri"/>
          <w:sz w:val="24"/>
          <w:szCs w:val="24"/>
        </w:rPr>
        <w:t xml:space="preserve"> agenda setting beyond formal procedure</w:t>
      </w:r>
      <w:r w:rsidR="00B25A48">
        <w:rPr>
          <w:rFonts w:ascii="Calibri" w:hAnsi="Calibri" w:cs="Calibri"/>
          <w:sz w:val="24"/>
          <w:szCs w:val="24"/>
        </w:rPr>
        <w:t>s</w:t>
      </w:r>
      <w:r w:rsidR="00FC6FBC">
        <w:rPr>
          <w:rFonts w:ascii="Calibri" w:hAnsi="Calibri" w:cs="Calibri"/>
          <w:sz w:val="24"/>
          <w:szCs w:val="24"/>
        </w:rPr>
        <w:t>,</w:t>
      </w:r>
      <w:r w:rsidR="0029626E" w:rsidRPr="00FC6FBC">
        <w:rPr>
          <w:rFonts w:ascii="Calibri" w:hAnsi="Calibri" w:cs="Calibri"/>
          <w:sz w:val="24"/>
          <w:szCs w:val="24"/>
        </w:rPr>
        <w:t xml:space="preserve"> </w:t>
      </w:r>
      <w:r w:rsidR="007C2E1F" w:rsidRPr="00FC6FBC">
        <w:rPr>
          <w:rFonts w:ascii="Calibri" w:hAnsi="Calibri" w:cs="Calibri"/>
          <w:sz w:val="24"/>
          <w:szCs w:val="24"/>
        </w:rPr>
        <w:t xml:space="preserve">the public policy literature </w:t>
      </w:r>
      <w:r w:rsidR="00D36F80" w:rsidRPr="00FC6FBC">
        <w:rPr>
          <w:rFonts w:ascii="Calibri" w:hAnsi="Calibri" w:cs="Calibri"/>
          <w:sz w:val="24"/>
          <w:szCs w:val="24"/>
        </w:rPr>
        <w:t xml:space="preserve">has looked at the Commission as </w:t>
      </w:r>
      <w:r w:rsidR="00564AFC">
        <w:rPr>
          <w:rFonts w:ascii="Calibri" w:hAnsi="Calibri" w:cs="Calibri"/>
          <w:sz w:val="24"/>
          <w:szCs w:val="24"/>
        </w:rPr>
        <w:t>a</w:t>
      </w:r>
      <w:r w:rsidR="00D36F80" w:rsidRPr="00FC6FBC">
        <w:rPr>
          <w:rFonts w:ascii="Calibri" w:hAnsi="Calibri" w:cs="Calibri"/>
          <w:sz w:val="24"/>
          <w:szCs w:val="24"/>
        </w:rPr>
        <w:t xml:space="preserve"> policy entrepreneur</w:t>
      </w:r>
      <w:r w:rsidR="00D2064F">
        <w:rPr>
          <w:rFonts w:ascii="Calibri" w:hAnsi="Calibri" w:cs="Calibri"/>
          <w:sz w:val="24"/>
          <w:szCs w:val="24"/>
        </w:rPr>
        <w:t xml:space="preserve"> (e.g. Cram 1994)</w:t>
      </w:r>
      <w:r w:rsidR="00124CEE" w:rsidRPr="00FC6FBC">
        <w:rPr>
          <w:rFonts w:ascii="Calibri" w:hAnsi="Calibri" w:cs="Calibri"/>
          <w:sz w:val="24"/>
          <w:szCs w:val="24"/>
        </w:rPr>
        <w:t>, able to seize windows of opportunities, frame the debate</w:t>
      </w:r>
      <w:r w:rsidR="00564AFC">
        <w:rPr>
          <w:rFonts w:ascii="Calibri" w:hAnsi="Calibri" w:cs="Calibri"/>
          <w:sz w:val="24"/>
          <w:szCs w:val="24"/>
        </w:rPr>
        <w:t>s</w:t>
      </w:r>
      <w:r w:rsidR="00124CEE" w:rsidRPr="00FC6FBC">
        <w:rPr>
          <w:rFonts w:ascii="Calibri" w:hAnsi="Calibri" w:cs="Calibri"/>
          <w:sz w:val="24"/>
          <w:szCs w:val="24"/>
        </w:rPr>
        <w:t xml:space="preserve"> and push its </w:t>
      </w:r>
      <w:r w:rsidR="009846B2" w:rsidRPr="00FC6FBC">
        <w:rPr>
          <w:rFonts w:ascii="Calibri" w:hAnsi="Calibri" w:cs="Calibri"/>
          <w:sz w:val="24"/>
          <w:szCs w:val="24"/>
        </w:rPr>
        <w:t>preferred policy option</w:t>
      </w:r>
      <w:r w:rsidR="00687800">
        <w:rPr>
          <w:rFonts w:ascii="Calibri" w:hAnsi="Calibri" w:cs="Calibri"/>
          <w:sz w:val="24"/>
          <w:szCs w:val="24"/>
        </w:rPr>
        <w:t>s</w:t>
      </w:r>
      <w:r w:rsidR="009846B2" w:rsidRPr="00FC6FBC">
        <w:rPr>
          <w:rFonts w:ascii="Calibri" w:hAnsi="Calibri" w:cs="Calibri"/>
          <w:sz w:val="24"/>
          <w:szCs w:val="24"/>
        </w:rPr>
        <w:t xml:space="preserve"> on the </w:t>
      </w:r>
      <w:r w:rsidR="00D121AE">
        <w:rPr>
          <w:rFonts w:ascii="Calibri" w:hAnsi="Calibri" w:cs="Calibri"/>
          <w:sz w:val="24"/>
          <w:szCs w:val="24"/>
        </w:rPr>
        <w:t xml:space="preserve">political </w:t>
      </w:r>
      <w:r w:rsidR="009846B2" w:rsidRPr="00FC6FBC">
        <w:rPr>
          <w:rFonts w:ascii="Calibri" w:hAnsi="Calibri" w:cs="Calibri"/>
          <w:sz w:val="24"/>
          <w:szCs w:val="24"/>
        </w:rPr>
        <w:t>agenda</w:t>
      </w:r>
      <w:r w:rsidR="00B25A48" w:rsidRPr="00B25A48">
        <w:rPr>
          <w:rFonts w:ascii="Calibri" w:hAnsi="Calibri" w:cs="Calibri"/>
          <w:sz w:val="24"/>
          <w:szCs w:val="24"/>
        </w:rPr>
        <w:t xml:space="preserve"> </w:t>
      </w:r>
      <w:r w:rsidR="00B25A48">
        <w:rPr>
          <w:rFonts w:ascii="Calibri" w:hAnsi="Calibri" w:cs="Calibri"/>
          <w:sz w:val="24"/>
          <w:szCs w:val="24"/>
        </w:rPr>
        <w:t>across various</w:t>
      </w:r>
      <w:r w:rsidR="00B25A48" w:rsidRPr="00FC6FBC">
        <w:rPr>
          <w:rFonts w:ascii="Calibri" w:hAnsi="Calibri" w:cs="Calibri"/>
          <w:sz w:val="24"/>
          <w:szCs w:val="24"/>
        </w:rPr>
        <w:t xml:space="preserve"> areas and issues</w:t>
      </w:r>
      <w:r w:rsidR="009846B2" w:rsidRPr="00FC6FBC">
        <w:rPr>
          <w:rFonts w:ascii="Calibri" w:hAnsi="Calibri" w:cs="Calibri"/>
          <w:sz w:val="24"/>
          <w:szCs w:val="24"/>
        </w:rPr>
        <w:t>.</w:t>
      </w:r>
      <w:r w:rsidR="00AA552B">
        <w:rPr>
          <w:rFonts w:ascii="Calibri" w:hAnsi="Calibri" w:cs="Calibri"/>
          <w:sz w:val="24"/>
          <w:szCs w:val="24"/>
        </w:rPr>
        <w:t xml:space="preserve"> </w:t>
      </w:r>
      <w:r w:rsidR="00A33284">
        <w:rPr>
          <w:rFonts w:ascii="Calibri" w:hAnsi="Calibri" w:cs="Calibri"/>
          <w:sz w:val="24"/>
          <w:szCs w:val="24"/>
        </w:rPr>
        <w:t>This burgeoning literature has oft</w:t>
      </w:r>
      <w:r w:rsidR="00024CE1">
        <w:rPr>
          <w:rFonts w:ascii="Calibri" w:hAnsi="Calibri" w:cs="Calibri"/>
          <w:sz w:val="24"/>
          <w:szCs w:val="24"/>
        </w:rPr>
        <w:t>en produced</w:t>
      </w:r>
      <w:r w:rsidR="008547DB" w:rsidRPr="00FC6FBC">
        <w:rPr>
          <w:rFonts w:ascii="Calibri" w:hAnsi="Calibri" w:cs="Calibri"/>
          <w:sz w:val="24"/>
          <w:szCs w:val="24"/>
        </w:rPr>
        <w:t xml:space="preserve"> upbeat assessments of the Commission’s</w:t>
      </w:r>
      <w:r w:rsidR="00024CE1">
        <w:rPr>
          <w:rFonts w:ascii="Calibri" w:hAnsi="Calibri" w:cs="Calibri"/>
          <w:sz w:val="24"/>
          <w:szCs w:val="24"/>
        </w:rPr>
        <w:t xml:space="preserve"> </w:t>
      </w:r>
      <w:r w:rsidR="008547DB" w:rsidRPr="00FC6FBC">
        <w:rPr>
          <w:rFonts w:ascii="Calibri" w:hAnsi="Calibri" w:cs="Calibri"/>
          <w:sz w:val="24"/>
          <w:szCs w:val="24"/>
        </w:rPr>
        <w:t>influence.</w:t>
      </w:r>
    </w:p>
    <w:p w14:paraId="6DB2C3BF" w14:textId="5BFDEA4D" w:rsidR="00036F7D" w:rsidRDefault="00024CE1" w:rsidP="00024CE1">
      <w:pPr>
        <w:jc w:val="both"/>
        <w:rPr>
          <w:rFonts w:ascii="Calibri" w:hAnsi="Calibri" w:cs="Calibri"/>
          <w:sz w:val="24"/>
          <w:szCs w:val="24"/>
        </w:rPr>
      </w:pPr>
      <w:r>
        <w:rPr>
          <w:rFonts w:ascii="Calibri" w:hAnsi="Calibri" w:cs="Calibri"/>
          <w:sz w:val="24"/>
          <w:szCs w:val="24"/>
        </w:rPr>
        <w:t xml:space="preserve">However, </w:t>
      </w:r>
      <w:r w:rsidR="005E551B">
        <w:rPr>
          <w:rFonts w:ascii="Calibri" w:hAnsi="Calibri" w:cs="Calibri"/>
          <w:sz w:val="24"/>
          <w:szCs w:val="24"/>
        </w:rPr>
        <w:t xml:space="preserve">the role and autonomy of the Commission </w:t>
      </w:r>
      <w:r w:rsidR="00D4613D">
        <w:rPr>
          <w:rFonts w:ascii="Calibri" w:hAnsi="Calibri" w:cs="Calibri"/>
          <w:sz w:val="24"/>
          <w:szCs w:val="24"/>
        </w:rPr>
        <w:t>in agenda setting h</w:t>
      </w:r>
      <w:r w:rsidR="00D95CBF">
        <w:rPr>
          <w:rFonts w:ascii="Calibri" w:hAnsi="Calibri" w:cs="Calibri"/>
          <w:sz w:val="24"/>
          <w:szCs w:val="24"/>
        </w:rPr>
        <w:t>as</w:t>
      </w:r>
      <w:r w:rsidR="00D4613D">
        <w:rPr>
          <w:rFonts w:ascii="Calibri" w:hAnsi="Calibri" w:cs="Calibri"/>
          <w:sz w:val="24"/>
          <w:szCs w:val="24"/>
        </w:rPr>
        <w:t xml:space="preserve"> increasingly been </w:t>
      </w:r>
      <w:r w:rsidR="0031217A">
        <w:rPr>
          <w:rFonts w:ascii="Calibri" w:hAnsi="Calibri" w:cs="Calibri"/>
          <w:sz w:val="24"/>
          <w:szCs w:val="24"/>
        </w:rPr>
        <w:t>challenged</w:t>
      </w:r>
      <w:r w:rsidR="00EB067E">
        <w:rPr>
          <w:rFonts w:ascii="Calibri" w:hAnsi="Calibri" w:cs="Calibri"/>
          <w:sz w:val="24"/>
          <w:szCs w:val="24"/>
        </w:rPr>
        <w:t xml:space="preserve">, notably </w:t>
      </w:r>
      <w:r w:rsidR="00D95CBF">
        <w:rPr>
          <w:rFonts w:ascii="Calibri" w:hAnsi="Calibri" w:cs="Calibri"/>
          <w:sz w:val="24"/>
          <w:szCs w:val="24"/>
        </w:rPr>
        <w:t>due to</w:t>
      </w:r>
      <w:r w:rsidR="00A87B0D">
        <w:rPr>
          <w:rFonts w:ascii="Calibri" w:hAnsi="Calibri" w:cs="Calibri"/>
          <w:sz w:val="24"/>
          <w:szCs w:val="24"/>
        </w:rPr>
        <w:t xml:space="preserve"> t</w:t>
      </w:r>
      <w:r w:rsidR="00D93B9C">
        <w:rPr>
          <w:rFonts w:ascii="Calibri" w:hAnsi="Calibri" w:cs="Calibri"/>
          <w:sz w:val="24"/>
          <w:szCs w:val="24"/>
        </w:rPr>
        <w:t>he rise of the European Council</w:t>
      </w:r>
      <w:r w:rsidR="000B3E7B">
        <w:rPr>
          <w:rFonts w:ascii="Calibri" w:hAnsi="Calibri" w:cs="Calibri"/>
          <w:sz w:val="24"/>
          <w:szCs w:val="24"/>
        </w:rPr>
        <w:t xml:space="preserve"> (EUCO)</w:t>
      </w:r>
      <w:r w:rsidR="001D5051">
        <w:rPr>
          <w:rFonts w:ascii="Calibri" w:hAnsi="Calibri" w:cs="Calibri"/>
          <w:sz w:val="24"/>
          <w:szCs w:val="24"/>
        </w:rPr>
        <w:t>.</w:t>
      </w:r>
      <w:r w:rsidR="00D93B9C">
        <w:rPr>
          <w:rFonts w:ascii="Calibri" w:hAnsi="Calibri" w:cs="Calibri"/>
          <w:sz w:val="24"/>
          <w:szCs w:val="24"/>
        </w:rPr>
        <w:t xml:space="preserve"> </w:t>
      </w:r>
      <w:r w:rsidR="000B3E7B">
        <w:rPr>
          <w:rFonts w:ascii="Calibri" w:hAnsi="Calibri" w:cs="Calibri"/>
          <w:sz w:val="24"/>
          <w:szCs w:val="24"/>
        </w:rPr>
        <w:t xml:space="preserve">From </w:t>
      </w:r>
      <w:r w:rsidR="000753DA">
        <w:rPr>
          <w:rFonts w:ascii="Calibri" w:hAnsi="Calibri" w:cs="Calibri"/>
          <w:sz w:val="24"/>
          <w:szCs w:val="24"/>
        </w:rPr>
        <w:t>its</w:t>
      </w:r>
      <w:r w:rsidR="000B3E7B">
        <w:rPr>
          <w:rFonts w:ascii="Calibri" w:hAnsi="Calibri" w:cs="Calibri"/>
          <w:sz w:val="24"/>
          <w:szCs w:val="24"/>
        </w:rPr>
        <w:t xml:space="preserve"> </w:t>
      </w:r>
      <w:r w:rsidR="00E60B08">
        <w:rPr>
          <w:rFonts w:ascii="Calibri" w:hAnsi="Calibri" w:cs="Calibri"/>
          <w:sz w:val="24"/>
          <w:szCs w:val="24"/>
        </w:rPr>
        <w:t xml:space="preserve">creation </w:t>
      </w:r>
      <w:r w:rsidR="000B3E7B">
        <w:rPr>
          <w:rFonts w:ascii="Calibri" w:hAnsi="Calibri" w:cs="Calibri"/>
          <w:sz w:val="24"/>
          <w:szCs w:val="24"/>
        </w:rPr>
        <w:t>as</w:t>
      </w:r>
      <w:r w:rsidR="00AE3501">
        <w:rPr>
          <w:rFonts w:ascii="Calibri" w:hAnsi="Calibri" w:cs="Calibri"/>
          <w:sz w:val="24"/>
          <w:szCs w:val="24"/>
        </w:rPr>
        <w:t xml:space="preserve"> </w:t>
      </w:r>
      <w:r w:rsidR="000B3E7B">
        <w:rPr>
          <w:rFonts w:ascii="Calibri" w:hAnsi="Calibri" w:cs="Calibri"/>
          <w:sz w:val="24"/>
          <w:szCs w:val="24"/>
        </w:rPr>
        <w:t>a</w:t>
      </w:r>
      <w:r w:rsidR="00D07A8E">
        <w:rPr>
          <w:rFonts w:ascii="Calibri" w:hAnsi="Calibri" w:cs="Calibri"/>
          <w:sz w:val="24"/>
          <w:szCs w:val="24"/>
        </w:rPr>
        <w:t>n</w:t>
      </w:r>
      <w:r w:rsidR="000B3E7B">
        <w:rPr>
          <w:rFonts w:ascii="Calibri" w:hAnsi="Calibri" w:cs="Calibri"/>
          <w:sz w:val="24"/>
          <w:szCs w:val="24"/>
        </w:rPr>
        <w:t xml:space="preserve"> informal</w:t>
      </w:r>
      <w:r w:rsidR="00AE3501">
        <w:rPr>
          <w:rFonts w:ascii="Calibri" w:hAnsi="Calibri" w:cs="Calibri"/>
          <w:sz w:val="24"/>
          <w:szCs w:val="24"/>
        </w:rPr>
        <w:t xml:space="preserve"> summit of </w:t>
      </w:r>
      <w:r w:rsidR="001D5051">
        <w:rPr>
          <w:rFonts w:ascii="Calibri" w:hAnsi="Calibri" w:cs="Calibri"/>
          <w:sz w:val="24"/>
          <w:szCs w:val="24"/>
        </w:rPr>
        <w:t xml:space="preserve">the </w:t>
      </w:r>
      <w:r w:rsidR="00AE3501">
        <w:rPr>
          <w:rFonts w:ascii="Calibri" w:hAnsi="Calibri" w:cs="Calibri"/>
          <w:sz w:val="24"/>
          <w:szCs w:val="24"/>
        </w:rPr>
        <w:t>Heads of States and Government</w:t>
      </w:r>
      <w:r w:rsidR="00F23A8F">
        <w:rPr>
          <w:rFonts w:ascii="Calibri" w:hAnsi="Calibri" w:cs="Calibri"/>
          <w:sz w:val="24"/>
          <w:szCs w:val="24"/>
        </w:rPr>
        <w:t>s (HSG)</w:t>
      </w:r>
      <w:r w:rsidR="00CF3CCB">
        <w:rPr>
          <w:rFonts w:ascii="Calibri" w:hAnsi="Calibri" w:cs="Calibri"/>
          <w:sz w:val="24"/>
          <w:szCs w:val="24"/>
        </w:rPr>
        <w:t>,</w:t>
      </w:r>
      <w:r w:rsidR="00F1409F">
        <w:rPr>
          <w:rFonts w:ascii="Calibri" w:hAnsi="Calibri" w:cs="Calibri"/>
          <w:sz w:val="24"/>
          <w:szCs w:val="24"/>
        </w:rPr>
        <w:t xml:space="preserve"> </w:t>
      </w:r>
      <w:r w:rsidR="001D5051">
        <w:rPr>
          <w:rFonts w:ascii="Calibri" w:hAnsi="Calibri" w:cs="Calibri"/>
          <w:sz w:val="24"/>
          <w:szCs w:val="24"/>
        </w:rPr>
        <w:t>it</w:t>
      </w:r>
      <w:r w:rsidR="00F1409F">
        <w:rPr>
          <w:rFonts w:ascii="Calibri" w:hAnsi="Calibri" w:cs="Calibri"/>
          <w:sz w:val="24"/>
          <w:szCs w:val="24"/>
        </w:rPr>
        <w:t xml:space="preserve"> </w:t>
      </w:r>
      <w:r w:rsidR="00CF3CCB">
        <w:rPr>
          <w:rFonts w:ascii="Calibri" w:hAnsi="Calibri" w:cs="Calibri"/>
          <w:sz w:val="24"/>
          <w:szCs w:val="24"/>
        </w:rPr>
        <w:t xml:space="preserve">has </w:t>
      </w:r>
      <w:r w:rsidR="0070364F">
        <w:rPr>
          <w:rFonts w:ascii="Calibri" w:hAnsi="Calibri" w:cs="Calibri"/>
          <w:sz w:val="24"/>
          <w:szCs w:val="24"/>
        </w:rPr>
        <w:t>acquired a</w:t>
      </w:r>
      <w:r w:rsidR="00CF3CCB">
        <w:rPr>
          <w:rFonts w:ascii="Calibri" w:hAnsi="Calibri" w:cs="Calibri"/>
          <w:sz w:val="24"/>
          <w:szCs w:val="24"/>
        </w:rPr>
        <w:t xml:space="preserve"> prominent</w:t>
      </w:r>
      <w:r w:rsidR="001E4F04">
        <w:rPr>
          <w:rFonts w:ascii="Calibri" w:hAnsi="Calibri" w:cs="Calibri"/>
          <w:sz w:val="24"/>
          <w:szCs w:val="24"/>
        </w:rPr>
        <w:t xml:space="preserve"> </w:t>
      </w:r>
      <w:r w:rsidR="0070364F">
        <w:rPr>
          <w:rFonts w:ascii="Calibri" w:hAnsi="Calibri" w:cs="Calibri"/>
          <w:sz w:val="24"/>
          <w:szCs w:val="24"/>
        </w:rPr>
        <w:t xml:space="preserve">role </w:t>
      </w:r>
      <w:r w:rsidR="001E4F04">
        <w:rPr>
          <w:rFonts w:ascii="Calibri" w:hAnsi="Calibri" w:cs="Calibri"/>
          <w:sz w:val="24"/>
          <w:szCs w:val="24"/>
        </w:rPr>
        <w:t>in defining the pace and direction of integration</w:t>
      </w:r>
      <w:r w:rsidR="00163813">
        <w:rPr>
          <w:rFonts w:ascii="Calibri" w:hAnsi="Calibri" w:cs="Calibri"/>
          <w:sz w:val="24"/>
          <w:szCs w:val="24"/>
        </w:rPr>
        <w:t xml:space="preserve">, its new status formalised and </w:t>
      </w:r>
      <w:r w:rsidR="004445D5">
        <w:rPr>
          <w:rFonts w:ascii="Calibri" w:hAnsi="Calibri" w:cs="Calibri"/>
          <w:sz w:val="24"/>
          <w:szCs w:val="24"/>
        </w:rPr>
        <w:t>reinforced by the Lisbon Treaty with the creation of a fix-term President to drive its work.</w:t>
      </w:r>
      <w:r w:rsidR="00181C98">
        <w:rPr>
          <w:rFonts w:ascii="Calibri" w:hAnsi="Calibri" w:cs="Calibri"/>
          <w:sz w:val="24"/>
          <w:szCs w:val="24"/>
        </w:rPr>
        <w:t xml:space="preserve"> </w:t>
      </w:r>
      <w:r w:rsidR="006B60F0">
        <w:rPr>
          <w:rFonts w:ascii="Calibri" w:hAnsi="Calibri" w:cs="Calibri"/>
          <w:sz w:val="24"/>
          <w:szCs w:val="24"/>
        </w:rPr>
        <w:t>As t</w:t>
      </w:r>
      <w:r w:rsidR="00181C98" w:rsidRPr="002B45AB">
        <w:rPr>
          <w:rFonts w:ascii="Calibri" w:hAnsi="Calibri" w:cs="Calibri"/>
          <w:sz w:val="24"/>
          <w:szCs w:val="24"/>
        </w:rPr>
        <w:t xml:space="preserve">he EU has stumbled from crisis to crisis over the past decades – from the Eurozone crisis to </w:t>
      </w:r>
      <w:r w:rsidR="00181C98">
        <w:rPr>
          <w:rFonts w:ascii="Calibri" w:hAnsi="Calibri" w:cs="Calibri"/>
          <w:sz w:val="24"/>
          <w:szCs w:val="24"/>
        </w:rPr>
        <w:t xml:space="preserve">the </w:t>
      </w:r>
      <w:r w:rsidR="00181C98" w:rsidRPr="002B45AB">
        <w:rPr>
          <w:rFonts w:ascii="Calibri" w:hAnsi="Calibri" w:cs="Calibri"/>
          <w:sz w:val="24"/>
          <w:szCs w:val="24"/>
        </w:rPr>
        <w:t>migration</w:t>
      </w:r>
      <w:r w:rsidR="00181C98">
        <w:rPr>
          <w:rFonts w:ascii="Calibri" w:hAnsi="Calibri" w:cs="Calibri"/>
          <w:sz w:val="24"/>
          <w:szCs w:val="24"/>
        </w:rPr>
        <w:t xml:space="preserve"> crisis</w:t>
      </w:r>
      <w:r w:rsidR="00181C98" w:rsidRPr="002B45AB">
        <w:rPr>
          <w:rFonts w:ascii="Calibri" w:hAnsi="Calibri" w:cs="Calibri"/>
          <w:sz w:val="24"/>
          <w:szCs w:val="24"/>
        </w:rPr>
        <w:t>, Brexit, COVID-19, and to the ongoing war in Ukraine and challenges to democracy</w:t>
      </w:r>
      <w:r w:rsidR="006B60F0">
        <w:rPr>
          <w:rFonts w:ascii="Calibri" w:hAnsi="Calibri" w:cs="Calibri"/>
          <w:sz w:val="24"/>
          <w:szCs w:val="24"/>
        </w:rPr>
        <w:t xml:space="preserve"> – the European Council has acquired an influential role</w:t>
      </w:r>
      <w:r w:rsidR="005F5EA7">
        <w:rPr>
          <w:rFonts w:ascii="Calibri" w:hAnsi="Calibri" w:cs="Calibri"/>
          <w:sz w:val="24"/>
          <w:szCs w:val="24"/>
        </w:rPr>
        <w:t xml:space="preserve"> as the only institution with the political clout, resources, and legitimacy to provide solutions to </w:t>
      </w:r>
      <w:r w:rsidR="007273D3">
        <w:rPr>
          <w:rFonts w:ascii="Calibri" w:hAnsi="Calibri" w:cs="Calibri"/>
          <w:sz w:val="24"/>
          <w:szCs w:val="24"/>
        </w:rPr>
        <w:t xml:space="preserve">these </w:t>
      </w:r>
      <w:r w:rsidR="005F5EA7">
        <w:rPr>
          <w:rFonts w:ascii="Calibri" w:hAnsi="Calibri" w:cs="Calibri"/>
          <w:sz w:val="24"/>
          <w:szCs w:val="24"/>
        </w:rPr>
        <w:t>urgent challenges.</w:t>
      </w:r>
    </w:p>
    <w:p w14:paraId="678596F8" w14:textId="54F630C7" w:rsidR="00FD7B24" w:rsidRDefault="006A0D41" w:rsidP="00CD64B1">
      <w:pPr>
        <w:jc w:val="both"/>
        <w:rPr>
          <w:rFonts w:ascii="Calibri" w:hAnsi="Calibri" w:cs="Calibri"/>
          <w:sz w:val="24"/>
          <w:szCs w:val="24"/>
        </w:rPr>
      </w:pPr>
      <w:r w:rsidRPr="00024CE1">
        <w:rPr>
          <w:rFonts w:ascii="Calibri" w:hAnsi="Calibri" w:cs="Calibri"/>
          <w:sz w:val="24"/>
          <w:szCs w:val="24"/>
        </w:rPr>
        <w:t>I</w:t>
      </w:r>
      <w:r w:rsidR="000F400D">
        <w:rPr>
          <w:rFonts w:ascii="Calibri" w:hAnsi="Calibri" w:cs="Calibri"/>
          <w:sz w:val="24"/>
          <w:szCs w:val="24"/>
        </w:rPr>
        <w:t>n an i</w:t>
      </w:r>
      <w:r w:rsidRPr="00024CE1">
        <w:rPr>
          <w:rFonts w:ascii="Calibri" w:hAnsi="Calibri" w:cs="Calibri"/>
          <w:sz w:val="24"/>
          <w:szCs w:val="24"/>
        </w:rPr>
        <w:t>nflue</w:t>
      </w:r>
      <w:r w:rsidR="00AC082C" w:rsidRPr="00024CE1">
        <w:rPr>
          <w:rFonts w:ascii="Calibri" w:hAnsi="Calibri" w:cs="Calibri"/>
          <w:sz w:val="24"/>
          <w:szCs w:val="24"/>
        </w:rPr>
        <w:t>ntial reading</w:t>
      </w:r>
      <w:r w:rsidR="000F400D">
        <w:rPr>
          <w:rFonts w:ascii="Calibri" w:hAnsi="Calibri" w:cs="Calibri"/>
          <w:sz w:val="24"/>
          <w:szCs w:val="24"/>
        </w:rPr>
        <w:t xml:space="preserve"> of </w:t>
      </w:r>
      <w:r w:rsidR="00405B05">
        <w:rPr>
          <w:rFonts w:ascii="Calibri" w:hAnsi="Calibri" w:cs="Calibri"/>
          <w:sz w:val="24"/>
          <w:szCs w:val="24"/>
        </w:rPr>
        <w:t xml:space="preserve">European </w:t>
      </w:r>
      <w:r w:rsidR="00023D48">
        <w:rPr>
          <w:rFonts w:ascii="Calibri" w:hAnsi="Calibri" w:cs="Calibri"/>
          <w:sz w:val="24"/>
          <w:szCs w:val="24"/>
        </w:rPr>
        <w:t>integration</w:t>
      </w:r>
      <w:r w:rsidR="00E217EB">
        <w:rPr>
          <w:rFonts w:ascii="Calibri" w:hAnsi="Calibri" w:cs="Calibri"/>
          <w:sz w:val="24"/>
          <w:szCs w:val="24"/>
        </w:rPr>
        <w:t xml:space="preserve"> </w:t>
      </w:r>
      <w:r w:rsidR="00405B05">
        <w:rPr>
          <w:rFonts w:ascii="Calibri" w:hAnsi="Calibri" w:cs="Calibri"/>
          <w:sz w:val="24"/>
          <w:szCs w:val="24"/>
        </w:rPr>
        <w:t>post-Maa</w:t>
      </w:r>
      <w:r w:rsidR="00E217EB">
        <w:rPr>
          <w:rFonts w:ascii="Calibri" w:hAnsi="Calibri" w:cs="Calibri"/>
          <w:sz w:val="24"/>
          <w:szCs w:val="24"/>
        </w:rPr>
        <w:t>s</w:t>
      </w:r>
      <w:r w:rsidR="00405B05">
        <w:rPr>
          <w:rFonts w:ascii="Calibri" w:hAnsi="Calibri" w:cs="Calibri"/>
          <w:sz w:val="24"/>
          <w:szCs w:val="24"/>
        </w:rPr>
        <w:t>tricht</w:t>
      </w:r>
      <w:r w:rsidR="00036F7D">
        <w:rPr>
          <w:rFonts w:ascii="Calibri" w:hAnsi="Calibri" w:cs="Calibri"/>
          <w:sz w:val="24"/>
          <w:szCs w:val="24"/>
        </w:rPr>
        <w:t>,</w:t>
      </w:r>
      <w:r w:rsidR="00E217EB">
        <w:rPr>
          <w:rFonts w:ascii="Calibri" w:hAnsi="Calibri" w:cs="Calibri"/>
          <w:sz w:val="24"/>
          <w:szCs w:val="24"/>
        </w:rPr>
        <w:t xml:space="preserve"> </w:t>
      </w:r>
      <w:r w:rsidR="00036F7D">
        <w:rPr>
          <w:rFonts w:ascii="Calibri" w:hAnsi="Calibri" w:cs="Calibri"/>
          <w:sz w:val="24"/>
          <w:szCs w:val="24"/>
        </w:rPr>
        <w:t>the</w:t>
      </w:r>
      <w:r w:rsidR="00AC082C" w:rsidRPr="00024CE1">
        <w:rPr>
          <w:rFonts w:ascii="Calibri" w:hAnsi="Calibri" w:cs="Calibri"/>
          <w:sz w:val="24"/>
          <w:szCs w:val="24"/>
        </w:rPr>
        <w:t xml:space="preserve"> ‘new intergovernmentalism’</w:t>
      </w:r>
      <w:r w:rsidR="00007841">
        <w:rPr>
          <w:rFonts w:ascii="Calibri" w:hAnsi="Calibri" w:cs="Calibri"/>
          <w:sz w:val="24"/>
          <w:szCs w:val="24"/>
        </w:rPr>
        <w:t>, Bickerton et al</w:t>
      </w:r>
      <w:r w:rsidR="008A015A">
        <w:rPr>
          <w:rFonts w:ascii="Calibri" w:hAnsi="Calibri" w:cs="Calibri"/>
          <w:sz w:val="24"/>
          <w:szCs w:val="24"/>
        </w:rPr>
        <w:t xml:space="preserve"> (2015)</w:t>
      </w:r>
      <w:r w:rsidR="00E217EB">
        <w:rPr>
          <w:rFonts w:ascii="Calibri" w:hAnsi="Calibri" w:cs="Calibri"/>
          <w:sz w:val="24"/>
          <w:szCs w:val="24"/>
        </w:rPr>
        <w:t xml:space="preserve"> argue </w:t>
      </w:r>
      <w:r w:rsidR="00D77340">
        <w:rPr>
          <w:rFonts w:ascii="Calibri" w:hAnsi="Calibri" w:cs="Calibri"/>
          <w:sz w:val="24"/>
          <w:szCs w:val="24"/>
        </w:rPr>
        <w:t xml:space="preserve">that </w:t>
      </w:r>
      <w:r w:rsidR="001C6580">
        <w:rPr>
          <w:rFonts w:ascii="Calibri" w:hAnsi="Calibri" w:cs="Calibri"/>
          <w:sz w:val="24"/>
          <w:szCs w:val="24"/>
        </w:rPr>
        <w:t>integration</w:t>
      </w:r>
      <w:r w:rsidR="00D77340">
        <w:rPr>
          <w:rFonts w:ascii="Calibri" w:hAnsi="Calibri" w:cs="Calibri"/>
          <w:sz w:val="24"/>
          <w:szCs w:val="24"/>
        </w:rPr>
        <w:t xml:space="preserve"> has advanced</w:t>
      </w:r>
      <w:r w:rsidR="001C6580">
        <w:rPr>
          <w:rFonts w:ascii="Calibri" w:hAnsi="Calibri" w:cs="Calibri"/>
          <w:sz w:val="24"/>
          <w:szCs w:val="24"/>
        </w:rPr>
        <w:t xml:space="preserve"> in an intergovernmental fashion </w:t>
      </w:r>
      <w:r w:rsidR="001F6253">
        <w:rPr>
          <w:rFonts w:ascii="Calibri" w:hAnsi="Calibri" w:cs="Calibri"/>
          <w:sz w:val="24"/>
          <w:szCs w:val="24"/>
        </w:rPr>
        <w:t>with limited empowerment of supranational institutions.</w:t>
      </w:r>
      <w:r w:rsidR="0069130C" w:rsidRPr="00024CE1">
        <w:rPr>
          <w:rFonts w:ascii="Calibri" w:hAnsi="Calibri" w:cs="Calibri"/>
          <w:sz w:val="24"/>
          <w:szCs w:val="24"/>
        </w:rPr>
        <w:t xml:space="preserve"> </w:t>
      </w:r>
      <w:r w:rsidR="00F23A8F">
        <w:rPr>
          <w:rFonts w:ascii="Calibri" w:hAnsi="Calibri" w:cs="Calibri"/>
          <w:sz w:val="24"/>
          <w:szCs w:val="24"/>
        </w:rPr>
        <w:t>D</w:t>
      </w:r>
      <w:r w:rsidR="00E3011F" w:rsidRPr="00024CE1">
        <w:rPr>
          <w:rFonts w:ascii="Calibri" w:hAnsi="Calibri" w:cs="Calibri"/>
          <w:sz w:val="24"/>
          <w:szCs w:val="24"/>
        </w:rPr>
        <w:t>eliberation</w:t>
      </w:r>
      <w:r w:rsidR="00F23A8F">
        <w:rPr>
          <w:rFonts w:ascii="Calibri" w:hAnsi="Calibri" w:cs="Calibri"/>
          <w:sz w:val="24"/>
          <w:szCs w:val="24"/>
        </w:rPr>
        <w:t xml:space="preserve">s between HSG have proved </w:t>
      </w:r>
      <w:r w:rsidR="00E3011F" w:rsidRPr="00024CE1">
        <w:rPr>
          <w:rFonts w:ascii="Calibri" w:hAnsi="Calibri" w:cs="Calibri"/>
          <w:sz w:val="24"/>
          <w:szCs w:val="24"/>
        </w:rPr>
        <w:t xml:space="preserve">essential </w:t>
      </w:r>
      <w:r w:rsidR="00DF0A7E" w:rsidRPr="00024CE1">
        <w:rPr>
          <w:rFonts w:ascii="Calibri" w:hAnsi="Calibri" w:cs="Calibri"/>
          <w:sz w:val="24"/>
          <w:szCs w:val="24"/>
        </w:rPr>
        <w:t>to</w:t>
      </w:r>
      <w:r w:rsidR="001A41E2">
        <w:rPr>
          <w:rFonts w:ascii="Calibri" w:hAnsi="Calibri" w:cs="Calibri"/>
          <w:sz w:val="24"/>
          <w:szCs w:val="24"/>
        </w:rPr>
        <w:t xml:space="preserve"> broker agreements in</w:t>
      </w:r>
      <w:r w:rsidR="00DF0A7E" w:rsidRPr="00024CE1">
        <w:rPr>
          <w:rFonts w:ascii="Calibri" w:hAnsi="Calibri" w:cs="Calibri"/>
          <w:sz w:val="24"/>
          <w:szCs w:val="24"/>
        </w:rPr>
        <w:t xml:space="preserve"> </w:t>
      </w:r>
      <w:r w:rsidR="00DF0A7E">
        <w:rPr>
          <w:rFonts w:ascii="Calibri" w:hAnsi="Calibri" w:cs="Calibri"/>
          <w:sz w:val="24"/>
          <w:szCs w:val="24"/>
        </w:rPr>
        <w:t xml:space="preserve">areas and </w:t>
      </w:r>
      <w:r w:rsidR="001A41E2">
        <w:rPr>
          <w:rFonts w:ascii="Calibri" w:hAnsi="Calibri" w:cs="Calibri"/>
          <w:sz w:val="24"/>
          <w:szCs w:val="24"/>
        </w:rPr>
        <w:t xml:space="preserve">on </w:t>
      </w:r>
      <w:r w:rsidR="00DF0A7E" w:rsidRPr="00024CE1">
        <w:rPr>
          <w:rFonts w:ascii="Calibri" w:hAnsi="Calibri" w:cs="Calibri"/>
          <w:sz w:val="24"/>
          <w:szCs w:val="24"/>
        </w:rPr>
        <w:t xml:space="preserve">issues which are sovereignty sensitive, </w:t>
      </w:r>
      <w:r w:rsidR="00AB197A" w:rsidRPr="00024CE1">
        <w:rPr>
          <w:rFonts w:ascii="Calibri" w:hAnsi="Calibri" w:cs="Calibri"/>
          <w:sz w:val="24"/>
          <w:szCs w:val="24"/>
        </w:rPr>
        <w:t>politicised,</w:t>
      </w:r>
      <w:r w:rsidR="00DF0A7E" w:rsidRPr="00024CE1">
        <w:rPr>
          <w:rFonts w:ascii="Calibri" w:hAnsi="Calibri" w:cs="Calibri"/>
          <w:sz w:val="24"/>
          <w:szCs w:val="24"/>
        </w:rPr>
        <w:t xml:space="preserve"> and contentious</w:t>
      </w:r>
      <w:r w:rsidR="00B4571D">
        <w:rPr>
          <w:rFonts w:ascii="Calibri" w:hAnsi="Calibri" w:cs="Calibri"/>
          <w:sz w:val="24"/>
          <w:szCs w:val="24"/>
        </w:rPr>
        <w:t xml:space="preserve"> (</w:t>
      </w:r>
      <w:proofErr w:type="spellStart"/>
      <w:r w:rsidR="00B859FD">
        <w:rPr>
          <w:rFonts w:ascii="Calibri" w:hAnsi="Calibri" w:cs="Calibri"/>
          <w:sz w:val="24"/>
          <w:szCs w:val="24"/>
        </w:rPr>
        <w:t>Puetter</w:t>
      </w:r>
      <w:proofErr w:type="spellEnd"/>
      <w:r w:rsidR="00B859FD">
        <w:rPr>
          <w:rFonts w:ascii="Calibri" w:hAnsi="Calibri" w:cs="Calibri"/>
          <w:sz w:val="24"/>
          <w:szCs w:val="24"/>
        </w:rPr>
        <w:t xml:space="preserve"> </w:t>
      </w:r>
      <w:r w:rsidR="00B4571D">
        <w:rPr>
          <w:rFonts w:ascii="Calibri" w:hAnsi="Calibri" w:cs="Calibri"/>
          <w:sz w:val="24"/>
          <w:szCs w:val="24"/>
        </w:rPr>
        <w:t>2014)</w:t>
      </w:r>
      <w:r w:rsidR="00164B34">
        <w:rPr>
          <w:rFonts w:ascii="Calibri" w:hAnsi="Calibri" w:cs="Calibri"/>
          <w:sz w:val="24"/>
          <w:szCs w:val="24"/>
        </w:rPr>
        <w:t>.</w:t>
      </w:r>
      <w:r w:rsidR="00DF0A7E">
        <w:rPr>
          <w:rFonts w:ascii="Calibri" w:hAnsi="Calibri" w:cs="Calibri"/>
          <w:sz w:val="24"/>
          <w:szCs w:val="24"/>
        </w:rPr>
        <w:t xml:space="preserve"> </w:t>
      </w:r>
      <w:r w:rsidR="00DE1CD9">
        <w:rPr>
          <w:rFonts w:ascii="Calibri" w:hAnsi="Calibri" w:cs="Calibri"/>
          <w:sz w:val="24"/>
          <w:szCs w:val="24"/>
        </w:rPr>
        <w:t>The EUCO</w:t>
      </w:r>
      <w:r w:rsidR="00EE2B68">
        <w:rPr>
          <w:rFonts w:ascii="Calibri" w:hAnsi="Calibri" w:cs="Calibri"/>
          <w:sz w:val="24"/>
          <w:szCs w:val="24"/>
        </w:rPr>
        <w:t>’s</w:t>
      </w:r>
      <w:r w:rsidR="00AB197A">
        <w:rPr>
          <w:rFonts w:ascii="Calibri" w:hAnsi="Calibri" w:cs="Calibri"/>
          <w:sz w:val="24"/>
          <w:szCs w:val="24"/>
        </w:rPr>
        <w:t xml:space="preserve"> agenda has expanded and, d</w:t>
      </w:r>
      <w:r w:rsidR="00BB0480" w:rsidRPr="00024CE1">
        <w:rPr>
          <w:rFonts w:ascii="Calibri" w:hAnsi="Calibri" w:cs="Calibri"/>
          <w:sz w:val="24"/>
          <w:szCs w:val="24"/>
        </w:rPr>
        <w:t xml:space="preserve">espite </w:t>
      </w:r>
      <w:r w:rsidR="0059767B">
        <w:rPr>
          <w:rFonts w:ascii="Calibri" w:hAnsi="Calibri" w:cs="Calibri"/>
          <w:sz w:val="24"/>
          <w:szCs w:val="24"/>
        </w:rPr>
        <w:t>having no</w:t>
      </w:r>
      <w:r w:rsidR="00BB0480" w:rsidRPr="00024CE1">
        <w:rPr>
          <w:rFonts w:ascii="Calibri" w:hAnsi="Calibri" w:cs="Calibri"/>
          <w:sz w:val="24"/>
          <w:szCs w:val="24"/>
        </w:rPr>
        <w:t xml:space="preserve"> legislative powers</w:t>
      </w:r>
      <w:r w:rsidR="0059767B">
        <w:rPr>
          <w:rFonts w:ascii="Calibri" w:hAnsi="Calibri" w:cs="Calibri"/>
          <w:sz w:val="24"/>
          <w:szCs w:val="24"/>
        </w:rPr>
        <w:t xml:space="preserve"> according to Treaty provisions</w:t>
      </w:r>
      <w:r w:rsidR="00810B68">
        <w:rPr>
          <w:rFonts w:ascii="Calibri" w:hAnsi="Calibri" w:cs="Calibri"/>
          <w:sz w:val="24"/>
          <w:szCs w:val="24"/>
        </w:rPr>
        <w:t>,</w:t>
      </w:r>
      <w:r w:rsidR="00454482">
        <w:rPr>
          <w:rFonts w:ascii="Calibri" w:hAnsi="Calibri" w:cs="Calibri"/>
          <w:sz w:val="24"/>
          <w:szCs w:val="24"/>
        </w:rPr>
        <w:t xml:space="preserve"> </w:t>
      </w:r>
      <w:r w:rsidR="00EE2B68">
        <w:rPr>
          <w:rFonts w:ascii="Calibri" w:hAnsi="Calibri" w:cs="Calibri"/>
          <w:sz w:val="24"/>
          <w:szCs w:val="24"/>
        </w:rPr>
        <w:t>it</w:t>
      </w:r>
      <w:r w:rsidR="00454482">
        <w:rPr>
          <w:rFonts w:ascii="Calibri" w:hAnsi="Calibri" w:cs="Calibri"/>
          <w:sz w:val="24"/>
          <w:szCs w:val="24"/>
        </w:rPr>
        <w:t xml:space="preserve"> has often</w:t>
      </w:r>
      <w:r w:rsidR="00454482" w:rsidRPr="00024CE1">
        <w:rPr>
          <w:rFonts w:ascii="Calibri" w:hAnsi="Calibri" w:cs="Calibri"/>
          <w:sz w:val="24"/>
          <w:szCs w:val="24"/>
        </w:rPr>
        <w:t xml:space="preserve"> meddle</w:t>
      </w:r>
      <w:r w:rsidR="00454482">
        <w:rPr>
          <w:rFonts w:ascii="Calibri" w:hAnsi="Calibri" w:cs="Calibri"/>
          <w:sz w:val="24"/>
          <w:szCs w:val="24"/>
        </w:rPr>
        <w:t>d</w:t>
      </w:r>
      <w:r w:rsidR="00454482" w:rsidRPr="00024CE1">
        <w:rPr>
          <w:rFonts w:ascii="Calibri" w:hAnsi="Calibri" w:cs="Calibri"/>
          <w:sz w:val="24"/>
          <w:szCs w:val="24"/>
        </w:rPr>
        <w:t xml:space="preserve"> into legislative politic</w:t>
      </w:r>
      <w:r w:rsidR="00827FC3">
        <w:rPr>
          <w:rFonts w:ascii="Calibri" w:hAnsi="Calibri" w:cs="Calibri"/>
          <w:sz w:val="24"/>
          <w:szCs w:val="24"/>
        </w:rPr>
        <w:t>s, infringing upon the Commission</w:t>
      </w:r>
      <w:r w:rsidR="008821AC">
        <w:rPr>
          <w:rFonts w:ascii="Calibri" w:hAnsi="Calibri" w:cs="Calibri"/>
          <w:sz w:val="24"/>
          <w:szCs w:val="24"/>
        </w:rPr>
        <w:t>’s</w:t>
      </w:r>
      <w:r w:rsidR="00827FC3">
        <w:rPr>
          <w:rFonts w:ascii="Calibri" w:hAnsi="Calibri" w:cs="Calibri"/>
          <w:sz w:val="24"/>
          <w:szCs w:val="24"/>
        </w:rPr>
        <w:t xml:space="preserve"> exclusive right of initiative</w:t>
      </w:r>
      <w:r w:rsidR="00BB0480" w:rsidRPr="00024CE1">
        <w:rPr>
          <w:rFonts w:ascii="Calibri" w:hAnsi="Calibri" w:cs="Calibri"/>
          <w:sz w:val="24"/>
          <w:szCs w:val="24"/>
        </w:rPr>
        <w:t>.</w:t>
      </w:r>
      <w:r w:rsidR="006560A4">
        <w:rPr>
          <w:rFonts w:ascii="Calibri" w:hAnsi="Calibri" w:cs="Calibri"/>
          <w:sz w:val="24"/>
          <w:szCs w:val="24"/>
        </w:rPr>
        <w:t xml:space="preserve"> </w:t>
      </w:r>
      <w:r w:rsidR="00C40A40">
        <w:rPr>
          <w:rFonts w:ascii="Calibri" w:hAnsi="Calibri" w:cs="Calibri"/>
          <w:sz w:val="24"/>
          <w:szCs w:val="24"/>
        </w:rPr>
        <w:t xml:space="preserve">Meanwhile </w:t>
      </w:r>
      <w:r w:rsidR="00242E5F">
        <w:rPr>
          <w:rFonts w:ascii="Calibri" w:hAnsi="Calibri" w:cs="Calibri"/>
          <w:sz w:val="24"/>
          <w:szCs w:val="24"/>
        </w:rPr>
        <w:t xml:space="preserve">Kreppel and </w:t>
      </w:r>
      <w:proofErr w:type="spellStart"/>
      <w:r w:rsidR="00242E5F">
        <w:rPr>
          <w:rFonts w:ascii="Calibri" w:hAnsi="Calibri" w:cs="Calibri"/>
          <w:sz w:val="24"/>
          <w:szCs w:val="24"/>
        </w:rPr>
        <w:t>Otzas</w:t>
      </w:r>
      <w:proofErr w:type="spellEnd"/>
      <w:r w:rsidR="00242E5F">
        <w:rPr>
          <w:rFonts w:ascii="Calibri" w:hAnsi="Calibri" w:cs="Calibri"/>
          <w:sz w:val="24"/>
          <w:szCs w:val="24"/>
        </w:rPr>
        <w:t xml:space="preserve"> (2017) find that</w:t>
      </w:r>
      <w:r w:rsidR="00661C3E">
        <w:rPr>
          <w:rFonts w:ascii="Calibri" w:hAnsi="Calibri" w:cs="Calibri"/>
          <w:sz w:val="24"/>
          <w:szCs w:val="24"/>
        </w:rPr>
        <w:t xml:space="preserve"> the Commission tends to be reduced to a </w:t>
      </w:r>
      <w:r w:rsidR="000D6882">
        <w:rPr>
          <w:rFonts w:ascii="Calibri" w:hAnsi="Calibri" w:cs="Calibri"/>
          <w:sz w:val="24"/>
          <w:szCs w:val="24"/>
        </w:rPr>
        <w:t>‘</w:t>
      </w:r>
      <w:r w:rsidR="00661C3E">
        <w:rPr>
          <w:rFonts w:ascii="Calibri" w:hAnsi="Calibri" w:cs="Calibri"/>
          <w:sz w:val="24"/>
          <w:szCs w:val="24"/>
        </w:rPr>
        <w:t>technical agenda setter</w:t>
      </w:r>
      <w:r w:rsidR="000D6882">
        <w:rPr>
          <w:rFonts w:ascii="Calibri" w:hAnsi="Calibri" w:cs="Calibri"/>
          <w:sz w:val="24"/>
          <w:szCs w:val="24"/>
        </w:rPr>
        <w:t>’</w:t>
      </w:r>
      <w:r w:rsidR="00661C3E">
        <w:rPr>
          <w:rFonts w:ascii="Calibri" w:hAnsi="Calibri" w:cs="Calibri"/>
          <w:sz w:val="24"/>
          <w:szCs w:val="24"/>
        </w:rPr>
        <w:t xml:space="preserve">, which struggles to imprint </w:t>
      </w:r>
      <w:r w:rsidR="008A49FA">
        <w:rPr>
          <w:rFonts w:ascii="Calibri" w:hAnsi="Calibri" w:cs="Calibri"/>
          <w:sz w:val="24"/>
          <w:szCs w:val="24"/>
        </w:rPr>
        <w:t>its political priorities and preferences on the political agenda.</w:t>
      </w:r>
      <w:r w:rsidR="00661C3E">
        <w:rPr>
          <w:rFonts w:ascii="Calibri" w:hAnsi="Calibri" w:cs="Calibri"/>
          <w:sz w:val="24"/>
          <w:szCs w:val="24"/>
        </w:rPr>
        <w:t xml:space="preserve"> </w:t>
      </w:r>
      <w:r w:rsidR="00242E5F">
        <w:rPr>
          <w:rFonts w:ascii="Calibri" w:hAnsi="Calibri" w:cs="Calibri"/>
          <w:sz w:val="24"/>
          <w:szCs w:val="24"/>
        </w:rPr>
        <w:t xml:space="preserve"> </w:t>
      </w:r>
      <w:r w:rsidR="00BB0480" w:rsidRPr="00024CE1">
        <w:rPr>
          <w:rFonts w:ascii="Calibri" w:hAnsi="Calibri" w:cs="Calibri"/>
          <w:sz w:val="24"/>
          <w:szCs w:val="24"/>
        </w:rPr>
        <w:t xml:space="preserve"> </w:t>
      </w:r>
    </w:p>
    <w:p w14:paraId="5B9C7494" w14:textId="4594C5FF" w:rsidR="00EA2B0C" w:rsidRDefault="00FD7B24" w:rsidP="00EA2B0C">
      <w:pPr>
        <w:jc w:val="both"/>
        <w:rPr>
          <w:rFonts w:ascii="Calibri" w:hAnsi="Calibri" w:cs="Calibri"/>
          <w:sz w:val="24"/>
          <w:szCs w:val="24"/>
        </w:rPr>
      </w:pPr>
      <w:r>
        <w:rPr>
          <w:rFonts w:ascii="Calibri" w:hAnsi="Calibri" w:cs="Calibri"/>
          <w:sz w:val="24"/>
          <w:szCs w:val="24"/>
        </w:rPr>
        <w:t xml:space="preserve">In </w:t>
      </w:r>
      <w:r w:rsidR="00585D92">
        <w:rPr>
          <w:rFonts w:ascii="Calibri" w:hAnsi="Calibri" w:cs="Calibri"/>
          <w:sz w:val="24"/>
          <w:szCs w:val="24"/>
        </w:rPr>
        <w:t>this</w:t>
      </w:r>
      <w:r>
        <w:rPr>
          <w:rFonts w:ascii="Calibri" w:hAnsi="Calibri" w:cs="Calibri"/>
          <w:sz w:val="24"/>
          <w:szCs w:val="24"/>
        </w:rPr>
        <w:t xml:space="preserve"> reading, </w:t>
      </w:r>
      <w:r w:rsidR="0099087E">
        <w:rPr>
          <w:rFonts w:ascii="Calibri" w:hAnsi="Calibri" w:cs="Calibri"/>
          <w:sz w:val="24"/>
          <w:szCs w:val="24"/>
        </w:rPr>
        <w:t>the EUCO</w:t>
      </w:r>
      <w:r w:rsidR="00557D85" w:rsidRPr="00024CE1">
        <w:rPr>
          <w:rFonts w:ascii="Calibri" w:hAnsi="Calibri" w:cs="Calibri"/>
          <w:sz w:val="24"/>
          <w:szCs w:val="24"/>
        </w:rPr>
        <w:t xml:space="preserve"> </w:t>
      </w:r>
      <w:r w:rsidR="00DE4868">
        <w:rPr>
          <w:rFonts w:ascii="Calibri" w:hAnsi="Calibri" w:cs="Calibri"/>
          <w:sz w:val="24"/>
          <w:szCs w:val="24"/>
        </w:rPr>
        <w:t xml:space="preserve">has </w:t>
      </w:r>
      <w:r w:rsidR="00557D85" w:rsidRPr="00024CE1">
        <w:rPr>
          <w:rFonts w:ascii="Calibri" w:hAnsi="Calibri" w:cs="Calibri"/>
          <w:sz w:val="24"/>
          <w:szCs w:val="24"/>
        </w:rPr>
        <w:t xml:space="preserve">replaced the Commission as </w:t>
      </w:r>
      <w:r w:rsidR="00DE4868">
        <w:rPr>
          <w:rFonts w:ascii="Calibri" w:hAnsi="Calibri" w:cs="Calibri"/>
          <w:sz w:val="24"/>
          <w:szCs w:val="24"/>
        </w:rPr>
        <w:t xml:space="preserve">a </w:t>
      </w:r>
      <w:r w:rsidR="00D418FC" w:rsidRPr="00024CE1">
        <w:rPr>
          <w:rFonts w:ascii="Calibri" w:hAnsi="Calibri" w:cs="Calibri"/>
          <w:sz w:val="24"/>
          <w:szCs w:val="24"/>
        </w:rPr>
        <w:t>strategic</w:t>
      </w:r>
      <w:r w:rsidR="00557D85" w:rsidRPr="00024CE1">
        <w:rPr>
          <w:rFonts w:ascii="Calibri" w:hAnsi="Calibri" w:cs="Calibri"/>
          <w:sz w:val="24"/>
          <w:szCs w:val="24"/>
        </w:rPr>
        <w:t xml:space="preserve"> agenda setter</w:t>
      </w:r>
      <w:r w:rsidR="006B1D81" w:rsidRPr="00024CE1">
        <w:rPr>
          <w:rFonts w:ascii="Calibri" w:hAnsi="Calibri" w:cs="Calibri"/>
          <w:sz w:val="24"/>
          <w:szCs w:val="24"/>
        </w:rPr>
        <w:t xml:space="preserve"> and engine of integration</w:t>
      </w:r>
      <w:r w:rsidR="00D418FC" w:rsidRPr="00024CE1">
        <w:rPr>
          <w:rFonts w:ascii="Calibri" w:hAnsi="Calibri" w:cs="Calibri"/>
          <w:sz w:val="24"/>
          <w:szCs w:val="24"/>
        </w:rPr>
        <w:t xml:space="preserve">, </w:t>
      </w:r>
      <w:r w:rsidR="00141140">
        <w:rPr>
          <w:rFonts w:ascii="Calibri" w:hAnsi="Calibri" w:cs="Calibri"/>
          <w:sz w:val="24"/>
          <w:szCs w:val="24"/>
        </w:rPr>
        <w:t>reducing</w:t>
      </w:r>
      <w:r w:rsidR="00D55A0C" w:rsidRPr="00024CE1">
        <w:rPr>
          <w:rFonts w:ascii="Calibri" w:hAnsi="Calibri" w:cs="Calibri"/>
          <w:sz w:val="24"/>
          <w:szCs w:val="24"/>
        </w:rPr>
        <w:t xml:space="preserve"> </w:t>
      </w:r>
      <w:r w:rsidR="003E6766">
        <w:rPr>
          <w:rFonts w:ascii="Calibri" w:hAnsi="Calibri" w:cs="Calibri"/>
          <w:sz w:val="24"/>
          <w:szCs w:val="24"/>
        </w:rPr>
        <w:t>the latter</w:t>
      </w:r>
      <w:r w:rsidR="00585D92">
        <w:rPr>
          <w:rFonts w:ascii="Calibri" w:hAnsi="Calibri" w:cs="Calibri"/>
          <w:sz w:val="24"/>
          <w:szCs w:val="24"/>
        </w:rPr>
        <w:t xml:space="preserve"> </w:t>
      </w:r>
      <w:r w:rsidR="00141140">
        <w:rPr>
          <w:rFonts w:ascii="Calibri" w:hAnsi="Calibri" w:cs="Calibri"/>
          <w:sz w:val="24"/>
          <w:szCs w:val="24"/>
        </w:rPr>
        <w:t>to</w:t>
      </w:r>
      <w:r w:rsidR="00C17774" w:rsidRPr="00024CE1">
        <w:rPr>
          <w:rFonts w:ascii="Calibri" w:hAnsi="Calibri" w:cs="Calibri"/>
          <w:sz w:val="24"/>
          <w:szCs w:val="24"/>
        </w:rPr>
        <w:t xml:space="preserve"> </w:t>
      </w:r>
      <w:r w:rsidR="007A2271" w:rsidRPr="00024CE1">
        <w:rPr>
          <w:rFonts w:ascii="Calibri" w:hAnsi="Calibri" w:cs="Calibri"/>
          <w:sz w:val="24"/>
          <w:szCs w:val="24"/>
        </w:rPr>
        <w:t xml:space="preserve">facilitating agreement, following up on </w:t>
      </w:r>
      <w:r w:rsidR="0099087E">
        <w:rPr>
          <w:rFonts w:ascii="Calibri" w:hAnsi="Calibri" w:cs="Calibri"/>
          <w:sz w:val="24"/>
          <w:szCs w:val="24"/>
        </w:rPr>
        <w:t>EUCO</w:t>
      </w:r>
      <w:r w:rsidR="00CD64B1">
        <w:rPr>
          <w:rFonts w:ascii="Calibri" w:hAnsi="Calibri" w:cs="Calibri"/>
          <w:sz w:val="24"/>
          <w:szCs w:val="24"/>
        </w:rPr>
        <w:t>’s</w:t>
      </w:r>
      <w:r w:rsidR="007A2271" w:rsidRPr="00024CE1">
        <w:rPr>
          <w:rFonts w:ascii="Calibri" w:hAnsi="Calibri" w:cs="Calibri"/>
          <w:sz w:val="24"/>
          <w:szCs w:val="24"/>
        </w:rPr>
        <w:t xml:space="preserve"> initiative</w:t>
      </w:r>
      <w:r w:rsidR="00CD64B1">
        <w:rPr>
          <w:rFonts w:ascii="Calibri" w:hAnsi="Calibri" w:cs="Calibri"/>
          <w:sz w:val="24"/>
          <w:szCs w:val="24"/>
        </w:rPr>
        <w:t>s</w:t>
      </w:r>
      <w:r w:rsidR="007A2271" w:rsidRPr="00024CE1">
        <w:rPr>
          <w:rFonts w:ascii="Calibri" w:hAnsi="Calibri" w:cs="Calibri"/>
          <w:sz w:val="24"/>
          <w:szCs w:val="24"/>
        </w:rPr>
        <w:t xml:space="preserve"> and ensuring credible commitment</w:t>
      </w:r>
      <w:r w:rsidR="00CD64B1">
        <w:rPr>
          <w:rFonts w:ascii="Calibri" w:hAnsi="Calibri" w:cs="Calibri"/>
          <w:sz w:val="24"/>
          <w:szCs w:val="24"/>
        </w:rPr>
        <w:t>s</w:t>
      </w:r>
      <w:r w:rsidR="007A2271" w:rsidRPr="00024CE1">
        <w:rPr>
          <w:rFonts w:ascii="Calibri" w:hAnsi="Calibri" w:cs="Calibri"/>
          <w:sz w:val="24"/>
          <w:szCs w:val="24"/>
        </w:rPr>
        <w:t xml:space="preserve"> through implementation and enforcement. </w:t>
      </w:r>
      <w:r w:rsidR="00451441">
        <w:rPr>
          <w:rFonts w:ascii="Calibri" w:hAnsi="Calibri" w:cs="Calibri"/>
          <w:sz w:val="24"/>
          <w:szCs w:val="24"/>
        </w:rPr>
        <w:t>V</w:t>
      </w:r>
      <w:r w:rsidR="0095211F" w:rsidRPr="00CD64B1">
        <w:rPr>
          <w:rFonts w:ascii="Calibri" w:hAnsi="Calibri" w:cs="Calibri"/>
          <w:sz w:val="24"/>
          <w:szCs w:val="24"/>
        </w:rPr>
        <w:t xml:space="preserve">an </w:t>
      </w:r>
      <w:proofErr w:type="spellStart"/>
      <w:r w:rsidR="0095211F" w:rsidRPr="00CD64B1">
        <w:rPr>
          <w:rFonts w:ascii="Calibri" w:hAnsi="Calibri" w:cs="Calibri"/>
          <w:sz w:val="24"/>
          <w:szCs w:val="24"/>
        </w:rPr>
        <w:t>Mid</w:t>
      </w:r>
      <w:r w:rsidR="00451441">
        <w:rPr>
          <w:rFonts w:ascii="Calibri" w:hAnsi="Calibri" w:cs="Calibri"/>
          <w:sz w:val="24"/>
          <w:szCs w:val="24"/>
        </w:rPr>
        <w:t>d</w:t>
      </w:r>
      <w:r w:rsidR="0095211F" w:rsidRPr="00CD64B1">
        <w:rPr>
          <w:rFonts w:ascii="Calibri" w:hAnsi="Calibri" w:cs="Calibri"/>
          <w:sz w:val="24"/>
          <w:szCs w:val="24"/>
        </w:rPr>
        <w:t>elaar</w:t>
      </w:r>
      <w:proofErr w:type="spellEnd"/>
      <w:r w:rsidR="00451441">
        <w:rPr>
          <w:rFonts w:ascii="Calibri" w:hAnsi="Calibri" w:cs="Calibri"/>
          <w:sz w:val="24"/>
          <w:szCs w:val="24"/>
        </w:rPr>
        <w:t xml:space="preserve"> (2019)</w:t>
      </w:r>
      <w:r w:rsidR="0095211F" w:rsidRPr="00CD64B1">
        <w:rPr>
          <w:rFonts w:ascii="Calibri" w:hAnsi="Calibri" w:cs="Calibri"/>
          <w:sz w:val="24"/>
          <w:szCs w:val="24"/>
        </w:rPr>
        <w:t xml:space="preserve"> </w:t>
      </w:r>
      <w:r w:rsidR="00451441">
        <w:rPr>
          <w:rFonts w:ascii="Calibri" w:hAnsi="Calibri" w:cs="Calibri"/>
          <w:sz w:val="24"/>
          <w:szCs w:val="24"/>
        </w:rPr>
        <w:t>argues</w:t>
      </w:r>
      <w:r w:rsidR="0095211F" w:rsidRPr="00CD64B1">
        <w:rPr>
          <w:rFonts w:ascii="Calibri" w:hAnsi="Calibri" w:cs="Calibri"/>
          <w:sz w:val="24"/>
          <w:szCs w:val="24"/>
        </w:rPr>
        <w:t xml:space="preserve"> that </w:t>
      </w:r>
      <w:r w:rsidR="00AF5604">
        <w:rPr>
          <w:rFonts w:ascii="Calibri" w:hAnsi="Calibri" w:cs="Calibri"/>
          <w:sz w:val="24"/>
          <w:szCs w:val="24"/>
        </w:rPr>
        <w:t>this shift</w:t>
      </w:r>
      <w:r w:rsidR="00F5618B">
        <w:rPr>
          <w:rFonts w:ascii="Calibri" w:hAnsi="Calibri" w:cs="Calibri"/>
          <w:sz w:val="24"/>
          <w:szCs w:val="24"/>
        </w:rPr>
        <w:t xml:space="preserve"> </w:t>
      </w:r>
      <w:r w:rsidR="0095211F" w:rsidRPr="00CD64B1">
        <w:rPr>
          <w:rFonts w:ascii="Calibri" w:hAnsi="Calibri" w:cs="Calibri"/>
          <w:sz w:val="24"/>
          <w:szCs w:val="24"/>
        </w:rPr>
        <w:t xml:space="preserve">is </w:t>
      </w:r>
      <w:r w:rsidR="00EE2B68">
        <w:rPr>
          <w:rFonts w:ascii="Calibri" w:hAnsi="Calibri" w:cs="Calibri"/>
          <w:sz w:val="24"/>
          <w:szCs w:val="24"/>
        </w:rPr>
        <w:t>both</w:t>
      </w:r>
      <w:r w:rsidR="00F5618B">
        <w:rPr>
          <w:rFonts w:ascii="Calibri" w:hAnsi="Calibri" w:cs="Calibri"/>
          <w:sz w:val="24"/>
          <w:szCs w:val="24"/>
        </w:rPr>
        <w:t xml:space="preserve"> necessary and</w:t>
      </w:r>
      <w:r w:rsidR="001C3FA7" w:rsidRPr="00CD64B1">
        <w:rPr>
          <w:rFonts w:ascii="Calibri" w:hAnsi="Calibri" w:cs="Calibri"/>
          <w:sz w:val="24"/>
          <w:szCs w:val="24"/>
        </w:rPr>
        <w:t xml:space="preserve"> desirable, as </w:t>
      </w:r>
      <w:r w:rsidR="00EA2B0C">
        <w:rPr>
          <w:rFonts w:ascii="Calibri" w:hAnsi="Calibri" w:cs="Calibri"/>
          <w:sz w:val="24"/>
          <w:szCs w:val="24"/>
        </w:rPr>
        <w:t>the EUCO</w:t>
      </w:r>
      <w:r w:rsidR="001C3FA7" w:rsidRPr="00CD64B1">
        <w:rPr>
          <w:rFonts w:ascii="Calibri" w:hAnsi="Calibri" w:cs="Calibri"/>
          <w:sz w:val="24"/>
          <w:szCs w:val="24"/>
        </w:rPr>
        <w:t xml:space="preserve"> provide</w:t>
      </w:r>
      <w:r w:rsidR="00EA2B0C">
        <w:rPr>
          <w:rFonts w:ascii="Calibri" w:hAnsi="Calibri" w:cs="Calibri"/>
          <w:sz w:val="24"/>
          <w:szCs w:val="24"/>
        </w:rPr>
        <w:t>s the EU with</w:t>
      </w:r>
      <w:r w:rsidR="001C3FA7" w:rsidRPr="00CD64B1">
        <w:rPr>
          <w:rFonts w:ascii="Calibri" w:hAnsi="Calibri" w:cs="Calibri"/>
          <w:sz w:val="24"/>
          <w:szCs w:val="24"/>
        </w:rPr>
        <w:t xml:space="preserve"> the political </w:t>
      </w:r>
      <w:r w:rsidR="00F1463E">
        <w:rPr>
          <w:rFonts w:ascii="Calibri" w:hAnsi="Calibri" w:cs="Calibri"/>
          <w:sz w:val="24"/>
          <w:szCs w:val="24"/>
        </w:rPr>
        <w:t xml:space="preserve">weight </w:t>
      </w:r>
      <w:r w:rsidR="001C3FA7" w:rsidRPr="00CD64B1">
        <w:rPr>
          <w:rFonts w:ascii="Calibri" w:hAnsi="Calibri" w:cs="Calibri"/>
          <w:sz w:val="24"/>
          <w:szCs w:val="24"/>
        </w:rPr>
        <w:t xml:space="preserve">and legitimacy that only </w:t>
      </w:r>
      <w:r w:rsidR="0046320A" w:rsidRPr="00CD64B1">
        <w:rPr>
          <w:rFonts w:ascii="Calibri" w:hAnsi="Calibri" w:cs="Calibri"/>
          <w:sz w:val="24"/>
          <w:szCs w:val="24"/>
        </w:rPr>
        <w:t>member state possess</w:t>
      </w:r>
      <w:r w:rsidR="00EA2B0C">
        <w:rPr>
          <w:rFonts w:ascii="Calibri" w:hAnsi="Calibri" w:cs="Calibri"/>
          <w:sz w:val="24"/>
          <w:szCs w:val="24"/>
        </w:rPr>
        <w:t>.</w:t>
      </w:r>
    </w:p>
    <w:p w14:paraId="601622F5" w14:textId="37126B0F" w:rsidR="00652B8B" w:rsidRDefault="009C1E5E" w:rsidP="00EA2B0C">
      <w:pPr>
        <w:jc w:val="both"/>
        <w:rPr>
          <w:rFonts w:ascii="Calibri" w:hAnsi="Calibri" w:cs="Calibri"/>
          <w:sz w:val="24"/>
          <w:szCs w:val="24"/>
        </w:rPr>
      </w:pPr>
      <w:r>
        <w:rPr>
          <w:rFonts w:ascii="Calibri" w:hAnsi="Calibri" w:cs="Calibri"/>
          <w:sz w:val="24"/>
          <w:szCs w:val="24"/>
        </w:rPr>
        <w:t>In response</w:t>
      </w:r>
      <w:r w:rsidR="00C46AF2">
        <w:rPr>
          <w:rFonts w:ascii="Calibri" w:hAnsi="Calibri" w:cs="Calibri"/>
          <w:sz w:val="24"/>
          <w:szCs w:val="24"/>
        </w:rPr>
        <w:t xml:space="preserve">, </w:t>
      </w:r>
      <w:r w:rsidR="00AB197A">
        <w:rPr>
          <w:rFonts w:ascii="Calibri" w:hAnsi="Calibri" w:cs="Calibri"/>
          <w:sz w:val="24"/>
          <w:szCs w:val="24"/>
        </w:rPr>
        <w:t xml:space="preserve">scholars have disputed </w:t>
      </w:r>
      <w:r w:rsidR="00785781">
        <w:rPr>
          <w:rFonts w:ascii="Calibri" w:hAnsi="Calibri" w:cs="Calibri"/>
          <w:sz w:val="24"/>
          <w:szCs w:val="24"/>
        </w:rPr>
        <w:t>th</w:t>
      </w:r>
      <w:r w:rsidR="00095C0B">
        <w:rPr>
          <w:rFonts w:ascii="Calibri" w:hAnsi="Calibri" w:cs="Calibri"/>
          <w:sz w:val="24"/>
          <w:szCs w:val="24"/>
        </w:rPr>
        <w:t>e</w:t>
      </w:r>
      <w:r w:rsidR="00785781">
        <w:rPr>
          <w:rFonts w:ascii="Calibri" w:hAnsi="Calibri" w:cs="Calibri"/>
          <w:sz w:val="24"/>
          <w:szCs w:val="24"/>
        </w:rPr>
        <w:t xml:space="preserve"> </w:t>
      </w:r>
      <w:r w:rsidR="00FA01F2">
        <w:rPr>
          <w:rFonts w:ascii="Calibri" w:hAnsi="Calibri" w:cs="Calibri"/>
          <w:sz w:val="24"/>
          <w:szCs w:val="24"/>
        </w:rPr>
        <w:t>pre-eminence</w:t>
      </w:r>
      <w:r w:rsidR="00785781">
        <w:rPr>
          <w:rFonts w:ascii="Calibri" w:hAnsi="Calibri" w:cs="Calibri"/>
          <w:sz w:val="24"/>
          <w:szCs w:val="24"/>
        </w:rPr>
        <w:t xml:space="preserve"> of the EUCO, reasserting </w:t>
      </w:r>
      <w:r w:rsidR="00095C0B">
        <w:rPr>
          <w:rFonts w:ascii="Calibri" w:hAnsi="Calibri" w:cs="Calibri"/>
          <w:sz w:val="24"/>
          <w:szCs w:val="24"/>
        </w:rPr>
        <w:t xml:space="preserve">the </w:t>
      </w:r>
      <w:r w:rsidR="00785781">
        <w:rPr>
          <w:rFonts w:ascii="Calibri" w:hAnsi="Calibri" w:cs="Calibri"/>
          <w:sz w:val="24"/>
          <w:szCs w:val="24"/>
        </w:rPr>
        <w:t>centrality of the Commission</w:t>
      </w:r>
      <w:r w:rsidR="00095C0B">
        <w:rPr>
          <w:rFonts w:ascii="Calibri" w:hAnsi="Calibri" w:cs="Calibri"/>
          <w:sz w:val="24"/>
          <w:szCs w:val="24"/>
        </w:rPr>
        <w:t xml:space="preserve"> including in agenda-setting (Nugent </w:t>
      </w:r>
      <w:r w:rsidR="00043A92">
        <w:rPr>
          <w:rFonts w:ascii="Calibri" w:hAnsi="Calibri" w:cs="Calibri"/>
          <w:sz w:val="24"/>
          <w:szCs w:val="24"/>
        </w:rPr>
        <w:t xml:space="preserve">and </w:t>
      </w:r>
      <w:proofErr w:type="spellStart"/>
      <w:r w:rsidR="00043A92">
        <w:rPr>
          <w:rFonts w:ascii="Calibri" w:hAnsi="Calibri" w:cs="Calibri"/>
          <w:sz w:val="24"/>
          <w:szCs w:val="24"/>
        </w:rPr>
        <w:t>Rhinard</w:t>
      </w:r>
      <w:proofErr w:type="spellEnd"/>
      <w:r w:rsidR="00043A92">
        <w:rPr>
          <w:rFonts w:ascii="Calibri" w:hAnsi="Calibri" w:cs="Calibri"/>
          <w:sz w:val="24"/>
          <w:szCs w:val="24"/>
        </w:rPr>
        <w:t xml:space="preserve"> </w:t>
      </w:r>
      <w:r w:rsidR="00095C0B">
        <w:rPr>
          <w:rFonts w:ascii="Calibri" w:hAnsi="Calibri" w:cs="Calibri"/>
          <w:sz w:val="24"/>
          <w:szCs w:val="24"/>
        </w:rPr>
        <w:t>2016)</w:t>
      </w:r>
      <w:r w:rsidR="00785781">
        <w:rPr>
          <w:rFonts w:ascii="Calibri" w:hAnsi="Calibri" w:cs="Calibri"/>
          <w:sz w:val="24"/>
          <w:szCs w:val="24"/>
        </w:rPr>
        <w:t xml:space="preserve"> and</w:t>
      </w:r>
      <w:r w:rsidR="00043A92">
        <w:rPr>
          <w:rFonts w:ascii="Calibri" w:hAnsi="Calibri" w:cs="Calibri"/>
          <w:sz w:val="24"/>
          <w:szCs w:val="24"/>
        </w:rPr>
        <w:t xml:space="preserve"> pointing</w:t>
      </w:r>
      <w:r w:rsidR="00785781">
        <w:rPr>
          <w:rFonts w:ascii="Calibri" w:hAnsi="Calibri" w:cs="Calibri"/>
          <w:sz w:val="24"/>
          <w:szCs w:val="24"/>
        </w:rPr>
        <w:t xml:space="preserve"> how it has </w:t>
      </w:r>
      <w:r w:rsidR="003E1774">
        <w:rPr>
          <w:rFonts w:ascii="Calibri" w:hAnsi="Calibri" w:cs="Calibri"/>
          <w:sz w:val="24"/>
          <w:szCs w:val="24"/>
        </w:rPr>
        <w:t>often</w:t>
      </w:r>
      <w:r w:rsidR="00451771">
        <w:rPr>
          <w:rFonts w:ascii="Calibri" w:hAnsi="Calibri" w:cs="Calibri"/>
          <w:sz w:val="24"/>
          <w:szCs w:val="24"/>
        </w:rPr>
        <w:t xml:space="preserve"> </w:t>
      </w:r>
      <w:r w:rsidR="00A92704">
        <w:rPr>
          <w:rFonts w:ascii="Calibri" w:hAnsi="Calibri" w:cs="Calibri"/>
          <w:sz w:val="24"/>
          <w:szCs w:val="24"/>
        </w:rPr>
        <w:t xml:space="preserve">been </w:t>
      </w:r>
      <w:r w:rsidR="00451771">
        <w:rPr>
          <w:rFonts w:ascii="Calibri" w:hAnsi="Calibri" w:cs="Calibri"/>
          <w:sz w:val="24"/>
          <w:szCs w:val="24"/>
        </w:rPr>
        <w:t>strengthened</w:t>
      </w:r>
      <w:r w:rsidR="005B16BE">
        <w:rPr>
          <w:rFonts w:ascii="Calibri" w:hAnsi="Calibri" w:cs="Calibri"/>
          <w:sz w:val="24"/>
          <w:szCs w:val="24"/>
        </w:rPr>
        <w:t xml:space="preserve"> through crisis</w:t>
      </w:r>
      <w:r w:rsidR="00043A92">
        <w:rPr>
          <w:rFonts w:ascii="Calibri" w:hAnsi="Calibri" w:cs="Calibri"/>
          <w:sz w:val="24"/>
          <w:szCs w:val="24"/>
        </w:rPr>
        <w:t xml:space="preserve"> response</w:t>
      </w:r>
      <w:r w:rsidR="004D56B3">
        <w:rPr>
          <w:rFonts w:ascii="Calibri" w:hAnsi="Calibri" w:cs="Calibri"/>
          <w:sz w:val="24"/>
          <w:szCs w:val="24"/>
        </w:rPr>
        <w:t xml:space="preserve">, including </w:t>
      </w:r>
      <w:proofErr w:type="gramStart"/>
      <w:r w:rsidR="004D56B3">
        <w:rPr>
          <w:rFonts w:ascii="Calibri" w:hAnsi="Calibri" w:cs="Calibri"/>
          <w:sz w:val="24"/>
          <w:szCs w:val="24"/>
        </w:rPr>
        <w:t>as a consequence of</w:t>
      </w:r>
      <w:proofErr w:type="gramEnd"/>
      <w:r w:rsidR="004D56B3">
        <w:rPr>
          <w:rFonts w:ascii="Calibri" w:hAnsi="Calibri" w:cs="Calibri"/>
          <w:sz w:val="24"/>
          <w:szCs w:val="24"/>
        </w:rPr>
        <w:t xml:space="preserve"> </w:t>
      </w:r>
      <w:r w:rsidR="00622176">
        <w:rPr>
          <w:rFonts w:ascii="Calibri" w:hAnsi="Calibri" w:cs="Calibri"/>
          <w:sz w:val="24"/>
          <w:szCs w:val="24"/>
        </w:rPr>
        <w:t xml:space="preserve">the </w:t>
      </w:r>
      <w:r w:rsidR="004D56B3">
        <w:rPr>
          <w:rFonts w:ascii="Calibri" w:hAnsi="Calibri" w:cs="Calibri"/>
          <w:sz w:val="24"/>
          <w:szCs w:val="24"/>
        </w:rPr>
        <w:t>EUCO</w:t>
      </w:r>
      <w:r w:rsidR="006A388F">
        <w:rPr>
          <w:rFonts w:ascii="Calibri" w:hAnsi="Calibri" w:cs="Calibri"/>
          <w:sz w:val="24"/>
          <w:szCs w:val="24"/>
        </w:rPr>
        <w:t>’s</w:t>
      </w:r>
      <w:r w:rsidR="004D56B3">
        <w:rPr>
          <w:rFonts w:ascii="Calibri" w:hAnsi="Calibri" w:cs="Calibri"/>
          <w:sz w:val="24"/>
          <w:szCs w:val="24"/>
        </w:rPr>
        <w:t xml:space="preserve"> activism and decisions (</w:t>
      </w:r>
      <w:r w:rsidR="00737BF2">
        <w:rPr>
          <w:rFonts w:ascii="Calibri" w:hAnsi="Calibri" w:cs="Calibri"/>
          <w:sz w:val="24"/>
          <w:szCs w:val="24"/>
        </w:rPr>
        <w:t>Becker et al. 201</w:t>
      </w:r>
      <w:r w:rsidR="003E1774">
        <w:rPr>
          <w:rFonts w:ascii="Calibri" w:hAnsi="Calibri" w:cs="Calibri"/>
          <w:sz w:val="24"/>
          <w:szCs w:val="24"/>
        </w:rPr>
        <w:t>6</w:t>
      </w:r>
      <w:r w:rsidR="004D56B3">
        <w:rPr>
          <w:rFonts w:ascii="Calibri" w:hAnsi="Calibri" w:cs="Calibri"/>
          <w:sz w:val="24"/>
          <w:szCs w:val="24"/>
        </w:rPr>
        <w:t>)</w:t>
      </w:r>
      <w:r w:rsidR="005B16BE">
        <w:rPr>
          <w:rFonts w:ascii="Calibri" w:hAnsi="Calibri" w:cs="Calibri"/>
          <w:sz w:val="24"/>
          <w:szCs w:val="24"/>
        </w:rPr>
        <w:t xml:space="preserve">. </w:t>
      </w:r>
      <w:r w:rsidR="00BD1890">
        <w:rPr>
          <w:rFonts w:ascii="Calibri" w:hAnsi="Calibri" w:cs="Calibri"/>
          <w:sz w:val="24"/>
          <w:szCs w:val="24"/>
        </w:rPr>
        <w:t xml:space="preserve">The debate is nuanced and hinges on </w:t>
      </w:r>
      <w:r w:rsidR="007C28F2">
        <w:rPr>
          <w:rFonts w:ascii="Calibri" w:hAnsi="Calibri" w:cs="Calibri"/>
          <w:sz w:val="24"/>
          <w:szCs w:val="24"/>
        </w:rPr>
        <w:t>the policy area</w:t>
      </w:r>
      <w:r w:rsidR="006A388F">
        <w:rPr>
          <w:rFonts w:ascii="Calibri" w:hAnsi="Calibri" w:cs="Calibri"/>
          <w:sz w:val="24"/>
          <w:szCs w:val="24"/>
        </w:rPr>
        <w:t>s</w:t>
      </w:r>
      <w:r w:rsidR="007C28F2">
        <w:rPr>
          <w:rFonts w:ascii="Calibri" w:hAnsi="Calibri" w:cs="Calibri"/>
          <w:sz w:val="24"/>
          <w:szCs w:val="24"/>
        </w:rPr>
        <w:t xml:space="preserve"> under consideration</w:t>
      </w:r>
      <w:r w:rsidR="005901B6">
        <w:rPr>
          <w:rFonts w:ascii="Calibri" w:hAnsi="Calibri" w:cs="Calibri"/>
          <w:sz w:val="24"/>
          <w:szCs w:val="24"/>
        </w:rPr>
        <w:t>;</w:t>
      </w:r>
      <w:r w:rsidR="007C28F2">
        <w:rPr>
          <w:rFonts w:ascii="Calibri" w:hAnsi="Calibri" w:cs="Calibri"/>
          <w:sz w:val="24"/>
          <w:szCs w:val="24"/>
        </w:rPr>
        <w:t xml:space="preserve"> whether </w:t>
      </w:r>
      <w:r w:rsidR="008A558A">
        <w:rPr>
          <w:rFonts w:ascii="Calibri" w:hAnsi="Calibri" w:cs="Calibri"/>
          <w:sz w:val="24"/>
          <w:szCs w:val="24"/>
        </w:rPr>
        <w:t>discussions centre on relative or absolute gains</w:t>
      </w:r>
      <w:r w:rsidR="005901B6">
        <w:rPr>
          <w:rFonts w:ascii="Calibri" w:hAnsi="Calibri" w:cs="Calibri"/>
          <w:sz w:val="24"/>
          <w:szCs w:val="24"/>
        </w:rPr>
        <w:t xml:space="preserve">; </w:t>
      </w:r>
      <w:r w:rsidR="00B51C56">
        <w:rPr>
          <w:rFonts w:ascii="Calibri" w:hAnsi="Calibri" w:cs="Calibri"/>
          <w:sz w:val="24"/>
          <w:szCs w:val="24"/>
        </w:rPr>
        <w:t>and which institutional functions are under consideration</w:t>
      </w:r>
      <w:r w:rsidR="008A558A">
        <w:rPr>
          <w:rFonts w:ascii="Calibri" w:hAnsi="Calibri" w:cs="Calibri"/>
          <w:sz w:val="24"/>
          <w:szCs w:val="24"/>
        </w:rPr>
        <w:t xml:space="preserve"> </w:t>
      </w:r>
      <w:r w:rsidR="00B51C56">
        <w:rPr>
          <w:rFonts w:ascii="Calibri" w:hAnsi="Calibri" w:cs="Calibri"/>
          <w:sz w:val="24"/>
          <w:szCs w:val="24"/>
        </w:rPr>
        <w:t>(</w:t>
      </w:r>
      <w:r w:rsidR="00842059">
        <w:rPr>
          <w:rFonts w:ascii="Calibri" w:hAnsi="Calibri" w:cs="Calibri"/>
          <w:sz w:val="24"/>
          <w:szCs w:val="24"/>
        </w:rPr>
        <w:t xml:space="preserve">agenda setting, policy management, </w:t>
      </w:r>
      <w:proofErr w:type="gramStart"/>
      <w:r w:rsidR="00842059">
        <w:rPr>
          <w:rFonts w:ascii="Calibri" w:hAnsi="Calibri" w:cs="Calibri"/>
          <w:sz w:val="24"/>
          <w:szCs w:val="24"/>
        </w:rPr>
        <w:t>monitoring</w:t>
      </w:r>
      <w:proofErr w:type="gramEnd"/>
      <w:r w:rsidR="00842059">
        <w:rPr>
          <w:rFonts w:ascii="Calibri" w:hAnsi="Calibri" w:cs="Calibri"/>
          <w:sz w:val="24"/>
          <w:szCs w:val="24"/>
        </w:rPr>
        <w:t xml:space="preserve"> and enforcement etc).</w:t>
      </w:r>
      <w:r w:rsidR="00D11617">
        <w:rPr>
          <w:rFonts w:ascii="Calibri" w:hAnsi="Calibri" w:cs="Calibri"/>
          <w:sz w:val="24"/>
          <w:szCs w:val="24"/>
        </w:rPr>
        <w:t xml:space="preserve"> </w:t>
      </w:r>
    </w:p>
    <w:p w14:paraId="6445ACF1" w14:textId="7C95E03E" w:rsidR="005A7ECF" w:rsidRDefault="007E2C92" w:rsidP="005A7ECF">
      <w:pPr>
        <w:jc w:val="both"/>
        <w:rPr>
          <w:rFonts w:ascii="Calibri" w:hAnsi="Calibri" w:cs="Calibri"/>
          <w:sz w:val="24"/>
          <w:szCs w:val="24"/>
        </w:rPr>
      </w:pPr>
      <w:r>
        <w:rPr>
          <w:rFonts w:ascii="Calibri" w:hAnsi="Calibri" w:cs="Calibri"/>
          <w:sz w:val="24"/>
          <w:szCs w:val="24"/>
        </w:rPr>
        <w:lastRenderedPageBreak/>
        <w:t>The three books reviewed in this article weight in this debate, reassessing the role of the Commission and EUCO in the EU institutional system</w:t>
      </w:r>
      <w:r w:rsidR="009E71F9">
        <w:rPr>
          <w:rFonts w:ascii="Calibri" w:hAnsi="Calibri" w:cs="Calibri"/>
          <w:sz w:val="24"/>
          <w:szCs w:val="24"/>
        </w:rPr>
        <w:t xml:space="preserve"> in a</w:t>
      </w:r>
      <w:r w:rsidR="005A7ECF" w:rsidRPr="002B45AB">
        <w:rPr>
          <w:rFonts w:ascii="Calibri" w:hAnsi="Calibri" w:cs="Calibri"/>
          <w:sz w:val="24"/>
          <w:szCs w:val="24"/>
        </w:rPr>
        <w:t xml:space="preserve"> new </w:t>
      </w:r>
      <w:r w:rsidR="009C3A66">
        <w:rPr>
          <w:rFonts w:ascii="Calibri" w:hAnsi="Calibri" w:cs="Calibri"/>
          <w:sz w:val="24"/>
          <w:szCs w:val="24"/>
        </w:rPr>
        <w:t>E</w:t>
      </w:r>
      <w:r w:rsidR="00E442E0">
        <w:rPr>
          <w:rFonts w:ascii="Calibri" w:hAnsi="Calibri" w:cs="Calibri"/>
          <w:sz w:val="24"/>
          <w:szCs w:val="24"/>
        </w:rPr>
        <w:t xml:space="preserve">uropean integration </w:t>
      </w:r>
      <w:r w:rsidR="005A7ECF" w:rsidRPr="002B45AB">
        <w:rPr>
          <w:rFonts w:ascii="Calibri" w:hAnsi="Calibri" w:cs="Calibri"/>
          <w:sz w:val="24"/>
          <w:szCs w:val="24"/>
        </w:rPr>
        <w:t>era of</w:t>
      </w:r>
      <w:r w:rsidR="005A7ECF">
        <w:rPr>
          <w:rFonts w:ascii="Calibri" w:hAnsi="Calibri" w:cs="Calibri"/>
          <w:sz w:val="24"/>
          <w:szCs w:val="24"/>
        </w:rPr>
        <w:t xml:space="preserve"> </w:t>
      </w:r>
      <w:r w:rsidR="005A7ECF" w:rsidRPr="002B45AB">
        <w:rPr>
          <w:rFonts w:ascii="Calibri" w:hAnsi="Calibri" w:cs="Calibri"/>
          <w:sz w:val="24"/>
          <w:szCs w:val="24"/>
        </w:rPr>
        <w:t>‘</w:t>
      </w:r>
      <w:proofErr w:type="spellStart"/>
      <w:r w:rsidR="005A7ECF" w:rsidRPr="002B45AB">
        <w:rPr>
          <w:rFonts w:ascii="Calibri" w:hAnsi="Calibri" w:cs="Calibri"/>
          <w:sz w:val="24"/>
          <w:szCs w:val="24"/>
        </w:rPr>
        <w:t>polycrisis</w:t>
      </w:r>
      <w:proofErr w:type="spellEnd"/>
      <w:r w:rsidR="005A7ECF" w:rsidRPr="002B45AB">
        <w:rPr>
          <w:rFonts w:ascii="Calibri" w:hAnsi="Calibri" w:cs="Calibri"/>
          <w:sz w:val="24"/>
          <w:szCs w:val="24"/>
        </w:rPr>
        <w:t>’</w:t>
      </w:r>
      <w:r w:rsidR="005A7ECF">
        <w:rPr>
          <w:rFonts w:ascii="Calibri" w:hAnsi="Calibri" w:cs="Calibri"/>
          <w:sz w:val="24"/>
          <w:szCs w:val="24"/>
        </w:rPr>
        <w:t xml:space="preserve"> </w:t>
      </w:r>
      <w:r w:rsidR="005A7ECF" w:rsidRPr="002B45AB">
        <w:rPr>
          <w:rFonts w:ascii="Calibri" w:hAnsi="Calibri" w:cs="Calibri"/>
          <w:sz w:val="24"/>
          <w:szCs w:val="24"/>
        </w:rPr>
        <w:t>(Zeitlin et al. 2019)</w:t>
      </w:r>
      <w:r w:rsidR="005A7ECF">
        <w:rPr>
          <w:rFonts w:ascii="Calibri" w:hAnsi="Calibri" w:cs="Calibri"/>
          <w:sz w:val="24"/>
          <w:szCs w:val="24"/>
        </w:rPr>
        <w:t xml:space="preserve">, marked by instability, </w:t>
      </w:r>
      <w:proofErr w:type="gramStart"/>
      <w:r w:rsidR="005A7ECF">
        <w:rPr>
          <w:rFonts w:ascii="Calibri" w:hAnsi="Calibri" w:cs="Calibri"/>
          <w:sz w:val="24"/>
          <w:szCs w:val="24"/>
        </w:rPr>
        <w:t>politicisation</w:t>
      </w:r>
      <w:proofErr w:type="gramEnd"/>
      <w:r w:rsidR="005A7ECF">
        <w:rPr>
          <w:rFonts w:ascii="Calibri" w:hAnsi="Calibri" w:cs="Calibri"/>
          <w:sz w:val="24"/>
          <w:szCs w:val="24"/>
        </w:rPr>
        <w:t xml:space="preserve"> and existential threats</w:t>
      </w:r>
      <w:r w:rsidR="005A7ECF" w:rsidRPr="002B45AB">
        <w:rPr>
          <w:rFonts w:ascii="Calibri" w:hAnsi="Calibri" w:cs="Calibri"/>
          <w:sz w:val="24"/>
          <w:szCs w:val="24"/>
        </w:rPr>
        <w:t>.</w:t>
      </w:r>
      <w:r w:rsidR="005A7ECF">
        <w:rPr>
          <w:rFonts w:ascii="Calibri" w:hAnsi="Calibri" w:cs="Calibri"/>
          <w:sz w:val="24"/>
          <w:szCs w:val="24"/>
        </w:rPr>
        <w:t xml:space="preserve"> </w:t>
      </w:r>
      <w:r w:rsidR="00187C5A">
        <w:rPr>
          <w:rFonts w:ascii="Calibri" w:hAnsi="Calibri" w:cs="Calibri"/>
          <w:sz w:val="24"/>
          <w:szCs w:val="24"/>
        </w:rPr>
        <w:t>They</w:t>
      </w:r>
      <w:r w:rsidR="005A7ECF" w:rsidRPr="00FB0EA3">
        <w:rPr>
          <w:rFonts w:ascii="Calibri" w:hAnsi="Calibri" w:cs="Calibri"/>
          <w:sz w:val="24"/>
          <w:szCs w:val="24"/>
        </w:rPr>
        <w:t xml:space="preserve"> are different in their</w:t>
      </w:r>
      <w:r w:rsidR="005A7ECF">
        <w:rPr>
          <w:rFonts w:ascii="Calibri" w:hAnsi="Calibri" w:cs="Calibri"/>
          <w:sz w:val="24"/>
          <w:szCs w:val="24"/>
        </w:rPr>
        <w:t xml:space="preserve"> focus,</w:t>
      </w:r>
      <w:r w:rsidR="005A7ECF" w:rsidRPr="00FB0EA3">
        <w:rPr>
          <w:rFonts w:ascii="Calibri" w:hAnsi="Calibri" w:cs="Calibri"/>
          <w:sz w:val="24"/>
          <w:szCs w:val="24"/>
        </w:rPr>
        <w:t xml:space="preserve"> </w:t>
      </w:r>
      <w:proofErr w:type="gramStart"/>
      <w:r w:rsidR="005A7ECF" w:rsidRPr="00FB0EA3">
        <w:rPr>
          <w:rFonts w:ascii="Calibri" w:hAnsi="Calibri" w:cs="Calibri"/>
          <w:sz w:val="24"/>
          <w:szCs w:val="24"/>
        </w:rPr>
        <w:t>nature</w:t>
      </w:r>
      <w:proofErr w:type="gramEnd"/>
      <w:r w:rsidR="005A7ECF" w:rsidRPr="00FB0EA3">
        <w:rPr>
          <w:rFonts w:ascii="Calibri" w:hAnsi="Calibri" w:cs="Calibri"/>
          <w:sz w:val="24"/>
          <w:szCs w:val="24"/>
        </w:rPr>
        <w:t xml:space="preserve"> and audience. Yet, a common thread between them is that they all deal with </w:t>
      </w:r>
      <w:r w:rsidR="005A7ECF">
        <w:rPr>
          <w:rFonts w:ascii="Calibri" w:hAnsi="Calibri" w:cs="Calibri"/>
          <w:sz w:val="24"/>
          <w:szCs w:val="24"/>
        </w:rPr>
        <w:t xml:space="preserve">the institutional response to the </w:t>
      </w:r>
      <w:proofErr w:type="spellStart"/>
      <w:r w:rsidR="005A7ECF">
        <w:rPr>
          <w:rFonts w:ascii="Calibri" w:hAnsi="Calibri" w:cs="Calibri"/>
          <w:sz w:val="24"/>
          <w:szCs w:val="24"/>
        </w:rPr>
        <w:t>polycrisis</w:t>
      </w:r>
      <w:proofErr w:type="spellEnd"/>
      <w:r w:rsidR="00A63532">
        <w:rPr>
          <w:rFonts w:ascii="Calibri" w:hAnsi="Calibri" w:cs="Calibri"/>
          <w:sz w:val="24"/>
          <w:szCs w:val="24"/>
        </w:rPr>
        <w:t xml:space="preserve"> and power balance within the EU system</w:t>
      </w:r>
      <w:r w:rsidR="005A7ECF" w:rsidRPr="00FB0EA3">
        <w:rPr>
          <w:rFonts w:ascii="Calibri" w:hAnsi="Calibri" w:cs="Calibri"/>
          <w:sz w:val="24"/>
          <w:szCs w:val="24"/>
        </w:rPr>
        <w:t>.</w:t>
      </w:r>
      <w:r w:rsidR="00116D52">
        <w:rPr>
          <w:rFonts w:ascii="Calibri" w:hAnsi="Calibri" w:cs="Calibri"/>
          <w:sz w:val="24"/>
          <w:szCs w:val="24"/>
        </w:rPr>
        <w:t xml:space="preserve"> </w:t>
      </w:r>
      <w:r w:rsidR="00DB37BC">
        <w:rPr>
          <w:rFonts w:ascii="Calibri" w:hAnsi="Calibri" w:cs="Calibri"/>
          <w:sz w:val="24"/>
          <w:szCs w:val="24"/>
        </w:rPr>
        <w:t xml:space="preserve">Although none of them is </w:t>
      </w:r>
      <w:r w:rsidR="00394D76">
        <w:rPr>
          <w:rFonts w:ascii="Calibri" w:hAnsi="Calibri" w:cs="Calibri"/>
          <w:sz w:val="24"/>
          <w:szCs w:val="24"/>
        </w:rPr>
        <w:t>specifically</w:t>
      </w:r>
      <w:r w:rsidR="00DB37BC">
        <w:rPr>
          <w:rFonts w:ascii="Calibri" w:hAnsi="Calibri" w:cs="Calibri"/>
          <w:sz w:val="24"/>
          <w:szCs w:val="24"/>
        </w:rPr>
        <w:t xml:space="preserve"> dedicated to agenda-setting per se, all of them offer useful material and reflections</w:t>
      </w:r>
      <w:r w:rsidR="00394D76">
        <w:rPr>
          <w:rFonts w:ascii="Calibri" w:hAnsi="Calibri" w:cs="Calibri"/>
          <w:sz w:val="24"/>
          <w:szCs w:val="24"/>
        </w:rPr>
        <w:t>.</w:t>
      </w:r>
    </w:p>
    <w:p w14:paraId="25AD4E9A" w14:textId="77777777" w:rsidR="00B962BB" w:rsidRPr="00512A86" w:rsidRDefault="00B962BB" w:rsidP="00512A86">
      <w:pPr>
        <w:jc w:val="both"/>
        <w:rPr>
          <w:rFonts w:ascii="Calibri" w:hAnsi="Calibri" w:cs="Calibri"/>
          <w:sz w:val="24"/>
          <w:szCs w:val="24"/>
        </w:rPr>
      </w:pPr>
    </w:p>
    <w:p w14:paraId="7386BD04" w14:textId="482D5EC1" w:rsidR="00DB70B4" w:rsidRPr="00221205" w:rsidRDefault="00690F1A" w:rsidP="00F212AE">
      <w:pPr>
        <w:jc w:val="both"/>
        <w:rPr>
          <w:rFonts w:ascii="Calibri" w:hAnsi="Calibri" w:cs="Calibri"/>
          <w:b/>
          <w:bCs/>
          <w:sz w:val="24"/>
          <w:szCs w:val="24"/>
        </w:rPr>
      </w:pPr>
      <w:r>
        <w:rPr>
          <w:rFonts w:ascii="Calibri" w:hAnsi="Calibri" w:cs="Calibri"/>
          <w:b/>
          <w:bCs/>
          <w:sz w:val="24"/>
          <w:szCs w:val="24"/>
        </w:rPr>
        <w:t>S</w:t>
      </w:r>
      <w:r w:rsidR="00480CD9">
        <w:rPr>
          <w:rFonts w:ascii="Calibri" w:hAnsi="Calibri" w:cs="Calibri"/>
          <w:b/>
          <w:bCs/>
          <w:sz w:val="24"/>
          <w:szCs w:val="24"/>
        </w:rPr>
        <w:t>et</w:t>
      </w:r>
      <w:r>
        <w:rPr>
          <w:rFonts w:ascii="Calibri" w:hAnsi="Calibri" w:cs="Calibri"/>
          <w:b/>
          <w:bCs/>
          <w:sz w:val="24"/>
          <w:szCs w:val="24"/>
        </w:rPr>
        <w:t>ting</w:t>
      </w:r>
      <w:r w:rsidR="00480CD9">
        <w:rPr>
          <w:rFonts w:ascii="Calibri" w:hAnsi="Calibri" w:cs="Calibri"/>
          <w:b/>
          <w:bCs/>
          <w:sz w:val="24"/>
          <w:szCs w:val="24"/>
        </w:rPr>
        <w:t xml:space="preserve"> the agenda </w:t>
      </w:r>
      <w:r w:rsidR="00E257C0">
        <w:rPr>
          <w:rFonts w:ascii="Calibri" w:hAnsi="Calibri" w:cs="Calibri"/>
          <w:b/>
          <w:bCs/>
          <w:sz w:val="24"/>
          <w:szCs w:val="24"/>
        </w:rPr>
        <w:t xml:space="preserve">in times </w:t>
      </w:r>
      <w:r w:rsidR="00A84CAA">
        <w:rPr>
          <w:rFonts w:ascii="Calibri" w:hAnsi="Calibri" w:cs="Calibri"/>
          <w:b/>
          <w:bCs/>
          <w:sz w:val="24"/>
          <w:szCs w:val="24"/>
        </w:rPr>
        <w:t>of</w:t>
      </w:r>
      <w:r w:rsidR="00480CD9">
        <w:rPr>
          <w:rFonts w:ascii="Calibri" w:hAnsi="Calibri" w:cs="Calibri"/>
          <w:b/>
          <w:bCs/>
          <w:sz w:val="24"/>
          <w:szCs w:val="24"/>
        </w:rPr>
        <w:t xml:space="preserve"> crises, from the Eurozone </w:t>
      </w:r>
      <w:r w:rsidR="00AD2650">
        <w:rPr>
          <w:rFonts w:ascii="Calibri" w:hAnsi="Calibri" w:cs="Calibri"/>
          <w:b/>
          <w:bCs/>
          <w:sz w:val="24"/>
          <w:szCs w:val="24"/>
        </w:rPr>
        <w:t xml:space="preserve">crisis </w:t>
      </w:r>
      <w:r w:rsidR="00480CD9">
        <w:rPr>
          <w:rFonts w:ascii="Calibri" w:hAnsi="Calibri" w:cs="Calibri"/>
          <w:b/>
          <w:bCs/>
          <w:sz w:val="24"/>
          <w:szCs w:val="24"/>
        </w:rPr>
        <w:t xml:space="preserve">to </w:t>
      </w:r>
      <w:r w:rsidR="00DB680D">
        <w:rPr>
          <w:rFonts w:ascii="Calibri" w:hAnsi="Calibri" w:cs="Calibri"/>
          <w:b/>
          <w:bCs/>
          <w:sz w:val="24"/>
          <w:szCs w:val="24"/>
        </w:rPr>
        <w:t>C</w:t>
      </w:r>
      <w:r w:rsidR="000115C1">
        <w:rPr>
          <w:rFonts w:ascii="Calibri" w:hAnsi="Calibri" w:cs="Calibri"/>
          <w:b/>
          <w:bCs/>
          <w:sz w:val="24"/>
          <w:szCs w:val="24"/>
        </w:rPr>
        <w:t>ovid</w:t>
      </w:r>
      <w:r w:rsidR="00DB680D">
        <w:rPr>
          <w:rFonts w:ascii="Calibri" w:hAnsi="Calibri" w:cs="Calibri"/>
          <w:b/>
          <w:bCs/>
          <w:sz w:val="24"/>
          <w:szCs w:val="24"/>
        </w:rPr>
        <w:t>-19</w:t>
      </w:r>
    </w:p>
    <w:p w14:paraId="06956876" w14:textId="55E20188" w:rsidR="00603AA7" w:rsidRDefault="004337CF" w:rsidP="00F212AE">
      <w:pPr>
        <w:jc w:val="both"/>
        <w:rPr>
          <w:rFonts w:ascii="Calibri" w:hAnsi="Calibri" w:cs="Calibri"/>
          <w:sz w:val="24"/>
          <w:szCs w:val="24"/>
        </w:rPr>
      </w:pPr>
      <w:r>
        <w:rPr>
          <w:rFonts w:ascii="Calibri" w:hAnsi="Calibri" w:cs="Calibri"/>
          <w:sz w:val="24"/>
          <w:szCs w:val="24"/>
        </w:rPr>
        <w:t xml:space="preserve">In </w:t>
      </w:r>
      <w:r w:rsidR="003D179B">
        <w:rPr>
          <w:rFonts w:ascii="Calibri" w:hAnsi="Calibri" w:cs="Calibri"/>
          <w:sz w:val="24"/>
          <w:szCs w:val="24"/>
        </w:rPr>
        <w:t xml:space="preserve">a </w:t>
      </w:r>
      <w:r>
        <w:rPr>
          <w:rFonts w:ascii="Calibri" w:hAnsi="Calibri" w:cs="Calibri"/>
          <w:sz w:val="24"/>
          <w:szCs w:val="24"/>
        </w:rPr>
        <w:t xml:space="preserve">significantly </w:t>
      </w:r>
      <w:r w:rsidR="0053490F">
        <w:rPr>
          <w:rFonts w:ascii="Calibri" w:hAnsi="Calibri" w:cs="Calibri"/>
          <w:sz w:val="24"/>
          <w:szCs w:val="24"/>
        </w:rPr>
        <w:t>revamped</w:t>
      </w:r>
      <w:r>
        <w:rPr>
          <w:rFonts w:ascii="Calibri" w:hAnsi="Calibri" w:cs="Calibri"/>
          <w:sz w:val="24"/>
          <w:szCs w:val="24"/>
        </w:rPr>
        <w:t xml:space="preserve"> </w:t>
      </w:r>
      <w:r w:rsidR="0053490F">
        <w:rPr>
          <w:rFonts w:ascii="Calibri" w:hAnsi="Calibri" w:cs="Calibri"/>
          <w:sz w:val="24"/>
          <w:szCs w:val="24"/>
        </w:rPr>
        <w:t xml:space="preserve">third </w:t>
      </w:r>
      <w:r>
        <w:rPr>
          <w:rFonts w:ascii="Calibri" w:hAnsi="Calibri" w:cs="Calibri"/>
          <w:sz w:val="24"/>
          <w:szCs w:val="24"/>
        </w:rPr>
        <w:t>edition of</w:t>
      </w:r>
      <w:r w:rsidR="0053490F">
        <w:rPr>
          <w:rFonts w:ascii="Calibri" w:hAnsi="Calibri" w:cs="Calibri"/>
          <w:sz w:val="24"/>
          <w:szCs w:val="24"/>
        </w:rPr>
        <w:t xml:space="preserve"> his monograph on the European </w:t>
      </w:r>
      <w:r w:rsidR="00FE1EA8">
        <w:rPr>
          <w:rFonts w:ascii="Calibri" w:hAnsi="Calibri" w:cs="Calibri"/>
          <w:sz w:val="24"/>
          <w:szCs w:val="24"/>
        </w:rPr>
        <w:t xml:space="preserve">Council </w:t>
      </w:r>
      <w:r w:rsidR="0053490F">
        <w:rPr>
          <w:rFonts w:ascii="Calibri" w:hAnsi="Calibri" w:cs="Calibri"/>
          <w:sz w:val="24"/>
          <w:szCs w:val="24"/>
        </w:rPr>
        <w:t xml:space="preserve">– first published in 1992 </w:t>
      </w:r>
      <w:r w:rsidR="00B23220">
        <w:rPr>
          <w:rFonts w:ascii="Calibri" w:hAnsi="Calibri" w:cs="Calibri"/>
          <w:sz w:val="24"/>
          <w:szCs w:val="24"/>
        </w:rPr>
        <w:t>–</w:t>
      </w:r>
      <w:r>
        <w:rPr>
          <w:rFonts w:ascii="Calibri" w:hAnsi="Calibri" w:cs="Calibri"/>
          <w:sz w:val="24"/>
          <w:szCs w:val="24"/>
        </w:rPr>
        <w:t xml:space="preserve"> </w:t>
      </w:r>
      <w:r w:rsidR="00221205">
        <w:rPr>
          <w:rFonts w:ascii="Calibri" w:hAnsi="Calibri" w:cs="Calibri"/>
          <w:sz w:val="24"/>
          <w:szCs w:val="24"/>
        </w:rPr>
        <w:t xml:space="preserve">Jan </w:t>
      </w:r>
      <w:r w:rsidR="00F212AE">
        <w:rPr>
          <w:rFonts w:ascii="Calibri" w:hAnsi="Calibri" w:cs="Calibri"/>
          <w:sz w:val="24"/>
          <w:szCs w:val="24"/>
        </w:rPr>
        <w:t xml:space="preserve">Werts </w:t>
      </w:r>
      <w:r w:rsidR="00D930C1">
        <w:rPr>
          <w:rFonts w:ascii="Calibri" w:hAnsi="Calibri" w:cs="Calibri"/>
          <w:sz w:val="24"/>
          <w:szCs w:val="24"/>
        </w:rPr>
        <w:t xml:space="preserve">(2022) </w:t>
      </w:r>
      <w:r w:rsidR="00F212AE">
        <w:rPr>
          <w:rFonts w:ascii="Calibri" w:hAnsi="Calibri" w:cs="Calibri"/>
          <w:sz w:val="24"/>
          <w:szCs w:val="24"/>
        </w:rPr>
        <w:t>offers a</w:t>
      </w:r>
      <w:r w:rsidR="00FE1EA8">
        <w:rPr>
          <w:rFonts w:ascii="Calibri" w:hAnsi="Calibri" w:cs="Calibri"/>
          <w:sz w:val="24"/>
          <w:szCs w:val="24"/>
        </w:rPr>
        <w:t xml:space="preserve"> comprehensive</w:t>
      </w:r>
      <w:r w:rsidR="00F212AE">
        <w:rPr>
          <w:rFonts w:ascii="Calibri" w:hAnsi="Calibri" w:cs="Calibri"/>
          <w:sz w:val="24"/>
          <w:szCs w:val="24"/>
        </w:rPr>
        <w:t xml:space="preserve"> </w:t>
      </w:r>
      <w:r w:rsidR="00FE1EA8">
        <w:rPr>
          <w:rFonts w:ascii="Calibri" w:hAnsi="Calibri" w:cs="Calibri"/>
          <w:sz w:val="24"/>
          <w:szCs w:val="24"/>
        </w:rPr>
        <w:t>tour</w:t>
      </w:r>
      <w:r w:rsidR="00F212AE">
        <w:rPr>
          <w:rFonts w:ascii="Calibri" w:hAnsi="Calibri" w:cs="Calibri"/>
          <w:sz w:val="24"/>
          <w:szCs w:val="24"/>
        </w:rPr>
        <w:t xml:space="preserve"> of role of the EUCO in times of crises, including its internal functioning, interinstitutional relations</w:t>
      </w:r>
      <w:r w:rsidR="00B23220">
        <w:rPr>
          <w:rFonts w:ascii="Calibri" w:hAnsi="Calibri" w:cs="Calibri"/>
          <w:sz w:val="24"/>
          <w:szCs w:val="24"/>
        </w:rPr>
        <w:t>, place in the E</w:t>
      </w:r>
      <w:r w:rsidR="00F21418">
        <w:rPr>
          <w:rFonts w:ascii="Calibri" w:hAnsi="Calibri" w:cs="Calibri"/>
          <w:sz w:val="24"/>
          <w:szCs w:val="24"/>
        </w:rPr>
        <w:t>U system of governance</w:t>
      </w:r>
      <w:r w:rsidR="0069620D">
        <w:rPr>
          <w:rFonts w:ascii="Calibri" w:hAnsi="Calibri" w:cs="Calibri"/>
          <w:sz w:val="24"/>
          <w:szCs w:val="24"/>
        </w:rPr>
        <w:t>,</w:t>
      </w:r>
      <w:r w:rsidR="00F21418">
        <w:rPr>
          <w:rFonts w:ascii="Calibri" w:hAnsi="Calibri" w:cs="Calibri"/>
          <w:sz w:val="24"/>
          <w:szCs w:val="24"/>
        </w:rPr>
        <w:t xml:space="preserve"> </w:t>
      </w:r>
      <w:r w:rsidR="000B2F75">
        <w:rPr>
          <w:rFonts w:ascii="Calibri" w:hAnsi="Calibri" w:cs="Calibri"/>
          <w:sz w:val="24"/>
          <w:szCs w:val="24"/>
        </w:rPr>
        <w:t>as well as</w:t>
      </w:r>
      <w:r w:rsidR="00F212AE">
        <w:rPr>
          <w:rFonts w:ascii="Calibri" w:hAnsi="Calibri" w:cs="Calibri"/>
          <w:sz w:val="24"/>
          <w:szCs w:val="24"/>
        </w:rPr>
        <w:t xml:space="preserve"> </w:t>
      </w:r>
      <w:r w:rsidR="00F21418">
        <w:rPr>
          <w:rFonts w:ascii="Calibri" w:hAnsi="Calibri" w:cs="Calibri"/>
          <w:sz w:val="24"/>
          <w:szCs w:val="24"/>
        </w:rPr>
        <w:t xml:space="preserve">detailed </w:t>
      </w:r>
      <w:r w:rsidR="00F212AE">
        <w:rPr>
          <w:rFonts w:ascii="Calibri" w:hAnsi="Calibri" w:cs="Calibri"/>
          <w:sz w:val="24"/>
          <w:szCs w:val="24"/>
        </w:rPr>
        <w:t>cases</w:t>
      </w:r>
      <w:r w:rsidR="005F76E0">
        <w:rPr>
          <w:rFonts w:ascii="Calibri" w:hAnsi="Calibri" w:cs="Calibri"/>
          <w:sz w:val="24"/>
          <w:szCs w:val="24"/>
        </w:rPr>
        <w:t xml:space="preserve"> </w:t>
      </w:r>
      <w:r w:rsidR="00B23220">
        <w:rPr>
          <w:rFonts w:ascii="Calibri" w:hAnsi="Calibri" w:cs="Calibri"/>
          <w:sz w:val="24"/>
          <w:szCs w:val="24"/>
        </w:rPr>
        <w:t>studies</w:t>
      </w:r>
      <w:r w:rsidR="00F21418">
        <w:rPr>
          <w:rFonts w:ascii="Calibri" w:hAnsi="Calibri" w:cs="Calibri"/>
          <w:sz w:val="24"/>
          <w:szCs w:val="24"/>
        </w:rPr>
        <w:t xml:space="preserve">. </w:t>
      </w:r>
      <w:r w:rsidR="00EF2B1B">
        <w:rPr>
          <w:rFonts w:ascii="Calibri" w:hAnsi="Calibri" w:cs="Calibri"/>
          <w:sz w:val="24"/>
          <w:szCs w:val="24"/>
        </w:rPr>
        <w:t>A veteran EU affairs journalist</w:t>
      </w:r>
      <w:r w:rsidR="00F212AE">
        <w:rPr>
          <w:rFonts w:ascii="Calibri" w:hAnsi="Calibri" w:cs="Calibri"/>
          <w:sz w:val="24"/>
          <w:szCs w:val="24"/>
        </w:rPr>
        <w:t xml:space="preserve"> </w:t>
      </w:r>
      <w:r w:rsidR="004E16A3">
        <w:rPr>
          <w:rFonts w:ascii="Calibri" w:hAnsi="Calibri" w:cs="Calibri"/>
          <w:sz w:val="24"/>
          <w:szCs w:val="24"/>
        </w:rPr>
        <w:t>who has followed European summit</w:t>
      </w:r>
      <w:r w:rsidR="00B72A59">
        <w:rPr>
          <w:rFonts w:ascii="Calibri" w:hAnsi="Calibri" w:cs="Calibri"/>
          <w:sz w:val="24"/>
          <w:szCs w:val="24"/>
        </w:rPr>
        <w:t>s</w:t>
      </w:r>
      <w:r w:rsidR="004E16A3">
        <w:rPr>
          <w:rFonts w:ascii="Calibri" w:hAnsi="Calibri" w:cs="Calibri"/>
          <w:sz w:val="24"/>
          <w:szCs w:val="24"/>
        </w:rPr>
        <w:t xml:space="preserve"> from their very beginning</w:t>
      </w:r>
      <w:r w:rsidR="006A5E0C">
        <w:rPr>
          <w:rFonts w:ascii="Calibri" w:hAnsi="Calibri" w:cs="Calibri"/>
          <w:sz w:val="24"/>
          <w:szCs w:val="24"/>
        </w:rPr>
        <w:t xml:space="preserve">, he draws on </w:t>
      </w:r>
      <w:r w:rsidR="00F212AE">
        <w:rPr>
          <w:rFonts w:ascii="Calibri" w:hAnsi="Calibri" w:cs="Calibri"/>
          <w:sz w:val="24"/>
          <w:szCs w:val="24"/>
        </w:rPr>
        <w:t>his extensive experience</w:t>
      </w:r>
      <w:r w:rsidR="000B2F75">
        <w:rPr>
          <w:rFonts w:ascii="Calibri" w:hAnsi="Calibri" w:cs="Calibri"/>
          <w:sz w:val="24"/>
          <w:szCs w:val="24"/>
        </w:rPr>
        <w:t>, policy documents</w:t>
      </w:r>
      <w:r w:rsidR="00F212AE">
        <w:rPr>
          <w:rFonts w:ascii="Calibri" w:hAnsi="Calibri" w:cs="Calibri"/>
          <w:sz w:val="24"/>
          <w:szCs w:val="24"/>
        </w:rPr>
        <w:t xml:space="preserve"> </w:t>
      </w:r>
      <w:r w:rsidR="00C94C09">
        <w:rPr>
          <w:rFonts w:ascii="Calibri" w:hAnsi="Calibri" w:cs="Calibri"/>
          <w:sz w:val="24"/>
          <w:szCs w:val="24"/>
        </w:rPr>
        <w:t xml:space="preserve">as well </w:t>
      </w:r>
      <w:r w:rsidR="00F212AE">
        <w:rPr>
          <w:rFonts w:ascii="Calibri" w:hAnsi="Calibri" w:cs="Calibri"/>
          <w:sz w:val="24"/>
          <w:szCs w:val="24"/>
        </w:rPr>
        <w:t>a</w:t>
      </w:r>
      <w:r w:rsidR="00C94C09">
        <w:rPr>
          <w:rFonts w:ascii="Calibri" w:hAnsi="Calibri" w:cs="Calibri"/>
          <w:sz w:val="24"/>
          <w:szCs w:val="24"/>
        </w:rPr>
        <w:t xml:space="preserve">s </w:t>
      </w:r>
      <w:r w:rsidR="00F212AE">
        <w:rPr>
          <w:rFonts w:ascii="Calibri" w:hAnsi="Calibri" w:cs="Calibri"/>
          <w:sz w:val="24"/>
          <w:szCs w:val="24"/>
        </w:rPr>
        <w:t xml:space="preserve">insights from </w:t>
      </w:r>
      <w:r w:rsidR="006A5E0C">
        <w:rPr>
          <w:rFonts w:ascii="Calibri" w:hAnsi="Calibri" w:cs="Calibri"/>
          <w:sz w:val="24"/>
          <w:szCs w:val="24"/>
        </w:rPr>
        <w:t>interviewees</w:t>
      </w:r>
      <w:r w:rsidR="00B20B43">
        <w:rPr>
          <w:rFonts w:ascii="Calibri" w:hAnsi="Calibri" w:cs="Calibri"/>
          <w:sz w:val="24"/>
          <w:szCs w:val="24"/>
        </w:rPr>
        <w:t xml:space="preserve"> to provide a rich empirical account </w:t>
      </w:r>
      <w:r w:rsidR="005E4880">
        <w:rPr>
          <w:rFonts w:ascii="Calibri" w:hAnsi="Calibri" w:cs="Calibri"/>
          <w:sz w:val="24"/>
          <w:szCs w:val="24"/>
        </w:rPr>
        <w:t>abundantly illustrated</w:t>
      </w:r>
      <w:r w:rsidR="007623FE">
        <w:rPr>
          <w:rFonts w:ascii="Calibri" w:hAnsi="Calibri" w:cs="Calibri"/>
          <w:sz w:val="24"/>
          <w:szCs w:val="24"/>
        </w:rPr>
        <w:t xml:space="preserve"> </w:t>
      </w:r>
      <w:r w:rsidR="008F2A49">
        <w:rPr>
          <w:rFonts w:ascii="Calibri" w:hAnsi="Calibri" w:cs="Calibri"/>
          <w:sz w:val="24"/>
          <w:szCs w:val="24"/>
        </w:rPr>
        <w:t xml:space="preserve">by cases and anecdotal evidence </w:t>
      </w:r>
      <w:r w:rsidR="007623FE">
        <w:rPr>
          <w:rFonts w:ascii="Calibri" w:hAnsi="Calibri" w:cs="Calibri"/>
          <w:sz w:val="24"/>
          <w:szCs w:val="24"/>
        </w:rPr>
        <w:t xml:space="preserve">and written </w:t>
      </w:r>
      <w:r w:rsidR="0069620D">
        <w:rPr>
          <w:rFonts w:ascii="Calibri" w:hAnsi="Calibri" w:cs="Calibri"/>
          <w:sz w:val="24"/>
          <w:szCs w:val="24"/>
        </w:rPr>
        <w:t xml:space="preserve">in </w:t>
      </w:r>
      <w:r w:rsidR="007623FE">
        <w:rPr>
          <w:rFonts w:ascii="Calibri" w:hAnsi="Calibri" w:cs="Calibri"/>
          <w:sz w:val="24"/>
          <w:szCs w:val="24"/>
        </w:rPr>
        <w:t>a lively style</w:t>
      </w:r>
      <w:r w:rsidR="00F212AE">
        <w:rPr>
          <w:rFonts w:ascii="Calibri" w:hAnsi="Calibri" w:cs="Calibri"/>
          <w:sz w:val="24"/>
          <w:szCs w:val="24"/>
        </w:rPr>
        <w:t>.</w:t>
      </w:r>
      <w:r w:rsidR="00603AA7">
        <w:rPr>
          <w:rFonts w:ascii="Calibri" w:hAnsi="Calibri" w:cs="Calibri"/>
          <w:sz w:val="24"/>
          <w:szCs w:val="24"/>
        </w:rPr>
        <w:t xml:space="preserve"> Although </w:t>
      </w:r>
      <w:r w:rsidR="00572639">
        <w:rPr>
          <w:rFonts w:ascii="Calibri" w:hAnsi="Calibri" w:cs="Calibri"/>
          <w:sz w:val="24"/>
          <w:szCs w:val="24"/>
        </w:rPr>
        <w:t>drawing on previous edition</w:t>
      </w:r>
      <w:r w:rsidR="00CD0F64">
        <w:rPr>
          <w:rFonts w:ascii="Calibri" w:hAnsi="Calibri" w:cs="Calibri"/>
          <w:sz w:val="24"/>
          <w:szCs w:val="24"/>
        </w:rPr>
        <w:t>s</w:t>
      </w:r>
      <w:r w:rsidR="00572639">
        <w:rPr>
          <w:rFonts w:ascii="Calibri" w:hAnsi="Calibri" w:cs="Calibri"/>
          <w:sz w:val="24"/>
          <w:szCs w:val="24"/>
        </w:rPr>
        <w:t xml:space="preserve">, this volume </w:t>
      </w:r>
      <w:r w:rsidR="00E71B00">
        <w:rPr>
          <w:rFonts w:ascii="Calibri" w:hAnsi="Calibri" w:cs="Calibri"/>
          <w:sz w:val="24"/>
          <w:szCs w:val="24"/>
        </w:rPr>
        <w:t>is</w:t>
      </w:r>
      <w:r w:rsidR="00CD0F64">
        <w:rPr>
          <w:rFonts w:ascii="Calibri" w:hAnsi="Calibri" w:cs="Calibri"/>
          <w:sz w:val="24"/>
          <w:szCs w:val="24"/>
        </w:rPr>
        <w:t xml:space="preserve"> original,</w:t>
      </w:r>
      <w:r w:rsidR="00E71B00">
        <w:rPr>
          <w:rFonts w:ascii="Calibri" w:hAnsi="Calibri" w:cs="Calibri"/>
          <w:sz w:val="24"/>
          <w:szCs w:val="24"/>
        </w:rPr>
        <w:t xml:space="preserve"> </w:t>
      </w:r>
      <w:r w:rsidR="000743A9">
        <w:rPr>
          <w:rFonts w:ascii="Calibri" w:hAnsi="Calibri" w:cs="Calibri"/>
          <w:sz w:val="24"/>
          <w:szCs w:val="24"/>
        </w:rPr>
        <w:t xml:space="preserve">focusing </w:t>
      </w:r>
      <w:r w:rsidR="004A4BAF">
        <w:rPr>
          <w:rFonts w:ascii="Calibri" w:hAnsi="Calibri" w:cs="Calibri"/>
          <w:sz w:val="24"/>
          <w:szCs w:val="24"/>
        </w:rPr>
        <w:t xml:space="preserve">more specifically on </w:t>
      </w:r>
      <w:r w:rsidR="0033238D">
        <w:rPr>
          <w:rFonts w:ascii="Calibri" w:hAnsi="Calibri" w:cs="Calibri"/>
          <w:sz w:val="24"/>
          <w:szCs w:val="24"/>
        </w:rPr>
        <w:t xml:space="preserve">the post-Lisbon context and </w:t>
      </w:r>
      <w:r w:rsidR="004A4BAF">
        <w:rPr>
          <w:rFonts w:ascii="Calibri" w:hAnsi="Calibri" w:cs="Calibri"/>
          <w:sz w:val="24"/>
          <w:szCs w:val="24"/>
        </w:rPr>
        <w:t>crisis management</w:t>
      </w:r>
      <w:r w:rsidR="0033238D">
        <w:rPr>
          <w:rFonts w:ascii="Calibri" w:hAnsi="Calibri" w:cs="Calibri"/>
          <w:sz w:val="24"/>
          <w:szCs w:val="24"/>
        </w:rPr>
        <w:t>, from the Eurozone crisis to Brexit, Migration and COVID-19</w:t>
      </w:r>
      <w:r w:rsidR="004A4BAF">
        <w:rPr>
          <w:rFonts w:ascii="Calibri" w:hAnsi="Calibri" w:cs="Calibri"/>
          <w:sz w:val="24"/>
          <w:szCs w:val="24"/>
        </w:rPr>
        <w:t>.</w:t>
      </w:r>
    </w:p>
    <w:p w14:paraId="3A18399E" w14:textId="4BC127F6" w:rsidR="000D1F70" w:rsidRPr="00B056CF" w:rsidRDefault="00367492" w:rsidP="000D1F70">
      <w:pPr>
        <w:jc w:val="both"/>
        <w:rPr>
          <w:rFonts w:ascii="Calibri" w:hAnsi="Calibri" w:cs="Calibri"/>
          <w:sz w:val="24"/>
          <w:szCs w:val="24"/>
        </w:rPr>
      </w:pPr>
      <w:r>
        <w:rPr>
          <w:rFonts w:ascii="Calibri" w:hAnsi="Calibri" w:cs="Calibri"/>
          <w:sz w:val="24"/>
          <w:szCs w:val="24"/>
        </w:rPr>
        <w:t>T</w:t>
      </w:r>
      <w:r w:rsidRPr="00F654E7">
        <w:rPr>
          <w:rFonts w:ascii="Calibri" w:hAnsi="Calibri" w:cs="Calibri"/>
          <w:sz w:val="24"/>
          <w:szCs w:val="24"/>
        </w:rPr>
        <w:t>h</w:t>
      </w:r>
      <w:r w:rsidR="009918D6">
        <w:rPr>
          <w:rFonts w:ascii="Calibri" w:hAnsi="Calibri" w:cs="Calibri"/>
          <w:sz w:val="24"/>
          <w:szCs w:val="24"/>
        </w:rPr>
        <w:t xml:space="preserve">e </w:t>
      </w:r>
      <w:r w:rsidR="00F94500">
        <w:rPr>
          <w:rFonts w:ascii="Calibri" w:hAnsi="Calibri" w:cs="Calibri"/>
          <w:sz w:val="24"/>
          <w:szCs w:val="24"/>
        </w:rPr>
        <w:t>EUCO’s response to the pandemic</w:t>
      </w:r>
      <w:r w:rsidRPr="00F654E7">
        <w:rPr>
          <w:rFonts w:ascii="Calibri" w:hAnsi="Calibri" w:cs="Calibri"/>
          <w:sz w:val="24"/>
          <w:szCs w:val="24"/>
        </w:rPr>
        <w:t xml:space="preserve"> is </w:t>
      </w:r>
      <w:r w:rsidR="00F94500">
        <w:rPr>
          <w:rFonts w:ascii="Calibri" w:hAnsi="Calibri" w:cs="Calibri"/>
          <w:sz w:val="24"/>
          <w:szCs w:val="24"/>
        </w:rPr>
        <w:t xml:space="preserve">the </w:t>
      </w:r>
      <w:r w:rsidR="007713C5">
        <w:rPr>
          <w:rFonts w:ascii="Calibri" w:hAnsi="Calibri" w:cs="Calibri"/>
          <w:sz w:val="24"/>
          <w:szCs w:val="24"/>
        </w:rPr>
        <w:t>sole focus of the short monograph</w:t>
      </w:r>
      <w:r>
        <w:rPr>
          <w:rFonts w:ascii="Calibri" w:hAnsi="Calibri" w:cs="Calibri"/>
          <w:sz w:val="24"/>
          <w:szCs w:val="24"/>
        </w:rPr>
        <w:t xml:space="preserve"> </w:t>
      </w:r>
      <w:r w:rsidR="00FD6901">
        <w:rPr>
          <w:rFonts w:ascii="Calibri" w:hAnsi="Calibri" w:cs="Calibri"/>
          <w:sz w:val="24"/>
          <w:szCs w:val="24"/>
        </w:rPr>
        <w:t>by</w:t>
      </w:r>
      <w:r w:rsidR="007713C5">
        <w:rPr>
          <w:rFonts w:ascii="Calibri" w:hAnsi="Calibri" w:cs="Calibri"/>
          <w:sz w:val="24"/>
          <w:szCs w:val="24"/>
        </w:rPr>
        <w:t xml:space="preserve"> Wessels, Schramm </w:t>
      </w:r>
      <w:r w:rsidR="00945D86">
        <w:rPr>
          <w:rFonts w:ascii="Calibri" w:hAnsi="Calibri" w:cs="Calibri"/>
          <w:sz w:val="24"/>
          <w:szCs w:val="24"/>
        </w:rPr>
        <w:t xml:space="preserve">and </w:t>
      </w:r>
      <w:proofErr w:type="spellStart"/>
      <w:r w:rsidR="00945D86">
        <w:rPr>
          <w:rFonts w:ascii="Calibri" w:hAnsi="Calibri" w:cs="Calibri"/>
          <w:sz w:val="24"/>
          <w:szCs w:val="24"/>
        </w:rPr>
        <w:t>Kunstein</w:t>
      </w:r>
      <w:proofErr w:type="spellEnd"/>
      <w:r w:rsidR="00945D86">
        <w:rPr>
          <w:rFonts w:ascii="Calibri" w:hAnsi="Calibri" w:cs="Calibri"/>
          <w:sz w:val="24"/>
          <w:szCs w:val="24"/>
        </w:rPr>
        <w:t xml:space="preserve"> (2022)</w:t>
      </w:r>
      <w:r w:rsidR="00845401">
        <w:rPr>
          <w:rFonts w:ascii="Calibri" w:hAnsi="Calibri" w:cs="Calibri"/>
          <w:sz w:val="24"/>
          <w:szCs w:val="24"/>
        </w:rPr>
        <w:t xml:space="preserve">, which looks </w:t>
      </w:r>
      <w:r w:rsidR="00A74CDE">
        <w:rPr>
          <w:rFonts w:ascii="Calibri" w:hAnsi="Calibri" w:cs="Calibri"/>
          <w:sz w:val="24"/>
          <w:szCs w:val="24"/>
        </w:rPr>
        <w:t>at</w:t>
      </w:r>
      <w:r w:rsidR="00845401">
        <w:rPr>
          <w:rFonts w:ascii="Calibri" w:hAnsi="Calibri" w:cs="Calibri"/>
          <w:sz w:val="24"/>
          <w:szCs w:val="24"/>
        </w:rPr>
        <w:t xml:space="preserve"> the economic recovery dimen</w:t>
      </w:r>
      <w:r w:rsidR="00E55968">
        <w:rPr>
          <w:rFonts w:ascii="Calibri" w:hAnsi="Calibri" w:cs="Calibri"/>
          <w:sz w:val="24"/>
          <w:szCs w:val="24"/>
        </w:rPr>
        <w:t xml:space="preserve">sion including the negotiations, </w:t>
      </w:r>
      <w:proofErr w:type="gramStart"/>
      <w:r w:rsidR="00E55968">
        <w:rPr>
          <w:rFonts w:ascii="Calibri" w:hAnsi="Calibri" w:cs="Calibri"/>
          <w:sz w:val="24"/>
          <w:szCs w:val="24"/>
        </w:rPr>
        <w:t>adoption</w:t>
      </w:r>
      <w:proofErr w:type="gramEnd"/>
      <w:r w:rsidR="00E55968">
        <w:rPr>
          <w:rFonts w:ascii="Calibri" w:hAnsi="Calibri" w:cs="Calibri"/>
          <w:sz w:val="24"/>
          <w:szCs w:val="24"/>
        </w:rPr>
        <w:t xml:space="preserve"> and </w:t>
      </w:r>
      <w:r w:rsidR="001A2FC3">
        <w:rPr>
          <w:rFonts w:ascii="Calibri" w:hAnsi="Calibri" w:cs="Calibri"/>
          <w:sz w:val="24"/>
          <w:szCs w:val="24"/>
        </w:rPr>
        <w:t>governance o</w:t>
      </w:r>
      <w:r w:rsidR="001A2FC3" w:rsidRPr="004C212B">
        <w:rPr>
          <w:rFonts w:ascii="Calibri" w:hAnsi="Calibri" w:cs="Calibri"/>
          <w:sz w:val="24"/>
          <w:szCs w:val="24"/>
        </w:rPr>
        <w:t xml:space="preserve">f the </w:t>
      </w:r>
      <w:r w:rsidRPr="004C212B">
        <w:rPr>
          <w:rFonts w:ascii="Calibri" w:hAnsi="Calibri" w:cs="Calibri"/>
          <w:sz w:val="24"/>
          <w:szCs w:val="24"/>
        </w:rPr>
        <w:t>M</w:t>
      </w:r>
      <w:r w:rsidR="00661B66" w:rsidRPr="004C212B">
        <w:rPr>
          <w:rFonts w:ascii="Calibri" w:hAnsi="Calibri" w:cs="Calibri"/>
          <w:sz w:val="24"/>
          <w:szCs w:val="24"/>
        </w:rPr>
        <w:t xml:space="preserve">ultiannual </w:t>
      </w:r>
      <w:r w:rsidRPr="004C212B">
        <w:rPr>
          <w:rFonts w:ascii="Calibri" w:hAnsi="Calibri" w:cs="Calibri"/>
          <w:sz w:val="24"/>
          <w:szCs w:val="24"/>
        </w:rPr>
        <w:t>F</w:t>
      </w:r>
      <w:r w:rsidR="00661B66" w:rsidRPr="004C212B">
        <w:rPr>
          <w:rFonts w:ascii="Calibri" w:hAnsi="Calibri" w:cs="Calibri"/>
          <w:sz w:val="24"/>
          <w:szCs w:val="24"/>
        </w:rPr>
        <w:t xml:space="preserve">inancial </w:t>
      </w:r>
      <w:r w:rsidRPr="004C212B">
        <w:rPr>
          <w:rFonts w:ascii="Calibri" w:hAnsi="Calibri" w:cs="Calibri"/>
          <w:sz w:val="24"/>
          <w:szCs w:val="24"/>
        </w:rPr>
        <w:t>F</w:t>
      </w:r>
      <w:r w:rsidR="00661B66" w:rsidRPr="004C212B">
        <w:rPr>
          <w:rFonts w:ascii="Calibri" w:hAnsi="Calibri" w:cs="Calibri"/>
          <w:sz w:val="24"/>
          <w:szCs w:val="24"/>
        </w:rPr>
        <w:t>ramework</w:t>
      </w:r>
      <w:r w:rsidR="00147C30">
        <w:rPr>
          <w:rFonts w:ascii="Calibri" w:hAnsi="Calibri" w:cs="Calibri"/>
          <w:sz w:val="24"/>
          <w:szCs w:val="24"/>
        </w:rPr>
        <w:t xml:space="preserve"> (MFF)</w:t>
      </w:r>
      <w:r w:rsidRPr="004C212B">
        <w:rPr>
          <w:rFonts w:ascii="Calibri" w:hAnsi="Calibri" w:cs="Calibri"/>
          <w:sz w:val="24"/>
          <w:szCs w:val="24"/>
        </w:rPr>
        <w:t xml:space="preserve">, </w:t>
      </w:r>
      <w:r w:rsidR="00661B66" w:rsidRPr="004C212B">
        <w:rPr>
          <w:rFonts w:ascii="Calibri" w:hAnsi="Calibri" w:cs="Calibri"/>
          <w:sz w:val="24"/>
          <w:szCs w:val="24"/>
        </w:rPr>
        <w:t>Next Generation EU (NGEU)</w:t>
      </w:r>
      <w:r w:rsidRPr="004C212B">
        <w:rPr>
          <w:rFonts w:ascii="Calibri" w:hAnsi="Calibri" w:cs="Calibri"/>
          <w:sz w:val="24"/>
          <w:szCs w:val="24"/>
        </w:rPr>
        <w:t xml:space="preserve"> and R</w:t>
      </w:r>
      <w:r w:rsidR="00E178BB" w:rsidRPr="004C212B">
        <w:rPr>
          <w:rFonts w:ascii="Calibri" w:hAnsi="Calibri" w:cs="Calibri"/>
          <w:sz w:val="24"/>
          <w:szCs w:val="24"/>
        </w:rPr>
        <w:t>ecovery and Resilience Facility (</w:t>
      </w:r>
      <w:r w:rsidR="00F940F6" w:rsidRPr="004C212B">
        <w:rPr>
          <w:rFonts w:ascii="Calibri" w:hAnsi="Calibri" w:cs="Calibri"/>
          <w:sz w:val="24"/>
          <w:szCs w:val="24"/>
        </w:rPr>
        <w:t>RR</w:t>
      </w:r>
      <w:r w:rsidRPr="004C212B">
        <w:rPr>
          <w:rFonts w:ascii="Calibri" w:hAnsi="Calibri" w:cs="Calibri"/>
          <w:sz w:val="24"/>
          <w:szCs w:val="24"/>
        </w:rPr>
        <w:t>F</w:t>
      </w:r>
      <w:r w:rsidR="00F940F6" w:rsidRPr="004C212B">
        <w:rPr>
          <w:rFonts w:ascii="Calibri" w:hAnsi="Calibri" w:cs="Calibri"/>
          <w:sz w:val="24"/>
          <w:szCs w:val="24"/>
        </w:rPr>
        <w:t>) within it.</w:t>
      </w:r>
      <w:r w:rsidR="00F02A10" w:rsidRPr="004C212B">
        <w:rPr>
          <w:rFonts w:ascii="Calibri" w:hAnsi="Calibri" w:cs="Calibri"/>
          <w:sz w:val="24"/>
          <w:szCs w:val="24"/>
        </w:rPr>
        <w:t xml:space="preserve"> </w:t>
      </w:r>
      <w:r w:rsidR="00567D20">
        <w:rPr>
          <w:rFonts w:ascii="Calibri" w:hAnsi="Calibri" w:cs="Calibri"/>
          <w:sz w:val="24"/>
          <w:szCs w:val="24"/>
        </w:rPr>
        <w:t>A</w:t>
      </w:r>
      <w:r w:rsidR="00F02A10" w:rsidRPr="004C212B">
        <w:rPr>
          <w:rFonts w:ascii="Calibri" w:hAnsi="Calibri" w:cs="Calibri"/>
          <w:sz w:val="24"/>
          <w:szCs w:val="24"/>
        </w:rPr>
        <w:t xml:space="preserve"> desk-based study using process tracing and documentary analysis</w:t>
      </w:r>
      <w:r w:rsidRPr="004C212B">
        <w:rPr>
          <w:rFonts w:ascii="Calibri" w:hAnsi="Calibri" w:cs="Calibri"/>
          <w:sz w:val="24"/>
          <w:szCs w:val="24"/>
        </w:rPr>
        <w:t xml:space="preserve">, </w:t>
      </w:r>
      <w:r w:rsidR="00567D20">
        <w:rPr>
          <w:rFonts w:ascii="Calibri" w:hAnsi="Calibri" w:cs="Calibri"/>
          <w:sz w:val="24"/>
          <w:szCs w:val="24"/>
        </w:rPr>
        <w:t xml:space="preserve">it </w:t>
      </w:r>
      <w:r w:rsidR="007A0853">
        <w:rPr>
          <w:rFonts w:ascii="Calibri" w:hAnsi="Calibri" w:cs="Calibri"/>
          <w:sz w:val="24"/>
          <w:szCs w:val="24"/>
        </w:rPr>
        <w:t xml:space="preserve">offers empirical </w:t>
      </w:r>
      <w:r w:rsidR="009D6574">
        <w:rPr>
          <w:rFonts w:ascii="Calibri" w:hAnsi="Calibri" w:cs="Calibri"/>
          <w:sz w:val="24"/>
          <w:szCs w:val="24"/>
        </w:rPr>
        <w:t xml:space="preserve">insights as </w:t>
      </w:r>
      <w:r w:rsidR="00567D20">
        <w:rPr>
          <w:rFonts w:ascii="Calibri" w:hAnsi="Calibri" w:cs="Calibri"/>
          <w:sz w:val="24"/>
          <w:szCs w:val="24"/>
        </w:rPr>
        <w:t>w</w:t>
      </w:r>
      <w:r w:rsidR="009D6574">
        <w:rPr>
          <w:rFonts w:ascii="Calibri" w:hAnsi="Calibri" w:cs="Calibri"/>
          <w:sz w:val="24"/>
          <w:szCs w:val="24"/>
        </w:rPr>
        <w:t xml:space="preserve">ell as more general reflections on the </w:t>
      </w:r>
      <w:r w:rsidR="00F52502">
        <w:rPr>
          <w:rFonts w:ascii="Calibri" w:hAnsi="Calibri" w:cs="Calibri"/>
          <w:sz w:val="24"/>
          <w:szCs w:val="24"/>
        </w:rPr>
        <w:t>EUCO’s place in the EU institutional system</w:t>
      </w:r>
      <w:r w:rsidR="00EE04F4">
        <w:rPr>
          <w:rFonts w:ascii="Calibri" w:hAnsi="Calibri" w:cs="Calibri"/>
          <w:sz w:val="24"/>
          <w:szCs w:val="24"/>
        </w:rPr>
        <w:t xml:space="preserve"> and its role in crisis management. W</w:t>
      </w:r>
      <w:r w:rsidR="000D1F70" w:rsidRPr="004C212B">
        <w:rPr>
          <w:rFonts w:ascii="Calibri" w:hAnsi="Calibri" w:cs="Calibri"/>
          <w:sz w:val="24"/>
          <w:szCs w:val="24"/>
        </w:rPr>
        <w:t>ritten for researchers and students</w:t>
      </w:r>
      <w:r w:rsidR="00567D20">
        <w:rPr>
          <w:rFonts w:ascii="Calibri" w:hAnsi="Calibri" w:cs="Calibri"/>
          <w:sz w:val="24"/>
          <w:szCs w:val="24"/>
        </w:rPr>
        <w:t xml:space="preserve"> alike</w:t>
      </w:r>
      <w:r w:rsidR="000D1F70" w:rsidRPr="004C212B">
        <w:rPr>
          <w:rFonts w:ascii="Calibri" w:hAnsi="Calibri" w:cs="Calibri"/>
          <w:sz w:val="24"/>
          <w:szCs w:val="24"/>
        </w:rPr>
        <w:t xml:space="preserve">, </w:t>
      </w:r>
      <w:r w:rsidR="00EE04F4">
        <w:rPr>
          <w:rFonts w:ascii="Calibri" w:hAnsi="Calibri" w:cs="Calibri"/>
          <w:sz w:val="24"/>
          <w:szCs w:val="24"/>
        </w:rPr>
        <w:t>it adopts</w:t>
      </w:r>
      <w:r w:rsidR="000D1F70" w:rsidRPr="004C212B">
        <w:rPr>
          <w:rFonts w:ascii="Calibri" w:hAnsi="Calibri" w:cs="Calibri"/>
          <w:sz w:val="24"/>
          <w:szCs w:val="24"/>
        </w:rPr>
        <w:t xml:space="preserve"> </w:t>
      </w:r>
      <w:r w:rsidR="00567D20">
        <w:rPr>
          <w:rFonts w:ascii="Calibri" w:hAnsi="Calibri" w:cs="Calibri"/>
          <w:sz w:val="24"/>
          <w:szCs w:val="24"/>
        </w:rPr>
        <w:t>a</w:t>
      </w:r>
      <w:r w:rsidR="00DE129C">
        <w:rPr>
          <w:rFonts w:ascii="Calibri" w:hAnsi="Calibri" w:cs="Calibri"/>
          <w:sz w:val="24"/>
          <w:szCs w:val="24"/>
        </w:rPr>
        <w:t xml:space="preserve"> </w:t>
      </w:r>
      <w:r w:rsidR="000D1F70" w:rsidRPr="004C212B">
        <w:rPr>
          <w:rFonts w:ascii="Calibri" w:hAnsi="Calibri" w:cs="Calibri"/>
          <w:sz w:val="24"/>
          <w:szCs w:val="24"/>
        </w:rPr>
        <w:t xml:space="preserve">pedagogical tone and </w:t>
      </w:r>
      <w:r w:rsidR="0098754F">
        <w:rPr>
          <w:rFonts w:ascii="Calibri" w:hAnsi="Calibri" w:cs="Calibri"/>
          <w:sz w:val="24"/>
          <w:szCs w:val="24"/>
        </w:rPr>
        <w:t xml:space="preserve">theoretically </w:t>
      </w:r>
      <w:r w:rsidR="00EE04F4">
        <w:rPr>
          <w:rFonts w:ascii="Calibri" w:hAnsi="Calibri" w:cs="Calibri"/>
          <w:sz w:val="24"/>
          <w:szCs w:val="24"/>
        </w:rPr>
        <w:t xml:space="preserve">eclectic </w:t>
      </w:r>
      <w:r w:rsidR="008F6C9F">
        <w:rPr>
          <w:rFonts w:ascii="Calibri" w:hAnsi="Calibri" w:cs="Calibri"/>
          <w:sz w:val="24"/>
          <w:szCs w:val="24"/>
        </w:rPr>
        <w:t>approach</w:t>
      </w:r>
      <w:r w:rsidR="000D1F70" w:rsidRPr="004C212B">
        <w:rPr>
          <w:rFonts w:ascii="Calibri" w:hAnsi="Calibri" w:cs="Calibri"/>
          <w:sz w:val="24"/>
          <w:szCs w:val="24"/>
        </w:rPr>
        <w:t xml:space="preserve">. </w:t>
      </w:r>
    </w:p>
    <w:p w14:paraId="195B1DAC" w14:textId="4C14845F" w:rsidR="00664B24" w:rsidRDefault="00755415" w:rsidP="00F654E7">
      <w:pPr>
        <w:jc w:val="both"/>
        <w:rPr>
          <w:rFonts w:ascii="Calibri" w:hAnsi="Calibri" w:cs="Calibri"/>
          <w:sz w:val="24"/>
          <w:szCs w:val="24"/>
        </w:rPr>
      </w:pPr>
      <w:r>
        <w:rPr>
          <w:rFonts w:ascii="Calibri" w:hAnsi="Calibri" w:cs="Calibri"/>
          <w:sz w:val="24"/>
          <w:szCs w:val="24"/>
        </w:rPr>
        <w:t xml:space="preserve">Frédéric </w:t>
      </w:r>
      <w:proofErr w:type="spellStart"/>
      <w:r w:rsidRPr="00F34FEA">
        <w:rPr>
          <w:rFonts w:ascii="Calibri" w:hAnsi="Calibri" w:cs="Calibri"/>
          <w:sz w:val="24"/>
          <w:szCs w:val="24"/>
        </w:rPr>
        <w:t>Mérand</w:t>
      </w:r>
      <w:r>
        <w:rPr>
          <w:rFonts w:ascii="Calibri" w:hAnsi="Calibri" w:cs="Calibri"/>
          <w:sz w:val="24"/>
          <w:szCs w:val="24"/>
        </w:rPr>
        <w:t>’s</w:t>
      </w:r>
      <w:proofErr w:type="spellEnd"/>
      <w:r>
        <w:rPr>
          <w:rFonts w:ascii="Calibri" w:hAnsi="Calibri" w:cs="Calibri"/>
          <w:sz w:val="24"/>
          <w:szCs w:val="24"/>
        </w:rPr>
        <w:t xml:space="preserve"> </w:t>
      </w:r>
      <w:r w:rsidRPr="00FD6901">
        <w:rPr>
          <w:rFonts w:ascii="Calibri" w:hAnsi="Calibri" w:cs="Calibri"/>
          <w:i/>
          <w:iCs/>
          <w:sz w:val="24"/>
          <w:szCs w:val="24"/>
        </w:rPr>
        <w:t>Political Commissioner</w:t>
      </w:r>
      <w:r>
        <w:rPr>
          <w:rFonts w:ascii="Calibri" w:hAnsi="Calibri" w:cs="Calibri"/>
          <w:sz w:val="24"/>
          <w:szCs w:val="24"/>
        </w:rPr>
        <w:t xml:space="preserve"> (2021)</w:t>
      </w:r>
      <w:r w:rsidR="008C637F">
        <w:rPr>
          <w:rFonts w:ascii="Calibri" w:hAnsi="Calibri" w:cs="Calibri"/>
          <w:sz w:val="24"/>
          <w:szCs w:val="24"/>
        </w:rPr>
        <w:t xml:space="preserve"> stands out </w:t>
      </w:r>
      <w:r w:rsidR="00051CB4">
        <w:rPr>
          <w:rFonts w:ascii="Calibri" w:hAnsi="Calibri" w:cs="Calibri"/>
          <w:sz w:val="24"/>
          <w:szCs w:val="24"/>
        </w:rPr>
        <w:t>for i</w:t>
      </w:r>
      <w:r w:rsidR="006804ED">
        <w:rPr>
          <w:rFonts w:ascii="Calibri" w:hAnsi="Calibri" w:cs="Calibri"/>
          <w:sz w:val="24"/>
          <w:szCs w:val="24"/>
        </w:rPr>
        <w:t>t</w:t>
      </w:r>
      <w:r w:rsidR="00051CB4">
        <w:rPr>
          <w:rFonts w:ascii="Calibri" w:hAnsi="Calibri" w:cs="Calibri"/>
          <w:sz w:val="24"/>
          <w:szCs w:val="24"/>
        </w:rPr>
        <w:t>s originality and novelty</w:t>
      </w:r>
      <w:r w:rsidR="008C637F">
        <w:rPr>
          <w:rFonts w:ascii="Calibri" w:hAnsi="Calibri" w:cs="Calibri"/>
          <w:sz w:val="24"/>
          <w:szCs w:val="24"/>
        </w:rPr>
        <w:t>.</w:t>
      </w:r>
      <w:r w:rsidR="00FB4519">
        <w:rPr>
          <w:rFonts w:ascii="Calibri" w:hAnsi="Calibri" w:cs="Calibri"/>
          <w:sz w:val="24"/>
          <w:szCs w:val="24"/>
        </w:rPr>
        <w:t xml:space="preserve"> </w:t>
      </w:r>
      <w:r w:rsidR="00BB417A">
        <w:rPr>
          <w:rFonts w:ascii="Calibri" w:hAnsi="Calibri" w:cs="Calibri"/>
          <w:sz w:val="24"/>
          <w:szCs w:val="24"/>
        </w:rPr>
        <w:t>It</w:t>
      </w:r>
      <w:r w:rsidR="00512D50">
        <w:rPr>
          <w:rFonts w:ascii="Calibri" w:hAnsi="Calibri" w:cs="Calibri"/>
          <w:sz w:val="24"/>
          <w:szCs w:val="24"/>
        </w:rPr>
        <w:t xml:space="preserve"> </w:t>
      </w:r>
      <w:r w:rsidR="00F34FEA" w:rsidRPr="00F34FEA">
        <w:rPr>
          <w:rFonts w:ascii="Calibri" w:hAnsi="Calibri" w:cs="Calibri"/>
          <w:sz w:val="24"/>
          <w:szCs w:val="24"/>
        </w:rPr>
        <w:t xml:space="preserve">focuses on the </w:t>
      </w:r>
      <w:r w:rsidR="00DC718B">
        <w:rPr>
          <w:rFonts w:ascii="Calibri" w:hAnsi="Calibri" w:cs="Calibri"/>
          <w:sz w:val="24"/>
          <w:szCs w:val="24"/>
        </w:rPr>
        <w:t>‘</w:t>
      </w:r>
      <w:r w:rsidR="00F34FEA" w:rsidRPr="00F34FEA">
        <w:rPr>
          <w:rFonts w:ascii="Calibri" w:hAnsi="Calibri" w:cs="Calibri"/>
          <w:sz w:val="24"/>
          <w:szCs w:val="24"/>
        </w:rPr>
        <w:t>Political Commission</w:t>
      </w:r>
      <w:r w:rsidR="00DC718B">
        <w:rPr>
          <w:rFonts w:ascii="Calibri" w:hAnsi="Calibri" w:cs="Calibri"/>
          <w:sz w:val="24"/>
          <w:szCs w:val="24"/>
        </w:rPr>
        <w:t>’ of Jean-Claude Juncker</w:t>
      </w:r>
      <w:r w:rsidR="00F34FEA" w:rsidRPr="00F34FEA">
        <w:rPr>
          <w:rFonts w:ascii="Calibri" w:hAnsi="Calibri" w:cs="Calibri"/>
          <w:sz w:val="24"/>
          <w:szCs w:val="24"/>
        </w:rPr>
        <w:t xml:space="preserve"> through an</w:t>
      </w:r>
      <w:r w:rsidR="00D65FB3">
        <w:rPr>
          <w:rFonts w:ascii="Calibri" w:hAnsi="Calibri" w:cs="Calibri"/>
          <w:sz w:val="24"/>
          <w:szCs w:val="24"/>
        </w:rPr>
        <w:t xml:space="preserve"> </w:t>
      </w:r>
      <w:r w:rsidR="00D80C01">
        <w:rPr>
          <w:rFonts w:ascii="Calibri" w:hAnsi="Calibri" w:cs="Calibri"/>
          <w:sz w:val="24"/>
          <w:szCs w:val="24"/>
        </w:rPr>
        <w:t>in-depth</w:t>
      </w:r>
      <w:r w:rsidR="00F34FEA" w:rsidRPr="00F34FEA">
        <w:rPr>
          <w:rFonts w:ascii="Calibri" w:hAnsi="Calibri" w:cs="Calibri"/>
          <w:sz w:val="24"/>
          <w:szCs w:val="24"/>
        </w:rPr>
        <w:t xml:space="preserve"> ethnography of the cabinet of </w:t>
      </w:r>
      <w:r w:rsidR="00DC718B">
        <w:rPr>
          <w:rFonts w:ascii="Calibri" w:hAnsi="Calibri" w:cs="Calibri"/>
          <w:sz w:val="24"/>
          <w:szCs w:val="24"/>
        </w:rPr>
        <w:t xml:space="preserve">Pierre </w:t>
      </w:r>
      <w:r w:rsidR="00F34FEA" w:rsidRPr="00F34FEA">
        <w:rPr>
          <w:rFonts w:ascii="Calibri" w:hAnsi="Calibri" w:cs="Calibri"/>
          <w:sz w:val="24"/>
          <w:szCs w:val="24"/>
        </w:rPr>
        <w:t>Moscovici,</w:t>
      </w:r>
      <w:r w:rsidR="00DC718B">
        <w:rPr>
          <w:rFonts w:ascii="Calibri" w:hAnsi="Calibri" w:cs="Calibri"/>
          <w:sz w:val="24"/>
          <w:szCs w:val="24"/>
        </w:rPr>
        <w:t xml:space="preserve"> </w:t>
      </w:r>
      <w:r w:rsidR="00D65FB3">
        <w:rPr>
          <w:rFonts w:ascii="Calibri" w:hAnsi="Calibri" w:cs="Calibri"/>
          <w:sz w:val="24"/>
          <w:szCs w:val="24"/>
        </w:rPr>
        <w:t xml:space="preserve">its </w:t>
      </w:r>
      <w:r w:rsidR="00951971">
        <w:rPr>
          <w:rFonts w:ascii="Calibri" w:hAnsi="Calibri" w:cs="Calibri"/>
          <w:sz w:val="24"/>
          <w:szCs w:val="24"/>
        </w:rPr>
        <w:t xml:space="preserve">Commissioner for </w:t>
      </w:r>
      <w:r w:rsidR="00BD68D6">
        <w:rPr>
          <w:rFonts w:ascii="Calibri" w:hAnsi="Calibri" w:cs="Calibri"/>
          <w:sz w:val="24"/>
          <w:szCs w:val="24"/>
        </w:rPr>
        <w:t>E</w:t>
      </w:r>
      <w:r w:rsidR="00951971" w:rsidRPr="00F34FEA">
        <w:rPr>
          <w:rFonts w:ascii="Calibri" w:hAnsi="Calibri" w:cs="Calibri"/>
          <w:sz w:val="24"/>
          <w:szCs w:val="24"/>
        </w:rPr>
        <w:t xml:space="preserve">conomic </w:t>
      </w:r>
      <w:r w:rsidR="00951971">
        <w:rPr>
          <w:rFonts w:ascii="Calibri" w:hAnsi="Calibri" w:cs="Calibri"/>
          <w:sz w:val="24"/>
          <w:szCs w:val="24"/>
        </w:rPr>
        <w:t xml:space="preserve">and </w:t>
      </w:r>
      <w:r w:rsidR="00BD68D6">
        <w:rPr>
          <w:rFonts w:ascii="Calibri" w:hAnsi="Calibri" w:cs="Calibri"/>
          <w:sz w:val="24"/>
          <w:szCs w:val="24"/>
        </w:rPr>
        <w:t>F</w:t>
      </w:r>
      <w:r w:rsidR="00951971">
        <w:rPr>
          <w:rFonts w:ascii="Calibri" w:hAnsi="Calibri" w:cs="Calibri"/>
          <w:sz w:val="24"/>
          <w:szCs w:val="24"/>
        </w:rPr>
        <w:t xml:space="preserve">inancial </w:t>
      </w:r>
      <w:r w:rsidR="00951971" w:rsidRPr="00F34FEA">
        <w:rPr>
          <w:rFonts w:ascii="Calibri" w:hAnsi="Calibri" w:cs="Calibri"/>
          <w:sz w:val="24"/>
          <w:szCs w:val="24"/>
        </w:rPr>
        <w:t>affairs</w:t>
      </w:r>
      <w:r w:rsidR="00BD68D6">
        <w:rPr>
          <w:rFonts w:ascii="Calibri" w:hAnsi="Calibri" w:cs="Calibri"/>
          <w:sz w:val="24"/>
          <w:szCs w:val="24"/>
        </w:rPr>
        <w:t xml:space="preserve">. </w:t>
      </w:r>
      <w:r w:rsidR="00710FDC">
        <w:rPr>
          <w:rFonts w:ascii="Calibri" w:hAnsi="Calibri" w:cs="Calibri"/>
          <w:sz w:val="24"/>
          <w:szCs w:val="24"/>
        </w:rPr>
        <w:t xml:space="preserve">A </w:t>
      </w:r>
      <w:r w:rsidR="00710FDC" w:rsidRPr="00664B24">
        <w:rPr>
          <w:rFonts w:ascii="Calibri" w:hAnsi="Calibri" w:cs="Calibri"/>
          <w:sz w:val="24"/>
          <w:szCs w:val="24"/>
        </w:rPr>
        <w:t>specialised academic monograph</w:t>
      </w:r>
      <w:r w:rsidR="001746A7">
        <w:rPr>
          <w:rFonts w:ascii="Calibri" w:hAnsi="Calibri" w:cs="Calibri"/>
          <w:sz w:val="24"/>
          <w:szCs w:val="24"/>
        </w:rPr>
        <w:t xml:space="preserve"> in the tradition of George Ross’ </w:t>
      </w:r>
      <w:r w:rsidR="00AA7584">
        <w:rPr>
          <w:rFonts w:ascii="Calibri" w:hAnsi="Calibri" w:cs="Calibri"/>
          <w:sz w:val="24"/>
          <w:szCs w:val="24"/>
        </w:rPr>
        <w:t>classic ethnographic</w:t>
      </w:r>
      <w:r w:rsidR="001746A7">
        <w:rPr>
          <w:rFonts w:ascii="Calibri" w:hAnsi="Calibri" w:cs="Calibri"/>
          <w:sz w:val="24"/>
          <w:szCs w:val="24"/>
        </w:rPr>
        <w:t xml:space="preserve"> study of the Delors </w:t>
      </w:r>
      <w:r w:rsidR="00AA7584">
        <w:rPr>
          <w:rFonts w:ascii="Calibri" w:hAnsi="Calibri" w:cs="Calibri"/>
          <w:sz w:val="24"/>
          <w:szCs w:val="24"/>
        </w:rPr>
        <w:t>Commission (</w:t>
      </w:r>
      <w:r w:rsidR="00CE5A82">
        <w:rPr>
          <w:rFonts w:ascii="Calibri" w:hAnsi="Calibri" w:cs="Calibri"/>
          <w:sz w:val="24"/>
          <w:szCs w:val="24"/>
        </w:rPr>
        <w:t>1995</w:t>
      </w:r>
      <w:r w:rsidR="00AA7584">
        <w:rPr>
          <w:rFonts w:ascii="Calibri" w:hAnsi="Calibri" w:cs="Calibri"/>
          <w:sz w:val="24"/>
          <w:szCs w:val="24"/>
        </w:rPr>
        <w:t>),</w:t>
      </w:r>
      <w:r w:rsidR="00710FDC" w:rsidRPr="00664B24">
        <w:rPr>
          <w:rFonts w:ascii="Calibri" w:hAnsi="Calibri" w:cs="Calibri"/>
          <w:sz w:val="24"/>
          <w:szCs w:val="24"/>
        </w:rPr>
        <w:t xml:space="preserve"> </w:t>
      </w:r>
      <w:r w:rsidR="00710FDC">
        <w:rPr>
          <w:rFonts w:ascii="Calibri" w:hAnsi="Calibri" w:cs="Calibri"/>
          <w:sz w:val="24"/>
          <w:szCs w:val="24"/>
        </w:rPr>
        <w:t xml:space="preserve">it </w:t>
      </w:r>
      <w:r w:rsidR="00BF66D3">
        <w:rPr>
          <w:rFonts w:ascii="Calibri" w:hAnsi="Calibri" w:cs="Calibri"/>
          <w:sz w:val="24"/>
          <w:szCs w:val="24"/>
        </w:rPr>
        <w:t xml:space="preserve">uses thick descriptions and </w:t>
      </w:r>
      <w:r w:rsidR="00710FDC">
        <w:rPr>
          <w:rFonts w:ascii="Calibri" w:hAnsi="Calibri" w:cs="Calibri"/>
          <w:sz w:val="24"/>
          <w:szCs w:val="24"/>
        </w:rPr>
        <w:t>is</w:t>
      </w:r>
      <w:r w:rsidR="00710FDC" w:rsidRPr="00664B24">
        <w:rPr>
          <w:rFonts w:ascii="Calibri" w:hAnsi="Calibri" w:cs="Calibri"/>
          <w:sz w:val="24"/>
          <w:szCs w:val="24"/>
        </w:rPr>
        <w:t xml:space="preserve"> written</w:t>
      </w:r>
      <w:r w:rsidR="007465DC">
        <w:rPr>
          <w:rFonts w:ascii="Calibri" w:hAnsi="Calibri" w:cs="Calibri"/>
          <w:sz w:val="24"/>
          <w:szCs w:val="24"/>
        </w:rPr>
        <w:t xml:space="preserve"> in an</w:t>
      </w:r>
      <w:r w:rsidR="00116F37">
        <w:rPr>
          <w:rFonts w:ascii="Calibri" w:hAnsi="Calibri" w:cs="Calibri"/>
          <w:sz w:val="24"/>
          <w:szCs w:val="24"/>
        </w:rPr>
        <w:t xml:space="preserve"> </w:t>
      </w:r>
      <w:r w:rsidR="00116F37" w:rsidRPr="00664B24">
        <w:rPr>
          <w:rFonts w:ascii="Calibri" w:hAnsi="Calibri" w:cs="Calibri"/>
          <w:sz w:val="24"/>
          <w:szCs w:val="24"/>
        </w:rPr>
        <w:t>engaging</w:t>
      </w:r>
      <w:r w:rsidR="00710FDC">
        <w:rPr>
          <w:rFonts w:ascii="Calibri" w:hAnsi="Calibri" w:cs="Calibri"/>
          <w:sz w:val="24"/>
          <w:szCs w:val="24"/>
        </w:rPr>
        <w:t xml:space="preserve"> </w:t>
      </w:r>
      <w:r w:rsidR="00710FDC" w:rsidRPr="00664B24">
        <w:rPr>
          <w:rFonts w:ascii="Calibri" w:hAnsi="Calibri" w:cs="Calibri"/>
          <w:sz w:val="24"/>
          <w:szCs w:val="24"/>
        </w:rPr>
        <w:t xml:space="preserve">prose. </w:t>
      </w:r>
      <w:r w:rsidR="00BD68D6">
        <w:rPr>
          <w:rFonts w:ascii="Calibri" w:hAnsi="Calibri" w:cs="Calibri"/>
          <w:sz w:val="24"/>
          <w:szCs w:val="24"/>
        </w:rPr>
        <w:t xml:space="preserve">In a series of case </w:t>
      </w:r>
      <w:r w:rsidR="00E600B0">
        <w:rPr>
          <w:rFonts w:ascii="Calibri" w:hAnsi="Calibri" w:cs="Calibri"/>
          <w:sz w:val="24"/>
          <w:szCs w:val="24"/>
        </w:rPr>
        <w:t>studies</w:t>
      </w:r>
      <w:r w:rsidR="008F5F0F">
        <w:rPr>
          <w:rFonts w:ascii="Calibri" w:hAnsi="Calibri" w:cs="Calibri"/>
          <w:sz w:val="24"/>
          <w:szCs w:val="24"/>
        </w:rPr>
        <w:t xml:space="preserve"> based on observations and interviews</w:t>
      </w:r>
      <w:r w:rsidR="00E600B0">
        <w:rPr>
          <w:rFonts w:ascii="Calibri" w:hAnsi="Calibri" w:cs="Calibri"/>
          <w:sz w:val="24"/>
          <w:szCs w:val="24"/>
        </w:rPr>
        <w:t>,</w:t>
      </w:r>
      <w:r w:rsidR="00BD68D6">
        <w:rPr>
          <w:rFonts w:ascii="Calibri" w:hAnsi="Calibri" w:cs="Calibri"/>
          <w:sz w:val="24"/>
          <w:szCs w:val="24"/>
        </w:rPr>
        <w:t xml:space="preserve"> </w:t>
      </w:r>
      <w:proofErr w:type="spellStart"/>
      <w:r w:rsidR="00A34751">
        <w:rPr>
          <w:rFonts w:ascii="Calibri" w:hAnsi="Calibri" w:cs="Calibri"/>
          <w:sz w:val="24"/>
          <w:szCs w:val="24"/>
        </w:rPr>
        <w:t>Mérand</w:t>
      </w:r>
      <w:proofErr w:type="spellEnd"/>
      <w:r w:rsidR="00A34751">
        <w:rPr>
          <w:rFonts w:ascii="Calibri" w:hAnsi="Calibri" w:cs="Calibri"/>
          <w:sz w:val="24"/>
          <w:szCs w:val="24"/>
        </w:rPr>
        <w:t xml:space="preserve"> </w:t>
      </w:r>
      <w:r w:rsidR="004A7355">
        <w:rPr>
          <w:rFonts w:ascii="Calibri" w:hAnsi="Calibri" w:cs="Calibri"/>
          <w:sz w:val="24"/>
          <w:szCs w:val="24"/>
        </w:rPr>
        <w:t xml:space="preserve">focuses </w:t>
      </w:r>
      <w:r w:rsidR="000C4D8B">
        <w:rPr>
          <w:rFonts w:ascii="Calibri" w:hAnsi="Calibri" w:cs="Calibri"/>
          <w:sz w:val="24"/>
          <w:szCs w:val="24"/>
        </w:rPr>
        <w:t xml:space="preserve">on how </w:t>
      </w:r>
      <w:r w:rsidR="007137BB">
        <w:rPr>
          <w:rFonts w:ascii="Calibri" w:hAnsi="Calibri" w:cs="Calibri"/>
          <w:sz w:val="24"/>
          <w:szCs w:val="24"/>
        </w:rPr>
        <w:t>the</w:t>
      </w:r>
      <w:r w:rsidR="008F5F0F">
        <w:rPr>
          <w:rFonts w:ascii="Calibri" w:hAnsi="Calibri" w:cs="Calibri"/>
          <w:sz w:val="24"/>
          <w:szCs w:val="24"/>
        </w:rPr>
        <w:t xml:space="preserve"> </w:t>
      </w:r>
      <w:r w:rsidR="007137BB">
        <w:rPr>
          <w:rFonts w:ascii="Calibri" w:hAnsi="Calibri" w:cs="Calibri"/>
          <w:sz w:val="24"/>
          <w:szCs w:val="24"/>
        </w:rPr>
        <w:t>cabinet</w:t>
      </w:r>
      <w:r w:rsidR="000C4D8B">
        <w:rPr>
          <w:rFonts w:ascii="Calibri" w:hAnsi="Calibri" w:cs="Calibri"/>
          <w:sz w:val="24"/>
          <w:szCs w:val="24"/>
        </w:rPr>
        <w:t xml:space="preserve"> </w:t>
      </w:r>
      <w:r w:rsidR="00774F85">
        <w:rPr>
          <w:rFonts w:ascii="Calibri" w:hAnsi="Calibri" w:cs="Calibri"/>
          <w:sz w:val="24"/>
          <w:szCs w:val="24"/>
        </w:rPr>
        <w:t xml:space="preserve">experienced and </w:t>
      </w:r>
      <w:r w:rsidR="000C4D8B">
        <w:rPr>
          <w:rFonts w:ascii="Calibri" w:hAnsi="Calibri" w:cs="Calibri"/>
          <w:sz w:val="24"/>
          <w:szCs w:val="24"/>
        </w:rPr>
        <w:t>managed</w:t>
      </w:r>
      <w:r w:rsidR="004A1375">
        <w:rPr>
          <w:rFonts w:ascii="Calibri" w:hAnsi="Calibri" w:cs="Calibri"/>
          <w:sz w:val="24"/>
          <w:szCs w:val="24"/>
        </w:rPr>
        <w:t xml:space="preserve"> key files including</w:t>
      </w:r>
      <w:r w:rsidR="004A7355">
        <w:rPr>
          <w:rFonts w:ascii="Calibri" w:hAnsi="Calibri" w:cs="Calibri"/>
          <w:sz w:val="24"/>
          <w:szCs w:val="24"/>
        </w:rPr>
        <w:t xml:space="preserve"> the</w:t>
      </w:r>
      <w:r w:rsidR="00F34FEA" w:rsidRPr="00F34FEA">
        <w:rPr>
          <w:rFonts w:ascii="Calibri" w:hAnsi="Calibri" w:cs="Calibri"/>
          <w:sz w:val="24"/>
          <w:szCs w:val="24"/>
        </w:rPr>
        <w:t xml:space="preserve"> Greek </w:t>
      </w:r>
      <w:r w:rsidR="00251B34">
        <w:rPr>
          <w:rFonts w:ascii="Calibri" w:hAnsi="Calibri" w:cs="Calibri"/>
          <w:sz w:val="24"/>
          <w:szCs w:val="24"/>
        </w:rPr>
        <w:t>bailouts</w:t>
      </w:r>
      <w:r w:rsidR="00F34FEA" w:rsidRPr="00F34FEA">
        <w:rPr>
          <w:rFonts w:ascii="Calibri" w:hAnsi="Calibri" w:cs="Calibri"/>
          <w:sz w:val="24"/>
          <w:szCs w:val="24"/>
        </w:rPr>
        <w:t>,</w:t>
      </w:r>
      <w:r w:rsidR="004A1375">
        <w:rPr>
          <w:rFonts w:ascii="Calibri" w:hAnsi="Calibri" w:cs="Calibri"/>
          <w:sz w:val="24"/>
          <w:szCs w:val="24"/>
        </w:rPr>
        <w:t xml:space="preserve"> </w:t>
      </w:r>
      <w:r w:rsidR="00B030B9">
        <w:rPr>
          <w:rFonts w:ascii="Calibri" w:hAnsi="Calibri" w:cs="Calibri"/>
          <w:sz w:val="24"/>
          <w:szCs w:val="24"/>
        </w:rPr>
        <w:t xml:space="preserve">the flexible implementation of </w:t>
      </w:r>
      <w:r w:rsidR="004A1375">
        <w:rPr>
          <w:rFonts w:ascii="Calibri" w:hAnsi="Calibri" w:cs="Calibri"/>
          <w:sz w:val="24"/>
          <w:szCs w:val="24"/>
        </w:rPr>
        <w:t>the Stability and Growth Pact</w:t>
      </w:r>
      <w:r w:rsidR="00554CCE">
        <w:rPr>
          <w:rFonts w:ascii="Calibri" w:hAnsi="Calibri" w:cs="Calibri"/>
          <w:sz w:val="24"/>
          <w:szCs w:val="24"/>
        </w:rPr>
        <w:t xml:space="preserve"> in Spain, Portugal and then Italy</w:t>
      </w:r>
      <w:r w:rsidR="004A1375">
        <w:rPr>
          <w:rFonts w:ascii="Calibri" w:hAnsi="Calibri" w:cs="Calibri"/>
          <w:sz w:val="24"/>
          <w:szCs w:val="24"/>
        </w:rPr>
        <w:t>,</w:t>
      </w:r>
      <w:r w:rsidR="00554CCE">
        <w:rPr>
          <w:rFonts w:ascii="Calibri" w:hAnsi="Calibri" w:cs="Calibri"/>
          <w:sz w:val="24"/>
          <w:szCs w:val="24"/>
        </w:rPr>
        <w:t xml:space="preserve"> </w:t>
      </w:r>
      <w:r w:rsidR="00DD571F">
        <w:rPr>
          <w:rFonts w:ascii="Calibri" w:hAnsi="Calibri" w:cs="Calibri"/>
          <w:sz w:val="24"/>
          <w:szCs w:val="24"/>
        </w:rPr>
        <w:t>the failed reform of the Eurozone, and</w:t>
      </w:r>
      <w:r w:rsidR="00E940A9">
        <w:rPr>
          <w:rFonts w:ascii="Calibri" w:hAnsi="Calibri" w:cs="Calibri"/>
          <w:sz w:val="24"/>
          <w:szCs w:val="24"/>
        </w:rPr>
        <w:t xml:space="preserve"> issues related to</w:t>
      </w:r>
      <w:r w:rsidR="00DD571F">
        <w:rPr>
          <w:rFonts w:ascii="Calibri" w:hAnsi="Calibri" w:cs="Calibri"/>
          <w:sz w:val="24"/>
          <w:szCs w:val="24"/>
        </w:rPr>
        <w:t xml:space="preserve"> </w:t>
      </w:r>
      <w:r w:rsidR="00554CCE">
        <w:rPr>
          <w:rFonts w:ascii="Calibri" w:hAnsi="Calibri" w:cs="Calibri"/>
          <w:sz w:val="24"/>
          <w:szCs w:val="24"/>
        </w:rPr>
        <w:t>tax</w:t>
      </w:r>
      <w:r w:rsidR="00540CC8">
        <w:rPr>
          <w:rFonts w:ascii="Calibri" w:hAnsi="Calibri" w:cs="Calibri"/>
          <w:sz w:val="24"/>
          <w:szCs w:val="24"/>
        </w:rPr>
        <w:t xml:space="preserve"> evasion</w:t>
      </w:r>
      <w:r w:rsidR="00554CCE">
        <w:rPr>
          <w:rFonts w:ascii="Calibri" w:hAnsi="Calibri" w:cs="Calibri"/>
          <w:sz w:val="24"/>
          <w:szCs w:val="24"/>
        </w:rPr>
        <w:t xml:space="preserve"> and</w:t>
      </w:r>
      <w:r w:rsidR="004A1375">
        <w:rPr>
          <w:rFonts w:ascii="Calibri" w:hAnsi="Calibri" w:cs="Calibri"/>
          <w:sz w:val="24"/>
          <w:szCs w:val="24"/>
        </w:rPr>
        <w:t xml:space="preserve"> </w:t>
      </w:r>
      <w:r w:rsidR="00DD571F">
        <w:rPr>
          <w:rFonts w:ascii="Calibri" w:hAnsi="Calibri" w:cs="Calibri"/>
          <w:sz w:val="24"/>
          <w:szCs w:val="24"/>
        </w:rPr>
        <w:t>tax justice</w:t>
      </w:r>
      <w:r w:rsidR="00F34FEA" w:rsidRPr="00F34FEA">
        <w:rPr>
          <w:rFonts w:ascii="Calibri" w:hAnsi="Calibri" w:cs="Calibri"/>
          <w:sz w:val="24"/>
          <w:szCs w:val="24"/>
        </w:rPr>
        <w:t>. The story end</w:t>
      </w:r>
      <w:r w:rsidR="005E6B12">
        <w:rPr>
          <w:rFonts w:ascii="Calibri" w:hAnsi="Calibri" w:cs="Calibri"/>
          <w:sz w:val="24"/>
          <w:szCs w:val="24"/>
        </w:rPr>
        <w:t>s</w:t>
      </w:r>
      <w:r w:rsidR="00F34FEA" w:rsidRPr="00F34FEA">
        <w:rPr>
          <w:rFonts w:ascii="Calibri" w:hAnsi="Calibri" w:cs="Calibri"/>
          <w:sz w:val="24"/>
          <w:szCs w:val="24"/>
        </w:rPr>
        <w:t xml:space="preserve"> just before COVID</w:t>
      </w:r>
      <w:r w:rsidR="00116F37">
        <w:rPr>
          <w:rFonts w:ascii="Calibri" w:hAnsi="Calibri" w:cs="Calibri"/>
          <w:sz w:val="24"/>
          <w:szCs w:val="24"/>
        </w:rPr>
        <w:t>-19</w:t>
      </w:r>
      <w:r w:rsidR="00F34FEA" w:rsidRPr="00F34FEA">
        <w:rPr>
          <w:rFonts w:ascii="Calibri" w:hAnsi="Calibri" w:cs="Calibri"/>
          <w:sz w:val="24"/>
          <w:szCs w:val="24"/>
        </w:rPr>
        <w:t xml:space="preserve"> which forms the epilogue of the book.</w:t>
      </w:r>
    </w:p>
    <w:p w14:paraId="3E0E2690" w14:textId="4A270016" w:rsidR="00117CCE" w:rsidRPr="00A86760" w:rsidRDefault="00EA3154" w:rsidP="00A86760">
      <w:pPr>
        <w:jc w:val="both"/>
        <w:rPr>
          <w:rFonts w:ascii="Calibri" w:hAnsi="Calibri" w:cs="Calibri"/>
          <w:sz w:val="24"/>
          <w:szCs w:val="24"/>
        </w:rPr>
      </w:pPr>
      <w:r w:rsidRPr="008B03DE">
        <w:rPr>
          <w:rFonts w:ascii="Calibri" w:hAnsi="Calibri" w:cs="Calibri"/>
          <w:sz w:val="24"/>
          <w:szCs w:val="24"/>
        </w:rPr>
        <w:t xml:space="preserve">The </w:t>
      </w:r>
      <w:r w:rsidR="008B03DE">
        <w:rPr>
          <w:rFonts w:ascii="Calibri" w:hAnsi="Calibri" w:cs="Calibri"/>
          <w:sz w:val="24"/>
          <w:szCs w:val="24"/>
        </w:rPr>
        <w:t xml:space="preserve">three </w:t>
      </w:r>
      <w:r w:rsidR="00002D55" w:rsidRPr="008B03DE">
        <w:rPr>
          <w:rFonts w:ascii="Calibri" w:hAnsi="Calibri" w:cs="Calibri"/>
          <w:sz w:val="24"/>
          <w:szCs w:val="24"/>
        </w:rPr>
        <w:t>books take position –</w:t>
      </w:r>
      <w:r w:rsidR="0017089A">
        <w:rPr>
          <w:rFonts w:ascii="Calibri" w:hAnsi="Calibri" w:cs="Calibri"/>
          <w:sz w:val="24"/>
          <w:szCs w:val="24"/>
        </w:rPr>
        <w:t xml:space="preserve"> </w:t>
      </w:r>
      <w:r w:rsidR="00002D55" w:rsidRPr="008B03DE">
        <w:rPr>
          <w:rFonts w:ascii="Calibri" w:hAnsi="Calibri" w:cs="Calibri"/>
          <w:sz w:val="24"/>
          <w:szCs w:val="24"/>
        </w:rPr>
        <w:t>explicitly</w:t>
      </w:r>
      <w:r w:rsidR="00FE082D">
        <w:rPr>
          <w:rFonts w:ascii="Calibri" w:hAnsi="Calibri" w:cs="Calibri"/>
          <w:sz w:val="24"/>
          <w:szCs w:val="24"/>
        </w:rPr>
        <w:t xml:space="preserve"> in the case of</w:t>
      </w:r>
      <w:r w:rsidR="00E603F1">
        <w:rPr>
          <w:rFonts w:ascii="Calibri" w:hAnsi="Calibri" w:cs="Calibri"/>
          <w:sz w:val="24"/>
          <w:szCs w:val="24"/>
        </w:rPr>
        <w:t xml:space="preserve"> Werts and Wessels et al.</w:t>
      </w:r>
      <w:r w:rsidR="0017089A">
        <w:rPr>
          <w:rFonts w:ascii="Calibri" w:hAnsi="Calibri" w:cs="Calibri"/>
          <w:sz w:val="24"/>
          <w:szCs w:val="24"/>
        </w:rPr>
        <w:t xml:space="preserve">, </w:t>
      </w:r>
      <w:r w:rsidR="00A86760">
        <w:rPr>
          <w:rFonts w:ascii="Calibri" w:hAnsi="Calibri" w:cs="Calibri"/>
          <w:sz w:val="24"/>
          <w:szCs w:val="24"/>
        </w:rPr>
        <w:t>implicitly</w:t>
      </w:r>
      <w:r w:rsidR="0017089A">
        <w:rPr>
          <w:rFonts w:ascii="Calibri" w:hAnsi="Calibri" w:cs="Calibri"/>
          <w:sz w:val="24"/>
          <w:szCs w:val="24"/>
        </w:rPr>
        <w:t xml:space="preserve"> in the case of </w:t>
      </w:r>
      <w:proofErr w:type="spellStart"/>
      <w:r w:rsidR="0017089A">
        <w:rPr>
          <w:rFonts w:ascii="Calibri" w:hAnsi="Calibri" w:cs="Calibri"/>
          <w:sz w:val="24"/>
          <w:szCs w:val="24"/>
        </w:rPr>
        <w:t>Mérand</w:t>
      </w:r>
      <w:proofErr w:type="spellEnd"/>
      <w:r w:rsidR="00FE082D">
        <w:rPr>
          <w:rFonts w:ascii="Calibri" w:hAnsi="Calibri" w:cs="Calibri"/>
          <w:sz w:val="24"/>
          <w:szCs w:val="24"/>
        </w:rPr>
        <w:t xml:space="preserve"> </w:t>
      </w:r>
      <w:r w:rsidR="00002D55" w:rsidRPr="008B03DE">
        <w:rPr>
          <w:rFonts w:ascii="Calibri" w:hAnsi="Calibri" w:cs="Calibri"/>
          <w:sz w:val="24"/>
          <w:szCs w:val="24"/>
        </w:rPr>
        <w:t>– in the debate on the respective role</w:t>
      </w:r>
      <w:r w:rsidR="00DF5EDA">
        <w:rPr>
          <w:rFonts w:ascii="Calibri" w:hAnsi="Calibri" w:cs="Calibri"/>
          <w:sz w:val="24"/>
          <w:szCs w:val="24"/>
        </w:rPr>
        <w:t>s</w:t>
      </w:r>
      <w:r w:rsidR="00002D55" w:rsidRPr="008B03DE">
        <w:rPr>
          <w:rFonts w:ascii="Calibri" w:hAnsi="Calibri" w:cs="Calibri"/>
          <w:sz w:val="24"/>
          <w:szCs w:val="24"/>
        </w:rPr>
        <w:t xml:space="preserve"> and influence </w:t>
      </w:r>
      <w:r w:rsidR="00F044B4" w:rsidRPr="008B03DE">
        <w:rPr>
          <w:rFonts w:ascii="Calibri" w:hAnsi="Calibri" w:cs="Calibri"/>
          <w:sz w:val="24"/>
          <w:szCs w:val="24"/>
        </w:rPr>
        <w:t>of the Commission and European Council</w:t>
      </w:r>
      <w:r w:rsidR="0017089A">
        <w:rPr>
          <w:rFonts w:ascii="Calibri" w:hAnsi="Calibri" w:cs="Calibri"/>
          <w:sz w:val="24"/>
          <w:szCs w:val="24"/>
        </w:rPr>
        <w:t xml:space="preserve"> in an era of crises.</w:t>
      </w:r>
      <w:r w:rsidR="00D62937" w:rsidRPr="008B03DE">
        <w:rPr>
          <w:rFonts w:ascii="Calibri" w:hAnsi="Calibri" w:cs="Calibri"/>
          <w:sz w:val="24"/>
          <w:szCs w:val="24"/>
        </w:rPr>
        <w:t xml:space="preserve"> </w:t>
      </w:r>
      <w:r w:rsidR="00683207">
        <w:rPr>
          <w:rFonts w:ascii="Calibri" w:hAnsi="Calibri" w:cs="Calibri"/>
          <w:sz w:val="24"/>
          <w:szCs w:val="24"/>
        </w:rPr>
        <w:t>Their</w:t>
      </w:r>
      <w:r w:rsidR="00605DD1">
        <w:rPr>
          <w:rFonts w:ascii="Calibri" w:hAnsi="Calibri" w:cs="Calibri"/>
          <w:sz w:val="24"/>
          <w:szCs w:val="24"/>
        </w:rPr>
        <w:t xml:space="preserve"> </w:t>
      </w:r>
      <w:r w:rsidR="00D459A9">
        <w:rPr>
          <w:rFonts w:ascii="Calibri" w:hAnsi="Calibri" w:cs="Calibri"/>
          <w:sz w:val="24"/>
          <w:szCs w:val="24"/>
        </w:rPr>
        <w:t xml:space="preserve">respective </w:t>
      </w:r>
      <w:r w:rsidR="00605DD1">
        <w:rPr>
          <w:rFonts w:ascii="Calibri" w:hAnsi="Calibri" w:cs="Calibri"/>
          <w:sz w:val="24"/>
          <w:szCs w:val="24"/>
        </w:rPr>
        <w:t>position</w:t>
      </w:r>
      <w:r w:rsidR="00D459A9">
        <w:rPr>
          <w:rFonts w:ascii="Calibri" w:hAnsi="Calibri" w:cs="Calibri"/>
          <w:sz w:val="24"/>
          <w:szCs w:val="24"/>
        </w:rPr>
        <w:t>s</w:t>
      </w:r>
      <w:r w:rsidR="00605DD1">
        <w:rPr>
          <w:rFonts w:ascii="Calibri" w:hAnsi="Calibri" w:cs="Calibri"/>
          <w:sz w:val="24"/>
          <w:szCs w:val="24"/>
        </w:rPr>
        <w:t xml:space="preserve"> </w:t>
      </w:r>
      <w:r w:rsidR="00D459A9">
        <w:rPr>
          <w:rFonts w:ascii="Calibri" w:hAnsi="Calibri" w:cs="Calibri"/>
          <w:sz w:val="24"/>
          <w:szCs w:val="24"/>
        </w:rPr>
        <w:t>are</w:t>
      </w:r>
      <w:r w:rsidR="00D62937" w:rsidRPr="008B03DE">
        <w:rPr>
          <w:rFonts w:ascii="Calibri" w:hAnsi="Calibri" w:cs="Calibri"/>
          <w:sz w:val="24"/>
          <w:szCs w:val="24"/>
        </w:rPr>
        <w:t xml:space="preserve"> largely influence</w:t>
      </w:r>
      <w:r w:rsidR="00270369" w:rsidRPr="008B03DE">
        <w:rPr>
          <w:rFonts w:ascii="Calibri" w:hAnsi="Calibri" w:cs="Calibri"/>
          <w:sz w:val="24"/>
          <w:szCs w:val="24"/>
        </w:rPr>
        <w:t>d</w:t>
      </w:r>
      <w:r w:rsidR="00D62937" w:rsidRPr="008B03DE">
        <w:rPr>
          <w:rFonts w:ascii="Calibri" w:hAnsi="Calibri" w:cs="Calibri"/>
          <w:sz w:val="24"/>
          <w:szCs w:val="24"/>
        </w:rPr>
        <w:t xml:space="preserve"> by the focus and perspective adopted.</w:t>
      </w:r>
      <w:r w:rsidR="00A86760">
        <w:rPr>
          <w:rFonts w:ascii="Calibri" w:hAnsi="Calibri" w:cs="Calibri"/>
          <w:sz w:val="24"/>
          <w:szCs w:val="24"/>
        </w:rPr>
        <w:t xml:space="preserve"> </w:t>
      </w:r>
      <w:r w:rsidR="00117CCE" w:rsidRPr="00A86760">
        <w:rPr>
          <w:rFonts w:ascii="Calibri" w:hAnsi="Calibri" w:cs="Calibri"/>
          <w:sz w:val="24"/>
          <w:szCs w:val="24"/>
        </w:rPr>
        <w:t xml:space="preserve">Wessels et al. and Werts, with their focus on the European </w:t>
      </w:r>
      <w:r w:rsidR="00117CCE" w:rsidRPr="00A86760">
        <w:rPr>
          <w:rFonts w:ascii="Calibri" w:hAnsi="Calibri" w:cs="Calibri"/>
          <w:sz w:val="24"/>
          <w:szCs w:val="24"/>
        </w:rPr>
        <w:lastRenderedPageBreak/>
        <w:t xml:space="preserve">Council, </w:t>
      </w:r>
      <w:r w:rsidR="00D238DE">
        <w:rPr>
          <w:rFonts w:ascii="Calibri" w:hAnsi="Calibri" w:cs="Calibri"/>
          <w:sz w:val="24"/>
          <w:szCs w:val="24"/>
        </w:rPr>
        <w:t xml:space="preserve">unsurprisingly </w:t>
      </w:r>
      <w:r w:rsidR="00117CCE" w:rsidRPr="00A86760">
        <w:rPr>
          <w:rFonts w:ascii="Calibri" w:hAnsi="Calibri" w:cs="Calibri"/>
          <w:sz w:val="24"/>
          <w:szCs w:val="24"/>
        </w:rPr>
        <w:t xml:space="preserve">depict it as a central, indeed dominant actor, in large part directing the Commission and displacing its agenda setting role. </w:t>
      </w:r>
      <w:proofErr w:type="spellStart"/>
      <w:r w:rsidR="00CA6527">
        <w:rPr>
          <w:rFonts w:ascii="Calibri" w:hAnsi="Calibri" w:cs="Calibri"/>
          <w:sz w:val="24"/>
          <w:szCs w:val="24"/>
        </w:rPr>
        <w:t>Mérand</w:t>
      </w:r>
      <w:proofErr w:type="spellEnd"/>
      <w:r w:rsidR="00D46480">
        <w:rPr>
          <w:rFonts w:ascii="Calibri" w:hAnsi="Calibri" w:cs="Calibri"/>
          <w:sz w:val="24"/>
          <w:szCs w:val="24"/>
        </w:rPr>
        <w:t xml:space="preserve">, while attentive to the </w:t>
      </w:r>
      <w:r w:rsidR="00742EC8">
        <w:rPr>
          <w:rFonts w:ascii="Calibri" w:hAnsi="Calibri" w:cs="Calibri"/>
          <w:sz w:val="24"/>
          <w:szCs w:val="24"/>
        </w:rPr>
        <w:t xml:space="preserve">various </w:t>
      </w:r>
      <w:r w:rsidR="00D46480">
        <w:rPr>
          <w:rFonts w:ascii="Calibri" w:hAnsi="Calibri" w:cs="Calibri"/>
          <w:sz w:val="24"/>
          <w:szCs w:val="24"/>
        </w:rPr>
        <w:t>constraints that weight on the Commissioner</w:t>
      </w:r>
      <w:r w:rsidR="00FF2BC6">
        <w:rPr>
          <w:rFonts w:ascii="Calibri" w:hAnsi="Calibri" w:cs="Calibri"/>
          <w:sz w:val="24"/>
          <w:szCs w:val="24"/>
        </w:rPr>
        <w:t xml:space="preserve"> and his staff, identifies space for </w:t>
      </w:r>
      <w:r w:rsidR="00742EC8">
        <w:rPr>
          <w:rFonts w:ascii="Calibri" w:hAnsi="Calibri" w:cs="Calibri"/>
          <w:sz w:val="24"/>
          <w:szCs w:val="24"/>
        </w:rPr>
        <w:t xml:space="preserve">political </w:t>
      </w:r>
      <w:r w:rsidR="00862AB5">
        <w:rPr>
          <w:rFonts w:ascii="Calibri" w:hAnsi="Calibri" w:cs="Calibri"/>
          <w:sz w:val="24"/>
          <w:szCs w:val="24"/>
        </w:rPr>
        <w:t>agency.</w:t>
      </w:r>
    </w:p>
    <w:p w14:paraId="178B1070" w14:textId="553B2215" w:rsidR="004D41BE" w:rsidRDefault="00117CCE" w:rsidP="004D41BE">
      <w:pPr>
        <w:jc w:val="both"/>
        <w:rPr>
          <w:rFonts w:ascii="Calibri" w:hAnsi="Calibri" w:cs="Calibri"/>
          <w:sz w:val="24"/>
          <w:szCs w:val="24"/>
        </w:rPr>
      </w:pPr>
      <w:r w:rsidRPr="009F7AA1">
        <w:rPr>
          <w:rFonts w:ascii="Calibri" w:hAnsi="Calibri" w:cs="Calibri"/>
          <w:sz w:val="24"/>
          <w:szCs w:val="24"/>
        </w:rPr>
        <w:t>Werts see the European Council as ‘the EU’s leading political body and highest decision-maker’ (26)</w:t>
      </w:r>
      <w:r w:rsidR="00F070F3" w:rsidRPr="009F7AA1">
        <w:rPr>
          <w:rFonts w:ascii="Calibri" w:hAnsi="Calibri" w:cs="Calibri"/>
          <w:sz w:val="24"/>
          <w:szCs w:val="24"/>
        </w:rPr>
        <w:t>, with the Commission as its executive arm</w:t>
      </w:r>
      <w:r w:rsidRPr="009F7AA1">
        <w:rPr>
          <w:rFonts w:ascii="Calibri" w:hAnsi="Calibri" w:cs="Calibri"/>
          <w:sz w:val="24"/>
          <w:szCs w:val="24"/>
        </w:rPr>
        <w:t>. The gathering of Heads of State</w:t>
      </w:r>
      <w:r w:rsidR="000A57F7">
        <w:rPr>
          <w:rFonts w:ascii="Calibri" w:hAnsi="Calibri" w:cs="Calibri"/>
          <w:sz w:val="24"/>
          <w:szCs w:val="24"/>
        </w:rPr>
        <w:t>s</w:t>
      </w:r>
      <w:r w:rsidRPr="009F7AA1">
        <w:rPr>
          <w:rFonts w:ascii="Calibri" w:hAnsi="Calibri" w:cs="Calibri"/>
          <w:sz w:val="24"/>
          <w:szCs w:val="24"/>
        </w:rPr>
        <w:t xml:space="preserve"> and Governments has the unique ability to pool national sovereignty, </w:t>
      </w:r>
      <w:proofErr w:type="gramStart"/>
      <w:r w:rsidRPr="009F7AA1">
        <w:rPr>
          <w:rFonts w:ascii="Calibri" w:hAnsi="Calibri" w:cs="Calibri"/>
          <w:sz w:val="24"/>
          <w:szCs w:val="24"/>
        </w:rPr>
        <w:t>resources</w:t>
      </w:r>
      <w:proofErr w:type="gramEnd"/>
      <w:r w:rsidR="00F65635">
        <w:rPr>
          <w:rFonts w:ascii="Calibri" w:hAnsi="Calibri" w:cs="Calibri"/>
          <w:sz w:val="24"/>
          <w:szCs w:val="24"/>
        </w:rPr>
        <w:t xml:space="preserve"> and</w:t>
      </w:r>
      <w:r w:rsidRPr="009F7AA1">
        <w:rPr>
          <w:rFonts w:ascii="Calibri" w:hAnsi="Calibri" w:cs="Calibri"/>
          <w:sz w:val="24"/>
          <w:szCs w:val="24"/>
        </w:rPr>
        <w:t xml:space="preserve"> legitimacy</w:t>
      </w:r>
      <w:r w:rsidR="00A11F55" w:rsidRPr="009F7AA1">
        <w:rPr>
          <w:rFonts w:ascii="Calibri" w:hAnsi="Calibri" w:cs="Calibri"/>
          <w:sz w:val="24"/>
          <w:szCs w:val="24"/>
        </w:rPr>
        <w:t>; it is also able</w:t>
      </w:r>
      <w:r w:rsidRPr="009F7AA1">
        <w:rPr>
          <w:rFonts w:ascii="Calibri" w:hAnsi="Calibri" w:cs="Calibri"/>
          <w:sz w:val="24"/>
          <w:szCs w:val="24"/>
        </w:rPr>
        <w:t xml:space="preserve"> to ‘improvise’ beyond existing rules in response to events</w:t>
      </w:r>
      <w:r w:rsidR="00455FB6" w:rsidRPr="009F7AA1">
        <w:rPr>
          <w:rFonts w:ascii="Calibri" w:hAnsi="Calibri" w:cs="Calibri"/>
          <w:sz w:val="24"/>
          <w:szCs w:val="24"/>
        </w:rPr>
        <w:t xml:space="preserve"> and crises</w:t>
      </w:r>
      <w:r w:rsidRPr="009F7AA1">
        <w:rPr>
          <w:rFonts w:ascii="Calibri" w:hAnsi="Calibri" w:cs="Calibri"/>
          <w:sz w:val="24"/>
          <w:szCs w:val="24"/>
        </w:rPr>
        <w:t>. Reinforced</w:t>
      </w:r>
      <w:r w:rsidR="001B2C0D" w:rsidRPr="009F7AA1">
        <w:rPr>
          <w:rFonts w:ascii="Calibri" w:hAnsi="Calibri" w:cs="Calibri"/>
          <w:sz w:val="24"/>
          <w:szCs w:val="24"/>
        </w:rPr>
        <w:t xml:space="preserve"> by</w:t>
      </w:r>
      <w:r w:rsidRPr="009F7AA1">
        <w:rPr>
          <w:rFonts w:ascii="Calibri" w:hAnsi="Calibri" w:cs="Calibri"/>
          <w:sz w:val="24"/>
          <w:szCs w:val="24"/>
        </w:rPr>
        <w:t xml:space="preserve"> the Lisbon Treaty, the European Council has - in Werts</w:t>
      </w:r>
      <w:r w:rsidR="00F65635">
        <w:rPr>
          <w:rFonts w:ascii="Calibri" w:hAnsi="Calibri" w:cs="Calibri"/>
          <w:sz w:val="24"/>
          <w:szCs w:val="24"/>
        </w:rPr>
        <w:t>’</w:t>
      </w:r>
      <w:r w:rsidRPr="009F7AA1">
        <w:rPr>
          <w:rFonts w:ascii="Calibri" w:hAnsi="Calibri" w:cs="Calibri"/>
          <w:sz w:val="24"/>
          <w:szCs w:val="24"/>
        </w:rPr>
        <w:t xml:space="preserve"> account - overall successfully managed to navigate the Union through turbulent times</w:t>
      </w:r>
      <w:r w:rsidR="004B3FCE" w:rsidRPr="009F7AA1">
        <w:rPr>
          <w:rFonts w:ascii="Calibri" w:hAnsi="Calibri" w:cs="Calibri"/>
          <w:sz w:val="24"/>
          <w:szCs w:val="24"/>
        </w:rPr>
        <w:t>. He acknowledge</w:t>
      </w:r>
      <w:r w:rsidR="00E546F5" w:rsidRPr="009F7AA1">
        <w:rPr>
          <w:rFonts w:ascii="Calibri" w:hAnsi="Calibri" w:cs="Calibri"/>
          <w:sz w:val="24"/>
          <w:szCs w:val="24"/>
        </w:rPr>
        <w:t>s</w:t>
      </w:r>
      <w:r w:rsidR="006F6C0D">
        <w:rPr>
          <w:rFonts w:ascii="Calibri" w:hAnsi="Calibri" w:cs="Calibri"/>
          <w:sz w:val="24"/>
          <w:szCs w:val="24"/>
        </w:rPr>
        <w:t>,</w:t>
      </w:r>
      <w:r w:rsidR="004B3FCE" w:rsidRPr="009F7AA1">
        <w:rPr>
          <w:rFonts w:ascii="Calibri" w:hAnsi="Calibri" w:cs="Calibri"/>
          <w:sz w:val="24"/>
          <w:szCs w:val="24"/>
        </w:rPr>
        <w:t xml:space="preserve"> however</w:t>
      </w:r>
      <w:r w:rsidR="006F6C0D">
        <w:rPr>
          <w:rFonts w:ascii="Calibri" w:hAnsi="Calibri" w:cs="Calibri"/>
          <w:sz w:val="24"/>
          <w:szCs w:val="24"/>
        </w:rPr>
        <w:t>,</w:t>
      </w:r>
      <w:r w:rsidR="004B3FCE" w:rsidRPr="009F7AA1">
        <w:rPr>
          <w:rFonts w:ascii="Calibri" w:hAnsi="Calibri" w:cs="Calibri"/>
          <w:sz w:val="24"/>
          <w:szCs w:val="24"/>
        </w:rPr>
        <w:t xml:space="preserve"> that</w:t>
      </w:r>
      <w:r w:rsidRPr="009F7AA1">
        <w:rPr>
          <w:rFonts w:ascii="Calibri" w:hAnsi="Calibri" w:cs="Calibri"/>
          <w:sz w:val="24"/>
          <w:szCs w:val="24"/>
        </w:rPr>
        <w:t xml:space="preserve"> its agreements are plagued with limits and failures – fro</w:t>
      </w:r>
      <w:r w:rsidR="004B3FCE" w:rsidRPr="009F7AA1">
        <w:rPr>
          <w:rFonts w:ascii="Calibri" w:hAnsi="Calibri" w:cs="Calibri"/>
          <w:sz w:val="24"/>
          <w:szCs w:val="24"/>
        </w:rPr>
        <w:t xml:space="preserve">m </w:t>
      </w:r>
      <w:r w:rsidRPr="009F7AA1">
        <w:rPr>
          <w:rFonts w:ascii="Calibri" w:hAnsi="Calibri" w:cs="Calibri"/>
          <w:sz w:val="24"/>
          <w:szCs w:val="24"/>
        </w:rPr>
        <w:t xml:space="preserve">incomplete reforms </w:t>
      </w:r>
      <w:r w:rsidR="00276797" w:rsidRPr="009F7AA1">
        <w:rPr>
          <w:rFonts w:ascii="Calibri" w:hAnsi="Calibri" w:cs="Calibri"/>
          <w:sz w:val="24"/>
          <w:szCs w:val="24"/>
        </w:rPr>
        <w:t xml:space="preserve">of the Eurozone </w:t>
      </w:r>
      <w:r w:rsidRPr="009F7AA1">
        <w:rPr>
          <w:rFonts w:ascii="Calibri" w:hAnsi="Calibri" w:cs="Calibri"/>
          <w:sz w:val="24"/>
          <w:szCs w:val="24"/>
        </w:rPr>
        <w:t xml:space="preserve">to the intractable migration conundrum </w:t>
      </w:r>
      <w:r w:rsidR="00276797" w:rsidRPr="009F7AA1">
        <w:rPr>
          <w:rFonts w:ascii="Calibri" w:hAnsi="Calibri" w:cs="Calibri"/>
          <w:sz w:val="24"/>
          <w:szCs w:val="24"/>
        </w:rPr>
        <w:t>–</w:t>
      </w:r>
      <w:r w:rsidRPr="009F7AA1">
        <w:rPr>
          <w:rFonts w:ascii="Calibri" w:hAnsi="Calibri" w:cs="Calibri"/>
          <w:sz w:val="24"/>
          <w:szCs w:val="24"/>
        </w:rPr>
        <w:t xml:space="preserve"> as he </w:t>
      </w:r>
      <w:r w:rsidR="00276797" w:rsidRPr="009F7AA1">
        <w:rPr>
          <w:rFonts w:ascii="Calibri" w:hAnsi="Calibri" w:cs="Calibri"/>
          <w:sz w:val="24"/>
          <w:szCs w:val="24"/>
        </w:rPr>
        <w:t>demonstrates</w:t>
      </w:r>
      <w:r w:rsidRPr="009F7AA1">
        <w:rPr>
          <w:rFonts w:ascii="Calibri" w:hAnsi="Calibri" w:cs="Calibri"/>
          <w:sz w:val="24"/>
          <w:szCs w:val="24"/>
        </w:rPr>
        <w:t xml:space="preserve"> in a dedicated section of the book. In crisis,</w:t>
      </w:r>
      <w:r w:rsidR="009F7AA1" w:rsidRPr="009F7AA1">
        <w:rPr>
          <w:rFonts w:ascii="Calibri" w:hAnsi="Calibri" w:cs="Calibri"/>
          <w:sz w:val="24"/>
          <w:szCs w:val="24"/>
        </w:rPr>
        <w:t xml:space="preserve"> he notes,</w:t>
      </w:r>
      <w:r w:rsidRPr="009F7AA1">
        <w:rPr>
          <w:rFonts w:ascii="Calibri" w:hAnsi="Calibri" w:cs="Calibri"/>
          <w:sz w:val="24"/>
          <w:szCs w:val="24"/>
        </w:rPr>
        <w:t xml:space="preserve"> the European Council increasingly takes the role of ‘a quasi-legislative initiator’ (307) displacing the Commission’s exclusive right of initiative.</w:t>
      </w:r>
      <w:r w:rsidR="009F7AA1" w:rsidRPr="009F7AA1">
        <w:rPr>
          <w:rFonts w:ascii="Calibri" w:hAnsi="Calibri" w:cs="Calibri"/>
          <w:sz w:val="24"/>
          <w:szCs w:val="24"/>
        </w:rPr>
        <w:t xml:space="preserve"> The European Council meddles in its agenda setting functions, often tasking the Commission, which usually – but not always – responds</w:t>
      </w:r>
      <w:r w:rsidR="003C79EA">
        <w:rPr>
          <w:rFonts w:ascii="Calibri" w:hAnsi="Calibri" w:cs="Calibri"/>
          <w:sz w:val="24"/>
          <w:szCs w:val="24"/>
        </w:rPr>
        <w:t xml:space="preserve">, albeit </w:t>
      </w:r>
      <w:r w:rsidR="009F7AA1" w:rsidRPr="009F7AA1">
        <w:rPr>
          <w:rFonts w:ascii="Calibri" w:hAnsi="Calibri" w:cs="Calibri"/>
          <w:sz w:val="24"/>
          <w:szCs w:val="24"/>
        </w:rPr>
        <w:t>with considerable room for manoeuvre. In 2014, and then again in 2019, the EUCO adopted the leaders’ ‘New Strategic Agenda’ for the upcoming five years, which Werts interprets as a sign of its dominance in defining legislative priorities. Inversely, we c</w:t>
      </w:r>
      <w:r w:rsidR="001E0595">
        <w:rPr>
          <w:rFonts w:ascii="Calibri" w:hAnsi="Calibri" w:cs="Calibri"/>
          <w:sz w:val="24"/>
          <w:szCs w:val="24"/>
        </w:rPr>
        <w:t>ould</w:t>
      </w:r>
      <w:r w:rsidR="009F7AA1" w:rsidRPr="009F7AA1">
        <w:rPr>
          <w:rFonts w:ascii="Calibri" w:hAnsi="Calibri" w:cs="Calibri"/>
          <w:sz w:val="24"/>
          <w:szCs w:val="24"/>
        </w:rPr>
        <w:t xml:space="preserve"> see this initiative as a </w:t>
      </w:r>
      <w:r w:rsidR="003C79EA">
        <w:rPr>
          <w:rFonts w:ascii="Calibri" w:hAnsi="Calibri" w:cs="Calibri"/>
          <w:sz w:val="24"/>
          <w:szCs w:val="24"/>
        </w:rPr>
        <w:t xml:space="preserve">direct </w:t>
      </w:r>
      <w:r w:rsidR="009F7AA1" w:rsidRPr="009F7AA1">
        <w:rPr>
          <w:rFonts w:ascii="Calibri" w:hAnsi="Calibri" w:cs="Calibri"/>
          <w:sz w:val="24"/>
          <w:szCs w:val="24"/>
        </w:rPr>
        <w:t xml:space="preserve">response to the effort of Juncker’s </w:t>
      </w:r>
      <w:r w:rsidR="00C63BF3">
        <w:rPr>
          <w:rFonts w:ascii="Calibri" w:hAnsi="Calibri" w:cs="Calibri"/>
          <w:sz w:val="24"/>
          <w:szCs w:val="24"/>
        </w:rPr>
        <w:t>‘</w:t>
      </w:r>
      <w:r w:rsidR="009F7AA1" w:rsidRPr="009F7AA1">
        <w:rPr>
          <w:rFonts w:ascii="Calibri" w:hAnsi="Calibri" w:cs="Calibri"/>
          <w:sz w:val="24"/>
          <w:szCs w:val="24"/>
        </w:rPr>
        <w:t>Political Commission</w:t>
      </w:r>
      <w:r w:rsidR="00C63BF3">
        <w:rPr>
          <w:rFonts w:ascii="Calibri" w:hAnsi="Calibri" w:cs="Calibri"/>
          <w:sz w:val="24"/>
          <w:szCs w:val="24"/>
        </w:rPr>
        <w:t>’ and Von der Leyen’s ‘Geopolitical Commission’</w:t>
      </w:r>
      <w:r w:rsidR="009F7AA1" w:rsidRPr="009F7AA1">
        <w:rPr>
          <w:rFonts w:ascii="Calibri" w:hAnsi="Calibri" w:cs="Calibri"/>
          <w:sz w:val="24"/>
          <w:szCs w:val="24"/>
        </w:rPr>
        <w:t xml:space="preserve"> to set the Union</w:t>
      </w:r>
      <w:r w:rsidR="006A5CCF">
        <w:rPr>
          <w:rFonts w:ascii="Calibri" w:hAnsi="Calibri" w:cs="Calibri"/>
          <w:sz w:val="24"/>
          <w:szCs w:val="24"/>
        </w:rPr>
        <w:t>’s</w:t>
      </w:r>
      <w:r w:rsidR="009F7AA1" w:rsidRPr="009F7AA1">
        <w:rPr>
          <w:rFonts w:ascii="Calibri" w:hAnsi="Calibri" w:cs="Calibri"/>
          <w:sz w:val="24"/>
          <w:szCs w:val="24"/>
        </w:rPr>
        <w:t xml:space="preserve"> priorities and an attempt to regain an ability for strategic planning beyond crisis response.</w:t>
      </w:r>
      <w:r w:rsidR="003C79EA">
        <w:rPr>
          <w:rFonts w:ascii="Calibri" w:hAnsi="Calibri" w:cs="Calibri"/>
          <w:sz w:val="24"/>
          <w:szCs w:val="24"/>
        </w:rPr>
        <w:t xml:space="preserve"> </w:t>
      </w:r>
      <w:r w:rsidR="00A440ED">
        <w:rPr>
          <w:rFonts w:ascii="Calibri" w:hAnsi="Calibri" w:cs="Calibri"/>
          <w:sz w:val="24"/>
          <w:szCs w:val="24"/>
        </w:rPr>
        <w:t>On balance</w:t>
      </w:r>
      <w:r w:rsidR="009F7AA1" w:rsidRPr="00EB1992">
        <w:rPr>
          <w:rFonts w:ascii="Calibri" w:hAnsi="Calibri" w:cs="Calibri"/>
          <w:sz w:val="24"/>
          <w:szCs w:val="24"/>
        </w:rPr>
        <w:t xml:space="preserve">, Werts sees the European Council less as an agenda setter, a role it may have been fulfilling </w:t>
      </w:r>
      <w:r w:rsidR="009F7AA1">
        <w:rPr>
          <w:rFonts w:ascii="Calibri" w:hAnsi="Calibri" w:cs="Calibri"/>
          <w:sz w:val="24"/>
          <w:szCs w:val="24"/>
        </w:rPr>
        <w:t xml:space="preserve">more effectively </w:t>
      </w:r>
      <w:r w:rsidR="009F7AA1" w:rsidRPr="00EB1992">
        <w:rPr>
          <w:rFonts w:ascii="Calibri" w:hAnsi="Calibri" w:cs="Calibri"/>
          <w:sz w:val="24"/>
          <w:szCs w:val="24"/>
        </w:rPr>
        <w:t>in relatively quieter times in the early 2000s, than as a crisis manager.</w:t>
      </w:r>
    </w:p>
    <w:p w14:paraId="50593A0F" w14:textId="66F24252" w:rsidR="00117CCE" w:rsidRPr="004D41BE" w:rsidRDefault="0095221E" w:rsidP="004D41BE">
      <w:pPr>
        <w:jc w:val="both"/>
        <w:rPr>
          <w:rFonts w:ascii="Calibri" w:hAnsi="Calibri" w:cs="Calibri"/>
          <w:sz w:val="24"/>
          <w:szCs w:val="24"/>
        </w:rPr>
      </w:pPr>
      <w:r>
        <w:rPr>
          <w:rFonts w:ascii="Calibri" w:hAnsi="Calibri" w:cs="Calibri"/>
          <w:sz w:val="24"/>
          <w:szCs w:val="24"/>
        </w:rPr>
        <w:t xml:space="preserve">The assessment of </w:t>
      </w:r>
      <w:r w:rsidR="00117CCE" w:rsidRPr="004D41BE">
        <w:rPr>
          <w:rFonts w:ascii="Calibri" w:hAnsi="Calibri" w:cs="Calibri"/>
          <w:sz w:val="24"/>
          <w:szCs w:val="24"/>
        </w:rPr>
        <w:t>Wessels et al.</w:t>
      </w:r>
      <w:r>
        <w:rPr>
          <w:rFonts w:ascii="Calibri" w:hAnsi="Calibri" w:cs="Calibri"/>
          <w:sz w:val="24"/>
          <w:szCs w:val="24"/>
        </w:rPr>
        <w:t xml:space="preserve"> is largely convergent.</w:t>
      </w:r>
      <w:r w:rsidR="00117CCE" w:rsidRPr="004D41BE">
        <w:rPr>
          <w:rFonts w:ascii="Calibri" w:hAnsi="Calibri" w:cs="Calibri"/>
          <w:sz w:val="24"/>
          <w:szCs w:val="24"/>
        </w:rPr>
        <w:t xml:space="preserve"> </w:t>
      </w:r>
      <w:r>
        <w:rPr>
          <w:rFonts w:ascii="Calibri" w:hAnsi="Calibri" w:cs="Calibri"/>
          <w:sz w:val="24"/>
          <w:szCs w:val="24"/>
        </w:rPr>
        <w:t>T</w:t>
      </w:r>
      <w:r w:rsidR="00117CCE" w:rsidRPr="004D41BE">
        <w:rPr>
          <w:rFonts w:ascii="Calibri" w:hAnsi="Calibri" w:cs="Calibri"/>
          <w:sz w:val="24"/>
          <w:szCs w:val="24"/>
        </w:rPr>
        <w:t>he</w:t>
      </w:r>
      <w:r w:rsidR="008C2021">
        <w:rPr>
          <w:rFonts w:ascii="Calibri" w:hAnsi="Calibri" w:cs="Calibri"/>
          <w:sz w:val="24"/>
          <w:szCs w:val="24"/>
        </w:rPr>
        <w:t>y argue that</w:t>
      </w:r>
      <w:r w:rsidR="00117CCE" w:rsidRPr="004D41BE">
        <w:rPr>
          <w:rFonts w:ascii="Calibri" w:hAnsi="Calibri" w:cs="Calibri"/>
          <w:sz w:val="24"/>
          <w:szCs w:val="24"/>
        </w:rPr>
        <w:t xml:space="preserve"> </w:t>
      </w:r>
      <w:r w:rsidR="004D5343">
        <w:rPr>
          <w:rFonts w:ascii="Calibri" w:hAnsi="Calibri" w:cs="Calibri"/>
          <w:sz w:val="24"/>
          <w:szCs w:val="24"/>
        </w:rPr>
        <w:t xml:space="preserve">the </w:t>
      </w:r>
      <w:r w:rsidR="00117CCE" w:rsidRPr="004D41BE">
        <w:rPr>
          <w:rFonts w:ascii="Calibri" w:hAnsi="Calibri" w:cs="Calibri"/>
          <w:sz w:val="24"/>
          <w:szCs w:val="24"/>
        </w:rPr>
        <w:t>EUCO has ‘exercised a de facto political and procedural leadership role’ in the C</w:t>
      </w:r>
      <w:r>
        <w:rPr>
          <w:rFonts w:ascii="Calibri" w:hAnsi="Calibri" w:cs="Calibri"/>
          <w:sz w:val="24"/>
          <w:szCs w:val="24"/>
        </w:rPr>
        <w:t>OVID</w:t>
      </w:r>
      <w:r w:rsidR="00117CCE" w:rsidRPr="004D41BE">
        <w:rPr>
          <w:rFonts w:ascii="Calibri" w:hAnsi="Calibri" w:cs="Calibri"/>
          <w:sz w:val="24"/>
          <w:szCs w:val="24"/>
        </w:rPr>
        <w:t>-19 crisis (97), commanding both the problem-solving abilities and the necessary legitimacy to address the economic and budgetary dimension of the recovery. They describe how the European Council endorsed a recovery fund in April 2020 tasking the Commission to come up with</w:t>
      </w:r>
      <w:r w:rsidR="001B7563">
        <w:rPr>
          <w:rFonts w:ascii="Calibri" w:hAnsi="Calibri" w:cs="Calibri"/>
          <w:sz w:val="24"/>
          <w:szCs w:val="24"/>
        </w:rPr>
        <w:t xml:space="preserve"> concrete</w:t>
      </w:r>
      <w:r w:rsidR="00117CCE" w:rsidRPr="004D41BE">
        <w:rPr>
          <w:rFonts w:ascii="Calibri" w:hAnsi="Calibri" w:cs="Calibri"/>
          <w:sz w:val="24"/>
          <w:szCs w:val="24"/>
        </w:rPr>
        <w:t xml:space="preserve"> proposals. The agenda setting Franco-German initiative of May 2020 on a recovery package including loans and grants </w:t>
      </w:r>
      <w:r w:rsidR="001B7563">
        <w:rPr>
          <w:rFonts w:ascii="Calibri" w:hAnsi="Calibri" w:cs="Calibri"/>
          <w:sz w:val="24"/>
          <w:szCs w:val="24"/>
        </w:rPr>
        <w:t>as well as</w:t>
      </w:r>
      <w:r w:rsidR="00117CCE" w:rsidRPr="004D41BE">
        <w:rPr>
          <w:rFonts w:ascii="Calibri" w:hAnsi="Calibri" w:cs="Calibri"/>
          <w:sz w:val="24"/>
          <w:szCs w:val="24"/>
        </w:rPr>
        <w:t xml:space="preserve"> joint borrowing </w:t>
      </w:r>
      <w:r w:rsidR="001B7563">
        <w:rPr>
          <w:rFonts w:ascii="Calibri" w:hAnsi="Calibri" w:cs="Calibri"/>
          <w:sz w:val="24"/>
          <w:szCs w:val="24"/>
        </w:rPr>
        <w:t xml:space="preserve">– effectively breaking the </w:t>
      </w:r>
      <w:r w:rsidR="00173F65">
        <w:rPr>
          <w:rFonts w:ascii="Calibri" w:hAnsi="Calibri" w:cs="Calibri"/>
          <w:sz w:val="24"/>
          <w:szCs w:val="24"/>
        </w:rPr>
        <w:t xml:space="preserve">pre-existing </w:t>
      </w:r>
      <w:r w:rsidR="001B7563">
        <w:rPr>
          <w:rFonts w:ascii="Calibri" w:hAnsi="Calibri" w:cs="Calibri"/>
          <w:sz w:val="24"/>
          <w:szCs w:val="24"/>
        </w:rPr>
        <w:t xml:space="preserve">taboo </w:t>
      </w:r>
      <w:r w:rsidR="00173F65">
        <w:rPr>
          <w:rFonts w:ascii="Calibri" w:hAnsi="Calibri" w:cs="Calibri"/>
          <w:sz w:val="24"/>
          <w:szCs w:val="24"/>
        </w:rPr>
        <w:t xml:space="preserve">around </w:t>
      </w:r>
      <w:r w:rsidR="0093586E">
        <w:rPr>
          <w:rFonts w:ascii="Calibri" w:hAnsi="Calibri" w:cs="Calibri"/>
          <w:sz w:val="24"/>
          <w:szCs w:val="24"/>
        </w:rPr>
        <w:t>’Eurobonds’</w:t>
      </w:r>
      <w:r w:rsidR="001B7563">
        <w:rPr>
          <w:rFonts w:ascii="Calibri" w:hAnsi="Calibri" w:cs="Calibri"/>
          <w:sz w:val="24"/>
          <w:szCs w:val="24"/>
        </w:rPr>
        <w:t xml:space="preserve"> –</w:t>
      </w:r>
      <w:r w:rsidR="00173F65">
        <w:rPr>
          <w:rFonts w:ascii="Calibri" w:hAnsi="Calibri" w:cs="Calibri"/>
          <w:sz w:val="24"/>
          <w:szCs w:val="24"/>
        </w:rPr>
        <w:t xml:space="preserve"> </w:t>
      </w:r>
      <w:r w:rsidR="00117CCE" w:rsidRPr="004D41BE">
        <w:rPr>
          <w:rFonts w:ascii="Calibri" w:hAnsi="Calibri" w:cs="Calibri"/>
          <w:sz w:val="24"/>
          <w:szCs w:val="24"/>
        </w:rPr>
        <w:t>was key in defining the contours of an agreement. It was taken up by the Commission and European Council</w:t>
      </w:r>
      <w:r w:rsidR="00064101">
        <w:rPr>
          <w:rFonts w:ascii="Calibri" w:hAnsi="Calibri" w:cs="Calibri"/>
          <w:sz w:val="24"/>
          <w:szCs w:val="24"/>
        </w:rPr>
        <w:t xml:space="preserve"> </w:t>
      </w:r>
      <w:r w:rsidR="00520D20">
        <w:rPr>
          <w:rFonts w:ascii="Calibri" w:hAnsi="Calibri" w:cs="Calibri"/>
          <w:sz w:val="24"/>
          <w:szCs w:val="24"/>
        </w:rPr>
        <w:t>President</w:t>
      </w:r>
      <w:r w:rsidR="00117CCE" w:rsidRPr="004D41BE">
        <w:rPr>
          <w:rFonts w:ascii="Calibri" w:hAnsi="Calibri" w:cs="Calibri"/>
          <w:sz w:val="24"/>
          <w:szCs w:val="24"/>
        </w:rPr>
        <w:t xml:space="preserve"> as the basis </w:t>
      </w:r>
      <w:r w:rsidR="001E602D">
        <w:rPr>
          <w:rFonts w:ascii="Calibri" w:hAnsi="Calibri" w:cs="Calibri"/>
          <w:sz w:val="24"/>
          <w:szCs w:val="24"/>
        </w:rPr>
        <w:t>for</w:t>
      </w:r>
      <w:r w:rsidR="00117CCE" w:rsidRPr="004D41BE">
        <w:rPr>
          <w:rFonts w:ascii="Calibri" w:hAnsi="Calibri" w:cs="Calibri"/>
          <w:sz w:val="24"/>
          <w:szCs w:val="24"/>
        </w:rPr>
        <w:t xml:space="preserve"> the proposal</w:t>
      </w:r>
      <w:r w:rsidR="001E602D">
        <w:rPr>
          <w:rFonts w:ascii="Calibri" w:hAnsi="Calibri" w:cs="Calibri"/>
          <w:sz w:val="24"/>
          <w:szCs w:val="24"/>
        </w:rPr>
        <w:t xml:space="preserve">s and </w:t>
      </w:r>
      <w:r w:rsidR="00064101">
        <w:rPr>
          <w:rFonts w:ascii="Calibri" w:hAnsi="Calibri" w:cs="Calibri"/>
          <w:sz w:val="24"/>
          <w:szCs w:val="24"/>
        </w:rPr>
        <w:t>‘</w:t>
      </w:r>
      <w:r w:rsidR="001E602D">
        <w:rPr>
          <w:rFonts w:ascii="Calibri" w:hAnsi="Calibri" w:cs="Calibri"/>
          <w:sz w:val="24"/>
          <w:szCs w:val="24"/>
        </w:rPr>
        <w:t>negotiation box</w:t>
      </w:r>
      <w:r w:rsidR="00064101">
        <w:rPr>
          <w:rFonts w:ascii="Calibri" w:hAnsi="Calibri" w:cs="Calibri"/>
          <w:sz w:val="24"/>
          <w:szCs w:val="24"/>
        </w:rPr>
        <w:t>’</w:t>
      </w:r>
      <w:r w:rsidR="00117CCE" w:rsidRPr="004D41BE">
        <w:rPr>
          <w:rFonts w:ascii="Calibri" w:hAnsi="Calibri" w:cs="Calibri"/>
          <w:sz w:val="24"/>
          <w:szCs w:val="24"/>
        </w:rPr>
        <w:t xml:space="preserve"> on which the leaders painstakingly reached a final agreement at their July 2020 meeting, overcoming the resistance of the ‘Frugal Four’ and tensions with Hungary and Poland over the rule of law through carefully crafted yet ambiguous compromises. The European Council ‘de facto defined key issues for the subsequent legislative </w:t>
      </w:r>
      <w:r w:rsidR="00DE13A2">
        <w:rPr>
          <w:rFonts w:ascii="Calibri" w:hAnsi="Calibri" w:cs="Calibri"/>
          <w:sz w:val="24"/>
          <w:szCs w:val="24"/>
        </w:rPr>
        <w:t>process</w:t>
      </w:r>
      <w:r w:rsidR="00117CCE" w:rsidRPr="004D41BE">
        <w:rPr>
          <w:rFonts w:ascii="Calibri" w:hAnsi="Calibri" w:cs="Calibri"/>
          <w:sz w:val="24"/>
          <w:szCs w:val="24"/>
        </w:rPr>
        <w:t xml:space="preserve"> and thus acted as </w:t>
      </w:r>
      <w:r w:rsidR="00EA4F48">
        <w:rPr>
          <w:rFonts w:ascii="Calibri" w:hAnsi="Calibri" w:cs="Calibri"/>
          <w:sz w:val="24"/>
          <w:szCs w:val="24"/>
        </w:rPr>
        <w:t>‘</w:t>
      </w:r>
      <w:r w:rsidR="00117CCE" w:rsidRPr="004D41BE">
        <w:rPr>
          <w:rFonts w:ascii="Calibri" w:hAnsi="Calibri" w:cs="Calibri"/>
          <w:sz w:val="24"/>
          <w:szCs w:val="24"/>
        </w:rPr>
        <w:t>a real legislator</w:t>
      </w:r>
      <w:r w:rsidR="006932BB">
        <w:rPr>
          <w:rFonts w:ascii="Calibri" w:hAnsi="Calibri" w:cs="Calibri"/>
          <w:sz w:val="24"/>
          <w:szCs w:val="24"/>
        </w:rPr>
        <w:t>”</w:t>
      </w:r>
      <w:r w:rsidR="00117CCE" w:rsidRPr="004D41BE">
        <w:rPr>
          <w:rFonts w:ascii="Calibri" w:hAnsi="Calibri" w:cs="Calibri"/>
          <w:sz w:val="24"/>
          <w:szCs w:val="24"/>
        </w:rPr>
        <w:t xml:space="preserve"> (64), closely orienting the work of the Commission, Council and EP on the </w:t>
      </w:r>
      <w:r w:rsidR="00EA4F48">
        <w:rPr>
          <w:rFonts w:ascii="Calibri" w:hAnsi="Calibri" w:cs="Calibri"/>
          <w:sz w:val="24"/>
          <w:szCs w:val="24"/>
        </w:rPr>
        <w:t>MFF and RRF</w:t>
      </w:r>
      <w:r w:rsidR="00117CCE" w:rsidRPr="004D41BE">
        <w:rPr>
          <w:rFonts w:ascii="Calibri" w:hAnsi="Calibri" w:cs="Calibri"/>
          <w:sz w:val="24"/>
          <w:szCs w:val="24"/>
        </w:rPr>
        <w:t>. The Commission was influential in framing the discussions and proposals but never captured the EUCO’s intellectual agenda (74)</w:t>
      </w:r>
      <w:r w:rsidR="00CD6FDD">
        <w:rPr>
          <w:rFonts w:ascii="Calibri" w:hAnsi="Calibri" w:cs="Calibri"/>
          <w:sz w:val="24"/>
          <w:szCs w:val="24"/>
        </w:rPr>
        <w:t>,</w:t>
      </w:r>
      <w:r w:rsidR="00117CCE" w:rsidRPr="004D41BE">
        <w:rPr>
          <w:rFonts w:ascii="Calibri" w:hAnsi="Calibri" w:cs="Calibri"/>
          <w:sz w:val="24"/>
          <w:szCs w:val="24"/>
        </w:rPr>
        <w:t xml:space="preserve"> </w:t>
      </w:r>
      <w:r w:rsidR="00CD6FDD">
        <w:rPr>
          <w:rFonts w:ascii="Calibri" w:hAnsi="Calibri" w:cs="Calibri"/>
          <w:sz w:val="24"/>
          <w:szCs w:val="24"/>
        </w:rPr>
        <w:t xml:space="preserve">providing </w:t>
      </w:r>
      <w:r w:rsidR="007A2179">
        <w:rPr>
          <w:rFonts w:ascii="Calibri" w:hAnsi="Calibri" w:cs="Calibri"/>
          <w:sz w:val="24"/>
          <w:szCs w:val="24"/>
        </w:rPr>
        <w:t>i</w:t>
      </w:r>
      <w:r w:rsidR="007A2179" w:rsidRPr="004D41BE">
        <w:rPr>
          <w:rFonts w:ascii="Calibri" w:hAnsi="Calibri" w:cs="Calibri"/>
          <w:sz w:val="24"/>
          <w:szCs w:val="24"/>
        </w:rPr>
        <w:t xml:space="preserve">nstead </w:t>
      </w:r>
      <w:r w:rsidR="00117CCE" w:rsidRPr="004D41BE">
        <w:rPr>
          <w:rFonts w:ascii="Calibri" w:hAnsi="Calibri" w:cs="Calibri"/>
          <w:sz w:val="24"/>
          <w:szCs w:val="24"/>
        </w:rPr>
        <w:t>‘services to the club’ (111) in drafting proposals and facilitating agreement. Its limited influence in agenda setting is contrasted with its empowerment in implementing the RRF, including the monitoring of progress and conditional disbursements,</w:t>
      </w:r>
      <w:r w:rsidR="00C532B6">
        <w:rPr>
          <w:rFonts w:ascii="Calibri" w:hAnsi="Calibri" w:cs="Calibri"/>
          <w:sz w:val="24"/>
          <w:szCs w:val="24"/>
        </w:rPr>
        <w:t xml:space="preserve"> yet</w:t>
      </w:r>
      <w:r w:rsidR="00117CCE" w:rsidRPr="004D41BE">
        <w:rPr>
          <w:rFonts w:ascii="Calibri" w:hAnsi="Calibri" w:cs="Calibri"/>
          <w:sz w:val="24"/>
          <w:szCs w:val="24"/>
        </w:rPr>
        <w:t xml:space="preserve"> tempered by control mechanisms through the Council and comitology.</w:t>
      </w:r>
      <w:r w:rsidR="00520D20">
        <w:rPr>
          <w:rFonts w:ascii="Calibri" w:hAnsi="Calibri" w:cs="Calibri"/>
          <w:sz w:val="24"/>
          <w:szCs w:val="24"/>
        </w:rPr>
        <w:t xml:space="preserve"> This European Council centric account</w:t>
      </w:r>
      <w:r w:rsidR="00A05CF1">
        <w:rPr>
          <w:rFonts w:ascii="Calibri" w:hAnsi="Calibri" w:cs="Calibri"/>
          <w:sz w:val="24"/>
          <w:szCs w:val="24"/>
        </w:rPr>
        <w:t xml:space="preserve"> contrast</w:t>
      </w:r>
      <w:r w:rsidR="00B5442D">
        <w:rPr>
          <w:rFonts w:ascii="Calibri" w:hAnsi="Calibri" w:cs="Calibri"/>
          <w:sz w:val="24"/>
          <w:szCs w:val="24"/>
        </w:rPr>
        <w:t>s</w:t>
      </w:r>
      <w:r w:rsidR="00A05CF1">
        <w:rPr>
          <w:rFonts w:ascii="Calibri" w:hAnsi="Calibri" w:cs="Calibri"/>
          <w:sz w:val="24"/>
          <w:szCs w:val="24"/>
        </w:rPr>
        <w:t xml:space="preserve"> with other</w:t>
      </w:r>
      <w:r w:rsidR="00C215F7">
        <w:rPr>
          <w:rFonts w:ascii="Calibri" w:hAnsi="Calibri" w:cs="Calibri"/>
          <w:sz w:val="24"/>
          <w:szCs w:val="24"/>
        </w:rPr>
        <w:t>s,</w:t>
      </w:r>
      <w:r w:rsidR="00B62425">
        <w:rPr>
          <w:rFonts w:ascii="Calibri" w:hAnsi="Calibri" w:cs="Calibri"/>
          <w:sz w:val="24"/>
          <w:szCs w:val="24"/>
        </w:rPr>
        <w:t xml:space="preserve"> which </w:t>
      </w:r>
      <w:r w:rsidR="00B62425">
        <w:rPr>
          <w:rFonts w:ascii="Calibri" w:hAnsi="Calibri" w:cs="Calibri"/>
          <w:sz w:val="24"/>
          <w:szCs w:val="24"/>
        </w:rPr>
        <w:lastRenderedPageBreak/>
        <w:t xml:space="preserve">emphasise </w:t>
      </w:r>
      <w:r w:rsidR="002242F3">
        <w:rPr>
          <w:rFonts w:ascii="Calibri" w:hAnsi="Calibri" w:cs="Calibri"/>
          <w:sz w:val="24"/>
          <w:szCs w:val="24"/>
        </w:rPr>
        <w:t xml:space="preserve">the pro-active role of the Commission and its </w:t>
      </w:r>
      <w:r w:rsidR="00710B94">
        <w:rPr>
          <w:rFonts w:ascii="Calibri" w:hAnsi="Calibri" w:cs="Calibri"/>
          <w:sz w:val="24"/>
          <w:szCs w:val="24"/>
        </w:rPr>
        <w:t>President in</w:t>
      </w:r>
      <w:r w:rsidR="002B2389">
        <w:rPr>
          <w:rFonts w:ascii="Calibri" w:hAnsi="Calibri" w:cs="Calibri"/>
          <w:sz w:val="24"/>
          <w:szCs w:val="24"/>
        </w:rPr>
        <w:t xml:space="preserve"> framing</w:t>
      </w:r>
      <w:r w:rsidR="009743FC">
        <w:rPr>
          <w:rFonts w:ascii="Calibri" w:hAnsi="Calibri" w:cs="Calibri"/>
          <w:sz w:val="24"/>
          <w:szCs w:val="24"/>
        </w:rPr>
        <w:t xml:space="preserve"> the debate</w:t>
      </w:r>
      <w:r w:rsidR="002B2389">
        <w:rPr>
          <w:rFonts w:ascii="Calibri" w:hAnsi="Calibri" w:cs="Calibri"/>
          <w:sz w:val="24"/>
          <w:szCs w:val="24"/>
        </w:rPr>
        <w:t xml:space="preserve"> early and</w:t>
      </w:r>
      <w:r w:rsidR="009743FC">
        <w:rPr>
          <w:rFonts w:ascii="Calibri" w:hAnsi="Calibri" w:cs="Calibri"/>
          <w:sz w:val="24"/>
          <w:szCs w:val="24"/>
        </w:rPr>
        <w:t xml:space="preserve"> </w:t>
      </w:r>
      <w:r w:rsidR="002B2389">
        <w:rPr>
          <w:rFonts w:ascii="Calibri" w:hAnsi="Calibri" w:cs="Calibri"/>
          <w:sz w:val="24"/>
          <w:szCs w:val="24"/>
        </w:rPr>
        <w:t>making concrete</w:t>
      </w:r>
      <w:r w:rsidR="00690F3D">
        <w:rPr>
          <w:rFonts w:ascii="Calibri" w:hAnsi="Calibri" w:cs="Calibri"/>
          <w:sz w:val="24"/>
          <w:szCs w:val="24"/>
        </w:rPr>
        <w:t xml:space="preserve"> </w:t>
      </w:r>
      <w:r w:rsidR="008159D4" w:rsidRPr="008159D4">
        <w:rPr>
          <w:rFonts w:ascii="Calibri" w:hAnsi="Calibri" w:cs="Calibri"/>
          <w:sz w:val="24"/>
          <w:szCs w:val="24"/>
        </w:rPr>
        <w:t xml:space="preserve">proposals </w:t>
      </w:r>
      <w:r w:rsidR="00F66CEF">
        <w:rPr>
          <w:rFonts w:ascii="Calibri" w:hAnsi="Calibri" w:cs="Calibri"/>
          <w:sz w:val="24"/>
          <w:szCs w:val="24"/>
        </w:rPr>
        <w:t xml:space="preserve">that </w:t>
      </w:r>
      <w:r w:rsidR="00690F3D">
        <w:rPr>
          <w:rFonts w:ascii="Calibri" w:hAnsi="Calibri" w:cs="Calibri"/>
          <w:sz w:val="24"/>
          <w:szCs w:val="24"/>
        </w:rPr>
        <w:t xml:space="preserve">shaped the EUCO’s agreement </w:t>
      </w:r>
      <w:r w:rsidR="00B62425">
        <w:rPr>
          <w:rFonts w:ascii="Calibri" w:hAnsi="Calibri" w:cs="Calibri"/>
          <w:sz w:val="24"/>
          <w:szCs w:val="24"/>
        </w:rPr>
        <w:t>(Kassim 202</w:t>
      </w:r>
      <w:r w:rsidR="00C215F7">
        <w:rPr>
          <w:rFonts w:ascii="Calibri" w:hAnsi="Calibri" w:cs="Calibri"/>
          <w:sz w:val="24"/>
          <w:szCs w:val="24"/>
        </w:rPr>
        <w:t>3</w:t>
      </w:r>
      <w:r w:rsidR="00B62425">
        <w:rPr>
          <w:rFonts w:ascii="Calibri" w:hAnsi="Calibri" w:cs="Calibri"/>
          <w:sz w:val="24"/>
          <w:szCs w:val="24"/>
        </w:rPr>
        <w:t>).</w:t>
      </w:r>
      <w:r w:rsidR="00A05CF1">
        <w:rPr>
          <w:rFonts w:ascii="Calibri" w:hAnsi="Calibri" w:cs="Calibri"/>
          <w:sz w:val="24"/>
          <w:szCs w:val="24"/>
        </w:rPr>
        <w:t xml:space="preserve"> </w:t>
      </w:r>
      <w:r w:rsidR="00520D20">
        <w:rPr>
          <w:rFonts w:ascii="Calibri" w:hAnsi="Calibri" w:cs="Calibri"/>
          <w:sz w:val="24"/>
          <w:szCs w:val="24"/>
        </w:rPr>
        <w:t xml:space="preserve"> </w:t>
      </w:r>
    </w:p>
    <w:p w14:paraId="0A15212D" w14:textId="76E73CB8" w:rsidR="00117CCE" w:rsidRPr="00710B94" w:rsidRDefault="00710B94" w:rsidP="00710B94">
      <w:pPr>
        <w:jc w:val="both"/>
        <w:rPr>
          <w:rFonts w:ascii="Calibri" w:hAnsi="Calibri" w:cs="Calibri"/>
          <w:sz w:val="24"/>
          <w:szCs w:val="24"/>
        </w:rPr>
      </w:pPr>
      <w:r>
        <w:rPr>
          <w:rFonts w:ascii="Calibri" w:hAnsi="Calibri" w:cs="Calibri"/>
          <w:sz w:val="24"/>
          <w:szCs w:val="24"/>
        </w:rPr>
        <w:t>B</w:t>
      </w:r>
      <w:r w:rsidR="00117CCE" w:rsidRPr="00710B94">
        <w:rPr>
          <w:rFonts w:ascii="Calibri" w:hAnsi="Calibri" w:cs="Calibri"/>
          <w:sz w:val="24"/>
          <w:szCs w:val="24"/>
        </w:rPr>
        <w:t xml:space="preserve">oth </w:t>
      </w:r>
      <w:r>
        <w:rPr>
          <w:rFonts w:ascii="Calibri" w:hAnsi="Calibri" w:cs="Calibri"/>
          <w:sz w:val="24"/>
          <w:szCs w:val="24"/>
        </w:rPr>
        <w:t>Werts and Wessels et al</w:t>
      </w:r>
      <w:r w:rsidR="00FE4F59">
        <w:rPr>
          <w:rFonts w:ascii="Calibri" w:hAnsi="Calibri" w:cs="Calibri"/>
          <w:sz w:val="24"/>
          <w:szCs w:val="24"/>
        </w:rPr>
        <w:t xml:space="preserve">.’s </w:t>
      </w:r>
      <w:r w:rsidR="00117CCE" w:rsidRPr="00710B94">
        <w:rPr>
          <w:rFonts w:ascii="Calibri" w:hAnsi="Calibri" w:cs="Calibri"/>
          <w:sz w:val="24"/>
          <w:szCs w:val="24"/>
        </w:rPr>
        <w:t xml:space="preserve">accounts </w:t>
      </w:r>
      <w:r w:rsidR="001D6413">
        <w:rPr>
          <w:rFonts w:ascii="Calibri" w:hAnsi="Calibri" w:cs="Calibri"/>
          <w:sz w:val="24"/>
          <w:szCs w:val="24"/>
        </w:rPr>
        <w:t xml:space="preserve">thus </w:t>
      </w:r>
      <w:r w:rsidR="00356C38">
        <w:rPr>
          <w:rFonts w:ascii="Calibri" w:hAnsi="Calibri" w:cs="Calibri"/>
          <w:sz w:val="24"/>
          <w:szCs w:val="24"/>
        </w:rPr>
        <w:t>reaffirm</w:t>
      </w:r>
      <w:r w:rsidR="00117CCE" w:rsidRPr="00710B94">
        <w:rPr>
          <w:rFonts w:ascii="Calibri" w:hAnsi="Calibri" w:cs="Calibri"/>
          <w:sz w:val="24"/>
          <w:szCs w:val="24"/>
        </w:rPr>
        <w:t xml:space="preserve"> the new orthodoxy that the EUCO is now the foremost actor and agenda setter and has partly displaced the Commission. At the same time, </w:t>
      </w:r>
      <w:r w:rsidR="00FE4F59">
        <w:rPr>
          <w:rFonts w:ascii="Calibri" w:hAnsi="Calibri" w:cs="Calibri"/>
          <w:sz w:val="24"/>
          <w:szCs w:val="24"/>
        </w:rPr>
        <w:t>they also</w:t>
      </w:r>
      <w:r w:rsidR="00117CCE" w:rsidRPr="00710B94">
        <w:rPr>
          <w:rFonts w:ascii="Calibri" w:hAnsi="Calibri" w:cs="Calibri"/>
          <w:sz w:val="24"/>
          <w:szCs w:val="24"/>
        </w:rPr>
        <w:t xml:space="preserve"> offer</w:t>
      </w:r>
      <w:r w:rsidR="000D35CA">
        <w:rPr>
          <w:rFonts w:ascii="Calibri" w:hAnsi="Calibri" w:cs="Calibri"/>
          <w:sz w:val="24"/>
          <w:szCs w:val="24"/>
        </w:rPr>
        <w:t xml:space="preserve"> some</w:t>
      </w:r>
      <w:r w:rsidR="00117CCE" w:rsidRPr="00710B94">
        <w:rPr>
          <w:rFonts w:ascii="Calibri" w:hAnsi="Calibri" w:cs="Calibri"/>
          <w:sz w:val="24"/>
          <w:szCs w:val="24"/>
        </w:rPr>
        <w:t xml:space="preserve"> nuance</w:t>
      </w:r>
      <w:r w:rsidR="000D35CA">
        <w:rPr>
          <w:rFonts w:ascii="Calibri" w:hAnsi="Calibri" w:cs="Calibri"/>
          <w:sz w:val="24"/>
          <w:szCs w:val="24"/>
        </w:rPr>
        <w:t>. T</w:t>
      </w:r>
      <w:r w:rsidR="00117CCE" w:rsidRPr="00710B94">
        <w:rPr>
          <w:rFonts w:ascii="Calibri" w:hAnsi="Calibri" w:cs="Calibri"/>
          <w:sz w:val="24"/>
          <w:szCs w:val="24"/>
        </w:rPr>
        <w:t xml:space="preserve">he dominant narrative </w:t>
      </w:r>
      <w:r w:rsidR="005C5C92">
        <w:rPr>
          <w:rFonts w:ascii="Calibri" w:hAnsi="Calibri" w:cs="Calibri"/>
          <w:sz w:val="24"/>
          <w:szCs w:val="24"/>
        </w:rPr>
        <w:t xml:space="preserve">is </w:t>
      </w:r>
      <w:r w:rsidR="0081495B">
        <w:rPr>
          <w:rFonts w:ascii="Calibri" w:hAnsi="Calibri" w:cs="Calibri"/>
          <w:sz w:val="24"/>
          <w:szCs w:val="24"/>
        </w:rPr>
        <w:t>at points</w:t>
      </w:r>
      <w:r w:rsidR="00117CCE" w:rsidRPr="00710B94">
        <w:rPr>
          <w:rFonts w:ascii="Calibri" w:hAnsi="Calibri" w:cs="Calibri"/>
          <w:sz w:val="24"/>
          <w:szCs w:val="24"/>
        </w:rPr>
        <w:t xml:space="preserve"> tempered by the </w:t>
      </w:r>
      <w:r w:rsidR="00E31910">
        <w:rPr>
          <w:rFonts w:ascii="Calibri" w:hAnsi="Calibri" w:cs="Calibri"/>
          <w:sz w:val="24"/>
          <w:szCs w:val="24"/>
        </w:rPr>
        <w:t>depiction</w:t>
      </w:r>
      <w:r w:rsidR="00117CCE" w:rsidRPr="00710B94">
        <w:rPr>
          <w:rFonts w:ascii="Calibri" w:hAnsi="Calibri" w:cs="Calibri"/>
          <w:sz w:val="24"/>
          <w:szCs w:val="24"/>
        </w:rPr>
        <w:t xml:space="preserve"> of a </w:t>
      </w:r>
      <w:r w:rsidR="00987DA8">
        <w:rPr>
          <w:rFonts w:ascii="Calibri" w:hAnsi="Calibri" w:cs="Calibri"/>
          <w:sz w:val="24"/>
          <w:szCs w:val="24"/>
        </w:rPr>
        <w:t xml:space="preserve">more </w:t>
      </w:r>
      <w:r w:rsidR="00117CCE" w:rsidRPr="00710B94">
        <w:rPr>
          <w:rFonts w:ascii="Calibri" w:hAnsi="Calibri" w:cs="Calibri"/>
          <w:sz w:val="24"/>
          <w:szCs w:val="24"/>
        </w:rPr>
        <w:t>complex two-way relationship of mutual dependence. Werts observes that the Commission President</w:t>
      </w:r>
      <w:r w:rsidR="00B874E5">
        <w:rPr>
          <w:rFonts w:ascii="Calibri" w:hAnsi="Calibri" w:cs="Calibri"/>
          <w:sz w:val="24"/>
          <w:szCs w:val="24"/>
        </w:rPr>
        <w:t xml:space="preserve">, </w:t>
      </w:r>
      <w:r w:rsidR="00B874E5" w:rsidRPr="00710B94">
        <w:rPr>
          <w:rFonts w:ascii="Calibri" w:hAnsi="Calibri" w:cs="Calibri"/>
          <w:sz w:val="24"/>
          <w:szCs w:val="24"/>
        </w:rPr>
        <w:t xml:space="preserve">using the institution’s extensive machinery and considerable </w:t>
      </w:r>
      <w:r w:rsidR="00B874E5">
        <w:rPr>
          <w:rFonts w:ascii="Calibri" w:hAnsi="Calibri" w:cs="Calibri"/>
          <w:sz w:val="24"/>
          <w:szCs w:val="24"/>
        </w:rPr>
        <w:t xml:space="preserve">technical and political </w:t>
      </w:r>
      <w:r w:rsidR="00B874E5" w:rsidRPr="00710B94">
        <w:rPr>
          <w:rFonts w:ascii="Calibri" w:hAnsi="Calibri" w:cs="Calibri"/>
          <w:sz w:val="24"/>
          <w:szCs w:val="24"/>
        </w:rPr>
        <w:t>expertise,</w:t>
      </w:r>
      <w:r w:rsidR="00117CCE" w:rsidRPr="00710B94">
        <w:rPr>
          <w:rFonts w:ascii="Calibri" w:hAnsi="Calibri" w:cs="Calibri"/>
          <w:sz w:val="24"/>
          <w:szCs w:val="24"/>
        </w:rPr>
        <w:t xml:space="preserve"> guides the European Council’s development</w:t>
      </w:r>
      <w:r w:rsidR="0058668E">
        <w:rPr>
          <w:rFonts w:ascii="Calibri" w:hAnsi="Calibri" w:cs="Calibri"/>
          <w:sz w:val="24"/>
          <w:szCs w:val="24"/>
        </w:rPr>
        <w:t>s</w:t>
      </w:r>
      <w:r w:rsidR="00B874E5">
        <w:rPr>
          <w:rFonts w:ascii="Calibri" w:hAnsi="Calibri" w:cs="Calibri"/>
          <w:sz w:val="24"/>
          <w:szCs w:val="24"/>
        </w:rPr>
        <w:t xml:space="preserve"> </w:t>
      </w:r>
      <w:r w:rsidR="00117CCE" w:rsidRPr="00710B94">
        <w:rPr>
          <w:rFonts w:ascii="Calibri" w:hAnsi="Calibri" w:cs="Calibri"/>
          <w:sz w:val="24"/>
          <w:szCs w:val="24"/>
        </w:rPr>
        <w:t xml:space="preserve">and do the groundwork for virtually all major projects (312-15). In turn, </w:t>
      </w:r>
      <w:r w:rsidR="002D3FDE">
        <w:rPr>
          <w:rFonts w:ascii="Calibri" w:hAnsi="Calibri" w:cs="Calibri"/>
          <w:sz w:val="24"/>
          <w:szCs w:val="24"/>
        </w:rPr>
        <w:t>the Commission</w:t>
      </w:r>
      <w:r w:rsidR="00117CCE" w:rsidRPr="00710B94">
        <w:rPr>
          <w:rFonts w:ascii="Calibri" w:hAnsi="Calibri" w:cs="Calibri"/>
          <w:sz w:val="24"/>
          <w:szCs w:val="24"/>
        </w:rPr>
        <w:t xml:space="preserve"> refers to the Conclusions and seeks the European Council’s endorsement for national support, </w:t>
      </w:r>
      <w:proofErr w:type="gramStart"/>
      <w:r w:rsidR="00117CCE" w:rsidRPr="00710B94">
        <w:rPr>
          <w:rFonts w:ascii="Calibri" w:hAnsi="Calibri" w:cs="Calibri"/>
          <w:sz w:val="24"/>
          <w:szCs w:val="24"/>
        </w:rPr>
        <w:t>legitimacy</w:t>
      </w:r>
      <w:proofErr w:type="gramEnd"/>
      <w:r w:rsidR="00117CCE" w:rsidRPr="00710B94">
        <w:rPr>
          <w:rFonts w:ascii="Calibri" w:hAnsi="Calibri" w:cs="Calibri"/>
          <w:sz w:val="24"/>
          <w:szCs w:val="24"/>
        </w:rPr>
        <w:t xml:space="preserve"> and impetus</w:t>
      </w:r>
      <w:r w:rsidR="00EE1ED5">
        <w:rPr>
          <w:rFonts w:ascii="Calibri" w:hAnsi="Calibri" w:cs="Calibri"/>
          <w:sz w:val="24"/>
          <w:szCs w:val="24"/>
        </w:rPr>
        <w:t xml:space="preserve"> </w:t>
      </w:r>
      <w:r w:rsidR="00EE1ED5" w:rsidRPr="00710B94">
        <w:rPr>
          <w:rFonts w:ascii="Calibri" w:hAnsi="Calibri" w:cs="Calibri"/>
          <w:sz w:val="24"/>
          <w:szCs w:val="24"/>
        </w:rPr>
        <w:t>for all major projects</w:t>
      </w:r>
      <w:r w:rsidR="00117CCE" w:rsidRPr="00710B94">
        <w:rPr>
          <w:rFonts w:ascii="Calibri" w:hAnsi="Calibri" w:cs="Calibri"/>
          <w:sz w:val="24"/>
          <w:szCs w:val="24"/>
        </w:rPr>
        <w:t xml:space="preserve">. A good working relationship between the two Presidents and high officials of both institutions is crucial for the </w:t>
      </w:r>
      <w:proofErr w:type="gramStart"/>
      <w:r w:rsidR="00117CCE" w:rsidRPr="00710B94">
        <w:rPr>
          <w:rFonts w:ascii="Calibri" w:hAnsi="Calibri" w:cs="Calibri"/>
          <w:sz w:val="24"/>
          <w:szCs w:val="24"/>
        </w:rPr>
        <w:t>EU as a whole</w:t>
      </w:r>
      <w:proofErr w:type="gramEnd"/>
      <w:r w:rsidR="00117CCE" w:rsidRPr="00710B94">
        <w:rPr>
          <w:rFonts w:ascii="Calibri" w:hAnsi="Calibri" w:cs="Calibri"/>
          <w:sz w:val="24"/>
          <w:szCs w:val="24"/>
        </w:rPr>
        <w:t>. In the end</w:t>
      </w:r>
      <w:r w:rsidR="002D3FDE">
        <w:rPr>
          <w:rFonts w:ascii="Calibri" w:hAnsi="Calibri" w:cs="Calibri"/>
          <w:sz w:val="24"/>
          <w:szCs w:val="24"/>
        </w:rPr>
        <w:t>,</w:t>
      </w:r>
      <w:r w:rsidR="00117CCE" w:rsidRPr="00710B94">
        <w:rPr>
          <w:rFonts w:ascii="Calibri" w:hAnsi="Calibri" w:cs="Calibri"/>
          <w:sz w:val="24"/>
          <w:szCs w:val="24"/>
        </w:rPr>
        <w:t xml:space="preserve"> the European Council and Commission work as a dual executive with the former in the driving seat</w:t>
      </w:r>
      <w:r w:rsidR="007944AA">
        <w:rPr>
          <w:rFonts w:ascii="Calibri" w:hAnsi="Calibri" w:cs="Calibri"/>
          <w:sz w:val="24"/>
          <w:szCs w:val="24"/>
        </w:rPr>
        <w:t>.</w:t>
      </w:r>
      <w:r w:rsidR="004C5E41">
        <w:rPr>
          <w:rStyle w:val="FootnoteReference"/>
          <w:rFonts w:ascii="Calibri" w:hAnsi="Calibri" w:cs="Calibri"/>
          <w:sz w:val="24"/>
          <w:szCs w:val="24"/>
        </w:rPr>
        <w:footnoteReference w:id="1"/>
      </w:r>
      <w:r w:rsidR="00117CCE" w:rsidRPr="00710B94">
        <w:rPr>
          <w:rFonts w:ascii="Calibri" w:hAnsi="Calibri" w:cs="Calibri"/>
          <w:sz w:val="24"/>
          <w:szCs w:val="24"/>
        </w:rPr>
        <w:t xml:space="preserve"> </w:t>
      </w:r>
    </w:p>
    <w:p w14:paraId="09F7C700" w14:textId="18425DD2" w:rsidR="008B551C" w:rsidRPr="00136714" w:rsidRDefault="00136714" w:rsidP="00136714">
      <w:pPr>
        <w:jc w:val="both"/>
        <w:rPr>
          <w:rFonts w:ascii="Calibri" w:hAnsi="Calibri" w:cs="Calibri"/>
          <w:sz w:val="24"/>
          <w:szCs w:val="24"/>
        </w:rPr>
      </w:pPr>
      <w:r>
        <w:rPr>
          <w:rFonts w:ascii="Calibri" w:hAnsi="Calibri" w:cs="Calibri"/>
          <w:sz w:val="24"/>
          <w:szCs w:val="24"/>
        </w:rPr>
        <w:t xml:space="preserve">With his focus on the </w:t>
      </w:r>
      <w:r w:rsidR="00156954">
        <w:rPr>
          <w:rFonts w:ascii="Calibri" w:hAnsi="Calibri" w:cs="Calibri"/>
          <w:sz w:val="24"/>
          <w:szCs w:val="24"/>
        </w:rPr>
        <w:t>‘</w:t>
      </w:r>
      <w:r w:rsidR="00396B5E">
        <w:rPr>
          <w:rFonts w:ascii="Calibri" w:hAnsi="Calibri" w:cs="Calibri"/>
          <w:sz w:val="24"/>
          <w:szCs w:val="24"/>
        </w:rPr>
        <w:t xml:space="preserve">Political </w:t>
      </w:r>
      <w:r>
        <w:rPr>
          <w:rFonts w:ascii="Calibri" w:hAnsi="Calibri" w:cs="Calibri"/>
          <w:sz w:val="24"/>
          <w:szCs w:val="24"/>
        </w:rPr>
        <w:t>Commission</w:t>
      </w:r>
      <w:r w:rsidR="00156954">
        <w:rPr>
          <w:rFonts w:ascii="Calibri" w:hAnsi="Calibri" w:cs="Calibri"/>
          <w:sz w:val="24"/>
          <w:szCs w:val="24"/>
        </w:rPr>
        <w:t>’</w:t>
      </w:r>
      <w:r w:rsidR="002439BE">
        <w:rPr>
          <w:rFonts w:ascii="Calibri" w:hAnsi="Calibri" w:cs="Calibri"/>
          <w:sz w:val="24"/>
          <w:szCs w:val="24"/>
        </w:rPr>
        <w:t xml:space="preserve">, </w:t>
      </w:r>
      <w:proofErr w:type="spellStart"/>
      <w:r w:rsidR="008A7AEA" w:rsidRPr="00136714">
        <w:rPr>
          <w:rFonts w:ascii="Calibri" w:hAnsi="Calibri" w:cs="Calibri"/>
          <w:sz w:val="24"/>
          <w:szCs w:val="24"/>
        </w:rPr>
        <w:t>Mérand</w:t>
      </w:r>
      <w:proofErr w:type="spellEnd"/>
      <w:r w:rsidR="008A7AEA" w:rsidRPr="00136714">
        <w:rPr>
          <w:rFonts w:ascii="Calibri" w:hAnsi="Calibri" w:cs="Calibri"/>
          <w:sz w:val="24"/>
          <w:szCs w:val="24"/>
        </w:rPr>
        <w:t xml:space="preserve"> </w:t>
      </w:r>
      <w:r w:rsidR="002439BE">
        <w:rPr>
          <w:rFonts w:ascii="Calibri" w:hAnsi="Calibri" w:cs="Calibri"/>
          <w:sz w:val="24"/>
          <w:szCs w:val="24"/>
        </w:rPr>
        <w:t>offers a counterpoint to these accounts</w:t>
      </w:r>
      <w:r w:rsidR="00757F73">
        <w:rPr>
          <w:rFonts w:ascii="Calibri" w:hAnsi="Calibri" w:cs="Calibri"/>
          <w:sz w:val="24"/>
          <w:szCs w:val="24"/>
        </w:rPr>
        <w:t xml:space="preserve">, which does not </w:t>
      </w:r>
      <w:r w:rsidR="00B17001">
        <w:rPr>
          <w:rFonts w:ascii="Calibri" w:hAnsi="Calibri" w:cs="Calibri"/>
          <w:sz w:val="24"/>
          <w:szCs w:val="24"/>
        </w:rPr>
        <w:t xml:space="preserve">necessarily </w:t>
      </w:r>
      <w:r w:rsidR="00757F73">
        <w:rPr>
          <w:rFonts w:ascii="Calibri" w:hAnsi="Calibri" w:cs="Calibri"/>
          <w:sz w:val="24"/>
          <w:szCs w:val="24"/>
        </w:rPr>
        <w:t>challenge</w:t>
      </w:r>
      <w:r w:rsidR="00AF5104">
        <w:rPr>
          <w:rFonts w:ascii="Calibri" w:hAnsi="Calibri" w:cs="Calibri"/>
          <w:sz w:val="24"/>
          <w:szCs w:val="24"/>
        </w:rPr>
        <w:t xml:space="preserve"> them directly</w:t>
      </w:r>
      <w:r w:rsidR="00B17001">
        <w:rPr>
          <w:rFonts w:ascii="Calibri" w:hAnsi="Calibri" w:cs="Calibri"/>
          <w:sz w:val="24"/>
          <w:szCs w:val="24"/>
        </w:rPr>
        <w:t xml:space="preserve"> but </w:t>
      </w:r>
      <w:r w:rsidR="004535FB">
        <w:rPr>
          <w:rFonts w:ascii="Calibri" w:hAnsi="Calibri" w:cs="Calibri"/>
          <w:sz w:val="24"/>
          <w:szCs w:val="24"/>
        </w:rPr>
        <w:t>sidestep</w:t>
      </w:r>
      <w:r w:rsidR="008A613D">
        <w:rPr>
          <w:rFonts w:ascii="Calibri" w:hAnsi="Calibri" w:cs="Calibri"/>
          <w:sz w:val="24"/>
          <w:szCs w:val="24"/>
        </w:rPr>
        <w:t>s</w:t>
      </w:r>
      <w:r w:rsidR="00757F73">
        <w:rPr>
          <w:rFonts w:ascii="Calibri" w:hAnsi="Calibri" w:cs="Calibri"/>
          <w:sz w:val="24"/>
          <w:szCs w:val="24"/>
        </w:rPr>
        <w:t xml:space="preserve"> </w:t>
      </w:r>
      <w:r w:rsidR="00AC5773">
        <w:rPr>
          <w:rFonts w:ascii="Calibri" w:hAnsi="Calibri" w:cs="Calibri"/>
          <w:sz w:val="24"/>
          <w:szCs w:val="24"/>
        </w:rPr>
        <w:t>them</w:t>
      </w:r>
      <w:r w:rsidR="001A5D43" w:rsidRPr="00136714">
        <w:rPr>
          <w:rFonts w:ascii="Calibri" w:hAnsi="Calibri" w:cs="Calibri"/>
          <w:sz w:val="24"/>
          <w:szCs w:val="24"/>
        </w:rPr>
        <w:t xml:space="preserve">. </w:t>
      </w:r>
      <w:r w:rsidR="00620048" w:rsidRPr="00136714">
        <w:rPr>
          <w:rFonts w:ascii="Calibri" w:hAnsi="Calibri" w:cs="Calibri"/>
          <w:sz w:val="24"/>
          <w:szCs w:val="24"/>
        </w:rPr>
        <w:t xml:space="preserve">Adopting </w:t>
      </w:r>
      <w:r w:rsidR="00FC699F">
        <w:rPr>
          <w:rFonts w:ascii="Calibri" w:hAnsi="Calibri" w:cs="Calibri"/>
          <w:sz w:val="24"/>
          <w:szCs w:val="24"/>
        </w:rPr>
        <w:t xml:space="preserve">the </w:t>
      </w:r>
      <w:r w:rsidR="002775CC">
        <w:rPr>
          <w:rFonts w:ascii="Calibri" w:hAnsi="Calibri" w:cs="Calibri"/>
          <w:sz w:val="24"/>
          <w:szCs w:val="24"/>
        </w:rPr>
        <w:t>lenses of</w:t>
      </w:r>
      <w:r w:rsidR="00FC699F">
        <w:rPr>
          <w:rFonts w:ascii="Calibri" w:hAnsi="Calibri" w:cs="Calibri"/>
          <w:sz w:val="24"/>
          <w:szCs w:val="24"/>
        </w:rPr>
        <w:t xml:space="preserve"> </w:t>
      </w:r>
      <w:r w:rsidR="005C4281">
        <w:rPr>
          <w:rFonts w:ascii="Calibri" w:hAnsi="Calibri" w:cs="Calibri"/>
          <w:sz w:val="24"/>
          <w:szCs w:val="24"/>
        </w:rPr>
        <w:t xml:space="preserve">the </w:t>
      </w:r>
      <w:r w:rsidR="00620048" w:rsidRPr="00136714">
        <w:rPr>
          <w:rFonts w:ascii="Calibri" w:hAnsi="Calibri" w:cs="Calibri"/>
          <w:sz w:val="24"/>
          <w:szCs w:val="24"/>
        </w:rPr>
        <w:t>political sociology</w:t>
      </w:r>
      <w:r w:rsidR="001A5D43" w:rsidRPr="00136714">
        <w:rPr>
          <w:rFonts w:ascii="Calibri" w:hAnsi="Calibri" w:cs="Calibri"/>
          <w:sz w:val="24"/>
          <w:szCs w:val="24"/>
        </w:rPr>
        <w:t xml:space="preserve"> </w:t>
      </w:r>
      <w:r w:rsidR="00620048" w:rsidRPr="00136714">
        <w:rPr>
          <w:rFonts w:ascii="Calibri" w:hAnsi="Calibri" w:cs="Calibri"/>
          <w:sz w:val="24"/>
          <w:szCs w:val="24"/>
        </w:rPr>
        <w:t>of institutions</w:t>
      </w:r>
      <w:r w:rsidR="005360C2" w:rsidRPr="00136714">
        <w:rPr>
          <w:rFonts w:ascii="Calibri" w:hAnsi="Calibri" w:cs="Calibri"/>
          <w:sz w:val="24"/>
          <w:szCs w:val="24"/>
        </w:rPr>
        <w:t xml:space="preserve"> and practices</w:t>
      </w:r>
      <w:r w:rsidR="00FC699F">
        <w:rPr>
          <w:rFonts w:ascii="Calibri" w:hAnsi="Calibri" w:cs="Calibri"/>
          <w:sz w:val="24"/>
          <w:szCs w:val="24"/>
        </w:rPr>
        <w:t xml:space="preserve"> </w:t>
      </w:r>
      <w:r w:rsidR="00620048" w:rsidRPr="00136714">
        <w:rPr>
          <w:rFonts w:ascii="Calibri" w:hAnsi="Calibri" w:cs="Calibri"/>
          <w:sz w:val="24"/>
          <w:szCs w:val="24"/>
        </w:rPr>
        <w:t>tha</w:t>
      </w:r>
      <w:r w:rsidR="00D52B36" w:rsidRPr="00136714">
        <w:rPr>
          <w:rFonts w:ascii="Calibri" w:hAnsi="Calibri" w:cs="Calibri"/>
          <w:sz w:val="24"/>
          <w:szCs w:val="24"/>
        </w:rPr>
        <w:t xml:space="preserve">t is mainstream in Francophone </w:t>
      </w:r>
      <w:r w:rsidR="00B71167" w:rsidRPr="00136714">
        <w:rPr>
          <w:rFonts w:ascii="Calibri" w:hAnsi="Calibri" w:cs="Calibri"/>
          <w:sz w:val="24"/>
          <w:szCs w:val="24"/>
        </w:rPr>
        <w:t xml:space="preserve">political science, </w:t>
      </w:r>
      <w:r w:rsidR="00930166" w:rsidRPr="00136714">
        <w:rPr>
          <w:rFonts w:ascii="Calibri" w:hAnsi="Calibri" w:cs="Calibri"/>
          <w:sz w:val="24"/>
          <w:szCs w:val="24"/>
        </w:rPr>
        <w:t xml:space="preserve">he offers a </w:t>
      </w:r>
      <w:r w:rsidR="00C20505" w:rsidRPr="00136714">
        <w:rPr>
          <w:rFonts w:ascii="Calibri" w:hAnsi="Calibri" w:cs="Calibri"/>
          <w:sz w:val="24"/>
          <w:szCs w:val="24"/>
        </w:rPr>
        <w:t>fine-grained</w:t>
      </w:r>
      <w:r w:rsidR="00FC699F">
        <w:rPr>
          <w:rFonts w:ascii="Calibri" w:hAnsi="Calibri" w:cs="Calibri"/>
          <w:sz w:val="24"/>
          <w:szCs w:val="24"/>
        </w:rPr>
        <w:t xml:space="preserve"> </w:t>
      </w:r>
      <w:r w:rsidR="00930166" w:rsidRPr="00136714">
        <w:rPr>
          <w:rFonts w:ascii="Calibri" w:hAnsi="Calibri" w:cs="Calibri"/>
          <w:sz w:val="24"/>
          <w:szCs w:val="24"/>
        </w:rPr>
        <w:t>analysis of</w:t>
      </w:r>
      <w:r w:rsidR="001A5D43" w:rsidRPr="00136714">
        <w:rPr>
          <w:rFonts w:ascii="Calibri" w:hAnsi="Calibri" w:cs="Calibri"/>
          <w:sz w:val="24"/>
          <w:szCs w:val="24"/>
        </w:rPr>
        <w:t xml:space="preserve"> the ‘political work</w:t>
      </w:r>
      <w:r w:rsidR="00B825E2" w:rsidRPr="00136714">
        <w:rPr>
          <w:rFonts w:ascii="Calibri" w:hAnsi="Calibri" w:cs="Calibri"/>
          <w:sz w:val="24"/>
          <w:szCs w:val="24"/>
        </w:rPr>
        <w:t>’</w:t>
      </w:r>
      <w:r w:rsidR="006C587F" w:rsidRPr="00136714">
        <w:rPr>
          <w:rFonts w:ascii="Calibri" w:hAnsi="Calibri" w:cs="Calibri"/>
          <w:sz w:val="24"/>
          <w:szCs w:val="24"/>
        </w:rPr>
        <w:t xml:space="preserve"> of the Commissioner </w:t>
      </w:r>
      <w:r w:rsidR="0019188E">
        <w:rPr>
          <w:rFonts w:ascii="Calibri" w:hAnsi="Calibri" w:cs="Calibri"/>
          <w:sz w:val="24"/>
          <w:szCs w:val="24"/>
        </w:rPr>
        <w:t xml:space="preserve">Moscovici </w:t>
      </w:r>
      <w:r w:rsidR="006C587F" w:rsidRPr="00136714">
        <w:rPr>
          <w:rFonts w:ascii="Calibri" w:hAnsi="Calibri" w:cs="Calibri"/>
          <w:sz w:val="24"/>
          <w:szCs w:val="24"/>
        </w:rPr>
        <w:t>and his staff</w:t>
      </w:r>
      <w:r w:rsidR="007C2DEC" w:rsidRPr="00136714">
        <w:rPr>
          <w:rFonts w:ascii="Calibri" w:hAnsi="Calibri" w:cs="Calibri"/>
          <w:sz w:val="24"/>
          <w:szCs w:val="24"/>
        </w:rPr>
        <w:t>.</w:t>
      </w:r>
      <w:r w:rsidR="00930166" w:rsidRPr="00136714">
        <w:rPr>
          <w:rFonts w:ascii="Calibri" w:hAnsi="Calibri" w:cs="Calibri"/>
          <w:sz w:val="24"/>
          <w:szCs w:val="24"/>
        </w:rPr>
        <w:t xml:space="preserve"> </w:t>
      </w:r>
      <w:r w:rsidR="00E073BD" w:rsidRPr="00136714">
        <w:rPr>
          <w:rFonts w:ascii="Calibri" w:hAnsi="Calibri" w:cs="Calibri"/>
          <w:sz w:val="24"/>
          <w:szCs w:val="24"/>
        </w:rPr>
        <w:t xml:space="preserve">Political work is defined as </w:t>
      </w:r>
      <w:r w:rsidR="0014637A" w:rsidRPr="00136714">
        <w:rPr>
          <w:rFonts w:ascii="Calibri" w:hAnsi="Calibri" w:cs="Calibri"/>
          <w:sz w:val="24"/>
          <w:szCs w:val="24"/>
        </w:rPr>
        <w:t>‘the practices that widen the space of freedom in which actors exercise their agency in the face of constraints imposed by institutions, law, economics, expertise, or diplomacy</w:t>
      </w:r>
      <w:r w:rsidR="000D33A5" w:rsidRPr="00136714">
        <w:rPr>
          <w:rFonts w:ascii="Calibri" w:hAnsi="Calibri" w:cs="Calibri"/>
          <w:sz w:val="24"/>
          <w:szCs w:val="24"/>
        </w:rPr>
        <w:t>’ (7)</w:t>
      </w:r>
      <w:r w:rsidR="0014637A" w:rsidRPr="00136714">
        <w:rPr>
          <w:rFonts w:ascii="Calibri" w:hAnsi="Calibri" w:cs="Calibri"/>
          <w:sz w:val="24"/>
          <w:szCs w:val="24"/>
        </w:rPr>
        <w:t xml:space="preserve">. </w:t>
      </w:r>
      <w:r w:rsidR="00930166" w:rsidRPr="00136714">
        <w:rPr>
          <w:rFonts w:ascii="Calibri" w:hAnsi="Calibri" w:cs="Calibri"/>
          <w:sz w:val="24"/>
          <w:szCs w:val="24"/>
        </w:rPr>
        <w:t xml:space="preserve">As such, this is very much a </w:t>
      </w:r>
      <w:r w:rsidR="00A6437F" w:rsidRPr="00136714">
        <w:rPr>
          <w:rFonts w:ascii="Calibri" w:hAnsi="Calibri" w:cs="Calibri"/>
          <w:sz w:val="24"/>
          <w:szCs w:val="24"/>
        </w:rPr>
        <w:t>micro-</w:t>
      </w:r>
      <w:r w:rsidR="00930166" w:rsidRPr="00136714">
        <w:rPr>
          <w:rFonts w:ascii="Calibri" w:hAnsi="Calibri" w:cs="Calibri"/>
          <w:sz w:val="24"/>
          <w:szCs w:val="24"/>
        </w:rPr>
        <w:t>study about the political agency of the Commission</w:t>
      </w:r>
      <w:r w:rsidR="00B94EF1">
        <w:rPr>
          <w:rFonts w:ascii="Calibri" w:hAnsi="Calibri" w:cs="Calibri"/>
          <w:sz w:val="24"/>
          <w:szCs w:val="24"/>
        </w:rPr>
        <w:t>er</w:t>
      </w:r>
      <w:r w:rsidR="00930166" w:rsidRPr="00136714">
        <w:rPr>
          <w:rFonts w:ascii="Calibri" w:hAnsi="Calibri" w:cs="Calibri"/>
          <w:sz w:val="24"/>
          <w:szCs w:val="24"/>
        </w:rPr>
        <w:t xml:space="preserve"> and </w:t>
      </w:r>
      <w:r w:rsidR="008E1DE5">
        <w:rPr>
          <w:rFonts w:ascii="Calibri" w:hAnsi="Calibri" w:cs="Calibri"/>
          <w:sz w:val="24"/>
          <w:szCs w:val="24"/>
        </w:rPr>
        <w:t>his team</w:t>
      </w:r>
      <w:r w:rsidR="00A6437F" w:rsidRPr="00136714">
        <w:rPr>
          <w:rFonts w:ascii="Calibri" w:hAnsi="Calibri" w:cs="Calibri"/>
          <w:sz w:val="24"/>
          <w:szCs w:val="24"/>
        </w:rPr>
        <w:t>,</w:t>
      </w:r>
      <w:r w:rsidR="006E0CB0">
        <w:rPr>
          <w:rFonts w:ascii="Calibri" w:hAnsi="Calibri" w:cs="Calibri"/>
          <w:sz w:val="24"/>
          <w:szCs w:val="24"/>
        </w:rPr>
        <w:t xml:space="preserve"> and</w:t>
      </w:r>
      <w:r w:rsidR="003B671A">
        <w:rPr>
          <w:rFonts w:ascii="Calibri" w:hAnsi="Calibri" w:cs="Calibri"/>
          <w:sz w:val="24"/>
          <w:szCs w:val="24"/>
        </w:rPr>
        <w:t xml:space="preserve"> about the</w:t>
      </w:r>
      <w:r w:rsidR="006E0CB0">
        <w:rPr>
          <w:rFonts w:ascii="Calibri" w:hAnsi="Calibri" w:cs="Calibri"/>
          <w:sz w:val="24"/>
          <w:szCs w:val="24"/>
        </w:rPr>
        <w:t xml:space="preserve"> ‘policy space</w:t>
      </w:r>
      <w:r w:rsidR="00B94EF1">
        <w:rPr>
          <w:rFonts w:ascii="Calibri" w:hAnsi="Calibri" w:cs="Calibri"/>
          <w:sz w:val="24"/>
          <w:szCs w:val="24"/>
        </w:rPr>
        <w:t>’ of the Commission</w:t>
      </w:r>
      <w:r w:rsidR="00A6437F" w:rsidRPr="00136714">
        <w:rPr>
          <w:rFonts w:ascii="Calibri" w:hAnsi="Calibri" w:cs="Calibri"/>
          <w:sz w:val="24"/>
          <w:szCs w:val="24"/>
        </w:rPr>
        <w:t xml:space="preserve"> in </w:t>
      </w:r>
      <w:r w:rsidR="00BE602C">
        <w:rPr>
          <w:rFonts w:ascii="Calibri" w:hAnsi="Calibri" w:cs="Calibri"/>
          <w:sz w:val="24"/>
          <w:szCs w:val="24"/>
        </w:rPr>
        <w:t>the</w:t>
      </w:r>
      <w:r w:rsidR="00A6437F" w:rsidRPr="00136714">
        <w:rPr>
          <w:rFonts w:ascii="Calibri" w:hAnsi="Calibri" w:cs="Calibri"/>
          <w:sz w:val="24"/>
          <w:szCs w:val="24"/>
        </w:rPr>
        <w:t xml:space="preserve"> specific area</w:t>
      </w:r>
      <w:r w:rsidR="00BE602C">
        <w:rPr>
          <w:rFonts w:ascii="Calibri" w:hAnsi="Calibri" w:cs="Calibri"/>
          <w:sz w:val="24"/>
          <w:szCs w:val="24"/>
        </w:rPr>
        <w:t xml:space="preserve"> of</w:t>
      </w:r>
      <w:r w:rsidR="00617BB3" w:rsidRPr="00136714">
        <w:rPr>
          <w:rFonts w:ascii="Calibri" w:hAnsi="Calibri" w:cs="Calibri"/>
          <w:sz w:val="24"/>
          <w:szCs w:val="24"/>
        </w:rPr>
        <w:t xml:space="preserve"> economic and financial affairs.</w:t>
      </w:r>
      <w:r w:rsidR="00F34B12" w:rsidRPr="00136714">
        <w:rPr>
          <w:rFonts w:ascii="Calibri" w:hAnsi="Calibri" w:cs="Calibri"/>
          <w:sz w:val="24"/>
          <w:szCs w:val="24"/>
        </w:rPr>
        <w:t xml:space="preserve"> </w:t>
      </w:r>
      <w:proofErr w:type="spellStart"/>
      <w:r w:rsidR="00EA6BEB">
        <w:rPr>
          <w:rFonts w:ascii="Calibri" w:hAnsi="Calibri" w:cs="Calibri"/>
          <w:sz w:val="24"/>
          <w:szCs w:val="24"/>
        </w:rPr>
        <w:t>Mérand</w:t>
      </w:r>
      <w:proofErr w:type="spellEnd"/>
      <w:r w:rsidR="00F34B12" w:rsidRPr="00136714">
        <w:rPr>
          <w:rFonts w:ascii="Calibri" w:hAnsi="Calibri" w:cs="Calibri"/>
          <w:sz w:val="24"/>
          <w:szCs w:val="24"/>
        </w:rPr>
        <w:t xml:space="preserve"> consciously </w:t>
      </w:r>
      <w:r w:rsidR="000D33A5" w:rsidRPr="00136714">
        <w:rPr>
          <w:rFonts w:ascii="Calibri" w:hAnsi="Calibri" w:cs="Calibri"/>
          <w:sz w:val="24"/>
          <w:szCs w:val="24"/>
        </w:rPr>
        <w:t>stays</w:t>
      </w:r>
      <w:r w:rsidR="00F34B12" w:rsidRPr="00136714">
        <w:rPr>
          <w:rFonts w:ascii="Calibri" w:hAnsi="Calibri" w:cs="Calibri"/>
          <w:sz w:val="24"/>
          <w:szCs w:val="24"/>
        </w:rPr>
        <w:t xml:space="preserve"> at a distance </w:t>
      </w:r>
      <w:r w:rsidR="00900489">
        <w:rPr>
          <w:rFonts w:ascii="Calibri" w:hAnsi="Calibri" w:cs="Calibri"/>
          <w:sz w:val="24"/>
          <w:szCs w:val="24"/>
        </w:rPr>
        <w:t>from</w:t>
      </w:r>
      <w:r w:rsidR="00F34B12" w:rsidRPr="00136714">
        <w:rPr>
          <w:rFonts w:ascii="Calibri" w:hAnsi="Calibri" w:cs="Calibri"/>
          <w:sz w:val="24"/>
          <w:szCs w:val="24"/>
        </w:rPr>
        <w:t xml:space="preserve"> the</w:t>
      </w:r>
      <w:r w:rsidR="00830EC5" w:rsidRPr="00136714">
        <w:rPr>
          <w:rFonts w:ascii="Calibri" w:hAnsi="Calibri" w:cs="Calibri"/>
          <w:sz w:val="24"/>
          <w:szCs w:val="24"/>
        </w:rPr>
        <w:t xml:space="preserve"> proximate</w:t>
      </w:r>
      <w:r w:rsidR="00F34B12" w:rsidRPr="00136714">
        <w:rPr>
          <w:rFonts w:ascii="Calibri" w:hAnsi="Calibri" w:cs="Calibri"/>
          <w:sz w:val="24"/>
          <w:szCs w:val="24"/>
        </w:rPr>
        <w:t xml:space="preserve"> concept of policy entrepreneurship, </w:t>
      </w:r>
      <w:r w:rsidR="00F64944" w:rsidRPr="00136714">
        <w:rPr>
          <w:rFonts w:ascii="Calibri" w:hAnsi="Calibri" w:cs="Calibri"/>
          <w:sz w:val="24"/>
          <w:szCs w:val="24"/>
        </w:rPr>
        <w:t>more project</w:t>
      </w:r>
      <w:r w:rsidR="00DA4497" w:rsidRPr="00136714">
        <w:rPr>
          <w:rFonts w:ascii="Calibri" w:hAnsi="Calibri" w:cs="Calibri"/>
          <w:sz w:val="24"/>
          <w:szCs w:val="24"/>
        </w:rPr>
        <w:t>-</w:t>
      </w:r>
      <w:r w:rsidR="00F64944" w:rsidRPr="00136714">
        <w:rPr>
          <w:rFonts w:ascii="Calibri" w:hAnsi="Calibri" w:cs="Calibri"/>
          <w:sz w:val="24"/>
          <w:szCs w:val="24"/>
        </w:rPr>
        <w:t>driven compared to the everyday</w:t>
      </w:r>
      <w:r w:rsidR="00EF312A" w:rsidRPr="00136714">
        <w:rPr>
          <w:rFonts w:ascii="Calibri" w:hAnsi="Calibri" w:cs="Calibri"/>
          <w:sz w:val="24"/>
          <w:szCs w:val="24"/>
        </w:rPr>
        <w:t xml:space="preserve"> inductive and</w:t>
      </w:r>
      <w:r w:rsidR="00C22F05" w:rsidRPr="00136714">
        <w:rPr>
          <w:rFonts w:ascii="Calibri" w:hAnsi="Calibri" w:cs="Calibri"/>
          <w:sz w:val="24"/>
          <w:szCs w:val="24"/>
        </w:rPr>
        <w:t xml:space="preserve"> adaptative</w:t>
      </w:r>
      <w:r w:rsidR="00145224" w:rsidRPr="00136714">
        <w:rPr>
          <w:rFonts w:ascii="Calibri" w:hAnsi="Calibri" w:cs="Calibri"/>
          <w:sz w:val="24"/>
          <w:szCs w:val="24"/>
        </w:rPr>
        <w:t xml:space="preserve"> political work he </w:t>
      </w:r>
      <w:r w:rsidR="00617D1E" w:rsidRPr="00136714">
        <w:rPr>
          <w:rFonts w:ascii="Calibri" w:hAnsi="Calibri" w:cs="Calibri"/>
          <w:sz w:val="24"/>
          <w:szCs w:val="24"/>
        </w:rPr>
        <w:t>traces</w:t>
      </w:r>
      <w:r w:rsidR="00145224" w:rsidRPr="00136714">
        <w:rPr>
          <w:rFonts w:ascii="Calibri" w:hAnsi="Calibri" w:cs="Calibri"/>
          <w:sz w:val="24"/>
          <w:szCs w:val="24"/>
        </w:rPr>
        <w:t>.</w:t>
      </w:r>
      <w:r w:rsidR="00617BB3" w:rsidRPr="00136714">
        <w:rPr>
          <w:rFonts w:ascii="Calibri" w:hAnsi="Calibri" w:cs="Calibri"/>
          <w:sz w:val="24"/>
          <w:szCs w:val="24"/>
        </w:rPr>
        <w:t xml:space="preserve"> </w:t>
      </w:r>
      <w:r w:rsidR="00145224" w:rsidRPr="00136714">
        <w:rPr>
          <w:rFonts w:ascii="Calibri" w:hAnsi="Calibri" w:cs="Calibri"/>
          <w:sz w:val="24"/>
          <w:szCs w:val="24"/>
        </w:rPr>
        <w:t>U</w:t>
      </w:r>
      <w:r w:rsidR="00617BB3" w:rsidRPr="00136714">
        <w:rPr>
          <w:rFonts w:ascii="Calibri" w:hAnsi="Calibri" w:cs="Calibri"/>
          <w:sz w:val="24"/>
          <w:szCs w:val="24"/>
        </w:rPr>
        <w:t>nsurprisingly perhaps</w:t>
      </w:r>
      <w:r w:rsidR="00C824E5">
        <w:rPr>
          <w:rFonts w:ascii="Calibri" w:hAnsi="Calibri" w:cs="Calibri"/>
          <w:sz w:val="24"/>
          <w:szCs w:val="24"/>
        </w:rPr>
        <w:t>,</w:t>
      </w:r>
      <w:r w:rsidR="00617BB3" w:rsidRPr="00136714">
        <w:rPr>
          <w:rFonts w:ascii="Calibri" w:hAnsi="Calibri" w:cs="Calibri"/>
          <w:sz w:val="24"/>
          <w:szCs w:val="24"/>
        </w:rPr>
        <w:t xml:space="preserve"> he does find </w:t>
      </w:r>
      <w:r w:rsidR="00145224" w:rsidRPr="00136714">
        <w:rPr>
          <w:rFonts w:ascii="Calibri" w:hAnsi="Calibri" w:cs="Calibri"/>
          <w:sz w:val="24"/>
          <w:szCs w:val="24"/>
        </w:rPr>
        <w:t xml:space="preserve">significant </w:t>
      </w:r>
      <w:r w:rsidR="00617BB3" w:rsidRPr="00136714">
        <w:rPr>
          <w:rFonts w:ascii="Calibri" w:hAnsi="Calibri" w:cs="Calibri"/>
          <w:sz w:val="24"/>
          <w:szCs w:val="24"/>
        </w:rPr>
        <w:t xml:space="preserve">scope </w:t>
      </w:r>
      <w:r w:rsidR="00B701B5" w:rsidRPr="00136714">
        <w:rPr>
          <w:rFonts w:ascii="Calibri" w:hAnsi="Calibri" w:cs="Calibri"/>
          <w:sz w:val="24"/>
          <w:szCs w:val="24"/>
        </w:rPr>
        <w:t xml:space="preserve">for </w:t>
      </w:r>
      <w:r w:rsidR="006E044B" w:rsidRPr="00136714">
        <w:rPr>
          <w:rFonts w:ascii="Calibri" w:hAnsi="Calibri" w:cs="Calibri"/>
          <w:sz w:val="24"/>
          <w:szCs w:val="24"/>
        </w:rPr>
        <w:t>Commission’s</w:t>
      </w:r>
      <w:r w:rsidR="00145224" w:rsidRPr="00136714">
        <w:rPr>
          <w:rFonts w:ascii="Calibri" w:hAnsi="Calibri" w:cs="Calibri"/>
          <w:sz w:val="24"/>
          <w:szCs w:val="24"/>
        </w:rPr>
        <w:t xml:space="preserve"> </w:t>
      </w:r>
      <w:r w:rsidR="00B701B5" w:rsidRPr="00136714">
        <w:rPr>
          <w:rFonts w:ascii="Calibri" w:hAnsi="Calibri" w:cs="Calibri"/>
          <w:sz w:val="24"/>
          <w:szCs w:val="24"/>
        </w:rPr>
        <w:t>influence</w:t>
      </w:r>
      <w:r w:rsidR="00145224" w:rsidRPr="00136714">
        <w:rPr>
          <w:rFonts w:ascii="Calibri" w:hAnsi="Calibri" w:cs="Calibri"/>
          <w:sz w:val="24"/>
          <w:szCs w:val="24"/>
        </w:rPr>
        <w:t xml:space="preserve"> although he is </w:t>
      </w:r>
      <w:r w:rsidR="00C824E5">
        <w:rPr>
          <w:rFonts w:ascii="Calibri" w:hAnsi="Calibri" w:cs="Calibri"/>
          <w:sz w:val="24"/>
          <w:szCs w:val="24"/>
        </w:rPr>
        <w:t>upfront</w:t>
      </w:r>
      <w:r w:rsidR="00781AB6" w:rsidRPr="00136714">
        <w:rPr>
          <w:rFonts w:ascii="Calibri" w:hAnsi="Calibri" w:cs="Calibri"/>
          <w:sz w:val="24"/>
          <w:szCs w:val="24"/>
        </w:rPr>
        <w:t xml:space="preserve"> about the structural </w:t>
      </w:r>
      <w:r w:rsidR="009249AA" w:rsidRPr="00136714">
        <w:rPr>
          <w:rFonts w:ascii="Calibri" w:hAnsi="Calibri" w:cs="Calibri"/>
          <w:sz w:val="24"/>
          <w:szCs w:val="24"/>
        </w:rPr>
        <w:t>constrains</w:t>
      </w:r>
      <w:r w:rsidR="00781AB6" w:rsidRPr="00136714">
        <w:rPr>
          <w:rFonts w:ascii="Calibri" w:hAnsi="Calibri" w:cs="Calibri"/>
          <w:sz w:val="24"/>
          <w:szCs w:val="24"/>
        </w:rPr>
        <w:t xml:space="preserve"> the</w:t>
      </w:r>
      <w:r w:rsidR="00CF16E6">
        <w:rPr>
          <w:rFonts w:ascii="Calibri" w:hAnsi="Calibri" w:cs="Calibri"/>
          <w:sz w:val="24"/>
          <w:szCs w:val="24"/>
        </w:rPr>
        <w:t xml:space="preserve"> cabinet </w:t>
      </w:r>
      <w:r w:rsidR="00E22976">
        <w:rPr>
          <w:rFonts w:ascii="Calibri" w:hAnsi="Calibri" w:cs="Calibri"/>
          <w:sz w:val="24"/>
          <w:szCs w:val="24"/>
        </w:rPr>
        <w:t>must</w:t>
      </w:r>
      <w:r w:rsidR="00781AB6" w:rsidRPr="00136714">
        <w:rPr>
          <w:rFonts w:ascii="Calibri" w:hAnsi="Calibri" w:cs="Calibri"/>
          <w:sz w:val="24"/>
          <w:szCs w:val="24"/>
        </w:rPr>
        <w:t xml:space="preserve"> navigate</w:t>
      </w:r>
      <w:r w:rsidR="00221A1C" w:rsidRPr="00136714">
        <w:rPr>
          <w:rFonts w:ascii="Calibri" w:hAnsi="Calibri" w:cs="Calibri"/>
          <w:sz w:val="24"/>
          <w:szCs w:val="24"/>
        </w:rPr>
        <w:t xml:space="preserve"> identifying</w:t>
      </w:r>
      <w:r w:rsidR="0062720D" w:rsidRPr="00136714">
        <w:rPr>
          <w:rFonts w:ascii="Calibri" w:hAnsi="Calibri" w:cs="Calibri"/>
          <w:sz w:val="24"/>
          <w:szCs w:val="24"/>
        </w:rPr>
        <w:t xml:space="preserve"> four</w:t>
      </w:r>
      <w:r w:rsidR="00221A1C" w:rsidRPr="00136714">
        <w:rPr>
          <w:rFonts w:ascii="Calibri" w:hAnsi="Calibri" w:cs="Calibri"/>
          <w:sz w:val="24"/>
          <w:szCs w:val="24"/>
        </w:rPr>
        <w:t xml:space="preserve">: </w:t>
      </w:r>
      <w:r w:rsidR="00BA0901" w:rsidRPr="00136714">
        <w:rPr>
          <w:rFonts w:ascii="Calibri" w:hAnsi="Calibri" w:cs="Calibri"/>
          <w:sz w:val="24"/>
          <w:szCs w:val="24"/>
        </w:rPr>
        <w:t xml:space="preserve">formal institutions and </w:t>
      </w:r>
      <w:r w:rsidR="006E044B" w:rsidRPr="00136714">
        <w:rPr>
          <w:rFonts w:ascii="Calibri" w:hAnsi="Calibri" w:cs="Calibri"/>
          <w:sz w:val="24"/>
          <w:szCs w:val="24"/>
        </w:rPr>
        <w:t>treaty provisions</w:t>
      </w:r>
      <w:r w:rsidR="00BA0901" w:rsidRPr="00136714">
        <w:rPr>
          <w:rFonts w:ascii="Calibri" w:hAnsi="Calibri" w:cs="Calibri"/>
          <w:sz w:val="24"/>
          <w:szCs w:val="24"/>
        </w:rPr>
        <w:t>,</w:t>
      </w:r>
      <w:r w:rsidR="006E044B" w:rsidRPr="00136714">
        <w:rPr>
          <w:rFonts w:ascii="Calibri" w:hAnsi="Calibri" w:cs="Calibri"/>
          <w:sz w:val="24"/>
          <w:szCs w:val="24"/>
        </w:rPr>
        <w:t xml:space="preserve"> </w:t>
      </w:r>
      <w:r w:rsidR="00BA0901" w:rsidRPr="00136714">
        <w:rPr>
          <w:rFonts w:ascii="Calibri" w:hAnsi="Calibri" w:cs="Calibri"/>
          <w:sz w:val="24"/>
          <w:szCs w:val="24"/>
        </w:rPr>
        <w:t>EU laws and regulations</w:t>
      </w:r>
      <w:r w:rsidR="006E044B" w:rsidRPr="00136714">
        <w:rPr>
          <w:rFonts w:ascii="Calibri" w:hAnsi="Calibri" w:cs="Calibri"/>
          <w:sz w:val="24"/>
          <w:szCs w:val="24"/>
        </w:rPr>
        <w:t xml:space="preserve">, </w:t>
      </w:r>
      <w:r w:rsidR="00E71D1C" w:rsidRPr="00136714">
        <w:rPr>
          <w:rFonts w:ascii="Calibri" w:hAnsi="Calibri" w:cs="Calibri"/>
          <w:sz w:val="24"/>
          <w:szCs w:val="24"/>
        </w:rPr>
        <w:t xml:space="preserve">national diplomacy and power relations, </w:t>
      </w:r>
      <w:r w:rsidR="0062720D" w:rsidRPr="00136714">
        <w:rPr>
          <w:rFonts w:ascii="Calibri" w:hAnsi="Calibri" w:cs="Calibri"/>
          <w:sz w:val="24"/>
          <w:szCs w:val="24"/>
        </w:rPr>
        <w:t xml:space="preserve">and </w:t>
      </w:r>
      <w:r w:rsidR="007A704F" w:rsidRPr="00136714">
        <w:rPr>
          <w:rFonts w:ascii="Calibri" w:hAnsi="Calibri" w:cs="Calibri"/>
          <w:sz w:val="24"/>
          <w:szCs w:val="24"/>
        </w:rPr>
        <w:t>expertise and technocracy</w:t>
      </w:r>
      <w:r w:rsidR="00192F70" w:rsidRPr="00136714">
        <w:rPr>
          <w:rFonts w:ascii="Calibri" w:hAnsi="Calibri" w:cs="Calibri"/>
          <w:sz w:val="24"/>
          <w:szCs w:val="24"/>
        </w:rPr>
        <w:t xml:space="preserve"> within and outside the Commission</w:t>
      </w:r>
      <w:r w:rsidR="007A704F" w:rsidRPr="00136714">
        <w:rPr>
          <w:rFonts w:ascii="Calibri" w:hAnsi="Calibri" w:cs="Calibri"/>
          <w:sz w:val="24"/>
          <w:szCs w:val="24"/>
        </w:rPr>
        <w:t>.</w:t>
      </w:r>
      <w:r w:rsidR="009A311F" w:rsidRPr="00136714">
        <w:rPr>
          <w:rFonts w:ascii="Calibri" w:hAnsi="Calibri" w:cs="Calibri"/>
          <w:sz w:val="24"/>
          <w:szCs w:val="24"/>
        </w:rPr>
        <w:t xml:space="preserve"> Key to creating political wiggle room are </w:t>
      </w:r>
      <w:r w:rsidR="000E6547" w:rsidRPr="00136714">
        <w:rPr>
          <w:rFonts w:ascii="Calibri" w:hAnsi="Calibri" w:cs="Calibri"/>
          <w:sz w:val="24"/>
          <w:szCs w:val="24"/>
        </w:rPr>
        <w:t>‘political will’</w:t>
      </w:r>
      <w:r w:rsidR="00F06257">
        <w:rPr>
          <w:rFonts w:ascii="Calibri" w:hAnsi="Calibri" w:cs="Calibri"/>
          <w:sz w:val="24"/>
          <w:szCs w:val="24"/>
        </w:rPr>
        <w:t xml:space="preserve"> (or the willingness to </w:t>
      </w:r>
      <w:r w:rsidR="00B57481">
        <w:rPr>
          <w:rFonts w:ascii="Calibri" w:hAnsi="Calibri" w:cs="Calibri"/>
          <w:sz w:val="24"/>
          <w:szCs w:val="24"/>
        </w:rPr>
        <w:t>‘</w:t>
      </w:r>
      <w:r w:rsidR="00F06257">
        <w:rPr>
          <w:rFonts w:ascii="Calibri" w:hAnsi="Calibri" w:cs="Calibri"/>
          <w:sz w:val="24"/>
          <w:szCs w:val="24"/>
        </w:rPr>
        <w:t xml:space="preserve">play </w:t>
      </w:r>
      <w:r w:rsidR="00056049">
        <w:rPr>
          <w:rFonts w:ascii="Calibri" w:hAnsi="Calibri" w:cs="Calibri"/>
          <w:sz w:val="24"/>
          <w:szCs w:val="24"/>
        </w:rPr>
        <w:t xml:space="preserve">(partisan) </w:t>
      </w:r>
      <w:r w:rsidR="00F06257">
        <w:rPr>
          <w:rFonts w:ascii="Calibri" w:hAnsi="Calibri" w:cs="Calibri"/>
          <w:sz w:val="24"/>
          <w:szCs w:val="24"/>
        </w:rPr>
        <w:t>politics</w:t>
      </w:r>
      <w:r w:rsidR="00B57481">
        <w:rPr>
          <w:rFonts w:ascii="Calibri" w:hAnsi="Calibri" w:cs="Calibri"/>
          <w:sz w:val="24"/>
          <w:szCs w:val="24"/>
        </w:rPr>
        <w:t>’</w:t>
      </w:r>
      <w:r w:rsidR="00F06257">
        <w:rPr>
          <w:rFonts w:ascii="Calibri" w:hAnsi="Calibri" w:cs="Calibri"/>
          <w:sz w:val="24"/>
          <w:szCs w:val="24"/>
        </w:rPr>
        <w:t>),</w:t>
      </w:r>
      <w:r w:rsidR="000E6547" w:rsidRPr="00136714">
        <w:rPr>
          <w:rFonts w:ascii="Calibri" w:hAnsi="Calibri" w:cs="Calibri"/>
          <w:sz w:val="24"/>
          <w:szCs w:val="24"/>
        </w:rPr>
        <w:t xml:space="preserve"> the ability to mobilise </w:t>
      </w:r>
      <w:r w:rsidR="001508DE" w:rsidRPr="00136714">
        <w:rPr>
          <w:rFonts w:ascii="Calibri" w:hAnsi="Calibri" w:cs="Calibri"/>
          <w:sz w:val="24"/>
          <w:szCs w:val="24"/>
        </w:rPr>
        <w:t>influential figures and political networks</w:t>
      </w:r>
      <w:r w:rsidR="003D71A3">
        <w:rPr>
          <w:rFonts w:ascii="Calibri" w:hAnsi="Calibri" w:cs="Calibri"/>
          <w:sz w:val="24"/>
          <w:szCs w:val="24"/>
        </w:rPr>
        <w:t>,</w:t>
      </w:r>
      <w:r w:rsidR="001508DE" w:rsidRPr="00136714">
        <w:rPr>
          <w:rFonts w:ascii="Calibri" w:hAnsi="Calibri" w:cs="Calibri"/>
          <w:sz w:val="24"/>
          <w:szCs w:val="24"/>
        </w:rPr>
        <w:t xml:space="preserve"> </w:t>
      </w:r>
      <w:r w:rsidR="009A311F" w:rsidRPr="00136714">
        <w:rPr>
          <w:rFonts w:ascii="Calibri" w:hAnsi="Calibri" w:cs="Calibri"/>
          <w:sz w:val="24"/>
          <w:szCs w:val="24"/>
        </w:rPr>
        <w:t>and communication</w:t>
      </w:r>
      <w:r w:rsidR="009000F9" w:rsidRPr="00136714">
        <w:rPr>
          <w:rFonts w:ascii="Calibri" w:hAnsi="Calibri" w:cs="Calibri"/>
          <w:sz w:val="24"/>
          <w:szCs w:val="24"/>
        </w:rPr>
        <w:t xml:space="preserve"> to frame the debate and engage the media and civil so</w:t>
      </w:r>
      <w:r w:rsidR="00B3103A" w:rsidRPr="00136714">
        <w:rPr>
          <w:rFonts w:ascii="Calibri" w:hAnsi="Calibri" w:cs="Calibri"/>
          <w:sz w:val="24"/>
          <w:szCs w:val="24"/>
        </w:rPr>
        <w:t>ciety</w:t>
      </w:r>
      <w:r w:rsidR="009A311F" w:rsidRPr="00136714">
        <w:rPr>
          <w:rFonts w:ascii="Calibri" w:hAnsi="Calibri" w:cs="Calibri"/>
          <w:sz w:val="24"/>
          <w:szCs w:val="24"/>
        </w:rPr>
        <w:t>.</w:t>
      </w:r>
    </w:p>
    <w:p w14:paraId="3536625D" w14:textId="6E8ABEA3" w:rsidR="00E90C36" w:rsidRPr="007B570B" w:rsidRDefault="007B570B" w:rsidP="007B570B">
      <w:pPr>
        <w:jc w:val="both"/>
        <w:rPr>
          <w:rFonts w:ascii="Calibri" w:hAnsi="Calibri" w:cs="Calibri"/>
          <w:sz w:val="24"/>
          <w:szCs w:val="24"/>
        </w:rPr>
      </w:pPr>
      <w:r>
        <w:rPr>
          <w:rFonts w:ascii="Calibri" w:hAnsi="Calibri" w:cs="Calibri"/>
          <w:sz w:val="24"/>
          <w:szCs w:val="24"/>
        </w:rPr>
        <w:t>Unlike Werts</w:t>
      </w:r>
      <w:r w:rsidR="00493D90">
        <w:rPr>
          <w:rFonts w:ascii="Calibri" w:hAnsi="Calibri" w:cs="Calibri"/>
          <w:sz w:val="24"/>
          <w:szCs w:val="24"/>
        </w:rPr>
        <w:t xml:space="preserve"> and Wessels,</w:t>
      </w:r>
      <w:r>
        <w:rPr>
          <w:rFonts w:ascii="Calibri" w:hAnsi="Calibri" w:cs="Calibri"/>
          <w:sz w:val="24"/>
          <w:szCs w:val="24"/>
        </w:rPr>
        <w:t xml:space="preserve"> </w:t>
      </w:r>
      <w:r w:rsidR="00347AC8">
        <w:rPr>
          <w:rFonts w:ascii="Calibri" w:hAnsi="Calibri" w:cs="Calibri"/>
          <w:sz w:val="24"/>
          <w:szCs w:val="24"/>
        </w:rPr>
        <w:t>whose</w:t>
      </w:r>
      <w:r>
        <w:rPr>
          <w:rFonts w:ascii="Calibri" w:hAnsi="Calibri" w:cs="Calibri"/>
          <w:sz w:val="24"/>
          <w:szCs w:val="24"/>
        </w:rPr>
        <w:t xml:space="preserve"> </w:t>
      </w:r>
      <w:r w:rsidR="00043599">
        <w:rPr>
          <w:rFonts w:ascii="Calibri" w:hAnsi="Calibri" w:cs="Calibri"/>
          <w:sz w:val="24"/>
          <w:szCs w:val="24"/>
        </w:rPr>
        <w:t>European Council centric case studies</w:t>
      </w:r>
      <w:r w:rsidR="004853E1">
        <w:rPr>
          <w:rFonts w:ascii="Calibri" w:hAnsi="Calibri" w:cs="Calibri"/>
          <w:sz w:val="24"/>
          <w:szCs w:val="24"/>
        </w:rPr>
        <w:t xml:space="preserve"> </w:t>
      </w:r>
      <w:r w:rsidR="00FC6BFE">
        <w:rPr>
          <w:rFonts w:ascii="Calibri" w:hAnsi="Calibri" w:cs="Calibri"/>
          <w:sz w:val="24"/>
          <w:szCs w:val="24"/>
        </w:rPr>
        <w:t>that follow</w:t>
      </w:r>
      <w:r w:rsidR="003C6968">
        <w:rPr>
          <w:rFonts w:ascii="Calibri" w:hAnsi="Calibri" w:cs="Calibri"/>
          <w:sz w:val="24"/>
          <w:szCs w:val="24"/>
        </w:rPr>
        <w:t xml:space="preserve"> the pace of</w:t>
      </w:r>
      <w:r w:rsidR="004853E1">
        <w:rPr>
          <w:rFonts w:ascii="Calibri" w:hAnsi="Calibri" w:cs="Calibri"/>
          <w:sz w:val="24"/>
          <w:szCs w:val="24"/>
        </w:rPr>
        <w:t xml:space="preserve"> </w:t>
      </w:r>
      <w:r w:rsidR="00FC6BFE">
        <w:rPr>
          <w:rFonts w:ascii="Calibri" w:hAnsi="Calibri" w:cs="Calibri"/>
          <w:sz w:val="24"/>
          <w:szCs w:val="24"/>
        </w:rPr>
        <w:t xml:space="preserve">the </w:t>
      </w:r>
      <w:r w:rsidR="004853E1">
        <w:rPr>
          <w:rFonts w:ascii="Calibri" w:hAnsi="Calibri" w:cs="Calibri"/>
          <w:sz w:val="24"/>
          <w:szCs w:val="24"/>
        </w:rPr>
        <w:t xml:space="preserve">different summits </w:t>
      </w:r>
      <w:r w:rsidR="00E35D6A">
        <w:rPr>
          <w:rFonts w:ascii="Calibri" w:hAnsi="Calibri" w:cs="Calibri"/>
          <w:sz w:val="24"/>
          <w:szCs w:val="24"/>
        </w:rPr>
        <w:t>leave li</w:t>
      </w:r>
      <w:r w:rsidR="00DC0490">
        <w:rPr>
          <w:rFonts w:ascii="Calibri" w:hAnsi="Calibri" w:cs="Calibri"/>
          <w:sz w:val="24"/>
          <w:szCs w:val="24"/>
        </w:rPr>
        <w:t>mited</w:t>
      </w:r>
      <w:r w:rsidR="00E35D6A">
        <w:rPr>
          <w:rFonts w:ascii="Calibri" w:hAnsi="Calibri" w:cs="Calibri"/>
          <w:sz w:val="24"/>
          <w:szCs w:val="24"/>
        </w:rPr>
        <w:t xml:space="preserve"> space </w:t>
      </w:r>
      <w:r w:rsidR="00072194">
        <w:rPr>
          <w:rFonts w:ascii="Calibri" w:hAnsi="Calibri" w:cs="Calibri"/>
          <w:sz w:val="24"/>
          <w:szCs w:val="24"/>
        </w:rPr>
        <w:t>for</w:t>
      </w:r>
      <w:r w:rsidR="00E35D6A">
        <w:rPr>
          <w:rFonts w:ascii="Calibri" w:hAnsi="Calibri" w:cs="Calibri"/>
          <w:sz w:val="24"/>
          <w:szCs w:val="24"/>
        </w:rPr>
        <w:t xml:space="preserve"> </w:t>
      </w:r>
      <w:r w:rsidR="00410580">
        <w:rPr>
          <w:rFonts w:ascii="Calibri" w:hAnsi="Calibri" w:cs="Calibri"/>
          <w:sz w:val="24"/>
          <w:szCs w:val="24"/>
        </w:rPr>
        <w:t>divergent</w:t>
      </w:r>
      <w:r w:rsidR="00E35D6A">
        <w:rPr>
          <w:rFonts w:ascii="Calibri" w:hAnsi="Calibri" w:cs="Calibri"/>
          <w:sz w:val="24"/>
          <w:szCs w:val="24"/>
        </w:rPr>
        <w:t xml:space="preserve"> accounts</w:t>
      </w:r>
      <w:r w:rsidR="00043599">
        <w:rPr>
          <w:rFonts w:ascii="Calibri" w:hAnsi="Calibri" w:cs="Calibri"/>
          <w:sz w:val="24"/>
          <w:szCs w:val="24"/>
        </w:rPr>
        <w:t xml:space="preserve">, </w:t>
      </w:r>
      <w:proofErr w:type="spellStart"/>
      <w:r w:rsidR="00043599">
        <w:rPr>
          <w:rFonts w:ascii="Calibri" w:hAnsi="Calibri" w:cs="Calibri"/>
          <w:sz w:val="24"/>
          <w:szCs w:val="24"/>
        </w:rPr>
        <w:t>Mérand</w:t>
      </w:r>
      <w:proofErr w:type="spellEnd"/>
      <w:r w:rsidR="00043599">
        <w:rPr>
          <w:rFonts w:ascii="Calibri" w:hAnsi="Calibri" w:cs="Calibri"/>
          <w:sz w:val="24"/>
          <w:szCs w:val="24"/>
        </w:rPr>
        <w:t xml:space="preserve"> is clear that </w:t>
      </w:r>
      <w:r w:rsidR="002A68AA" w:rsidRPr="007B570B">
        <w:rPr>
          <w:rFonts w:ascii="Calibri" w:hAnsi="Calibri" w:cs="Calibri"/>
          <w:sz w:val="24"/>
          <w:szCs w:val="24"/>
        </w:rPr>
        <w:t>th</w:t>
      </w:r>
      <w:r w:rsidR="00754A07" w:rsidRPr="007B570B">
        <w:rPr>
          <w:rFonts w:ascii="Calibri" w:hAnsi="Calibri" w:cs="Calibri"/>
          <w:sz w:val="24"/>
          <w:szCs w:val="24"/>
        </w:rPr>
        <w:t>e</w:t>
      </w:r>
      <w:r w:rsidR="00BB01D2">
        <w:rPr>
          <w:rFonts w:ascii="Calibri" w:hAnsi="Calibri" w:cs="Calibri"/>
          <w:sz w:val="24"/>
          <w:szCs w:val="24"/>
        </w:rPr>
        <w:t xml:space="preserve"> Commissioner’s</w:t>
      </w:r>
      <w:r w:rsidR="002A68AA" w:rsidRPr="007B570B">
        <w:rPr>
          <w:rFonts w:ascii="Calibri" w:hAnsi="Calibri" w:cs="Calibri"/>
          <w:sz w:val="24"/>
          <w:szCs w:val="24"/>
        </w:rPr>
        <w:t xml:space="preserve"> leeway var</w:t>
      </w:r>
      <w:r w:rsidR="00754A07" w:rsidRPr="007B570B">
        <w:rPr>
          <w:rFonts w:ascii="Calibri" w:hAnsi="Calibri" w:cs="Calibri"/>
          <w:sz w:val="24"/>
          <w:szCs w:val="24"/>
        </w:rPr>
        <w:t>ies</w:t>
      </w:r>
      <w:r w:rsidR="002A68AA" w:rsidRPr="007B570B">
        <w:rPr>
          <w:rFonts w:ascii="Calibri" w:hAnsi="Calibri" w:cs="Calibri"/>
          <w:sz w:val="24"/>
          <w:szCs w:val="24"/>
        </w:rPr>
        <w:t xml:space="preserve"> across cases studies</w:t>
      </w:r>
      <w:r w:rsidR="00A170C3">
        <w:rPr>
          <w:rFonts w:ascii="Calibri" w:hAnsi="Calibri" w:cs="Calibri"/>
          <w:sz w:val="24"/>
          <w:szCs w:val="24"/>
        </w:rPr>
        <w:t>.</w:t>
      </w:r>
      <w:r w:rsidR="006922E0" w:rsidRPr="007B570B">
        <w:rPr>
          <w:rFonts w:ascii="Calibri" w:hAnsi="Calibri" w:cs="Calibri"/>
          <w:sz w:val="24"/>
          <w:szCs w:val="24"/>
        </w:rPr>
        <w:t xml:space="preserve"> </w:t>
      </w:r>
      <w:r w:rsidR="00A170C3">
        <w:rPr>
          <w:rFonts w:ascii="Calibri" w:hAnsi="Calibri" w:cs="Calibri"/>
          <w:sz w:val="24"/>
          <w:szCs w:val="24"/>
        </w:rPr>
        <w:t>L</w:t>
      </w:r>
      <w:r w:rsidR="008516E2">
        <w:rPr>
          <w:rFonts w:ascii="Calibri" w:hAnsi="Calibri" w:cs="Calibri"/>
          <w:sz w:val="24"/>
          <w:szCs w:val="24"/>
        </w:rPr>
        <w:t>imited to</w:t>
      </w:r>
      <w:r w:rsidR="005F37EC">
        <w:rPr>
          <w:rFonts w:ascii="Calibri" w:hAnsi="Calibri" w:cs="Calibri"/>
          <w:sz w:val="24"/>
          <w:szCs w:val="24"/>
        </w:rPr>
        <w:t xml:space="preserve"> giving the </w:t>
      </w:r>
      <w:r w:rsidR="005F37EC" w:rsidRPr="00EC18C6">
        <w:rPr>
          <w:rFonts w:ascii="Calibri" w:hAnsi="Calibri" w:cs="Calibri"/>
          <w:sz w:val="24"/>
          <w:szCs w:val="24"/>
        </w:rPr>
        <w:t xml:space="preserve">Greek government an </w:t>
      </w:r>
      <w:r w:rsidR="005F37EC">
        <w:rPr>
          <w:rFonts w:ascii="Calibri" w:hAnsi="Calibri" w:cs="Calibri"/>
          <w:sz w:val="24"/>
          <w:szCs w:val="24"/>
        </w:rPr>
        <w:t>‘</w:t>
      </w:r>
      <w:r w:rsidR="005F37EC" w:rsidRPr="00EC18C6">
        <w:rPr>
          <w:rFonts w:ascii="Calibri" w:hAnsi="Calibri" w:cs="Calibri"/>
          <w:sz w:val="24"/>
          <w:szCs w:val="24"/>
        </w:rPr>
        <w:t>alternative within the program</w:t>
      </w:r>
      <w:r w:rsidR="005F37EC">
        <w:rPr>
          <w:rFonts w:ascii="Calibri" w:hAnsi="Calibri" w:cs="Calibri"/>
          <w:sz w:val="24"/>
          <w:szCs w:val="24"/>
        </w:rPr>
        <w:t xml:space="preserve">’ </w:t>
      </w:r>
      <w:r w:rsidR="000A617F">
        <w:rPr>
          <w:rFonts w:ascii="Calibri" w:hAnsi="Calibri" w:cs="Calibri"/>
          <w:sz w:val="24"/>
          <w:szCs w:val="24"/>
        </w:rPr>
        <w:t>and</w:t>
      </w:r>
      <w:r w:rsidR="008516E2">
        <w:rPr>
          <w:rFonts w:ascii="Calibri" w:hAnsi="Calibri" w:cs="Calibri"/>
          <w:sz w:val="24"/>
          <w:szCs w:val="24"/>
        </w:rPr>
        <w:t xml:space="preserve"> </w:t>
      </w:r>
      <w:r w:rsidR="000B720E" w:rsidRPr="007B570B">
        <w:rPr>
          <w:rFonts w:ascii="Calibri" w:hAnsi="Calibri" w:cs="Calibri"/>
          <w:sz w:val="24"/>
          <w:szCs w:val="24"/>
        </w:rPr>
        <w:t xml:space="preserve">working </w:t>
      </w:r>
      <w:r w:rsidR="007C4B92">
        <w:rPr>
          <w:rFonts w:ascii="Calibri" w:hAnsi="Calibri" w:cs="Calibri"/>
          <w:sz w:val="24"/>
          <w:szCs w:val="24"/>
        </w:rPr>
        <w:t>towards the flexible, indeed political, interpretation</w:t>
      </w:r>
      <w:r w:rsidR="006922E0" w:rsidRPr="007B570B">
        <w:rPr>
          <w:rFonts w:ascii="Calibri" w:hAnsi="Calibri" w:cs="Calibri"/>
          <w:sz w:val="24"/>
          <w:szCs w:val="24"/>
        </w:rPr>
        <w:t xml:space="preserve"> </w:t>
      </w:r>
      <w:r w:rsidR="007C4B92">
        <w:rPr>
          <w:rFonts w:ascii="Calibri" w:hAnsi="Calibri" w:cs="Calibri"/>
          <w:sz w:val="24"/>
          <w:szCs w:val="24"/>
        </w:rPr>
        <w:t xml:space="preserve">of </w:t>
      </w:r>
      <w:r w:rsidR="000B720E" w:rsidRPr="007B570B">
        <w:rPr>
          <w:rFonts w:ascii="Calibri" w:hAnsi="Calibri" w:cs="Calibri"/>
          <w:sz w:val="24"/>
          <w:szCs w:val="24"/>
        </w:rPr>
        <w:t>tight</w:t>
      </w:r>
      <w:r w:rsidR="006922E0" w:rsidRPr="007B570B">
        <w:rPr>
          <w:rFonts w:ascii="Calibri" w:hAnsi="Calibri" w:cs="Calibri"/>
          <w:sz w:val="24"/>
          <w:szCs w:val="24"/>
        </w:rPr>
        <w:t xml:space="preserve"> rules for</w:t>
      </w:r>
      <w:r w:rsidR="000B720E" w:rsidRPr="007B570B">
        <w:rPr>
          <w:rFonts w:ascii="Calibri" w:hAnsi="Calibri" w:cs="Calibri"/>
          <w:sz w:val="24"/>
          <w:szCs w:val="24"/>
        </w:rPr>
        <w:t xml:space="preserve"> the</w:t>
      </w:r>
      <w:r w:rsidR="00FF6930" w:rsidRPr="007B570B">
        <w:rPr>
          <w:rFonts w:ascii="Calibri" w:hAnsi="Calibri" w:cs="Calibri"/>
          <w:sz w:val="24"/>
          <w:szCs w:val="24"/>
        </w:rPr>
        <w:t xml:space="preserve"> S</w:t>
      </w:r>
      <w:r w:rsidR="000B720E" w:rsidRPr="007B570B">
        <w:rPr>
          <w:rFonts w:ascii="Calibri" w:hAnsi="Calibri" w:cs="Calibri"/>
          <w:sz w:val="24"/>
          <w:szCs w:val="24"/>
        </w:rPr>
        <w:t xml:space="preserve">tability and </w:t>
      </w:r>
      <w:r w:rsidR="00FF6930" w:rsidRPr="007B570B">
        <w:rPr>
          <w:rFonts w:ascii="Calibri" w:hAnsi="Calibri" w:cs="Calibri"/>
          <w:sz w:val="24"/>
          <w:szCs w:val="24"/>
        </w:rPr>
        <w:t>G</w:t>
      </w:r>
      <w:r w:rsidR="000B720E" w:rsidRPr="007B570B">
        <w:rPr>
          <w:rFonts w:ascii="Calibri" w:hAnsi="Calibri" w:cs="Calibri"/>
          <w:sz w:val="24"/>
          <w:szCs w:val="24"/>
        </w:rPr>
        <w:t xml:space="preserve">rowth </w:t>
      </w:r>
      <w:r w:rsidR="00FF6930" w:rsidRPr="007B570B">
        <w:rPr>
          <w:rFonts w:ascii="Calibri" w:hAnsi="Calibri" w:cs="Calibri"/>
          <w:sz w:val="24"/>
          <w:szCs w:val="24"/>
        </w:rPr>
        <w:t>P</w:t>
      </w:r>
      <w:r w:rsidR="000B720E" w:rsidRPr="007B570B">
        <w:rPr>
          <w:rFonts w:ascii="Calibri" w:hAnsi="Calibri" w:cs="Calibri"/>
          <w:sz w:val="24"/>
          <w:szCs w:val="24"/>
        </w:rPr>
        <w:t>act</w:t>
      </w:r>
      <w:r w:rsidR="00441F04">
        <w:rPr>
          <w:rFonts w:ascii="Calibri" w:hAnsi="Calibri" w:cs="Calibri"/>
          <w:sz w:val="24"/>
          <w:szCs w:val="24"/>
        </w:rPr>
        <w:t xml:space="preserve"> for Portugal, </w:t>
      </w:r>
      <w:proofErr w:type="gramStart"/>
      <w:r w:rsidR="00441F04">
        <w:rPr>
          <w:rFonts w:ascii="Calibri" w:hAnsi="Calibri" w:cs="Calibri"/>
          <w:sz w:val="24"/>
          <w:szCs w:val="24"/>
        </w:rPr>
        <w:t>Spain</w:t>
      </w:r>
      <w:proofErr w:type="gramEnd"/>
      <w:r w:rsidR="00441F04">
        <w:rPr>
          <w:rFonts w:ascii="Calibri" w:hAnsi="Calibri" w:cs="Calibri"/>
          <w:sz w:val="24"/>
          <w:szCs w:val="24"/>
        </w:rPr>
        <w:t xml:space="preserve"> and Italy</w:t>
      </w:r>
      <w:r w:rsidR="000A617F">
        <w:rPr>
          <w:rFonts w:ascii="Calibri" w:hAnsi="Calibri" w:cs="Calibri"/>
          <w:sz w:val="24"/>
          <w:szCs w:val="24"/>
        </w:rPr>
        <w:t>.</w:t>
      </w:r>
      <w:r w:rsidR="009559FD">
        <w:rPr>
          <w:rFonts w:ascii="Calibri" w:hAnsi="Calibri" w:cs="Calibri"/>
          <w:sz w:val="24"/>
          <w:szCs w:val="24"/>
        </w:rPr>
        <w:t xml:space="preserve"> </w:t>
      </w:r>
      <w:r w:rsidR="000A617F">
        <w:rPr>
          <w:rFonts w:ascii="Calibri" w:hAnsi="Calibri" w:cs="Calibri"/>
          <w:sz w:val="24"/>
          <w:szCs w:val="24"/>
        </w:rPr>
        <w:t>D</w:t>
      </w:r>
      <w:r w:rsidR="001E2A0B">
        <w:rPr>
          <w:rFonts w:ascii="Calibri" w:hAnsi="Calibri" w:cs="Calibri"/>
          <w:sz w:val="24"/>
          <w:szCs w:val="24"/>
        </w:rPr>
        <w:t xml:space="preserve">ead in </w:t>
      </w:r>
      <w:r w:rsidR="00DF6B69">
        <w:rPr>
          <w:rFonts w:ascii="Calibri" w:hAnsi="Calibri" w:cs="Calibri"/>
          <w:sz w:val="24"/>
          <w:szCs w:val="24"/>
        </w:rPr>
        <w:t>the water when i</w:t>
      </w:r>
      <w:r w:rsidR="00C74A8B">
        <w:rPr>
          <w:rFonts w:ascii="Calibri" w:hAnsi="Calibri" w:cs="Calibri"/>
          <w:sz w:val="24"/>
          <w:szCs w:val="24"/>
        </w:rPr>
        <w:t>t</w:t>
      </w:r>
      <w:r w:rsidR="00DF6B69">
        <w:rPr>
          <w:rFonts w:ascii="Calibri" w:hAnsi="Calibri" w:cs="Calibri"/>
          <w:sz w:val="24"/>
          <w:szCs w:val="24"/>
        </w:rPr>
        <w:t xml:space="preserve"> comes to </w:t>
      </w:r>
      <w:r w:rsidR="00EE1F60">
        <w:rPr>
          <w:rFonts w:ascii="Calibri" w:hAnsi="Calibri" w:cs="Calibri"/>
          <w:sz w:val="24"/>
          <w:szCs w:val="24"/>
        </w:rPr>
        <w:t xml:space="preserve">ideas about </w:t>
      </w:r>
      <w:r w:rsidR="00940E1F">
        <w:rPr>
          <w:rFonts w:ascii="Calibri" w:hAnsi="Calibri" w:cs="Calibri"/>
          <w:sz w:val="24"/>
          <w:szCs w:val="24"/>
        </w:rPr>
        <w:t>Eurozone reform</w:t>
      </w:r>
      <w:r w:rsidR="00EE1F60">
        <w:rPr>
          <w:rFonts w:ascii="Calibri" w:hAnsi="Calibri" w:cs="Calibri"/>
          <w:sz w:val="24"/>
          <w:szCs w:val="24"/>
        </w:rPr>
        <w:t>,</w:t>
      </w:r>
      <w:r w:rsidR="00940E1F">
        <w:rPr>
          <w:rFonts w:ascii="Calibri" w:hAnsi="Calibri" w:cs="Calibri"/>
          <w:sz w:val="24"/>
          <w:szCs w:val="24"/>
        </w:rPr>
        <w:t xml:space="preserve"> in the face of staunch opposition from Germany and the </w:t>
      </w:r>
      <w:r w:rsidR="00C74A8B">
        <w:rPr>
          <w:rFonts w:ascii="Calibri" w:hAnsi="Calibri" w:cs="Calibri"/>
          <w:sz w:val="24"/>
          <w:szCs w:val="24"/>
        </w:rPr>
        <w:t>‘</w:t>
      </w:r>
      <w:r w:rsidR="00940E1F">
        <w:rPr>
          <w:rFonts w:ascii="Calibri" w:hAnsi="Calibri" w:cs="Calibri"/>
          <w:sz w:val="24"/>
          <w:szCs w:val="24"/>
        </w:rPr>
        <w:t>New Hanseatic League</w:t>
      </w:r>
      <w:r w:rsidR="00C74A8B">
        <w:rPr>
          <w:rFonts w:ascii="Calibri" w:hAnsi="Calibri" w:cs="Calibri"/>
          <w:sz w:val="24"/>
          <w:szCs w:val="24"/>
        </w:rPr>
        <w:t>’</w:t>
      </w:r>
      <w:r w:rsidR="000A617F">
        <w:rPr>
          <w:rFonts w:ascii="Calibri" w:hAnsi="Calibri" w:cs="Calibri"/>
          <w:sz w:val="24"/>
          <w:szCs w:val="24"/>
        </w:rPr>
        <w:t>.</w:t>
      </w:r>
      <w:r w:rsidR="00C74A8B">
        <w:rPr>
          <w:rFonts w:ascii="Calibri" w:hAnsi="Calibri" w:cs="Calibri"/>
          <w:sz w:val="24"/>
          <w:szCs w:val="24"/>
        </w:rPr>
        <w:t xml:space="preserve"> </w:t>
      </w:r>
      <w:r w:rsidR="000A617F">
        <w:rPr>
          <w:rFonts w:ascii="Calibri" w:hAnsi="Calibri" w:cs="Calibri"/>
          <w:sz w:val="24"/>
          <w:szCs w:val="24"/>
        </w:rPr>
        <w:t>M</w:t>
      </w:r>
      <w:r w:rsidR="006922E0" w:rsidRPr="007B570B">
        <w:rPr>
          <w:rFonts w:ascii="Calibri" w:hAnsi="Calibri" w:cs="Calibri"/>
          <w:sz w:val="24"/>
          <w:szCs w:val="24"/>
        </w:rPr>
        <w:t xml:space="preserve">ore significant </w:t>
      </w:r>
      <w:r w:rsidR="00096087">
        <w:rPr>
          <w:rFonts w:ascii="Calibri" w:hAnsi="Calibri" w:cs="Calibri"/>
          <w:sz w:val="24"/>
          <w:szCs w:val="24"/>
        </w:rPr>
        <w:t>against the odds</w:t>
      </w:r>
      <w:r w:rsidR="00096087" w:rsidRPr="007B570B">
        <w:rPr>
          <w:rFonts w:ascii="Calibri" w:hAnsi="Calibri" w:cs="Calibri"/>
          <w:sz w:val="24"/>
          <w:szCs w:val="24"/>
        </w:rPr>
        <w:t xml:space="preserve"> </w:t>
      </w:r>
      <w:r w:rsidR="006922E0" w:rsidRPr="007B570B">
        <w:rPr>
          <w:rFonts w:ascii="Calibri" w:hAnsi="Calibri" w:cs="Calibri"/>
          <w:sz w:val="24"/>
          <w:szCs w:val="24"/>
        </w:rPr>
        <w:t>for</w:t>
      </w:r>
      <w:r w:rsidR="00FF6930" w:rsidRPr="007B570B">
        <w:rPr>
          <w:rFonts w:ascii="Calibri" w:hAnsi="Calibri" w:cs="Calibri"/>
          <w:sz w:val="24"/>
          <w:szCs w:val="24"/>
        </w:rPr>
        <w:t xml:space="preserve"> taxation, at least initially </w:t>
      </w:r>
      <w:r w:rsidR="004E232E" w:rsidRPr="007B570B">
        <w:rPr>
          <w:rFonts w:ascii="Calibri" w:hAnsi="Calibri" w:cs="Calibri"/>
          <w:sz w:val="24"/>
          <w:szCs w:val="24"/>
        </w:rPr>
        <w:t>when the Commission was able to capitalise on public pressure and support from the Parliament to pass</w:t>
      </w:r>
      <w:r w:rsidR="00A454FF" w:rsidRPr="007B570B">
        <w:rPr>
          <w:rFonts w:ascii="Calibri" w:hAnsi="Calibri" w:cs="Calibri"/>
          <w:sz w:val="24"/>
          <w:szCs w:val="24"/>
        </w:rPr>
        <w:t xml:space="preserve"> significant</w:t>
      </w:r>
      <w:r w:rsidR="004E232E" w:rsidRPr="007B570B">
        <w:rPr>
          <w:rFonts w:ascii="Calibri" w:hAnsi="Calibri" w:cs="Calibri"/>
          <w:sz w:val="24"/>
          <w:szCs w:val="24"/>
        </w:rPr>
        <w:t xml:space="preserve"> </w:t>
      </w:r>
      <w:r w:rsidR="00E1130B">
        <w:rPr>
          <w:rFonts w:ascii="Calibri" w:hAnsi="Calibri" w:cs="Calibri"/>
          <w:sz w:val="24"/>
          <w:szCs w:val="24"/>
        </w:rPr>
        <w:t>transparency</w:t>
      </w:r>
      <w:r w:rsidR="00164285">
        <w:rPr>
          <w:rFonts w:ascii="Calibri" w:hAnsi="Calibri" w:cs="Calibri"/>
          <w:sz w:val="24"/>
          <w:szCs w:val="24"/>
        </w:rPr>
        <w:t xml:space="preserve"> </w:t>
      </w:r>
      <w:r w:rsidR="00A454FF" w:rsidRPr="007B570B">
        <w:rPr>
          <w:rFonts w:ascii="Calibri" w:hAnsi="Calibri" w:cs="Calibri"/>
          <w:sz w:val="24"/>
          <w:szCs w:val="24"/>
        </w:rPr>
        <w:t>legislation in this sen</w:t>
      </w:r>
      <w:r w:rsidR="000B720E" w:rsidRPr="007B570B">
        <w:rPr>
          <w:rFonts w:ascii="Calibri" w:hAnsi="Calibri" w:cs="Calibri"/>
          <w:sz w:val="24"/>
          <w:szCs w:val="24"/>
        </w:rPr>
        <w:t xml:space="preserve">sitive </w:t>
      </w:r>
      <w:proofErr w:type="gramStart"/>
      <w:r w:rsidR="000B720E" w:rsidRPr="007B570B">
        <w:rPr>
          <w:rFonts w:ascii="Calibri" w:hAnsi="Calibri" w:cs="Calibri"/>
          <w:sz w:val="24"/>
          <w:szCs w:val="24"/>
        </w:rPr>
        <w:lastRenderedPageBreak/>
        <w:t>area</w:t>
      </w:r>
      <w:r w:rsidR="000073F6">
        <w:rPr>
          <w:rFonts w:ascii="Calibri" w:hAnsi="Calibri" w:cs="Calibri"/>
          <w:sz w:val="24"/>
          <w:szCs w:val="24"/>
        </w:rPr>
        <w:t>,</w:t>
      </w:r>
      <w:r w:rsidR="00164285">
        <w:rPr>
          <w:rFonts w:ascii="Calibri" w:hAnsi="Calibri" w:cs="Calibri"/>
          <w:sz w:val="24"/>
          <w:szCs w:val="24"/>
        </w:rPr>
        <w:t xml:space="preserve"> before</w:t>
      </w:r>
      <w:proofErr w:type="gramEnd"/>
      <w:r w:rsidR="00164285">
        <w:rPr>
          <w:rFonts w:ascii="Calibri" w:hAnsi="Calibri" w:cs="Calibri"/>
          <w:sz w:val="24"/>
          <w:szCs w:val="24"/>
        </w:rPr>
        <w:t xml:space="preserve"> </w:t>
      </w:r>
      <w:r w:rsidR="00E1130B">
        <w:rPr>
          <w:rFonts w:ascii="Calibri" w:hAnsi="Calibri" w:cs="Calibri"/>
          <w:sz w:val="24"/>
          <w:szCs w:val="24"/>
        </w:rPr>
        <w:t>the issue</w:t>
      </w:r>
      <w:r w:rsidR="002A51FF">
        <w:rPr>
          <w:rFonts w:ascii="Calibri" w:hAnsi="Calibri" w:cs="Calibri"/>
          <w:sz w:val="24"/>
          <w:szCs w:val="24"/>
        </w:rPr>
        <w:t xml:space="preserve"> of dealing with tax </w:t>
      </w:r>
      <w:r w:rsidR="00F33E9F">
        <w:rPr>
          <w:rFonts w:ascii="Calibri" w:hAnsi="Calibri" w:cs="Calibri"/>
          <w:sz w:val="24"/>
          <w:szCs w:val="24"/>
        </w:rPr>
        <w:t xml:space="preserve">evasion and </w:t>
      </w:r>
      <w:r w:rsidR="002C35BE">
        <w:rPr>
          <w:rFonts w:ascii="Calibri" w:hAnsi="Calibri" w:cs="Calibri"/>
          <w:sz w:val="24"/>
          <w:szCs w:val="24"/>
        </w:rPr>
        <w:t xml:space="preserve">tax </w:t>
      </w:r>
      <w:r w:rsidR="00F33E9F">
        <w:rPr>
          <w:rFonts w:ascii="Calibri" w:hAnsi="Calibri" w:cs="Calibri"/>
          <w:sz w:val="24"/>
          <w:szCs w:val="24"/>
        </w:rPr>
        <w:t>justice</w:t>
      </w:r>
      <w:r w:rsidR="00E1130B">
        <w:rPr>
          <w:rFonts w:ascii="Calibri" w:hAnsi="Calibri" w:cs="Calibri"/>
          <w:sz w:val="24"/>
          <w:szCs w:val="24"/>
        </w:rPr>
        <w:t xml:space="preserve"> was moved ‘up’ to the OECD</w:t>
      </w:r>
      <w:r w:rsidR="00FF6930" w:rsidRPr="007B570B">
        <w:rPr>
          <w:rFonts w:ascii="Calibri" w:hAnsi="Calibri" w:cs="Calibri"/>
          <w:sz w:val="24"/>
          <w:szCs w:val="24"/>
        </w:rPr>
        <w:t>.</w:t>
      </w:r>
      <w:r w:rsidR="00185FFF" w:rsidRPr="007B570B">
        <w:rPr>
          <w:rFonts w:ascii="Calibri" w:hAnsi="Calibri" w:cs="Calibri"/>
          <w:sz w:val="24"/>
          <w:szCs w:val="24"/>
        </w:rPr>
        <w:t xml:space="preserve"> Political work is not the same thing as agenda setting and it appears as though the Political Commission acted mostly as a</w:t>
      </w:r>
      <w:r w:rsidR="00931171">
        <w:rPr>
          <w:rFonts w:ascii="Calibri" w:hAnsi="Calibri" w:cs="Calibri"/>
          <w:sz w:val="24"/>
          <w:szCs w:val="24"/>
        </w:rPr>
        <w:t xml:space="preserve"> successful</w:t>
      </w:r>
      <w:r w:rsidR="00185FFF" w:rsidRPr="007B570B">
        <w:rPr>
          <w:rFonts w:ascii="Calibri" w:hAnsi="Calibri" w:cs="Calibri"/>
          <w:sz w:val="24"/>
          <w:szCs w:val="24"/>
        </w:rPr>
        <w:t xml:space="preserve"> agenda setter, indeed a policy entrepreneur of sort, for taxation.</w:t>
      </w:r>
      <w:r w:rsidR="006922E0" w:rsidRPr="007B570B">
        <w:rPr>
          <w:rFonts w:ascii="Calibri" w:hAnsi="Calibri" w:cs="Calibri"/>
          <w:sz w:val="24"/>
          <w:szCs w:val="24"/>
        </w:rPr>
        <w:t xml:space="preserve"> </w:t>
      </w:r>
      <w:r w:rsidR="00783C2A">
        <w:rPr>
          <w:rFonts w:ascii="Calibri" w:hAnsi="Calibri" w:cs="Calibri"/>
          <w:sz w:val="24"/>
          <w:szCs w:val="24"/>
        </w:rPr>
        <w:t xml:space="preserve">Not </w:t>
      </w:r>
      <w:proofErr w:type="gramStart"/>
      <w:r w:rsidR="00783C2A">
        <w:rPr>
          <w:rFonts w:ascii="Calibri" w:hAnsi="Calibri" w:cs="Calibri"/>
          <w:sz w:val="24"/>
          <w:szCs w:val="24"/>
        </w:rPr>
        <w:t>all of</w:t>
      </w:r>
      <w:proofErr w:type="gramEnd"/>
      <w:r w:rsidR="00783C2A">
        <w:rPr>
          <w:rFonts w:ascii="Calibri" w:hAnsi="Calibri" w:cs="Calibri"/>
          <w:sz w:val="24"/>
          <w:szCs w:val="24"/>
        </w:rPr>
        <w:t xml:space="preserve"> the </w:t>
      </w:r>
      <w:r w:rsidR="00D65967" w:rsidRPr="00D044E7">
        <w:rPr>
          <w:rFonts w:ascii="Calibri" w:hAnsi="Calibri" w:cs="Calibri"/>
          <w:i/>
          <w:iCs/>
          <w:sz w:val="24"/>
          <w:szCs w:val="24"/>
        </w:rPr>
        <w:t>Political Commissioner</w:t>
      </w:r>
      <w:r w:rsidR="00D65967">
        <w:rPr>
          <w:rFonts w:ascii="Calibri" w:hAnsi="Calibri" w:cs="Calibri"/>
          <w:sz w:val="24"/>
          <w:szCs w:val="24"/>
        </w:rPr>
        <w:t>’s stories are</w:t>
      </w:r>
      <w:r w:rsidR="006226B9">
        <w:rPr>
          <w:rFonts w:ascii="Calibri" w:hAnsi="Calibri" w:cs="Calibri"/>
          <w:sz w:val="24"/>
          <w:szCs w:val="24"/>
        </w:rPr>
        <w:t xml:space="preserve"> completely</w:t>
      </w:r>
      <w:r w:rsidR="00D65967">
        <w:rPr>
          <w:rFonts w:ascii="Calibri" w:hAnsi="Calibri" w:cs="Calibri"/>
          <w:sz w:val="24"/>
          <w:szCs w:val="24"/>
        </w:rPr>
        <w:t xml:space="preserve"> new</w:t>
      </w:r>
      <w:r w:rsidR="00A6014F">
        <w:rPr>
          <w:rFonts w:ascii="Calibri" w:hAnsi="Calibri" w:cs="Calibri"/>
          <w:sz w:val="24"/>
          <w:szCs w:val="24"/>
        </w:rPr>
        <w:t>. For instance,</w:t>
      </w:r>
      <w:r w:rsidR="006226B9">
        <w:rPr>
          <w:rFonts w:ascii="Calibri" w:hAnsi="Calibri" w:cs="Calibri"/>
          <w:sz w:val="24"/>
          <w:szCs w:val="24"/>
        </w:rPr>
        <w:t xml:space="preserve"> the battle between SYRIZA</w:t>
      </w:r>
      <w:r w:rsidR="00766A82">
        <w:rPr>
          <w:rFonts w:ascii="Calibri" w:hAnsi="Calibri" w:cs="Calibri"/>
          <w:sz w:val="24"/>
          <w:szCs w:val="24"/>
        </w:rPr>
        <w:t>’s finance min</w:t>
      </w:r>
      <w:r w:rsidR="00382FB5">
        <w:rPr>
          <w:rFonts w:ascii="Calibri" w:hAnsi="Calibri" w:cs="Calibri"/>
          <w:sz w:val="24"/>
          <w:szCs w:val="24"/>
        </w:rPr>
        <w:t>i</w:t>
      </w:r>
      <w:r w:rsidR="00766A82">
        <w:rPr>
          <w:rFonts w:ascii="Calibri" w:hAnsi="Calibri" w:cs="Calibri"/>
          <w:sz w:val="24"/>
          <w:szCs w:val="24"/>
        </w:rPr>
        <w:t xml:space="preserve">ster Yanis Varoufakis and the Eurogroup is well </w:t>
      </w:r>
      <w:r w:rsidR="00D044E7">
        <w:rPr>
          <w:rFonts w:ascii="Calibri" w:hAnsi="Calibri" w:cs="Calibri"/>
          <w:sz w:val="24"/>
          <w:szCs w:val="24"/>
        </w:rPr>
        <w:t>rehearsed</w:t>
      </w:r>
      <w:r w:rsidR="001F1AEC">
        <w:rPr>
          <w:rFonts w:ascii="Calibri" w:hAnsi="Calibri" w:cs="Calibri"/>
          <w:sz w:val="24"/>
          <w:szCs w:val="24"/>
        </w:rPr>
        <w:t xml:space="preserve"> and </w:t>
      </w:r>
      <w:r w:rsidR="00834497">
        <w:rPr>
          <w:rFonts w:ascii="Calibri" w:hAnsi="Calibri" w:cs="Calibri"/>
          <w:sz w:val="24"/>
          <w:szCs w:val="24"/>
        </w:rPr>
        <w:t xml:space="preserve">largely </w:t>
      </w:r>
      <w:r w:rsidR="002924E0">
        <w:rPr>
          <w:rFonts w:ascii="Calibri" w:hAnsi="Calibri" w:cs="Calibri"/>
          <w:sz w:val="24"/>
          <w:szCs w:val="24"/>
        </w:rPr>
        <w:t>congruent with Werts’</w:t>
      </w:r>
      <w:r w:rsidR="00CB6DC9">
        <w:rPr>
          <w:rFonts w:ascii="Calibri" w:hAnsi="Calibri" w:cs="Calibri"/>
          <w:sz w:val="24"/>
          <w:szCs w:val="24"/>
        </w:rPr>
        <w:t xml:space="preserve"> </w:t>
      </w:r>
      <w:r w:rsidR="00834497">
        <w:rPr>
          <w:rFonts w:ascii="Calibri" w:hAnsi="Calibri" w:cs="Calibri"/>
          <w:sz w:val="24"/>
          <w:szCs w:val="24"/>
        </w:rPr>
        <w:t>account</w:t>
      </w:r>
      <w:r w:rsidR="00C864D1">
        <w:rPr>
          <w:rFonts w:ascii="Calibri" w:hAnsi="Calibri" w:cs="Calibri"/>
          <w:sz w:val="24"/>
          <w:szCs w:val="24"/>
        </w:rPr>
        <w:t>.</w:t>
      </w:r>
      <w:r w:rsidR="00617C99">
        <w:rPr>
          <w:rFonts w:ascii="Calibri" w:hAnsi="Calibri" w:cs="Calibri"/>
          <w:sz w:val="24"/>
          <w:szCs w:val="24"/>
        </w:rPr>
        <w:t xml:space="preserve"> </w:t>
      </w:r>
      <w:r w:rsidR="007B20F2">
        <w:rPr>
          <w:rFonts w:ascii="Calibri" w:hAnsi="Calibri" w:cs="Calibri"/>
          <w:sz w:val="24"/>
          <w:szCs w:val="24"/>
        </w:rPr>
        <w:t>Still, what this</w:t>
      </w:r>
      <w:r w:rsidR="00550EAC">
        <w:rPr>
          <w:rFonts w:ascii="Calibri" w:hAnsi="Calibri" w:cs="Calibri"/>
          <w:sz w:val="24"/>
          <w:szCs w:val="24"/>
        </w:rPr>
        <w:t xml:space="preserve"> </w:t>
      </w:r>
      <w:proofErr w:type="gramStart"/>
      <w:r w:rsidR="00550EAC">
        <w:rPr>
          <w:rFonts w:ascii="Calibri" w:hAnsi="Calibri" w:cs="Calibri"/>
          <w:sz w:val="24"/>
          <w:szCs w:val="24"/>
        </w:rPr>
        <w:t>particular</w:t>
      </w:r>
      <w:r w:rsidR="007B20F2">
        <w:rPr>
          <w:rFonts w:ascii="Calibri" w:hAnsi="Calibri" w:cs="Calibri"/>
          <w:sz w:val="24"/>
          <w:szCs w:val="24"/>
        </w:rPr>
        <w:t xml:space="preserve"> chapter</w:t>
      </w:r>
      <w:proofErr w:type="gramEnd"/>
      <w:r w:rsidR="00CA07D0">
        <w:rPr>
          <w:rFonts w:ascii="Calibri" w:hAnsi="Calibri" w:cs="Calibri"/>
          <w:sz w:val="24"/>
          <w:szCs w:val="24"/>
        </w:rPr>
        <w:t xml:space="preserve"> </w:t>
      </w:r>
      <w:r w:rsidR="00081848">
        <w:rPr>
          <w:rFonts w:ascii="Calibri" w:hAnsi="Calibri" w:cs="Calibri"/>
          <w:sz w:val="24"/>
          <w:szCs w:val="24"/>
        </w:rPr>
        <w:t>brings to the fore is the</w:t>
      </w:r>
      <w:r w:rsidR="00744921">
        <w:rPr>
          <w:rFonts w:ascii="Calibri" w:hAnsi="Calibri" w:cs="Calibri"/>
          <w:sz w:val="24"/>
          <w:szCs w:val="24"/>
        </w:rPr>
        <w:t xml:space="preserve"> understanding</w:t>
      </w:r>
      <w:r w:rsidR="00617C99">
        <w:rPr>
          <w:rFonts w:ascii="Calibri" w:hAnsi="Calibri" w:cs="Calibri"/>
          <w:sz w:val="24"/>
          <w:szCs w:val="24"/>
        </w:rPr>
        <w:t xml:space="preserve"> of</w:t>
      </w:r>
      <w:r w:rsidR="00E347AC">
        <w:rPr>
          <w:rFonts w:ascii="Calibri" w:hAnsi="Calibri" w:cs="Calibri"/>
          <w:sz w:val="24"/>
          <w:szCs w:val="24"/>
        </w:rPr>
        <w:t xml:space="preserve"> conflicted insiders</w:t>
      </w:r>
      <w:r w:rsidR="00010A18">
        <w:rPr>
          <w:rFonts w:ascii="Calibri" w:hAnsi="Calibri" w:cs="Calibri"/>
          <w:sz w:val="24"/>
          <w:szCs w:val="24"/>
        </w:rPr>
        <w:t xml:space="preserve"> </w:t>
      </w:r>
      <w:r w:rsidR="00253F21">
        <w:rPr>
          <w:rFonts w:ascii="Calibri" w:hAnsi="Calibri" w:cs="Calibri"/>
          <w:sz w:val="24"/>
          <w:szCs w:val="24"/>
        </w:rPr>
        <w:t>within</w:t>
      </w:r>
      <w:r w:rsidR="00E347AC">
        <w:rPr>
          <w:rFonts w:ascii="Calibri" w:hAnsi="Calibri" w:cs="Calibri"/>
          <w:sz w:val="24"/>
          <w:szCs w:val="24"/>
        </w:rPr>
        <w:t xml:space="preserve"> the Commission on how </w:t>
      </w:r>
      <w:r w:rsidR="00041911">
        <w:rPr>
          <w:rFonts w:ascii="Calibri" w:hAnsi="Calibri" w:cs="Calibri"/>
          <w:sz w:val="24"/>
          <w:szCs w:val="24"/>
        </w:rPr>
        <w:t>and why Greek bailout</w:t>
      </w:r>
      <w:r w:rsidR="00697E9E">
        <w:rPr>
          <w:rFonts w:ascii="Calibri" w:hAnsi="Calibri" w:cs="Calibri"/>
          <w:sz w:val="24"/>
          <w:szCs w:val="24"/>
        </w:rPr>
        <w:t>s</w:t>
      </w:r>
      <w:r w:rsidR="00041911">
        <w:rPr>
          <w:rFonts w:ascii="Calibri" w:hAnsi="Calibri" w:cs="Calibri"/>
          <w:sz w:val="24"/>
          <w:szCs w:val="24"/>
        </w:rPr>
        <w:t xml:space="preserve"> </w:t>
      </w:r>
      <w:r w:rsidR="00382FB5">
        <w:rPr>
          <w:rFonts w:ascii="Calibri" w:hAnsi="Calibri" w:cs="Calibri"/>
          <w:sz w:val="24"/>
          <w:szCs w:val="24"/>
        </w:rPr>
        <w:t xml:space="preserve">were </w:t>
      </w:r>
      <w:r w:rsidR="00F87A8A">
        <w:rPr>
          <w:rFonts w:ascii="Calibri" w:hAnsi="Calibri" w:cs="Calibri"/>
          <w:sz w:val="24"/>
          <w:szCs w:val="24"/>
        </w:rPr>
        <w:t xml:space="preserve">designed </w:t>
      </w:r>
      <w:r w:rsidR="00697E9E">
        <w:rPr>
          <w:rFonts w:ascii="Calibri" w:hAnsi="Calibri" w:cs="Calibri"/>
          <w:sz w:val="24"/>
          <w:szCs w:val="24"/>
        </w:rPr>
        <w:t>the way they were</w:t>
      </w:r>
      <w:r w:rsidR="00101083">
        <w:rPr>
          <w:rFonts w:ascii="Calibri" w:hAnsi="Calibri" w:cs="Calibri"/>
          <w:sz w:val="24"/>
          <w:szCs w:val="24"/>
        </w:rPr>
        <w:t>,</w:t>
      </w:r>
      <w:r w:rsidR="00253F21">
        <w:rPr>
          <w:rFonts w:ascii="Calibri" w:hAnsi="Calibri" w:cs="Calibri"/>
          <w:sz w:val="24"/>
          <w:szCs w:val="24"/>
        </w:rPr>
        <w:t xml:space="preserve"> despite </w:t>
      </w:r>
      <w:r w:rsidR="00E923D3">
        <w:rPr>
          <w:rFonts w:ascii="Calibri" w:hAnsi="Calibri" w:cs="Calibri"/>
          <w:sz w:val="24"/>
          <w:szCs w:val="24"/>
        </w:rPr>
        <w:t>their brutal consequences</w:t>
      </w:r>
      <w:r w:rsidR="00081848">
        <w:rPr>
          <w:rFonts w:ascii="Calibri" w:hAnsi="Calibri" w:cs="Calibri"/>
          <w:sz w:val="24"/>
          <w:szCs w:val="24"/>
        </w:rPr>
        <w:t>.</w:t>
      </w:r>
      <w:r w:rsidR="0013218A">
        <w:rPr>
          <w:rFonts w:ascii="Calibri" w:hAnsi="Calibri" w:cs="Calibri"/>
          <w:sz w:val="24"/>
          <w:szCs w:val="24"/>
        </w:rPr>
        <w:t xml:space="preserve"> </w:t>
      </w:r>
      <w:r w:rsidR="00C45187">
        <w:rPr>
          <w:rFonts w:ascii="Calibri" w:hAnsi="Calibri" w:cs="Calibri"/>
          <w:sz w:val="24"/>
          <w:szCs w:val="24"/>
        </w:rPr>
        <w:t>This</w:t>
      </w:r>
      <w:r w:rsidR="00010A18">
        <w:rPr>
          <w:rFonts w:ascii="Calibri" w:hAnsi="Calibri" w:cs="Calibri"/>
          <w:sz w:val="24"/>
          <w:szCs w:val="24"/>
        </w:rPr>
        <w:t xml:space="preserve"> </w:t>
      </w:r>
      <w:r w:rsidR="00834497">
        <w:rPr>
          <w:rFonts w:ascii="Calibri" w:hAnsi="Calibri" w:cs="Calibri"/>
          <w:sz w:val="24"/>
          <w:szCs w:val="24"/>
        </w:rPr>
        <w:t xml:space="preserve">is </w:t>
      </w:r>
      <w:r w:rsidR="00010A18">
        <w:rPr>
          <w:rFonts w:ascii="Calibri" w:hAnsi="Calibri" w:cs="Calibri"/>
          <w:sz w:val="24"/>
          <w:szCs w:val="24"/>
        </w:rPr>
        <w:t>mostly a story of</w:t>
      </w:r>
      <w:r w:rsidR="00066B6B">
        <w:rPr>
          <w:rFonts w:ascii="Calibri" w:hAnsi="Calibri" w:cs="Calibri"/>
          <w:sz w:val="24"/>
          <w:szCs w:val="24"/>
        </w:rPr>
        <w:t xml:space="preserve"> emergency</w:t>
      </w:r>
      <w:r w:rsidR="00C45187">
        <w:rPr>
          <w:rFonts w:ascii="Calibri" w:hAnsi="Calibri" w:cs="Calibri"/>
          <w:sz w:val="24"/>
          <w:szCs w:val="24"/>
        </w:rPr>
        <w:t xml:space="preserve"> response</w:t>
      </w:r>
      <w:r w:rsidR="00066B6B">
        <w:rPr>
          <w:rFonts w:ascii="Calibri" w:hAnsi="Calibri" w:cs="Calibri"/>
          <w:sz w:val="24"/>
          <w:szCs w:val="24"/>
        </w:rPr>
        <w:t>,</w:t>
      </w:r>
      <w:r w:rsidR="00010A18">
        <w:rPr>
          <w:rFonts w:ascii="Calibri" w:hAnsi="Calibri" w:cs="Calibri"/>
          <w:sz w:val="24"/>
          <w:szCs w:val="24"/>
        </w:rPr>
        <w:t xml:space="preserve"> lack of </w:t>
      </w:r>
      <w:r w:rsidR="00066B6B">
        <w:rPr>
          <w:rFonts w:ascii="Calibri" w:hAnsi="Calibri" w:cs="Calibri"/>
          <w:sz w:val="24"/>
          <w:szCs w:val="24"/>
        </w:rPr>
        <w:t xml:space="preserve">expertise </w:t>
      </w:r>
      <w:r w:rsidR="00C45187">
        <w:rPr>
          <w:rFonts w:ascii="Calibri" w:hAnsi="Calibri" w:cs="Calibri"/>
          <w:sz w:val="24"/>
          <w:szCs w:val="24"/>
        </w:rPr>
        <w:t xml:space="preserve">in bailouts </w:t>
      </w:r>
      <w:r w:rsidR="00066B6B">
        <w:rPr>
          <w:rFonts w:ascii="Calibri" w:hAnsi="Calibri" w:cs="Calibri"/>
          <w:sz w:val="24"/>
          <w:szCs w:val="24"/>
        </w:rPr>
        <w:t>and national constraints</w:t>
      </w:r>
      <w:r w:rsidR="00596286">
        <w:rPr>
          <w:rFonts w:ascii="Calibri" w:hAnsi="Calibri" w:cs="Calibri"/>
          <w:sz w:val="24"/>
          <w:szCs w:val="24"/>
        </w:rPr>
        <w:t>.</w:t>
      </w:r>
    </w:p>
    <w:p w14:paraId="170F5E7B" w14:textId="00A88697" w:rsidR="00FA2A22" w:rsidRPr="00F213EC" w:rsidRDefault="009249AA" w:rsidP="00F213EC">
      <w:pPr>
        <w:jc w:val="both"/>
        <w:rPr>
          <w:rFonts w:ascii="Calibri" w:hAnsi="Calibri" w:cs="Calibri"/>
          <w:sz w:val="24"/>
          <w:szCs w:val="24"/>
        </w:rPr>
      </w:pPr>
      <w:proofErr w:type="spellStart"/>
      <w:r w:rsidRPr="00F213EC">
        <w:rPr>
          <w:rFonts w:ascii="Calibri" w:hAnsi="Calibri" w:cs="Calibri"/>
          <w:sz w:val="24"/>
          <w:szCs w:val="24"/>
        </w:rPr>
        <w:t>Mérand</w:t>
      </w:r>
      <w:proofErr w:type="spellEnd"/>
      <w:r w:rsidRPr="00F213EC">
        <w:rPr>
          <w:rFonts w:ascii="Calibri" w:hAnsi="Calibri" w:cs="Calibri"/>
          <w:sz w:val="24"/>
          <w:szCs w:val="24"/>
        </w:rPr>
        <w:t xml:space="preserve"> </w:t>
      </w:r>
      <w:r w:rsidR="00D45B33" w:rsidRPr="00F213EC">
        <w:rPr>
          <w:rFonts w:ascii="Calibri" w:hAnsi="Calibri" w:cs="Calibri"/>
          <w:sz w:val="24"/>
          <w:szCs w:val="24"/>
        </w:rPr>
        <w:t>does not say much</w:t>
      </w:r>
      <w:r w:rsidRPr="00F213EC">
        <w:rPr>
          <w:rFonts w:ascii="Calibri" w:hAnsi="Calibri" w:cs="Calibri"/>
          <w:sz w:val="24"/>
          <w:szCs w:val="24"/>
        </w:rPr>
        <w:t xml:space="preserve"> about the </w:t>
      </w:r>
      <w:r w:rsidR="00BD7E47" w:rsidRPr="00F213EC">
        <w:rPr>
          <w:rFonts w:ascii="Calibri" w:hAnsi="Calibri" w:cs="Calibri"/>
          <w:sz w:val="24"/>
          <w:szCs w:val="24"/>
        </w:rPr>
        <w:t xml:space="preserve">European Council as an institution, which </w:t>
      </w:r>
      <w:r w:rsidR="00F1392D" w:rsidRPr="00F213EC">
        <w:rPr>
          <w:rFonts w:ascii="Calibri" w:hAnsi="Calibri" w:cs="Calibri"/>
          <w:sz w:val="24"/>
          <w:szCs w:val="24"/>
        </w:rPr>
        <w:t>features</w:t>
      </w:r>
      <w:r w:rsidR="00BD7E47" w:rsidRPr="00F213EC">
        <w:rPr>
          <w:rFonts w:ascii="Calibri" w:hAnsi="Calibri" w:cs="Calibri"/>
          <w:sz w:val="24"/>
          <w:szCs w:val="24"/>
        </w:rPr>
        <w:t xml:space="preserve"> surprisingly little</w:t>
      </w:r>
      <w:r w:rsidR="00F213EC">
        <w:rPr>
          <w:rFonts w:ascii="Calibri" w:hAnsi="Calibri" w:cs="Calibri"/>
          <w:sz w:val="24"/>
          <w:szCs w:val="24"/>
        </w:rPr>
        <w:t xml:space="preserve"> in the book</w:t>
      </w:r>
      <w:r w:rsidR="00F1392D" w:rsidRPr="00F213EC">
        <w:rPr>
          <w:rFonts w:ascii="Calibri" w:hAnsi="Calibri" w:cs="Calibri"/>
          <w:sz w:val="24"/>
          <w:szCs w:val="24"/>
        </w:rPr>
        <w:t>, p</w:t>
      </w:r>
      <w:r w:rsidR="003100BE" w:rsidRPr="00F213EC">
        <w:rPr>
          <w:rFonts w:ascii="Calibri" w:hAnsi="Calibri" w:cs="Calibri"/>
          <w:sz w:val="24"/>
          <w:szCs w:val="24"/>
        </w:rPr>
        <w:t>artly</w:t>
      </w:r>
      <w:r w:rsidR="00F1392D" w:rsidRPr="00F213EC">
        <w:rPr>
          <w:rFonts w:ascii="Calibri" w:hAnsi="Calibri" w:cs="Calibri"/>
          <w:sz w:val="24"/>
          <w:szCs w:val="24"/>
        </w:rPr>
        <w:t xml:space="preserve"> because </w:t>
      </w:r>
      <w:r w:rsidR="003100BE" w:rsidRPr="00F213EC">
        <w:rPr>
          <w:rFonts w:ascii="Calibri" w:hAnsi="Calibri" w:cs="Calibri"/>
          <w:sz w:val="24"/>
          <w:szCs w:val="24"/>
        </w:rPr>
        <w:t xml:space="preserve">the Commissioner and his cabinet are not directly involved in the meetings </w:t>
      </w:r>
      <w:proofErr w:type="gramStart"/>
      <w:r w:rsidR="003100BE" w:rsidRPr="00F213EC">
        <w:rPr>
          <w:rFonts w:ascii="Calibri" w:hAnsi="Calibri" w:cs="Calibri"/>
          <w:sz w:val="24"/>
          <w:szCs w:val="24"/>
        </w:rPr>
        <w:t>and also</w:t>
      </w:r>
      <w:proofErr w:type="gramEnd"/>
      <w:r w:rsidR="003100BE" w:rsidRPr="00F213EC">
        <w:rPr>
          <w:rFonts w:ascii="Calibri" w:hAnsi="Calibri" w:cs="Calibri"/>
          <w:sz w:val="24"/>
          <w:szCs w:val="24"/>
        </w:rPr>
        <w:t xml:space="preserve"> because</w:t>
      </w:r>
      <w:r w:rsidR="00F1392D" w:rsidRPr="00F213EC">
        <w:rPr>
          <w:rFonts w:ascii="Calibri" w:hAnsi="Calibri" w:cs="Calibri"/>
          <w:sz w:val="24"/>
          <w:szCs w:val="24"/>
        </w:rPr>
        <w:t xml:space="preserve"> h</w:t>
      </w:r>
      <w:r w:rsidR="00A54E67" w:rsidRPr="00F213EC">
        <w:rPr>
          <w:rFonts w:ascii="Calibri" w:hAnsi="Calibri" w:cs="Calibri"/>
          <w:sz w:val="24"/>
          <w:szCs w:val="24"/>
        </w:rPr>
        <w:t>is micro</w:t>
      </w:r>
      <w:r w:rsidR="003100BE" w:rsidRPr="00F213EC">
        <w:rPr>
          <w:rFonts w:ascii="Calibri" w:hAnsi="Calibri" w:cs="Calibri"/>
          <w:sz w:val="24"/>
          <w:szCs w:val="24"/>
        </w:rPr>
        <w:t>-</w:t>
      </w:r>
      <w:r w:rsidR="00A54E67" w:rsidRPr="00F213EC">
        <w:rPr>
          <w:rFonts w:ascii="Calibri" w:hAnsi="Calibri" w:cs="Calibri"/>
          <w:sz w:val="24"/>
          <w:szCs w:val="24"/>
        </w:rPr>
        <w:t>sociological focus lead</w:t>
      </w:r>
      <w:r w:rsidR="00F213EC" w:rsidRPr="00F213EC">
        <w:rPr>
          <w:rFonts w:ascii="Calibri" w:hAnsi="Calibri" w:cs="Calibri"/>
          <w:sz w:val="24"/>
          <w:szCs w:val="24"/>
        </w:rPr>
        <w:t>s</w:t>
      </w:r>
      <w:r w:rsidR="00A54E67" w:rsidRPr="00F213EC">
        <w:rPr>
          <w:rFonts w:ascii="Calibri" w:hAnsi="Calibri" w:cs="Calibri"/>
          <w:sz w:val="24"/>
          <w:szCs w:val="24"/>
        </w:rPr>
        <w:t xml:space="preserve"> him to concentrate more </w:t>
      </w:r>
      <w:r w:rsidR="00682DA3" w:rsidRPr="00F213EC">
        <w:rPr>
          <w:rFonts w:ascii="Calibri" w:hAnsi="Calibri" w:cs="Calibri"/>
          <w:sz w:val="24"/>
          <w:szCs w:val="24"/>
        </w:rPr>
        <w:t>on individuals, their background</w:t>
      </w:r>
      <w:r w:rsidR="001B240D">
        <w:rPr>
          <w:rFonts w:ascii="Calibri" w:hAnsi="Calibri" w:cs="Calibri"/>
          <w:sz w:val="24"/>
          <w:szCs w:val="24"/>
        </w:rPr>
        <w:t>,</w:t>
      </w:r>
      <w:r w:rsidR="00682DA3" w:rsidRPr="00F213EC">
        <w:rPr>
          <w:rFonts w:ascii="Calibri" w:hAnsi="Calibri" w:cs="Calibri"/>
          <w:sz w:val="24"/>
          <w:szCs w:val="24"/>
        </w:rPr>
        <w:t xml:space="preserve"> characteristics and networks.</w:t>
      </w:r>
      <w:r w:rsidR="00261149">
        <w:rPr>
          <w:rFonts w:ascii="Calibri" w:hAnsi="Calibri" w:cs="Calibri"/>
          <w:sz w:val="24"/>
          <w:szCs w:val="24"/>
        </w:rPr>
        <w:t xml:space="preserve"> </w:t>
      </w:r>
      <w:r w:rsidR="00781B02">
        <w:rPr>
          <w:rFonts w:ascii="Calibri" w:hAnsi="Calibri" w:cs="Calibri"/>
          <w:sz w:val="24"/>
          <w:szCs w:val="24"/>
        </w:rPr>
        <w:t xml:space="preserve">Still, there is abundant commentary </w:t>
      </w:r>
      <w:r w:rsidR="00AA4C55" w:rsidRPr="00F213EC">
        <w:rPr>
          <w:rFonts w:ascii="Calibri" w:hAnsi="Calibri" w:cs="Calibri"/>
          <w:sz w:val="24"/>
          <w:szCs w:val="24"/>
        </w:rPr>
        <w:t>on how Moscovici and his teams mobilised political network</w:t>
      </w:r>
      <w:r w:rsidR="001E6979">
        <w:rPr>
          <w:rFonts w:ascii="Calibri" w:hAnsi="Calibri" w:cs="Calibri"/>
          <w:sz w:val="24"/>
          <w:szCs w:val="24"/>
        </w:rPr>
        <w:t>s</w:t>
      </w:r>
      <w:r w:rsidR="005076F1" w:rsidRPr="00F213EC">
        <w:rPr>
          <w:rFonts w:ascii="Calibri" w:hAnsi="Calibri" w:cs="Calibri"/>
          <w:sz w:val="24"/>
          <w:szCs w:val="24"/>
        </w:rPr>
        <w:t>, cajoling and hitting against the resistance of member states</w:t>
      </w:r>
      <w:r w:rsidR="0016721B" w:rsidRPr="00F213EC">
        <w:rPr>
          <w:rFonts w:ascii="Calibri" w:hAnsi="Calibri" w:cs="Calibri"/>
          <w:sz w:val="24"/>
          <w:szCs w:val="24"/>
        </w:rPr>
        <w:t xml:space="preserve"> – Germany </w:t>
      </w:r>
      <w:r w:rsidR="00347148" w:rsidRPr="00F213EC">
        <w:rPr>
          <w:rFonts w:ascii="Calibri" w:hAnsi="Calibri" w:cs="Calibri"/>
          <w:sz w:val="24"/>
          <w:szCs w:val="24"/>
        </w:rPr>
        <w:t>looms</w:t>
      </w:r>
      <w:r w:rsidR="00347148">
        <w:rPr>
          <w:rFonts w:ascii="Calibri" w:hAnsi="Calibri" w:cs="Calibri"/>
          <w:sz w:val="24"/>
          <w:szCs w:val="24"/>
        </w:rPr>
        <w:t xml:space="preserve"> large in the book along</w:t>
      </w:r>
      <w:r w:rsidR="00575D78">
        <w:rPr>
          <w:rFonts w:ascii="Calibri" w:hAnsi="Calibri" w:cs="Calibri"/>
          <w:sz w:val="24"/>
          <w:szCs w:val="24"/>
        </w:rPr>
        <w:t>side</w:t>
      </w:r>
      <w:r w:rsidR="00347148">
        <w:rPr>
          <w:rFonts w:ascii="Calibri" w:hAnsi="Calibri" w:cs="Calibri"/>
          <w:sz w:val="24"/>
          <w:szCs w:val="24"/>
        </w:rPr>
        <w:t xml:space="preserve"> France, a reflection of the Commissioner and his portfolio</w:t>
      </w:r>
      <w:r w:rsidR="0016721B" w:rsidRPr="00F213EC">
        <w:rPr>
          <w:rFonts w:ascii="Calibri" w:hAnsi="Calibri" w:cs="Calibri"/>
          <w:sz w:val="24"/>
          <w:szCs w:val="24"/>
        </w:rPr>
        <w:t>.</w:t>
      </w:r>
    </w:p>
    <w:p w14:paraId="0C5B92CC" w14:textId="77777777" w:rsidR="00055B95" w:rsidRPr="00055B95" w:rsidRDefault="00055B95" w:rsidP="001A618B">
      <w:pPr>
        <w:jc w:val="both"/>
        <w:rPr>
          <w:rFonts w:ascii="Calibri" w:hAnsi="Calibri" w:cs="Calibri"/>
          <w:sz w:val="24"/>
          <w:szCs w:val="24"/>
        </w:rPr>
      </w:pPr>
    </w:p>
    <w:p w14:paraId="76D008F0" w14:textId="1863BFF9" w:rsidR="00FA2A22" w:rsidRPr="00FA2A22" w:rsidRDefault="009B0695" w:rsidP="00FA2A22">
      <w:pPr>
        <w:jc w:val="both"/>
        <w:rPr>
          <w:rFonts w:ascii="Calibri" w:hAnsi="Calibri" w:cs="Calibri"/>
          <w:b/>
          <w:bCs/>
          <w:sz w:val="24"/>
          <w:szCs w:val="24"/>
        </w:rPr>
      </w:pPr>
      <w:r>
        <w:rPr>
          <w:rFonts w:ascii="Calibri" w:hAnsi="Calibri" w:cs="Calibri"/>
          <w:b/>
          <w:bCs/>
          <w:sz w:val="24"/>
          <w:szCs w:val="24"/>
        </w:rPr>
        <w:t>Avenues and</w:t>
      </w:r>
      <w:r w:rsidR="004A7417">
        <w:rPr>
          <w:rFonts w:ascii="Calibri" w:hAnsi="Calibri" w:cs="Calibri"/>
          <w:b/>
          <w:bCs/>
          <w:sz w:val="24"/>
          <w:szCs w:val="24"/>
        </w:rPr>
        <w:t xml:space="preserve"> c</w:t>
      </w:r>
      <w:r w:rsidR="00FA2A22" w:rsidRPr="00FA2A22">
        <w:rPr>
          <w:rFonts w:ascii="Calibri" w:hAnsi="Calibri" w:cs="Calibri"/>
          <w:b/>
          <w:bCs/>
          <w:sz w:val="24"/>
          <w:szCs w:val="24"/>
        </w:rPr>
        <w:t xml:space="preserve">hallenges </w:t>
      </w:r>
      <w:r w:rsidR="00DF7BC5">
        <w:rPr>
          <w:rFonts w:ascii="Calibri" w:hAnsi="Calibri" w:cs="Calibri"/>
          <w:b/>
          <w:bCs/>
          <w:sz w:val="24"/>
          <w:szCs w:val="24"/>
        </w:rPr>
        <w:t>for</w:t>
      </w:r>
      <w:r w:rsidR="00FA2A22" w:rsidRPr="00FA2A22">
        <w:rPr>
          <w:rFonts w:ascii="Calibri" w:hAnsi="Calibri" w:cs="Calibri"/>
          <w:b/>
          <w:bCs/>
          <w:sz w:val="24"/>
          <w:szCs w:val="24"/>
        </w:rPr>
        <w:t xml:space="preserve"> further research</w:t>
      </w:r>
    </w:p>
    <w:p w14:paraId="3CCB8EB1" w14:textId="5C400926" w:rsidR="00931AFE" w:rsidRDefault="00931AFE" w:rsidP="006E02DE">
      <w:pPr>
        <w:jc w:val="both"/>
        <w:rPr>
          <w:rFonts w:ascii="Calibri" w:hAnsi="Calibri" w:cs="Calibri"/>
          <w:sz w:val="24"/>
          <w:szCs w:val="24"/>
        </w:rPr>
      </w:pPr>
      <w:r w:rsidRPr="00475B5C">
        <w:rPr>
          <w:rFonts w:ascii="Calibri" w:hAnsi="Calibri" w:cs="Calibri"/>
          <w:sz w:val="24"/>
          <w:szCs w:val="24"/>
        </w:rPr>
        <w:t>Beyond the drafting and shaping of hard legislation, where policy ideas and initiatives ‘actually originate’ is a tricky question, one that perhaps cannot always be fully resolved. There are many owners of an idea, especially when it is successful, and it is often hard to weight who was the single creator and who pushed it through on the political agenda.</w:t>
      </w:r>
      <w:r w:rsidR="00475B5C" w:rsidRPr="00475B5C">
        <w:rPr>
          <w:rFonts w:ascii="Calibri" w:hAnsi="Calibri" w:cs="Calibri"/>
          <w:sz w:val="24"/>
          <w:szCs w:val="24"/>
        </w:rPr>
        <w:t xml:space="preserve"> </w:t>
      </w:r>
      <w:r w:rsidR="002E548F">
        <w:rPr>
          <w:rFonts w:ascii="Calibri" w:hAnsi="Calibri" w:cs="Calibri"/>
          <w:sz w:val="24"/>
          <w:szCs w:val="24"/>
        </w:rPr>
        <w:t xml:space="preserve">Related to this </w:t>
      </w:r>
      <w:r w:rsidR="00BB1620">
        <w:rPr>
          <w:rFonts w:ascii="Calibri" w:hAnsi="Calibri" w:cs="Calibri"/>
          <w:sz w:val="24"/>
          <w:szCs w:val="24"/>
        </w:rPr>
        <w:t xml:space="preserve">is another </w:t>
      </w:r>
      <w:r w:rsidR="002E548F">
        <w:rPr>
          <w:rFonts w:ascii="Calibri" w:hAnsi="Calibri" w:cs="Calibri"/>
          <w:sz w:val="24"/>
          <w:szCs w:val="24"/>
        </w:rPr>
        <w:t>question</w:t>
      </w:r>
      <w:r w:rsidR="00BB1620">
        <w:rPr>
          <w:rFonts w:ascii="Calibri" w:hAnsi="Calibri" w:cs="Calibri"/>
          <w:sz w:val="24"/>
          <w:szCs w:val="24"/>
        </w:rPr>
        <w:t xml:space="preserve">: </w:t>
      </w:r>
      <w:r w:rsidR="00B85BCC">
        <w:rPr>
          <w:rFonts w:ascii="Calibri" w:hAnsi="Calibri" w:cs="Calibri"/>
          <w:sz w:val="24"/>
          <w:szCs w:val="24"/>
        </w:rPr>
        <w:t>t</w:t>
      </w:r>
      <w:r w:rsidR="00BB1620">
        <w:rPr>
          <w:rFonts w:ascii="Calibri" w:hAnsi="Calibri" w:cs="Calibri"/>
          <w:sz w:val="24"/>
          <w:szCs w:val="24"/>
        </w:rPr>
        <w:t>he</w:t>
      </w:r>
      <w:r w:rsidR="002E548F">
        <w:rPr>
          <w:rFonts w:ascii="Calibri" w:hAnsi="Calibri" w:cs="Calibri"/>
          <w:sz w:val="24"/>
          <w:szCs w:val="24"/>
        </w:rPr>
        <w:t xml:space="preserve"> a</w:t>
      </w:r>
      <w:r w:rsidR="00475B5C" w:rsidRPr="00475B5C">
        <w:rPr>
          <w:rFonts w:ascii="Calibri" w:hAnsi="Calibri" w:cs="Calibri"/>
          <w:sz w:val="24"/>
          <w:szCs w:val="24"/>
        </w:rPr>
        <w:t xml:space="preserve">genda setting of what? </w:t>
      </w:r>
      <w:r w:rsidR="00BB1620">
        <w:rPr>
          <w:rFonts w:ascii="Calibri" w:hAnsi="Calibri" w:cs="Calibri"/>
          <w:sz w:val="24"/>
          <w:szCs w:val="24"/>
        </w:rPr>
        <w:t>B</w:t>
      </w:r>
      <w:r w:rsidR="00475B5C" w:rsidRPr="00475B5C">
        <w:rPr>
          <w:rFonts w:ascii="Calibri" w:hAnsi="Calibri" w:cs="Calibri"/>
          <w:sz w:val="24"/>
          <w:szCs w:val="24"/>
        </w:rPr>
        <w:t xml:space="preserve">road ideas? </w:t>
      </w:r>
      <w:r w:rsidR="002E548F">
        <w:rPr>
          <w:rFonts w:ascii="Calibri" w:hAnsi="Calibri" w:cs="Calibri"/>
          <w:sz w:val="24"/>
          <w:szCs w:val="24"/>
        </w:rPr>
        <w:t>P</w:t>
      </w:r>
      <w:r w:rsidR="00475B5C" w:rsidRPr="00475B5C">
        <w:rPr>
          <w:rFonts w:ascii="Calibri" w:hAnsi="Calibri" w:cs="Calibri"/>
          <w:sz w:val="24"/>
          <w:szCs w:val="24"/>
        </w:rPr>
        <w:t>recise policy proposal</w:t>
      </w:r>
      <w:r w:rsidR="00CE20DC">
        <w:rPr>
          <w:rFonts w:ascii="Calibri" w:hAnsi="Calibri" w:cs="Calibri"/>
          <w:sz w:val="24"/>
          <w:szCs w:val="24"/>
        </w:rPr>
        <w:t>s</w:t>
      </w:r>
      <w:r w:rsidR="00475B5C" w:rsidRPr="00475B5C">
        <w:rPr>
          <w:rFonts w:ascii="Calibri" w:hAnsi="Calibri" w:cs="Calibri"/>
          <w:sz w:val="24"/>
          <w:szCs w:val="24"/>
        </w:rPr>
        <w:t>?</w:t>
      </w:r>
      <w:r w:rsidR="00A91C1C">
        <w:rPr>
          <w:rFonts w:ascii="Calibri" w:hAnsi="Calibri" w:cs="Calibri"/>
          <w:sz w:val="24"/>
          <w:szCs w:val="24"/>
        </w:rPr>
        <w:t xml:space="preserve"> </w:t>
      </w:r>
      <w:r w:rsidR="00D05713">
        <w:rPr>
          <w:rFonts w:ascii="Calibri" w:hAnsi="Calibri" w:cs="Calibri"/>
          <w:sz w:val="24"/>
          <w:szCs w:val="24"/>
        </w:rPr>
        <w:t>These are</w:t>
      </w:r>
      <w:r w:rsidR="00475B5C" w:rsidRPr="00475B5C">
        <w:rPr>
          <w:rFonts w:ascii="Calibri" w:hAnsi="Calibri" w:cs="Calibri"/>
          <w:sz w:val="24"/>
          <w:szCs w:val="24"/>
        </w:rPr>
        <w:t xml:space="preserve"> perennial yet unresolved question</w:t>
      </w:r>
      <w:r w:rsidR="00CE20DC">
        <w:rPr>
          <w:rFonts w:ascii="Calibri" w:hAnsi="Calibri" w:cs="Calibri"/>
          <w:sz w:val="24"/>
          <w:szCs w:val="24"/>
        </w:rPr>
        <w:t>s</w:t>
      </w:r>
      <w:r w:rsidR="00475B5C" w:rsidRPr="00475B5C">
        <w:rPr>
          <w:rFonts w:ascii="Calibri" w:hAnsi="Calibri" w:cs="Calibri"/>
          <w:sz w:val="24"/>
          <w:szCs w:val="24"/>
        </w:rPr>
        <w:t xml:space="preserve"> for studying agenda setting which </w:t>
      </w:r>
      <w:r w:rsidR="00D05713">
        <w:rPr>
          <w:rFonts w:ascii="Calibri" w:hAnsi="Calibri" w:cs="Calibri"/>
          <w:sz w:val="24"/>
          <w:szCs w:val="24"/>
        </w:rPr>
        <w:t xml:space="preserve">often </w:t>
      </w:r>
      <w:r w:rsidR="00475B5C" w:rsidRPr="00475B5C">
        <w:rPr>
          <w:rFonts w:ascii="Calibri" w:hAnsi="Calibri" w:cs="Calibri"/>
          <w:sz w:val="24"/>
          <w:szCs w:val="24"/>
        </w:rPr>
        <w:t>lead to different focuses and conclusions.</w:t>
      </w:r>
      <w:r w:rsidR="00475B5C">
        <w:rPr>
          <w:rFonts w:ascii="Calibri" w:hAnsi="Calibri" w:cs="Calibri"/>
          <w:sz w:val="24"/>
          <w:szCs w:val="24"/>
        </w:rPr>
        <w:t xml:space="preserve"> </w:t>
      </w:r>
      <w:r>
        <w:rPr>
          <w:rFonts w:ascii="Calibri" w:hAnsi="Calibri" w:cs="Calibri"/>
          <w:sz w:val="24"/>
          <w:szCs w:val="24"/>
        </w:rPr>
        <w:t>Th</w:t>
      </w:r>
      <w:r w:rsidR="00D05713">
        <w:rPr>
          <w:rFonts w:ascii="Calibri" w:hAnsi="Calibri" w:cs="Calibri"/>
          <w:sz w:val="24"/>
          <w:szCs w:val="24"/>
        </w:rPr>
        <w:t>ey</w:t>
      </w:r>
      <w:r>
        <w:rPr>
          <w:rFonts w:ascii="Calibri" w:hAnsi="Calibri" w:cs="Calibri"/>
          <w:sz w:val="24"/>
          <w:szCs w:val="24"/>
        </w:rPr>
        <w:t xml:space="preserve"> m</w:t>
      </w:r>
      <w:r w:rsidRPr="007236A6">
        <w:rPr>
          <w:rFonts w:ascii="Calibri" w:hAnsi="Calibri" w:cs="Calibri"/>
          <w:sz w:val="24"/>
          <w:szCs w:val="24"/>
        </w:rPr>
        <w:t>ake agenda setting a slippery subject to study</w:t>
      </w:r>
      <w:r>
        <w:rPr>
          <w:rFonts w:ascii="Calibri" w:hAnsi="Calibri" w:cs="Calibri"/>
          <w:sz w:val="24"/>
          <w:szCs w:val="24"/>
        </w:rPr>
        <w:t>, open to a</w:t>
      </w:r>
      <w:r w:rsidRPr="007236A6">
        <w:rPr>
          <w:rFonts w:ascii="Calibri" w:hAnsi="Calibri" w:cs="Calibri"/>
          <w:sz w:val="24"/>
          <w:szCs w:val="24"/>
        </w:rPr>
        <w:t xml:space="preserve"> multiplicity of actors,</w:t>
      </w:r>
      <w:r>
        <w:rPr>
          <w:rFonts w:ascii="Calibri" w:hAnsi="Calibri" w:cs="Calibri"/>
          <w:sz w:val="24"/>
          <w:szCs w:val="24"/>
        </w:rPr>
        <w:t xml:space="preserve"> </w:t>
      </w:r>
      <w:r w:rsidRPr="007236A6">
        <w:rPr>
          <w:rFonts w:ascii="Calibri" w:hAnsi="Calibri" w:cs="Calibri"/>
          <w:sz w:val="24"/>
          <w:szCs w:val="24"/>
        </w:rPr>
        <w:t>chains of causality</w:t>
      </w:r>
      <w:r w:rsidR="005754A0">
        <w:rPr>
          <w:rFonts w:ascii="Calibri" w:hAnsi="Calibri" w:cs="Calibri"/>
          <w:sz w:val="24"/>
          <w:szCs w:val="24"/>
        </w:rPr>
        <w:t xml:space="preserve"> and competing narratives</w:t>
      </w:r>
      <w:r w:rsidRPr="007236A6">
        <w:rPr>
          <w:rFonts w:ascii="Calibri" w:hAnsi="Calibri" w:cs="Calibri"/>
          <w:sz w:val="24"/>
          <w:szCs w:val="24"/>
        </w:rPr>
        <w:t>.</w:t>
      </w:r>
      <w:r w:rsidR="002F0E8B">
        <w:rPr>
          <w:rFonts w:ascii="Calibri" w:hAnsi="Calibri" w:cs="Calibri"/>
          <w:sz w:val="24"/>
          <w:szCs w:val="24"/>
        </w:rPr>
        <w:t xml:space="preserve"> </w:t>
      </w:r>
    </w:p>
    <w:p w14:paraId="2DCA8C19" w14:textId="4712D212" w:rsidR="0062055A" w:rsidRDefault="00FA2A22" w:rsidP="006E02DE">
      <w:pPr>
        <w:jc w:val="both"/>
        <w:rPr>
          <w:rFonts w:ascii="Calibri" w:hAnsi="Calibri" w:cs="Calibri"/>
          <w:sz w:val="24"/>
          <w:szCs w:val="24"/>
        </w:rPr>
      </w:pPr>
      <w:r w:rsidRPr="009B0695">
        <w:rPr>
          <w:rFonts w:ascii="Calibri" w:hAnsi="Calibri" w:cs="Calibri"/>
          <w:sz w:val="24"/>
          <w:szCs w:val="24"/>
        </w:rPr>
        <w:t xml:space="preserve">All </w:t>
      </w:r>
      <w:r w:rsidR="009B0695">
        <w:rPr>
          <w:rFonts w:ascii="Calibri" w:hAnsi="Calibri" w:cs="Calibri"/>
          <w:sz w:val="24"/>
          <w:szCs w:val="24"/>
        </w:rPr>
        <w:t>three book</w:t>
      </w:r>
      <w:r w:rsidR="002046C2">
        <w:rPr>
          <w:rFonts w:ascii="Calibri" w:hAnsi="Calibri" w:cs="Calibri"/>
          <w:sz w:val="24"/>
          <w:szCs w:val="24"/>
        </w:rPr>
        <w:t>s</w:t>
      </w:r>
      <w:r w:rsidR="00AB7D8D" w:rsidRPr="009B0695">
        <w:rPr>
          <w:rFonts w:ascii="Calibri" w:hAnsi="Calibri" w:cs="Calibri"/>
          <w:sz w:val="24"/>
          <w:szCs w:val="24"/>
        </w:rPr>
        <w:t>, rightly,</w:t>
      </w:r>
      <w:r w:rsidRPr="009B0695">
        <w:rPr>
          <w:rFonts w:ascii="Calibri" w:hAnsi="Calibri" w:cs="Calibri"/>
          <w:sz w:val="24"/>
          <w:szCs w:val="24"/>
        </w:rPr>
        <w:t xml:space="preserve"> go beyond </w:t>
      </w:r>
      <w:r w:rsidR="000E5715" w:rsidRPr="009B0695">
        <w:rPr>
          <w:rFonts w:ascii="Calibri" w:hAnsi="Calibri" w:cs="Calibri"/>
          <w:sz w:val="24"/>
          <w:szCs w:val="24"/>
        </w:rPr>
        <w:t>formalistic</w:t>
      </w:r>
      <w:r w:rsidRPr="009B0695">
        <w:rPr>
          <w:rFonts w:ascii="Calibri" w:hAnsi="Calibri" w:cs="Calibri"/>
          <w:sz w:val="24"/>
          <w:szCs w:val="24"/>
        </w:rPr>
        <w:t xml:space="preserve"> discussion</w:t>
      </w:r>
      <w:r w:rsidR="009B0695">
        <w:rPr>
          <w:rFonts w:ascii="Calibri" w:hAnsi="Calibri" w:cs="Calibri"/>
          <w:sz w:val="24"/>
          <w:szCs w:val="24"/>
        </w:rPr>
        <w:t>s</w:t>
      </w:r>
      <w:r w:rsidRPr="009B0695">
        <w:rPr>
          <w:rFonts w:ascii="Calibri" w:hAnsi="Calibri" w:cs="Calibri"/>
          <w:sz w:val="24"/>
          <w:szCs w:val="24"/>
        </w:rPr>
        <w:t xml:space="preserve"> of the role of </w:t>
      </w:r>
      <w:r w:rsidR="009B0695">
        <w:rPr>
          <w:rFonts w:ascii="Calibri" w:hAnsi="Calibri" w:cs="Calibri"/>
          <w:sz w:val="24"/>
          <w:szCs w:val="24"/>
        </w:rPr>
        <w:t>the EUCO and Commission</w:t>
      </w:r>
      <w:r w:rsidR="000E5715" w:rsidRPr="009B0695">
        <w:rPr>
          <w:rFonts w:ascii="Calibri" w:hAnsi="Calibri" w:cs="Calibri"/>
          <w:sz w:val="24"/>
          <w:szCs w:val="24"/>
        </w:rPr>
        <w:t xml:space="preserve"> in agenda setting and decision making</w:t>
      </w:r>
      <w:r w:rsidRPr="009B0695">
        <w:rPr>
          <w:rFonts w:ascii="Calibri" w:hAnsi="Calibri" w:cs="Calibri"/>
          <w:sz w:val="24"/>
          <w:szCs w:val="24"/>
        </w:rPr>
        <w:t xml:space="preserve">, </w:t>
      </w:r>
      <w:r w:rsidR="008602A9">
        <w:rPr>
          <w:rFonts w:ascii="Calibri" w:hAnsi="Calibri" w:cs="Calibri"/>
          <w:sz w:val="24"/>
          <w:szCs w:val="24"/>
        </w:rPr>
        <w:t xml:space="preserve">and </w:t>
      </w:r>
      <w:r w:rsidRPr="009B0695">
        <w:rPr>
          <w:rFonts w:ascii="Calibri" w:hAnsi="Calibri" w:cs="Calibri"/>
          <w:sz w:val="24"/>
          <w:szCs w:val="24"/>
        </w:rPr>
        <w:t xml:space="preserve">towards </w:t>
      </w:r>
      <w:r w:rsidR="008602A9">
        <w:rPr>
          <w:rFonts w:ascii="Calibri" w:hAnsi="Calibri" w:cs="Calibri"/>
          <w:sz w:val="24"/>
          <w:szCs w:val="24"/>
        </w:rPr>
        <w:t>tr</w:t>
      </w:r>
      <w:r w:rsidR="00571DA4">
        <w:rPr>
          <w:rFonts w:ascii="Calibri" w:hAnsi="Calibri" w:cs="Calibri"/>
          <w:sz w:val="24"/>
          <w:szCs w:val="24"/>
        </w:rPr>
        <w:t>a</w:t>
      </w:r>
      <w:r w:rsidR="008602A9">
        <w:rPr>
          <w:rFonts w:ascii="Calibri" w:hAnsi="Calibri" w:cs="Calibri"/>
          <w:sz w:val="24"/>
          <w:szCs w:val="24"/>
        </w:rPr>
        <w:t xml:space="preserve">cking </w:t>
      </w:r>
      <w:r w:rsidR="00571DA4">
        <w:rPr>
          <w:rFonts w:ascii="Calibri" w:hAnsi="Calibri" w:cs="Calibri"/>
          <w:sz w:val="24"/>
          <w:szCs w:val="24"/>
        </w:rPr>
        <w:t xml:space="preserve">concrete interactions, including </w:t>
      </w:r>
      <w:r w:rsidRPr="009B0695">
        <w:rPr>
          <w:rFonts w:ascii="Calibri" w:hAnsi="Calibri" w:cs="Calibri"/>
          <w:sz w:val="24"/>
          <w:szCs w:val="24"/>
        </w:rPr>
        <w:t xml:space="preserve">informal </w:t>
      </w:r>
      <w:r w:rsidR="000E5715" w:rsidRPr="009B0695">
        <w:rPr>
          <w:rFonts w:ascii="Calibri" w:hAnsi="Calibri" w:cs="Calibri"/>
          <w:sz w:val="24"/>
          <w:szCs w:val="24"/>
        </w:rPr>
        <w:t>behaviours</w:t>
      </w:r>
      <w:r w:rsidR="0016301F">
        <w:rPr>
          <w:rFonts w:ascii="Calibri" w:hAnsi="Calibri" w:cs="Calibri"/>
          <w:sz w:val="24"/>
          <w:szCs w:val="24"/>
        </w:rPr>
        <w:t xml:space="preserve"> and</w:t>
      </w:r>
      <w:r w:rsidR="000E5715" w:rsidRPr="009B0695">
        <w:rPr>
          <w:rFonts w:ascii="Calibri" w:hAnsi="Calibri" w:cs="Calibri"/>
          <w:sz w:val="24"/>
          <w:szCs w:val="24"/>
        </w:rPr>
        <w:t xml:space="preserve"> </w:t>
      </w:r>
      <w:r w:rsidR="0016301F" w:rsidRPr="009B0695">
        <w:rPr>
          <w:rFonts w:ascii="Calibri" w:hAnsi="Calibri" w:cs="Calibri"/>
          <w:sz w:val="24"/>
          <w:szCs w:val="24"/>
        </w:rPr>
        <w:t>practices</w:t>
      </w:r>
      <w:r w:rsidR="002B456D">
        <w:rPr>
          <w:rFonts w:ascii="Calibri" w:hAnsi="Calibri" w:cs="Calibri"/>
          <w:sz w:val="24"/>
          <w:szCs w:val="24"/>
        </w:rPr>
        <w:t xml:space="preserve"> </w:t>
      </w:r>
      <w:proofErr w:type="gramStart"/>
      <w:r w:rsidR="002B456D">
        <w:rPr>
          <w:rFonts w:ascii="Calibri" w:hAnsi="Calibri" w:cs="Calibri"/>
          <w:sz w:val="24"/>
          <w:szCs w:val="24"/>
        </w:rPr>
        <w:t>through t</w:t>
      </w:r>
      <w:r w:rsidR="001D6AEC">
        <w:rPr>
          <w:rFonts w:ascii="Calibri" w:hAnsi="Calibri" w:cs="Calibri"/>
          <w:sz w:val="24"/>
          <w:szCs w:val="24"/>
        </w:rPr>
        <w:t>he use of</w:t>
      </w:r>
      <w:proofErr w:type="gramEnd"/>
      <w:r w:rsidR="001D6AEC">
        <w:rPr>
          <w:rFonts w:ascii="Calibri" w:hAnsi="Calibri" w:cs="Calibri"/>
          <w:sz w:val="24"/>
          <w:szCs w:val="24"/>
        </w:rPr>
        <w:t xml:space="preserve"> c</w:t>
      </w:r>
      <w:r w:rsidR="001D6AEC" w:rsidRPr="006E02DE">
        <w:rPr>
          <w:rFonts w:ascii="Calibri" w:hAnsi="Calibri" w:cs="Calibri"/>
          <w:sz w:val="24"/>
          <w:szCs w:val="24"/>
        </w:rPr>
        <w:t xml:space="preserve">lose processual analysis </w:t>
      </w:r>
      <w:r w:rsidR="001D6AEC">
        <w:rPr>
          <w:rFonts w:ascii="Calibri" w:hAnsi="Calibri" w:cs="Calibri"/>
          <w:sz w:val="24"/>
          <w:szCs w:val="24"/>
        </w:rPr>
        <w:t xml:space="preserve">or </w:t>
      </w:r>
      <w:r w:rsidR="001D6AEC" w:rsidRPr="006E02DE">
        <w:rPr>
          <w:rFonts w:ascii="Calibri" w:hAnsi="Calibri" w:cs="Calibri"/>
          <w:sz w:val="24"/>
          <w:szCs w:val="24"/>
        </w:rPr>
        <w:t>ethnography</w:t>
      </w:r>
      <w:r w:rsidR="00260900" w:rsidRPr="009B0695">
        <w:rPr>
          <w:rFonts w:ascii="Calibri" w:hAnsi="Calibri" w:cs="Calibri"/>
          <w:sz w:val="24"/>
          <w:szCs w:val="24"/>
        </w:rPr>
        <w:t xml:space="preserve">. </w:t>
      </w:r>
      <w:r w:rsidR="00302CB8" w:rsidRPr="009B0695">
        <w:rPr>
          <w:rFonts w:ascii="Calibri" w:hAnsi="Calibri" w:cs="Calibri"/>
          <w:sz w:val="24"/>
          <w:szCs w:val="24"/>
        </w:rPr>
        <w:t>As such, they provide</w:t>
      </w:r>
      <w:r w:rsidR="00251185">
        <w:rPr>
          <w:rFonts w:ascii="Calibri" w:hAnsi="Calibri" w:cs="Calibri"/>
          <w:sz w:val="24"/>
          <w:szCs w:val="24"/>
        </w:rPr>
        <w:t xml:space="preserve"> empirically</w:t>
      </w:r>
      <w:r w:rsidR="00302CB8" w:rsidRPr="009B0695">
        <w:rPr>
          <w:rFonts w:ascii="Calibri" w:hAnsi="Calibri" w:cs="Calibri"/>
          <w:sz w:val="24"/>
          <w:szCs w:val="24"/>
        </w:rPr>
        <w:t xml:space="preserve"> </w:t>
      </w:r>
      <w:r w:rsidR="00BA08ED" w:rsidRPr="009B0695">
        <w:rPr>
          <w:rFonts w:ascii="Calibri" w:hAnsi="Calibri" w:cs="Calibri"/>
          <w:sz w:val="24"/>
          <w:szCs w:val="24"/>
        </w:rPr>
        <w:t>rich and</w:t>
      </w:r>
      <w:r w:rsidR="00302CB8" w:rsidRPr="009B0695">
        <w:rPr>
          <w:rFonts w:ascii="Calibri" w:hAnsi="Calibri" w:cs="Calibri"/>
          <w:sz w:val="24"/>
          <w:szCs w:val="24"/>
        </w:rPr>
        <w:t xml:space="preserve"> more nuanced picture</w:t>
      </w:r>
      <w:r w:rsidR="008C4243">
        <w:rPr>
          <w:rFonts w:ascii="Calibri" w:hAnsi="Calibri" w:cs="Calibri"/>
          <w:sz w:val="24"/>
          <w:szCs w:val="24"/>
        </w:rPr>
        <w:t>s</w:t>
      </w:r>
      <w:r w:rsidR="001E144D" w:rsidRPr="009B0695">
        <w:rPr>
          <w:rFonts w:ascii="Calibri" w:hAnsi="Calibri" w:cs="Calibri"/>
          <w:sz w:val="24"/>
          <w:szCs w:val="24"/>
        </w:rPr>
        <w:t xml:space="preserve"> than </w:t>
      </w:r>
      <w:r w:rsidR="00BD3E83" w:rsidRPr="009B0695">
        <w:rPr>
          <w:rFonts w:ascii="Calibri" w:hAnsi="Calibri" w:cs="Calibri"/>
          <w:sz w:val="24"/>
          <w:szCs w:val="24"/>
        </w:rPr>
        <w:t xml:space="preserve">some </w:t>
      </w:r>
      <w:r w:rsidR="00C00341">
        <w:rPr>
          <w:rFonts w:ascii="Calibri" w:hAnsi="Calibri" w:cs="Calibri"/>
          <w:sz w:val="24"/>
          <w:szCs w:val="24"/>
        </w:rPr>
        <w:t xml:space="preserve">of the most </w:t>
      </w:r>
      <w:r w:rsidR="00BD3E83" w:rsidRPr="009B0695">
        <w:rPr>
          <w:rFonts w:ascii="Calibri" w:hAnsi="Calibri" w:cs="Calibri"/>
          <w:sz w:val="24"/>
          <w:szCs w:val="24"/>
        </w:rPr>
        <w:t>caricatural views offered by commentators</w:t>
      </w:r>
      <w:r w:rsidR="00C00341">
        <w:rPr>
          <w:rFonts w:ascii="Calibri" w:hAnsi="Calibri" w:cs="Calibri"/>
          <w:sz w:val="24"/>
          <w:szCs w:val="24"/>
        </w:rPr>
        <w:t xml:space="preserve"> of </w:t>
      </w:r>
      <w:r w:rsidR="00A66ABA">
        <w:rPr>
          <w:rFonts w:ascii="Calibri" w:hAnsi="Calibri" w:cs="Calibri"/>
          <w:sz w:val="24"/>
          <w:szCs w:val="24"/>
        </w:rPr>
        <w:t xml:space="preserve">an </w:t>
      </w:r>
      <w:r w:rsidR="00C00341">
        <w:rPr>
          <w:rFonts w:ascii="Calibri" w:hAnsi="Calibri" w:cs="Calibri"/>
          <w:sz w:val="24"/>
          <w:szCs w:val="24"/>
        </w:rPr>
        <w:t>all-bearing all powerful European Council</w:t>
      </w:r>
      <w:r w:rsidR="00BD3E83" w:rsidRPr="009B0695">
        <w:rPr>
          <w:rFonts w:ascii="Calibri" w:hAnsi="Calibri" w:cs="Calibri"/>
          <w:sz w:val="24"/>
          <w:szCs w:val="24"/>
        </w:rPr>
        <w:t>.</w:t>
      </w:r>
      <w:r w:rsidR="006E02DE">
        <w:rPr>
          <w:rFonts w:ascii="Calibri" w:hAnsi="Calibri" w:cs="Calibri"/>
          <w:sz w:val="24"/>
          <w:szCs w:val="24"/>
        </w:rPr>
        <w:t xml:space="preserve"> </w:t>
      </w:r>
      <w:r w:rsidR="00111C21">
        <w:rPr>
          <w:rFonts w:ascii="Calibri" w:hAnsi="Calibri" w:cs="Calibri"/>
          <w:sz w:val="24"/>
          <w:szCs w:val="24"/>
        </w:rPr>
        <w:t>B</w:t>
      </w:r>
      <w:r w:rsidR="0066181A" w:rsidRPr="006E02DE">
        <w:rPr>
          <w:rFonts w:ascii="Calibri" w:hAnsi="Calibri" w:cs="Calibri"/>
          <w:sz w:val="24"/>
          <w:szCs w:val="24"/>
        </w:rPr>
        <w:t xml:space="preserve">ut </w:t>
      </w:r>
      <w:r w:rsidR="008C4243">
        <w:rPr>
          <w:rFonts w:ascii="Calibri" w:hAnsi="Calibri" w:cs="Calibri"/>
          <w:sz w:val="24"/>
          <w:szCs w:val="24"/>
        </w:rPr>
        <w:t xml:space="preserve">the </w:t>
      </w:r>
      <w:r w:rsidR="0066181A" w:rsidRPr="006E02DE">
        <w:rPr>
          <w:rFonts w:ascii="Calibri" w:hAnsi="Calibri" w:cs="Calibri"/>
          <w:sz w:val="24"/>
          <w:szCs w:val="24"/>
        </w:rPr>
        <w:t>focus</w:t>
      </w:r>
      <w:r w:rsidR="00F638C0" w:rsidRPr="006E02DE">
        <w:rPr>
          <w:rFonts w:ascii="Calibri" w:hAnsi="Calibri" w:cs="Calibri"/>
          <w:sz w:val="24"/>
          <w:szCs w:val="24"/>
        </w:rPr>
        <w:t xml:space="preserve"> on</w:t>
      </w:r>
      <w:r w:rsidR="00486BDD" w:rsidRPr="006E02DE">
        <w:rPr>
          <w:rFonts w:ascii="Calibri" w:hAnsi="Calibri" w:cs="Calibri"/>
          <w:sz w:val="24"/>
          <w:szCs w:val="24"/>
        </w:rPr>
        <w:t xml:space="preserve"> one</w:t>
      </w:r>
      <w:r w:rsidR="0066181A" w:rsidRPr="006E02DE">
        <w:rPr>
          <w:rFonts w:ascii="Calibri" w:hAnsi="Calibri" w:cs="Calibri"/>
          <w:sz w:val="24"/>
          <w:szCs w:val="24"/>
        </w:rPr>
        <w:t xml:space="preserve"> single</w:t>
      </w:r>
      <w:r w:rsidR="00F638C0" w:rsidRPr="006E02DE">
        <w:rPr>
          <w:rFonts w:ascii="Calibri" w:hAnsi="Calibri" w:cs="Calibri"/>
          <w:sz w:val="24"/>
          <w:szCs w:val="24"/>
        </w:rPr>
        <w:t xml:space="preserve"> institution</w:t>
      </w:r>
      <w:r w:rsidR="00486BDD" w:rsidRPr="006E02DE">
        <w:rPr>
          <w:rFonts w:ascii="Calibri" w:hAnsi="Calibri" w:cs="Calibri"/>
          <w:sz w:val="24"/>
          <w:szCs w:val="24"/>
        </w:rPr>
        <w:t xml:space="preserve"> tends to taint</w:t>
      </w:r>
      <w:r w:rsidR="00B303C3">
        <w:rPr>
          <w:rFonts w:ascii="Calibri" w:hAnsi="Calibri" w:cs="Calibri"/>
          <w:sz w:val="24"/>
          <w:szCs w:val="24"/>
        </w:rPr>
        <w:t>, inevitably,</w:t>
      </w:r>
      <w:r w:rsidR="00486BDD" w:rsidRPr="006E02DE">
        <w:rPr>
          <w:rFonts w:ascii="Calibri" w:hAnsi="Calibri" w:cs="Calibri"/>
          <w:sz w:val="24"/>
          <w:szCs w:val="24"/>
        </w:rPr>
        <w:t xml:space="preserve"> the analysis</w:t>
      </w:r>
      <w:r w:rsidR="00826C2B" w:rsidRPr="006E02DE">
        <w:rPr>
          <w:rFonts w:ascii="Calibri" w:hAnsi="Calibri" w:cs="Calibri"/>
          <w:sz w:val="24"/>
          <w:szCs w:val="24"/>
        </w:rPr>
        <w:t xml:space="preserve"> however careful and reflexive it might be </w:t>
      </w:r>
      <w:r w:rsidR="008E1269">
        <w:rPr>
          <w:rFonts w:ascii="Calibri" w:hAnsi="Calibri" w:cs="Calibri"/>
          <w:sz w:val="24"/>
          <w:szCs w:val="24"/>
        </w:rPr>
        <w:t>(</w:t>
      </w:r>
      <w:r w:rsidR="00826C2B" w:rsidRPr="006E02DE">
        <w:rPr>
          <w:rFonts w:ascii="Calibri" w:hAnsi="Calibri" w:cs="Calibri"/>
          <w:sz w:val="24"/>
          <w:szCs w:val="24"/>
        </w:rPr>
        <w:t xml:space="preserve">see especially </w:t>
      </w:r>
      <w:proofErr w:type="spellStart"/>
      <w:r w:rsidR="00826C2B" w:rsidRPr="006E02DE">
        <w:rPr>
          <w:rFonts w:ascii="Calibri" w:hAnsi="Calibri" w:cs="Calibri"/>
          <w:sz w:val="24"/>
          <w:szCs w:val="24"/>
        </w:rPr>
        <w:t>Mérand</w:t>
      </w:r>
      <w:r w:rsidR="00C83C25">
        <w:rPr>
          <w:rFonts w:ascii="Calibri" w:hAnsi="Calibri" w:cs="Calibri"/>
          <w:sz w:val="24"/>
          <w:szCs w:val="24"/>
        </w:rPr>
        <w:t>’s</w:t>
      </w:r>
      <w:proofErr w:type="spellEnd"/>
      <w:r w:rsidR="00826C2B" w:rsidRPr="006E02DE">
        <w:rPr>
          <w:rFonts w:ascii="Calibri" w:hAnsi="Calibri" w:cs="Calibri"/>
          <w:sz w:val="24"/>
          <w:szCs w:val="24"/>
        </w:rPr>
        <w:t xml:space="preserve"> methodological discussions</w:t>
      </w:r>
      <w:r w:rsidR="008E1269">
        <w:rPr>
          <w:rFonts w:ascii="Calibri" w:hAnsi="Calibri" w:cs="Calibri"/>
          <w:sz w:val="24"/>
          <w:szCs w:val="24"/>
        </w:rPr>
        <w:t>)</w:t>
      </w:r>
      <w:r w:rsidR="00826C2B" w:rsidRPr="006E02DE">
        <w:rPr>
          <w:rFonts w:ascii="Calibri" w:hAnsi="Calibri" w:cs="Calibri"/>
          <w:sz w:val="24"/>
          <w:szCs w:val="24"/>
        </w:rPr>
        <w:t>.</w:t>
      </w:r>
      <w:r w:rsidR="00263E96" w:rsidRPr="006E02DE">
        <w:rPr>
          <w:rFonts w:ascii="Calibri" w:hAnsi="Calibri" w:cs="Calibri"/>
          <w:sz w:val="24"/>
          <w:szCs w:val="24"/>
        </w:rPr>
        <w:t xml:space="preserve"> </w:t>
      </w:r>
    </w:p>
    <w:p w14:paraId="6A44F67B" w14:textId="3FE1E36E" w:rsidR="008D12F6" w:rsidRDefault="00B64629" w:rsidP="006E02DE">
      <w:pPr>
        <w:jc w:val="both"/>
        <w:rPr>
          <w:rFonts w:ascii="Calibri" w:hAnsi="Calibri" w:cs="Calibri"/>
          <w:sz w:val="24"/>
          <w:szCs w:val="24"/>
        </w:rPr>
      </w:pPr>
      <w:r>
        <w:rPr>
          <w:rFonts w:ascii="Calibri" w:hAnsi="Calibri" w:cs="Calibri"/>
          <w:sz w:val="24"/>
          <w:szCs w:val="24"/>
        </w:rPr>
        <w:t>Close</w:t>
      </w:r>
      <w:r w:rsidR="00263E96" w:rsidRPr="006E02DE">
        <w:rPr>
          <w:rFonts w:ascii="Calibri" w:hAnsi="Calibri" w:cs="Calibri"/>
          <w:sz w:val="24"/>
          <w:szCs w:val="24"/>
        </w:rPr>
        <w:t xml:space="preserve"> process tracing</w:t>
      </w:r>
      <w:r>
        <w:rPr>
          <w:rFonts w:ascii="Calibri" w:hAnsi="Calibri" w:cs="Calibri"/>
          <w:sz w:val="24"/>
          <w:szCs w:val="24"/>
        </w:rPr>
        <w:t>,</w:t>
      </w:r>
      <w:r w:rsidR="00263E96" w:rsidRPr="006E02DE">
        <w:rPr>
          <w:rFonts w:ascii="Calibri" w:hAnsi="Calibri" w:cs="Calibri"/>
          <w:sz w:val="24"/>
          <w:szCs w:val="24"/>
        </w:rPr>
        <w:t xml:space="preserve"> looking at </w:t>
      </w:r>
      <w:r w:rsidR="002D7E2C">
        <w:rPr>
          <w:rFonts w:ascii="Calibri" w:hAnsi="Calibri" w:cs="Calibri"/>
          <w:sz w:val="24"/>
          <w:szCs w:val="24"/>
        </w:rPr>
        <w:t xml:space="preserve">different </w:t>
      </w:r>
      <w:r w:rsidR="00C05B08" w:rsidRPr="006E02DE">
        <w:rPr>
          <w:rFonts w:ascii="Calibri" w:hAnsi="Calibri" w:cs="Calibri"/>
          <w:sz w:val="24"/>
          <w:szCs w:val="24"/>
        </w:rPr>
        <w:t>institutions</w:t>
      </w:r>
      <w:r w:rsidR="002D7E2C">
        <w:rPr>
          <w:rFonts w:ascii="Calibri" w:hAnsi="Calibri" w:cs="Calibri"/>
          <w:sz w:val="24"/>
          <w:szCs w:val="24"/>
        </w:rPr>
        <w:t xml:space="preserve"> and their </w:t>
      </w:r>
      <w:r w:rsidR="008D1CD9">
        <w:rPr>
          <w:rFonts w:ascii="Calibri" w:hAnsi="Calibri" w:cs="Calibri"/>
          <w:sz w:val="24"/>
          <w:szCs w:val="24"/>
        </w:rPr>
        <w:t>interactions</w:t>
      </w:r>
      <w:r w:rsidR="008D12F6">
        <w:rPr>
          <w:rFonts w:ascii="Calibri" w:hAnsi="Calibri" w:cs="Calibri"/>
          <w:sz w:val="24"/>
          <w:szCs w:val="24"/>
        </w:rPr>
        <w:t xml:space="preserve"> –</w:t>
      </w:r>
      <w:r w:rsidR="00FF167E" w:rsidRPr="006E02DE">
        <w:rPr>
          <w:rFonts w:ascii="Calibri" w:hAnsi="Calibri" w:cs="Calibri"/>
          <w:sz w:val="24"/>
          <w:szCs w:val="24"/>
        </w:rPr>
        <w:t xml:space="preserve"> or </w:t>
      </w:r>
      <w:r w:rsidR="006407C1" w:rsidRPr="006E02DE">
        <w:rPr>
          <w:rFonts w:ascii="Calibri" w:hAnsi="Calibri" w:cs="Calibri"/>
          <w:sz w:val="24"/>
          <w:szCs w:val="24"/>
        </w:rPr>
        <w:t>ethnography cutting across institutions</w:t>
      </w:r>
      <w:r w:rsidR="008D12F6">
        <w:rPr>
          <w:rFonts w:ascii="Calibri" w:hAnsi="Calibri" w:cs="Calibri"/>
          <w:sz w:val="24"/>
          <w:szCs w:val="24"/>
        </w:rPr>
        <w:t xml:space="preserve"> but that is</w:t>
      </w:r>
      <w:r w:rsidR="00931A13">
        <w:rPr>
          <w:rFonts w:ascii="Calibri" w:hAnsi="Calibri" w:cs="Calibri"/>
          <w:sz w:val="24"/>
          <w:szCs w:val="24"/>
        </w:rPr>
        <w:t>, one assumes,</w:t>
      </w:r>
      <w:r w:rsidR="008D12F6">
        <w:rPr>
          <w:rFonts w:ascii="Calibri" w:hAnsi="Calibri" w:cs="Calibri"/>
          <w:sz w:val="24"/>
          <w:szCs w:val="24"/>
        </w:rPr>
        <w:t xml:space="preserve"> </w:t>
      </w:r>
      <w:r w:rsidR="00931A13">
        <w:rPr>
          <w:rFonts w:ascii="Calibri" w:hAnsi="Calibri" w:cs="Calibri"/>
          <w:sz w:val="24"/>
          <w:szCs w:val="24"/>
        </w:rPr>
        <w:t>practically challenging</w:t>
      </w:r>
      <w:r w:rsidR="008D12F6">
        <w:rPr>
          <w:rFonts w:ascii="Calibri" w:hAnsi="Calibri" w:cs="Calibri"/>
          <w:sz w:val="24"/>
          <w:szCs w:val="24"/>
        </w:rPr>
        <w:t xml:space="preserve"> –</w:t>
      </w:r>
      <w:r w:rsidR="00931A13">
        <w:rPr>
          <w:rFonts w:ascii="Calibri" w:hAnsi="Calibri" w:cs="Calibri"/>
          <w:sz w:val="24"/>
          <w:szCs w:val="24"/>
        </w:rPr>
        <w:t xml:space="preserve"> </w:t>
      </w:r>
      <w:r w:rsidR="00C83C25">
        <w:rPr>
          <w:rFonts w:ascii="Calibri" w:hAnsi="Calibri" w:cs="Calibri"/>
          <w:sz w:val="24"/>
          <w:szCs w:val="24"/>
        </w:rPr>
        <w:t xml:space="preserve">may help uncover the complex choreography </w:t>
      </w:r>
      <w:r w:rsidR="00B93734">
        <w:rPr>
          <w:rFonts w:ascii="Calibri" w:hAnsi="Calibri" w:cs="Calibri"/>
          <w:sz w:val="24"/>
          <w:szCs w:val="24"/>
        </w:rPr>
        <w:t xml:space="preserve">of mutual influence </w:t>
      </w:r>
      <w:r w:rsidR="007236A6">
        <w:rPr>
          <w:rFonts w:ascii="Calibri" w:hAnsi="Calibri" w:cs="Calibri"/>
          <w:sz w:val="24"/>
          <w:szCs w:val="24"/>
        </w:rPr>
        <w:t xml:space="preserve">and dependencies </w:t>
      </w:r>
      <w:r w:rsidR="00C83C25">
        <w:rPr>
          <w:rFonts w:ascii="Calibri" w:hAnsi="Calibri" w:cs="Calibri"/>
          <w:sz w:val="24"/>
          <w:szCs w:val="24"/>
        </w:rPr>
        <w:t>between the Commission and European Council in agenda setting</w:t>
      </w:r>
      <w:r w:rsidR="009F54BB">
        <w:rPr>
          <w:rFonts w:ascii="Calibri" w:hAnsi="Calibri" w:cs="Calibri"/>
          <w:sz w:val="24"/>
          <w:szCs w:val="24"/>
        </w:rPr>
        <w:t>,</w:t>
      </w:r>
      <w:r w:rsidR="00D754C7">
        <w:rPr>
          <w:rFonts w:ascii="Calibri" w:hAnsi="Calibri" w:cs="Calibri"/>
          <w:sz w:val="24"/>
          <w:szCs w:val="24"/>
        </w:rPr>
        <w:t xml:space="preserve"> which </w:t>
      </w:r>
      <w:r w:rsidR="00276807">
        <w:rPr>
          <w:rFonts w:ascii="Calibri" w:hAnsi="Calibri" w:cs="Calibri"/>
          <w:sz w:val="24"/>
          <w:szCs w:val="24"/>
        </w:rPr>
        <w:t>the books point towards</w:t>
      </w:r>
      <w:r w:rsidR="007236A6">
        <w:rPr>
          <w:rFonts w:ascii="Calibri" w:hAnsi="Calibri" w:cs="Calibri"/>
          <w:sz w:val="24"/>
          <w:szCs w:val="24"/>
        </w:rPr>
        <w:t>.</w:t>
      </w:r>
      <w:r w:rsidR="0062055A">
        <w:rPr>
          <w:rFonts w:ascii="Calibri" w:hAnsi="Calibri" w:cs="Calibri"/>
          <w:sz w:val="24"/>
          <w:szCs w:val="24"/>
        </w:rPr>
        <w:t xml:space="preserve"> </w:t>
      </w:r>
      <w:r w:rsidR="00CF21BD">
        <w:rPr>
          <w:rFonts w:ascii="Calibri" w:hAnsi="Calibri" w:cs="Calibri"/>
          <w:sz w:val="24"/>
          <w:szCs w:val="24"/>
        </w:rPr>
        <w:t>T</w:t>
      </w:r>
      <w:r w:rsidR="009A02C5">
        <w:rPr>
          <w:rFonts w:ascii="Calibri" w:hAnsi="Calibri" w:cs="Calibri"/>
          <w:sz w:val="24"/>
          <w:szCs w:val="24"/>
        </w:rPr>
        <w:t xml:space="preserve">he analysis would helpfully move </w:t>
      </w:r>
      <w:r w:rsidR="00400204">
        <w:rPr>
          <w:rFonts w:ascii="Calibri" w:hAnsi="Calibri" w:cs="Calibri"/>
          <w:sz w:val="24"/>
          <w:szCs w:val="24"/>
        </w:rPr>
        <w:t xml:space="preserve">from system level discussions of interinstitutional relations and </w:t>
      </w:r>
      <w:r w:rsidR="009A02C5">
        <w:rPr>
          <w:rFonts w:ascii="Calibri" w:hAnsi="Calibri" w:cs="Calibri"/>
          <w:sz w:val="24"/>
          <w:szCs w:val="24"/>
        </w:rPr>
        <w:t xml:space="preserve">towards </w:t>
      </w:r>
      <w:r w:rsidR="004A38FB">
        <w:rPr>
          <w:rFonts w:ascii="Calibri" w:hAnsi="Calibri" w:cs="Calibri"/>
          <w:sz w:val="24"/>
          <w:szCs w:val="24"/>
        </w:rPr>
        <w:t>typologies of strategies</w:t>
      </w:r>
      <w:r w:rsidR="00CF21BD">
        <w:rPr>
          <w:rFonts w:ascii="Calibri" w:hAnsi="Calibri" w:cs="Calibri"/>
          <w:sz w:val="24"/>
          <w:szCs w:val="24"/>
        </w:rPr>
        <w:t xml:space="preserve"> deployed by </w:t>
      </w:r>
      <w:r w:rsidR="00F7501B">
        <w:rPr>
          <w:rFonts w:ascii="Calibri" w:hAnsi="Calibri" w:cs="Calibri"/>
          <w:sz w:val="24"/>
          <w:szCs w:val="24"/>
        </w:rPr>
        <w:t xml:space="preserve">EU </w:t>
      </w:r>
      <w:r w:rsidR="00AA19DA">
        <w:rPr>
          <w:rFonts w:ascii="Calibri" w:hAnsi="Calibri" w:cs="Calibri"/>
          <w:sz w:val="24"/>
          <w:szCs w:val="24"/>
        </w:rPr>
        <w:t xml:space="preserve">institutional </w:t>
      </w:r>
      <w:r w:rsidR="008A219E">
        <w:rPr>
          <w:rFonts w:ascii="Calibri" w:hAnsi="Calibri" w:cs="Calibri"/>
          <w:sz w:val="24"/>
          <w:szCs w:val="24"/>
        </w:rPr>
        <w:t>actors in different contexts</w:t>
      </w:r>
      <w:r w:rsidR="00AA19DA">
        <w:rPr>
          <w:rFonts w:ascii="Calibri" w:hAnsi="Calibri" w:cs="Calibri"/>
          <w:sz w:val="24"/>
          <w:szCs w:val="24"/>
        </w:rPr>
        <w:t xml:space="preserve"> to set the agenda and</w:t>
      </w:r>
      <w:r w:rsidR="004A38FB">
        <w:rPr>
          <w:rFonts w:ascii="Calibri" w:hAnsi="Calibri" w:cs="Calibri"/>
          <w:sz w:val="24"/>
          <w:szCs w:val="24"/>
        </w:rPr>
        <w:t xml:space="preserve"> </w:t>
      </w:r>
      <w:r w:rsidR="00327B23">
        <w:rPr>
          <w:rFonts w:ascii="Calibri" w:hAnsi="Calibri" w:cs="Calibri"/>
          <w:sz w:val="24"/>
          <w:szCs w:val="24"/>
        </w:rPr>
        <w:t>influence or use one another</w:t>
      </w:r>
      <w:r w:rsidR="00882B8E">
        <w:rPr>
          <w:rFonts w:ascii="Calibri" w:hAnsi="Calibri" w:cs="Calibri"/>
          <w:sz w:val="24"/>
          <w:szCs w:val="24"/>
        </w:rPr>
        <w:t xml:space="preserve">, something </w:t>
      </w:r>
      <w:r w:rsidR="009205FC">
        <w:rPr>
          <w:rFonts w:ascii="Calibri" w:hAnsi="Calibri" w:cs="Calibri"/>
          <w:sz w:val="24"/>
          <w:szCs w:val="24"/>
        </w:rPr>
        <w:t>not unfamiliar</w:t>
      </w:r>
      <w:r w:rsidR="00882B8E">
        <w:rPr>
          <w:rFonts w:ascii="Calibri" w:hAnsi="Calibri" w:cs="Calibri"/>
          <w:sz w:val="24"/>
          <w:szCs w:val="24"/>
        </w:rPr>
        <w:t xml:space="preserve"> to the broader a</w:t>
      </w:r>
      <w:r w:rsidR="00F7501B">
        <w:rPr>
          <w:rFonts w:ascii="Calibri" w:hAnsi="Calibri" w:cs="Calibri"/>
          <w:sz w:val="24"/>
          <w:szCs w:val="24"/>
        </w:rPr>
        <w:t xml:space="preserve">genda </w:t>
      </w:r>
      <w:r w:rsidR="00F7501B">
        <w:rPr>
          <w:rFonts w:ascii="Calibri" w:hAnsi="Calibri" w:cs="Calibri"/>
          <w:sz w:val="24"/>
          <w:szCs w:val="24"/>
        </w:rPr>
        <w:lastRenderedPageBreak/>
        <w:t>setting literature.</w:t>
      </w:r>
      <w:r w:rsidR="00910710">
        <w:rPr>
          <w:rFonts w:ascii="Calibri" w:hAnsi="Calibri" w:cs="Calibri"/>
          <w:sz w:val="24"/>
          <w:szCs w:val="24"/>
        </w:rPr>
        <w:t xml:space="preserve"> As the case studies </w:t>
      </w:r>
      <w:r w:rsidR="00AE2867">
        <w:rPr>
          <w:rFonts w:ascii="Calibri" w:hAnsi="Calibri" w:cs="Calibri"/>
          <w:sz w:val="24"/>
          <w:szCs w:val="24"/>
        </w:rPr>
        <w:t xml:space="preserve">in the books </w:t>
      </w:r>
      <w:r w:rsidR="00910710">
        <w:rPr>
          <w:rFonts w:ascii="Calibri" w:hAnsi="Calibri" w:cs="Calibri"/>
          <w:sz w:val="24"/>
          <w:szCs w:val="24"/>
        </w:rPr>
        <w:t>make clear, there are variations across policy areas and issues</w:t>
      </w:r>
      <w:r w:rsidR="00AE2867">
        <w:rPr>
          <w:rFonts w:ascii="Calibri" w:hAnsi="Calibri" w:cs="Calibri"/>
          <w:sz w:val="24"/>
          <w:szCs w:val="24"/>
        </w:rPr>
        <w:t xml:space="preserve">, </w:t>
      </w:r>
      <w:r w:rsidR="000C39F7">
        <w:rPr>
          <w:rFonts w:ascii="Calibri" w:hAnsi="Calibri" w:cs="Calibri"/>
          <w:sz w:val="24"/>
          <w:szCs w:val="24"/>
        </w:rPr>
        <w:t xml:space="preserve">and it would be </w:t>
      </w:r>
      <w:r w:rsidR="00DA6CD2">
        <w:rPr>
          <w:rFonts w:ascii="Calibri" w:hAnsi="Calibri" w:cs="Calibri"/>
          <w:sz w:val="24"/>
          <w:szCs w:val="24"/>
        </w:rPr>
        <w:t xml:space="preserve">interesting to tease out </w:t>
      </w:r>
      <w:r w:rsidR="00DA370E">
        <w:rPr>
          <w:rFonts w:ascii="Calibri" w:hAnsi="Calibri" w:cs="Calibri"/>
          <w:sz w:val="24"/>
          <w:szCs w:val="24"/>
        </w:rPr>
        <w:t xml:space="preserve">in a more comparative and systematic manner, when and why the </w:t>
      </w:r>
      <w:r w:rsidR="001E6C08">
        <w:rPr>
          <w:rFonts w:ascii="Calibri" w:hAnsi="Calibri" w:cs="Calibri"/>
          <w:sz w:val="24"/>
          <w:szCs w:val="24"/>
        </w:rPr>
        <w:t xml:space="preserve">political work of the Commission is successful or not, </w:t>
      </w:r>
      <w:r w:rsidR="00E341CB">
        <w:rPr>
          <w:rFonts w:ascii="Calibri" w:hAnsi="Calibri" w:cs="Calibri"/>
          <w:sz w:val="24"/>
          <w:szCs w:val="24"/>
        </w:rPr>
        <w:t xml:space="preserve">and when and why the European Council </w:t>
      </w:r>
      <w:r w:rsidR="00F824AC">
        <w:rPr>
          <w:rFonts w:ascii="Calibri" w:hAnsi="Calibri" w:cs="Calibri"/>
          <w:sz w:val="24"/>
          <w:szCs w:val="24"/>
        </w:rPr>
        <w:t>gets involved in detailed legislative agenda setting.</w:t>
      </w:r>
      <w:r w:rsidR="00DA370E">
        <w:rPr>
          <w:rFonts w:ascii="Calibri" w:hAnsi="Calibri" w:cs="Calibri"/>
          <w:sz w:val="24"/>
          <w:szCs w:val="24"/>
        </w:rPr>
        <w:t xml:space="preserve"> </w:t>
      </w:r>
    </w:p>
    <w:p w14:paraId="41FA637D" w14:textId="61E840F1" w:rsidR="00E74382" w:rsidRPr="001B198D" w:rsidRDefault="001B198D" w:rsidP="001B198D">
      <w:pPr>
        <w:jc w:val="both"/>
        <w:rPr>
          <w:rFonts w:ascii="Calibri" w:hAnsi="Calibri" w:cs="Calibri"/>
          <w:sz w:val="24"/>
          <w:szCs w:val="24"/>
        </w:rPr>
      </w:pPr>
      <w:r>
        <w:rPr>
          <w:rFonts w:ascii="Calibri" w:hAnsi="Calibri" w:cs="Calibri"/>
          <w:sz w:val="24"/>
          <w:szCs w:val="24"/>
        </w:rPr>
        <w:t xml:space="preserve">Finally, there is a </w:t>
      </w:r>
      <w:r w:rsidR="00B717F0">
        <w:rPr>
          <w:rFonts w:ascii="Calibri" w:hAnsi="Calibri" w:cs="Calibri"/>
          <w:sz w:val="24"/>
          <w:szCs w:val="24"/>
        </w:rPr>
        <w:t>n</w:t>
      </w:r>
      <w:r w:rsidR="00035373" w:rsidRPr="001B198D">
        <w:rPr>
          <w:rFonts w:ascii="Calibri" w:hAnsi="Calibri" w:cs="Calibri"/>
          <w:sz w:val="24"/>
          <w:szCs w:val="24"/>
        </w:rPr>
        <w:t>eed</w:t>
      </w:r>
      <w:r w:rsidR="00E74382" w:rsidRPr="001B198D">
        <w:rPr>
          <w:rFonts w:ascii="Calibri" w:hAnsi="Calibri" w:cs="Calibri"/>
          <w:sz w:val="24"/>
          <w:szCs w:val="24"/>
        </w:rPr>
        <w:t xml:space="preserve"> to go beyond institution</w:t>
      </w:r>
      <w:r w:rsidR="00B00767">
        <w:rPr>
          <w:rFonts w:ascii="Calibri" w:hAnsi="Calibri" w:cs="Calibri"/>
          <w:sz w:val="24"/>
          <w:szCs w:val="24"/>
        </w:rPr>
        <w:t>-</w:t>
      </w:r>
      <w:r w:rsidR="00C62DBA">
        <w:rPr>
          <w:rFonts w:ascii="Calibri" w:hAnsi="Calibri" w:cs="Calibri"/>
          <w:sz w:val="24"/>
          <w:szCs w:val="24"/>
        </w:rPr>
        <w:t>centred discussion</w:t>
      </w:r>
      <w:r w:rsidR="00E74382" w:rsidRPr="001B198D">
        <w:rPr>
          <w:rFonts w:ascii="Calibri" w:hAnsi="Calibri" w:cs="Calibri"/>
          <w:sz w:val="24"/>
          <w:szCs w:val="24"/>
        </w:rPr>
        <w:t xml:space="preserve"> and consider the</w:t>
      </w:r>
      <w:r w:rsidR="00C62DBA">
        <w:rPr>
          <w:rFonts w:ascii="Calibri" w:hAnsi="Calibri" w:cs="Calibri"/>
          <w:sz w:val="24"/>
          <w:szCs w:val="24"/>
        </w:rPr>
        <w:t>se</w:t>
      </w:r>
      <w:r w:rsidR="007C606E">
        <w:rPr>
          <w:rFonts w:ascii="Calibri" w:hAnsi="Calibri" w:cs="Calibri"/>
          <w:sz w:val="24"/>
          <w:szCs w:val="24"/>
        </w:rPr>
        <w:t xml:space="preserve"> institutions</w:t>
      </w:r>
      <w:r w:rsidR="00E74382" w:rsidRPr="001B198D">
        <w:rPr>
          <w:rFonts w:ascii="Calibri" w:hAnsi="Calibri" w:cs="Calibri"/>
          <w:sz w:val="24"/>
          <w:szCs w:val="24"/>
        </w:rPr>
        <w:t xml:space="preserve"> in their wider </w:t>
      </w:r>
      <w:r w:rsidR="00C62DBA">
        <w:rPr>
          <w:rFonts w:ascii="Calibri" w:hAnsi="Calibri" w:cs="Calibri"/>
          <w:sz w:val="24"/>
          <w:szCs w:val="24"/>
        </w:rPr>
        <w:t xml:space="preserve">political </w:t>
      </w:r>
      <w:r w:rsidR="00E74382" w:rsidRPr="001B198D">
        <w:rPr>
          <w:rFonts w:ascii="Calibri" w:hAnsi="Calibri" w:cs="Calibri"/>
          <w:sz w:val="24"/>
          <w:szCs w:val="24"/>
        </w:rPr>
        <w:t>ecosystem</w:t>
      </w:r>
      <w:r w:rsidR="00CA35BE">
        <w:rPr>
          <w:rFonts w:ascii="Calibri" w:hAnsi="Calibri" w:cs="Calibri"/>
          <w:sz w:val="24"/>
          <w:szCs w:val="24"/>
        </w:rPr>
        <w:t xml:space="preserve">, including </w:t>
      </w:r>
      <w:r w:rsidR="0030164F">
        <w:rPr>
          <w:rFonts w:ascii="Calibri" w:hAnsi="Calibri" w:cs="Calibri"/>
          <w:sz w:val="24"/>
          <w:szCs w:val="24"/>
        </w:rPr>
        <w:t>the influence of civil society organisations and public opinions on their agenda</w:t>
      </w:r>
      <w:r w:rsidR="00E3475C" w:rsidRPr="001B198D">
        <w:rPr>
          <w:rFonts w:ascii="Calibri" w:hAnsi="Calibri" w:cs="Calibri"/>
          <w:sz w:val="24"/>
          <w:szCs w:val="24"/>
        </w:rPr>
        <w:t>.</w:t>
      </w:r>
      <w:r w:rsidR="000E455A">
        <w:rPr>
          <w:rFonts w:ascii="Calibri" w:hAnsi="Calibri" w:cs="Calibri"/>
          <w:sz w:val="24"/>
          <w:szCs w:val="24"/>
        </w:rPr>
        <w:t xml:space="preserve"> </w:t>
      </w:r>
      <w:r w:rsidR="001C06FB">
        <w:rPr>
          <w:rFonts w:ascii="Calibri" w:hAnsi="Calibri" w:cs="Calibri"/>
          <w:sz w:val="24"/>
          <w:szCs w:val="24"/>
        </w:rPr>
        <w:t xml:space="preserve">If this is </w:t>
      </w:r>
      <w:r w:rsidR="006F1541">
        <w:rPr>
          <w:rFonts w:ascii="Calibri" w:hAnsi="Calibri" w:cs="Calibri"/>
          <w:sz w:val="24"/>
          <w:szCs w:val="24"/>
        </w:rPr>
        <w:t>well covered</w:t>
      </w:r>
      <w:r w:rsidR="005360DA">
        <w:rPr>
          <w:rFonts w:ascii="Calibri" w:hAnsi="Calibri" w:cs="Calibri"/>
          <w:sz w:val="24"/>
          <w:szCs w:val="24"/>
        </w:rPr>
        <w:t xml:space="preserve"> by other strands of the literature</w:t>
      </w:r>
      <w:r w:rsidR="006F1541">
        <w:rPr>
          <w:rFonts w:ascii="Calibri" w:hAnsi="Calibri" w:cs="Calibri"/>
          <w:sz w:val="24"/>
          <w:szCs w:val="24"/>
        </w:rPr>
        <w:t xml:space="preserve"> for the Commission, it is less so for the EUCO. </w:t>
      </w:r>
      <w:r w:rsidR="000E455A">
        <w:rPr>
          <w:rFonts w:ascii="Calibri" w:hAnsi="Calibri" w:cs="Calibri"/>
          <w:sz w:val="24"/>
          <w:szCs w:val="24"/>
        </w:rPr>
        <w:t>All three books point out that the Commission</w:t>
      </w:r>
      <w:r w:rsidR="004F7A4A">
        <w:rPr>
          <w:rFonts w:ascii="Calibri" w:hAnsi="Calibri" w:cs="Calibri"/>
          <w:sz w:val="24"/>
          <w:szCs w:val="24"/>
        </w:rPr>
        <w:t>’s</w:t>
      </w:r>
      <w:r w:rsidR="000E455A">
        <w:rPr>
          <w:rFonts w:ascii="Calibri" w:hAnsi="Calibri" w:cs="Calibri"/>
          <w:sz w:val="24"/>
          <w:szCs w:val="24"/>
        </w:rPr>
        <w:t xml:space="preserve"> and EUCO</w:t>
      </w:r>
      <w:r w:rsidR="0093571E">
        <w:rPr>
          <w:rFonts w:ascii="Calibri" w:hAnsi="Calibri" w:cs="Calibri"/>
          <w:sz w:val="24"/>
          <w:szCs w:val="24"/>
        </w:rPr>
        <w:t>’s priorities and strategies</w:t>
      </w:r>
      <w:r w:rsidR="000E455A">
        <w:rPr>
          <w:rFonts w:ascii="Calibri" w:hAnsi="Calibri" w:cs="Calibri"/>
          <w:sz w:val="24"/>
          <w:szCs w:val="24"/>
        </w:rPr>
        <w:t xml:space="preserve"> have become increasingly</w:t>
      </w:r>
      <w:r w:rsidR="00A30EE9">
        <w:rPr>
          <w:rFonts w:ascii="Calibri" w:hAnsi="Calibri" w:cs="Calibri"/>
          <w:sz w:val="24"/>
          <w:szCs w:val="24"/>
        </w:rPr>
        <w:t xml:space="preserve"> shaped</w:t>
      </w:r>
      <w:r w:rsidR="00FE5786">
        <w:rPr>
          <w:rFonts w:ascii="Calibri" w:hAnsi="Calibri" w:cs="Calibri"/>
          <w:sz w:val="24"/>
          <w:szCs w:val="24"/>
        </w:rPr>
        <w:t xml:space="preserve"> by,</w:t>
      </w:r>
      <w:r w:rsidR="00A30EE9">
        <w:rPr>
          <w:rFonts w:ascii="Calibri" w:hAnsi="Calibri" w:cs="Calibri"/>
          <w:sz w:val="24"/>
          <w:szCs w:val="24"/>
        </w:rPr>
        <w:t xml:space="preserve"> </w:t>
      </w:r>
      <w:r w:rsidR="00803729">
        <w:rPr>
          <w:rFonts w:ascii="Calibri" w:hAnsi="Calibri" w:cs="Calibri"/>
          <w:sz w:val="24"/>
          <w:szCs w:val="24"/>
        </w:rPr>
        <w:t>and responsive to</w:t>
      </w:r>
      <w:r w:rsidR="00A30EE9">
        <w:rPr>
          <w:rFonts w:ascii="Calibri" w:hAnsi="Calibri" w:cs="Calibri"/>
          <w:sz w:val="24"/>
          <w:szCs w:val="24"/>
        </w:rPr>
        <w:t xml:space="preserve"> public opinion</w:t>
      </w:r>
      <w:r w:rsidR="00803729">
        <w:rPr>
          <w:rFonts w:ascii="Calibri" w:hAnsi="Calibri" w:cs="Calibri"/>
          <w:sz w:val="24"/>
          <w:szCs w:val="24"/>
        </w:rPr>
        <w:t>,</w:t>
      </w:r>
      <w:r w:rsidR="00A30EE9">
        <w:rPr>
          <w:rFonts w:ascii="Calibri" w:hAnsi="Calibri" w:cs="Calibri"/>
          <w:sz w:val="24"/>
          <w:szCs w:val="24"/>
        </w:rPr>
        <w:t xml:space="preserve"> in an era of politicisation </w:t>
      </w:r>
      <w:r w:rsidR="00D35470">
        <w:rPr>
          <w:rFonts w:ascii="Calibri" w:hAnsi="Calibri" w:cs="Calibri"/>
          <w:sz w:val="24"/>
          <w:szCs w:val="24"/>
        </w:rPr>
        <w:t>of European affairs</w:t>
      </w:r>
      <w:r w:rsidR="00F26293">
        <w:rPr>
          <w:rFonts w:ascii="Calibri" w:hAnsi="Calibri" w:cs="Calibri"/>
          <w:sz w:val="24"/>
          <w:szCs w:val="24"/>
        </w:rPr>
        <w:t xml:space="preserve"> (</w:t>
      </w:r>
      <w:r w:rsidR="00803729">
        <w:rPr>
          <w:rFonts w:ascii="Calibri" w:hAnsi="Calibri" w:cs="Calibri"/>
          <w:sz w:val="24"/>
          <w:szCs w:val="24"/>
        </w:rPr>
        <w:t>Zeitlin et al. 2019).</w:t>
      </w:r>
      <w:r w:rsidR="00E3475C" w:rsidRPr="001B198D">
        <w:rPr>
          <w:rFonts w:ascii="Calibri" w:hAnsi="Calibri" w:cs="Calibri"/>
          <w:sz w:val="24"/>
          <w:szCs w:val="24"/>
        </w:rPr>
        <w:t xml:space="preserve"> </w:t>
      </w:r>
      <w:r w:rsidR="00F10419">
        <w:rPr>
          <w:rFonts w:ascii="Calibri" w:hAnsi="Calibri" w:cs="Calibri"/>
          <w:sz w:val="24"/>
          <w:szCs w:val="24"/>
        </w:rPr>
        <w:t>Recent quantitative studies</w:t>
      </w:r>
      <w:r w:rsidR="00BA49A0">
        <w:rPr>
          <w:rFonts w:ascii="Calibri" w:hAnsi="Calibri" w:cs="Calibri"/>
          <w:sz w:val="24"/>
          <w:szCs w:val="24"/>
        </w:rPr>
        <w:t xml:space="preserve"> </w:t>
      </w:r>
      <w:r w:rsidR="00415634">
        <w:rPr>
          <w:rFonts w:ascii="Calibri" w:hAnsi="Calibri" w:cs="Calibri"/>
          <w:sz w:val="24"/>
          <w:szCs w:val="24"/>
        </w:rPr>
        <w:t>begin to shed light on</w:t>
      </w:r>
      <w:r w:rsidR="00BA49A0">
        <w:rPr>
          <w:rFonts w:ascii="Calibri" w:hAnsi="Calibri" w:cs="Calibri"/>
          <w:sz w:val="24"/>
          <w:szCs w:val="24"/>
        </w:rPr>
        <w:t xml:space="preserve"> </w:t>
      </w:r>
      <w:r w:rsidR="00867078">
        <w:rPr>
          <w:rFonts w:ascii="Calibri" w:hAnsi="Calibri" w:cs="Calibri"/>
          <w:sz w:val="24"/>
          <w:szCs w:val="24"/>
        </w:rPr>
        <w:t>agenda responsiveness in both institutions</w:t>
      </w:r>
      <w:r w:rsidR="00483F46">
        <w:rPr>
          <w:rFonts w:ascii="Calibri" w:hAnsi="Calibri" w:cs="Calibri"/>
          <w:sz w:val="24"/>
          <w:szCs w:val="24"/>
        </w:rPr>
        <w:t xml:space="preserve"> (</w:t>
      </w:r>
      <w:r w:rsidR="00AB2010">
        <w:rPr>
          <w:rFonts w:ascii="Calibri" w:hAnsi="Calibri" w:cs="Calibri"/>
          <w:sz w:val="24"/>
          <w:szCs w:val="24"/>
        </w:rPr>
        <w:t xml:space="preserve">Alexandrova et al. 2016 for the EUCO; </w:t>
      </w:r>
      <w:r w:rsidR="00483F46">
        <w:rPr>
          <w:rFonts w:ascii="Calibri" w:hAnsi="Calibri" w:cs="Calibri"/>
          <w:sz w:val="24"/>
          <w:szCs w:val="24"/>
        </w:rPr>
        <w:t>Koop et al. 2022 for the Commission)</w:t>
      </w:r>
      <w:r w:rsidR="00867078">
        <w:rPr>
          <w:rFonts w:ascii="Calibri" w:hAnsi="Calibri" w:cs="Calibri"/>
          <w:sz w:val="24"/>
          <w:szCs w:val="24"/>
        </w:rPr>
        <w:t>.</w:t>
      </w:r>
      <w:r w:rsidR="00890A97">
        <w:rPr>
          <w:rFonts w:ascii="Calibri" w:hAnsi="Calibri" w:cs="Calibri"/>
          <w:sz w:val="24"/>
          <w:szCs w:val="24"/>
        </w:rPr>
        <w:t xml:space="preserve"> In </w:t>
      </w:r>
      <w:r w:rsidR="00111B20">
        <w:rPr>
          <w:rFonts w:ascii="Calibri" w:hAnsi="Calibri" w:cs="Calibri"/>
          <w:sz w:val="24"/>
          <w:szCs w:val="24"/>
        </w:rPr>
        <w:t>d</w:t>
      </w:r>
      <w:r w:rsidR="00890A97">
        <w:rPr>
          <w:rFonts w:ascii="Calibri" w:hAnsi="Calibri" w:cs="Calibri"/>
          <w:sz w:val="24"/>
          <w:szCs w:val="24"/>
        </w:rPr>
        <w:t>epth</w:t>
      </w:r>
      <w:r w:rsidR="00111B20">
        <w:rPr>
          <w:rFonts w:ascii="Calibri" w:hAnsi="Calibri" w:cs="Calibri"/>
          <w:sz w:val="24"/>
          <w:szCs w:val="24"/>
        </w:rPr>
        <w:t xml:space="preserve"> comparative</w:t>
      </w:r>
      <w:r w:rsidR="00890A97">
        <w:rPr>
          <w:rFonts w:ascii="Calibri" w:hAnsi="Calibri" w:cs="Calibri"/>
          <w:sz w:val="24"/>
          <w:szCs w:val="24"/>
        </w:rPr>
        <w:t xml:space="preserve"> case studies, as proposed </w:t>
      </w:r>
      <w:r w:rsidR="0081223C">
        <w:rPr>
          <w:rFonts w:ascii="Calibri" w:hAnsi="Calibri" w:cs="Calibri"/>
          <w:sz w:val="24"/>
          <w:szCs w:val="24"/>
        </w:rPr>
        <w:t xml:space="preserve">in these books, have potential to </w:t>
      </w:r>
      <w:r w:rsidR="00F00829">
        <w:rPr>
          <w:rFonts w:ascii="Calibri" w:hAnsi="Calibri" w:cs="Calibri"/>
          <w:sz w:val="24"/>
          <w:szCs w:val="24"/>
        </w:rPr>
        <w:t xml:space="preserve">unpack in more granular detail </w:t>
      </w:r>
      <w:r w:rsidR="00360F0D">
        <w:rPr>
          <w:rFonts w:ascii="Calibri" w:hAnsi="Calibri" w:cs="Calibri"/>
          <w:sz w:val="24"/>
          <w:szCs w:val="24"/>
        </w:rPr>
        <w:t>how</w:t>
      </w:r>
      <w:r w:rsidR="00F00829">
        <w:rPr>
          <w:rFonts w:ascii="Calibri" w:hAnsi="Calibri" w:cs="Calibri"/>
          <w:sz w:val="24"/>
          <w:szCs w:val="24"/>
        </w:rPr>
        <w:t xml:space="preserve"> politicisation </w:t>
      </w:r>
      <w:r w:rsidR="00074FB9">
        <w:rPr>
          <w:rFonts w:ascii="Calibri" w:hAnsi="Calibri" w:cs="Calibri"/>
          <w:sz w:val="24"/>
          <w:szCs w:val="24"/>
        </w:rPr>
        <w:t>shapes agendas and strategies</w:t>
      </w:r>
      <w:r w:rsidR="00D37FA9">
        <w:rPr>
          <w:rFonts w:ascii="Calibri" w:hAnsi="Calibri" w:cs="Calibri"/>
          <w:sz w:val="24"/>
          <w:szCs w:val="24"/>
        </w:rPr>
        <w:t xml:space="preserve"> at the helm of the EU</w:t>
      </w:r>
      <w:r w:rsidR="00BA7F39">
        <w:rPr>
          <w:rFonts w:ascii="Calibri" w:hAnsi="Calibri" w:cs="Calibri"/>
          <w:sz w:val="24"/>
          <w:szCs w:val="24"/>
        </w:rPr>
        <w:t xml:space="preserve"> in times of crisis</w:t>
      </w:r>
      <w:r w:rsidR="00074FB9">
        <w:rPr>
          <w:rFonts w:ascii="Calibri" w:hAnsi="Calibri" w:cs="Calibri"/>
          <w:sz w:val="24"/>
          <w:szCs w:val="24"/>
        </w:rPr>
        <w:t>.</w:t>
      </w:r>
      <w:r w:rsidR="00890A97">
        <w:rPr>
          <w:rFonts w:ascii="Calibri" w:hAnsi="Calibri" w:cs="Calibri"/>
          <w:sz w:val="24"/>
          <w:szCs w:val="24"/>
        </w:rPr>
        <w:t xml:space="preserve"> </w:t>
      </w:r>
    </w:p>
    <w:p w14:paraId="4D2FE2D8" w14:textId="77777777" w:rsidR="00440AA9" w:rsidRDefault="000670B7" w:rsidP="00FA2A22">
      <w:pPr>
        <w:jc w:val="both"/>
        <w:rPr>
          <w:rFonts w:ascii="Calibri" w:hAnsi="Calibri" w:cs="Calibri"/>
          <w:sz w:val="24"/>
          <w:szCs w:val="24"/>
        </w:rPr>
      </w:pPr>
      <w:r w:rsidRPr="00486BDD">
        <w:rPr>
          <w:rFonts w:ascii="Calibri" w:hAnsi="Calibri" w:cs="Calibri"/>
          <w:sz w:val="24"/>
          <w:szCs w:val="24"/>
        </w:rPr>
        <w:t xml:space="preserve"> </w:t>
      </w:r>
    </w:p>
    <w:p w14:paraId="1FD1CA3B" w14:textId="6E97B60C" w:rsidR="00440AA9" w:rsidRPr="00E1272D" w:rsidRDefault="007D0C46" w:rsidP="00FA2A22">
      <w:pPr>
        <w:jc w:val="both"/>
        <w:rPr>
          <w:rFonts w:ascii="Calibri" w:hAnsi="Calibri" w:cs="Calibri"/>
          <w:b/>
          <w:bCs/>
          <w:sz w:val="24"/>
          <w:szCs w:val="24"/>
        </w:rPr>
      </w:pPr>
      <w:r w:rsidRPr="00E1272D">
        <w:rPr>
          <w:rFonts w:ascii="Calibri" w:hAnsi="Calibri" w:cs="Calibri"/>
          <w:b/>
          <w:bCs/>
          <w:sz w:val="24"/>
          <w:szCs w:val="24"/>
        </w:rPr>
        <w:t>Disclosure statement:</w:t>
      </w:r>
    </w:p>
    <w:p w14:paraId="6DB7CC4D" w14:textId="61D5D35A" w:rsidR="007D0C46" w:rsidRDefault="007D0C46" w:rsidP="00FA2A22">
      <w:pPr>
        <w:jc w:val="both"/>
        <w:rPr>
          <w:rFonts w:ascii="Calibri" w:hAnsi="Calibri" w:cs="Calibri"/>
          <w:sz w:val="24"/>
          <w:szCs w:val="24"/>
        </w:rPr>
      </w:pPr>
      <w:r w:rsidRPr="007D0C46">
        <w:rPr>
          <w:rFonts w:ascii="Calibri" w:hAnsi="Calibri" w:cs="Calibri"/>
          <w:sz w:val="24"/>
          <w:szCs w:val="24"/>
        </w:rPr>
        <w:t>No potential conflict of interest was reported by the author.</w:t>
      </w:r>
    </w:p>
    <w:p w14:paraId="0F60352B" w14:textId="77777777" w:rsidR="007D0C46" w:rsidRDefault="007D0C46" w:rsidP="00FA2A22">
      <w:pPr>
        <w:jc w:val="both"/>
        <w:rPr>
          <w:rFonts w:ascii="Calibri" w:hAnsi="Calibri" w:cs="Calibri"/>
          <w:sz w:val="24"/>
          <w:szCs w:val="24"/>
        </w:rPr>
      </w:pPr>
    </w:p>
    <w:p w14:paraId="37071793" w14:textId="43D9BCF5" w:rsidR="00901C9F" w:rsidRPr="00901C9F" w:rsidRDefault="00901C9F" w:rsidP="00FA2A22">
      <w:pPr>
        <w:jc w:val="both"/>
        <w:rPr>
          <w:rFonts w:ascii="Calibri" w:hAnsi="Calibri" w:cs="Calibri"/>
          <w:b/>
          <w:bCs/>
          <w:sz w:val="24"/>
          <w:szCs w:val="24"/>
        </w:rPr>
      </w:pPr>
      <w:r w:rsidRPr="00901C9F">
        <w:rPr>
          <w:rFonts w:ascii="Calibri" w:hAnsi="Calibri" w:cs="Calibri"/>
          <w:b/>
          <w:bCs/>
          <w:sz w:val="24"/>
          <w:szCs w:val="24"/>
        </w:rPr>
        <w:t>References</w:t>
      </w:r>
    </w:p>
    <w:p w14:paraId="2C7DCBF4" w14:textId="368FAB38" w:rsidR="00867078" w:rsidRDefault="001F5BC4" w:rsidP="00FA2A22">
      <w:pPr>
        <w:jc w:val="both"/>
        <w:rPr>
          <w:rFonts w:ascii="Calibri" w:hAnsi="Calibri" w:cs="Calibri"/>
          <w:sz w:val="24"/>
          <w:szCs w:val="24"/>
        </w:rPr>
      </w:pPr>
      <w:r w:rsidRPr="00866754">
        <w:rPr>
          <w:rFonts w:ascii="Calibri" w:hAnsi="Calibri" w:cs="Calibri"/>
          <w:sz w:val="24"/>
          <w:szCs w:val="24"/>
        </w:rPr>
        <w:t xml:space="preserve">Alexandrova, P., Rasmussen, A., &amp; </w:t>
      </w:r>
      <w:proofErr w:type="spellStart"/>
      <w:r w:rsidRPr="00866754">
        <w:rPr>
          <w:rFonts w:ascii="Calibri" w:hAnsi="Calibri" w:cs="Calibri"/>
          <w:sz w:val="24"/>
          <w:szCs w:val="24"/>
        </w:rPr>
        <w:t>Toshkov</w:t>
      </w:r>
      <w:proofErr w:type="spellEnd"/>
      <w:r w:rsidRPr="00866754">
        <w:rPr>
          <w:rFonts w:ascii="Calibri" w:hAnsi="Calibri" w:cs="Calibri"/>
          <w:sz w:val="24"/>
          <w:szCs w:val="24"/>
        </w:rPr>
        <w:t xml:space="preserve">, D. (2016). </w:t>
      </w:r>
      <w:r w:rsidRPr="001F5BC4">
        <w:rPr>
          <w:rFonts w:ascii="Calibri" w:hAnsi="Calibri" w:cs="Calibri"/>
          <w:sz w:val="24"/>
          <w:szCs w:val="24"/>
        </w:rPr>
        <w:t xml:space="preserve">Agenda responsiveness in the European Council: Public priorities, policy problems and political attention. </w:t>
      </w:r>
      <w:r w:rsidRPr="00074FB9">
        <w:rPr>
          <w:rFonts w:ascii="Calibri" w:hAnsi="Calibri" w:cs="Calibri"/>
          <w:i/>
          <w:iCs/>
          <w:sz w:val="24"/>
          <w:szCs w:val="24"/>
        </w:rPr>
        <w:t>West European Politics</w:t>
      </w:r>
      <w:r w:rsidRPr="001F5BC4">
        <w:rPr>
          <w:rFonts w:ascii="Calibri" w:hAnsi="Calibri" w:cs="Calibri"/>
          <w:sz w:val="24"/>
          <w:szCs w:val="24"/>
        </w:rPr>
        <w:t>, 39(4), 605-627.</w:t>
      </w:r>
    </w:p>
    <w:p w14:paraId="361E7A14" w14:textId="1891CD4D" w:rsidR="00737BF2" w:rsidRDefault="00737BF2" w:rsidP="00FA2A22">
      <w:pPr>
        <w:jc w:val="both"/>
        <w:rPr>
          <w:rFonts w:ascii="Calibri" w:hAnsi="Calibri" w:cs="Calibri"/>
          <w:sz w:val="24"/>
          <w:szCs w:val="24"/>
        </w:rPr>
      </w:pPr>
      <w:r w:rsidRPr="00737BF2">
        <w:rPr>
          <w:rFonts w:ascii="Calibri" w:hAnsi="Calibri" w:cs="Calibri"/>
          <w:sz w:val="24"/>
          <w:szCs w:val="24"/>
        </w:rPr>
        <w:t xml:space="preserve">Becker, S., Bauer, M. W., Connolly, S., &amp; Kassim, H. (2016). The Commission: boxed in and constrained, but still an engine of integration. </w:t>
      </w:r>
      <w:r w:rsidRPr="00737BF2">
        <w:rPr>
          <w:rFonts w:ascii="Calibri" w:hAnsi="Calibri" w:cs="Calibri"/>
          <w:i/>
          <w:iCs/>
          <w:sz w:val="24"/>
          <w:szCs w:val="24"/>
        </w:rPr>
        <w:t>West European Politics</w:t>
      </w:r>
      <w:r w:rsidRPr="00737BF2">
        <w:rPr>
          <w:rFonts w:ascii="Calibri" w:hAnsi="Calibri" w:cs="Calibri"/>
          <w:sz w:val="24"/>
          <w:szCs w:val="24"/>
        </w:rPr>
        <w:t>, 39(5), 1011-1031.</w:t>
      </w:r>
    </w:p>
    <w:p w14:paraId="1470BB8B" w14:textId="4D59245E" w:rsidR="001C786E" w:rsidRDefault="00274D96" w:rsidP="00FA2A22">
      <w:pPr>
        <w:jc w:val="both"/>
        <w:rPr>
          <w:rFonts w:ascii="Calibri" w:hAnsi="Calibri" w:cs="Calibri"/>
          <w:sz w:val="24"/>
          <w:szCs w:val="24"/>
        </w:rPr>
      </w:pPr>
      <w:r w:rsidRPr="00274D96">
        <w:rPr>
          <w:rFonts w:ascii="Calibri" w:hAnsi="Calibri" w:cs="Calibri"/>
          <w:sz w:val="24"/>
          <w:szCs w:val="24"/>
        </w:rPr>
        <w:t xml:space="preserve">Bickerton, C. J., Hodson, D., &amp; </w:t>
      </w:r>
      <w:proofErr w:type="spellStart"/>
      <w:r w:rsidRPr="00274D96">
        <w:rPr>
          <w:rFonts w:ascii="Calibri" w:hAnsi="Calibri" w:cs="Calibri"/>
          <w:sz w:val="24"/>
          <w:szCs w:val="24"/>
        </w:rPr>
        <w:t>Puetter</w:t>
      </w:r>
      <w:proofErr w:type="spellEnd"/>
      <w:r w:rsidRPr="00274D96">
        <w:rPr>
          <w:rFonts w:ascii="Calibri" w:hAnsi="Calibri" w:cs="Calibri"/>
          <w:sz w:val="24"/>
          <w:szCs w:val="24"/>
        </w:rPr>
        <w:t xml:space="preserve">, U. (2015). The New Intergovernmentalism: European Integration in the Post‐Maastricht Era. </w:t>
      </w:r>
      <w:r w:rsidRPr="00737BF2">
        <w:rPr>
          <w:rFonts w:ascii="Calibri" w:hAnsi="Calibri" w:cs="Calibri"/>
          <w:i/>
          <w:iCs/>
          <w:sz w:val="24"/>
          <w:szCs w:val="24"/>
        </w:rPr>
        <w:t>Journal of Common Market Studies</w:t>
      </w:r>
      <w:r w:rsidRPr="00274D96">
        <w:rPr>
          <w:rFonts w:ascii="Calibri" w:hAnsi="Calibri" w:cs="Calibri"/>
          <w:sz w:val="24"/>
          <w:szCs w:val="24"/>
        </w:rPr>
        <w:t>, 53(4), 703-722.</w:t>
      </w:r>
    </w:p>
    <w:p w14:paraId="7C644118" w14:textId="41DE769B" w:rsidR="00881A2F" w:rsidRDefault="00881A2F" w:rsidP="00FA2A22">
      <w:pPr>
        <w:jc w:val="both"/>
        <w:rPr>
          <w:rFonts w:ascii="Calibri" w:hAnsi="Calibri" w:cs="Calibri"/>
          <w:sz w:val="24"/>
          <w:szCs w:val="24"/>
        </w:rPr>
      </w:pPr>
      <w:r w:rsidRPr="00881A2F">
        <w:rPr>
          <w:rFonts w:ascii="Calibri" w:hAnsi="Calibri" w:cs="Calibri"/>
          <w:sz w:val="24"/>
          <w:szCs w:val="24"/>
        </w:rPr>
        <w:t xml:space="preserve">Kassim, H. (2023). The European Commission and the COVID-19 pandemic: a pluri-institutional approach. </w:t>
      </w:r>
      <w:r w:rsidRPr="00074FB9">
        <w:rPr>
          <w:rFonts w:ascii="Calibri" w:hAnsi="Calibri" w:cs="Calibri"/>
          <w:i/>
          <w:iCs/>
          <w:sz w:val="24"/>
          <w:szCs w:val="24"/>
        </w:rPr>
        <w:t>Journal of European Public Policy</w:t>
      </w:r>
      <w:r w:rsidRPr="00881A2F">
        <w:rPr>
          <w:rFonts w:ascii="Calibri" w:hAnsi="Calibri" w:cs="Calibri"/>
          <w:sz w:val="24"/>
          <w:szCs w:val="24"/>
        </w:rPr>
        <w:t>, 30(4), 612-634.</w:t>
      </w:r>
    </w:p>
    <w:p w14:paraId="47C2E821" w14:textId="000D9758" w:rsidR="005E3FB6" w:rsidRDefault="005C67F0" w:rsidP="00FA2A22">
      <w:pPr>
        <w:jc w:val="both"/>
        <w:rPr>
          <w:rFonts w:ascii="Calibri" w:hAnsi="Calibri" w:cs="Calibri"/>
          <w:sz w:val="24"/>
          <w:szCs w:val="24"/>
        </w:rPr>
      </w:pPr>
      <w:r w:rsidRPr="00C229D1">
        <w:rPr>
          <w:rFonts w:ascii="Calibri" w:hAnsi="Calibri" w:cs="Calibri"/>
          <w:sz w:val="24"/>
          <w:szCs w:val="24"/>
        </w:rPr>
        <w:t xml:space="preserve">Koop, C., Reh, C., &amp; </w:t>
      </w:r>
      <w:proofErr w:type="spellStart"/>
      <w:r w:rsidRPr="00C229D1">
        <w:rPr>
          <w:rFonts w:ascii="Calibri" w:hAnsi="Calibri" w:cs="Calibri"/>
          <w:sz w:val="24"/>
          <w:szCs w:val="24"/>
        </w:rPr>
        <w:t>Bressanelli</w:t>
      </w:r>
      <w:proofErr w:type="spellEnd"/>
      <w:r w:rsidRPr="00C229D1">
        <w:rPr>
          <w:rFonts w:ascii="Calibri" w:hAnsi="Calibri" w:cs="Calibri"/>
          <w:sz w:val="24"/>
          <w:szCs w:val="24"/>
        </w:rPr>
        <w:t xml:space="preserve">, E. (2022). </w:t>
      </w:r>
      <w:r w:rsidRPr="005C67F0">
        <w:rPr>
          <w:rFonts w:ascii="Calibri" w:hAnsi="Calibri" w:cs="Calibri"/>
          <w:sz w:val="24"/>
          <w:szCs w:val="24"/>
        </w:rPr>
        <w:t xml:space="preserve">Agenda‐setting under pressure: Does domestic politics influence the European </w:t>
      </w:r>
      <w:proofErr w:type="gramStart"/>
      <w:r w:rsidRPr="005C67F0">
        <w:rPr>
          <w:rFonts w:ascii="Calibri" w:hAnsi="Calibri" w:cs="Calibri"/>
          <w:sz w:val="24"/>
          <w:szCs w:val="24"/>
        </w:rPr>
        <w:t>Commission?.</w:t>
      </w:r>
      <w:proofErr w:type="gramEnd"/>
      <w:r w:rsidRPr="005C67F0">
        <w:rPr>
          <w:rFonts w:ascii="Calibri" w:hAnsi="Calibri" w:cs="Calibri"/>
          <w:sz w:val="24"/>
          <w:szCs w:val="24"/>
        </w:rPr>
        <w:t xml:space="preserve"> </w:t>
      </w:r>
      <w:r w:rsidRPr="00B709C2">
        <w:rPr>
          <w:rFonts w:ascii="Calibri" w:hAnsi="Calibri" w:cs="Calibri"/>
          <w:i/>
          <w:iCs/>
          <w:sz w:val="24"/>
          <w:szCs w:val="24"/>
        </w:rPr>
        <w:t>European Journal of Political Research</w:t>
      </w:r>
      <w:r w:rsidRPr="005C67F0">
        <w:rPr>
          <w:rFonts w:ascii="Calibri" w:hAnsi="Calibri" w:cs="Calibri"/>
          <w:sz w:val="24"/>
          <w:szCs w:val="24"/>
        </w:rPr>
        <w:t>, 61(1), 46-66.</w:t>
      </w:r>
    </w:p>
    <w:p w14:paraId="79FB272B" w14:textId="7608B98A" w:rsidR="00DF6725" w:rsidRDefault="00DF6725" w:rsidP="00FA2A22">
      <w:pPr>
        <w:jc w:val="both"/>
        <w:rPr>
          <w:rFonts w:ascii="Calibri" w:hAnsi="Calibri" w:cs="Calibri"/>
          <w:sz w:val="24"/>
          <w:szCs w:val="24"/>
        </w:rPr>
      </w:pPr>
      <w:r w:rsidRPr="00DF6725">
        <w:rPr>
          <w:rFonts w:ascii="Calibri" w:hAnsi="Calibri" w:cs="Calibri"/>
          <w:sz w:val="24"/>
          <w:szCs w:val="24"/>
        </w:rPr>
        <w:t xml:space="preserve">Kreppel, A., &amp; </w:t>
      </w:r>
      <w:proofErr w:type="spellStart"/>
      <w:r w:rsidRPr="00DF6725">
        <w:rPr>
          <w:rFonts w:ascii="Calibri" w:hAnsi="Calibri" w:cs="Calibri"/>
          <w:sz w:val="24"/>
          <w:szCs w:val="24"/>
        </w:rPr>
        <w:t>Oztas</w:t>
      </w:r>
      <w:proofErr w:type="spellEnd"/>
      <w:r w:rsidRPr="00DF6725">
        <w:rPr>
          <w:rFonts w:ascii="Calibri" w:hAnsi="Calibri" w:cs="Calibri"/>
          <w:sz w:val="24"/>
          <w:szCs w:val="24"/>
        </w:rPr>
        <w:t xml:space="preserve">, B. (2017). Leading the band or just playing the tune? Reassessing the agenda-setting powers of the European Commission. </w:t>
      </w:r>
      <w:r w:rsidRPr="00B709C2">
        <w:rPr>
          <w:rFonts w:ascii="Calibri" w:hAnsi="Calibri" w:cs="Calibri"/>
          <w:i/>
          <w:iCs/>
          <w:sz w:val="24"/>
          <w:szCs w:val="24"/>
        </w:rPr>
        <w:t>Comparative Political Studies</w:t>
      </w:r>
      <w:r w:rsidRPr="00DF6725">
        <w:rPr>
          <w:rFonts w:ascii="Calibri" w:hAnsi="Calibri" w:cs="Calibri"/>
          <w:sz w:val="24"/>
          <w:szCs w:val="24"/>
        </w:rPr>
        <w:t>, 50(8), 1118-1150.</w:t>
      </w:r>
    </w:p>
    <w:p w14:paraId="0BBEEF85" w14:textId="08BF137F" w:rsidR="000F5D04" w:rsidRDefault="000F5D04" w:rsidP="00FA2A22">
      <w:pPr>
        <w:jc w:val="both"/>
        <w:rPr>
          <w:rFonts w:ascii="Calibri" w:hAnsi="Calibri" w:cs="Calibri"/>
          <w:sz w:val="24"/>
          <w:szCs w:val="24"/>
        </w:rPr>
      </w:pPr>
      <w:proofErr w:type="spellStart"/>
      <w:r w:rsidRPr="002279B1">
        <w:rPr>
          <w:rFonts w:ascii="Calibri" w:hAnsi="Calibri" w:cs="Calibri"/>
          <w:sz w:val="24"/>
          <w:szCs w:val="24"/>
        </w:rPr>
        <w:t>Mérand</w:t>
      </w:r>
      <w:proofErr w:type="spellEnd"/>
      <w:r w:rsidRPr="002279B1">
        <w:rPr>
          <w:rFonts w:ascii="Calibri" w:hAnsi="Calibri" w:cs="Calibri"/>
          <w:sz w:val="24"/>
          <w:szCs w:val="24"/>
        </w:rPr>
        <w:t xml:space="preserve">, F. (2021). </w:t>
      </w:r>
      <w:r w:rsidRPr="003F11BA">
        <w:rPr>
          <w:rFonts w:ascii="Calibri" w:hAnsi="Calibri" w:cs="Calibri"/>
          <w:i/>
          <w:iCs/>
          <w:sz w:val="24"/>
          <w:szCs w:val="24"/>
        </w:rPr>
        <w:t>The political commissioner: A European ethnography</w:t>
      </w:r>
      <w:r w:rsidRPr="002279B1">
        <w:rPr>
          <w:rFonts w:ascii="Calibri" w:hAnsi="Calibri" w:cs="Calibri"/>
          <w:sz w:val="24"/>
          <w:szCs w:val="24"/>
        </w:rPr>
        <w:t>. Oxford University Press.</w:t>
      </w:r>
    </w:p>
    <w:p w14:paraId="70E27911" w14:textId="77777777" w:rsidR="0088512D" w:rsidRDefault="0088512D" w:rsidP="0088512D">
      <w:pPr>
        <w:jc w:val="both"/>
        <w:rPr>
          <w:rFonts w:ascii="Calibri" w:hAnsi="Calibri" w:cs="Calibri"/>
          <w:sz w:val="24"/>
          <w:szCs w:val="24"/>
        </w:rPr>
      </w:pPr>
      <w:r w:rsidRPr="00D73612">
        <w:rPr>
          <w:rFonts w:ascii="Calibri" w:hAnsi="Calibri" w:cs="Calibri"/>
          <w:sz w:val="24"/>
          <w:szCs w:val="24"/>
        </w:rPr>
        <w:lastRenderedPageBreak/>
        <w:t xml:space="preserve">Nugent, N., &amp; </w:t>
      </w:r>
      <w:proofErr w:type="spellStart"/>
      <w:r w:rsidRPr="00D73612">
        <w:rPr>
          <w:rFonts w:ascii="Calibri" w:hAnsi="Calibri" w:cs="Calibri"/>
          <w:sz w:val="24"/>
          <w:szCs w:val="24"/>
        </w:rPr>
        <w:t>Rhinard</w:t>
      </w:r>
      <w:proofErr w:type="spellEnd"/>
      <w:r w:rsidRPr="00D73612">
        <w:rPr>
          <w:rFonts w:ascii="Calibri" w:hAnsi="Calibri" w:cs="Calibri"/>
          <w:sz w:val="24"/>
          <w:szCs w:val="24"/>
        </w:rPr>
        <w:t xml:space="preserve">, M. (2016). Is the European Commission really in </w:t>
      </w:r>
      <w:proofErr w:type="gramStart"/>
      <w:r w:rsidRPr="00D73612">
        <w:rPr>
          <w:rFonts w:ascii="Calibri" w:hAnsi="Calibri" w:cs="Calibri"/>
          <w:sz w:val="24"/>
          <w:szCs w:val="24"/>
        </w:rPr>
        <w:t>decline?.</w:t>
      </w:r>
      <w:proofErr w:type="gramEnd"/>
      <w:r w:rsidRPr="00D73612">
        <w:rPr>
          <w:rFonts w:ascii="Calibri" w:hAnsi="Calibri" w:cs="Calibri"/>
          <w:sz w:val="24"/>
          <w:szCs w:val="24"/>
        </w:rPr>
        <w:t xml:space="preserve"> </w:t>
      </w:r>
      <w:r w:rsidRPr="00043A92">
        <w:rPr>
          <w:rFonts w:ascii="Calibri" w:hAnsi="Calibri" w:cs="Calibri"/>
          <w:i/>
          <w:iCs/>
          <w:sz w:val="24"/>
          <w:szCs w:val="24"/>
        </w:rPr>
        <w:t>Journal of Common Market Studies</w:t>
      </w:r>
      <w:r w:rsidRPr="00D73612">
        <w:rPr>
          <w:rFonts w:ascii="Calibri" w:hAnsi="Calibri" w:cs="Calibri"/>
          <w:sz w:val="24"/>
          <w:szCs w:val="24"/>
        </w:rPr>
        <w:t>, 54(5), 1199-1215.</w:t>
      </w:r>
    </w:p>
    <w:p w14:paraId="064FE129" w14:textId="2ABBF2F3" w:rsidR="00960C3E" w:rsidRDefault="00960C3E" w:rsidP="00FA2A22">
      <w:pPr>
        <w:jc w:val="both"/>
        <w:rPr>
          <w:rFonts w:ascii="Calibri" w:hAnsi="Calibri" w:cs="Calibri"/>
          <w:sz w:val="24"/>
          <w:szCs w:val="24"/>
        </w:rPr>
      </w:pPr>
      <w:proofErr w:type="spellStart"/>
      <w:r w:rsidRPr="00960C3E">
        <w:rPr>
          <w:rFonts w:ascii="Calibri" w:hAnsi="Calibri" w:cs="Calibri"/>
          <w:sz w:val="24"/>
          <w:szCs w:val="24"/>
        </w:rPr>
        <w:t>Puetter</w:t>
      </w:r>
      <w:proofErr w:type="spellEnd"/>
      <w:r w:rsidRPr="00960C3E">
        <w:rPr>
          <w:rFonts w:ascii="Calibri" w:hAnsi="Calibri" w:cs="Calibri"/>
          <w:sz w:val="24"/>
          <w:szCs w:val="24"/>
        </w:rPr>
        <w:t xml:space="preserve">, U. (2014). </w:t>
      </w:r>
      <w:r w:rsidRPr="00960C3E">
        <w:rPr>
          <w:rFonts w:ascii="Calibri" w:hAnsi="Calibri" w:cs="Calibri"/>
          <w:i/>
          <w:iCs/>
          <w:sz w:val="24"/>
          <w:szCs w:val="24"/>
        </w:rPr>
        <w:t>The European Council and the Council: New intergovernmentalism and institutional change</w:t>
      </w:r>
      <w:r w:rsidRPr="00960C3E">
        <w:rPr>
          <w:rFonts w:ascii="Calibri" w:hAnsi="Calibri" w:cs="Calibri"/>
          <w:sz w:val="24"/>
          <w:szCs w:val="24"/>
        </w:rPr>
        <w:t>. Oxford University Press, USA.</w:t>
      </w:r>
    </w:p>
    <w:p w14:paraId="2E520A64" w14:textId="3D381429" w:rsidR="008F3DD1" w:rsidRDefault="008F3DD1" w:rsidP="00FA2A22">
      <w:pPr>
        <w:jc w:val="both"/>
        <w:rPr>
          <w:rFonts w:ascii="Calibri" w:hAnsi="Calibri" w:cs="Calibri"/>
          <w:sz w:val="24"/>
          <w:szCs w:val="24"/>
        </w:rPr>
      </w:pPr>
      <w:r w:rsidRPr="008F3DD1">
        <w:rPr>
          <w:rFonts w:ascii="Calibri" w:hAnsi="Calibri" w:cs="Calibri"/>
          <w:sz w:val="24"/>
          <w:szCs w:val="24"/>
        </w:rPr>
        <w:t xml:space="preserve">Ross, G. (1995). </w:t>
      </w:r>
      <w:r w:rsidRPr="008F3DD1">
        <w:rPr>
          <w:rFonts w:ascii="Calibri" w:hAnsi="Calibri" w:cs="Calibri"/>
          <w:i/>
          <w:iCs/>
          <w:sz w:val="24"/>
          <w:szCs w:val="24"/>
        </w:rPr>
        <w:t>Jacques Delors and European integration</w:t>
      </w:r>
      <w:r w:rsidRPr="008F3DD1">
        <w:rPr>
          <w:rFonts w:ascii="Calibri" w:hAnsi="Calibri" w:cs="Calibri"/>
          <w:sz w:val="24"/>
          <w:szCs w:val="24"/>
        </w:rPr>
        <w:t>.</w:t>
      </w:r>
      <w:r w:rsidR="00F37EA0">
        <w:rPr>
          <w:rFonts w:ascii="Calibri" w:hAnsi="Calibri" w:cs="Calibri"/>
          <w:sz w:val="24"/>
          <w:szCs w:val="24"/>
        </w:rPr>
        <w:t xml:space="preserve"> </w:t>
      </w:r>
      <w:r w:rsidR="00F37EA0" w:rsidRPr="00F37EA0">
        <w:rPr>
          <w:rFonts w:ascii="Calibri" w:hAnsi="Calibri" w:cs="Calibri"/>
          <w:sz w:val="24"/>
          <w:szCs w:val="24"/>
        </w:rPr>
        <w:t>Oxford University Press</w:t>
      </w:r>
    </w:p>
    <w:p w14:paraId="7B92035F" w14:textId="152317A4" w:rsidR="0088512D" w:rsidRDefault="0088512D" w:rsidP="00FA2A22">
      <w:pPr>
        <w:jc w:val="both"/>
        <w:rPr>
          <w:rFonts w:ascii="Calibri" w:hAnsi="Calibri" w:cs="Calibri"/>
          <w:sz w:val="24"/>
          <w:szCs w:val="24"/>
        </w:rPr>
      </w:pPr>
      <w:proofErr w:type="spellStart"/>
      <w:r w:rsidRPr="0088512D">
        <w:rPr>
          <w:rFonts w:ascii="Calibri" w:hAnsi="Calibri" w:cs="Calibri"/>
          <w:sz w:val="24"/>
          <w:szCs w:val="24"/>
        </w:rPr>
        <w:t>Tsebelis</w:t>
      </w:r>
      <w:proofErr w:type="spellEnd"/>
      <w:r w:rsidRPr="0088512D">
        <w:rPr>
          <w:rFonts w:ascii="Calibri" w:hAnsi="Calibri" w:cs="Calibri"/>
          <w:sz w:val="24"/>
          <w:szCs w:val="24"/>
        </w:rPr>
        <w:t xml:space="preserve">, G., &amp; Kreppel, A. (1998). The history of conditional agenda-setting in European institutions. </w:t>
      </w:r>
      <w:r w:rsidRPr="00AD6894">
        <w:rPr>
          <w:rFonts w:ascii="Calibri" w:hAnsi="Calibri" w:cs="Calibri"/>
          <w:i/>
          <w:iCs/>
          <w:sz w:val="24"/>
          <w:szCs w:val="24"/>
        </w:rPr>
        <w:t>European Journal of Political Research</w:t>
      </w:r>
      <w:r w:rsidRPr="0088512D">
        <w:rPr>
          <w:rFonts w:ascii="Calibri" w:hAnsi="Calibri" w:cs="Calibri"/>
          <w:sz w:val="24"/>
          <w:szCs w:val="24"/>
        </w:rPr>
        <w:t>, 33(1), 41-71.</w:t>
      </w:r>
    </w:p>
    <w:p w14:paraId="55780624" w14:textId="29C9CCBB" w:rsidR="00BE13CA" w:rsidRDefault="00BE13CA" w:rsidP="00FA2A22">
      <w:pPr>
        <w:jc w:val="both"/>
        <w:rPr>
          <w:rFonts w:ascii="Calibri" w:hAnsi="Calibri" w:cs="Calibri"/>
          <w:sz w:val="24"/>
          <w:szCs w:val="24"/>
        </w:rPr>
      </w:pPr>
      <w:r w:rsidRPr="00BE13CA">
        <w:rPr>
          <w:rFonts w:ascii="Calibri" w:hAnsi="Calibri" w:cs="Calibri"/>
          <w:sz w:val="24"/>
          <w:szCs w:val="24"/>
        </w:rPr>
        <w:t xml:space="preserve">Van </w:t>
      </w:r>
      <w:proofErr w:type="spellStart"/>
      <w:r w:rsidRPr="00BE13CA">
        <w:rPr>
          <w:rFonts w:ascii="Calibri" w:hAnsi="Calibri" w:cs="Calibri"/>
          <w:sz w:val="24"/>
          <w:szCs w:val="24"/>
        </w:rPr>
        <w:t>Middelaar</w:t>
      </w:r>
      <w:proofErr w:type="spellEnd"/>
      <w:r w:rsidRPr="00BE13CA">
        <w:rPr>
          <w:rFonts w:ascii="Calibri" w:hAnsi="Calibri" w:cs="Calibri"/>
          <w:sz w:val="24"/>
          <w:szCs w:val="24"/>
        </w:rPr>
        <w:t xml:space="preserve">, L. (2019). </w:t>
      </w:r>
      <w:r w:rsidRPr="00BE13CA">
        <w:rPr>
          <w:rFonts w:ascii="Calibri" w:hAnsi="Calibri" w:cs="Calibri"/>
          <w:i/>
          <w:iCs/>
          <w:sz w:val="24"/>
          <w:szCs w:val="24"/>
        </w:rPr>
        <w:t>Alarums and excursions</w:t>
      </w:r>
      <w:r w:rsidRPr="00BE13CA">
        <w:rPr>
          <w:rFonts w:ascii="Calibri" w:hAnsi="Calibri" w:cs="Calibri"/>
          <w:sz w:val="24"/>
          <w:szCs w:val="24"/>
        </w:rPr>
        <w:t>. Agenda publishing.</w:t>
      </w:r>
    </w:p>
    <w:p w14:paraId="5EEF1805" w14:textId="77777777" w:rsidR="000F5D04" w:rsidRDefault="000F5D04" w:rsidP="000F5D04">
      <w:pPr>
        <w:jc w:val="both"/>
        <w:rPr>
          <w:rFonts w:ascii="Calibri" w:hAnsi="Calibri" w:cs="Calibri"/>
          <w:sz w:val="24"/>
          <w:szCs w:val="24"/>
        </w:rPr>
      </w:pPr>
      <w:r w:rsidRPr="003F11BA">
        <w:rPr>
          <w:rFonts w:ascii="Calibri" w:hAnsi="Calibri" w:cs="Calibri"/>
          <w:sz w:val="24"/>
          <w:szCs w:val="24"/>
        </w:rPr>
        <w:t xml:space="preserve">Werts, J. (2021). </w:t>
      </w:r>
      <w:r w:rsidRPr="003F11BA">
        <w:rPr>
          <w:rFonts w:ascii="Calibri" w:hAnsi="Calibri" w:cs="Calibri"/>
          <w:i/>
          <w:iCs/>
          <w:sz w:val="24"/>
          <w:szCs w:val="24"/>
        </w:rPr>
        <w:t>The European Council in the era of crises</w:t>
      </w:r>
      <w:r w:rsidRPr="003F11BA">
        <w:rPr>
          <w:rFonts w:ascii="Calibri" w:hAnsi="Calibri" w:cs="Calibri"/>
          <w:sz w:val="24"/>
          <w:szCs w:val="24"/>
        </w:rPr>
        <w:t>. John Harper Publishing.</w:t>
      </w:r>
    </w:p>
    <w:p w14:paraId="18786529" w14:textId="72CCEF96" w:rsidR="00D930C1" w:rsidRDefault="000F5D04" w:rsidP="00FA2A22">
      <w:pPr>
        <w:jc w:val="both"/>
        <w:rPr>
          <w:rFonts w:ascii="Calibri" w:hAnsi="Calibri" w:cs="Calibri"/>
          <w:sz w:val="24"/>
          <w:szCs w:val="24"/>
        </w:rPr>
      </w:pPr>
      <w:r w:rsidRPr="007C3E56">
        <w:rPr>
          <w:rFonts w:ascii="Calibri" w:hAnsi="Calibri" w:cs="Calibri"/>
          <w:sz w:val="24"/>
          <w:szCs w:val="24"/>
        </w:rPr>
        <w:t>Wessels, W</w:t>
      </w:r>
      <w:r>
        <w:rPr>
          <w:rFonts w:ascii="Calibri" w:hAnsi="Calibri" w:cs="Calibri"/>
          <w:sz w:val="24"/>
          <w:szCs w:val="24"/>
        </w:rPr>
        <w:t>.</w:t>
      </w:r>
      <w:r w:rsidRPr="007C3E56">
        <w:rPr>
          <w:rFonts w:ascii="Calibri" w:hAnsi="Calibri" w:cs="Calibri"/>
          <w:sz w:val="24"/>
          <w:szCs w:val="24"/>
        </w:rPr>
        <w:t xml:space="preserve">, Schramm, </w:t>
      </w:r>
      <w:r>
        <w:rPr>
          <w:rFonts w:ascii="Calibri" w:hAnsi="Calibri" w:cs="Calibri"/>
          <w:sz w:val="24"/>
          <w:szCs w:val="24"/>
        </w:rPr>
        <w:t xml:space="preserve">L. </w:t>
      </w:r>
      <w:r w:rsidRPr="007C3E56">
        <w:rPr>
          <w:rFonts w:ascii="Calibri" w:hAnsi="Calibri" w:cs="Calibri"/>
          <w:sz w:val="24"/>
          <w:szCs w:val="24"/>
        </w:rPr>
        <w:t>and</w:t>
      </w:r>
      <w:r>
        <w:rPr>
          <w:rFonts w:ascii="Calibri" w:hAnsi="Calibri" w:cs="Calibri"/>
          <w:sz w:val="24"/>
          <w:szCs w:val="24"/>
        </w:rPr>
        <w:t xml:space="preserve"> </w:t>
      </w:r>
      <w:proofErr w:type="spellStart"/>
      <w:r w:rsidRPr="007C3E56">
        <w:rPr>
          <w:rFonts w:ascii="Calibri" w:hAnsi="Calibri" w:cs="Calibri"/>
          <w:sz w:val="24"/>
          <w:szCs w:val="24"/>
        </w:rPr>
        <w:t>Kunstein</w:t>
      </w:r>
      <w:proofErr w:type="spellEnd"/>
      <w:r>
        <w:rPr>
          <w:rFonts w:ascii="Calibri" w:hAnsi="Calibri" w:cs="Calibri"/>
          <w:sz w:val="24"/>
          <w:szCs w:val="24"/>
        </w:rPr>
        <w:t>, T</w:t>
      </w:r>
      <w:r w:rsidRPr="007C3E56">
        <w:rPr>
          <w:rFonts w:ascii="Calibri" w:hAnsi="Calibri" w:cs="Calibri"/>
          <w:sz w:val="24"/>
          <w:szCs w:val="24"/>
        </w:rPr>
        <w:t xml:space="preserve">. </w:t>
      </w:r>
      <w:r>
        <w:rPr>
          <w:rFonts w:ascii="Calibri" w:hAnsi="Calibri" w:cs="Calibri"/>
          <w:sz w:val="24"/>
          <w:szCs w:val="24"/>
        </w:rPr>
        <w:t>(</w:t>
      </w:r>
      <w:r w:rsidRPr="007C3E56">
        <w:rPr>
          <w:rFonts w:ascii="Calibri" w:hAnsi="Calibri" w:cs="Calibri"/>
          <w:sz w:val="24"/>
          <w:szCs w:val="24"/>
        </w:rPr>
        <w:t>2022</w:t>
      </w:r>
      <w:r>
        <w:rPr>
          <w:rFonts w:ascii="Calibri" w:hAnsi="Calibri" w:cs="Calibri"/>
          <w:sz w:val="24"/>
          <w:szCs w:val="24"/>
        </w:rPr>
        <w:t>)</w:t>
      </w:r>
      <w:r w:rsidRPr="007C3E56">
        <w:rPr>
          <w:rFonts w:ascii="Calibri" w:hAnsi="Calibri" w:cs="Calibri"/>
          <w:sz w:val="24"/>
          <w:szCs w:val="24"/>
        </w:rPr>
        <w:t xml:space="preserve">. </w:t>
      </w:r>
      <w:r w:rsidRPr="003F11BA">
        <w:rPr>
          <w:rFonts w:ascii="Calibri" w:hAnsi="Calibri" w:cs="Calibri"/>
          <w:i/>
          <w:iCs/>
          <w:sz w:val="24"/>
          <w:szCs w:val="24"/>
        </w:rPr>
        <w:t>The European Council as a Crisis Manager: The E</w:t>
      </w:r>
      <w:r>
        <w:rPr>
          <w:rFonts w:ascii="Calibri" w:hAnsi="Calibri" w:cs="Calibri"/>
          <w:i/>
          <w:iCs/>
          <w:sz w:val="24"/>
          <w:szCs w:val="24"/>
        </w:rPr>
        <w:t>U</w:t>
      </w:r>
      <w:r w:rsidRPr="003F11BA">
        <w:rPr>
          <w:rFonts w:ascii="Calibri" w:hAnsi="Calibri" w:cs="Calibri"/>
          <w:i/>
          <w:iCs/>
          <w:sz w:val="24"/>
          <w:szCs w:val="24"/>
        </w:rPr>
        <w:t>’s Fiscal Response to the COVID-19 Pandemic</w:t>
      </w:r>
      <w:r w:rsidRPr="007C3E56">
        <w:rPr>
          <w:rFonts w:ascii="Calibri" w:hAnsi="Calibri" w:cs="Calibri"/>
          <w:sz w:val="24"/>
          <w:szCs w:val="24"/>
        </w:rPr>
        <w:t>. Baden-Baden: Nomos.</w:t>
      </w:r>
    </w:p>
    <w:p w14:paraId="63D57554" w14:textId="130307DC" w:rsidR="002341F2" w:rsidRPr="00486BDD" w:rsidRDefault="002341F2" w:rsidP="00FA2A22">
      <w:pPr>
        <w:jc w:val="both"/>
        <w:rPr>
          <w:rFonts w:ascii="Calibri" w:hAnsi="Calibri" w:cs="Calibri"/>
          <w:sz w:val="24"/>
          <w:szCs w:val="24"/>
        </w:rPr>
      </w:pPr>
      <w:r w:rsidRPr="00DE1CD9">
        <w:rPr>
          <w:rFonts w:ascii="Calibri" w:hAnsi="Calibri" w:cs="Calibri"/>
          <w:sz w:val="24"/>
          <w:szCs w:val="24"/>
        </w:rPr>
        <w:t xml:space="preserve">Zeitlin, J., Nicoli, F., &amp; Laffan, B. (2019). </w:t>
      </w:r>
      <w:r w:rsidRPr="002341F2">
        <w:rPr>
          <w:rFonts w:ascii="Calibri" w:hAnsi="Calibri" w:cs="Calibri"/>
          <w:sz w:val="24"/>
          <w:szCs w:val="24"/>
        </w:rPr>
        <w:t xml:space="preserve">Introduction: The European Union beyond the </w:t>
      </w:r>
      <w:proofErr w:type="spellStart"/>
      <w:r w:rsidRPr="002341F2">
        <w:rPr>
          <w:rFonts w:ascii="Calibri" w:hAnsi="Calibri" w:cs="Calibri"/>
          <w:sz w:val="24"/>
          <w:szCs w:val="24"/>
        </w:rPr>
        <w:t>polycrisis</w:t>
      </w:r>
      <w:proofErr w:type="spellEnd"/>
      <w:r w:rsidRPr="002341F2">
        <w:rPr>
          <w:rFonts w:ascii="Calibri" w:hAnsi="Calibri" w:cs="Calibri"/>
          <w:sz w:val="24"/>
          <w:szCs w:val="24"/>
        </w:rPr>
        <w:t>? Integration and politicization in an age of shifting cleavages</w:t>
      </w:r>
      <w:r w:rsidRPr="002341F2">
        <w:rPr>
          <w:rFonts w:ascii="Calibri" w:hAnsi="Calibri" w:cs="Calibri"/>
          <w:i/>
          <w:iCs/>
          <w:sz w:val="24"/>
          <w:szCs w:val="24"/>
        </w:rPr>
        <w:t>. Journal of European Public Policy</w:t>
      </w:r>
      <w:r w:rsidRPr="002341F2">
        <w:rPr>
          <w:rFonts w:ascii="Calibri" w:hAnsi="Calibri" w:cs="Calibri"/>
          <w:sz w:val="24"/>
          <w:szCs w:val="24"/>
        </w:rPr>
        <w:t>, 26(7), 963-976.</w:t>
      </w:r>
    </w:p>
    <w:sectPr w:rsidR="002341F2" w:rsidRPr="00486BD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B72A1" w14:textId="77777777" w:rsidR="009110AF" w:rsidRDefault="009110AF" w:rsidP="00EA3154">
      <w:pPr>
        <w:spacing w:after="0" w:line="240" w:lineRule="auto"/>
      </w:pPr>
      <w:r>
        <w:separator/>
      </w:r>
    </w:p>
  </w:endnote>
  <w:endnote w:type="continuationSeparator" w:id="0">
    <w:p w14:paraId="19F304C8" w14:textId="77777777" w:rsidR="009110AF" w:rsidRDefault="009110AF" w:rsidP="00EA3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1229582"/>
      <w:docPartObj>
        <w:docPartGallery w:val="Page Numbers (Bottom of Page)"/>
        <w:docPartUnique/>
      </w:docPartObj>
    </w:sdtPr>
    <w:sdtEndPr/>
    <w:sdtContent>
      <w:p w14:paraId="351B4CB5" w14:textId="64124A68" w:rsidR="00EA3154" w:rsidRDefault="00EA3154">
        <w:pPr>
          <w:pStyle w:val="Footer"/>
          <w:jc w:val="right"/>
        </w:pPr>
        <w:r>
          <w:fldChar w:fldCharType="begin"/>
        </w:r>
        <w:r>
          <w:instrText>PAGE   \* MERGEFORMAT</w:instrText>
        </w:r>
        <w:r>
          <w:fldChar w:fldCharType="separate"/>
        </w:r>
        <w:r>
          <w:t>2</w:t>
        </w:r>
        <w:r>
          <w:fldChar w:fldCharType="end"/>
        </w:r>
      </w:p>
    </w:sdtContent>
  </w:sdt>
  <w:p w14:paraId="750391AF" w14:textId="77777777" w:rsidR="00EA3154" w:rsidRDefault="00EA3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F8D98" w14:textId="77777777" w:rsidR="009110AF" w:rsidRDefault="009110AF" w:rsidP="00EA3154">
      <w:pPr>
        <w:spacing w:after="0" w:line="240" w:lineRule="auto"/>
      </w:pPr>
      <w:r>
        <w:separator/>
      </w:r>
    </w:p>
  </w:footnote>
  <w:footnote w:type="continuationSeparator" w:id="0">
    <w:p w14:paraId="5E242F68" w14:textId="77777777" w:rsidR="009110AF" w:rsidRDefault="009110AF" w:rsidP="00EA3154">
      <w:pPr>
        <w:spacing w:after="0" w:line="240" w:lineRule="auto"/>
      </w:pPr>
      <w:r>
        <w:continuationSeparator/>
      </w:r>
    </w:p>
  </w:footnote>
  <w:footnote w:id="1">
    <w:p w14:paraId="00FB7C01" w14:textId="6ACFEC11" w:rsidR="004C5E41" w:rsidRDefault="004C5E41">
      <w:pPr>
        <w:pStyle w:val="FootnoteText"/>
      </w:pPr>
      <w:r>
        <w:rPr>
          <w:rStyle w:val="FootnoteReference"/>
        </w:rPr>
        <w:footnoteRef/>
      </w:r>
      <w:r>
        <w:t xml:space="preserve"> </w:t>
      </w:r>
      <w:r w:rsidR="009E3E18">
        <w:t xml:space="preserve">Werts considers that </w:t>
      </w:r>
      <w:r w:rsidRPr="004C5E41">
        <w:t xml:space="preserve">it is the Council and European Parliament whose role have been downgraded more than the Commission in the new </w:t>
      </w:r>
      <w:r w:rsidR="009E3E18">
        <w:t>‘</w:t>
      </w:r>
      <w:r w:rsidRPr="004C5E41">
        <w:t>decision-making quadrangle</w:t>
      </w:r>
      <w:r w:rsidR="009E3E18">
        <w:t>’</w:t>
      </w:r>
      <w:r w:rsidRPr="004C5E4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623BD"/>
    <w:multiLevelType w:val="hybridMultilevel"/>
    <w:tmpl w:val="FD8A1A74"/>
    <w:lvl w:ilvl="0" w:tplc="BB3ED04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845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8A"/>
    <w:rsid w:val="00002C78"/>
    <w:rsid w:val="00002D55"/>
    <w:rsid w:val="000035A5"/>
    <w:rsid w:val="000073F6"/>
    <w:rsid w:val="00007841"/>
    <w:rsid w:val="00010A18"/>
    <w:rsid w:val="000111F3"/>
    <w:rsid w:val="000115C1"/>
    <w:rsid w:val="00014185"/>
    <w:rsid w:val="00023D48"/>
    <w:rsid w:val="00024CE1"/>
    <w:rsid w:val="00031731"/>
    <w:rsid w:val="00035373"/>
    <w:rsid w:val="00036F7D"/>
    <w:rsid w:val="00041911"/>
    <w:rsid w:val="00043599"/>
    <w:rsid w:val="00043A92"/>
    <w:rsid w:val="00050331"/>
    <w:rsid w:val="0005057C"/>
    <w:rsid w:val="00051CB4"/>
    <w:rsid w:val="00055B95"/>
    <w:rsid w:val="00056049"/>
    <w:rsid w:val="000576C2"/>
    <w:rsid w:val="000607BD"/>
    <w:rsid w:val="0006086E"/>
    <w:rsid w:val="00061222"/>
    <w:rsid w:val="00064101"/>
    <w:rsid w:val="000668B6"/>
    <w:rsid w:val="00066B6B"/>
    <w:rsid w:val="000670B7"/>
    <w:rsid w:val="00072194"/>
    <w:rsid w:val="000743A9"/>
    <w:rsid w:val="00074FB9"/>
    <w:rsid w:val="000753DA"/>
    <w:rsid w:val="00081848"/>
    <w:rsid w:val="00085536"/>
    <w:rsid w:val="00095C0B"/>
    <w:rsid w:val="00096087"/>
    <w:rsid w:val="000A3657"/>
    <w:rsid w:val="000A50B8"/>
    <w:rsid w:val="000A57F7"/>
    <w:rsid w:val="000A617F"/>
    <w:rsid w:val="000A7B58"/>
    <w:rsid w:val="000B2F75"/>
    <w:rsid w:val="000B3E7B"/>
    <w:rsid w:val="000B720E"/>
    <w:rsid w:val="000C1D0D"/>
    <w:rsid w:val="000C39F7"/>
    <w:rsid w:val="000C4D8B"/>
    <w:rsid w:val="000C4E76"/>
    <w:rsid w:val="000D0C99"/>
    <w:rsid w:val="000D1258"/>
    <w:rsid w:val="000D1F70"/>
    <w:rsid w:val="000D33A5"/>
    <w:rsid w:val="000D35CA"/>
    <w:rsid w:val="000D3687"/>
    <w:rsid w:val="000D4C89"/>
    <w:rsid w:val="000D5F03"/>
    <w:rsid w:val="000D6882"/>
    <w:rsid w:val="000E1F38"/>
    <w:rsid w:val="000E40E2"/>
    <w:rsid w:val="000E455A"/>
    <w:rsid w:val="000E4ECC"/>
    <w:rsid w:val="000E5715"/>
    <w:rsid w:val="000E6547"/>
    <w:rsid w:val="000E6F12"/>
    <w:rsid w:val="000F2CFC"/>
    <w:rsid w:val="000F400D"/>
    <w:rsid w:val="000F4B63"/>
    <w:rsid w:val="000F5D04"/>
    <w:rsid w:val="00101083"/>
    <w:rsid w:val="00103321"/>
    <w:rsid w:val="00111B20"/>
    <w:rsid w:val="00111C21"/>
    <w:rsid w:val="00112779"/>
    <w:rsid w:val="0011433B"/>
    <w:rsid w:val="00116D52"/>
    <w:rsid w:val="00116F37"/>
    <w:rsid w:val="00117CCE"/>
    <w:rsid w:val="00120E13"/>
    <w:rsid w:val="001216E4"/>
    <w:rsid w:val="00124CEE"/>
    <w:rsid w:val="00127D44"/>
    <w:rsid w:val="0013218A"/>
    <w:rsid w:val="001343C3"/>
    <w:rsid w:val="001350C8"/>
    <w:rsid w:val="00135A17"/>
    <w:rsid w:val="00136714"/>
    <w:rsid w:val="00141140"/>
    <w:rsid w:val="00145224"/>
    <w:rsid w:val="0014527F"/>
    <w:rsid w:val="0014637A"/>
    <w:rsid w:val="0014665B"/>
    <w:rsid w:val="00147C30"/>
    <w:rsid w:val="001508DE"/>
    <w:rsid w:val="00152968"/>
    <w:rsid w:val="00152D24"/>
    <w:rsid w:val="00156954"/>
    <w:rsid w:val="00156D1D"/>
    <w:rsid w:val="00160F85"/>
    <w:rsid w:val="00161B23"/>
    <w:rsid w:val="001629D0"/>
    <w:rsid w:val="0016301F"/>
    <w:rsid w:val="00163813"/>
    <w:rsid w:val="00164285"/>
    <w:rsid w:val="00164B34"/>
    <w:rsid w:val="0016721B"/>
    <w:rsid w:val="00167BF5"/>
    <w:rsid w:val="0017089A"/>
    <w:rsid w:val="001720E3"/>
    <w:rsid w:val="00173B98"/>
    <w:rsid w:val="00173F65"/>
    <w:rsid w:val="001746A7"/>
    <w:rsid w:val="00181C98"/>
    <w:rsid w:val="00181E0F"/>
    <w:rsid w:val="0018232F"/>
    <w:rsid w:val="00185FFF"/>
    <w:rsid w:val="00187C5A"/>
    <w:rsid w:val="0019188E"/>
    <w:rsid w:val="00191AA9"/>
    <w:rsid w:val="00192F70"/>
    <w:rsid w:val="001A2FC3"/>
    <w:rsid w:val="001A41E2"/>
    <w:rsid w:val="001A522E"/>
    <w:rsid w:val="001A563F"/>
    <w:rsid w:val="001A5B8D"/>
    <w:rsid w:val="001A5D43"/>
    <w:rsid w:val="001A618B"/>
    <w:rsid w:val="001B198D"/>
    <w:rsid w:val="001B240D"/>
    <w:rsid w:val="001B2C0D"/>
    <w:rsid w:val="001B6C1A"/>
    <w:rsid w:val="001B7563"/>
    <w:rsid w:val="001C06FB"/>
    <w:rsid w:val="001C1A90"/>
    <w:rsid w:val="001C3FA7"/>
    <w:rsid w:val="001C6580"/>
    <w:rsid w:val="001C786E"/>
    <w:rsid w:val="001D341D"/>
    <w:rsid w:val="001D4F2F"/>
    <w:rsid w:val="001D5051"/>
    <w:rsid w:val="001D6413"/>
    <w:rsid w:val="001D6AEC"/>
    <w:rsid w:val="001E0595"/>
    <w:rsid w:val="001E144D"/>
    <w:rsid w:val="001E1551"/>
    <w:rsid w:val="001E2A0B"/>
    <w:rsid w:val="001E4F04"/>
    <w:rsid w:val="001E602D"/>
    <w:rsid w:val="001E6979"/>
    <w:rsid w:val="001E6C08"/>
    <w:rsid w:val="001F1AEC"/>
    <w:rsid w:val="001F2F4E"/>
    <w:rsid w:val="001F5BC4"/>
    <w:rsid w:val="001F6253"/>
    <w:rsid w:val="002046C2"/>
    <w:rsid w:val="00221205"/>
    <w:rsid w:val="00221A1C"/>
    <w:rsid w:val="002242F3"/>
    <w:rsid w:val="002279B1"/>
    <w:rsid w:val="00233093"/>
    <w:rsid w:val="002341F2"/>
    <w:rsid w:val="0023524C"/>
    <w:rsid w:val="00236A71"/>
    <w:rsid w:val="002372CD"/>
    <w:rsid w:val="00242E5F"/>
    <w:rsid w:val="00243151"/>
    <w:rsid w:val="002439BE"/>
    <w:rsid w:val="002473D2"/>
    <w:rsid w:val="00247BF6"/>
    <w:rsid w:val="00251185"/>
    <w:rsid w:val="00251B34"/>
    <w:rsid w:val="00251B3E"/>
    <w:rsid w:val="00253F21"/>
    <w:rsid w:val="00255534"/>
    <w:rsid w:val="00260900"/>
    <w:rsid w:val="00261149"/>
    <w:rsid w:val="00262AF9"/>
    <w:rsid w:val="0026313D"/>
    <w:rsid w:val="00263E96"/>
    <w:rsid w:val="00265EE0"/>
    <w:rsid w:val="00267FF0"/>
    <w:rsid w:val="00270369"/>
    <w:rsid w:val="00274D96"/>
    <w:rsid w:val="00276797"/>
    <w:rsid w:val="00276807"/>
    <w:rsid w:val="002775CC"/>
    <w:rsid w:val="002808B1"/>
    <w:rsid w:val="00285342"/>
    <w:rsid w:val="00291ABF"/>
    <w:rsid w:val="002922D0"/>
    <w:rsid w:val="002924E0"/>
    <w:rsid w:val="002928C5"/>
    <w:rsid w:val="002954FF"/>
    <w:rsid w:val="0029626E"/>
    <w:rsid w:val="002A3E36"/>
    <w:rsid w:val="002A50CD"/>
    <w:rsid w:val="002A51FF"/>
    <w:rsid w:val="002A68AA"/>
    <w:rsid w:val="002A7A66"/>
    <w:rsid w:val="002B1F31"/>
    <w:rsid w:val="002B2389"/>
    <w:rsid w:val="002B456D"/>
    <w:rsid w:val="002B45AB"/>
    <w:rsid w:val="002C0614"/>
    <w:rsid w:val="002C151A"/>
    <w:rsid w:val="002C35BE"/>
    <w:rsid w:val="002C3FD8"/>
    <w:rsid w:val="002D06D7"/>
    <w:rsid w:val="002D3FDE"/>
    <w:rsid w:val="002D7E2C"/>
    <w:rsid w:val="002E22BF"/>
    <w:rsid w:val="002E548F"/>
    <w:rsid w:val="002F0E8B"/>
    <w:rsid w:val="002F49DE"/>
    <w:rsid w:val="002F6CAA"/>
    <w:rsid w:val="0030164F"/>
    <w:rsid w:val="00302CB8"/>
    <w:rsid w:val="00305008"/>
    <w:rsid w:val="00305F70"/>
    <w:rsid w:val="003100BE"/>
    <w:rsid w:val="0031217A"/>
    <w:rsid w:val="00313FF7"/>
    <w:rsid w:val="00327B23"/>
    <w:rsid w:val="0033238D"/>
    <w:rsid w:val="00333FAF"/>
    <w:rsid w:val="003367AC"/>
    <w:rsid w:val="00337635"/>
    <w:rsid w:val="0034136A"/>
    <w:rsid w:val="00342192"/>
    <w:rsid w:val="00343389"/>
    <w:rsid w:val="00347148"/>
    <w:rsid w:val="00347AC8"/>
    <w:rsid w:val="003505DB"/>
    <w:rsid w:val="00350BD7"/>
    <w:rsid w:val="00355B93"/>
    <w:rsid w:val="00356C38"/>
    <w:rsid w:val="00360F0D"/>
    <w:rsid w:val="003619DC"/>
    <w:rsid w:val="00367492"/>
    <w:rsid w:val="00372480"/>
    <w:rsid w:val="0037648F"/>
    <w:rsid w:val="00382FB5"/>
    <w:rsid w:val="0039038A"/>
    <w:rsid w:val="00394D76"/>
    <w:rsid w:val="00396B5E"/>
    <w:rsid w:val="003A0C2A"/>
    <w:rsid w:val="003B48BB"/>
    <w:rsid w:val="003B671A"/>
    <w:rsid w:val="003C291B"/>
    <w:rsid w:val="003C3AC0"/>
    <w:rsid w:val="003C682E"/>
    <w:rsid w:val="003C6968"/>
    <w:rsid w:val="003C79EA"/>
    <w:rsid w:val="003D0A7A"/>
    <w:rsid w:val="003D10F7"/>
    <w:rsid w:val="003D179B"/>
    <w:rsid w:val="003D4134"/>
    <w:rsid w:val="003D554C"/>
    <w:rsid w:val="003D71A3"/>
    <w:rsid w:val="003E1774"/>
    <w:rsid w:val="003E1D36"/>
    <w:rsid w:val="003E2F69"/>
    <w:rsid w:val="003E6766"/>
    <w:rsid w:val="003E6F4B"/>
    <w:rsid w:val="003F0527"/>
    <w:rsid w:val="003F11BA"/>
    <w:rsid w:val="00400204"/>
    <w:rsid w:val="004002A7"/>
    <w:rsid w:val="00402002"/>
    <w:rsid w:val="00404183"/>
    <w:rsid w:val="00405B05"/>
    <w:rsid w:val="00410580"/>
    <w:rsid w:val="00412460"/>
    <w:rsid w:val="00412D87"/>
    <w:rsid w:val="00415634"/>
    <w:rsid w:val="00417149"/>
    <w:rsid w:val="00417D80"/>
    <w:rsid w:val="004337CF"/>
    <w:rsid w:val="00433C0C"/>
    <w:rsid w:val="004362AA"/>
    <w:rsid w:val="00437220"/>
    <w:rsid w:val="00440AA9"/>
    <w:rsid w:val="00441C25"/>
    <w:rsid w:val="00441F04"/>
    <w:rsid w:val="004445D5"/>
    <w:rsid w:val="00450889"/>
    <w:rsid w:val="00450C29"/>
    <w:rsid w:val="00451441"/>
    <w:rsid w:val="00451771"/>
    <w:rsid w:val="004535FB"/>
    <w:rsid w:val="00454482"/>
    <w:rsid w:val="00455FB6"/>
    <w:rsid w:val="00462253"/>
    <w:rsid w:val="0046320A"/>
    <w:rsid w:val="0047200A"/>
    <w:rsid w:val="00473741"/>
    <w:rsid w:val="00475B5C"/>
    <w:rsid w:val="00480CD9"/>
    <w:rsid w:val="004836C5"/>
    <w:rsid w:val="00483F46"/>
    <w:rsid w:val="004843D9"/>
    <w:rsid w:val="004846A3"/>
    <w:rsid w:val="004853E1"/>
    <w:rsid w:val="00486BDD"/>
    <w:rsid w:val="00487A86"/>
    <w:rsid w:val="00493D90"/>
    <w:rsid w:val="00496C94"/>
    <w:rsid w:val="004A0A0A"/>
    <w:rsid w:val="004A1375"/>
    <w:rsid w:val="004A2954"/>
    <w:rsid w:val="004A38FB"/>
    <w:rsid w:val="004A4BAF"/>
    <w:rsid w:val="004A631E"/>
    <w:rsid w:val="004A7355"/>
    <w:rsid w:val="004A7417"/>
    <w:rsid w:val="004A7F98"/>
    <w:rsid w:val="004B3FCE"/>
    <w:rsid w:val="004B44AF"/>
    <w:rsid w:val="004B5D18"/>
    <w:rsid w:val="004C0DAD"/>
    <w:rsid w:val="004C212B"/>
    <w:rsid w:val="004C2A09"/>
    <w:rsid w:val="004C4BDF"/>
    <w:rsid w:val="004C5E41"/>
    <w:rsid w:val="004C6769"/>
    <w:rsid w:val="004C74F5"/>
    <w:rsid w:val="004C7A7B"/>
    <w:rsid w:val="004D0F93"/>
    <w:rsid w:val="004D41BE"/>
    <w:rsid w:val="004D5343"/>
    <w:rsid w:val="004D56B3"/>
    <w:rsid w:val="004D610B"/>
    <w:rsid w:val="004D7B7E"/>
    <w:rsid w:val="004E16A3"/>
    <w:rsid w:val="004E232E"/>
    <w:rsid w:val="004F0773"/>
    <w:rsid w:val="004F36A4"/>
    <w:rsid w:val="004F7A4A"/>
    <w:rsid w:val="005058CB"/>
    <w:rsid w:val="005076F1"/>
    <w:rsid w:val="00512A86"/>
    <w:rsid w:val="00512D50"/>
    <w:rsid w:val="00513150"/>
    <w:rsid w:val="00516066"/>
    <w:rsid w:val="0051799D"/>
    <w:rsid w:val="00520D20"/>
    <w:rsid w:val="00520F75"/>
    <w:rsid w:val="00533C40"/>
    <w:rsid w:val="0053490F"/>
    <w:rsid w:val="005360C2"/>
    <w:rsid w:val="005360DA"/>
    <w:rsid w:val="0053785B"/>
    <w:rsid w:val="005407C6"/>
    <w:rsid w:val="00540CC8"/>
    <w:rsid w:val="00541371"/>
    <w:rsid w:val="00546004"/>
    <w:rsid w:val="00547524"/>
    <w:rsid w:val="00550C00"/>
    <w:rsid w:val="00550EAC"/>
    <w:rsid w:val="00554CCE"/>
    <w:rsid w:val="00557D85"/>
    <w:rsid w:val="00560679"/>
    <w:rsid w:val="00564AFC"/>
    <w:rsid w:val="00567D20"/>
    <w:rsid w:val="00571DA4"/>
    <w:rsid w:val="00572639"/>
    <w:rsid w:val="00573D06"/>
    <w:rsid w:val="005754A0"/>
    <w:rsid w:val="00575D78"/>
    <w:rsid w:val="005807C5"/>
    <w:rsid w:val="00585D92"/>
    <w:rsid w:val="00586275"/>
    <w:rsid w:val="0058668E"/>
    <w:rsid w:val="005901B6"/>
    <w:rsid w:val="005915FE"/>
    <w:rsid w:val="00596286"/>
    <w:rsid w:val="0059767B"/>
    <w:rsid w:val="005A02C9"/>
    <w:rsid w:val="005A0996"/>
    <w:rsid w:val="005A5506"/>
    <w:rsid w:val="005A6674"/>
    <w:rsid w:val="005A7ECF"/>
    <w:rsid w:val="005B16BE"/>
    <w:rsid w:val="005B4DAA"/>
    <w:rsid w:val="005C1A01"/>
    <w:rsid w:val="005C2071"/>
    <w:rsid w:val="005C2646"/>
    <w:rsid w:val="005C4281"/>
    <w:rsid w:val="005C5C92"/>
    <w:rsid w:val="005C67F0"/>
    <w:rsid w:val="005C73D3"/>
    <w:rsid w:val="005D658D"/>
    <w:rsid w:val="005D67B1"/>
    <w:rsid w:val="005E1047"/>
    <w:rsid w:val="005E1631"/>
    <w:rsid w:val="005E249B"/>
    <w:rsid w:val="005E3FB6"/>
    <w:rsid w:val="005E4880"/>
    <w:rsid w:val="005E551B"/>
    <w:rsid w:val="005E566C"/>
    <w:rsid w:val="005E6B12"/>
    <w:rsid w:val="005F37EC"/>
    <w:rsid w:val="005F5C66"/>
    <w:rsid w:val="005F5EA7"/>
    <w:rsid w:val="005F76E0"/>
    <w:rsid w:val="005F7F13"/>
    <w:rsid w:val="006003D5"/>
    <w:rsid w:val="00601477"/>
    <w:rsid w:val="0060237A"/>
    <w:rsid w:val="006024CD"/>
    <w:rsid w:val="00603AA7"/>
    <w:rsid w:val="00605DD1"/>
    <w:rsid w:val="00617BB3"/>
    <w:rsid w:val="00617C99"/>
    <w:rsid w:val="00617D1E"/>
    <w:rsid w:val="00620048"/>
    <w:rsid w:val="0062055A"/>
    <w:rsid w:val="00621935"/>
    <w:rsid w:val="00621B56"/>
    <w:rsid w:val="00622176"/>
    <w:rsid w:val="006226B9"/>
    <w:rsid w:val="00622BF9"/>
    <w:rsid w:val="0062619D"/>
    <w:rsid w:val="0062720D"/>
    <w:rsid w:val="00630716"/>
    <w:rsid w:val="00634FBE"/>
    <w:rsid w:val="006407C1"/>
    <w:rsid w:val="00641D30"/>
    <w:rsid w:val="006424C8"/>
    <w:rsid w:val="00650D8A"/>
    <w:rsid w:val="00651D6C"/>
    <w:rsid w:val="006523C4"/>
    <w:rsid w:val="00652B8B"/>
    <w:rsid w:val="0065536A"/>
    <w:rsid w:val="006560A4"/>
    <w:rsid w:val="00660794"/>
    <w:rsid w:val="0066181A"/>
    <w:rsid w:val="00661B66"/>
    <w:rsid w:val="00661C3E"/>
    <w:rsid w:val="00662072"/>
    <w:rsid w:val="00664B24"/>
    <w:rsid w:val="00666092"/>
    <w:rsid w:val="00666DBF"/>
    <w:rsid w:val="006670C5"/>
    <w:rsid w:val="00672244"/>
    <w:rsid w:val="00673A4C"/>
    <w:rsid w:val="0067612D"/>
    <w:rsid w:val="00676486"/>
    <w:rsid w:val="006804ED"/>
    <w:rsid w:val="00682DA3"/>
    <w:rsid w:val="00683207"/>
    <w:rsid w:val="006851DC"/>
    <w:rsid w:val="00687800"/>
    <w:rsid w:val="00690F1A"/>
    <w:rsid w:val="00690F3D"/>
    <w:rsid w:val="0069130C"/>
    <w:rsid w:val="006922E0"/>
    <w:rsid w:val="006932BB"/>
    <w:rsid w:val="006958A6"/>
    <w:rsid w:val="0069620D"/>
    <w:rsid w:val="00697E9E"/>
    <w:rsid w:val="00697ED5"/>
    <w:rsid w:val="006A05BD"/>
    <w:rsid w:val="006A0D41"/>
    <w:rsid w:val="006A388F"/>
    <w:rsid w:val="006A5732"/>
    <w:rsid w:val="006A5CCF"/>
    <w:rsid w:val="006A5E0C"/>
    <w:rsid w:val="006A5E9B"/>
    <w:rsid w:val="006A7850"/>
    <w:rsid w:val="006B1D81"/>
    <w:rsid w:val="006B606C"/>
    <w:rsid w:val="006B60F0"/>
    <w:rsid w:val="006B6B0C"/>
    <w:rsid w:val="006C587F"/>
    <w:rsid w:val="006C6343"/>
    <w:rsid w:val="006D0F7A"/>
    <w:rsid w:val="006D11E1"/>
    <w:rsid w:val="006E02DE"/>
    <w:rsid w:val="006E044B"/>
    <w:rsid w:val="006E0CB0"/>
    <w:rsid w:val="006F1541"/>
    <w:rsid w:val="006F6C0D"/>
    <w:rsid w:val="00701E67"/>
    <w:rsid w:val="0070364F"/>
    <w:rsid w:val="00710B94"/>
    <w:rsid w:val="00710FDC"/>
    <w:rsid w:val="00711263"/>
    <w:rsid w:val="007137BB"/>
    <w:rsid w:val="007236A6"/>
    <w:rsid w:val="007273D3"/>
    <w:rsid w:val="0073163A"/>
    <w:rsid w:val="00733FDB"/>
    <w:rsid w:val="00737BF2"/>
    <w:rsid w:val="00742EC8"/>
    <w:rsid w:val="00744921"/>
    <w:rsid w:val="007465DC"/>
    <w:rsid w:val="00752E12"/>
    <w:rsid w:val="007531F2"/>
    <w:rsid w:val="00754301"/>
    <w:rsid w:val="00754A07"/>
    <w:rsid w:val="00755415"/>
    <w:rsid w:val="00757F73"/>
    <w:rsid w:val="00760A79"/>
    <w:rsid w:val="00761E94"/>
    <w:rsid w:val="007623FE"/>
    <w:rsid w:val="00766A82"/>
    <w:rsid w:val="00766B1B"/>
    <w:rsid w:val="0076735F"/>
    <w:rsid w:val="007707DA"/>
    <w:rsid w:val="007713C5"/>
    <w:rsid w:val="00771E64"/>
    <w:rsid w:val="00774F85"/>
    <w:rsid w:val="00775FD2"/>
    <w:rsid w:val="0077635B"/>
    <w:rsid w:val="00781AB6"/>
    <w:rsid w:val="00781B02"/>
    <w:rsid w:val="00782E60"/>
    <w:rsid w:val="00783C2A"/>
    <w:rsid w:val="00785781"/>
    <w:rsid w:val="00785D3B"/>
    <w:rsid w:val="00785F74"/>
    <w:rsid w:val="007907B2"/>
    <w:rsid w:val="007944AA"/>
    <w:rsid w:val="00794E0C"/>
    <w:rsid w:val="00796228"/>
    <w:rsid w:val="0079724E"/>
    <w:rsid w:val="007A0853"/>
    <w:rsid w:val="007A1276"/>
    <w:rsid w:val="007A1B17"/>
    <w:rsid w:val="007A1B22"/>
    <w:rsid w:val="007A2179"/>
    <w:rsid w:val="007A2271"/>
    <w:rsid w:val="007A704F"/>
    <w:rsid w:val="007B20F2"/>
    <w:rsid w:val="007B570B"/>
    <w:rsid w:val="007B74CD"/>
    <w:rsid w:val="007C1339"/>
    <w:rsid w:val="007C28F2"/>
    <w:rsid w:val="007C2DEC"/>
    <w:rsid w:val="007C2E1F"/>
    <w:rsid w:val="007C3E56"/>
    <w:rsid w:val="007C4B92"/>
    <w:rsid w:val="007C606E"/>
    <w:rsid w:val="007D0C46"/>
    <w:rsid w:val="007D134A"/>
    <w:rsid w:val="007D3FF0"/>
    <w:rsid w:val="007E2C92"/>
    <w:rsid w:val="007E5FB9"/>
    <w:rsid w:val="00803729"/>
    <w:rsid w:val="00807596"/>
    <w:rsid w:val="00810B68"/>
    <w:rsid w:val="0081223C"/>
    <w:rsid w:val="00812E8E"/>
    <w:rsid w:val="0081495B"/>
    <w:rsid w:val="008159D4"/>
    <w:rsid w:val="008178E3"/>
    <w:rsid w:val="008206B5"/>
    <w:rsid w:val="0082445F"/>
    <w:rsid w:val="00826C2B"/>
    <w:rsid w:val="00827FC3"/>
    <w:rsid w:val="00830EC5"/>
    <w:rsid w:val="00834497"/>
    <w:rsid w:val="00842059"/>
    <w:rsid w:val="0084292F"/>
    <w:rsid w:val="00845401"/>
    <w:rsid w:val="008516E2"/>
    <w:rsid w:val="008547DB"/>
    <w:rsid w:val="008602A9"/>
    <w:rsid w:val="00861F3F"/>
    <w:rsid w:val="00862AB5"/>
    <w:rsid w:val="00864F00"/>
    <w:rsid w:val="00866754"/>
    <w:rsid w:val="00867078"/>
    <w:rsid w:val="00870F8E"/>
    <w:rsid w:val="0087171C"/>
    <w:rsid w:val="00873652"/>
    <w:rsid w:val="008800BB"/>
    <w:rsid w:val="00881A2F"/>
    <w:rsid w:val="008821AC"/>
    <w:rsid w:val="00882B8E"/>
    <w:rsid w:val="0088512D"/>
    <w:rsid w:val="00887825"/>
    <w:rsid w:val="0089054C"/>
    <w:rsid w:val="008909D2"/>
    <w:rsid w:val="00890A97"/>
    <w:rsid w:val="008A015A"/>
    <w:rsid w:val="008A219E"/>
    <w:rsid w:val="008A3B5D"/>
    <w:rsid w:val="008A49FA"/>
    <w:rsid w:val="008A558A"/>
    <w:rsid w:val="008A613D"/>
    <w:rsid w:val="008A6DDF"/>
    <w:rsid w:val="008A7AEA"/>
    <w:rsid w:val="008B03DE"/>
    <w:rsid w:val="008B3781"/>
    <w:rsid w:val="008B551C"/>
    <w:rsid w:val="008C2021"/>
    <w:rsid w:val="008C2734"/>
    <w:rsid w:val="008C4243"/>
    <w:rsid w:val="008C637F"/>
    <w:rsid w:val="008D12F6"/>
    <w:rsid w:val="008D1CD9"/>
    <w:rsid w:val="008D1E4E"/>
    <w:rsid w:val="008D3A74"/>
    <w:rsid w:val="008D53F6"/>
    <w:rsid w:val="008E1269"/>
    <w:rsid w:val="008E1CCB"/>
    <w:rsid w:val="008E1DE5"/>
    <w:rsid w:val="008E790C"/>
    <w:rsid w:val="008F1985"/>
    <w:rsid w:val="008F2A49"/>
    <w:rsid w:val="008F3DD1"/>
    <w:rsid w:val="008F5F0F"/>
    <w:rsid w:val="008F6C9F"/>
    <w:rsid w:val="008F7443"/>
    <w:rsid w:val="008F7643"/>
    <w:rsid w:val="009000F9"/>
    <w:rsid w:val="00900489"/>
    <w:rsid w:val="009016C7"/>
    <w:rsid w:val="00901C9F"/>
    <w:rsid w:val="00904C90"/>
    <w:rsid w:val="00904DA2"/>
    <w:rsid w:val="009100C4"/>
    <w:rsid w:val="00910710"/>
    <w:rsid w:val="009110AF"/>
    <w:rsid w:val="0091722E"/>
    <w:rsid w:val="009202F8"/>
    <w:rsid w:val="009205FC"/>
    <w:rsid w:val="00921F25"/>
    <w:rsid w:val="00922771"/>
    <w:rsid w:val="009249AA"/>
    <w:rsid w:val="00930166"/>
    <w:rsid w:val="00931171"/>
    <w:rsid w:val="00931A13"/>
    <w:rsid w:val="00931AFE"/>
    <w:rsid w:val="00932438"/>
    <w:rsid w:val="00932836"/>
    <w:rsid w:val="00934B38"/>
    <w:rsid w:val="0093571E"/>
    <w:rsid w:val="0093586E"/>
    <w:rsid w:val="00940E1F"/>
    <w:rsid w:val="00943338"/>
    <w:rsid w:val="009445E4"/>
    <w:rsid w:val="00945D86"/>
    <w:rsid w:val="00947550"/>
    <w:rsid w:val="0095010F"/>
    <w:rsid w:val="00951971"/>
    <w:rsid w:val="0095211F"/>
    <w:rsid w:val="0095221E"/>
    <w:rsid w:val="009559FD"/>
    <w:rsid w:val="00955C3D"/>
    <w:rsid w:val="00960C3E"/>
    <w:rsid w:val="0096118D"/>
    <w:rsid w:val="00966072"/>
    <w:rsid w:val="00967785"/>
    <w:rsid w:val="00973539"/>
    <w:rsid w:val="009743FC"/>
    <w:rsid w:val="00977083"/>
    <w:rsid w:val="009846B2"/>
    <w:rsid w:val="0098754F"/>
    <w:rsid w:val="009879FB"/>
    <w:rsid w:val="00987C47"/>
    <w:rsid w:val="00987DA8"/>
    <w:rsid w:val="0099087E"/>
    <w:rsid w:val="009918D6"/>
    <w:rsid w:val="00995900"/>
    <w:rsid w:val="00995AFD"/>
    <w:rsid w:val="009964D0"/>
    <w:rsid w:val="009A02C5"/>
    <w:rsid w:val="009A2097"/>
    <w:rsid w:val="009A311F"/>
    <w:rsid w:val="009B0695"/>
    <w:rsid w:val="009B130A"/>
    <w:rsid w:val="009B7C52"/>
    <w:rsid w:val="009C1E5E"/>
    <w:rsid w:val="009C229E"/>
    <w:rsid w:val="009C2DFA"/>
    <w:rsid w:val="009C3A66"/>
    <w:rsid w:val="009D027E"/>
    <w:rsid w:val="009D1E68"/>
    <w:rsid w:val="009D23A7"/>
    <w:rsid w:val="009D2DED"/>
    <w:rsid w:val="009D608F"/>
    <w:rsid w:val="009D6574"/>
    <w:rsid w:val="009E154A"/>
    <w:rsid w:val="009E3E18"/>
    <w:rsid w:val="009E71F9"/>
    <w:rsid w:val="009E7CB0"/>
    <w:rsid w:val="009F3988"/>
    <w:rsid w:val="009F548F"/>
    <w:rsid w:val="009F54BB"/>
    <w:rsid w:val="009F7AA1"/>
    <w:rsid w:val="00A0029B"/>
    <w:rsid w:val="00A02152"/>
    <w:rsid w:val="00A05CF1"/>
    <w:rsid w:val="00A11F55"/>
    <w:rsid w:val="00A12BF6"/>
    <w:rsid w:val="00A16C61"/>
    <w:rsid w:val="00A170C3"/>
    <w:rsid w:val="00A30EE9"/>
    <w:rsid w:val="00A33284"/>
    <w:rsid w:val="00A34751"/>
    <w:rsid w:val="00A35E53"/>
    <w:rsid w:val="00A379E1"/>
    <w:rsid w:val="00A4243B"/>
    <w:rsid w:val="00A440ED"/>
    <w:rsid w:val="00A454FF"/>
    <w:rsid w:val="00A5270D"/>
    <w:rsid w:val="00A54E67"/>
    <w:rsid w:val="00A6014F"/>
    <w:rsid w:val="00A63532"/>
    <w:rsid w:val="00A6437F"/>
    <w:rsid w:val="00A668CB"/>
    <w:rsid w:val="00A66ABA"/>
    <w:rsid w:val="00A7235C"/>
    <w:rsid w:val="00A736BC"/>
    <w:rsid w:val="00A74CDE"/>
    <w:rsid w:val="00A84513"/>
    <w:rsid w:val="00A84763"/>
    <w:rsid w:val="00A84CAA"/>
    <w:rsid w:val="00A84ED3"/>
    <w:rsid w:val="00A86760"/>
    <w:rsid w:val="00A87B0D"/>
    <w:rsid w:val="00A91C1C"/>
    <w:rsid w:val="00A923E2"/>
    <w:rsid w:val="00A92704"/>
    <w:rsid w:val="00AA131E"/>
    <w:rsid w:val="00AA19DA"/>
    <w:rsid w:val="00AA4C3B"/>
    <w:rsid w:val="00AA4C55"/>
    <w:rsid w:val="00AA552B"/>
    <w:rsid w:val="00AA7584"/>
    <w:rsid w:val="00AB197A"/>
    <w:rsid w:val="00AB1EFC"/>
    <w:rsid w:val="00AB2010"/>
    <w:rsid w:val="00AB6C4F"/>
    <w:rsid w:val="00AB7D8D"/>
    <w:rsid w:val="00AC082C"/>
    <w:rsid w:val="00AC5773"/>
    <w:rsid w:val="00AD2650"/>
    <w:rsid w:val="00AD6894"/>
    <w:rsid w:val="00AD729D"/>
    <w:rsid w:val="00AE1668"/>
    <w:rsid w:val="00AE1FEA"/>
    <w:rsid w:val="00AE25B9"/>
    <w:rsid w:val="00AE2867"/>
    <w:rsid w:val="00AE3501"/>
    <w:rsid w:val="00AF0A68"/>
    <w:rsid w:val="00AF4756"/>
    <w:rsid w:val="00AF5104"/>
    <w:rsid w:val="00AF5604"/>
    <w:rsid w:val="00AF78A9"/>
    <w:rsid w:val="00B00767"/>
    <w:rsid w:val="00B030B9"/>
    <w:rsid w:val="00B03D07"/>
    <w:rsid w:val="00B0418A"/>
    <w:rsid w:val="00B056CF"/>
    <w:rsid w:val="00B13AA2"/>
    <w:rsid w:val="00B17001"/>
    <w:rsid w:val="00B20B43"/>
    <w:rsid w:val="00B22685"/>
    <w:rsid w:val="00B23220"/>
    <w:rsid w:val="00B25A48"/>
    <w:rsid w:val="00B303C3"/>
    <w:rsid w:val="00B3103A"/>
    <w:rsid w:val="00B312AA"/>
    <w:rsid w:val="00B4571D"/>
    <w:rsid w:val="00B501E7"/>
    <w:rsid w:val="00B51C56"/>
    <w:rsid w:val="00B52B1E"/>
    <w:rsid w:val="00B53707"/>
    <w:rsid w:val="00B5442D"/>
    <w:rsid w:val="00B57481"/>
    <w:rsid w:val="00B62425"/>
    <w:rsid w:val="00B64548"/>
    <w:rsid w:val="00B64629"/>
    <w:rsid w:val="00B64829"/>
    <w:rsid w:val="00B66604"/>
    <w:rsid w:val="00B6701D"/>
    <w:rsid w:val="00B67E41"/>
    <w:rsid w:val="00B701B5"/>
    <w:rsid w:val="00B709C2"/>
    <w:rsid w:val="00B70A7F"/>
    <w:rsid w:val="00B71167"/>
    <w:rsid w:val="00B717F0"/>
    <w:rsid w:val="00B72A59"/>
    <w:rsid w:val="00B73889"/>
    <w:rsid w:val="00B825E2"/>
    <w:rsid w:val="00B859FD"/>
    <w:rsid w:val="00B85BCC"/>
    <w:rsid w:val="00B86BD1"/>
    <w:rsid w:val="00B874E5"/>
    <w:rsid w:val="00B93734"/>
    <w:rsid w:val="00B94EF1"/>
    <w:rsid w:val="00B962BB"/>
    <w:rsid w:val="00BA08ED"/>
    <w:rsid w:val="00BA0901"/>
    <w:rsid w:val="00BA264E"/>
    <w:rsid w:val="00BA2CA3"/>
    <w:rsid w:val="00BA49A0"/>
    <w:rsid w:val="00BA77A6"/>
    <w:rsid w:val="00BA7F39"/>
    <w:rsid w:val="00BB01D2"/>
    <w:rsid w:val="00BB0480"/>
    <w:rsid w:val="00BB08EA"/>
    <w:rsid w:val="00BB1620"/>
    <w:rsid w:val="00BB2509"/>
    <w:rsid w:val="00BB417A"/>
    <w:rsid w:val="00BB6510"/>
    <w:rsid w:val="00BC091D"/>
    <w:rsid w:val="00BC0DB6"/>
    <w:rsid w:val="00BC1C5A"/>
    <w:rsid w:val="00BC4E4A"/>
    <w:rsid w:val="00BC654C"/>
    <w:rsid w:val="00BD0BBC"/>
    <w:rsid w:val="00BD1782"/>
    <w:rsid w:val="00BD1890"/>
    <w:rsid w:val="00BD3E83"/>
    <w:rsid w:val="00BD68D6"/>
    <w:rsid w:val="00BD7E47"/>
    <w:rsid w:val="00BE13CA"/>
    <w:rsid w:val="00BE602C"/>
    <w:rsid w:val="00BE6B39"/>
    <w:rsid w:val="00BE71F3"/>
    <w:rsid w:val="00BF0C7C"/>
    <w:rsid w:val="00BF0DDB"/>
    <w:rsid w:val="00BF66D3"/>
    <w:rsid w:val="00C00341"/>
    <w:rsid w:val="00C024CE"/>
    <w:rsid w:val="00C05B08"/>
    <w:rsid w:val="00C1107F"/>
    <w:rsid w:val="00C13E0F"/>
    <w:rsid w:val="00C14847"/>
    <w:rsid w:val="00C17774"/>
    <w:rsid w:val="00C20505"/>
    <w:rsid w:val="00C215F7"/>
    <w:rsid w:val="00C229D1"/>
    <w:rsid w:val="00C22F05"/>
    <w:rsid w:val="00C30610"/>
    <w:rsid w:val="00C35FA4"/>
    <w:rsid w:val="00C3742E"/>
    <w:rsid w:val="00C37CC1"/>
    <w:rsid w:val="00C40A40"/>
    <w:rsid w:val="00C444CC"/>
    <w:rsid w:val="00C45187"/>
    <w:rsid w:val="00C46AF2"/>
    <w:rsid w:val="00C47AA5"/>
    <w:rsid w:val="00C51FEE"/>
    <w:rsid w:val="00C532B6"/>
    <w:rsid w:val="00C54E1F"/>
    <w:rsid w:val="00C62DBA"/>
    <w:rsid w:val="00C63BF3"/>
    <w:rsid w:val="00C641AE"/>
    <w:rsid w:val="00C6530A"/>
    <w:rsid w:val="00C7073C"/>
    <w:rsid w:val="00C72562"/>
    <w:rsid w:val="00C740B7"/>
    <w:rsid w:val="00C74A8B"/>
    <w:rsid w:val="00C75F3B"/>
    <w:rsid w:val="00C824E5"/>
    <w:rsid w:val="00C83C25"/>
    <w:rsid w:val="00C864D1"/>
    <w:rsid w:val="00C93BC7"/>
    <w:rsid w:val="00C94C09"/>
    <w:rsid w:val="00C955B4"/>
    <w:rsid w:val="00C95F5C"/>
    <w:rsid w:val="00C96DDE"/>
    <w:rsid w:val="00CA026E"/>
    <w:rsid w:val="00CA03A8"/>
    <w:rsid w:val="00CA07D0"/>
    <w:rsid w:val="00CA35BE"/>
    <w:rsid w:val="00CA6527"/>
    <w:rsid w:val="00CA78D0"/>
    <w:rsid w:val="00CB5F3A"/>
    <w:rsid w:val="00CB6C84"/>
    <w:rsid w:val="00CB6DC9"/>
    <w:rsid w:val="00CC2FB3"/>
    <w:rsid w:val="00CC46EB"/>
    <w:rsid w:val="00CC6185"/>
    <w:rsid w:val="00CD0F64"/>
    <w:rsid w:val="00CD64B1"/>
    <w:rsid w:val="00CD6FDD"/>
    <w:rsid w:val="00CE010F"/>
    <w:rsid w:val="00CE20DC"/>
    <w:rsid w:val="00CE23A3"/>
    <w:rsid w:val="00CE5A82"/>
    <w:rsid w:val="00CE7D0C"/>
    <w:rsid w:val="00CF09CE"/>
    <w:rsid w:val="00CF1199"/>
    <w:rsid w:val="00CF16E6"/>
    <w:rsid w:val="00CF21BD"/>
    <w:rsid w:val="00CF26BC"/>
    <w:rsid w:val="00CF3CCB"/>
    <w:rsid w:val="00CF6ACC"/>
    <w:rsid w:val="00D044E7"/>
    <w:rsid w:val="00D0559A"/>
    <w:rsid w:val="00D05713"/>
    <w:rsid w:val="00D05758"/>
    <w:rsid w:val="00D07A8E"/>
    <w:rsid w:val="00D11617"/>
    <w:rsid w:val="00D121AE"/>
    <w:rsid w:val="00D2064F"/>
    <w:rsid w:val="00D22B1A"/>
    <w:rsid w:val="00D238DE"/>
    <w:rsid w:val="00D35470"/>
    <w:rsid w:val="00D3686C"/>
    <w:rsid w:val="00D36F80"/>
    <w:rsid w:val="00D37FA9"/>
    <w:rsid w:val="00D418FC"/>
    <w:rsid w:val="00D42D25"/>
    <w:rsid w:val="00D44644"/>
    <w:rsid w:val="00D45326"/>
    <w:rsid w:val="00D459A9"/>
    <w:rsid w:val="00D45B33"/>
    <w:rsid w:val="00D4613D"/>
    <w:rsid w:val="00D46480"/>
    <w:rsid w:val="00D46A95"/>
    <w:rsid w:val="00D514DE"/>
    <w:rsid w:val="00D5245D"/>
    <w:rsid w:val="00D52B36"/>
    <w:rsid w:val="00D55A0C"/>
    <w:rsid w:val="00D57248"/>
    <w:rsid w:val="00D62937"/>
    <w:rsid w:val="00D65967"/>
    <w:rsid w:val="00D65FB3"/>
    <w:rsid w:val="00D66C97"/>
    <w:rsid w:val="00D73612"/>
    <w:rsid w:val="00D754C7"/>
    <w:rsid w:val="00D75F9E"/>
    <w:rsid w:val="00D76526"/>
    <w:rsid w:val="00D77340"/>
    <w:rsid w:val="00D77936"/>
    <w:rsid w:val="00D80C01"/>
    <w:rsid w:val="00D81EF6"/>
    <w:rsid w:val="00D8540C"/>
    <w:rsid w:val="00D9156E"/>
    <w:rsid w:val="00D92B1F"/>
    <w:rsid w:val="00D92C4E"/>
    <w:rsid w:val="00D930C1"/>
    <w:rsid w:val="00D93B9C"/>
    <w:rsid w:val="00D93BB6"/>
    <w:rsid w:val="00D95CBF"/>
    <w:rsid w:val="00D96E21"/>
    <w:rsid w:val="00DA370E"/>
    <w:rsid w:val="00DA4497"/>
    <w:rsid w:val="00DA6CD2"/>
    <w:rsid w:val="00DA7D2C"/>
    <w:rsid w:val="00DB37BC"/>
    <w:rsid w:val="00DB4D4C"/>
    <w:rsid w:val="00DB5550"/>
    <w:rsid w:val="00DB5A07"/>
    <w:rsid w:val="00DB680D"/>
    <w:rsid w:val="00DB70B4"/>
    <w:rsid w:val="00DB782B"/>
    <w:rsid w:val="00DC0490"/>
    <w:rsid w:val="00DC18EB"/>
    <w:rsid w:val="00DC2E1B"/>
    <w:rsid w:val="00DC718B"/>
    <w:rsid w:val="00DC7722"/>
    <w:rsid w:val="00DD01A6"/>
    <w:rsid w:val="00DD0ECB"/>
    <w:rsid w:val="00DD571F"/>
    <w:rsid w:val="00DD6273"/>
    <w:rsid w:val="00DE129C"/>
    <w:rsid w:val="00DE13A2"/>
    <w:rsid w:val="00DE1CD9"/>
    <w:rsid w:val="00DE4868"/>
    <w:rsid w:val="00DE6F87"/>
    <w:rsid w:val="00DF0A7E"/>
    <w:rsid w:val="00DF2BBC"/>
    <w:rsid w:val="00DF5EDA"/>
    <w:rsid w:val="00DF6725"/>
    <w:rsid w:val="00DF6886"/>
    <w:rsid w:val="00DF6B69"/>
    <w:rsid w:val="00DF7953"/>
    <w:rsid w:val="00DF7BC5"/>
    <w:rsid w:val="00E006F5"/>
    <w:rsid w:val="00E05601"/>
    <w:rsid w:val="00E073BD"/>
    <w:rsid w:val="00E10487"/>
    <w:rsid w:val="00E1130B"/>
    <w:rsid w:val="00E1272D"/>
    <w:rsid w:val="00E178BB"/>
    <w:rsid w:val="00E20CB6"/>
    <w:rsid w:val="00E217EB"/>
    <w:rsid w:val="00E22715"/>
    <w:rsid w:val="00E22976"/>
    <w:rsid w:val="00E257C0"/>
    <w:rsid w:val="00E27881"/>
    <w:rsid w:val="00E3011F"/>
    <w:rsid w:val="00E31910"/>
    <w:rsid w:val="00E341CB"/>
    <w:rsid w:val="00E3475C"/>
    <w:rsid w:val="00E347AC"/>
    <w:rsid w:val="00E350B7"/>
    <w:rsid w:val="00E35D6A"/>
    <w:rsid w:val="00E428A2"/>
    <w:rsid w:val="00E442E0"/>
    <w:rsid w:val="00E458F0"/>
    <w:rsid w:val="00E52FE0"/>
    <w:rsid w:val="00E530B8"/>
    <w:rsid w:val="00E546F5"/>
    <w:rsid w:val="00E55968"/>
    <w:rsid w:val="00E600B0"/>
    <w:rsid w:val="00E603F1"/>
    <w:rsid w:val="00E60B08"/>
    <w:rsid w:val="00E61061"/>
    <w:rsid w:val="00E6461A"/>
    <w:rsid w:val="00E66E35"/>
    <w:rsid w:val="00E71B00"/>
    <w:rsid w:val="00E71B05"/>
    <w:rsid w:val="00E71D1C"/>
    <w:rsid w:val="00E74382"/>
    <w:rsid w:val="00E8106F"/>
    <w:rsid w:val="00E90C36"/>
    <w:rsid w:val="00E923D3"/>
    <w:rsid w:val="00E940A9"/>
    <w:rsid w:val="00E94666"/>
    <w:rsid w:val="00E95FCD"/>
    <w:rsid w:val="00EA2B0C"/>
    <w:rsid w:val="00EA3154"/>
    <w:rsid w:val="00EA4F48"/>
    <w:rsid w:val="00EA6BEB"/>
    <w:rsid w:val="00EB067E"/>
    <w:rsid w:val="00EB17AE"/>
    <w:rsid w:val="00EB1992"/>
    <w:rsid w:val="00EB325C"/>
    <w:rsid w:val="00EB4289"/>
    <w:rsid w:val="00EC15BF"/>
    <w:rsid w:val="00EC18C6"/>
    <w:rsid w:val="00EC3A37"/>
    <w:rsid w:val="00EC3DB6"/>
    <w:rsid w:val="00EC6B9D"/>
    <w:rsid w:val="00EC7311"/>
    <w:rsid w:val="00ED6C30"/>
    <w:rsid w:val="00EE040A"/>
    <w:rsid w:val="00EE04F4"/>
    <w:rsid w:val="00EE1ED5"/>
    <w:rsid w:val="00EE1F60"/>
    <w:rsid w:val="00EE2B68"/>
    <w:rsid w:val="00EE398E"/>
    <w:rsid w:val="00EE7288"/>
    <w:rsid w:val="00EF2B1B"/>
    <w:rsid w:val="00EF312A"/>
    <w:rsid w:val="00EF7573"/>
    <w:rsid w:val="00F00829"/>
    <w:rsid w:val="00F02A10"/>
    <w:rsid w:val="00F044B4"/>
    <w:rsid w:val="00F06257"/>
    <w:rsid w:val="00F070F3"/>
    <w:rsid w:val="00F10419"/>
    <w:rsid w:val="00F12F65"/>
    <w:rsid w:val="00F1392D"/>
    <w:rsid w:val="00F1409F"/>
    <w:rsid w:val="00F1463E"/>
    <w:rsid w:val="00F212AE"/>
    <w:rsid w:val="00F213EC"/>
    <w:rsid w:val="00F21418"/>
    <w:rsid w:val="00F23A8F"/>
    <w:rsid w:val="00F26293"/>
    <w:rsid w:val="00F33E9F"/>
    <w:rsid w:val="00F34B12"/>
    <w:rsid w:val="00F34FEA"/>
    <w:rsid w:val="00F37EA0"/>
    <w:rsid w:val="00F42375"/>
    <w:rsid w:val="00F427E6"/>
    <w:rsid w:val="00F52502"/>
    <w:rsid w:val="00F52A2F"/>
    <w:rsid w:val="00F5618B"/>
    <w:rsid w:val="00F57131"/>
    <w:rsid w:val="00F578F1"/>
    <w:rsid w:val="00F60D02"/>
    <w:rsid w:val="00F6281D"/>
    <w:rsid w:val="00F638C0"/>
    <w:rsid w:val="00F64944"/>
    <w:rsid w:val="00F654E7"/>
    <w:rsid w:val="00F65635"/>
    <w:rsid w:val="00F66CEF"/>
    <w:rsid w:val="00F72057"/>
    <w:rsid w:val="00F7501B"/>
    <w:rsid w:val="00F80A73"/>
    <w:rsid w:val="00F82382"/>
    <w:rsid w:val="00F824AC"/>
    <w:rsid w:val="00F825F8"/>
    <w:rsid w:val="00F82E5B"/>
    <w:rsid w:val="00F83E93"/>
    <w:rsid w:val="00F862C9"/>
    <w:rsid w:val="00F87A8A"/>
    <w:rsid w:val="00F940F6"/>
    <w:rsid w:val="00F94500"/>
    <w:rsid w:val="00FA01F2"/>
    <w:rsid w:val="00FA2A22"/>
    <w:rsid w:val="00FA6F55"/>
    <w:rsid w:val="00FB0EA3"/>
    <w:rsid w:val="00FB4519"/>
    <w:rsid w:val="00FB6808"/>
    <w:rsid w:val="00FB69EE"/>
    <w:rsid w:val="00FC699F"/>
    <w:rsid w:val="00FC6BFE"/>
    <w:rsid w:val="00FC6FA3"/>
    <w:rsid w:val="00FC6FBC"/>
    <w:rsid w:val="00FD3714"/>
    <w:rsid w:val="00FD6901"/>
    <w:rsid w:val="00FD745E"/>
    <w:rsid w:val="00FD7B24"/>
    <w:rsid w:val="00FE0093"/>
    <w:rsid w:val="00FE082D"/>
    <w:rsid w:val="00FE1EA8"/>
    <w:rsid w:val="00FE4F59"/>
    <w:rsid w:val="00FE5786"/>
    <w:rsid w:val="00FF167E"/>
    <w:rsid w:val="00FF2BC6"/>
    <w:rsid w:val="00FF6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FC3A"/>
  <w15:chartTrackingRefBased/>
  <w15:docId w15:val="{13BB4446-273A-4C2F-BE65-C9E5728B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3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3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3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3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3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3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38A"/>
    <w:rPr>
      <w:rFonts w:eastAsiaTheme="majorEastAsia" w:cstheme="majorBidi"/>
      <w:color w:val="272727" w:themeColor="text1" w:themeTint="D8"/>
    </w:rPr>
  </w:style>
  <w:style w:type="paragraph" w:styleId="Title">
    <w:name w:val="Title"/>
    <w:basedOn w:val="Normal"/>
    <w:next w:val="Normal"/>
    <w:link w:val="TitleChar"/>
    <w:uiPriority w:val="10"/>
    <w:qFormat/>
    <w:rsid w:val="00390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38A"/>
    <w:pPr>
      <w:spacing w:before="160"/>
      <w:jc w:val="center"/>
    </w:pPr>
    <w:rPr>
      <w:i/>
      <w:iCs/>
      <w:color w:val="404040" w:themeColor="text1" w:themeTint="BF"/>
    </w:rPr>
  </w:style>
  <w:style w:type="character" w:customStyle="1" w:styleId="QuoteChar">
    <w:name w:val="Quote Char"/>
    <w:basedOn w:val="DefaultParagraphFont"/>
    <w:link w:val="Quote"/>
    <w:uiPriority w:val="29"/>
    <w:rsid w:val="0039038A"/>
    <w:rPr>
      <w:i/>
      <w:iCs/>
      <w:color w:val="404040" w:themeColor="text1" w:themeTint="BF"/>
    </w:rPr>
  </w:style>
  <w:style w:type="paragraph" w:styleId="ListParagraph">
    <w:name w:val="List Paragraph"/>
    <w:basedOn w:val="Normal"/>
    <w:uiPriority w:val="34"/>
    <w:qFormat/>
    <w:rsid w:val="0039038A"/>
    <w:pPr>
      <w:ind w:left="720"/>
      <w:contextualSpacing/>
    </w:pPr>
  </w:style>
  <w:style w:type="character" w:styleId="IntenseEmphasis">
    <w:name w:val="Intense Emphasis"/>
    <w:basedOn w:val="DefaultParagraphFont"/>
    <w:uiPriority w:val="21"/>
    <w:qFormat/>
    <w:rsid w:val="0039038A"/>
    <w:rPr>
      <w:i/>
      <w:iCs/>
      <w:color w:val="0F4761" w:themeColor="accent1" w:themeShade="BF"/>
    </w:rPr>
  </w:style>
  <w:style w:type="paragraph" w:styleId="IntenseQuote">
    <w:name w:val="Intense Quote"/>
    <w:basedOn w:val="Normal"/>
    <w:next w:val="Normal"/>
    <w:link w:val="IntenseQuoteChar"/>
    <w:uiPriority w:val="30"/>
    <w:qFormat/>
    <w:rsid w:val="00390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38A"/>
    <w:rPr>
      <w:i/>
      <w:iCs/>
      <w:color w:val="0F4761" w:themeColor="accent1" w:themeShade="BF"/>
    </w:rPr>
  </w:style>
  <w:style w:type="character" w:styleId="IntenseReference">
    <w:name w:val="Intense Reference"/>
    <w:basedOn w:val="DefaultParagraphFont"/>
    <w:uiPriority w:val="32"/>
    <w:qFormat/>
    <w:rsid w:val="0039038A"/>
    <w:rPr>
      <w:b/>
      <w:bCs/>
      <w:smallCaps/>
      <w:color w:val="0F4761" w:themeColor="accent1" w:themeShade="BF"/>
      <w:spacing w:val="5"/>
    </w:rPr>
  </w:style>
  <w:style w:type="paragraph" w:styleId="Header">
    <w:name w:val="header"/>
    <w:basedOn w:val="Normal"/>
    <w:link w:val="HeaderChar"/>
    <w:uiPriority w:val="99"/>
    <w:unhideWhenUsed/>
    <w:rsid w:val="00EA3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154"/>
  </w:style>
  <w:style w:type="paragraph" w:styleId="Footer">
    <w:name w:val="footer"/>
    <w:basedOn w:val="Normal"/>
    <w:link w:val="FooterChar"/>
    <w:uiPriority w:val="99"/>
    <w:unhideWhenUsed/>
    <w:rsid w:val="00EA31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154"/>
  </w:style>
  <w:style w:type="character" w:styleId="Hyperlink">
    <w:name w:val="Hyperlink"/>
    <w:basedOn w:val="DefaultParagraphFont"/>
    <w:uiPriority w:val="99"/>
    <w:unhideWhenUsed/>
    <w:rsid w:val="00E1272D"/>
    <w:rPr>
      <w:color w:val="467886" w:themeColor="hyperlink"/>
      <w:u w:val="single"/>
    </w:rPr>
  </w:style>
  <w:style w:type="character" w:styleId="UnresolvedMention">
    <w:name w:val="Unresolved Mention"/>
    <w:basedOn w:val="DefaultParagraphFont"/>
    <w:uiPriority w:val="99"/>
    <w:semiHidden/>
    <w:unhideWhenUsed/>
    <w:rsid w:val="00E1272D"/>
    <w:rPr>
      <w:color w:val="605E5C"/>
      <w:shd w:val="clear" w:color="auto" w:fill="E1DFDD"/>
    </w:rPr>
  </w:style>
  <w:style w:type="paragraph" w:styleId="FootnoteText">
    <w:name w:val="footnote text"/>
    <w:basedOn w:val="Normal"/>
    <w:link w:val="FootnoteTextChar"/>
    <w:uiPriority w:val="99"/>
    <w:semiHidden/>
    <w:unhideWhenUsed/>
    <w:rsid w:val="002B1F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F31"/>
    <w:rPr>
      <w:sz w:val="20"/>
      <w:szCs w:val="20"/>
    </w:rPr>
  </w:style>
  <w:style w:type="character" w:styleId="FootnoteReference">
    <w:name w:val="footnote reference"/>
    <w:basedOn w:val="DefaultParagraphFont"/>
    <w:uiPriority w:val="99"/>
    <w:semiHidden/>
    <w:unhideWhenUsed/>
    <w:rsid w:val="002B1F31"/>
    <w:rPr>
      <w:vertAlign w:val="superscript"/>
    </w:rPr>
  </w:style>
  <w:style w:type="paragraph" w:styleId="Revision">
    <w:name w:val="Revision"/>
    <w:hidden/>
    <w:uiPriority w:val="99"/>
    <w:semiHidden/>
    <w:rsid w:val="00866754"/>
    <w:pPr>
      <w:spacing w:after="0" w:line="240" w:lineRule="auto"/>
    </w:pPr>
  </w:style>
  <w:style w:type="character" w:styleId="CommentReference">
    <w:name w:val="annotation reference"/>
    <w:basedOn w:val="DefaultParagraphFont"/>
    <w:uiPriority w:val="99"/>
    <w:semiHidden/>
    <w:unhideWhenUsed/>
    <w:rsid w:val="004B44AF"/>
    <w:rPr>
      <w:sz w:val="16"/>
      <w:szCs w:val="16"/>
    </w:rPr>
  </w:style>
  <w:style w:type="paragraph" w:styleId="CommentText">
    <w:name w:val="annotation text"/>
    <w:basedOn w:val="Normal"/>
    <w:link w:val="CommentTextChar"/>
    <w:uiPriority w:val="99"/>
    <w:unhideWhenUsed/>
    <w:rsid w:val="004B44AF"/>
    <w:pPr>
      <w:spacing w:line="240" w:lineRule="auto"/>
    </w:pPr>
    <w:rPr>
      <w:sz w:val="20"/>
      <w:szCs w:val="20"/>
    </w:rPr>
  </w:style>
  <w:style w:type="character" w:customStyle="1" w:styleId="CommentTextChar">
    <w:name w:val="Comment Text Char"/>
    <w:basedOn w:val="DefaultParagraphFont"/>
    <w:link w:val="CommentText"/>
    <w:uiPriority w:val="99"/>
    <w:rsid w:val="004B44AF"/>
    <w:rPr>
      <w:sz w:val="20"/>
      <w:szCs w:val="20"/>
    </w:rPr>
  </w:style>
  <w:style w:type="paragraph" w:styleId="CommentSubject">
    <w:name w:val="annotation subject"/>
    <w:basedOn w:val="CommentText"/>
    <w:next w:val="CommentText"/>
    <w:link w:val="CommentSubjectChar"/>
    <w:uiPriority w:val="99"/>
    <w:semiHidden/>
    <w:unhideWhenUsed/>
    <w:rsid w:val="004B44AF"/>
    <w:rPr>
      <w:b/>
      <w:bCs/>
    </w:rPr>
  </w:style>
  <w:style w:type="character" w:customStyle="1" w:styleId="CommentSubjectChar">
    <w:name w:val="Comment Subject Char"/>
    <w:basedOn w:val="CommentTextChar"/>
    <w:link w:val="CommentSubject"/>
    <w:uiPriority w:val="99"/>
    <w:semiHidden/>
    <w:rsid w:val="004B44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7062">
      <w:bodyDiv w:val="1"/>
      <w:marLeft w:val="0"/>
      <w:marRight w:val="0"/>
      <w:marTop w:val="0"/>
      <w:marBottom w:val="0"/>
      <w:divBdr>
        <w:top w:val="none" w:sz="0" w:space="0" w:color="auto"/>
        <w:left w:val="none" w:sz="0" w:space="0" w:color="auto"/>
        <w:bottom w:val="none" w:sz="0" w:space="0" w:color="auto"/>
        <w:right w:val="none" w:sz="0" w:space="0" w:color="auto"/>
      </w:divBdr>
      <w:divsChild>
        <w:div w:id="1590194298">
          <w:marLeft w:val="0"/>
          <w:marRight w:val="0"/>
          <w:marTop w:val="0"/>
          <w:marBottom w:val="0"/>
          <w:divBdr>
            <w:top w:val="none" w:sz="0" w:space="0" w:color="auto"/>
            <w:left w:val="none" w:sz="0" w:space="0" w:color="auto"/>
            <w:bottom w:val="none" w:sz="0" w:space="0" w:color="auto"/>
            <w:right w:val="none" w:sz="0" w:space="0" w:color="auto"/>
          </w:divBdr>
        </w:div>
      </w:divsChild>
    </w:div>
    <w:div w:id="740641720">
      <w:bodyDiv w:val="1"/>
      <w:marLeft w:val="0"/>
      <w:marRight w:val="0"/>
      <w:marTop w:val="0"/>
      <w:marBottom w:val="0"/>
      <w:divBdr>
        <w:top w:val="none" w:sz="0" w:space="0" w:color="auto"/>
        <w:left w:val="none" w:sz="0" w:space="0" w:color="auto"/>
        <w:bottom w:val="none" w:sz="0" w:space="0" w:color="auto"/>
        <w:right w:val="none" w:sz="0" w:space="0" w:color="auto"/>
      </w:divBdr>
      <w:divsChild>
        <w:div w:id="1888174960">
          <w:marLeft w:val="0"/>
          <w:marRight w:val="0"/>
          <w:marTop w:val="0"/>
          <w:marBottom w:val="0"/>
          <w:divBdr>
            <w:top w:val="none" w:sz="0" w:space="0" w:color="auto"/>
            <w:left w:val="none" w:sz="0" w:space="0" w:color="auto"/>
            <w:bottom w:val="none" w:sz="0" w:space="0" w:color="auto"/>
            <w:right w:val="none" w:sz="0" w:space="0" w:color="auto"/>
          </w:divBdr>
        </w:div>
      </w:divsChild>
    </w:div>
    <w:div w:id="851995281">
      <w:bodyDiv w:val="1"/>
      <w:marLeft w:val="0"/>
      <w:marRight w:val="0"/>
      <w:marTop w:val="0"/>
      <w:marBottom w:val="0"/>
      <w:divBdr>
        <w:top w:val="none" w:sz="0" w:space="0" w:color="auto"/>
        <w:left w:val="none" w:sz="0" w:space="0" w:color="auto"/>
        <w:bottom w:val="none" w:sz="0" w:space="0" w:color="auto"/>
        <w:right w:val="none" w:sz="0" w:space="0" w:color="auto"/>
      </w:divBdr>
      <w:divsChild>
        <w:div w:id="394546980">
          <w:marLeft w:val="0"/>
          <w:marRight w:val="0"/>
          <w:marTop w:val="0"/>
          <w:marBottom w:val="0"/>
          <w:divBdr>
            <w:top w:val="none" w:sz="0" w:space="0" w:color="auto"/>
            <w:left w:val="none" w:sz="0" w:space="0" w:color="auto"/>
            <w:bottom w:val="none" w:sz="0" w:space="0" w:color="auto"/>
            <w:right w:val="none" w:sz="0" w:space="0" w:color="auto"/>
          </w:divBdr>
        </w:div>
      </w:divsChild>
    </w:div>
    <w:div w:id="918946773">
      <w:bodyDiv w:val="1"/>
      <w:marLeft w:val="0"/>
      <w:marRight w:val="0"/>
      <w:marTop w:val="0"/>
      <w:marBottom w:val="0"/>
      <w:divBdr>
        <w:top w:val="none" w:sz="0" w:space="0" w:color="auto"/>
        <w:left w:val="none" w:sz="0" w:space="0" w:color="auto"/>
        <w:bottom w:val="none" w:sz="0" w:space="0" w:color="auto"/>
        <w:right w:val="none" w:sz="0" w:space="0" w:color="auto"/>
      </w:divBdr>
      <w:divsChild>
        <w:div w:id="233903484">
          <w:marLeft w:val="0"/>
          <w:marRight w:val="0"/>
          <w:marTop w:val="0"/>
          <w:marBottom w:val="0"/>
          <w:divBdr>
            <w:top w:val="none" w:sz="0" w:space="0" w:color="auto"/>
            <w:left w:val="none" w:sz="0" w:space="0" w:color="auto"/>
            <w:bottom w:val="none" w:sz="0" w:space="0" w:color="auto"/>
            <w:right w:val="none" w:sz="0" w:space="0" w:color="auto"/>
          </w:divBdr>
        </w:div>
      </w:divsChild>
    </w:div>
    <w:div w:id="982270946">
      <w:bodyDiv w:val="1"/>
      <w:marLeft w:val="0"/>
      <w:marRight w:val="0"/>
      <w:marTop w:val="0"/>
      <w:marBottom w:val="0"/>
      <w:divBdr>
        <w:top w:val="none" w:sz="0" w:space="0" w:color="auto"/>
        <w:left w:val="none" w:sz="0" w:space="0" w:color="auto"/>
        <w:bottom w:val="none" w:sz="0" w:space="0" w:color="auto"/>
        <w:right w:val="none" w:sz="0" w:space="0" w:color="auto"/>
      </w:divBdr>
      <w:divsChild>
        <w:div w:id="1450394363">
          <w:marLeft w:val="0"/>
          <w:marRight w:val="0"/>
          <w:marTop w:val="0"/>
          <w:marBottom w:val="0"/>
          <w:divBdr>
            <w:top w:val="none" w:sz="0" w:space="0" w:color="auto"/>
            <w:left w:val="none" w:sz="0" w:space="0" w:color="auto"/>
            <w:bottom w:val="none" w:sz="0" w:space="0" w:color="auto"/>
            <w:right w:val="none" w:sz="0" w:space="0" w:color="auto"/>
          </w:divBdr>
        </w:div>
      </w:divsChild>
    </w:div>
    <w:div w:id="1044258719">
      <w:bodyDiv w:val="1"/>
      <w:marLeft w:val="0"/>
      <w:marRight w:val="0"/>
      <w:marTop w:val="0"/>
      <w:marBottom w:val="0"/>
      <w:divBdr>
        <w:top w:val="none" w:sz="0" w:space="0" w:color="auto"/>
        <w:left w:val="none" w:sz="0" w:space="0" w:color="auto"/>
        <w:bottom w:val="none" w:sz="0" w:space="0" w:color="auto"/>
        <w:right w:val="none" w:sz="0" w:space="0" w:color="auto"/>
      </w:divBdr>
      <w:divsChild>
        <w:div w:id="1700160831">
          <w:marLeft w:val="0"/>
          <w:marRight w:val="0"/>
          <w:marTop w:val="0"/>
          <w:marBottom w:val="0"/>
          <w:divBdr>
            <w:top w:val="none" w:sz="0" w:space="0" w:color="auto"/>
            <w:left w:val="none" w:sz="0" w:space="0" w:color="auto"/>
            <w:bottom w:val="none" w:sz="0" w:space="0" w:color="auto"/>
            <w:right w:val="none" w:sz="0" w:space="0" w:color="auto"/>
          </w:divBdr>
        </w:div>
      </w:divsChild>
    </w:div>
    <w:div w:id="1053775945">
      <w:bodyDiv w:val="1"/>
      <w:marLeft w:val="0"/>
      <w:marRight w:val="0"/>
      <w:marTop w:val="0"/>
      <w:marBottom w:val="0"/>
      <w:divBdr>
        <w:top w:val="none" w:sz="0" w:space="0" w:color="auto"/>
        <w:left w:val="none" w:sz="0" w:space="0" w:color="auto"/>
        <w:bottom w:val="none" w:sz="0" w:space="0" w:color="auto"/>
        <w:right w:val="none" w:sz="0" w:space="0" w:color="auto"/>
      </w:divBdr>
      <w:divsChild>
        <w:div w:id="168565256">
          <w:marLeft w:val="0"/>
          <w:marRight w:val="0"/>
          <w:marTop w:val="0"/>
          <w:marBottom w:val="0"/>
          <w:divBdr>
            <w:top w:val="none" w:sz="0" w:space="0" w:color="auto"/>
            <w:left w:val="none" w:sz="0" w:space="0" w:color="auto"/>
            <w:bottom w:val="none" w:sz="0" w:space="0" w:color="auto"/>
            <w:right w:val="none" w:sz="0" w:space="0" w:color="auto"/>
          </w:divBdr>
        </w:div>
      </w:divsChild>
    </w:div>
    <w:div w:id="1717773852">
      <w:bodyDiv w:val="1"/>
      <w:marLeft w:val="0"/>
      <w:marRight w:val="0"/>
      <w:marTop w:val="0"/>
      <w:marBottom w:val="0"/>
      <w:divBdr>
        <w:top w:val="none" w:sz="0" w:space="0" w:color="auto"/>
        <w:left w:val="none" w:sz="0" w:space="0" w:color="auto"/>
        <w:bottom w:val="none" w:sz="0" w:space="0" w:color="auto"/>
        <w:right w:val="none" w:sz="0" w:space="0" w:color="auto"/>
      </w:divBdr>
      <w:divsChild>
        <w:div w:id="668168489">
          <w:marLeft w:val="0"/>
          <w:marRight w:val="0"/>
          <w:marTop w:val="0"/>
          <w:marBottom w:val="0"/>
          <w:divBdr>
            <w:top w:val="none" w:sz="0" w:space="0" w:color="auto"/>
            <w:left w:val="none" w:sz="0" w:space="0" w:color="auto"/>
            <w:bottom w:val="none" w:sz="0" w:space="0" w:color="auto"/>
            <w:right w:val="none" w:sz="0" w:space="0" w:color="auto"/>
          </w:divBdr>
        </w:div>
      </w:divsChild>
    </w:div>
    <w:div w:id="1917133159">
      <w:bodyDiv w:val="1"/>
      <w:marLeft w:val="0"/>
      <w:marRight w:val="0"/>
      <w:marTop w:val="0"/>
      <w:marBottom w:val="0"/>
      <w:divBdr>
        <w:top w:val="none" w:sz="0" w:space="0" w:color="auto"/>
        <w:left w:val="none" w:sz="0" w:space="0" w:color="auto"/>
        <w:bottom w:val="none" w:sz="0" w:space="0" w:color="auto"/>
        <w:right w:val="none" w:sz="0" w:space="0" w:color="auto"/>
      </w:divBdr>
      <w:divsChild>
        <w:div w:id="620308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cquillon@uea.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8B7B8-2A19-4E96-8CA9-4CC069C7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3541</Words>
  <Characters>20187</Characters>
  <Application>Microsoft Office Word</Application>
  <DocSecurity>0</DocSecurity>
  <Lines>168</Lines>
  <Paragraphs>47</Paragraphs>
  <ScaleCrop>false</ScaleCrop>
  <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Boc</dc:creator>
  <cp:keywords/>
  <dc:description/>
  <cp:lastModifiedBy>Pierre Boc</cp:lastModifiedBy>
  <cp:revision>4</cp:revision>
  <dcterms:created xsi:type="dcterms:W3CDTF">2024-04-23T09:39:00Z</dcterms:created>
  <dcterms:modified xsi:type="dcterms:W3CDTF">2024-04-23T09:39:00Z</dcterms:modified>
</cp:coreProperties>
</file>