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9DECF" w14:textId="4B5D1E07" w:rsidR="005059B1" w:rsidRPr="00D87DBA" w:rsidRDefault="005059B1" w:rsidP="00C54155">
      <w:pPr>
        <w:pStyle w:val="NoSpacing"/>
        <w:spacing w:line="480" w:lineRule="auto"/>
        <w:jc w:val="both"/>
        <w:rPr>
          <w:rFonts w:ascii="Times New Roman" w:hAnsi="Times New Roman" w:cs="Times New Roman"/>
          <w:b/>
          <w:sz w:val="24"/>
          <w:szCs w:val="24"/>
        </w:rPr>
      </w:pPr>
      <w:r w:rsidRPr="00D87DBA">
        <w:rPr>
          <w:rFonts w:ascii="Times New Roman" w:hAnsi="Times New Roman" w:cs="Times New Roman"/>
          <w:b/>
          <w:sz w:val="24"/>
          <w:szCs w:val="24"/>
          <w:u w:val="single"/>
        </w:rPr>
        <w:t>S</w:t>
      </w:r>
      <w:r w:rsidRPr="00D87DBA">
        <w:rPr>
          <w:rFonts w:ascii="Times New Roman" w:hAnsi="Times New Roman" w:cs="Times New Roman"/>
          <w:b/>
          <w:sz w:val="24"/>
          <w:szCs w:val="24"/>
        </w:rPr>
        <w:t xml:space="preserve">afety of </w:t>
      </w:r>
      <w:r w:rsidRPr="00D87DBA">
        <w:rPr>
          <w:rFonts w:ascii="Times New Roman" w:hAnsi="Times New Roman" w:cs="Times New Roman"/>
          <w:b/>
          <w:sz w:val="24"/>
          <w:szCs w:val="24"/>
          <w:u w:val="single"/>
        </w:rPr>
        <w:t>pa</w:t>
      </w:r>
      <w:r w:rsidRPr="00D87DBA">
        <w:rPr>
          <w:rFonts w:ascii="Times New Roman" w:hAnsi="Times New Roman" w:cs="Times New Roman"/>
          <w:b/>
          <w:sz w:val="24"/>
          <w:szCs w:val="24"/>
        </w:rPr>
        <w:t>clitaxel d</w:t>
      </w:r>
      <w:r w:rsidRPr="00D87DBA">
        <w:rPr>
          <w:rFonts w:ascii="Times New Roman" w:hAnsi="Times New Roman" w:cs="Times New Roman"/>
          <w:b/>
          <w:sz w:val="24"/>
          <w:szCs w:val="24"/>
          <w:u w:val="single"/>
        </w:rPr>
        <w:t>r</w:t>
      </w:r>
      <w:r w:rsidRPr="00D87DBA">
        <w:rPr>
          <w:rFonts w:ascii="Times New Roman" w:hAnsi="Times New Roman" w:cs="Times New Roman"/>
          <w:b/>
          <w:sz w:val="24"/>
          <w:szCs w:val="24"/>
        </w:rPr>
        <w:t>ug coa</w:t>
      </w:r>
      <w:r w:rsidRPr="00D87DBA">
        <w:rPr>
          <w:rFonts w:ascii="Times New Roman" w:hAnsi="Times New Roman" w:cs="Times New Roman"/>
          <w:b/>
          <w:sz w:val="24"/>
          <w:szCs w:val="24"/>
          <w:u w:val="single"/>
        </w:rPr>
        <w:t>t</w:t>
      </w:r>
      <w:r w:rsidRPr="00D87DBA">
        <w:rPr>
          <w:rFonts w:ascii="Times New Roman" w:hAnsi="Times New Roman" w:cs="Times New Roman"/>
          <w:b/>
          <w:sz w:val="24"/>
          <w:szCs w:val="24"/>
        </w:rPr>
        <w:t xml:space="preserve">ed balloon only </w:t>
      </w:r>
      <w:r w:rsidRPr="00D87DBA">
        <w:rPr>
          <w:rFonts w:ascii="Times New Roman" w:hAnsi="Times New Roman" w:cs="Times New Roman"/>
          <w:b/>
          <w:sz w:val="24"/>
          <w:szCs w:val="24"/>
          <w:u w:val="single"/>
        </w:rPr>
        <w:t>an</w:t>
      </w:r>
      <w:r w:rsidRPr="00D87DBA">
        <w:rPr>
          <w:rFonts w:ascii="Times New Roman" w:hAnsi="Times New Roman" w:cs="Times New Roman"/>
          <w:b/>
          <w:sz w:val="24"/>
          <w:szCs w:val="24"/>
        </w:rPr>
        <w:t>gioplasty in</w:t>
      </w:r>
      <w:r w:rsidR="002A72E6" w:rsidRPr="00D87DBA">
        <w:rPr>
          <w:rFonts w:ascii="Times New Roman" w:hAnsi="Times New Roman" w:cs="Times New Roman"/>
          <w:b/>
          <w:sz w:val="24"/>
          <w:szCs w:val="24"/>
        </w:rPr>
        <w:t xml:space="preserve"> STEMI</w:t>
      </w:r>
    </w:p>
    <w:p w14:paraId="44C57F58" w14:textId="6E614201" w:rsidR="005059B1" w:rsidRPr="00D87DBA" w:rsidRDefault="00C54155" w:rsidP="00C54155">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Short</w:t>
      </w:r>
      <w:r w:rsidR="002A72E6" w:rsidRPr="00D87DBA">
        <w:rPr>
          <w:rFonts w:ascii="Times New Roman" w:hAnsi="Times New Roman" w:cs="Times New Roman"/>
          <w:b/>
          <w:sz w:val="24"/>
          <w:szCs w:val="24"/>
        </w:rPr>
        <w:t xml:space="preserve"> title: Safety of DCB angioplasty in STEMI</w:t>
      </w:r>
    </w:p>
    <w:p w14:paraId="67B32C22" w14:textId="77777777" w:rsidR="005059B1" w:rsidRPr="00D87DBA" w:rsidRDefault="005059B1" w:rsidP="00C54155">
      <w:pPr>
        <w:pStyle w:val="NoSpacing"/>
        <w:spacing w:line="480" w:lineRule="auto"/>
        <w:jc w:val="both"/>
        <w:rPr>
          <w:rFonts w:ascii="Times New Roman" w:hAnsi="Times New Roman" w:cs="Times New Roman"/>
          <w:sz w:val="24"/>
          <w:szCs w:val="24"/>
        </w:rPr>
      </w:pPr>
    </w:p>
    <w:p w14:paraId="5FB0F409" w14:textId="514A715D" w:rsidR="005059B1" w:rsidRPr="00D87DBA" w:rsidRDefault="005059B1" w:rsidP="00C54155">
      <w:pPr>
        <w:pStyle w:val="NoSpacing"/>
        <w:spacing w:line="480" w:lineRule="auto"/>
        <w:jc w:val="both"/>
        <w:rPr>
          <w:rFonts w:ascii="Times New Roman" w:hAnsi="Times New Roman" w:cs="Times New Roman"/>
          <w:sz w:val="24"/>
          <w:szCs w:val="24"/>
        </w:rPr>
      </w:pPr>
      <w:r w:rsidRPr="00D87DBA">
        <w:rPr>
          <w:rFonts w:ascii="Times New Roman" w:hAnsi="Times New Roman" w:cs="Times New Roman"/>
          <w:sz w:val="24"/>
          <w:szCs w:val="24"/>
        </w:rPr>
        <w:t xml:space="preserve">Ioannis  </w:t>
      </w:r>
      <w:proofErr w:type="spellStart"/>
      <w:r w:rsidRPr="00D87DBA">
        <w:rPr>
          <w:rFonts w:ascii="Times New Roman" w:hAnsi="Times New Roman" w:cs="Times New Roman"/>
          <w:sz w:val="24"/>
          <w:szCs w:val="24"/>
        </w:rPr>
        <w:t>Merinopoulos</w:t>
      </w:r>
      <w:r w:rsidRPr="00D87DBA">
        <w:rPr>
          <w:rFonts w:ascii="Times New Roman" w:hAnsi="Times New Roman" w:cs="Times New Roman"/>
          <w:sz w:val="24"/>
          <w:szCs w:val="24"/>
          <w:vertAlign w:val="superscript"/>
        </w:rPr>
        <w:t>a,b</w:t>
      </w:r>
      <w:proofErr w:type="spellEnd"/>
      <w:r w:rsidRPr="00D87DBA">
        <w:rPr>
          <w:rFonts w:ascii="Times New Roman" w:hAnsi="Times New Roman" w:cs="Times New Roman"/>
          <w:sz w:val="24"/>
          <w:szCs w:val="24"/>
          <w:vertAlign w:val="superscript"/>
        </w:rPr>
        <w:t xml:space="preserve"> </w:t>
      </w:r>
      <w:r w:rsidRPr="00D87DBA">
        <w:rPr>
          <w:rFonts w:ascii="Times New Roman" w:hAnsi="Times New Roman" w:cs="Times New Roman"/>
          <w:sz w:val="24"/>
          <w:szCs w:val="24"/>
        </w:rPr>
        <w:t xml:space="preserve">MD, MSc, MRCP, </w:t>
      </w:r>
      <w:proofErr w:type="spellStart"/>
      <w:r w:rsidRPr="00D87DBA">
        <w:rPr>
          <w:rFonts w:ascii="Times New Roman" w:hAnsi="Times New Roman" w:cs="Times New Roman"/>
          <w:sz w:val="24"/>
          <w:szCs w:val="24"/>
        </w:rPr>
        <w:t>Tharusha</w:t>
      </w:r>
      <w:proofErr w:type="spellEnd"/>
      <w:r w:rsidRPr="00D87DBA">
        <w:rPr>
          <w:rFonts w:ascii="Times New Roman" w:hAnsi="Times New Roman" w:cs="Times New Roman"/>
          <w:sz w:val="24"/>
          <w:szCs w:val="24"/>
        </w:rPr>
        <w:t xml:space="preserve"> </w:t>
      </w:r>
      <w:proofErr w:type="spellStart"/>
      <w:r w:rsidRPr="00D87DBA">
        <w:rPr>
          <w:rFonts w:ascii="Times New Roman" w:hAnsi="Times New Roman" w:cs="Times New Roman"/>
          <w:sz w:val="24"/>
          <w:szCs w:val="24"/>
        </w:rPr>
        <w:t>Gunawardena</w:t>
      </w:r>
      <w:r w:rsidRPr="00D87DBA">
        <w:rPr>
          <w:rFonts w:ascii="Times New Roman" w:hAnsi="Times New Roman" w:cs="Times New Roman"/>
          <w:sz w:val="24"/>
          <w:szCs w:val="24"/>
          <w:vertAlign w:val="superscript"/>
        </w:rPr>
        <w:t>a,b</w:t>
      </w:r>
      <w:proofErr w:type="spellEnd"/>
      <w:r w:rsidRPr="00D87DBA">
        <w:rPr>
          <w:rFonts w:ascii="Times New Roman" w:hAnsi="Times New Roman" w:cs="Times New Roman"/>
          <w:sz w:val="24"/>
          <w:szCs w:val="24"/>
          <w:vertAlign w:val="superscript"/>
        </w:rPr>
        <w:t xml:space="preserve"> </w:t>
      </w:r>
      <w:r w:rsidRPr="00D87DBA">
        <w:rPr>
          <w:rFonts w:ascii="Times New Roman" w:hAnsi="Times New Roman" w:cs="Times New Roman"/>
          <w:sz w:val="24"/>
          <w:szCs w:val="24"/>
        </w:rPr>
        <w:t xml:space="preserve">MD, BSc, MRCP, Natasha </w:t>
      </w:r>
      <w:proofErr w:type="spellStart"/>
      <w:r w:rsidRPr="00D87DBA">
        <w:rPr>
          <w:rFonts w:ascii="Times New Roman" w:hAnsi="Times New Roman" w:cs="Times New Roman"/>
          <w:sz w:val="24"/>
          <w:szCs w:val="24"/>
        </w:rPr>
        <w:t>Corballis</w:t>
      </w:r>
      <w:r w:rsidRPr="00D87DBA">
        <w:rPr>
          <w:rFonts w:ascii="Times New Roman" w:hAnsi="Times New Roman" w:cs="Times New Roman"/>
          <w:sz w:val="24"/>
          <w:szCs w:val="24"/>
          <w:vertAlign w:val="superscript"/>
        </w:rPr>
        <w:t>a,b</w:t>
      </w:r>
      <w:proofErr w:type="spellEnd"/>
      <w:r w:rsidRPr="00D87DBA">
        <w:rPr>
          <w:rFonts w:ascii="Times New Roman" w:hAnsi="Times New Roman" w:cs="Times New Roman"/>
          <w:sz w:val="24"/>
          <w:szCs w:val="24"/>
          <w:vertAlign w:val="superscript"/>
        </w:rPr>
        <w:t xml:space="preserve"> </w:t>
      </w:r>
      <w:r w:rsidR="0074020C" w:rsidRPr="00D87DBA">
        <w:rPr>
          <w:rFonts w:ascii="Times New Roman" w:hAnsi="Times New Roman" w:cs="Times New Roman"/>
          <w:sz w:val="24"/>
          <w:szCs w:val="24"/>
        </w:rPr>
        <w:t>MD</w:t>
      </w:r>
      <w:r w:rsidRPr="00D87DBA">
        <w:rPr>
          <w:rFonts w:ascii="Times New Roman" w:hAnsi="Times New Roman" w:cs="Times New Roman"/>
          <w:sz w:val="24"/>
          <w:szCs w:val="24"/>
        </w:rPr>
        <w:t xml:space="preserve">, MRCP, </w:t>
      </w:r>
      <w:r w:rsidR="00B13FFB">
        <w:rPr>
          <w:rFonts w:ascii="Times New Roman" w:hAnsi="Times New Roman" w:cs="Times New Roman"/>
          <w:sz w:val="24"/>
          <w:szCs w:val="24"/>
        </w:rPr>
        <w:t xml:space="preserve">U </w:t>
      </w:r>
      <w:proofErr w:type="spellStart"/>
      <w:r w:rsidR="00B13FFB">
        <w:rPr>
          <w:rFonts w:ascii="Times New Roman" w:hAnsi="Times New Roman" w:cs="Times New Roman"/>
          <w:sz w:val="24"/>
          <w:szCs w:val="24"/>
        </w:rPr>
        <w:t>Bhalraam</w:t>
      </w:r>
      <w:r w:rsidR="00B13FFB" w:rsidRPr="00CC1141">
        <w:rPr>
          <w:rFonts w:ascii="Times New Roman" w:hAnsi="Times New Roman" w:cs="Times New Roman"/>
          <w:sz w:val="24"/>
          <w:szCs w:val="24"/>
          <w:vertAlign w:val="superscript"/>
        </w:rPr>
        <w:t>a</w:t>
      </w:r>
      <w:r w:rsidR="00B13FFB">
        <w:rPr>
          <w:rFonts w:ascii="Times New Roman" w:hAnsi="Times New Roman" w:cs="Times New Roman"/>
          <w:sz w:val="24"/>
          <w:szCs w:val="24"/>
          <w:vertAlign w:val="superscript"/>
        </w:rPr>
        <w:t>,b</w:t>
      </w:r>
      <w:proofErr w:type="spellEnd"/>
      <w:r w:rsidR="00B13FFB">
        <w:rPr>
          <w:rFonts w:ascii="Times New Roman" w:hAnsi="Times New Roman" w:cs="Times New Roman"/>
          <w:sz w:val="24"/>
          <w:szCs w:val="24"/>
        </w:rPr>
        <w:t xml:space="preserve"> BSc, MD, </w:t>
      </w:r>
      <w:r w:rsidR="00C86438" w:rsidRPr="00D87DBA">
        <w:rPr>
          <w:rFonts w:ascii="Times New Roman" w:hAnsi="Times New Roman" w:cs="Times New Roman"/>
          <w:sz w:val="24"/>
          <w:szCs w:val="24"/>
        </w:rPr>
        <w:t xml:space="preserve">Johannes </w:t>
      </w:r>
      <w:proofErr w:type="spellStart"/>
      <w:r w:rsidR="00C86438" w:rsidRPr="00D87DBA">
        <w:rPr>
          <w:rFonts w:ascii="Times New Roman" w:hAnsi="Times New Roman" w:cs="Times New Roman"/>
          <w:sz w:val="24"/>
          <w:szCs w:val="24"/>
        </w:rPr>
        <w:t>Reinhold</w:t>
      </w:r>
      <w:r w:rsidR="00C86438" w:rsidRPr="00D87DBA">
        <w:rPr>
          <w:rFonts w:ascii="Times New Roman" w:hAnsi="Times New Roman" w:cs="Times New Roman"/>
          <w:sz w:val="24"/>
          <w:szCs w:val="24"/>
          <w:vertAlign w:val="superscript"/>
        </w:rPr>
        <w:t>a,b</w:t>
      </w:r>
      <w:proofErr w:type="spellEnd"/>
      <w:r w:rsidR="00C86438" w:rsidRPr="00D87DBA">
        <w:rPr>
          <w:rFonts w:ascii="Times New Roman" w:hAnsi="Times New Roman" w:cs="Times New Roman"/>
          <w:sz w:val="24"/>
          <w:szCs w:val="24"/>
        </w:rPr>
        <w:t xml:space="preserve"> MD, PhD, MRCP</w:t>
      </w:r>
      <w:r w:rsidR="00C86438">
        <w:rPr>
          <w:rFonts w:ascii="Times New Roman" w:hAnsi="Times New Roman" w:cs="Times New Roman"/>
          <w:sz w:val="24"/>
          <w:szCs w:val="24"/>
        </w:rPr>
        <w:t>,</w:t>
      </w:r>
      <w:r w:rsidR="00C86438" w:rsidRPr="00D87DBA">
        <w:rPr>
          <w:rFonts w:ascii="Times New Roman" w:hAnsi="Times New Roman" w:cs="Times New Roman"/>
          <w:sz w:val="24"/>
          <w:szCs w:val="24"/>
        </w:rPr>
        <w:t xml:space="preserve"> Upul </w:t>
      </w:r>
      <w:proofErr w:type="spellStart"/>
      <w:r w:rsidR="00C86438" w:rsidRPr="00D87DBA">
        <w:rPr>
          <w:rFonts w:ascii="Times New Roman" w:hAnsi="Times New Roman" w:cs="Times New Roman"/>
          <w:sz w:val="24"/>
          <w:szCs w:val="24"/>
        </w:rPr>
        <w:t>Wickramarachchi</w:t>
      </w:r>
      <w:r w:rsidR="00C86438" w:rsidRPr="00D87DBA">
        <w:rPr>
          <w:rFonts w:ascii="Times New Roman" w:hAnsi="Times New Roman" w:cs="Times New Roman"/>
          <w:sz w:val="24"/>
          <w:szCs w:val="24"/>
          <w:vertAlign w:val="superscript"/>
        </w:rPr>
        <w:t>a,b</w:t>
      </w:r>
      <w:proofErr w:type="spellEnd"/>
      <w:r w:rsidR="00C86438" w:rsidRPr="00D87DBA">
        <w:rPr>
          <w:rFonts w:ascii="Times New Roman" w:hAnsi="Times New Roman" w:cs="Times New Roman"/>
          <w:sz w:val="24"/>
          <w:szCs w:val="24"/>
        </w:rPr>
        <w:t xml:space="preserve"> MD, MRCP</w:t>
      </w:r>
      <w:r w:rsidR="00C86438">
        <w:rPr>
          <w:rFonts w:ascii="Times New Roman" w:hAnsi="Times New Roman" w:cs="Times New Roman"/>
          <w:sz w:val="24"/>
          <w:szCs w:val="24"/>
        </w:rPr>
        <w:t>,</w:t>
      </w:r>
      <w:r w:rsidR="00C86438" w:rsidRPr="00D87DBA">
        <w:rPr>
          <w:rFonts w:ascii="Times New Roman" w:hAnsi="Times New Roman" w:cs="Times New Roman"/>
          <w:sz w:val="24"/>
          <w:szCs w:val="24"/>
        </w:rPr>
        <w:t xml:space="preserve"> Clint </w:t>
      </w:r>
      <w:proofErr w:type="spellStart"/>
      <w:r w:rsidR="00C86438" w:rsidRPr="00D87DBA">
        <w:rPr>
          <w:rFonts w:ascii="Times New Roman" w:hAnsi="Times New Roman" w:cs="Times New Roman"/>
          <w:sz w:val="24"/>
          <w:szCs w:val="24"/>
        </w:rPr>
        <w:t>Maart</w:t>
      </w:r>
      <w:r w:rsidR="00C86438" w:rsidRPr="00D87DBA">
        <w:rPr>
          <w:rFonts w:ascii="Times New Roman" w:hAnsi="Times New Roman" w:cs="Times New Roman"/>
          <w:sz w:val="24"/>
          <w:szCs w:val="24"/>
          <w:vertAlign w:val="superscript"/>
        </w:rPr>
        <w:t>a</w:t>
      </w:r>
      <w:proofErr w:type="spellEnd"/>
      <w:r w:rsidR="00C86438" w:rsidRPr="00D87DBA">
        <w:rPr>
          <w:rFonts w:ascii="Times New Roman" w:hAnsi="Times New Roman" w:cs="Times New Roman"/>
          <w:sz w:val="24"/>
          <w:szCs w:val="24"/>
          <w:vertAlign w:val="superscript"/>
        </w:rPr>
        <w:t xml:space="preserve"> </w:t>
      </w:r>
      <w:r w:rsidR="00C86438" w:rsidRPr="00D87DBA">
        <w:rPr>
          <w:rFonts w:ascii="Times New Roman" w:hAnsi="Times New Roman" w:cs="Times New Roman"/>
          <w:sz w:val="24"/>
          <w:szCs w:val="24"/>
        </w:rPr>
        <w:t xml:space="preserve">MD, MRCP, </w:t>
      </w:r>
      <w:r w:rsidRPr="00D87DBA">
        <w:rPr>
          <w:rFonts w:ascii="Times New Roman" w:hAnsi="Times New Roman" w:cs="Times New Roman"/>
          <w:sz w:val="24"/>
          <w:szCs w:val="24"/>
        </w:rPr>
        <w:t>Tim Gilbert</w:t>
      </w:r>
      <w:r w:rsidRPr="00D87DBA">
        <w:rPr>
          <w:rFonts w:ascii="Times New Roman" w:hAnsi="Times New Roman" w:cs="Times New Roman"/>
          <w:sz w:val="24"/>
          <w:szCs w:val="24"/>
          <w:vertAlign w:val="superscript"/>
        </w:rPr>
        <w:t xml:space="preserve">a </w:t>
      </w:r>
      <w:r w:rsidRPr="00D87DBA">
        <w:rPr>
          <w:rFonts w:ascii="Times New Roman" w:hAnsi="Times New Roman" w:cs="Times New Roman"/>
          <w:sz w:val="24"/>
          <w:szCs w:val="24"/>
        </w:rPr>
        <w:t xml:space="preserve">MD, FRCP, Paul </w:t>
      </w:r>
      <w:proofErr w:type="spellStart"/>
      <w:r w:rsidRPr="00D87DBA">
        <w:rPr>
          <w:rFonts w:ascii="Times New Roman" w:hAnsi="Times New Roman" w:cs="Times New Roman"/>
          <w:sz w:val="24"/>
          <w:szCs w:val="24"/>
        </w:rPr>
        <w:t>Richardson</w:t>
      </w:r>
      <w:r w:rsidRPr="00D87DBA">
        <w:rPr>
          <w:rFonts w:ascii="Times New Roman" w:hAnsi="Times New Roman" w:cs="Times New Roman"/>
          <w:sz w:val="24"/>
          <w:szCs w:val="24"/>
          <w:vertAlign w:val="superscript"/>
        </w:rPr>
        <w:t>a</w:t>
      </w:r>
      <w:proofErr w:type="spellEnd"/>
      <w:r w:rsidRPr="00D87DBA">
        <w:rPr>
          <w:rFonts w:ascii="Times New Roman" w:hAnsi="Times New Roman" w:cs="Times New Roman"/>
          <w:sz w:val="24"/>
          <w:szCs w:val="24"/>
        </w:rPr>
        <w:t xml:space="preserve"> BSc, </w:t>
      </w:r>
      <w:r w:rsidR="00C86438" w:rsidRPr="00D87DBA">
        <w:rPr>
          <w:rFonts w:ascii="Times New Roman" w:hAnsi="Times New Roman" w:cs="Times New Roman"/>
          <w:sz w:val="24"/>
          <w:szCs w:val="24"/>
        </w:rPr>
        <w:t xml:space="preserve">Sreekumar </w:t>
      </w:r>
      <w:proofErr w:type="spellStart"/>
      <w:r w:rsidR="00C86438" w:rsidRPr="00D87DBA">
        <w:rPr>
          <w:rFonts w:ascii="Times New Roman" w:hAnsi="Times New Roman" w:cs="Times New Roman"/>
          <w:sz w:val="24"/>
          <w:szCs w:val="24"/>
        </w:rPr>
        <w:t>Sulfi</w:t>
      </w:r>
      <w:r w:rsidR="00C86438" w:rsidRPr="00D87DBA">
        <w:rPr>
          <w:rFonts w:ascii="Times New Roman" w:hAnsi="Times New Roman" w:cs="Times New Roman"/>
          <w:sz w:val="24"/>
          <w:szCs w:val="24"/>
          <w:vertAlign w:val="superscript"/>
        </w:rPr>
        <w:t>a</w:t>
      </w:r>
      <w:proofErr w:type="spellEnd"/>
      <w:r w:rsidR="00C86438" w:rsidRPr="00D87DBA">
        <w:rPr>
          <w:rFonts w:ascii="Times New Roman" w:hAnsi="Times New Roman" w:cs="Times New Roman"/>
          <w:sz w:val="24"/>
          <w:szCs w:val="24"/>
          <w:vertAlign w:val="superscript"/>
        </w:rPr>
        <w:t xml:space="preserve"> </w:t>
      </w:r>
      <w:r w:rsidR="00C86438" w:rsidRPr="00D87DBA">
        <w:rPr>
          <w:rFonts w:ascii="Times New Roman" w:hAnsi="Times New Roman" w:cs="Times New Roman"/>
          <w:sz w:val="24"/>
          <w:szCs w:val="24"/>
        </w:rPr>
        <w:t xml:space="preserve">MD, MRCP </w:t>
      </w:r>
      <w:r w:rsidRPr="00D87DBA">
        <w:rPr>
          <w:rFonts w:ascii="Times New Roman" w:hAnsi="Times New Roman" w:cs="Times New Roman"/>
          <w:sz w:val="24"/>
          <w:szCs w:val="24"/>
        </w:rPr>
        <w:t xml:space="preserve">Toomas </w:t>
      </w:r>
      <w:proofErr w:type="spellStart"/>
      <w:r w:rsidRPr="00D87DBA">
        <w:rPr>
          <w:rFonts w:ascii="Times New Roman" w:hAnsi="Times New Roman" w:cs="Times New Roman"/>
          <w:sz w:val="24"/>
          <w:szCs w:val="24"/>
        </w:rPr>
        <w:t>Sarev</w:t>
      </w:r>
      <w:r w:rsidRPr="00D87DBA">
        <w:rPr>
          <w:rFonts w:ascii="Times New Roman" w:hAnsi="Times New Roman" w:cs="Times New Roman"/>
          <w:sz w:val="24"/>
          <w:szCs w:val="24"/>
          <w:vertAlign w:val="superscript"/>
        </w:rPr>
        <w:t>a</w:t>
      </w:r>
      <w:proofErr w:type="spellEnd"/>
      <w:r w:rsidRPr="00D87DBA">
        <w:rPr>
          <w:rFonts w:ascii="Times New Roman" w:hAnsi="Times New Roman" w:cs="Times New Roman"/>
          <w:sz w:val="24"/>
          <w:szCs w:val="24"/>
          <w:vertAlign w:val="superscript"/>
        </w:rPr>
        <w:t xml:space="preserve"> </w:t>
      </w:r>
      <w:r w:rsidRPr="00D87DBA">
        <w:rPr>
          <w:rFonts w:ascii="Times New Roman" w:hAnsi="Times New Roman" w:cs="Times New Roman"/>
          <w:sz w:val="24"/>
          <w:szCs w:val="24"/>
        </w:rPr>
        <w:t xml:space="preserve">MD, FRCP, Chris </w:t>
      </w:r>
      <w:proofErr w:type="spellStart"/>
      <w:r w:rsidRPr="00D87DBA">
        <w:rPr>
          <w:rFonts w:ascii="Times New Roman" w:hAnsi="Times New Roman" w:cs="Times New Roman"/>
          <w:sz w:val="24"/>
          <w:szCs w:val="24"/>
        </w:rPr>
        <w:t>Sawh</w:t>
      </w:r>
      <w:r w:rsidRPr="00D87DBA">
        <w:rPr>
          <w:rFonts w:ascii="Times New Roman" w:hAnsi="Times New Roman" w:cs="Times New Roman"/>
          <w:sz w:val="24"/>
          <w:szCs w:val="24"/>
          <w:vertAlign w:val="superscript"/>
        </w:rPr>
        <w:t>a</w:t>
      </w:r>
      <w:proofErr w:type="spellEnd"/>
      <w:r w:rsidRPr="00D87DBA">
        <w:rPr>
          <w:rFonts w:ascii="Times New Roman" w:hAnsi="Times New Roman" w:cs="Times New Roman"/>
          <w:sz w:val="24"/>
          <w:szCs w:val="24"/>
          <w:vertAlign w:val="superscript"/>
        </w:rPr>
        <w:t xml:space="preserve"> </w:t>
      </w:r>
      <w:r w:rsidR="009577C6" w:rsidRPr="00D87DBA">
        <w:rPr>
          <w:rFonts w:ascii="Times New Roman" w:hAnsi="Times New Roman" w:cs="Times New Roman"/>
          <w:sz w:val="24"/>
          <w:szCs w:val="24"/>
        </w:rPr>
        <w:t>MD, MRCP,</w:t>
      </w:r>
      <w:r w:rsidR="00C86438" w:rsidRPr="00D87DBA">
        <w:rPr>
          <w:rFonts w:ascii="Times New Roman" w:hAnsi="Times New Roman" w:cs="Times New Roman"/>
          <w:sz w:val="24"/>
          <w:szCs w:val="24"/>
        </w:rPr>
        <w:t xml:space="preserve"> </w:t>
      </w:r>
      <w:r w:rsidRPr="00D87DBA">
        <w:rPr>
          <w:rFonts w:ascii="Times New Roman" w:hAnsi="Times New Roman" w:cs="Times New Roman"/>
          <w:sz w:val="24"/>
          <w:szCs w:val="24"/>
        </w:rPr>
        <w:t xml:space="preserve">Trevor </w:t>
      </w:r>
      <w:proofErr w:type="spellStart"/>
      <w:r w:rsidRPr="00D87DBA">
        <w:rPr>
          <w:rFonts w:ascii="Times New Roman" w:hAnsi="Times New Roman" w:cs="Times New Roman"/>
          <w:sz w:val="24"/>
          <w:szCs w:val="24"/>
        </w:rPr>
        <w:t>Wistow</w:t>
      </w:r>
      <w:r w:rsidRPr="00D87DBA">
        <w:rPr>
          <w:rFonts w:ascii="Times New Roman" w:hAnsi="Times New Roman" w:cs="Times New Roman"/>
          <w:sz w:val="24"/>
          <w:szCs w:val="24"/>
          <w:vertAlign w:val="superscript"/>
        </w:rPr>
        <w:t>a</w:t>
      </w:r>
      <w:proofErr w:type="spellEnd"/>
      <w:r w:rsidRPr="00D87DBA">
        <w:rPr>
          <w:rFonts w:ascii="Times New Roman" w:hAnsi="Times New Roman" w:cs="Times New Roman"/>
          <w:sz w:val="24"/>
          <w:szCs w:val="24"/>
          <w:vertAlign w:val="superscript"/>
        </w:rPr>
        <w:t xml:space="preserve"> </w:t>
      </w:r>
      <w:r w:rsidRPr="00D87DBA">
        <w:rPr>
          <w:rFonts w:ascii="Times New Roman" w:hAnsi="Times New Roman" w:cs="Times New Roman"/>
          <w:sz w:val="24"/>
          <w:szCs w:val="24"/>
        </w:rPr>
        <w:t>MD, MRCP</w:t>
      </w:r>
      <w:r w:rsidR="00616763" w:rsidRPr="00D87DBA">
        <w:rPr>
          <w:rFonts w:ascii="Times New Roman" w:hAnsi="Times New Roman" w:cs="Times New Roman"/>
          <w:sz w:val="24"/>
          <w:szCs w:val="24"/>
        </w:rPr>
        <w:t xml:space="preserve">, </w:t>
      </w:r>
      <w:proofErr w:type="spellStart"/>
      <w:r w:rsidR="00C86438" w:rsidRPr="00D87DBA">
        <w:rPr>
          <w:rFonts w:ascii="Times New Roman" w:hAnsi="Times New Roman" w:cs="Times New Roman"/>
          <w:sz w:val="24"/>
          <w:szCs w:val="24"/>
        </w:rPr>
        <w:t>Alisdair</w:t>
      </w:r>
      <w:proofErr w:type="spellEnd"/>
      <w:r w:rsidR="00C86438" w:rsidRPr="00D87DBA">
        <w:rPr>
          <w:rFonts w:ascii="Times New Roman" w:hAnsi="Times New Roman" w:cs="Times New Roman"/>
          <w:sz w:val="24"/>
          <w:szCs w:val="24"/>
        </w:rPr>
        <w:t xml:space="preserve"> </w:t>
      </w:r>
      <w:proofErr w:type="spellStart"/>
      <w:r w:rsidR="00C86438" w:rsidRPr="00D87DBA">
        <w:rPr>
          <w:rFonts w:ascii="Times New Roman" w:hAnsi="Times New Roman" w:cs="Times New Roman"/>
          <w:sz w:val="24"/>
          <w:szCs w:val="24"/>
        </w:rPr>
        <w:t>Ryding</w:t>
      </w:r>
      <w:r w:rsidR="00C86438" w:rsidRPr="00D87DBA">
        <w:rPr>
          <w:rFonts w:ascii="Times New Roman" w:hAnsi="Times New Roman" w:cs="Times New Roman"/>
          <w:sz w:val="24"/>
          <w:szCs w:val="24"/>
          <w:vertAlign w:val="superscript"/>
        </w:rPr>
        <w:t>a</w:t>
      </w:r>
      <w:proofErr w:type="spellEnd"/>
      <w:r w:rsidR="00C86438" w:rsidRPr="00D87DBA">
        <w:rPr>
          <w:rFonts w:ascii="Times New Roman" w:hAnsi="Times New Roman" w:cs="Times New Roman"/>
          <w:sz w:val="24"/>
          <w:szCs w:val="24"/>
          <w:vertAlign w:val="superscript"/>
        </w:rPr>
        <w:t xml:space="preserve"> </w:t>
      </w:r>
      <w:r w:rsidR="00C86438" w:rsidRPr="00D87DBA">
        <w:rPr>
          <w:rFonts w:ascii="Times New Roman" w:hAnsi="Times New Roman" w:cs="Times New Roman"/>
          <w:sz w:val="24"/>
          <w:szCs w:val="24"/>
        </w:rPr>
        <w:t xml:space="preserve">MD, PhD, FRCP, </w:t>
      </w:r>
      <w:r w:rsidR="002E371A">
        <w:rPr>
          <w:rFonts w:ascii="Times New Roman" w:hAnsi="Times New Roman" w:cs="Times New Roman"/>
          <w:sz w:val="24"/>
          <w:szCs w:val="24"/>
        </w:rPr>
        <w:t xml:space="preserve">Mohamed O </w:t>
      </w:r>
      <w:proofErr w:type="spellStart"/>
      <w:r w:rsidR="002E371A">
        <w:rPr>
          <w:rFonts w:ascii="Times New Roman" w:hAnsi="Times New Roman" w:cs="Times New Roman"/>
          <w:sz w:val="24"/>
          <w:szCs w:val="24"/>
        </w:rPr>
        <w:t>Mohamed</w:t>
      </w:r>
      <w:r w:rsidR="002E371A">
        <w:rPr>
          <w:rFonts w:ascii="Times New Roman" w:hAnsi="Times New Roman" w:cs="Times New Roman"/>
          <w:sz w:val="24"/>
          <w:szCs w:val="24"/>
          <w:vertAlign w:val="superscript"/>
        </w:rPr>
        <w:t>c</w:t>
      </w:r>
      <w:r w:rsidR="007C74A2">
        <w:rPr>
          <w:rFonts w:ascii="Times New Roman" w:hAnsi="Times New Roman" w:cs="Times New Roman"/>
          <w:sz w:val="24"/>
          <w:szCs w:val="24"/>
          <w:vertAlign w:val="superscript"/>
        </w:rPr>
        <w:t>,d</w:t>
      </w:r>
      <w:proofErr w:type="spellEnd"/>
      <w:r w:rsidR="002E371A">
        <w:rPr>
          <w:rFonts w:ascii="Times New Roman" w:hAnsi="Times New Roman" w:cs="Times New Roman"/>
          <w:sz w:val="24"/>
          <w:szCs w:val="24"/>
        </w:rPr>
        <w:t xml:space="preserve"> MD, PhD, MRCP,</w:t>
      </w:r>
      <w:r w:rsidR="00C86438">
        <w:rPr>
          <w:rFonts w:ascii="Times New Roman" w:hAnsi="Times New Roman" w:cs="Times New Roman"/>
          <w:sz w:val="24"/>
          <w:szCs w:val="24"/>
        </w:rPr>
        <w:t xml:space="preserve"> Aris </w:t>
      </w:r>
      <w:proofErr w:type="spellStart"/>
      <w:r w:rsidR="007C74A2">
        <w:rPr>
          <w:rFonts w:ascii="Times New Roman" w:hAnsi="Times New Roman" w:cs="Times New Roman"/>
          <w:sz w:val="24"/>
          <w:szCs w:val="24"/>
        </w:rPr>
        <w:t>Perperoglou</w:t>
      </w:r>
      <w:r w:rsidR="007C74A2">
        <w:rPr>
          <w:rFonts w:ascii="Times New Roman" w:hAnsi="Times New Roman" w:cs="Times New Roman"/>
          <w:sz w:val="24"/>
          <w:szCs w:val="24"/>
          <w:vertAlign w:val="superscript"/>
        </w:rPr>
        <w:t>e</w:t>
      </w:r>
      <w:proofErr w:type="spellEnd"/>
      <w:r w:rsidR="007C74A2">
        <w:rPr>
          <w:rFonts w:ascii="Times New Roman" w:hAnsi="Times New Roman" w:cs="Times New Roman"/>
          <w:sz w:val="24"/>
          <w:szCs w:val="24"/>
        </w:rPr>
        <w:t xml:space="preserve"> </w:t>
      </w:r>
      <w:r w:rsidR="00C86438">
        <w:rPr>
          <w:rFonts w:ascii="Times New Roman" w:hAnsi="Times New Roman" w:cs="Times New Roman"/>
          <w:sz w:val="24"/>
          <w:szCs w:val="24"/>
        </w:rPr>
        <w:t xml:space="preserve">PhD, </w:t>
      </w:r>
      <w:r w:rsidR="002E371A">
        <w:rPr>
          <w:rFonts w:ascii="Times New Roman" w:hAnsi="Times New Roman" w:cs="Times New Roman"/>
          <w:sz w:val="24"/>
          <w:szCs w:val="24"/>
        </w:rPr>
        <w:t xml:space="preserve">Mamas A </w:t>
      </w:r>
      <w:proofErr w:type="spellStart"/>
      <w:r w:rsidR="002E371A">
        <w:rPr>
          <w:rFonts w:ascii="Times New Roman" w:hAnsi="Times New Roman" w:cs="Times New Roman"/>
          <w:sz w:val="24"/>
          <w:szCs w:val="24"/>
        </w:rPr>
        <w:t>Mamas</w:t>
      </w:r>
      <w:r w:rsidR="002E371A">
        <w:rPr>
          <w:rFonts w:ascii="Times New Roman" w:hAnsi="Times New Roman" w:cs="Times New Roman"/>
          <w:sz w:val="24"/>
          <w:szCs w:val="24"/>
          <w:vertAlign w:val="superscript"/>
        </w:rPr>
        <w:t>c</w:t>
      </w:r>
      <w:proofErr w:type="spellEnd"/>
      <w:r w:rsidR="002E371A">
        <w:rPr>
          <w:rFonts w:ascii="Times New Roman" w:hAnsi="Times New Roman" w:cs="Times New Roman"/>
          <w:sz w:val="24"/>
          <w:szCs w:val="24"/>
        </w:rPr>
        <w:t xml:space="preserve"> MD, DPhil, </w:t>
      </w:r>
      <w:r w:rsidRPr="00D87DBA">
        <w:rPr>
          <w:rFonts w:ascii="Times New Roman" w:hAnsi="Times New Roman" w:cs="Times New Roman"/>
          <w:sz w:val="24"/>
          <w:szCs w:val="24"/>
        </w:rPr>
        <w:t xml:space="preserve">Vassilios S </w:t>
      </w:r>
      <w:proofErr w:type="spellStart"/>
      <w:r w:rsidRPr="00D87DBA">
        <w:rPr>
          <w:rFonts w:ascii="Times New Roman" w:hAnsi="Times New Roman" w:cs="Times New Roman"/>
          <w:sz w:val="24"/>
          <w:szCs w:val="24"/>
        </w:rPr>
        <w:t>Vassiliou</w:t>
      </w:r>
      <w:r w:rsidRPr="00D87DBA">
        <w:rPr>
          <w:rFonts w:ascii="Times New Roman" w:hAnsi="Times New Roman" w:cs="Times New Roman"/>
          <w:sz w:val="24"/>
          <w:szCs w:val="24"/>
          <w:vertAlign w:val="superscript"/>
        </w:rPr>
        <w:t>a,b</w:t>
      </w:r>
      <w:proofErr w:type="spellEnd"/>
      <w:r w:rsidRPr="00D87DBA">
        <w:rPr>
          <w:rFonts w:ascii="Times New Roman" w:hAnsi="Times New Roman" w:cs="Times New Roman"/>
          <w:sz w:val="24"/>
          <w:szCs w:val="24"/>
          <w:vertAlign w:val="superscript"/>
        </w:rPr>
        <w:t xml:space="preserve">, #  </w:t>
      </w:r>
      <w:r w:rsidRPr="00D87DBA">
        <w:rPr>
          <w:rFonts w:ascii="Times New Roman" w:hAnsi="Times New Roman" w:cs="Times New Roman"/>
          <w:sz w:val="24"/>
          <w:szCs w:val="24"/>
        </w:rPr>
        <w:t xml:space="preserve">MD, PhD, FESC, FRCP, FACC, Simon C </w:t>
      </w:r>
      <w:proofErr w:type="spellStart"/>
      <w:r w:rsidRPr="00D87DBA">
        <w:rPr>
          <w:rFonts w:ascii="Times New Roman" w:hAnsi="Times New Roman" w:cs="Times New Roman"/>
          <w:sz w:val="24"/>
          <w:szCs w:val="24"/>
        </w:rPr>
        <w:t>Eccleshall</w:t>
      </w:r>
      <w:r w:rsidRPr="00D87DBA">
        <w:rPr>
          <w:rFonts w:ascii="Times New Roman" w:hAnsi="Times New Roman" w:cs="Times New Roman"/>
          <w:sz w:val="24"/>
          <w:szCs w:val="24"/>
          <w:vertAlign w:val="superscript"/>
        </w:rPr>
        <w:t>a</w:t>
      </w:r>
      <w:proofErr w:type="spellEnd"/>
      <w:r w:rsidRPr="00D87DBA">
        <w:rPr>
          <w:rFonts w:ascii="Times New Roman" w:hAnsi="Times New Roman" w:cs="Times New Roman"/>
          <w:sz w:val="24"/>
          <w:szCs w:val="24"/>
          <w:vertAlign w:val="superscript"/>
        </w:rPr>
        <w:t xml:space="preserve">, # </w:t>
      </w:r>
      <w:r w:rsidRPr="00D87DBA">
        <w:rPr>
          <w:rFonts w:ascii="Times New Roman" w:hAnsi="Times New Roman" w:cs="Times New Roman"/>
          <w:sz w:val="24"/>
          <w:szCs w:val="24"/>
        </w:rPr>
        <w:t>MD, MRCP</w:t>
      </w:r>
    </w:p>
    <w:p w14:paraId="7F79300A" w14:textId="77777777" w:rsidR="00B17374" w:rsidRPr="00D87DBA" w:rsidRDefault="00B17374" w:rsidP="00C54155">
      <w:pPr>
        <w:pStyle w:val="NoSpacing"/>
        <w:spacing w:line="480" w:lineRule="auto"/>
        <w:rPr>
          <w:rFonts w:ascii="Times New Roman" w:hAnsi="Times New Roman" w:cs="Times New Roman"/>
          <w:sz w:val="24"/>
          <w:szCs w:val="24"/>
        </w:rPr>
      </w:pPr>
    </w:p>
    <w:p w14:paraId="5C9D01D1" w14:textId="5CAAB901" w:rsidR="005059B1" w:rsidRPr="00D87DBA" w:rsidRDefault="005059B1" w:rsidP="00C54155">
      <w:pPr>
        <w:pStyle w:val="NoSpacing"/>
        <w:spacing w:line="480" w:lineRule="auto"/>
        <w:jc w:val="both"/>
        <w:rPr>
          <w:rFonts w:ascii="Times New Roman" w:hAnsi="Times New Roman" w:cs="Times New Roman"/>
          <w:sz w:val="24"/>
          <w:szCs w:val="24"/>
        </w:rPr>
      </w:pPr>
      <w:r w:rsidRPr="00D87DBA">
        <w:rPr>
          <w:rFonts w:ascii="Times New Roman" w:hAnsi="Times New Roman" w:cs="Times New Roman"/>
          <w:sz w:val="24"/>
          <w:szCs w:val="24"/>
          <w:vertAlign w:val="superscript"/>
        </w:rPr>
        <w:t xml:space="preserve">a </w:t>
      </w:r>
      <w:r w:rsidRPr="00D87DBA">
        <w:rPr>
          <w:rFonts w:ascii="Times New Roman" w:hAnsi="Times New Roman" w:cs="Times New Roman"/>
          <w:sz w:val="24"/>
          <w:szCs w:val="24"/>
        </w:rPr>
        <w:t xml:space="preserve">Department of Cardiology, Norfolk and Norwich University Hospital, UK; </w:t>
      </w:r>
      <w:r w:rsidRPr="00D87DBA">
        <w:rPr>
          <w:rFonts w:ascii="Times New Roman" w:hAnsi="Times New Roman" w:cs="Times New Roman"/>
          <w:sz w:val="24"/>
          <w:szCs w:val="24"/>
          <w:vertAlign w:val="superscript"/>
        </w:rPr>
        <w:t>b</w:t>
      </w:r>
      <w:r w:rsidRPr="00D87DBA">
        <w:rPr>
          <w:rFonts w:ascii="Times New Roman" w:hAnsi="Times New Roman" w:cs="Times New Roman"/>
          <w:sz w:val="24"/>
          <w:szCs w:val="24"/>
        </w:rPr>
        <w:t xml:space="preserve"> Norwich Medical School, University of East Anglia, UK</w:t>
      </w:r>
      <w:r w:rsidR="007C74A2">
        <w:rPr>
          <w:rFonts w:ascii="Times New Roman" w:hAnsi="Times New Roman" w:cs="Times New Roman"/>
          <w:sz w:val="24"/>
          <w:szCs w:val="24"/>
        </w:rPr>
        <w:t xml:space="preserve">; </w:t>
      </w:r>
      <w:r w:rsidR="007C74A2">
        <w:rPr>
          <w:rFonts w:ascii="Times New Roman" w:hAnsi="Times New Roman" w:cs="Times New Roman"/>
          <w:sz w:val="24"/>
          <w:szCs w:val="24"/>
          <w:vertAlign w:val="superscript"/>
        </w:rPr>
        <w:t>c</w:t>
      </w:r>
      <w:r w:rsidR="007C74A2">
        <w:rPr>
          <w:rFonts w:ascii="Times New Roman" w:hAnsi="Times New Roman" w:cs="Times New Roman"/>
          <w:sz w:val="24"/>
          <w:szCs w:val="24"/>
        </w:rPr>
        <w:t xml:space="preserve"> </w:t>
      </w:r>
      <w:r w:rsidR="00781CA4">
        <w:rPr>
          <w:rFonts w:ascii="Times New Roman" w:hAnsi="Times New Roman" w:cs="Times New Roman"/>
          <w:sz w:val="24"/>
          <w:szCs w:val="24"/>
        </w:rPr>
        <w:t xml:space="preserve">Keele Cardiovascular Research Group, </w:t>
      </w:r>
      <w:r w:rsidR="002E371A">
        <w:rPr>
          <w:rFonts w:ascii="Times New Roman" w:hAnsi="Times New Roman" w:cs="Times New Roman"/>
          <w:sz w:val="24"/>
          <w:szCs w:val="24"/>
        </w:rPr>
        <w:t>Keele</w:t>
      </w:r>
      <w:r w:rsidR="00C7268E">
        <w:rPr>
          <w:rFonts w:ascii="Times New Roman" w:hAnsi="Times New Roman" w:cs="Times New Roman"/>
          <w:sz w:val="24"/>
          <w:szCs w:val="24"/>
        </w:rPr>
        <w:t xml:space="preserve"> University</w:t>
      </w:r>
      <w:r w:rsidR="002E371A">
        <w:rPr>
          <w:rFonts w:ascii="Times New Roman" w:hAnsi="Times New Roman" w:cs="Times New Roman"/>
          <w:sz w:val="24"/>
          <w:szCs w:val="24"/>
        </w:rPr>
        <w:t>, Staffordshire, UK</w:t>
      </w:r>
      <w:r w:rsidR="00C86438">
        <w:rPr>
          <w:rFonts w:ascii="Times New Roman" w:hAnsi="Times New Roman" w:cs="Times New Roman"/>
          <w:sz w:val="24"/>
          <w:szCs w:val="24"/>
        </w:rPr>
        <w:t xml:space="preserve">; </w:t>
      </w:r>
      <w:r w:rsidR="00C86438" w:rsidRPr="00C86438">
        <w:rPr>
          <w:rFonts w:ascii="Times New Roman" w:hAnsi="Times New Roman" w:cs="Times New Roman"/>
          <w:sz w:val="24"/>
          <w:szCs w:val="24"/>
          <w:vertAlign w:val="superscript"/>
        </w:rPr>
        <w:t>d</w:t>
      </w:r>
      <w:r w:rsidR="00C86438" w:rsidRPr="00C86438">
        <w:rPr>
          <w:rFonts w:ascii="Times New Roman" w:hAnsi="Times New Roman" w:cs="Times New Roman"/>
          <w:sz w:val="24"/>
          <w:szCs w:val="24"/>
        </w:rPr>
        <w:t xml:space="preserve"> </w:t>
      </w:r>
      <w:r w:rsidR="007C74A2" w:rsidRPr="007C74A2">
        <w:rPr>
          <w:rFonts w:ascii="Times New Roman" w:hAnsi="Times New Roman" w:cs="Times New Roman"/>
          <w:sz w:val="24"/>
          <w:szCs w:val="24"/>
        </w:rPr>
        <w:t>Institute of Health Informatics, University College London, UK</w:t>
      </w:r>
      <w:r w:rsidR="007C74A2">
        <w:rPr>
          <w:rFonts w:ascii="Times New Roman" w:hAnsi="Times New Roman" w:cs="Times New Roman"/>
          <w:sz w:val="24"/>
          <w:szCs w:val="24"/>
        </w:rPr>
        <w:t>,</w:t>
      </w:r>
      <w:r w:rsidR="007C74A2" w:rsidRPr="007C74A2">
        <w:rPr>
          <w:rFonts w:ascii="Times New Roman" w:hAnsi="Times New Roman" w:cs="Times New Roman"/>
          <w:sz w:val="24"/>
          <w:szCs w:val="24"/>
        </w:rPr>
        <w:t xml:space="preserve"> </w:t>
      </w:r>
      <w:r w:rsidR="007C74A2" w:rsidRPr="007C74A2">
        <w:rPr>
          <w:rFonts w:ascii="Times New Roman" w:hAnsi="Times New Roman" w:cs="Times New Roman"/>
          <w:sz w:val="24"/>
          <w:szCs w:val="24"/>
          <w:vertAlign w:val="superscript"/>
        </w:rPr>
        <w:t>e</w:t>
      </w:r>
      <w:r w:rsidR="007C74A2">
        <w:rPr>
          <w:rFonts w:ascii="Times New Roman" w:hAnsi="Times New Roman" w:cs="Times New Roman"/>
          <w:sz w:val="24"/>
          <w:szCs w:val="24"/>
        </w:rPr>
        <w:t xml:space="preserve"> </w:t>
      </w:r>
      <w:r w:rsidR="00C86438">
        <w:rPr>
          <w:rFonts w:ascii="Times New Roman" w:hAnsi="Times New Roman" w:cs="Times New Roman"/>
          <w:sz w:val="24"/>
          <w:szCs w:val="24"/>
        </w:rPr>
        <w:t xml:space="preserve">Department of Mathematics, University of Newcastle, UK </w:t>
      </w:r>
    </w:p>
    <w:p w14:paraId="0E5B9A60" w14:textId="77777777" w:rsidR="005059B1" w:rsidRDefault="005059B1" w:rsidP="00C54155">
      <w:pPr>
        <w:pStyle w:val="NoSpacing"/>
        <w:spacing w:line="480" w:lineRule="auto"/>
        <w:jc w:val="both"/>
        <w:rPr>
          <w:rFonts w:ascii="Times New Roman" w:hAnsi="Times New Roman" w:cs="Times New Roman"/>
          <w:sz w:val="24"/>
          <w:szCs w:val="24"/>
        </w:rPr>
      </w:pPr>
      <w:r w:rsidRPr="00D87DBA">
        <w:rPr>
          <w:rFonts w:ascii="Times New Roman" w:hAnsi="Times New Roman" w:cs="Times New Roman"/>
          <w:sz w:val="24"/>
          <w:szCs w:val="24"/>
          <w:vertAlign w:val="superscript"/>
        </w:rPr>
        <w:t xml:space="preserve">#  </w:t>
      </w:r>
      <w:r w:rsidRPr="00D87DBA">
        <w:rPr>
          <w:rFonts w:ascii="Times New Roman" w:hAnsi="Times New Roman" w:cs="Times New Roman"/>
          <w:sz w:val="24"/>
          <w:szCs w:val="24"/>
        </w:rPr>
        <w:t xml:space="preserve">VSV and SCE contributed equally </w:t>
      </w:r>
    </w:p>
    <w:p w14:paraId="1C5BE629" w14:textId="77777777" w:rsidR="00C54155" w:rsidRPr="00D87DBA" w:rsidRDefault="00C54155" w:rsidP="00C54155">
      <w:pPr>
        <w:pStyle w:val="NoSpacing"/>
        <w:spacing w:line="480" w:lineRule="auto"/>
        <w:jc w:val="both"/>
        <w:rPr>
          <w:rFonts w:ascii="Times New Roman" w:hAnsi="Times New Roman" w:cs="Times New Roman"/>
          <w:sz w:val="24"/>
          <w:szCs w:val="24"/>
        </w:rPr>
      </w:pPr>
    </w:p>
    <w:p w14:paraId="1D3B866E" w14:textId="77777777" w:rsidR="005059B1" w:rsidRPr="00D87DBA" w:rsidRDefault="005059B1" w:rsidP="00C54155">
      <w:pPr>
        <w:pStyle w:val="NoSpacing"/>
        <w:spacing w:line="480" w:lineRule="auto"/>
        <w:jc w:val="both"/>
        <w:rPr>
          <w:rFonts w:ascii="Times New Roman" w:hAnsi="Times New Roman" w:cs="Times New Roman"/>
          <w:sz w:val="24"/>
          <w:szCs w:val="24"/>
          <w:u w:val="single"/>
        </w:rPr>
      </w:pPr>
      <w:r w:rsidRPr="00D87DBA">
        <w:rPr>
          <w:rFonts w:ascii="Times New Roman" w:hAnsi="Times New Roman" w:cs="Times New Roman"/>
          <w:sz w:val="24"/>
          <w:szCs w:val="24"/>
          <w:u w:val="single"/>
        </w:rPr>
        <w:t>Address for correspondence</w:t>
      </w:r>
    </w:p>
    <w:p w14:paraId="0FA0ED79" w14:textId="456C4FCA" w:rsidR="005059B1" w:rsidRPr="00D87DBA" w:rsidRDefault="00F238DC" w:rsidP="00C54155">
      <w:pPr>
        <w:pStyle w:val="NoSpacing"/>
        <w:spacing w:line="480" w:lineRule="auto"/>
        <w:jc w:val="both"/>
        <w:rPr>
          <w:rFonts w:ascii="Times New Roman" w:hAnsi="Times New Roman" w:cs="Times New Roman"/>
          <w:sz w:val="24"/>
          <w:szCs w:val="24"/>
        </w:rPr>
      </w:pPr>
      <w:r w:rsidRPr="00D87DBA">
        <w:rPr>
          <w:rFonts w:ascii="Times New Roman" w:hAnsi="Times New Roman" w:cs="Times New Roman"/>
          <w:sz w:val="24"/>
          <w:szCs w:val="24"/>
        </w:rPr>
        <w:t>Prof</w:t>
      </w:r>
      <w:r w:rsidR="00D81957" w:rsidRPr="00D87DBA">
        <w:rPr>
          <w:rFonts w:ascii="Times New Roman" w:hAnsi="Times New Roman" w:cs="Times New Roman"/>
          <w:sz w:val="24"/>
          <w:szCs w:val="24"/>
        </w:rPr>
        <w:t>essor</w:t>
      </w:r>
      <w:r w:rsidR="005059B1" w:rsidRPr="00D87DBA">
        <w:rPr>
          <w:rFonts w:ascii="Times New Roman" w:hAnsi="Times New Roman" w:cs="Times New Roman"/>
          <w:sz w:val="24"/>
          <w:szCs w:val="24"/>
        </w:rPr>
        <w:t xml:space="preserve"> Vassilios S Vassiliou</w:t>
      </w:r>
    </w:p>
    <w:p w14:paraId="2BC307AF" w14:textId="77777777" w:rsidR="005059B1" w:rsidRPr="00D87DBA" w:rsidRDefault="005059B1" w:rsidP="00C54155">
      <w:pPr>
        <w:pStyle w:val="NoSpacing"/>
        <w:spacing w:line="480" w:lineRule="auto"/>
        <w:jc w:val="both"/>
        <w:rPr>
          <w:rFonts w:ascii="Times New Roman" w:hAnsi="Times New Roman" w:cs="Times New Roman"/>
          <w:sz w:val="24"/>
          <w:szCs w:val="24"/>
        </w:rPr>
      </w:pPr>
      <w:r w:rsidRPr="00D87DBA">
        <w:rPr>
          <w:rStyle w:val="value"/>
          <w:rFonts w:ascii="Times New Roman" w:hAnsi="Times New Roman" w:cs="Times New Roman"/>
          <w:sz w:val="24"/>
          <w:szCs w:val="24"/>
        </w:rPr>
        <w:t>2.06 Bob Champion Research &amp; Education Building</w:t>
      </w:r>
    </w:p>
    <w:p w14:paraId="528E9A6D" w14:textId="52CF81C0" w:rsidR="00B17374" w:rsidRPr="00D87DBA" w:rsidRDefault="005059B1" w:rsidP="00C54155">
      <w:pPr>
        <w:pStyle w:val="NoSpacing"/>
        <w:spacing w:line="480" w:lineRule="auto"/>
        <w:jc w:val="both"/>
        <w:rPr>
          <w:rFonts w:ascii="Times New Roman" w:hAnsi="Times New Roman" w:cs="Times New Roman"/>
          <w:sz w:val="24"/>
          <w:szCs w:val="24"/>
        </w:rPr>
      </w:pPr>
      <w:r w:rsidRPr="00D87DBA">
        <w:rPr>
          <w:rFonts w:ascii="Times New Roman" w:hAnsi="Times New Roman" w:cs="Times New Roman"/>
          <w:sz w:val="24"/>
          <w:szCs w:val="24"/>
        </w:rPr>
        <w:t>Norwich Medical School</w:t>
      </w:r>
      <w:r w:rsidR="00C54155">
        <w:rPr>
          <w:rFonts w:ascii="Times New Roman" w:hAnsi="Times New Roman" w:cs="Times New Roman"/>
          <w:sz w:val="24"/>
          <w:szCs w:val="24"/>
        </w:rPr>
        <w:t xml:space="preserve">, </w:t>
      </w:r>
      <w:r w:rsidRPr="00D87DBA">
        <w:rPr>
          <w:rFonts w:ascii="Times New Roman" w:hAnsi="Times New Roman" w:cs="Times New Roman"/>
          <w:sz w:val="24"/>
          <w:szCs w:val="24"/>
        </w:rPr>
        <w:t>University of East Anglia</w:t>
      </w:r>
    </w:p>
    <w:p w14:paraId="740A9E69" w14:textId="6D475947" w:rsidR="005059B1" w:rsidRPr="00D87DBA" w:rsidRDefault="005059B1" w:rsidP="00C54155">
      <w:pPr>
        <w:pStyle w:val="NoSpacing"/>
        <w:spacing w:line="480" w:lineRule="auto"/>
        <w:jc w:val="both"/>
        <w:rPr>
          <w:rFonts w:ascii="Times New Roman" w:hAnsi="Times New Roman" w:cs="Times New Roman"/>
          <w:sz w:val="24"/>
          <w:szCs w:val="24"/>
        </w:rPr>
      </w:pPr>
      <w:r w:rsidRPr="00D87DBA">
        <w:rPr>
          <w:rFonts w:ascii="Times New Roman" w:hAnsi="Times New Roman" w:cs="Times New Roman"/>
          <w:sz w:val="24"/>
          <w:szCs w:val="24"/>
        </w:rPr>
        <w:t>Norwich</w:t>
      </w:r>
      <w:r w:rsidR="00C54155">
        <w:rPr>
          <w:rFonts w:ascii="Times New Roman" w:hAnsi="Times New Roman" w:cs="Times New Roman"/>
          <w:sz w:val="24"/>
          <w:szCs w:val="24"/>
        </w:rPr>
        <w:t xml:space="preserve">, </w:t>
      </w:r>
      <w:r w:rsidRPr="00D87DBA">
        <w:rPr>
          <w:rFonts w:ascii="Times New Roman" w:hAnsi="Times New Roman" w:cs="Times New Roman"/>
          <w:sz w:val="24"/>
          <w:szCs w:val="24"/>
        </w:rPr>
        <w:t>NR4 7TJ</w:t>
      </w:r>
    </w:p>
    <w:p w14:paraId="566C1A2E" w14:textId="77777777" w:rsidR="005059B1" w:rsidRPr="00D87DBA" w:rsidRDefault="005059B1" w:rsidP="00C54155">
      <w:pPr>
        <w:pStyle w:val="NoSpacing"/>
        <w:spacing w:line="480" w:lineRule="auto"/>
        <w:jc w:val="both"/>
        <w:rPr>
          <w:rStyle w:val="Strong1"/>
          <w:rFonts w:ascii="Times New Roman" w:hAnsi="Times New Roman" w:cs="Times New Roman"/>
          <w:sz w:val="24"/>
          <w:szCs w:val="24"/>
        </w:rPr>
      </w:pPr>
      <w:r w:rsidRPr="00D87DBA">
        <w:rPr>
          <w:rFonts w:ascii="Times New Roman" w:hAnsi="Times New Roman" w:cs="Times New Roman"/>
          <w:sz w:val="24"/>
          <w:szCs w:val="24"/>
        </w:rPr>
        <w:t xml:space="preserve">Email: </w:t>
      </w:r>
      <w:hyperlink r:id="rId8" w:history="1">
        <w:r w:rsidRPr="00D87DBA">
          <w:rPr>
            <w:rStyle w:val="Hyperlink"/>
            <w:rFonts w:ascii="Times New Roman" w:hAnsi="Times New Roman" w:cs="Times New Roman"/>
            <w:sz w:val="24"/>
            <w:szCs w:val="24"/>
          </w:rPr>
          <w:t>v.vassiliou@uea.ac.uk</w:t>
        </w:r>
      </w:hyperlink>
      <w:r w:rsidRPr="00D87DBA">
        <w:rPr>
          <w:rStyle w:val="Hyperlink"/>
          <w:rFonts w:ascii="Times New Roman" w:hAnsi="Times New Roman" w:cs="Times New Roman"/>
          <w:sz w:val="24"/>
          <w:szCs w:val="24"/>
        </w:rPr>
        <w:t xml:space="preserve">, </w:t>
      </w:r>
      <w:r w:rsidRPr="00D87DBA">
        <w:rPr>
          <w:rFonts w:ascii="Times New Roman" w:hAnsi="Times New Roman" w:cs="Times New Roman"/>
          <w:sz w:val="24"/>
          <w:szCs w:val="24"/>
        </w:rPr>
        <w:t xml:space="preserve">Telephone: </w:t>
      </w:r>
      <w:r w:rsidRPr="00D87DBA">
        <w:rPr>
          <w:rStyle w:val="value"/>
          <w:rFonts w:ascii="Times New Roman" w:hAnsi="Times New Roman" w:cs="Times New Roman"/>
          <w:sz w:val="24"/>
          <w:szCs w:val="24"/>
        </w:rPr>
        <w:t xml:space="preserve">+44 (0)1603 59 </w:t>
      </w:r>
      <w:r w:rsidRPr="00D87DBA">
        <w:rPr>
          <w:rStyle w:val="Strong1"/>
          <w:rFonts w:ascii="Times New Roman" w:hAnsi="Times New Roman" w:cs="Times New Roman"/>
          <w:sz w:val="24"/>
          <w:szCs w:val="24"/>
        </w:rPr>
        <w:t>2534</w:t>
      </w:r>
    </w:p>
    <w:p w14:paraId="6F88E369" w14:textId="54E1E4E2" w:rsidR="005059B1" w:rsidRDefault="002A72E6" w:rsidP="00C54155">
      <w:pPr>
        <w:spacing w:line="480" w:lineRule="auto"/>
      </w:pPr>
      <w:r w:rsidRPr="00D87DBA">
        <w:rPr>
          <w:rFonts w:ascii="Times New Roman" w:hAnsi="Times New Roman" w:cs="Times New Roman"/>
          <w:sz w:val="24"/>
          <w:szCs w:val="24"/>
        </w:rPr>
        <w:t>Word count:</w:t>
      </w:r>
      <w:r w:rsidR="00C54155">
        <w:rPr>
          <w:rFonts w:ascii="Times New Roman" w:hAnsi="Times New Roman" w:cs="Times New Roman"/>
          <w:sz w:val="24"/>
          <w:szCs w:val="24"/>
        </w:rPr>
        <w:t xml:space="preserve"> </w:t>
      </w:r>
      <w:r w:rsidR="00B97226">
        <w:rPr>
          <w:rFonts w:ascii="Times New Roman" w:hAnsi="Times New Roman" w:cs="Times New Roman"/>
          <w:sz w:val="24"/>
          <w:szCs w:val="24"/>
        </w:rPr>
        <w:t>4</w:t>
      </w:r>
      <w:r w:rsidR="002E371A">
        <w:rPr>
          <w:rFonts w:ascii="Times New Roman" w:hAnsi="Times New Roman" w:cs="Times New Roman"/>
          <w:sz w:val="24"/>
          <w:szCs w:val="24"/>
        </w:rPr>
        <w:t>575</w:t>
      </w:r>
      <w:r w:rsidR="005059B1">
        <w:br w:type="page"/>
      </w:r>
    </w:p>
    <w:p w14:paraId="4124B6C6" w14:textId="62DA988E" w:rsidR="00024578" w:rsidRDefault="00024578" w:rsidP="0002457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Funding: </w:t>
      </w:r>
      <w:r>
        <w:rPr>
          <w:rFonts w:ascii="Times New Roman" w:hAnsi="Times New Roman" w:cs="Times New Roman"/>
          <w:sz w:val="24"/>
          <w:szCs w:val="24"/>
        </w:rPr>
        <w:t xml:space="preserve">This is an investigator-initiated study partially supported by the National Institute for Health Research Capability Fund from Norfolk and Norwich University Hospital and B Braun Ltd. Dr Corballis was an NIHR Academic Clinical Fellow. </w:t>
      </w:r>
      <w:r w:rsidR="00796E82">
        <w:rPr>
          <w:rFonts w:ascii="Times New Roman" w:hAnsi="Times New Roman" w:cs="Times New Roman"/>
          <w:sz w:val="24"/>
          <w:szCs w:val="24"/>
        </w:rPr>
        <w:t>JR received funding as an NIHR Clinical Lecturer.</w:t>
      </w:r>
    </w:p>
    <w:p w14:paraId="38849F33" w14:textId="77777777" w:rsidR="00024578" w:rsidRDefault="00024578" w:rsidP="00024578">
      <w:pPr>
        <w:spacing w:after="0" w:line="480" w:lineRule="auto"/>
        <w:jc w:val="both"/>
        <w:rPr>
          <w:rFonts w:ascii="Times New Roman" w:hAnsi="Times New Roman" w:cs="Times New Roman"/>
          <w:sz w:val="24"/>
          <w:szCs w:val="24"/>
        </w:rPr>
      </w:pPr>
    </w:p>
    <w:p w14:paraId="52DC3620" w14:textId="77777777" w:rsidR="00024578" w:rsidRDefault="00024578" w:rsidP="00024578">
      <w:pPr>
        <w:rPr>
          <w:rFonts w:ascii="Times New Roman" w:hAnsi="Times New Roman" w:cs="Times New Roman"/>
          <w:b/>
          <w:sz w:val="24"/>
          <w:szCs w:val="24"/>
        </w:rPr>
      </w:pPr>
      <w:r>
        <w:rPr>
          <w:rFonts w:ascii="Times New Roman" w:hAnsi="Times New Roman" w:cs="Times New Roman"/>
          <w:b/>
          <w:sz w:val="24"/>
          <w:szCs w:val="24"/>
        </w:rPr>
        <w:t xml:space="preserve">Conflicts of interest / competing interests: </w:t>
      </w:r>
    </w:p>
    <w:p w14:paraId="65155838" w14:textId="77777777" w:rsidR="00024578" w:rsidRPr="00307CE7" w:rsidRDefault="00024578" w:rsidP="0002457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VSV </w:t>
      </w:r>
      <w:r w:rsidRPr="00307CE7">
        <w:rPr>
          <w:rFonts w:ascii="Times New Roman" w:hAnsi="Times New Roman" w:cs="Times New Roman"/>
          <w:sz w:val="24"/>
          <w:szCs w:val="24"/>
        </w:rPr>
        <w:t xml:space="preserve">received honoraria for speaking at conferences by </w:t>
      </w:r>
      <w:proofErr w:type="spellStart"/>
      <w:r w:rsidRPr="00307CE7">
        <w:rPr>
          <w:rFonts w:ascii="Times New Roman" w:hAnsi="Times New Roman" w:cs="Times New Roman"/>
          <w:sz w:val="24"/>
          <w:szCs w:val="24"/>
        </w:rPr>
        <w:t>Daichii</w:t>
      </w:r>
      <w:proofErr w:type="spellEnd"/>
      <w:r w:rsidRPr="00307CE7">
        <w:rPr>
          <w:rFonts w:ascii="Times New Roman" w:hAnsi="Times New Roman" w:cs="Times New Roman"/>
          <w:sz w:val="24"/>
          <w:szCs w:val="24"/>
        </w:rPr>
        <w:t>-Sankyo and Novartis</w:t>
      </w:r>
      <w:r>
        <w:rPr>
          <w:rFonts w:ascii="Times New Roman" w:hAnsi="Times New Roman" w:cs="Times New Roman"/>
          <w:sz w:val="24"/>
          <w:szCs w:val="24"/>
        </w:rPr>
        <w:t xml:space="preserve"> and a research grant from B Braun for investigator-initiated research.</w:t>
      </w:r>
    </w:p>
    <w:p w14:paraId="7EE63A13" w14:textId="22199FC2" w:rsidR="00024578" w:rsidRPr="00307CE7" w:rsidRDefault="00024578" w:rsidP="0002457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SCE</w:t>
      </w:r>
      <w:r w:rsidRPr="00307CE7">
        <w:rPr>
          <w:rFonts w:ascii="Times New Roman" w:hAnsi="Times New Roman" w:cs="Times New Roman"/>
          <w:sz w:val="24"/>
          <w:szCs w:val="24"/>
        </w:rPr>
        <w:t xml:space="preserve"> received research grants</w:t>
      </w:r>
      <w:r>
        <w:rPr>
          <w:rFonts w:ascii="Times New Roman" w:hAnsi="Times New Roman" w:cs="Times New Roman"/>
          <w:sz w:val="24"/>
          <w:szCs w:val="24"/>
        </w:rPr>
        <w:t xml:space="preserve"> for investigator-initiated research</w:t>
      </w:r>
      <w:r w:rsidRPr="00307CE7">
        <w:rPr>
          <w:rFonts w:ascii="Times New Roman" w:hAnsi="Times New Roman" w:cs="Times New Roman"/>
          <w:sz w:val="24"/>
          <w:szCs w:val="24"/>
        </w:rPr>
        <w:t xml:space="preserve"> and lecture honoraria from B Braun</w:t>
      </w:r>
      <w:r>
        <w:rPr>
          <w:rFonts w:ascii="Times New Roman" w:hAnsi="Times New Roman" w:cs="Times New Roman"/>
          <w:sz w:val="24"/>
          <w:szCs w:val="24"/>
        </w:rPr>
        <w:t xml:space="preserve">. He also acts as a consultant for B Braun, Medtronic and </w:t>
      </w:r>
      <w:proofErr w:type="spellStart"/>
      <w:r>
        <w:rPr>
          <w:rFonts w:ascii="Times New Roman" w:hAnsi="Times New Roman" w:cs="Times New Roman"/>
          <w:sz w:val="24"/>
          <w:szCs w:val="24"/>
        </w:rPr>
        <w:t>MedAl</w:t>
      </w:r>
      <w:r w:rsidR="00846047">
        <w:rPr>
          <w:rFonts w:ascii="Times New Roman" w:hAnsi="Times New Roman" w:cs="Times New Roman"/>
          <w:sz w:val="24"/>
          <w:szCs w:val="24"/>
        </w:rPr>
        <w:t>l</w:t>
      </w:r>
      <w:r>
        <w:rPr>
          <w:rFonts w:ascii="Times New Roman" w:hAnsi="Times New Roman" w:cs="Times New Roman"/>
          <w:sz w:val="24"/>
          <w:szCs w:val="24"/>
        </w:rPr>
        <w:t>iance</w:t>
      </w:r>
      <w:proofErr w:type="spellEnd"/>
      <w:r>
        <w:rPr>
          <w:rFonts w:ascii="Times New Roman" w:hAnsi="Times New Roman" w:cs="Times New Roman"/>
          <w:sz w:val="24"/>
          <w:szCs w:val="24"/>
        </w:rPr>
        <w:t>.</w:t>
      </w:r>
    </w:p>
    <w:p w14:paraId="614EF405" w14:textId="77777777" w:rsidR="00024578" w:rsidRDefault="00024578" w:rsidP="00024578">
      <w:pPr>
        <w:pStyle w:val="NoSpacing"/>
        <w:spacing w:line="480" w:lineRule="auto"/>
        <w:jc w:val="both"/>
        <w:rPr>
          <w:rFonts w:ascii="Times New Roman" w:hAnsi="Times New Roman" w:cs="Times New Roman"/>
          <w:sz w:val="24"/>
          <w:szCs w:val="24"/>
        </w:rPr>
      </w:pPr>
      <w:r w:rsidRPr="00307CE7">
        <w:rPr>
          <w:rFonts w:ascii="Times New Roman" w:hAnsi="Times New Roman" w:cs="Times New Roman"/>
          <w:sz w:val="24"/>
          <w:szCs w:val="24"/>
        </w:rPr>
        <w:t>The other authors</w:t>
      </w:r>
      <w:r>
        <w:rPr>
          <w:rFonts w:ascii="Times New Roman" w:hAnsi="Times New Roman" w:cs="Times New Roman"/>
          <w:sz w:val="24"/>
          <w:szCs w:val="24"/>
        </w:rPr>
        <w:t xml:space="preserve"> have nothing to declare.</w:t>
      </w:r>
    </w:p>
    <w:p w14:paraId="763C2427" w14:textId="77777777" w:rsidR="00024578" w:rsidRDefault="00024578" w:rsidP="00C54155">
      <w:pPr>
        <w:pStyle w:val="NoSpacing"/>
        <w:spacing w:line="480" w:lineRule="auto"/>
        <w:rPr>
          <w:rFonts w:ascii="Times New Roman" w:hAnsi="Times New Roman" w:cs="Times New Roman"/>
          <w:b/>
          <w:sz w:val="24"/>
          <w:szCs w:val="24"/>
        </w:rPr>
      </w:pPr>
    </w:p>
    <w:p w14:paraId="517CF08A" w14:textId="77777777" w:rsidR="00024578" w:rsidRDefault="00024578">
      <w:pPr>
        <w:rPr>
          <w:rFonts w:ascii="Times New Roman" w:hAnsi="Times New Roman" w:cs="Times New Roman"/>
          <w:b/>
          <w:sz w:val="24"/>
          <w:szCs w:val="24"/>
        </w:rPr>
      </w:pPr>
      <w:r>
        <w:rPr>
          <w:rFonts w:ascii="Times New Roman" w:hAnsi="Times New Roman" w:cs="Times New Roman"/>
          <w:b/>
          <w:sz w:val="24"/>
          <w:szCs w:val="24"/>
        </w:rPr>
        <w:br w:type="page"/>
      </w:r>
    </w:p>
    <w:p w14:paraId="342B159E" w14:textId="7C43D630" w:rsidR="005059B1" w:rsidRPr="00C54155" w:rsidRDefault="005059B1" w:rsidP="00C54155">
      <w:pPr>
        <w:pStyle w:val="NoSpacing"/>
        <w:spacing w:line="480" w:lineRule="auto"/>
        <w:rPr>
          <w:rFonts w:ascii="Times New Roman" w:hAnsi="Times New Roman" w:cs="Times New Roman"/>
          <w:b/>
          <w:sz w:val="24"/>
          <w:szCs w:val="24"/>
        </w:rPr>
      </w:pPr>
      <w:r w:rsidRPr="005059B1">
        <w:rPr>
          <w:rFonts w:ascii="Times New Roman" w:hAnsi="Times New Roman" w:cs="Times New Roman"/>
          <w:b/>
          <w:sz w:val="24"/>
          <w:szCs w:val="24"/>
        </w:rPr>
        <w:lastRenderedPageBreak/>
        <w:t>A</w:t>
      </w:r>
      <w:r w:rsidR="002A72E6">
        <w:rPr>
          <w:rFonts w:ascii="Times New Roman" w:hAnsi="Times New Roman" w:cs="Times New Roman"/>
          <w:b/>
          <w:sz w:val="24"/>
          <w:szCs w:val="24"/>
        </w:rPr>
        <w:t>bstract</w:t>
      </w:r>
    </w:p>
    <w:p w14:paraId="7A7EE4FA" w14:textId="207958D5" w:rsidR="00B17374" w:rsidRDefault="00DD79A0" w:rsidP="00C54155">
      <w:pPr>
        <w:pStyle w:val="NoSpacing"/>
        <w:spacing w:line="480" w:lineRule="auto"/>
        <w:jc w:val="both"/>
        <w:rPr>
          <w:rFonts w:ascii="Times New Roman" w:hAnsi="Times New Roman" w:cs="Times New Roman"/>
          <w:sz w:val="24"/>
          <w:szCs w:val="24"/>
        </w:rPr>
      </w:pPr>
      <w:r w:rsidRPr="00B17374">
        <w:rPr>
          <w:rFonts w:ascii="Times New Roman" w:hAnsi="Times New Roman" w:cs="Times New Roman"/>
          <w:sz w:val="24"/>
          <w:szCs w:val="24"/>
          <w:u w:val="single"/>
        </w:rPr>
        <w:t>Background</w:t>
      </w:r>
      <w:r w:rsidR="005059B1">
        <w:rPr>
          <w:rFonts w:ascii="Times New Roman" w:hAnsi="Times New Roman" w:cs="Times New Roman"/>
          <w:sz w:val="24"/>
          <w:szCs w:val="24"/>
        </w:rPr>
        <w:t xml:space="preserve">: </w:t>
      </w:r>
      <w:r>
        <w:rPr>
          <w:rFonts w:ascii="Times New Roman" w:hAnsi="Times New Roman" w:cs="Times New Roman"/>
          <w:sz w:val="24"/>
          <w:szCs w:val="24"/>
        </w:rPr>
        <w:t>Primary percutaneous coronary intervention (</w:t>
      </w:r>
      <w:proofErr w:type="spellStart"/>
      <w:r w:rsidR="00C7268E">
        <w:rPr>
          <w:rFonts w:ascii="Times New Roman" w:hAnsi="Times New Roman" w:cs="Times New Roman"/>
          <w:sz w:val="24"/>
          <w:szCs w:val="24"/>
        </w:rPr>
        <w:t>p</w:t>
      </w:r>
      <w:r>
        <w:rPr>
          <w:rFonts w:ascii="Times New Roman" w:hAnsi="Times New Roman" w:cs="Times New Roman"/>
          <w:sz w:val="24"/>
          <w:szCs w:val="24"/>
        </w:rPr>
        <w:t>PCI</w:t>
      </w:r>
      <w:proofErr w:type="spellEnd"/>
      <w:r>
        <w:rPr>
          <w:rFonts w:ascii="Times New Roman" w:hAnsi="Times New Roman" w:cs="Times New Roman"/>
          <w:sz w:val="24"/>
          <w:szCs w:val="24"/>
        </w:rPr>
        <w:t xml:space="preserve">) </w:t>
      </w:r>
      <w:r w:rsidR="00F27B92">
        <w:rPr>
          <w:rFonts w:ascii="Times New Roman" w:hAnsi="Times New Roman" w:cs="Times New Roman"/>
          <w:sz w:val="24"/>
          <w:szCs w:val="24"/>
        </w:rPr>
        <w:t xml:space="preserve">with drug </w:t>
      </w:r>
      <w:r>
        <w:rPr>
          <w:rFonts w:ascii="Times New Roman" w:hAnsi="Times New Roman" w:cs="Times New Roman"/>
          <w:sz w:val="24"/>
          <w:szCs w:val="24"/>
        </w:rPr>
        <w:t xml:space="preserve">eluting stents (DES) </w:t>
      </w:r>
      <w:r w:rsidR="001B0941">
        <w:rPr>
          <w:rFonts w:ascii="Times New Roman" w:hAnsi="Times New Roman" w:cs="Times New Roman"/>
          <w:sz w:val="24"/>
          <w:szCs w:val="24"/>
        </w:rPr>
        <w:t xml:space="preserve">has </w:t>
      </w:r>
      <w:r>
        <w:rPr>
          <w:rFonts w:ascii="Times New Roman" w:hAnsi="Times New Roman" w:cs="Times New Roman"/>
          <w:sz w:val="24"/>
          <w:szCs w:val="24"/>
        </w:rPr>
        <w:t xml:space="preserve">emerged as the standard of </w:t>
      </w:r>
      <w:r w:rsidR="00807B37">
        <w:rPr>
          <w:rFonts w:ascii="Times New Roman" w:hAnsi="Times New Roman" w:cs="Times New Roman"/>
          <w:sz w:val="24"/>
          <w:szCs w:val="24"/>
        </w:rPr>
        <w:t>care,</w:t>
      </w:r>
      <w:r>
        <w:rPr>
          <w:rFonts w:ascii="Times New Roman" w:hAnsi="Times New Roman" w:cs="Times New Roman"/>
          <w:sz w:val="24"/>
          <w:szCs w:val="24"/>
        </w:rPr>
        <w:t xml:space="preserve"> but stent related events have persisted. Drug coated balloon (DCB)-only angioplasty is an emerging technology, </w:t>
      </w:r>
      <w:r w:rsidR="00F27B92">
        <w:rPr>
          <w:rFonts w:ascii="Times New Roman" w:hAnsi="Times New Roman" w:cs="Times New Roman"/>
          <w:sz w:val="24"/>
          <w:szCs w:val="24"/>
        </w:rPr>
        <w:t xml:space="preserve">although </w:t>
      </w:r>
      <w:r>
        <w:rPr>
          <w:rFonts w:ascii="Times New Roman" w:hAnsi="Times New Roman" w:cs="Times New Roman"/>
          <w:sz w:val="24"/>
          <w:szCs w:val="24"/>
        </w:rPr>
        <w:t xml:space="preserve">not fully evaluated compared with DES in context of </w:t>
      </w:r>
      <w:proofErr w:type="spellStart"/>
      <w:r w:rsidR="00C7268E">
        <w:rPr>
          <w:rFonts w:ascii="Times New Roman" w:hAnsi="Times New Roman" w:cs="Times New Roman"/>
          <w:sz w:val="24"/>
          <w:szCs w:val="24"/>
        </w:rPr>
        <w:t>p</w:t>
      </w:r>
      <w:r w:rsidRPr="003506EE">
        <w:rPr>
          <w:rFonts w:ascii="Times New Roman" w:hAnsi="Times New Roman" w:cs="Times New Roman"/>
          <w:sz w:val="24"/>
          <w:szCs w:val="24"/>
        </w:rPr>
        <w:t>PCI</w:t>
      </w:r>
      <w:proofErr w:type="spellEnd"/>
      <w:r w:rsidRPr="003506EE">
        <w:rPr>
          <w:rFonts w:ascii="Times New Roman" w:hAnsi="Times New Roman" w:cs="Times New Roman"/>
          <w:sz w:val="24"/>
          <w:szCs w:val="24"/>
        </w:rPr>
        <w:t xml:space="preserve">. </w:t>
      </w:r>
      <w:r w:rsidR="005059B1">
        <w:rPr>
          <w:rFonts w:ascii="Times New Roman" w:hAnsi="Times New Roman" w:cs="Times New Roman"/>
          <w:sz w:val="24"/>
          <w:szCs w:val="24"/>
        </w:rPr>
        <w:t>We aimed to investigate the saf</w:t>
      </w:r>
      <w:r>
        <w:rPr>
          <w:rFonts w:ascii="Times New Roman" w:hAnsi="Times New Roman" w:cs="Times New Roman"/>
          <w:sz w:val="24"/>
          <w:szCs w:val="24"/>
        </w:rPr>
        <w:t>ety of DCB</w:t>
      </w:r>
      <w:r w:rsidR="005059B1">
        <w:rPr>
          <w:rFonts w:ascii="Times New Roman" w:hAnsi="Times New Roman" w:cs="Times New Roman"/>
          <w:sz w:val="24"/>
          <w:szCs w:val="24"/>
        </w:rPr>
        <w:t>-only angioplasty compared to</w:t>
      </w:r>
      <w:r w:rsidR="00E2554D">
        <w:rPr>
          <w:rFonts w:ascii="Times New Roman" w:hAnsi="Times New Roman" w:cs="Times New Roman"/>
          <w:sz w:val="24"/>
          <w:szCs w:val="24"/>
        </w:rPr>
        <w:t xml:space="preserve"> 2</w:t>
      </w:r>
      <w:r w:rsidR="00E2554D" w:rsidRPr="00D377E4">
        <w:rPr>
          <w:rFonts w:ascii="Times New Roman" w:hAnsi="Times New Roman" w:cs="Times New Roman"/>
          <w:sz w:val="24"/>
          <w:szCs w:val="24"/>
          <w:vertAlign w:val="superscript"/>
        </w:rPr>
        <w:t>nd</w:t>
      </w:r>
      <w:r w:rsidR="00E2554D">
        <w:rPr>
          <w:rFonts w:ascii="Times New Roman" w:hAnsi="Times New Roman" w:cs="Times New Roman"/>
          <w:sz w:val="24"/>
          <w:szCs w:val="24"/>
        </w:rPr>
        <w:t xml:space="preserve"> generation</w:t>
      </w:r>
      <w:r w:rsidR="005059B1">
        <w:rPr>
          <w:rFonts w:ascii="Times New Roman" w:hAnsi="Times New Roman" w:cs="Times New Roman"/>
          <w:sz w:val="24"/>
          <w:szCs w:val="24"/>
        </w:rPr>
        <w:t xml:space="preserve"> </w:t>
      </w:r>
      <w:r>
        <w:rPr>
          <w:rFonts w:ascii="Times New Roman" w:hAnsi="Times New Roman" w:cs="Times New Roman"/>
          <w:sz w:val="24"/>
          <w:szCs w:val="24"/>
        </w:rPr>
        <w:t>DES</w:t>
      </w:r>
      <w:r w:rsidR="00363711">
        <w:rPr>
          <w:rFonts w:ascii="Times New Roman" w:hAnsi="Times New Roman" w:cs="Times New Roman"/>
          <w:sz w:val="24"/>
          <w:szCs w:val="24"/>
        </w:rPr>
        <w:t xml:space="preserve"> </w:t>
      </w:r>
      <w:r>
        <w:rPr>
          <w:rFonts w:ascii="Times New Roman" w:hAnsi="Times New Roman" w:cs="Times New Roman"/>
          <w:sz w:val="24"/>
          <w:szCs w:val="24"/>
        </w:rPr>
        <w:t xml:space="preserve">in </w:t>
      </w:r>
      <w:proofErr w:type="spellStart"/>
      <w:r w:rsidR="00C7268E">
        <w:rPr>
          <w:rFonts w:ascii="Times New Roman" w:hAnsi="Times New Roman" w:cs="Times New Roman"/>
          <w:sz w:val="24"/>
          <w:szCs w:val="24"/>
        </w:rPr>
        <w:t>p</w:t>
      </w:r>
      <w:r>
        <w:rPr>
          <w:rFonts w:ascii="Times New Roman" w:hAnsi="Times New Roman" w:cs="Times New Roman"/>
          <w:sz w:val="24"/>
          <w:szCs w:val="24"/>
        </w:rPr>
        <w:t>PCI</w:t>
      </w:r>
      <w:proofErr w:type="spellEnd"/>
      <w:r>
        <w:rPr>
          <w:rFonts w:ascii="Times New Roman" w:hAnsi="Times New Roman" w:cs="Times New Roman"/>
          <w:sz w:val="24"/>
          <w:szCs w:val="24"/>
        </w:rPr>
        <w:t>.</w:t>
      </w:r>
    </w:p>
    <w:p w14:paraId="70D70460" w14:textId="46F2D21B" w:rsidR="00B17374" w:rsidRDefault="00530B55" w:rsidP="00C54155">
      <w:pPr>
        <w:pStyle w:val="NoSpacing"/>
        <w:spacing w:line="480" w:lineRule="auto"/>
        <w:jc w:val="both"/>
        <w:rPr>
          <w:rFonts w:ascii="Times New Roman" w:hAnsi="Times New Roman" w:cs="Times New Roman"/>
          <w:sz w:val="24"/>
          <w:szCs w:val="24"/>
        </w:rPr>
      </w:pPr>
      <w:bookmarkStart w:id="0" w:name="_Hlk118745104"/>
      <w:r w:rsidRPr="00B17374">
        <w:rPr>
          <w:rFonts w:ascii="Times New Roman" w:hAnsi="Times New Roman" w:cs="Times New Roman"/>
          <w:sz w:val="24"/>
          <w:szCs w:val="24"/>
          <w:u w:val="single"/>
        </w:rPr>
        <w:t>Methods</w:t>
      </w:r>
      <w:r w:rsidRPr="003506EE">
        <w:rPr>
          <w:rFonts w:ascii="Times New Roman" w:hAnsi="Times New Roman" w:cs="Times New Roman"/>
          <w:sz w:val="24"/>
          <w:szCs w:val="24"/>
        </w:rPr>
        <w:t xml:space="preserve">: </w:t>
      </w:r>
      <w:r w:rsidR="00807B37">
        <w:rPr>
          <w:rFonts w:ascii="Times New Roman" w:hAnsi="Times New Roman" w:cs="Times New Roman"/>
          <w:sz w:val="24"/>
          <w:szCs w:val="24"/>
        </w:rPr>
        <w:t>W</w:t>
      </w:r>
      <w:r w:rsidRPr="003506EE">
        <w:rPr>
          <w:rFonts w:ascii="Times New Roman" w:hAnsi="Times New Roman" w:cs="Times New Roman"/>
          <w:sz w:val="24"/>
          <w:szCs w:val="24"/>
        </w:rPr>
        <w:t>e compared all-cause mortality</w:t>
      </w:r>
      <w:r w:rsidR="00C744E6" w:rsidRPr="003506EE">
        <w:rPr>
          <w:rFonts w:ascii="Times New Roman" w:hAnsi="Times New Roman" w:cs="Times New Roman"/>
          <w:sz w:val="24"/>
          <w:szCs w:val="24"/>
        </w:rPr>
        <w:t xml:space="preserve"> and </w:t>
      </w:r>
      <w:r w:rsidR="00C7268E">
        <w:rPr>
          <w:rFonts w:ascii="Times New Roman" w:hAnsi="Times New Roman" w:cs="Times New Roman"/>
          <w:sz w:val="24"/>
          <w:szCs w:val="24"/>
        </w:rPr>
        <w:t>net adverse cardiac events</w:t>
      </w:r>
      <w:r w:rsidR="0009529F">
        <w:rPr>
          <w:rFonts w:ascii="Times New Roman" w:hAnsi="Times New Roman" w:cs="Times New Roman"/>
          <w:sz w:val="24"/>
          <w:szCs w:val="24"/>
        </w:rPr>
        <w:t xml:space="preserve"> (cardiovascular mortality, acute coronary syndrome, ischaemic stroke or transient ischaemic attack, major </w:t>
      </w:r>
      <w:proofErr w:type="gramStart"/>
      <w:r w:rsidR="0009529F">
        <w:rPr>
          <w:rFonts w:ascii="Times New Roman" w:hAnsi="Times New Roman" w:cs="Times New Roman"/>
          <w:sz w:val="24"/>
          <w:szCs w:val="24"/>
        </w:rPr>
        <w:t>bleeding</w:t>
      </w:r>
      <w:proofErr w:type="gramEnd"/>
      <w:r w:rsidR="0009529F">
        <w:rPr>
          <w:rFonts w:ascii="Times New Roman" w:hAnsi="Times New Roman" w:cs="Times New Roman"/>
          <w:sz w:val="24"/>
          <w:szCs w:val="24"/>
        </w:rPr>
        <w:t xml:space="preserve"> and unplanned target lesion revascularisation</w:t>
      </w:r>
      <w:r w:rsidR="000873E8">
        <w:rPr>
          <w:rFonts w:ascii="Times New Roman" w:hAnsi="Times New Roman" w:cs="Times New Roman"/>
          <w:sz w:val="24"/>
          <w:szCs w:val="24"/>
        </w:rPr>
        <w:t xml:space="preserve"> (TLR)</w:t>
      </w:r>
      <w:r w:rsidR="0009529F">
        <w:rPr>
          <w:rFonts w:ascii="Times New Roman" w:hAnsi="Times New Roman" w:cs="Times New Roman"/>
          <w:sz w:val="24"/>
          <w:szCs w:val="24"/>
        </w:rPr>
        <w:t xml:space="preserve">) of all </w:t>
      </w:r>
      <w:r>
        <w:rPr>
          <w:rFonts w:ascii="Times New Roman" w:hAnsi="Times New Roman" w:cs="Times New Roman"/>
          <w:sz w:val="24"/>
          <w:szCs w:val="24"/>
        </w:rPr>
        <w:t xml:space="preserve">patients treated with </w:t>
      </w:r>
      <w:r w:rsidRPr="00137652">
        <w:rPr>
          <w:rFonts w:ascii="Times New Roman" w:hAnsi="Times New Roman" w:cs="Times New Roman"/>
          <w:sz w:val="24"/>
          <w:szCs w:val="24"/>
          <w:highlight w:val="yellow"/>
        </w:rPr>
        <w:t>DCB</w:t>
      </w:r>
      <w:r w:rsidR="00137652" w:rsidRPr="00137652">
        <w:rPr>
          <w:rFonts w:ascii="Times New Roman" w:hAnsi="Times New Roman" w:cs="Times New Roman"/>
          <w:sz w:val="24"/>
          <w:szCs w:val="24"/>
          <w:highlight w:val="yellow"/>
        </w:rPr>
        <w:t xml:space="preserve">-only </w:t>
      </w:r>
      <w:r w:rsidRPr="00137652">
        <w:rPr>
          <w:rFonts w:ascii="Times New Roman" w:hAnsi="Times New Roman" w:cs="Times New Roman"/>
          <w:sz w:val="24"/>
          <w:szCs w:val="24"/>
          <w:highlight w:val="yellow"/>
        </w:rPr>
        <w:t>or 2</w:t>
      </w:r>
      <w:r w:rsidRPr="00137652">
        <w:rPr>
          <w:rFonts w:ascii="Times New Roman" w:hAnsi="Times New Roman" w:cs="Times New Roman"/>
          <w:sz w:val="24"/>
          <w:szCs w:val="24"/>
          <w:highlight w:val="yellow"/>
          <w:vertAlign w:val="superscript"/>
        </w:rPr>
        <w:t>nd</w:t>
      </w:r>
      <w:r w:rsidRPr="00137652">
        <w:rPr>
          <w:rFonts w:ascii="Times New Roman" w:hAnsi="Times New Roman" w:cs="Times New Roman"/>
          <w:sz w:val="24"/>
          <w:szCs w:val="24"/>
          <w:highlight w:val="yellow"/>
        </w:rPr>
        <w:t xml:space="preserve"> generation DES</w:t>
      </w:r>
      <w:r w:rsidR="00137652" w:rsidRPr="00137652">
        <w:rPr>
          <w:rFonts w:ascii="Times New Roman" w:hAnsi="Times New Roman" w:cs="Times New Roman"/>
          <w:sz w:val="24"/>
          <w:szCs w:val="24"/>
          <w:highlight w:val="yellow"/>
        </w:rPr>
        <w:t>-only</w:t>
      </w:r>
      <w:r w:rsidR="00433A67">
        <w:rPr>
          <w:rFonts w:ascii="Times New Roman" w:hAnsi="Times New Roman" w:cs="Times New Roman"/>
          <w:sz w:val="24"/>
          <w:szCs w:val="24"/>
        </w:rPr>
        <w:t xml:space="preserve"> for first presentation of </w:t>
      </w:r>
      <w:r w:rsidR="00E2554D">
        <w:rPr>
          <w:rFonts w:ascii="Times New Roman" w:hAnsi="Times New Roman" w:cs="Times New Roman"/>
          <w:sz w:val="24"/>
          <w:szCs w:val="24"/>
        </w:rPr>
        <w:t>STEMI</w:t>
      </w:r>
      <w:r>
        <w:rPr>
          <w:rFonts w:ascii="Times New Roman" w:hAnsi="Times New Roman" w:cs="Times New Roman"/>
          <w:sz w:val="24"/>
          <w:szCs w:val="24"/>
        </w:rPr>
        <w:t xml:space="preserve"> due to de novo disease between 1</w:t>
      </w:r>
      <w:r w:rsidRPr="00530B55">
        <w:rPr>
          <w:rFonts w:ascii="Times New Roman" w:hAnsi="Times New Roman" w:cs="Times New Roman"/>
          <w:sz w:val="24"/>
          <w:szCs w:val="24"/>
          <w:vertAlign w:val="superscript"/>
        </w:rPr>
        <w:t>st</w:t>
      </w:r>
      <w:r>
        <w:rPr>
          <w:rFonts w:ascii="Times New Roman" w:hAnsi="Times New Roman" w:cs="Times New Roman"/>
          <w:sz w:val="24"/>
          <w:szCs w:val="24"/>
        </w:rPr>
        <w:t xml:space="preserve"> January 2016 and 15</w:t>
      </w:r>
      <w:r w:rsidRPr="00530B55">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2019.</w:t>
      </w:r>
      <w:r w:rsidR="00137652">
        <w:rPr>
          <w:rFonts w:ascii="Times New Roman" w:hAnsi="Times New Roman" w:cs="Times New Roman"/>
          <w:sz w:val="24"/>
          <w:szCs w:val="24"/>
        </w:rPr>
        <w:t xml:space="preserve"> </w:t>
      </w:r>
      <w:r w:rsidR="00137652" w:rsidRPr="00137652">
        <w:rPr>
          <w:rFonts w:ascii="Times New Roman" w:hAnsi="Times New Roman" w:cs="Times New Roman"/>
          <w:sz w:val="24"/>
          <w:szCs w:val="24"/>
          <w:highlight w:val="yellow"/>
        </w:rPr>
        <w:t>Patients treated with both DCB and DES were excluded</w:t>
      </w:r>
      <w:r w:rsidR="00137652">
        <w:rPr>
          <w:rFonts w:ascii="Times New Roman" w:hAnsi="Times New Roman" w:cs="Times New Roman"/>
          <w:sz w:val="24"/>
          <w:szCs w:val="24"/>
        </w:rPr>
        <w:t>.</w:t>
      </w:r>
      <w:r>
        <w:rPr>
          <w:rFonts w:ascii="Times New Roman" w:hAnsi="Times New Roman" w:cs="Times New Roman"/>
          <w:sz w:val="24"/>
          <w:szCs w:val="24"/>
        </w:rPr>
        <w:t xml:space="preserve"> Data were analysed with Cox regression models, Kaplan Meier estimator plots and propensity score matching.</w:t>
      </w:r>
    </w:p>
    <w:p w14:paraId="03CFBDE8" w14:textId="517FDF99" w:rsidR="00B17374" w:rsidRDefault="00530B55" w:rsidP="00C54155">
      <w:pPr>
        <w:pStyle w:val="NoSpacing"/>
        <w:spacing w:line="480" w:lineRule="auto"/>
        <w:jc w:val="both"/>
        <w:rPr>
          <w:rFonts w:ascii="Times New Roman" w:hAnsi="Times New Roman" w:cs="Times New Roman"/>
          <w:sz w:val="24"/>
          <w:szCs w:val="24"/>
        </w:rPr>
      </w:pPr>
      <w:r w:rsidRPr="00B17374">
        <w:rPr>
          <w:rFonts w:ascii="Times New Roman" w:hAnsi="Times New Roman" w:cs="Times New Roman"/>
          <w:sz w:val="24"/>
          <w:szCs w:val="24"/>
          <w:u w:val="single"/>
        </w:rPr>
        <w:t>Results</w:t>
      </w:r>
      <w:r>
        <w:rPr>
          <w:rFonts w:ascii="Times New Roman" w:hAnsi="Times New Roman" w:cs="Times New Roman"/>
          <w:sz w:val="24"/>
          <w:szCs w:val="24"/>
        </w:rPr>
        <w:t xml:space="preserve">: </w:t>
      </w:r>
      <w:r w:rsidR="00807B37">
        <w:rPr>
          <w:rFonts w:ascii="Times New Roman" w:hAnsi="Times New Roman" w:cs="Times New Roman"/>
          <w:sz w:val="24"/>
          <w:szCs w:val="24"/>
        </w:rPr>
        <w:t>Among</w:t>
      </w:r>
      <w:r w:rsidR="005A63C6">
        <w:rPr>
          <w:rFonts w:ascii="Times New Roman" w:hAnsi="Times New Roman" w:cs="Times New Roman"/>
          <w:sz w:val="24"/>
          <w:szCs w:val="24"/>
        </w:rPr>
        <w:t xml:space="preserve"> </w:t>
      </w:r>
      <w:r>
        <w:rPr>
          <w:rFonts w:ascii="Times New Roman" w:hAnsi="Times New Roman" w:cs="Times New Roman"/>
          <w:sz w:val="24"/>
          <w:szCs w:val="24"/>
        </w:rPr>
        <w:t>1</w:t>
      </w:r>
      <w:r w:rsidR="003D4697">
        <w:rPr>
          <w:rFonts w:ascii="Times New Roman" w:hAnsi="Times New Roman" w:cs="Times New Roman"/>
          <w:sz w:val="24"/>
          <w:szCs w:val="24"/>
        </w:rPr>
        <w:t>139</w:t>
      </w:r>
      <w:r>
        <w:rPr>
          <w:rFonts w:ascii="Times New Roman" w:hAnsi="Times New Roman" w:cs="Times New Roman"/>
          <w:sz w:val="24"/>
          <w:szCs w:val="24"/>
        </w:rPr>
        <w:t xml:space="preserve"> patients</w:t>
      </w:r>
      <w:r w:rsidR="00807B37">
        <w:rPr>
          <w:rFonts w:ascii="Times New Roman" w:hAnsi="Times New Roman" w:cs="Times New Roman"/>
          <w:sz w:val="24"/>
          <w:szCs w:val="24"/>
        </w:rPr>
        <w:t xml:space="preserve"> with STEMI due to de novo disease</w:t>
      </w:r>
      <w:r>
        <w:rPr>
          <w:rFonts w:ascii="Times New Roman" w:hAnsi="Times New Roman" w:cs="Times New Roman"/>
          <w:sz w:val="24"/>
          <w:szCs w:val="24"/>
        </w:rPr>
        <w:t>; 4</w:t>
      </w:r>
      <w:r w:rsidR="003D4697">
        <w:rPr>
          <w:rFonts w:ascii="Times New Roman" w:hAnsi="Times New Roman" w:cs="Times New Roman"/>
          <w:sz w:val="24"/>
          <w:szCs w:val="24"/>
        </w:rPr>
        <w:t>52</w:t>
      </w:r>
      <w:r>
        <w:rPr>
          <w:rFonts w:ascii="Times New Roman" w:hAnsi="Times New Roman" w:cs="Times New Roman"/>
          <w:sz w:val="24"/>
          <w:szCs w:val="24"/>
        </w:rPr>
        <w:t xml:space="preserve"> </w:t>
      </w:r>
      <w:r w:rsidR="00807B37">
        <w:rPr>
          <w:rFonts w:ascii="Times New Roman" w:hAnsi="Times New Roman" w:cs="Times New Roman"/>
          <w:sz w:val="24"/>
          <w:szCs w:val="24"/>
        </w:rPr>
        <w:t xml:space="preserve">were </w:t>
      </w:r>
      <w:r>
        <w:rPr>
          <w:rFonts w:ascii="Times New Roman" w:hAnsi="Times New Roman" w:cs="Times New Roman"/>
          <w:sz w:val="24"/>
          <w:szCs w:val="24"/>
        </w:rPr>
        <w:t xml:space="preserve">treated with DCB and </w:t>
      </w:r>
      <w:r w:rsidR="003D4697">
        <w:rPr>
          <w:rFonts w:ascii="Times New Roman" w:hAnsi="Times New Roman" w:cs="Times New Roman"/>
          <w:sz w:val="24"/>
          <w:szCs w:val="24"/>
        </w:rPr>
        <w:t>687</w:t>
      </w:r>
      <w:r>
        <w:rPr>
          <w:rFonts w:ascii="Times New Roman" w:hAnsi="Times New Roman" w:cs="Times New Roman"/>
          <w:sz w:val="24"/>
          <w:szCs w:val="24"/>
        </w:rPr>
        <w:t xml:space="preserve"> </w:t>
      </w:r>
      <w:r w:rsidR="00807B37">
        <w:rPr>
          <w:rFonts w:ascii="Times New Roman" w:hAnsi="Times New Roman" w:cs="Times New Roman"/>
          <w:sz w:val="24"/>
          <w:szCs w:val="24"/>
        </w:rPr>
        <w:t xml:space="preserve">were </w:t>
      </w:r>
      <w:r>
        <w:rPr>
          <w:rFonts w:ascii="Times New Roman" w:hAnsi="Times New Roman" w:cs="Times New Roman"/>
          <w:sz w:val="24"/>
          <w:szCs w:val="24"/>
        </w:rPr>
        <w:t>treated with DES.</w:t>
      </w:r>
      <w:r w:rsidR="00877386">
        <w:rPr>
          <w:rFonts w:ascii="Times New Roman" w:hAnsi="Times New Roman" w:cs="Times New Roman"/>
          <w:sz w:val="24"/>
          <w:szCs w:val="24"/>
        </w:rPr>
        <w:t xml:space="preserve"> </w:t>
      </w:r>
      <w:r w:rsidR="00877386" w:rsidRPr="00877386">
        <w:rPr>
          <w:rFonts w:ascii="Times New Roman" w:hAnsi="Times New Roman" w:cs="Times New Roman"/>
          <w:sz w:val="24"/>
          <w:szCs w:val="24"/>
          <w:highlight w:val="yellow"/>
        </w:rPr>
        <w:t>After a median follow up of &gt;3 years, the all-cause mortality was 49/452 and 62/687 in the DCB and DES group respectively (p=0.18).</w:t>
      </w:r>
      <w:r>
        <w:rPr>
          <w:rFonts w:ascii="Times New Roman" w:hAnsi="Times New Roman" w:cs="Times New Roman"/>
          <w:sz w:val="24"/>
          <w:szCs w:val="24"/>
        </w:rPr>
        <w:t xml:space="preserve"> </w:t>
      </w:r>
      <w:bookmarkEnd w:id="0"/>
      <w:r w:rsidR="00FA7861">
        <w:rPr>
          <w:rFonts w:ascii="Times New Roman" w:hAnsi="Times New Roman" w:cs="Times New Roman"/>
          <w:sz w:val="24"/>
          <w:szCs w:val="24"/>
        </w:rPr>
        <w:t>On multivariable Cox regression analys</w:t>
      </w:r>
      <w:r w:rsidR="00433A67">
        <w:rPr>
          <w:rFonts w:ascii="Times New Roman" w:hAnsi="Times New Roman" w:cs="Times New Roman"/>
          <w:sz w:val="24"/>
          <w:szCs w:val="24"/>
        </w:rPr>
        <w:t>is</w:t>
      </w:r>
      <w:r w:rsidR="008D2EE9">
        <w:rPr>
          <w:rFonts w:ascii="Times New Roman" w:hAnsi="Times New Roman" w:cs="Times New Roman"/>
          <w:sz w:val="24"/>
          <w:szCs w:val="24"/>
        </w:rPr>
        <w:t>,</w:t>
      </w:r>
      <w:r w:rsidR="00433A67">
        <w:rPr>
          <w:rFonts w:ascii="Times New Roman" w:hAnsi="Times New Roman" w:cs="Times New Roman"/>
          <w:sz w:val="24"/>
          <w:szCs w:val="24"/>
        </w:rPr>
        <w:t xml:space="preserve"> </w:t>
      </w:r>
      <w:r w:rsidR="001B0941">
        <w:rPr>
          <w:rFonts w:ascii="Times New Roman" w:hAnsi="Times New Roman" w:cs="Times New Roman"/>
          <w:sz w:val="24"/>
          <w:szCs w:val="24"/>
        </w:rPr>
        <w:t>there was no difference in mortality between DCB and DES, in the full and propensity score-matched cohorts. A</w:t>
      </w:r>
      <w:r w:rsidR="00433A67">
        <w:rPr>
          <w:rFonts w:ascii="Times New Roman" w:hAnsi="Times New Roman" w:cs="Times New Roman"/>
          <w:sz w:val="24"/>
          <w:szCs w:val="24"/>
        </w:rPr>
        <w:t xml:space="preserve">ge, </w:t>
      </w:r>
      <w:r w:rsidR="00C12C99">
        <w:rPr>
          <w:rFonts w:ascii="Times New Roman" w:hAnsi="Times New Roman" w:cs="Times New Roman"/>
          <w:sz w:val="24"/>
          <w:szCs w:val="24"/>
        </w:rPr>
        <w:t>frailty</w:t>
      </w:r>
      <w:r w:rsidR="008D2EE9">
        <w:rPr>
          <w:rFonts w:ascii="Times New Roman" w:hAnsi="Times New Roman" w:cs="Times New Roman"/>
          <w:sz w:val="24"/>
          <w:szCs w:val="24"/>
        </w:rPr>
        <w:t xml:space="preserve"> risk</w:t>
      </w:r>
      <w:r w:rsidR="001C20E4">
        <w:rPr>
          <w:rFonts w:ascii="Times New Roman" w:hAnsi="Times New Roman" w:cs="Times New Roman"/>
          <w:sz w:val="24"/>
          <w:szCs w:val="24"/>
        </w:rPr>
        <w:t>, history of heart failure and family history of ischaemic heart disease</w:t>
      </w:r>
      <w:r w:rsidR="00C12C99">
        <w:rPr>
          <w:rFonts w:ascii="Times New Roman" w:hAnsi="Times New Roman" w:cs="Times New Roman"/>
          <w:sz w:val="24"/>
          <w:szCs w:val="24"/>
        </w:rPr>
        <w:t xml:space="preserve"> remained significant independent predictors</w:t>
      </w:r>
      <w:r w:rsidR="00FA7861">
        <w:rPr>
          <w:rFonts w:ascii="Times New Roman" w:hAnsi="Times New Roman" w:cs="Times New Roman"/>
          <w:sz w:val="24"/>
          <w:szCs w:val="24"/>
        </w:rPr>
        <w:t xml:space="preserve"> of mortality. </w:t>
      </w:r>
      <w:r w:rsidR="00C12C99">
        <w:rPr>
          <w:rFonts w:ascii="Times New Roman" w:hAnsi="Times New Roman" w:cs="Times New Roman"/>
          <w:sz w:val="24"/>
          <w:szCs w:val="24"/>
        </w:rPr>
        <w:t>There was no difference in any of the secondary endpoints including unplanned TLR.</w:t>
      </w:r>
      <w:r w:rsidR="00D37D3B">
        <w:rPr>
          <w:rFonts w:ascii="Times New Roman" w:hAnsi="Times New Roman" w:cs="Times New Roman"/>
          <w:sz w:val="24"/>
          <w:szCs w:val="24"/>
        </w:rPr>
        <w:t xml:space="preserve"> </w:t>
      </w:r>
    </w:p>
    <w:p w14:paraId="4AB9C953" w14:textId="411B019F" w:rsidR="00B17374" w:rsidRDefault="00FA7861" w:rsidP="00C54155">
      <w:pPr>
        <w:pStyle w:val="NoSpacing"/>
        <w:spacing w:line="480" w:lineRule="auto"/>
        <w:jc w:val="both"/>
        <w:rPr>
          <w:rFonts w:ascii="Times New Roman" w:hAnsi="Times New Roman" w:cs="Times New Roman"/>
          <w:sz w:val="24"/>
          <w:szCs w:val="24"/>
        </w:rPr>
      </w:pPr>
      <w:r w:rsidRPr="00B17374">
        <w:rPr>
          <w:rFonts w:ascii="Times New Roman" w:hAnsi="Times New Roman" w:cs="Times New Roman"/>
          <w:sz w:val="24"/>
          <w:szCs w:val="24"/>
          <w:u w:val="single"/>
        </w:rPr>
        <w:t>Conclusion</w:t>
      </w:r>
      <w:r>
        <w:rPr>
          <w:rFonts w:ascii="Times New Roman" w:hAnsi="Times New Roman" w:cs="Times New Roman"/>
          <w:sz w:val="24"/>
          <w:szCs w:val="24"/>
        </w:rPr>
        <w:t xml:space="preserve">: DCB-only angioplasty </w:t>
      </w:r>
      <w:r w:rsidR="00CB7501">
        <w:rPr>
          <w:rFonts w:ascii="Times New Roman" w:hAnsi="Times New Roman" w:cs="Times New Roman"/>
          <w:sz w:val="24"/>
          <w:szCs w:val="24"/>
        </w:rPr>
        <w:t>appears</w:t>
      </w:r>
      <w:r>
        <w:rPr>
          <w:rFonts w:ascii="Times New Roman" w:hAnsi="Times New Roman" w:cs="Times New Roman"/>
          <w:sz w:val="24"/>
          <w:szCs w:val="24"/>
        </w:rPr>
        <w:t xml:space="preserve"> safe</w:t>
      </w:r>
      <w:r w:rsidR="00CB7501">
        <w:rPr>
          <w:rFonts w:ascii="Times New Roman" w:hAnsi="Times New Roman" w:cs="Times New Roman"/>
          <w:sz w:val="24"/>
          <w:szCs w:val="24"/>
        </w:rPr>
        <w:t xml:space="preserve"> when</w:t>
      </w:r>
      <w:r>
        <w:rPr>
          <w:rFonts w:ascii="Times New Roman" w:hAnsi="Times New Roman" w:cs="Times New Roman"/>
          <w:sz w:val="24"/>
          <w:szCs w:val="24"/>
        </w:rPr>
        <w:t xml:space="preserve"> compared to DES for STEMI</w:t>
      </w:r>
      <w:r w:rsidR="00C12C99">
        <w:rPr>
          <w:rFonts w:ascii="Times New Roman" w:hAnsi="Times New Roman" w:cs="Times New Roman"/>
          <w:sz w:val="24"/>
          <w:szCs w:val="24"/>
        </w:rPr>
        <w:t>, in terms of all</w:t>
      </w:r>
      <w:r w:rsidR="00AD5D01">
        <w:rPr>
          <w:rFonts w:ascii="Times New Roman" w:hAnsi="Times New Roman" w:cs="Times New Roman"/>
          <w:sz w:val="24"/>
          <w:szCs w:val="24"/>
        </w:rPr>
        <w:t>-</w:t>
      </w:r>
      <w:r w:rsidR="00C12C99">
        <w:rPr>
          <w:rFonts w:ascii="Times New Roman" w:hAnsi="Times New Roman" w:cs="Times New Roman"/>
          <w:sz w:val="24"/>
          <w:szCs w:val="24"/>
        </w:rPr>
        <w:t xml:space="preserve">cause mortality and all </w:t>
      </w:r>
      <w:r w:rsidR="004D16C8">
        <w:rPr>
          <w:rFonts w:ascii="Times New Roman" w:hAnsi="Times New Roman" w:cs="Times New Roman"/>
          <w:sz w:val="24"/>
          <w:szCs w:val="24"/>
        </w:rPr>
        <w:t>net adverse cardiac events</w:t>
      </w:r>
      <w:r w:rsidR="00C12C99">
        <w:rPr>
          <w:rFonts w:ascii="Times New Roman" w:hAnsi="Times New Roman" w:cs="Times New Roman"/>
          <w:sz w:val="24"/>
          <w:szCs w:val="24"/>
        </w:rPr>
        <w:t xml:space="preserve"> including unplanned TLR. </w:t>
      </w:r>
      <w:r w:rsidR="001A2E08">
        <w:rPr>
          <w:rFonts w:ascii="Times New Roman" w:hAnsi="Times New Roman" w:cs="Times New Roman"/>
          <w:sz w:val="24"/>
          <w:szCs w:val="24"/>
        </w:rPr>
        <w:t>DCB may be an efficacious and safe alternative to DES in selected patient groups</w:t>
      </w:r>
      <w:r w:rsidR="00C7268E">
        <w:rPr>
          <w:rFonts w:ascii="Times New Roman" w:hAnsi="Times New Roman" w:cs="Times New Roman"/>
          <w:sz w:val="24"/>
          <w:szCs w:val="24"/>
        </w:rPr>
        <w:t>.</w:t>
      </w:r>
    </w:p>
    <w:p w14:paraId="265E041E" w14:textId="77777777" w:rsidR="00F1726C" w:rsidRPr="008D3518" w:rsidRDefault="00F1726C" w:rsidP="00F1726C">
      <w:pPr>
        <w:pStyle w:val="NoSpacing"/>
        <w:spacing w:line="480" w:lineRule="auto"/>
        <w:jc w:val="both"/>
        <w:rPr>
          <w:rFonts w:ascii="Times New Roman" w:hAnsi="Times New Roman" w:cs="Times New Roman"/>
          <w:sz w:val="24"/>
          <w:szCs w:val="24"/>
          <w:u w:val="single"/>
        </w:rPr>
      </w:pPr>
      <w:r w:rsidRPr="008D3518">
        <w:rPr>
          <w:rFonts w:ascii="Times New Roman" w:hAnsi="Times New Roman" w:cs="Times New Roman"/>
          <w:sz w:val="24"/>
          <w:szCs w:val="24"/>
          <w:u w:val="single"/>
        </w:rPr>
        <w:t>Registration</w:t>
      </w:r>
    </w:p>
    <w:p w14:paraId="62ABC193" w14:textId="73BEC287" w:rsidR="00DD79A0" w:rsidRDefault="00DD5BA5" w:rsidP="00F1726C">
      <w:pPr>
        <w:pStyle w:val="NoSpacing"/>
        <w:spacing w:line="480" w:lineRule="auto"/>
        <w:jc w:val="both"/>
        <w:rPr>
          <w:rFonts w:ascii="Times New Roman" w:hAnsi="Times New Roman" w:cs="Times New Roman"/>
          <w:sz w:val="24"/>
          <w:szCs w:val="24"/>
        </w:rPr>
      </w:pPr>
      <w:hyperlink r:id="rId9" w:history="1">
        <w:r w:rsidR="005A7E9D" w:rsidRPr="0050771B">
          <w:rPr>
            <w:rStyle w:val="Hyperlink"/>
          </w:rPr>
          <w:t>https://clinicaltrials.gov/ct2/show/NCT04482972</w:t>
        </w:r>
      </w:hyperlink>
      <w:r w:rsidR="00E2554D">
        <w:t xml:space="preserve"> </w:t>
      </w:r>
      <w:r w:rsidR="00E2554D">
        <w:rPr>
          <w:rFonts w:ascii="Times New Roman" w:hAnsi="Times New Roman" w:cs="Times New Roman"/>
          <w:sz w:val="24"/>
          <w:szCs w:val="24"/>
        </w:rPr>
        <w:t>Unique identifier:</w:t>
      </w:r>
      <w:r w:rsidR="007246D7">
        <w:rPr>
          <w:rFonts w:ascii="Times New Roman" w:hAnsi="Times New Roman" w:cs="Times New Roman"/>
          <w:sz w:val="24"/>
          <w:szCs w:val="24"/>
        </w:rPr>
        <w:t xml:space="preserve"> </w:t>
      </w:r>
      <w:r w:rsidR="00F1726C" w:rsidRPr="00A53D04">
        <w:rPr>
          <w:rFonts w:ascii="Times New Roman" w:hAnsi="Times New Roman" w:cs="Times New Roman"/>
          <w:color w:val="000000"/>
          <w:sz w:val="24"/>
          <w:szCs w:val="24"/>
          <w:shd w:val="clear" w:color="auto" w:fill="FFFFFF"/>
        </w:rPr>
        <w:t>NCT04482972</w:t>
      </w:r>
      <w:r w:rsidR="00DD79A0">
        <w:rPr>
          <w:rFonts w:ascii="Times New Roman" w:hAnsi="Times New Roman" w:cs="Times New Roman"/>
          <w:sz w:val="24"/>
          <w:szCs w:val="24"/>
        </w:rPr>
        <w:br w:type="page"/>
      </w:r>
    </w:p>
    <w:p w14:paraId="6696DA0E" w14:textId="1C323E95" w:rsidR="00024578" w:rsidRDefault="00024578">
      <w:pPr>
        <w:rPr>
          <w:rFonts w:ascii="Times New Roman" w:hAnsi="Times New Roman" w:cs="Times New Roman"/>
          <w:b/>
          <w:sz w:val="24"/>
          <w:szCs w:val="24"/>
        </w:rPr>
      </w:pPr>
      <w:r>
        <w:rPr>
          <w:rFonts w:ascii="Times New Roman" w:hAnsi="Times New Roman" w:cs="Times New Roman"/>
          <w:b/>
          <w:sz w:val="24"/>
          <w:szCs w:val="24"/>
        </w:rPr>
        <w:lastRenderedPageBreak/>
        <w:t>Condensed abstract</w:t>
      </w:r>
    </w:p>
    <w:p w14:paraId="4E9795EC" w14:textId="330E6E33" w:rsidR="00024578" w:rsidRPr="00024578" w:rsidRDefault="00024578" w:rsidP="00024578">
      <w:pPr>
        <w:spacing w:line="480" w:lineRule="auto"/>
        <w:jc w:val="both"/>
        <w:rPr>
          <w:rFonts w:ascii="Times New Roman" w:hAnsi="Times New Roman" w:cs="Times New Roman"/>
          <w:bCs/>
          <w:sz w:val="24"/>
          <w:szCs w:val="24"/>
        </w:rPr>
      </w:pPr>
      <w:r w:rsidRPr="00024578">
        <w:rPr>
          <w:rFonts w:ascii="Times New Roman" w:hAnsi="Times New Roman" w:cs="Times New Roman"/>
          <w:bCs/>
          <w:sz w:val="24"/>
          <w:szCs w:val="24"/>
        </w:rPr>
        <w:t>There</w:t>
      </w:r>
      <w:r>
        <w:rPr>
          <w:rFonts w:ascii="Times New Roman" w:hAnsi="Times New Roman" w:cs="Times New Roman"/>
          <w:bCs/>
          <w:sz w:val="24"/>
          <w:szCs w:val="24"/>
        </w:rPr>
        <w:t xml:space="preserve"> are limited data about the safety of DCB-only angioplasty in STEMI and how it compares with 2</w:t>
      </w:r>
      <w:r w:rsidRPr="00024578">
        <w:rPr>
          <w:rFonts w:ascii="Times New Roman" w:hAnsi="Times New Roman" w:cs="Times New Roman"/>
          <w:bCs/>
          <w:sz w:val="24"/>
          <w:szCs w:val="24"/>
          <w:vertAlign w:val="superscript"/>
        </w:rPr>
        <w:t>nd</w:t>
      </w:r>
      <w:r>
        <w:rPr>
          <w:rFonts w:ascii="Times New Roman" w:hAnsi="Times New Roman" w:cs="Times New Roman"/>
          <w:bCs/>
          <w:sz w:val="24"/>
          <w:szCs w:val="24"/>
        </w:rPr>
        <w:t xml:space="preserve"> generation DES. In this study, we report 1139 patients treated in our </w:t>
      </w:r>
      <w:proofErr w:type="gramStart"/>
      <w:r>
        <w:rPr>
          <w:rFonts w:ascii="Times New Roman" w:hAnsi="Times New Roman" w:cs="Times New Roman"/>
          <w:bCs/>
          <w:sz w:val="24"/>
          <w:szCs w:val="24"/>
        </w:rPr>
        <w:t>institution;</w:t>
      </w:r>
      <w:proofErr w:type="gramEnd"/>
      <w:r>
        <w:rPr>
          <w:rFonts w:ascii="Times New Roman" w:hAnsi="Times New Roman" w:cs="Times New Roman"/>
          <w:bCs/>
          <w:sz w:val="24"/>
          <w:szCs w:val="24"/>
        </w:rPr>
        <w:t xml:space="preserve"> 452 with DCB and 687 with DES for STEMI due to de novo disease between 1</w:t>
      </w:r>
      <w:r w:rsidRPr="00024578">
        <w:rPr>
          <w:rFonts w:ascii="Times New Roman" w:hAnsi="Times New Roman" w:cs="Times New Roman"/>
          <w:bCs/>
          <w:sz w:val="24"/>
          <w:szCs w:val="24"/>
          <w:vertAlign w:val="superscript"/>
        </w:rPr>
        <w:t>st</w:t>
      </w:r>
      <w:r>
        <w:rPr>
          <w:rFonts w:ascii="Times New Roman" w:hAnsi="Times New Roman" w:cs="Times New Roman"/>
          <w:bCs/>
          <w:sz w:val="24"/>
          <w:szCs w:val="24"/>
        </w:rPr>
        <w:t xml:space="preserve"> January 2016 and 15</w:t>
      </w:r>
      <w:r w:rsidRPr="00024578">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November 2019. We obtained patient outcomes from the Hospital Episodes Statistics of NHS digital. There was no difference in all-cause mortality or any of net adverse cardiac events including unplanned TLR after a median &gt;3 years. The results remained unchanged after propensity score matched analysis. In conclusion DCB-only angioplasty for STEMI appears safe and may be considered in selected patients. </w:t>
      </w:r>
    </w:p>
    <w:p w14:paraId="3C06C613" w14:textId="68D9CBE2" w:rsidR="00024578" w:rsidRDefault="00024578">
      <w:pPr>
        <w:rPr>
          <w:rFonts w:ascii="Times New Roman" w:hAnsi="Times New Roman" w:cs="Times New Roman"/>
          <w:b/>
          <w:sz w:val="24"/>
          <w:szCs w:val="24"/>
        </w:rPr>
      </w:pPr>
    </w:p>
    <w:p w14:paraId="7FF30D89" w14:textId="77777777" w:rsidR="00024578" w:rsidRPr="000F7F07" w:rsidRDefault="00024578" w:rsidP="00024578">
      <w:pPr>
        <w:spacing w:line="480" w:lineRule="auto"/>
        <w:jc w:val="both"/>
        <w:rPr>
          <w:rFonts w:ascii="Times New Roman" w:hAnsi="Times New Roman" w:cs="Times New Roman"/>
          <w:b/>
          <w:sz w:val="24"/>
          <w:szCs w:val="24"/>
        </w:rPr>
      </w:pPr>
      <w:r w:rsidRPr="000F7F07">
        <w:rPr>
          <w:rFonts w:ascii="Times New Roman" w:hAnsi="Times New Roman" w:cs="Times New Roman"/>
          <w:b/>
          <w:sz w:val="24"/>
          <w:szCs w:val="24"/>
        </w:rPr>
        <w:t>Abbreviations</w:t>
      </w:r>
    </w:p>
    <w:p w14:paraId="2A5B3450" w14:textId="77777777" w:rsidR="00024578" w:rsidRDefault="00024578" w:rsidP="00024578">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ACS: Acute Coronary Syndrome</w:t>
      </w:r>
    </w:p>
    <w:p w14:paraId="07F29823" w14:textId="77777777" w:rsidR="00024578" w:rsidRDefault="00024578" w:rsidP="00024578">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CABG: Coronary Artery Bypass Graft</w:t>
      </w:r>
    </w:p>
    <w:p w14:paraId="00C33D9A" w14:textId="77777777" w:rsidR="00024578" w:rsidRDefault="00024578" w:rsidP="00024578">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DCB: Drug Coated Balloon</w:t>
      </w:r>
    </w:p>
    <w:p w14:paraId="5D1EE9FA" w14:textId="77777777" w:rsidR="00024578" w:rsidRDefault="00024578" w:rsidP="00024578">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DES: Drug Eluting Stent</w:t>
      </w:r>
    </w:p>
    <w:p w14:paraId="0602FC09" w14:textId="77777777" w:rsidR="00024578" w:rsidRDefault="00024578" w:rsidP="00024578">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TIA: Transient Ischaemic Attack</w:t>
      </w:r>
    </w:p>
    <w:p w14:paraId="066F894D" w14:textId="3B8B868A" w:rsidR="00024578" w:rsidRDefault="00024578" w:rsidP="00024578">
      <w:pPr>
        <w:rPr>
          <w:rFonts w:ascii="Times New Roman" w:hAnsi="Times New Roman" w:cs="Times New Roman"/>
          <w:b/>
          <w:sz w:val="24"/>
          <w:szCs w:val="24"/>
        </w:rPr>
      </w:pPr>
      <w:r>
        <w:rPr>
          <w:rFonts w:ascii="Times New Roman" w:hAnsi="Times New Roman" w:cs="Times New Roman"/>
          <w:bCs/>
          <w:sz w:val="24"/>
          <w:szCs w:val="24"/>
        </w:rPr>
        <w:t>TLR: Target Lesion Revascularisation</w:t>
      </w:r>
    </w:p>
    <w:p w14:paraId="0A734082" w14:textId="4525AED7" w:rsidR="00DD79A0" w:rsidRPr="009A584A" w:rsidRDefault="00003031" w:rsidP="009A584A">
      <w:pPr>
        <w:spacing w:line="480" w:lineRule="auto"/>
        <w:jc w:val="both"/>
        <w:rPr>
          <w:rFonts w:ascii="Times New Roman" w:hAnsi="Times New Roman" w:cs="Times New Roman"/>
          <w:b/>
          <w:sz w:val="24"/>
          <w:szCs w:val="24"/>
        </w:rPr>
      </w:pPr>
      <w:r>
        <w:rPr>
          <w:noProof/>
        </w:rPr>
        <w:lastRenderedPageBreak/>
        <w:drawing>
          <wp:inline distT="0" distB="0" distL="0" distR="0" wp14:anchorId="7306DF27" wp14:editId="42090A08">
            <wp:extent cx="5731510" cy="44367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436745"/>
                    </a:xfrm>
                    <a:prstGeom prst="rect">
                      <a:avLst/>
                    </a:prstGeom>
                    <a:noFill/>
                    <a:ln>
                      <a:noFill/>
                    </a:ln>
                  </pic:spPr>
                </pic:pic>
              </a:graphicData>
            </a:graphic>
          </wp:inline>
        </w:drawing>
      </w:r>
      <w:r w:rsidR="00DD79A0" w:rsidRPr="009A584A">
        <w:rPr>
          <w:rFonts w:ascii="Times New Roman" w:hAnsi="Times New Roman" w:cs="Times New Roman"/>
          <w:b/>
          <w:sz w:val="24"/>
          <w:szCs w:val="24"/>
        </w:rPr>
        <w:br w:type="page"/>
      </w:r>
    </w:p>
    <w:p w14:paraId="51C592C2" w14:textId="7C952303" w:rsidR="007126D7" w:rsidRDefault="000B20E1" w:rsidP="00741E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239BF498" w14:textId="2CE31D7E" w:rsidR="007126D7" w:rsidRDefault="007126D7" w:rsidP="00741EDE">
      <w:pPr>
        <w:pStyle w:val="NoSpacing"/>
        <w:spacing w:line="480" w:lineRule="auto"/>
        <w:jc w:val="both"/>
        <w:rPr>
          <w:rFonts w:ascii="Times New Roman" w:hAnsi="Times New Roman" w:cs="Times New Roman"/>
          <w:sz w:val="24"/>
          <w:szCs w:val="24"/>
        </w:rPr>
      </w:pPr>
      <w:bookmarkStart w:id="1" w:name="_Hlk118795763"/>
      <w:r>
        <w:rPr>
          <w:rFonts w:ascii="Times New Roman" w:hAnsi="Times New Roman" w:cs="Times New Roman"/>
          <w:sz w:val="24"/>
          <w:szCs w:val="24"/>
        </w:rPr>
        <w:t>Primary percutaneous coronary intervention (</w:t>
      </w:r>
      <w:proofErr w:type="spellStart"/>
      <w:r w:rsidR="00C7268E">
        <w:rPr>
          <w:rFonts w:ascii="Times New Roman" w:hAnsi="Times New Roman" w:cs="Times New Roman"/>
          <w:sz w:val="24"/>
          <w:szCs w:val="24"/>
        </w:rPr>
        <w:t>p</w:t>
      </w:r>
      <w:r>
        <w:rPr>
          <w:rFonts w:ascii="Times New Roman" w:hAnsi="Times New Roman" w:cs="Times New Roman"/>
          <w:sz w:val="24"/>
          <w:szCs w:val="24"/>
        </w:rPr>
        <w:t>PCI</w:t>
      </w:r>
      <w:proofErr w:type="spellEnd"/>
      <w:r>
        <w:rPr>
          <w:rFonts w:ascii="Times New Roman" w:hAnsi="Times New Roman" w:cs="Times New Roman"/>
          <w:sz w:val="24"/>
          <w:szCs w:val="24"/>
        </w:rPr>
        <w:t xml:space="preserve">) is the guideline recommended treatment strategy for patients with ST </w:t>
      </w:r>
      <w:r w:rsidR="00EC0C5D">
        <w:rPr>
          <w:rFonts w:ascii="Times New Roman" w:hAnsi="Times New Roman" w:cs="Times New Roman"/>
          <w:sz w:val="24"/>
          <w:szCs w:val="24"/>
        </w:rPr>
        <w:t>E</w:t>
      </w:r>
      <w:r w:rsidR="00143A5D">
        <w:rPr>
          <w:rFonts w:ascii="Times New Roman" w:hAnsi="Times New Roman" w:cs="Times New Roman"/>
          <w:sz w:val="24"/>
          <w:szCs w:val="24"/>
        </w:rPr>
        <w:t xml:space="preserve">levation </w:t>
      </w:r>
      <w:r w:rsidR="00EC0C5D">
        <w:rPr>
          <w:rFonts w:ascii="Times New Roman" w:hAnsi="Times New Roman" w:cs="Times New Roman"/>
          <w:sz w:val="24"/>
          <w:szCs w:val="24"/>
        </w:rPr>
        <w:t>M</w:t>
      </w:r>
      <w:r>
        <w:rPr>
          <w:rFonts w:ascii="Times New Roman" w:hAnsi="Times New Roman" w:cs="Times New Roman"/>
          <w:sz w:val="24"/>
          <w:szCs w:val="24"/>
        </w:rPr>
        <w:t xml:space="preserve">yocardial </w:t>
      </w:r>
      <w:r w:rsidR="00EC0C5D">
        <w:rPr>
          <w:rFonts w:ascii="Times New Roman" w:hAnsi="Times New Roman" w:cs="Times New Roman"/>
          <w:sz w:val="24"/>
          <w:szCs w:val="24"/>
        </w:rPr>
        <w:t>I</w:t>
      </w:r>
      <w:r>
        <w:rPr>
          <w:rFonts w:ascii="Times New Roman" w:hAnsi="Times New Roman" w:cs="Times New Roman"/>
          <w:sz w:val="24"/>
          <w:szCs w:val="24"/>
        </w:rPr>
        <w:t>nfarction (STEMI)</w:t>
      </w:r>
      <w:r w:rsidR="000B4ED1">
        <w:rPr>
          <w:rFonts w:ascii="Times New Roman" w:hAnsi="Times New Roman" w:cs="Times New Roman"/>
          <w:sz w:val="24"/>
          <w:szCs w:val="24"/>
        </w:rPr>
        <w:t>, with studies demonstrating improved patient outcomes including mortality</w:t>
      </w:r>
      <w:r w:rsidR="00E305CC">
        <w:rPr>
          <w:rFonts w:ascii="Times New Roman" w:hAnsi="Times New Roman" w:cs="Times New Roman"/>
          <w:sz w:val="24"/>
          <w:szCs w:val="24"/>
        </w:rPr>
        <w:t xml:space="preserve"> </w:t>
      </w:r>
      <w:r w:rsidR="00E305CC" w:rsidRPr="00E305CC">
        <w:rPr>
          <w:rFonts w:ascii="Times New Roman" w:hAnsi="Times New Roman" w:cs="Times New Roman"/>
          <w:sz w:val="24"/>
          <w:szCs w:val="24"/>
          <w:highlight w:val="yellow"/>
        </w:rPr>
        <w:t>compared to thrombolysis</w:t>
      </w:r>
      <w:r w:rsidR="003506EE">
        <w:rPr>
          <w:rFonts w:ascii="Times New Roman" w:hAnsi="Times New Roman" w:cs="Times New Roman"/>
          <w:sz w:val="24"/>
          <w:szCs w:val="24"/>
        </w:rPr>
        <w:t xml:space="preserve"> </w:t>
      </w:r>
      <w:bookmarkEnd w:id="1"/>
      <w:r w:rsidR="008D3C49">
        <w:rPr>
          <w:rStyle w:val="FootnoteReference"/>
          <w:rFonts w:ascii="Times New Roman" w:hAnsi="Times New Roman" w:cs="Times New Roman"/>
          <w:sz w:val="24"/>
          <w:szCs w:val="24"/>
        </w:rPr>
        <w:fldChar w:fldCharType="begin" w:fldLock="1"/>
      </w:r>
      <w:r w:rsidR="007A2174">
        <w:rPr>
          <w:rFonts w:ascii="Times New Roman" w:hAnsi="Times New Roman" w:cs="Times New Roman"/>
          <w:sz w:val="24"/>
          <w:szCs w:val="24"/>
        </w:rPr>
        <w:instrText>ADDIN CSL_CITATION {"citationItems":[{"id":"ITEM-1","itemData":{"DOI":"10.1093/eurheartj/ehx393","ISSN":"15229645","PMID":"28886621","abstract":"The ESC Guidelines represent the views of the ESC and were produced after careful consideration of the scientific and medical knowledge and the evidence available at the time of their publication. The ESC is not responsible in the event of any contradiction, discrepancy and/or ambiguity between the ESC Guidelines and any other official recommendations or guidelines issued by the relevant public health authorities, in particular in relation to good use of healthcare or therapeutic strategies. Health professionals are encouraged to take the ESC Guidelines fully into account when exercising their clinical judgment, as well as in the determination and the implementation of preventive, diagnostic or therapeutic medical strategies; however, the ESC Guidelines do not override, in any way whatsoever, the individual responsibility of health professionals to make appropriate and accurate decisions in consideration of each patient's health condition and in consultation with that patient and, where appropriate and/or necessary, the patient's caregiver. Nor do the ESC Guidelines exempt health professionals from taking into full and careful consideration the relevant official updated recommendations or guidelines issued by the competent public health authorities, in order to manage each patient's case in light of the scientifically accepted data pursuant to their respective ethical and professional obligations. It is also the health professional's responsibility to verify the applicable rules and regulations relating to drugs and medical devices at the time of prescription.","author":[{"dropping-particle":"","family":"Ibanez","given":"Borja","non-dropping-particle":"","parse-names":false,"suffix":""},{"dropping-particle":"","family":"James","given":"Stefan","non-dropping-particle":"","parse-names":false,"suffix":""},{"dropping-particle":"","family":"Agewall","given":"Stefan","non-dropping-particle":"","parse-names":false,"suffix":""},{"dropping-particle":"","family":"Antunes","given":"Manuel J.","non-dropping-particle":"","parse-names":false,"suffix":""},{"dropping-particle":"","family":"Bucciarelli-Ducci","given":"Chiara","non-dropping-particle":"","parse-names":false,"suffix":""},{"dropping-particle":"","family":"Bueno","given":"Hector","non-dropping-particle":"","parse-names":false,"suffix":""},{"dropping-particle":"","family":"Caforio","given":"Alida L.P.","non-dropping-particle":"","parse-names":false,"suffix":""},{"dropping-particle":"","family":"Crea","given":"Filippo","non-dropping-particle":"","parse-names":false,"suffix":""},{"dropping-particle":"","family":"Goudevenos","given":"John A.","non-dropping-particle":"","parse-names":false,"suffix":""},{"dropping-particle":"","family":"Halvorsen","given":"Sigrun","non-dropping-particle":"","parse-names":false,"suffix":""},{"dropping-particle":"","family":"Hindricks","given":"Gerhard","non-dropping-particle":"","parse-names":false,"suffix":""},{"dropping-particle":"","family":"Kastrati","given":"Adnan","non-dropping-particle":"","parse-names":false,"suffix":""},{"dropping-particle":"","family":"Lenzen","given":"Mattie J.","non-dropping-particle":"","parse-names":false,"suffix":""},{"dropping-particle":"","family":"Prescott","given":"Eva","non-dropping-particle":"","parse-names":false,"suffix":""},{"dropping-particle":"","family":"Roffi","given":"Marco","non-dropping-particle":"","parse-names":false,"suffix":""},{"dropping-particle":"","family":"Valgimigli","given":"Marco","non-dropping-particle":"","parse-names":false,"suffix":""},{"dropping-particle":"","family":"Varenhorst","given":"Christoph","non-dropping-particle":"","parse-names":false,"suffix":""},{"dropping-particle":"","family":"Vranckx","given":"Pascal","non-dropping-particle":"","parse-names":false,"suffix":""},{"dropping-particle":"","family":"Widimský","given":"Petr","non-dropping-particle":"","parse-names":false,"suffix":""},{"dropping-particle":"","family":"Baumbach","given":"Andreas","non-dropping-particle":"","parse-names":false,"suffix":""},{"dropping-particle":"","family":"Bugiardini","given":"Raffaele","non-dropping-particle":"","parse-names":false,"suffix":""},{"dropping-particle":"","family":"Coman","given":"Ioan Mircea","non-dropping-particle":"","parse-names":false,"suffix":""},{"dropping-particle":"","family":"Delgado","given":"Victoria","non-dropping-particle":"","parse-names":false,"suffix":""},{"dropping-particle":"","family":"Fitzsimons","given":"Donna","non-dropping-particle":"","parse-names":false,"suffix":""},{"dropping-particle":"","family":"Gaemperli","given":"Oliver","non-dropping-particle":"","parse-names":false,"suffix":""},{"dropping-particle":"","family":"Gershlick","given":"Anthony H.","non-dropping-particle":"","parse-names":false,"suffix":""},{"dropping-particle":"","family":"Gielen","given":"Stephan","non-dropping-particle":"","parse-names":false,"suffix":""},{"dropping-particle":"","family":"Harjola","given":"Veli Pekka","non-dropping-particle":"","parse-names":false,"suffix":""},{"dropping-particle":"","family":"Katus","given":"Hugo A.","non-dropping-particle":"","parse-names":false,"suffix":""},{"dropping-particle":"","family":"Knuuti","given":"Juhani","non-dropping-particle":"","parse-names":false,"suffix":""},{"dropping-particle":"","family":"Kolh","given":"Philippe","non-dropping-particle":"","parse-names":false,"suffix":""},{"dropping-particle":"","family":"Leclercq","given":"Christophe","non-dropping-particle":"","parse-names":false,"suffix":""},{"dropping-particle":"","family":"Lip","given":"Gregory Y.H.","non-dropping-particle":"","parse-names":false,"suffix":""},{"dropping-particle":"","family":"Morais","given":"Joao","non-dropping-particle":"","parse-names":false,"suffix":""},{"dropping-particle":"","family":"Neskovic","given":"Aleksandar N.","non-dropping-particle":"","parse-names":false,"suffix":""},{"dropping-particle":"","family":"Neumann","given":"Franz Josef","non-dropping-particle":"","parse-names":false,"suffix":""},{"dropping-particle":"","family":"Niessner","given":"Alexander","non-dropping-particle":"","parse-names":false,"suffix":""},{"dropping-particle":"","family":"Piepoli","given":"Massimo Francesco","non-dropping-particle":"","parse-names":false,"suffix":""},{"dropping-particle":"","family":"Richter","given":"Dimitrios J.","non-dropping-particle":"","parse-names":false,"suffix":""},{"dropping-particle":"","family":"Shlyakhto","given":"Evgeny","non-dropping-particle":"","parse-names":false,"suffix":""},{"dropping-particle":"","family":"Simpson","given":"Iain A.","non-dropping-particle":"","parse-names":false,"suffix":""},{"dropping-particle":"","family":"Steg","given":"Ph Gabriel","non-dropping-particle":"","parse-names":false,"suffix":""},{"dropping-particle":"","family":"Terkelsen","given":"Christian Juhl","non-dropping-particle":"","parse-names":false,"suffix":""},{"dropping-particle":"","family":"Thygesen","given":"Kristian","non-dropping-particle":"","parse-names":false,"suffix":""},{"dropping-particle":"","family":"Windecker","given":"Stephan","non-dropping-particle":"","parse-names":false,"suffix":""},{"dropping-particle":"","family":"Zamorano","given":"Jose Luis","non-dropping-particle":"","parse-names":false,"suffix":""},{"dropping-particle":"","family":"Zeymer","given":"Uwe","non-dropping-particle":"","parse-names":false,"suffix":""},{"dropping-particle":"","family":"Chettibi","given":"Mohamed","non-dropping-particle":"","parse-names":false,"suffix":""},{"dropping-particle":"","family":"Hayrapetyan","given":"Hamlet G.","non-dropping-particle":"","parse-names":false,"suffix":""},{"dropping-particle":"","family":"Metzler","given":"Bernhard","non-dropping-particle":"","parse-names":false,"suffix":""},{"dropping-particle":"","family":"Ibrahimov","given":"Firdovsi","non-dropping-particle":"","parse-names":false,"suffix":""},{"dropping-particle":"","family":"Sujayeva","given":"Volha","non-dropping-particle":"","parse-names":false,"suffix":""},{"dropping-particle":"","family":"Beauloye","given":"Christophe","non-dropping-particle":"","parse-names":false,"suffix":""},{"dropping-particle":"","family":"Dizdarevic-Hudic","given":"Larisa","non-dropping-particle":"","parse-names":false,"suffix":""},{"dropping-particle":"","family":"Karamfiloff","given":"Kiril","non-dropping-particle":"","parse-names":false,"suffix":""},{"dropping-particle":"","family":"Skoric","given":"Bosko","non-dropping-particle":"","parse-names":false,"suffix":""},{"dropping-particle":"","family":"Antoniades","given":"Loizos","non-dropping-particle":"","parse-names":false,"suffix":""},{"dropping-particle":"","family":"Tousek","given":"Petr","non-dropping-particle":"","parse-names":false,"suffix":""},{"dropping-particle":"","family":"Terkelsen","given":"Christian Juhl","non-dropping-particle":"","parse-names":false,"suffix":""},{"dropping-particle":"","family":"Shaheen","given":"Sameh Mohamad","non-dropping-particle":"","parse-names":false,"suffix":""},{"dropping-particle":"","family":"Marandi","given":"Toomas","non-dropping-particle":"","parse-names":false,"suffix":""},{"dropping-particle":"","family":"Niemel€a","given":"Matti","non-dropping-particle":"","parse-names":false,"suffix":""},{"dropping-particle":"","family":"Kedev","given":"Sasko","non-dropping-particle":"","parse-names":false,"suffix":""},{"dropping-particle":"","family":"Gilard","given":"Martine","non-dropping-particle":"","parse-names":false,"suffix":""},{"dropping-particle":"","family":"Aladashvili","given":"Alexander","non-dropping-particle":"","parse-names":false,"suffix":""},{"dropping-particle":"","family":"Elsaesser","given":"Albrecht","non-dropping-particle":"","parse-names":false,"suffix":""},{"dropping-particle":"","family":"Kanakakis","given":"Ioannis Georgios","non-dropping-particle":"","parse-names":false,"suffix":""},{"dropping-particle":"","family":"Merkely","given":"Bela","non-dropping-particle":"","parse-names":false,"suffix":""},{"dropping-particle":"","family":"Gudnason","given":"Thorarinn","non-dropping-particle":"","parse-names":false,"suffix":""},{"dropping-particle":"","family":"Iakobishvili","given":"Zaza","non-dropping-particle":"","parse-names":false,"suffix":""},{"dropping-particle":"","family":"Bolognese","given":"Leonardo","non-dropping-particle":"","parse-names":false,"suffix":""},{"dropping-particle":"","family":"Berkinbayev","given":"Salim","non-dropping-particle":"","parse-names":false,"suffix":""},{"dropping-particle":"","family":"Bajraktari","given":"Gani","non-dropping-particle":"","parse-names":false,"suffix":""},{"dropping-particle":"","family":"Beishenkulov","given":"Medet","non-dropping-particle":"","parse-names":false,"suffix":""},{"dropping-particle":"","family":"Zake","given":"Ilja","non-dropping-particle":"","parse-names":false,"suffix":""},{"dropping-particle":"Ben","family":"Lamin","given":"Hisham","non-dropping-particle":"","parse-names":false,"suffix":""},{"dropping-particle":"","family":"Gustiene","given":"Olivija","non-dropping-particle":"","parse-names":false,"suffix":""},{"dropping-particle":"","family":"Pereira","given":"Bruno","non-dropping-particle":"","parse-names":false,"suffix":""},{"dropping-particle":"","family":"Xuereb","given":"Robert G.","non-dropping-particle":"","parse-names":false,"suffix":""},{"dropping-particle":"","family":"Ztot","given":"Samir","non-dropping-particle":"","parse-names":false,"suffix":""},{"dropping-particle":"","family":"Juliebø","given":"Vibeke","non-dropping-particle":"","parse-names":false,"suffix":""},{"dropping-particle":"","family":"Legutko","given":"Jacek","non-dropping-particle":"","parse-names":false,"suffix":""},{"dropping-particle":"","family":"Timoteo","given":"Ana Teresa","non-dropping-particle":"","parse-names":false,"suffix":""},{"dropping-particle":"","family":"Tatu-Chit¸oiu","given":"Gabriel","non-dropping-particle":"","parse-names":false,"suffix":""},{"dropping-particle":"","family":"Yakovlev","given":"Alexey","non-dropping-particle":"","parse-names":false,"suffix":""},{"dropping-particle":"","family":"Bertelli","given":"Luca","non-dropping-particle":"","parse-names":false,"suffix":""},{"dropping-particle":"","family":"Nedeljkovic","given":"Milan","non-dropping-particle":"","parse-names":false,"suffix":""},{"dropping-particle":"","family":"Studencan","given":"Martin","non-dropping-particle":"","parse-names":false,"suffix":""},{"dropping-particle":"","family":"Bunc","given":"Matjaz","non-dropping-particle":"","parse-names":false,"suffix":""},{"dropping-particle":"","family":"Castro","given":"Ana Maria Garcıa","non-dropping-particle":"de","parse-names":false,"suffix":""},{"dropping-particle":"","family":"Petursson","given":"Petur","non-dropping-particle":"","parse-names":false,"suffix":""},{"dropping-particle":"","family":"Jeger","given":"Raban","non-dropping-particle":"","parse-names":false,"suffix":""},{"dropping-particle":"","family":"Mourali","given":"Mohamed Sami","non-dropping-particle":"","parse-names":false,"suffix":""},{"dropping-particle":"","family":"Yildirir","given":"Aylin","non-dropping-particle":"","parse-names":false,"suffix":""},{"dropping-particle":"","family":"Parkhomenko","given":"Alexander","non-dropping-particle":"","parse-names":false,"suffix":""},{"dropping-particle":"","family":"Gale","given":"Chris P.","non-dropping-particle":"","parse-names":false,"suffix":""}],"container-title":"European Heart Journal","id":"ITEM-1","issue":"2","issued":{"date-parts":[["2018"]]},"page":"119-177","title":"2017 ESC Guidelines for the management of acute myocardial infarction in patients presenting with ST-segment elevation","type":"article-journal","volume":"39"},"uris":["http://www.mendeley.com/documents/?uuid=44c83a27-197e-417f-b176-6fceadb913d2"]}],"mendeley":{"formattedCitation":"(1)","plainTextFormattedCitation":"(1)","previouslyFormattedCitation":"(1)"},"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8C1720" w:rsidRPr="008C1720">
        <w:rPr>
          <w:rFonts w:ascii="Times New Roman" w:hAnsi="Times New Roman" w:cs="Times New Roman"/>
          <w:bCs/>
          <w:noProof/>
          <w:sz w:val="24"/>
          <w:szCs w:val="24"/>
          <w:lang w:val="en-US"/>
        </w:rPr>
        <w:t>(1)</w:t>
      </w:r>
      <w:r w:rsidR="008D3C49">
        <w:rPr>
          <w:rStyle w:val="FootnoteReference"/>
          <w:rFonts w:ascii="Times New Roman" w:hAnsi="Times New Roman" w:cs="Times New Roman"/>
          <w:sz w:val="24"/>
          <w:szCs w:val="24"/>
        </w:rPr>
        <w:fldChar w:fldCharType="end"/>
      </w:r>
      <w:r>
        <w:rPr>
          <w:rFonts w:ascii="Times New Roman" w:hAnsi="Times New Roman" w:cs="Times New Roman"/>
          <w:sz w:val="24"/>
          <w:szCs w:val="24"/>
        </w:rPr>
        <w:t>.</w:t>
      </w:r>
      <w:r w:rsidR="00B75520">
        <w:rPr>
          <w:rFonts w:ascii="Times New Roman" w:hAnsi="Times New Roman" w:cs="Times New Roman"/>
          <w:sz w:val="24"/>
          <w:szCs w:val="24"/>
        </w:rPr>
        <w:t xml:space="preserve"> </w:t>
      </w:r>
      <w:r w:rsidR="00C3336D">
        <w:rPr>
          <w:rFonts w:ascii="Times New Roman" w:hAnsi="Times New Roman" w:cs="Times New Roman"/>
          <w:sz w:val="24"/>
          <w:szCs w:val="24"/>
        </w:rPr>
        <w:t>Stents were initially developed to treat acute complications of balloon angioplasty, such as flow limiting dissections and acute vessel recoil. Since then, i</w:t>
      </w:r>
      <w:r w:rsidR="000B4ED1">
        <w:rPr>
          <w:rFonts w:ascii="Times New Roman" w:hAnsi="Times New Roman" w:cs="Times New Roman"/>
          <w:sz w:val="24"/>
          <w:szCs w:val="24"/>
        </w:rPr>
        <w:t xml:space="preserve">mplantation of </w:t>
      </w:r>
      <w:r w:rsidR="00151013">
        <w:rPr>
          <w:rFonts w:ascii="Times New Roman" w:hAnsi="Times New Roman" w:cs="Times New Roman"/>
          <w:sz w:val="24"/>
          <w:szCs w:val="24"/>
        </w:rPr>
        <w:t xml:space="preserve">a </w:t>
      </w:r>
      <w:r w:rsidR="000B4ED1">
        <w:rPr>
          <w:rFonts w:ascii="Times New Roman" w:hAnsi="Times New Roman" w:cs="Times New Roman"/>
          <w:sz w:val="24"/>
          <w:szCs w:val="24"/>
        </w:rPr>
        <w:t xml:space="preserve">drug eluting stent (DES) has emerged as the standard of care </w:t>
      </w:r>
      <w:r w:rsidR="008D3C49">
        <w:rPr>
          <w:rStyle w:val="FootnoteReference"/>
          <w:rFonts w:ascii="Times New Roman" w:hAnsi="Times New Roman" w:cs="Times New Roman"/>
          <w:sz w:val="24"/>
          <w:szCs w:val="24"/>
        </w:rPr>
        <w:fldChar w:fldCharType="begin" w:fldLock="1"/>
      </w:r>
      <w:r w:rsidR="007A2174">
        <w:rPr>
          <w:rFonts w:ascii="Times New Roman" w:hAnsi="Times New Roman" w:cs="Times New Roman"/>
          <w:sz w:val="24"/>
          <w:szCs w:val="24"/>
        </w:rPr>
        <w:instrText>ADDIN CSL_CITATION {"citationItems":[{"id":"ITEM-1","itemData":{"DOI":"10.1093/eurheartj/ehx393","ISSN":"15229645","PMID":"28886621","abstract":"The ESC Guidelines represent the views of the ESC and were produced after careful consideration of the scientific and medical knowledge and the evidence available at the time of their publication. The ESC is not responsible in the event of any contradiction, discrepancy and/or ambiguity between the ESC Guidelines and any other official recommendations or guidelines issued by the relevant public health authorities, in particular in relation to good use of healthcare or therapeutic strategies. Health professionals are encouraged to take the ESC Guidelines fully into account when exercising their clinical judgment, as well as in the determination and the implementation of preventive, diagnostic or therapeutic medical strategies; however, the ESC Guidelines do not override, in any way whatsoever, the individual responsibility of health professionals to make appropriate and accurate decisions in consideration of each patient's health condition and in consultation with that patient and, where appropriate and/or necessary, the patient's caregiver. Nor do the ESC Guidelines exempt health professionals from taking into full and careful consideration the relevant official updated recommendations or guidelines issued by the competent public health authorities, in order to manage each patient's case in light of the scientifically accepted data pursuant to their respective ethical and professional obligations. It is also the health professional's responsibility to verify the applicable rules and regulations relating to drugs and medical devices at the time of prescription.","author":[{"dropping-particle":"","family":"Ibanez","given":"Borja","non-dropping-particle":"","parse-names":false,"suffix":""},{"dropping-particle":"","family":"James","given":"Stefan","non-dropping-particle":"","parse-names":false,"suffix":""},{"dropping-particle":"","family":"Agewall","given":"Stefan","non-dropping-particle":"","parse-names":false,"suffix":""},{"dropping-particle":"","family":"Antunes","given":"Manuel J.","non-dropping-particle":"","parse-names":false,"suffix":""},{"dropping-particle":"","family":"Bucciarelli-Ducci","given":"Chiara","non-dropping-particle":"","parse-names":false,"suffix":""},{"dropping-particle":"","family":"Bueno","given":"Hector","non-dropping-particle":"","parse-names":false,"suffix":""},{"dropping-particle":"","family":"Caforio","given":"Alida L.P.","non-dropping-particle":"","parse-names":false,"suffix":""},{"dropping-particle":"","family":"Crea","given":"Filippo","non-dropping-particle":"","parse-names":false,"suffix":""},{"dropping-particle":"","family":"Goudevenos","given":"John A.","non-dropping-particle":"","parse-names":false,"suffix":""},{"dropping-particle":"","family":"Halvorsen","given":"Sigrun","non-dropping-particle":"","parse-names":false,"suffix":""},{"dropping-particle":"","family":"Hindricks","given":"Gerhard","non-dropping-particle":"","parse-names":false,"suffix":""},{"dropping-particle":"","family":"Kastrati","given":"Adnan","non-dropping-particle":"","parse-names":false,"suffix":""},{"dropping-particle":"","family":"Lenzen","given":"Mattie J.","non-dropping-particle":"","parse-names":false,"suffix":""},{"dropping-particle":"","family":"Prescott","given":"Eva","non-dropping-particle":"","parse-names":false,"suffix":""},{"dropping-particle":"","family":"Roffi","given":"Marco","non-dropping-particle":"","parse-names":false,"suffix":""},{"dropping-particle":"","family":"Valgimigli","given":"Marco","non-dropping-particle":"","parse-names":false,"suffix":""},{"dropping-particle":"","family":"Varenhorst","given":"Christoph","non-dropping-particle":"","parse-names":false,"suffix":""},{"dropping-particle":"","family":"Vranckx","given":"Pascal","non-dropping-particle":"","parse-names":false,"suffix":""},{"dropping-particle":"","family":"Widimský","given":"Petr","non-dropping-particle":"","parse-names":false,"suffix":""},{"dropping-particle":"","family":"Baumbach","given":"Andreas","non-dropping-particle":"","parse-names":false,"suffix":""},{"dropping-particle":"","family":"Bugiardini","given":"Raffaele","non-dropping-particle":"","parse-names":false,"suffix":""},{"dropping-particle":"","family":"Coman","given":"Ioan Mircea","non-dropping-particle":"","parse-names":false,"suffix":""},{"dropping-particle":"","family":"Delgado","given":"Victoria","non-dropping-particle":"","parse-names":false,"suffix":""},{"dropping-particle":"","family":"Fitzsimons","given":"Donna","non-dropping-particle":"","parse-names":false,"suffix":""},{"dropping-particle":"","family":"Gaemperli","given":"Oliver","non-dropping-particle":"","parse-names":false,"suffix":""},{"dropping-particle":"","family":"Gershlick","given":"Anthony H.","non-dropping-particle":"","parse-names":false,"suffix":""},{"dropping-particle":"","family":"Gielen","given":"Stephan","non-dropping-particle":"","parse-names":false,"suffix":""},{"dropping-particle":"","family":"Harjola","given":"Veli Pekka","non-dropping-particle":"","parse-names":false,"suffix":""},{"dropping-particle":"","family":"Katus","given":"Hugo A.","non-dropping-particle":"","parse-names":false,"suffix":""},{"dropping-particle":"","family":"Knuuti","given":"Juhani","non-dropping-particle":"","parse-names":false,"suffix":""},{"dropping-particle":"","family":"Kolh","given":"Philippe","non-dropping-particle":"","parse-names":false,"suffix":""},{"dropping-particle":"","family":"Leclercq","given":"Christophe","non-dropping-particle":"","parse-names":false,"suffix":""},{"dropping-particle":"","family":"Lip","given":"Gregory Y.H.","non-dropping-particle":"","parse-names":false,"suffix":""},{"dropping-particle":"","family":"Morais","given":"Joao","non-dropping-particle":"","parse-names":false,"suffix":""},{"dropping-particle":"","family":"Neskovic","given":"Aleksandar N.","non-dropping-particle":"","parse-names":false,"suffix":""},{"dropping-particle":"","family":"Neumann","given":"Franz Josef","non-dropping-particle":"","parse-names":false,"suffix":""},{"dropping-particle":"","family":"Niessner","given":"Alexander","non-dropping-particle":"","parse-names":false,"suffix":""},{"dropping-particle":"","family":"Piepoli","given":"Massimo Francesco","non-dropping-particle":"","parse-names":false,"suffix":""},{"dropping-particle":"","family":"Richter","given":"Dimitrios J.","non-dropping-particle":"","parse-names":false,"suffix":""},{"dropping-particle":"","family":"Shlyakhto","given":"Evgeny","non-dropping-particle":"","parse-names":false,"suffix":""},{"dropping-particle":"","family":"Simpson","given":"Iain A.","non-dropping-particle":"","parse-names":false,"suffix":""},{"dropping-particle":"","family":"Steg","given":"Ph Gabriel","non-dropping-particle":"","parse-names":false,"suffix":""},{"dropping-particle":"","family":"Terkelsen","given":"Christian Juhl","non-dropping-particle":"","parse-names":false,"suffix":""},{"dropping-particle":"","family":"Thygesen","given":"Kristian","non-dropping-particle":"","parse-names":false,"suffix":""},{"dropping-particle":"","family":"Windecker","given":"Stephan","non-dropping-particle":"","parse-names":false,"suffix":""},{"dropping-particle":"","family":"Zamorano","given":"Jose Luis","non-dropping-particle":"","parse-names":false,"suffix":""},{"dropping-particle":"","family":"Zeymer","given":"Uwe","non-dropping-particle":"","parse-names":false,"suffix":""},{"dropping-particle":"","family":"Chettibi","given":"Mohamed","non-dropping-particle":"","parse-names":false,"suffix":""},{"dropping-particle":"","family":"Hayrapetyan","given":"Hamlet G.","non-dropping-particle":"","parse-names":false,"suffix":""},{"dropping-particle":"","family":"Metzler","given":"Bernhard","non-dropping-particle":"","parse-names":false,"suffix":""},{"dropping-particle":"","family":"Ibrahimov","given":"Firdovsi","non-dropping-particle":"","parse-names":false,"suffix":""},{"dropping-particle":"","family":"Sujayeva","given":"Volha","non-dropping-particle":"","parse-names":false,"suffix":""},{"dropping-particle":"","family":"Beauloye","given":"Christophe","non-dropping-particle":"","parse-names":false,"suffix":""},{"dropping-particle":"","family":"Dizdarevic-Hudic","given":"Larisa","non-dropping-particle":"","parse-names":false,"suffix":""},{"dropping-particle":"","family":"Karamfiloff","given":"Kiril","non-dropping-particle":"","parse-names":false,"suffix":""},{"dropping-particle":"","family":"Skoric","given":"Bosko","non-dropping-particle":"","parse-names":false,"suffix":""},{"dropping-particle":"","family":"Antoniades","given":"Loizos","non-dropping-particle":"","parse-names":false,"suffix":""},{"dropping-particle":"","family":"Tousek","given":"Petr","non-dropping-particle":"","parse-names":false,"suffix":""},{"dropping-particle":"","family":"Terkelsen","given":"Christian Juhl","non-dropping-particle":"","parse-names":false,"suffix":""},{"dropping-particle":"","family":"Shaheen","given":"Sameh Mohamad","non-dropping-particle":"","parse-names":false,"suffix":""},{"dropping-particle":"","family":"Marandi","given":"Toomas","non-dropping-particle":"","parse-names":false,"suffix":""},{"dropping-particle":"","family":"Niemel€a","given":"Matti","non-dropping-particle":"","parse-names":false,"suffix":""},{"dropping-particle":"","family":"Kedev","given":"Sasko","non-dropping-particle":"","parse-names":false,"suffix":""},{"dropping-particle":"","family":"Gilard","given":"Martine","non-dropping-particle":"","parse-names":false,"suffix":""},{"dropping-particle":"","family":"Aladashvili","given":"Alexander","non-dropping-particle":"","parse-names":false,"suffix":""},{"dropping-particle":"","family":"Elsaesser","given":"Albrecht","non-dropping-particle":"","parse-names":false,"suffix":""},{"dropping-particle":"","family":"Kanakakis","given":"Ioannis Georgios","non-dropping-particle":"","parse-names":false,"suffix":""},{"dropping-particle":"","family":"Merkely","given":"Bela","non-dropping-particle":"","parse-names":false,"suffix":""},{"dropping-particle":"","family":"Gudnason","given":"Thorarinn","non-dropping-particle":"","parse-names":false,"suffix":""},{"dropping-particle":"","family":"Iakobishvili","given":"Zaza","non-dropping-particle":"","parse-names":false,"suffix":""},{"dropping-particle":"","family":"Bolognese","given":"Leonardo","non-dropping-particle":"","parse-names":false,"suffix":""},{"dropping-particle":"","family":"Berkinbayev","given":"Salim","non-dropping-particle":"","parse-names":false,"suffix":""},{"dropping-particle":"","family":"Bajraktari","given":"Gani","non-dropping-particle":"","parse-names":false,"suffix":""},{"dropping-particle":"","family":"Beishenkulov","given":"Medet","non-dropping-particle":"","parse-names":false,"suffix":""},{"dropping-particle":"","family":"Zake","given":"Ilja","non-dropping-particle":"","parse-names":false,"suffix":""},{"dropping-particle":"Ben","family":"Lamin","given":"Hisham","non-dropping-particle":"","parse-names":false,"suffix":""},{"dropping-particle":"","family":"Gustiene","given":"Olivija","non-dropping-particle":"","parse-names":false,"suffix":""},{"dropping-particle":"","family":"Pereira","given":"Bruno","non-dropping-particle":"","parse-names":false,"suffix":""},{"dropping-particle":"","family":"Xuereb","given":"Robert G.","non-dropping-particle":"","parse-names":false,"suffix":""},{"dropping-particle":"","family":"Ztot","given":"Samir","non-dropping-particle":"","parse-names":false,"suffix":""},{"dropping-particle":"","family":"Juliebø","given":"Vibeke","non-dropping-particle":"","parse-names":false,"suffix":""},{"dropping-particle":"","family":"Legutko","given":"Jacek","non-dropping-particle":"","parse-names":false,"suffix":""},{"dropping-particle":"","family":"Timoteo","given":"Ana Teresa","non-dropping-particle":"","parse-names":false,"suffix":""},{"dropping-particle":"","family":"Tatu-Chit¸oiu","given":"Gabriel","non-dropping-particle":"","parse-names":false,"suffix":""},{"dropping-particle":"","family":"Yakovlev","given":"Alexey","non-dropping-particle":"","parse-names":false,"suffix":""},{"dropping-particle":"","family":"Bertelli","given":"Luca","non-dropping-particle":"","parse-names":false,"suffix":""},{"dropping-particle":"","family":"Nedeljkovic","given":"Milan","non-dropping-particle":"","parse-names":false,"suffix":""},{"dropping-particle":"","family":"Studencan","given":"Martin","non-dropping-particle":"","parse-names":false,"suffix":""},{"dropping-particle":"","family":"Bunc","given":"Matjaz","non-dropping-particle":"","parse-names":false,"suffix":""},{"dropping-particle":"","family":"Castro","given":"Ana Maria Garcıa","non-dropping-particle":"de","parse-names":false,"suffix":""},{"dropping-particle":"","family":"Petursson","given":"Petur","non-dropping-particle":"","parse-names":false,"suffix":""},{"dropping-particle":"","family":"Jeger","given":"Raban","non-dropping-particle":"","parse-names":false,"suffix":""},{"dropping-particle":"","family":"Mourali","given":"Mohamed Sami","non-dropping-particle":"","parse-names":false,"suffix":""},{"dropping-particle":"","family":"Yildirir","given":"Aylin","non-dropping-particle":"","parse-names":false,"suffix":""},{"dropping-particle":"","family":"Parkhomenko","given":"Alexander","non-dropping-particle":"","parse-names":false,"suffix":""},{"dropping-particle":"","family":"Gale","given":"Chris P.","non-dropping-particle":"","parse-names":false,"suffix":""}],"container-title":"European Heart Journal","id":"ITEM-1","issue":"2","issued":{"date-parts":[["2018"]]},"page":"119-177","title":"2017 ESC Guidelines for the management of acute myocardial infarction in patients presenting with ST-segment elevation","type":"article-journal","volume":"39"},"uris":["http://www.mendeley.com/documents/?uuid=44c83a27-197e-417f-b176-6fceadb913d2"]}],"mendeley":{"formattedCitation":"(1)","plainTextFormattedCitation":"(1)","previouslyFormattedCitation":"(1)"},"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8C1720" w:rsidRPr="008C1720">
        <w:rPr>
          <w:rFonts w:ascii="Times New Roman" w:hAnsi="Times New Roman" w:cs="Times New Roman"/>
          <w:noProof/>
          <w:sz w:val="24"/>
          <w:szCs w:val="24"/>
        </w:rPr>
        <w:t>(1)</w:t>
      </w:r>
      <w:r w:rsidR="008D3C49">
        <w:rPr>
          <w:rStyle w:val="FootnoteReference"/>
          <w:rFonts w:ascii="Times New Roman" w:hAnsi="Times New Roman" w:cs="Times New Roman"/>
          <w:sz w:val="24"/>
          <w:szCs w:val="24"/>
        </w:rPr>
        <w:fldChar w:fldCharType="end"/>
      </w:r>
      <w:r w:rsidR="000B4ED1">
        <w:rPr>
          <w:rFonts w:ascii="Times New Roman" w:hAnsi="Times New Roman" w:cs="Times New Roman"/>
          <w:sz w:val="24"/>
          <w:szCs w:val="24"/>
        </w:rPr>
        <w:t xml:space="preserve">. </w:t>
      </w:r>
      <w:r w:rsidR="00151013">
        <w:rPr>
          <w:rFonts w:ascii="Times New Roman" w:hAnsi="Times New Roman" w:cs="Times New Roman"/>
          <w:sz w:val="24"/>
          <w:szCs w:val="24"/>
        </w:rPr>
        <w:t xml:space="preserve">Despite great advances in stent technology over the years and evolution </w:t>
      </w:r>
      <w:r w:rsidR="00131017">
        <w:rPr>
          <w:rFonts w:ascii="Times New Roman" w:hAnsi="Times New Roman" w:cs="Times New Roman"/>
          <w:sz w:val="24"/>
          <w:szCs w:val="24"/>
        </w:rPr>
        <w:t xml:space="preserve">of </w:t>
      </w:r>
      <w:r w:rsidR="00151013">
        <w:rPr>
          <w:rFonts w:ascii="Times New Roman" w:hAnsi="Times New Roman" w:cs="Times New Roman"/>
          <w:sz w:val="24"/>
          <w:szCs w:val="24"/>
        </w:rPr>
        <w:t>2</w:t>
      </w:r>
      <w:r w:rsidR="00151013" w:rsidRPr="00151013">
        <w:rPr>
          <w:rFonts w:ascii="Times New Roman" w:hAnsi="Times New Roman" w:cs="Times New Roman"/>
          <w:sz w:val="24"/>
          <w:szCs w:val="24"/>
          <w:vertAlign w:val="superscript"/>
        </w:rPr>
        <w:t>nd</w:t>
      </w:r>
      <w:r w:rsidR="00151013">
        <w:rPr>
          <w:rFonts w:ascii="Times New Roman" w:hAnsi="Times New Roman" w:cs="Times New Roman"/>
          <w:sz w:val="24"/>
          <w:szCs w:val="24"/>
        </w:rPr>
        <w:t xml:space="preserve"> generation DES with</w:t>
      </w:r>
      <w:r w:rsidR="00E53612">
        <w:rPr>
          <w:rFonts w:ascii="Times New Roman" w:hAnsi="Times New Roman" w:cs="Times New Roman"/>
          <w:sz w:val="24"/>
          <w:szCs w:val="24"/>
        </w:rPr>
        <w:t xml:space="preserve"> significantly better patient outcomes and reduced stent-related events</w:t>
      </w:r>
      <w:r w:rsidR="00993B61">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7A2174">
        <w:rPr>
          <w:rFonts w:ascii="Times New Roman" w:hAnsi="Times New Roman" w:cs="Times New Roman"/>
          <w:sz w:val="24"/>
          <w:szCs w:val="24"/>
        </w:rPr>
        <w:instrText>ADDIN CSL_CITATION {"citationItems":[{"id":"ITEM-1","itemData":{"DOI":"10.1016/j.jacc.2013.05.022","ISSN":"07351097","PMID":"23747778","abstract":"Objectives The authors investigated the relative safety and efficacy of different drug-eluting stents (DES) and bare metal stents (BMS) in patients with ST-segment elevation myocardial infarction (STEMI) using a network meta-analysis. Background The relative safety of DES and BMS in patients with STEMI continues to be debated, and whether advances have been made in this regard with second-generation DES is unknown. Methods Randomized controlled trials comparing currently U.S. approved DES or DES with BMS in patients with STEMI were searched using MEDLINE, EMBASE, and Cochrane databases. Information on study design, inclusion and exclusion criteria, sample characteristics, and clinical outcomes was extracted. Results Twenty-two trials including 12,453 randomized patients were analyzed. At 1-year follow-up, cobalt-chromium everolimus eluting stents (CoCr-EES) were associated with significantly lower rates of cardiac death or myocardial infarction (MI) and stent thrombosis (ST) than BMS. Differences in ST were apparent as early as 30 days and were maintained for 2 years. CoCr-EES were also associated with significantly lower rates of 1-year ST than paclitaxel-eluting stents (PES). Sirolimus-eluting stents (SES) were also associated with significantly lower rates of 1-year cardiac death/myocardial infarction than BMS. CoCr-EES, PES, and SES, but not zotarolimus-eluting stents, had significantly lower rates of 1-year target vessel revascularization (TVR) than BMS, with SES also showing lower rates of TVR than PES. Conclusions In patients with STEMI, steady improvements in outcomes have been realized with the evolution from BMS to first-generation and now second-generation DES, with the most favorable safety and efficacy profile thus far demonstrated with CoCr-EES. © 2013 by the American College of Cardiology Foundation.","author":[{"dropping-particle":"","family":"Palmerini","given":"Tullio","non-dropping-particle":"","parse-names":false,"suffix":""},{"dropping-particle":"","family":"Biondi-Zoccai","given":"Giuseppe","non-dropping-particle":"","parse-names":false,"suffix":""},{"dropping-particle":"","family":"Riva","given":"Diego","non-dropping-particle":"Della","parse-names":false,"suffix":""},{"dropping-particle":"","family":"Mariani","given":"Andrea","non-dropping-particle":"","parse-names":false,"suffix":""},{"dropping-particle":"","family":"Sabaté","given":"Manel","non-dropping-particle":"","parse-names":false,"suffix":""},{"dropping-particle":"","family":"Valgimigli","given":"Marco","non-dropping-particle":"","parse-names":false,"suffix":""},{"dropping-particle":"","family":"Frati","given":"Giacomo","non-dropping-particle":"","parse-names":false,"suffix":""},{"dropping-particle":"","family":"Kedhi","given":"Elvin","non-dropping-particle":"","parse-names":false,"suffix":""},{"dropping-particle":"","family":"Smits","given":"Pieter C.","non-dropping-particle":"","parse-names":false,"suffix":""},{"dropping-particle":"","family":"Kaiser","given":"Christoph","non-dropping-particle":"","parse-names":false,"suffix":""},{"dropping-particle":"","family":"Genereux","given":"Philippe","non-dropping-particle":"","parse-names":false,"suffix":""},{"dropping-particle":"","family":"Galatius","given":"Soren","non-dropping-particle":"","parse-names":false,"suffix":""},{"dropping-particle":"","family":"Kirtane","given":"Ajay J.","non-dropping-particle":"","parse-names":false,"suffix":""},{"dropping-particle":"","family":"Stone","given":"Gregg W.","non-dropping-particle":"","parse-names":false,"suffix":""}],"container-title":"Journal of the American College of Cardiology","id":"ITEM-1","issue":"6","issued":{"date-parts":[["2013"]]},"page":"496-504","publisher":"Elsevier Inc","title":"Clinical outcomes with drug-eluting and bare-metal stents in patients with ST-segment elevation myocardial infarction: Evidence from a comprehensive network meta-analysis","type":"article-journal","volume":"62"},"uris":["http://www.mendeley.com/documents/?uuid=5dfa4c57-ed7d-4e48-8633-620169e0ad3a"]}],"mendeley":{"formattedCitation":"(2)","plainTextFormattedCitation":"(2)","previouslyFormattedCitation":"(2)"},"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8C1720" w:rsidRPr="008C1720">
        <w:rPr>
          <w:rFonts w:ascii="Times New Roman" w:hAnsi="Times New Roman" w:cs="Times New Roman"/>
          <w:bCs/>
          <w:noProof/>
          <w:sz w:val="24"/>
          <w:szCs w:val="24"/>
          <w:lang w:val="en-US"/>
        </w:rPr>
        <w:t>(2)</w:t>
      </w:r>
      <w:r w:rsidR="008D3C49">
        <w:rPr>
          <w:rStyle w:val="FootnoteReference"/>
          <w:rFonts w:ascii="Times New Roman" w:hAnsi="Times New Roman" w:cs="Times New Roman"/>
          <w:sz w:val="24"/>
          <w:szCs w:val="24"/>
        </w:rPr>
        <w:fldChar w:fldCharType="end"/>
      </w:r>
      <w:r w:rsidR="008130B0">
        <w:rPr>
          <w:rFonts w:ascii="Times New Roman" w:hAnsi="Times New Roman" w:cs="Times New Roman"/>
          <w:sz w:val="24"/>
          <w:szCs w:val="24"/>
        </w:rPr>
        <w:t>,</w:t>
      </w:r>
      <w:r w:rsidR="00635594">
        <w:rPr>
          <w:rFonts w:ascii="Times New Roman" w:hAnsi="Times New Roman" w:cs="Times New Roman"/>
          <w:sz w:val="24"/>
          <w:szCs w:val="24"/>
        </w:rPr>
        <w:t xml:space="preserve"> stent-related complications such as stent thrombosis and in-stent restenosis</w:t>
      </w:r>
      <w:r w:rsidR="00862D98">
        <w:rPr>
          <w:rFonts w:ascii="Times New Roman" w:hAnsi="Times New Roman" w:cs="Times New Roman"/>
          <w:sz w:val="24"/>
          <w:szCs w:val="24"/>
        </w:rPr>
        <w:t xml:space="preserve"> have persisted.  This in turn </w:t>
      </w:r>
      <w:r w:rsidR="008130B0">
        <w:rPr>
          <w:rFonts w:ascii="Times New Roman" w:hAnsi="Times New Roman" w:cs="Times New Roman"/>
          <w:sz w:val="24"/>
          <w:szCs w:val="24"/>
        </w:rPr>
        <w:t>has stimulated</w:t>
      </w:r>
      <w:r w:rsidR="00635594">
        <w:rPr>
          <w:rFonts w:ascii="Times New Roman" w:hAnsi="Times New Roman" w:cs="Times New Roman"/>
          <w:sz w:val="24"/>
          <w:szCs w:val="24"/>
        </w:rPr>
        <w:t xml:space="preserve"> the concept of ‘leaving nothing behind’</w:t>
      </w:r>
      <w:r w:rsidR="00862D98">
        <w:rPr>
          <w:rFonts w:ascii="Times New Roman" w:hAnsi="Times New Roman" w:cs="Times New Roman"/>
          <w:sz w:val="24"/>
          <w:szCs w:val="24"/>
        </w:rPr>
        <w:t xml:space="preserve"> PCI </w:t>
      </w:r>
      <w:r w:rsidR="008D3C49">
        <w:rPr>
          <w:rStyle w:val="FootnoteReference"/>
          <w:rFonts w:ascii="Times New Roman" w:hAnsi="Times New Roman" w:cs="Times New Roman"/>
          <w:sz w:val="24"/>
          <w:szCs w:val="24"/>
        </w:rPr>
        <w:fldChar w:fldCharType="begin" w:fldLock="1"/>
      </w:r>
      <w:r w:rsidR="007A2174">
        <w:rPr>
          <w:rFonts w:ascii="Times New Roman" w:hAnsi="Times New Roman" w:cs="Times New Roman"/>
          <w:sz w:val="24"/>
          <w:szCs w:val="24"/>
        </w:rPr>
        <w:instrText>ADDIN CSL_CITATION {"citationItems":[{"id":"ITEM-1","itemData":{"DOI":"10.1016/j.jacc.2019.12.046","ISSN":"15583597","PMID":"32138967","abstract":"Percutaneous coronary intervention with a drug-eluting stent is the most common mode of revascularization for coronary artery disease. However, restenosis rates remain high. Non-stent-based local drug delivery by a drug-coated balloon (DCB) has been investigated, as it leaves no metallic mesh. A DCB consists of a semicompliant balloon coated with antiproliferative agents encapsulated in a polymer matrix, which is released into the wall after inflation and contact with the intima. DCB have demonstrated effectiveness in treating in-stent restenosis. Clinical studies using DCB in de novo coronary artery disease have shown mixed results, with a major benefit in small-vessel disease. Differences in study results are not only due to variations in DCB technology but also to disparity in procedural approach, “leave nothing behind” or “combination therapy,” and vessel size. This review focuses on the available evidence from randomized trials and proposes a design for future clinical trials.","author":[{"dropping-particle":"","family":"Yerasi","given":"Charan","non-dropping-particle":"","parse-names":false,"suffix":""},{"dropping-particle":"","family":"Case","given":"Brian C.","non-dropping-particle":"","parse-names":false,"suffix":""},{"dropping-particle":"","family":"Forrestal","given":"Brian J.","non-dropping-particle":"","parse-names":false,"suffix":""},{"dropping-particle":"","family":"Torguson","given":"Rebecca","non-dropping-particle":"","parse-names":false,"suffix":""},{"dropping-particle":"","family":"Weintraub","given":"William S.","non-dropping-particle":"","parse-names":false,"suffix":""},{"dropping-particle":"","family":"Garcia-Garcia","given":"Hector M.","non-dropping-particle":"","parse-names":false,"suffix":""},{"dropping-particle":"","family":"Waksman","given":"Ron","non-dropping-particle":"","parse-names":false,"suffix":""}],"container-title":"Journal of the American College of Cardiology","id":"ITEM-1","issue":"9","issued":{"date-parts":[["2020"]]},"page":"1061-1073","title":"Drug-Coated Balloon for De Novo Coronary Artery Disease: JACC State-of-the-Art Review","type":"article-journal","volume":"75"},"uris":["http://www.mendeley.com/documents/?uuid=f62d2ef2-18e2-419c-b508-009cf3223eec"]}],"mendeley":{"formattedCitation":"(3)","plainTextFormattedCitation":"(3)","previouslyFormattedCitation":"(3)"},"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8C1720" w:rsidRPr="008C1720">
        <w:rPr>
          <w:rFonts w:ascii="Times New Roman" w:hAnsi="Times New Roman" w:cs="Times New Roman"/>
          <w:bCs/>
          <w:noProof/>
          <w:sz w:val="24"/>
          <w:szCs w:val="24"/>
          <w:lang w:val="en-US"/>
        </w:rPr>
        <w:t>(3)</w:t>
      </w:r>
      <w:r w:rsidR="008D3C49">
        <w:rPr>
          <w:rStyle w:val="FootnoteReference"/>
          <w:rFonts w:ascii="Times New Roman" w:hAnsi="Times New Roman" w:cs="Times New Roman"/>
          <w:sz w:val="24"/>
          <w:szCs w:val="24"/>
        </w:rPr>
        <w:fldChar w:fldCharType="end"/>
      </w:r>
      <w:r w:rsidR="00985CB4">
        <w:rPr>
          <w:rFonts w:ascii="Times New Roman" w:hAnsi="Times New Roman" w:cs="Times New Roman"/>
          <w:sz w:val="24"/>
          <w:szCs w:val="24"/>
        </w:rPr>
        <w:t>.</w:t>
      </w:r>
      <w:r w:rsidR="00E53612">
        <w:rPr>
          <w:rFonts w:ascii="Times New Roman" w:hAnsi="Times New Roman" w:cs="Times New Roman"/>
          <w:sz w:val="24"/>
          <w:szCs w:val="24"/>
        </w:rPr>
        <w:t xml:space="preserve"> </w:t>
      </w:r>
      <w:r w:rsidR="00143A5D">
        <w:rPr>
          <w:rFonts w:ascii="Times New Roman" w:hAnsi="Times New Roman" w:cs="Times New Roman"/>
          <w:sz w:val="24"/>
          <w:szCs w:val="24"/>
        </w:rPr>
        <w:t>Drug coat</w:t>
      </w:r>
      <w:r w:rsidR="00741089">
        <w:rPr>
          <w:rFonts w:ascii="Times New Roman" w:hAnsi="Times New Roman" w:cs="Times New Roman"/>
          <w:sz w:val="24"/>
          <w:szCs w:val="24"/>
        </w:rPr>
        <w:t xml:space="preserve">ed balloons (DCB) combine the benefits of local drug delivery without the complications of a permanent stent implantation in cases where stenting was not mandated following the initial balloon angioplasty </w:t>
      </w:r>
      <w:r w:rsidR="008D3C49">
        <w:rPr>
          <w:rStyle w:val="FootnoteReference"/>
          <w:rFonts w:ascii="Times New Roman" w:hAnsi="Times New Roman" w:cs="Times New Roman"/>
          <w:sz w:val="24"/>
          <w:szCs w:val="24"/>
        </w:rPr>
        <w:fldChar w:fldCharType="begin" w:fldLock="1"/>
      </w:r>
      <w:r w:rsidR="007A2174">
        <w:rPr>
          <w:rFonts w:ascii="Times New Roman" w:hAnsi="Times New Roman" w:cs="Times New Roman"/>
          <w:sz w:val="24"/>
          <w:szCs w:val="24"/>
        </w:rPr>
        <w:instrText>ADDIN CSL_CITATION {"citationItems":[{"id":"ITEM-1","itemData":{"DOI":"10.2174/1573403X14666171226144120","author":[{"dropping-particle":"","family":"Merinopoulos","given":"I","non-dropping-particle":"","parse-names":false,"suffix":""},{"dropping-particle":"","family":"Gunawardena","given":"T","non-dropping-particle":"","parse-names":false,"suffix":""},{"dropping-particle":"","family":"Wickramarachchi","given":"U","non-dropping-particle":"","parse-names":false,"suffix":""},{"dropping-particle":"","family":"Ryding","given":"A","non-dropping-particle":"","parse-names":false,"suffix":""},{"dropping-particle":"","family":"Eccleshall","given":"S","non-dropping-particle":"","parse-names":false,"suffix":""},{"dropping-particle":"","family":"Vassiliou","given":"VS","non-dropping-particle":"","parse-names":false,"suffix":""}],"container-title":"Curr Cardiol Rev","id":"ITEM-1","issue":"1","issued":{"date-parts":[["2018"]]},"page":"45-52","title":"Percutaneous Coronary Intervention in the Elderly: Are Drug-coated Balloons the Future?","type":"article-journal","volume":"14"},"uris":["http://www.mendeley.com/documents/?uuid=62e17944-1998-449b-ad26-7f637815df5c"]}],"mendeley":{"formattedCitation":"(4)","plainTextFormattedCitation":"(4)","previouslyFormattedCitation":"(4)"},"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8C1720" w:rsidRPr="008C1720">
        <w:rPr>
          <w:rFonts w:ascii="Times New Roman" w:hAnsi="Times New Roman" w:cs="Times New Roman"/>
          <w:bCs/>
          <w:noProof/>
          <w:sz w:val="24"/>
          <w:szCs w:val="24"/>
          <w:lang w:val="en-US"/>
        </w:rPr>
        <w:t>(4)</w:t>
      </w:r>
      <w:r w:rsidR="008D3C49">
        <w:rPr>
          <w:rStyle w:val="FootnoteReference"/>
          <w:rFonts w:ascii="Times New Roman" w:hAnsi="Times New Roman" w:cs="Times New Roman"/>
          <w:sz w:val="24"/>
          <w:szCs w:val="24"/>
        </w:rPr>
        <w:fldChar w:fldCharType="end"/>
      </w:r>
      <w:r w:rsidR="00741089">
        <w:rPr>
          <w:rFonts w:ascii="Times New Roman" w:hAnsi="Times New Roman" w:cs="Times New Roman"/>
          <w:sz w:val="24"/>
          <w:szCs w:val="24"/>
        </w:rPr>
        <w:t xml:space="preserve">. </w:t>
      </w:r>
    </w:p>
    <w:p w14:paraId="31033613" w14:textId="4E14E40E" w:rsidR="00741089" w:rsidRPr="007126D7" w:rsidRDefault="00E70416" w:rsidP="00741E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The s</w:t>
      </w:r>
      <w:r w:rsidR="00741089">
        <w:rPr>
          <w:rFonts w:ascii="Times New Roman" w:hAnsi="Times New Roman" w:cs="Times New Roman"/>
          <w:sz w:val="24"/>
          <w:szCs w:val="24"/>
        </w:rPr>
        <w:t>afety and efficacy of DCB-only angioplasty has already been demonstrated in in-stent restenosis, small vessel disease and high-bleeding risk</w:t>
      </w:r>
      <w:r w:rsidR="00862D98">
        <w:rPr>
          <w:rFonts w:ascii="Times New Roman" w:hAnsi="Times New Roman" w:cs="Times New Roman"/>
          <w:sz w:val="24"/>
          <w:szCs w:val="24"/>
        </w:rPr>
        <w:t xml:space="preserve"> cohorts</w:t>
      </w:r>
      <w:r w:rsidR="00B20CC3">
        <w:rPr>
          <w:rFonts w:ascii="Times New Roman" w:hAnsi="Times New Roman" w:cs="Times New Roman"/>
          <w:sz w:val="24"/>
          <w:szCs w:val="24"/>
        </w:rPr>
        <w:t xml:space="preserve"> with emerging data in large vessels as well</w:t>
      </w:r>
      <w:r w:rsidR="00E91F69">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7A2174">
        <w:rPr>
          <w:rFonts w:ascii="Times New Roman" w:hAnsi="Times New Roman" w:cs="Times New Roman"/>
          <w:sz w:val="24"/>
          <w:szCs w:val="24"/>
        </w:rPr>
        <w:instrText>ADDIN CSL_CITATION {"citationItems":[{"id":"ITEM-1","itemData":{"DOI":"10.1016/j.jcin.2020.02.043","ISSN":"18767605","PMID":"32473887","abstract":"Although drug-eluting stents are still the default interventional treatment of coronary artery disease, drug-coated balloons (DCBs) represent a novel alternative therapeutic strategy in certain anatomic conditions. The effect of DCBs is based on the fast and homogenous transfer of antiproliferative drugs into the vessel wall during single balloon inflation by means of a lipophilic matrix without the use of permanent implants. Although their use is established for in-stent restenosis of both bare-metal and drug-eluting stents, recent randomized clinical data demonstrate a good efficacy and safety profile in de novo small-vessel disease and high bleeding risk. In addition, there are other emerging indications (e.g., bifurcation lesions, large-vessel disease, diabetes mellitus, acute coronary syndromes). Because the interaction among the different delivery balloon designs, doses, formulations, and release kinetics of the drugs used is important, there seems to be no “class effect” of DCBs. On the basis of the amount of recently published data, the International DCB Consensus Group provides this update of previous recommendations summarizing the historical background, technical considerations such as choice of device and implantation technique, possible indications, and future perspectives.","author":[{"dropping-particle":"V.","family":"Jeger","given":"Raban","non-dropping-particle":"","parse-names":false,"suffix":""},{"dropping-particle":"","family":"Eccleshall","given":"Simon","non-dropping-particle":"","parse-names":false,"suffix":""},{"dropping-particle":"","family":"Wan Ahmad","given":"Wan Azman","non-dropping-particle":"","parse-names":false,"suffix":""},{"dropping-particle":"","family":"Ge","given":"Junbo","non-dropping-particle":"","parse-names":false,"suffix":""},{"dropping-particle":"","family":"Poerner","given":"Tudor C.","non-dropping-particle":"","parse-names":false,"suffix":""},{"dropping-particle":"","family":"Shin","given":"Eun Seok","non-dropping-particle":"","parse-names":false,"suffix":""},{"dropping-particle":"","family":"Alfonso","given":"Fernando","non-dropping-particle":"","parse-names":false,"suffix":""},{"dropping-particle":"","family":"Latib","given":"Azeem","non-dropping-particle":"","parse-names":false,"suffix":""},{"dropping-particle":"","family":"Ong","given":"Paul J.","non-dropping-particle":"","parse-names":false,"suffix":""},{"dropping-particle":"","family":"Rissanen","given":"Tuomas T.","non-dropping-particle":"","parse-names":false,"suffix":""},{"dropping-particle":"","family":"Saucedo","given":"Jorge","non-dropping-particle":"","parse-names":false,"suffix":""},{"dropping-particle":"","family":"Scheller","given":"Bruno","non-dropping-particle":"","parse-names":false,"suffix":""},{"dropping-particle":"","family":"Kleber","given":"Franz X.","non-dropping-particle":"","parse-names":false,"suffix":""}],"container-title":"JACC: Cardiovascular Interventions","id":"ITEM-1","issue":"12","issued":{"date-parts":[["2020"]]},"page":"1391-1402","publisher":"Elsevier","title":"Drug-Coated Balloons for Coronary Artery Disease: Third Report of the International DCB Consensus Group","type":"article-journal","volume":"13"},"uris":["http://www.mendeley.com/documents/?uuid=6e27742b-65dc-4efa-8cc7-2c6e27ce9c1c"]}],"mendeley":{"formattedCitation":"(5)","plainTextFormattedCitation":"(5)","previouslyFormattedCitation":"(5)"},"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8C1720" w:rsidRPr="008C1720">
        <w:rPr>
          <w:rFonts w:ascii="Times New Roman" w:hAnsi="Times New Roman" w:cs="Times New Roman"/>
          <w:bCs/>
          <w:noProof/>
          <w:sz w:val="24"/>
          <w:szCs w:val="24"/>
          <w:lang w:val="en-US"/>
        </w:rPr>
        <w:t>(5)</w:t>
      </w:r>
      <w:r w:rsidR="008D3C49">
        <w:rPr>
          <w:rStyle w:val="FootnoteReference"/>
          <w:rFonts w:ascii="Times New Roman" w:hAnsi="Times New Roman" w:cs="Times New Roman"/>
          <w:sz w:val="24"/>
          <w:szCs w:val="24"/>
        </w:rPr>
        <w:fldChar w:fldCharType="end"/>
      </w:r>
      <w:r w:rsidR="00E91F69">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7A2174">
        <w:rPr>
          <w:rFonts w:ascii="Times New Roman" w:hAnsi="Times New Roman" w:cs="Times New Roman"/>
          <w:sz w:val="24"/>
          <w:szCs w:val="24"/>
        </w:rPr>
        <w:instrText>ADDIN CSL_CITATION {"citationItems":[{"id":"ITEM-1","itemData":{"DOI":"10.1016/S0140-6736(19)31126-2","ISSN":"1474547X","PMID":"31204115","abstract":"Background: The optimal technique of percutaneous coronary intervention in patients at high bleeding risk is not known. The hypothesis of the DEBUT trial was that percutaneous coronary intervention with drug-coated balloons is non-inferior to percutaneous coronary intervention with bare-metal stents for this population. Methods: The DEBUT trial is a randomised, single-blind non-inferiority trial done at five sites in Finland. Patients were eligible if they had an ischaemic de-novo lesion in a coronary artery or bypass graft that could be treated with drug-coated balloons, at least one risk factor for bleeding, and a reference vessel diameter of 2·5–4·0 mm. Those with myocardial infarction with ST-elevation, bifurcation lesions needing a two-stent technique, in-stent restenosis, and flow-limiting dissection or substantial recoil (&gt;30%) of the target lesion after predilation were excluded. After successful predilation of the target lesion, patients were randomly assigned (1:1), by use of a computer-generated random sequence, to percutaneous coronary intervention with a balloon coated with paclitaxel and iopromide or a bare-metal stent. The primary outcome was major adverse cardiac events at 9 months. Non-inferiority was shown if the absolute risk difference was no more than 3%. All prespecified analyses were done in the intention-to-treat population. This trial is registered with ClinicalTrials.gov, number NCT01781546. Findings: Between May 22, 2013, and Jan 16, 2017, 220 patients were recruited for the study and 208 patients were assigned to percutaneous coronary intervention with drug-coated balloon (n=102) or bare metal stent (n=106). At 9 months, major adverse cardiac events had occurred in one patient (1%) in the drug-coated balloon group and in 15 patients (14%) in the bare-metal stent group (absolute risk difference −13·2 percentage points [95% CI −6·2 to −21·1], risk ratio 0·07 [95% CI 0·01 to 0·52]; p&lt;0·00001 for non-inferiority and p=0·00034 for superiority). Two definitive stent thrombosis events occurred in the bare metal stent group but no acute vessel closures in the drug-coated balloon group. Interpretations: Percutaneous coronary intervention with drug-coated balloon was superior to bare-metal stents in patients at bleeding risk. The drug-coated balloon-only coronary intervention is a novel strategy to treat this difficult patient population. Comparison of this approach to the new generation drug-eluting stents is warranted in the future. …","author":[{"dropping-particle":"","family":"Rissanen","given":"Tuomas T.","non-dropping-particle":"","parse-names":false,"suffix":""},{"dropping-particle":"","family":"Uskela","given":"Sanna","non-dropping-particle":"","parse-names":false,"suffix":""},{"dropping-particle":"","family":"Eränen","given":"Jaakko","non-dropping-particle":"","parse-names":false,"suffix":""},{"dropping-particle":"","family":"Mäntylä","given":"Pirjo","non-dropping-particle":"","parse-names":false,"suffix":""},{"dropping-particle":"","family":"Olli","given":"Annika","non-dropping-particle":"","parse-names":false,"suffix":""},{"dropping-particle":"","family":"Romppanen","given":"Hannu","non-dropping-particle":"","parse-names":false,"suffix":""},{"dropping-particle":"","family":"Siljander","given":"Antti","non-dropping-particle":"","parse-names":false,"suffix":""},{"dropping-particle":"","family":"Pietilä","given":"Mikko","non-dropping-particle":"","parse-names":false,"suffix":""},{"dropping-particle":"","family":"Minkkinen","given":"Mikko J.","non-dropping-particle":"","parse-names":false,"suffix":""},{"dropping-particle":"","family":"Tervo","given":"Jerry","non-dropping-particle":"","parse-names":false,"suffix":""},{"dropping-particle":"","family":"Kärkkäinen","given":"Jussi M.","non-dropping-particle":"","parse-names":false,"suffix":""},{"dropping-particle":"","family":"Vatanen","given":"Aija","non-dropping-particle":"","parse-names":false,"suffix":""},{"dropping-particle":"","family":"Perälä","given":"Anssi","non-dropping-particle":"","parse-names":false,"suffix":""},{"dropping-particle":"","family":"Müller","given":"Miriam","non-dropping-particle":"","parse-names":false,"suffix":""},{"dropping-particle":"","family":"Porela","given":"Pekka","non-dropping-particle":"","parse-names":false,"suffix":""},{"dropping-particle":"","family":"Palojoki","given":"Eeva","non-dropping-particle":"","parse-names":false,"suffix":""}],"container-title":"The Lancet","id":"ITEM-1","issue":"10194","issued":{"date-parts":[["2019"]]},"page":"230-239","title":"Drug-coated balloon for treatment of de-novo coronary artery lesions in patients with high bleeding risk (DEBUT): a single-blind, randomised, non-inferiority trial","type":"article-journal","volume":"394"},"uris":["http://www.mendeley.com/documents/?uuid=c183546f-9a7c-4c88-8204-6d402b41c0aa"]}],"mendeley":{"formattedCitation":"(6)","plainTextFormattedCitation":"(6)","previouslyFormattedCitation":"(6)"},"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8C1720" w:rsidRPr="008C1720">
        <w:rPr>
          <w:rFonts w:ascii="Times New Roman" w:hAnsi="Times New Roman" w:cs="Times New Roman"/>
          <w:noProof/>
          <w:sz w:val="24"/>
          <w:szCs w:val="24"/>
        </w:rPr>
        <w:t>(6)</w:t>
      </w:r>
      <w:r w:rsidR="008D3C49">
        <w:rPr>
          <w:rStyle w:val="FootnoteReference"/>
          <w:rFonts w:ascii="Times New Roman" w:hAnsi="Times New Roman" w:cs="Times New Roman"/>
          <w:sz w:val="24"/>
          <w:szCs w:val="24"/>
        </w:rPr>
        <w:fldChar w:fldCharType="end"/>
      </w:r>
      <w:r w:rsidR="00E91F69">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7A2174">
        <w:rPr>
          <w:rFonts w:ascii="Times New Roman" w:hAnsi="Times New Roman" w:cs="Times New Roman"/>
          <w:sz w:val="24"/>
          <w:szCs w:val="24"/>
        </w:rPr>
        <w:instrText>ADDIN CSL_CITATION {"citationItems":[{"id":"ITEM-1","itemData":{"DOI":"10.1016/S0140-6736(18)31719-7","ISSN":"1047-3211 1460-2199","abstract":"Understanding the neural mechanism that supports preserved language processing in aphasia has implications for both basic and applied science. This study examined brain activation associated with correct picture naming in 15 patients with aphasia. We contrasted each patient's activation to the activation observed in a neurologically healthy control group, allowing us to identify regions with unusual activity patterns. The results revealed that increased activation in preserved left hemisphere areas is associated with better naming performance in aphasia. This relationship was linear in nature; progressively less cortical activation was associated with greater severity of anomia. These findings are consistent with others who suggests that residual language function following stroke relies on preserved cortical areas in the left hemisphere. 2009 The Author. L2 - Available in fulltext at http://nhs4315904.resolver.library.nhs.uk/linker?linkScheme=highwire3&amp;linktype=best&amp;jKey=cercor.oxfordjournals.org&amp;genre=article&amp;volume=20&amp;issue=5&amp;epage=1019&amp;issn=1047-3211&amp;eissn=1460-2199&amp;date=2010-05&amp;pages=1013-1019&amp;aulast=Fridriksson+J&amp;auinit=.&amp;title=Cerebral+Cortex&amp;atitle=Activity+in+preserved+left+hemisphere+regions+predicts+anomia+severity+in+aphasia&amp;sid=Elsevier%3AScienceDirect&amp;rfr_id=info%3Asid%2Felsevier.com%3AScienceDirect&amp;jHome=http%3A%2F%2Fcercor.oxfordjournals.org&amp;provider=highwire&amp;pkgName=freeart L2 - Available in print at http://nhs4315904.resolver.library.nhs.uk/linker?template=slinks:redirect&amp;linkclass=hlisd&amp;issn=1047-3211&amp;title=Cerebral+cortex+%28New+York%2C+N.Y.+%3A+1991%29&amp;rfr_id=info%3Asid%2Felsevier.com%3AScienceDirect&amp;provider=customer&amp;pkgName=nhs43159046&amp;jHome=http%3A%2F%2Fwww.uhl-library.nhs.uk%2Fdirectpages%2Fuhlblarticles.html; Note: Signed form required and fair use policy apply","author":[{"dropping-particle":"V","family":"Jeger","given":"Raban","non-dropping-particle":"","parse-names":false,"suffix":""},{"dropping-particle":"","family":"Farah","given":"Ahmed","non-dropping-particle":"","parse-names":false,"suffix":""},{"dropping-particle":"","family":"Ohlow","given":"Marc-alexander","non-dropping-particle":"","parse-names":false,"suffix":""},{"dropping-particle":"","family":"Mangner","given":"Norman","non-dropping-particle":"","parse-names":false,"suffix":""},{"dropping-particle":"","family":"Möbius-winkler","given":"Sven","non-dropping-particle":"","parse-names":false,"suffix":""},{"dropping-particle":"","family":"Leibundgut","given":"Gregor","non-dropping-particle":"","parse-names":false,"suffix":""},{"dropping-particle":"","family":"Weilenmann","given":"Daniel","non-dropping-particle":"","parse-names":false,"suffix":""}],"container-title":"Lancet","id":"ITEM-1","issue":"18","issued":{"date-parts":[["2018"]]},"page":"1-8","title":"Drug-coated balloons for small coronary artery disease (BASKET-SMALL 2): an open-label non-inferiority trial","type":"article-journal","volume":"6736"},"uris":["http://www.mendeley.com/documents/?uuid=65f62a8b-886b-4688-a962-1d7aea0313ca"]}],"mendeley":{"formattedCitation":"(7)","plainTextFormattedCitation":"(7)","previouslyFormattedCitation":"(7)"},"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8C1720" w:rsidRPr="008C1720">
        <w:rPr>
          <w:rFonts w:ascii="Times New Roman" w:hAnsi="Times New Roman" w:cs="Times New Roman"/>
          <w:bCs/>
          <w:noProof/>
          <w:sz w:val="24"/>
          <w:szCs w:val="24"/>
          <w:lang w:val="en-US"/>
        </w:rPr>
        <w:t>(7)</w:t>
      </w:r>
      <w:r w:rsidR="008D3C49">
        <w:rPr>
          <w:rStyle w:val="FootnoteReference"/>
          <w:rFonts w:ascii="Times New Roman" w:hAnsi="Times New Roman" w:cs="Times New Roman"/>
          <w:sz w:val="24"/>
          <w:szCs w:val="24"/>
        </w:rPr>
        <w:fldChar w:fldCharType="end"/>
      </w:r>
      <w:r w:rsidR="00E91F69">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7A2174">
        <w:rPr>
          <w:rFonts w:ascii="Times New Roman" w:hAnsi="Times New Roman" w:cs="Times New Roman"/>
          <w:sz w:val="24"/>
          <w:szCs w:val="24"/>
        </w:rPr>
        <w:instrText>ADDIN CSL_CITATION {"citationItems":[{"id":"ITEM-1","itemData":{"DOI":"10.1093/eurheartj/ehy394","ISSN":"15229645","PMID":"30165437","author":[{"dropping-particle":"","family":"Neumann","given":"F. J.","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 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dropping-particle":"","family":"Wijns","given":"William","non-dropping-particle":"","parse-names":false,"suffix":""},{"dropping-particle":"","family":"Glineur","given":"David","non-dropping-particle":"","parse-names":false,"suffix":""},{"dropping-particle":"","family":"Aboyans","given":"Victor","non-dropping-particle":"","parse-names":false,"suffix":""},{"dropping-particle":"","family":"Achenbach","given":"Stephan","non-dropping-particle":"","parse-names":false,"suffix":""},{"dropping-particle":"","family":"Agewall","given":"Stefan","non-dropping-particle":"","parse-names":false,"suffix":""},{"dropping-particle":"","family":"Andreotti","given":"Felicita","non-dropping-particle":"","parse-names":false,"suffix":""},{"dropping-particle":"","family":"Barbato","given":"Emanuele","non-dropping-particle":"","parse-names":false,"suffix":""},{"dropping-particle":"","family":"Baumbach","given":"Andreas","non-dropping-particle":"","parse-names":false,"suffix":""},{"dropping-particle":"","family":"Brophy","given":"James","non-dropping-particle":"","parse-names":false,"suffix":""},{"dropping-particle":"","family":"Bueno","given":"Hcrossed","non-dropping-particle":"","parse-names":false,"suffix":""},{"dropping-particle":"","family":"Calvert","given":"Patrick A.","non-dropping-particle":"","parse-names":false,"suffix":""},{"dropping-particle":"","family":"Capodanno","given":"Davide","non-dropping-particle":"","parse-names":false,"suffix":""},{"dropping-particle":"","family":"Davierwala","given":"Piroze M.","non-dropping-particle":"","parse-names":false,"suffix":""},{"dropping-particle":"","family":"Delgado","given":"Victoria","non-dropping-particle":"","parse-names":false,"suffix":""},{"dropping-particle":"","family":"Dudek","given":"Dariusz","non-dropping-particle":"","parse-names":false,"suffix":""},{"dropping-particle":"","family":"Freemantle","given":"Nick","non-dropping-particle":"","parse-names":false,"suffix":""},{"dropping-particle":"","family":"Funck-Brentano","given":"Christian","non-dropping-particle":"","parse-names":false,"suffix":""},{"dropping-particle":"","family":"Gaemperli","given":"Oliver","non-dropping-particle":"","parse-names":false,"suffix":""},{"dropping-particle":"","family":"Gielen","given":"Stephan","non-dropping-particle":"","parse-names":false,"suffix":""},{"dropping-particle":"","family":"Gilard","given":"Martine","non-dropping-particle":"","parse-names":false,"suffix":""},{"dropping-particle":"","family":"Gorenek","given":"Bulent","non-dropping-particle":"","parse-names":false,"suffix":""},{"dropping-particle":"","family":"Haasenritter","given":"Joerg","non-dropping-particle":"","parse-names":false,"suffix":""},{"dropping-particle":"","family":"Haude","given":"Michael","non-dropping-particle":"","parse-names":false,"suffix":""},{"dropping-particle":"","family":"Ibanez","given":"Borja","non-dropping-particle":"","parse-names":false,"suffix":""},{"dropping-particle":"","family":"Iung","given":"Bernard","non-dropping-particle":"","parse-names":false,"suffix":""},{"dropping-particle":"","family":"Jeppsson","given":"Anders","non-dropping-particle":"","parse-names":false,"suffix":""},{"dropping-particle":"","family":"Katritsis","given":"Demosthenes","non-dropping-particle":"","parse-names":false,"suffix":""},{"dropping-particle":"","family":"Knuuti","given":"Juhani","non-dropping-particle":"","parse-names":false,"suffix":""},{"dropping-particle":"","family":"Kolh","given":"Philippe","non-dropping-particle":"","parse-names":false,"suffix":""},{"dropping-particle":"","family":"Leite-Moreira","given":"Adelino","non-dropping-particle":"","parse-names":false,"suffix":""},{"dropping-particle":"","family":"Lund","given":"Lars H.","non-dropping-particle":"","parse-names":false,"suffix":""},{"dropping-particle":"","family":"Maisano","given":"Francesco","non-dropping-particle":"","parse-names":false,"suffix":""},{"dropping-particle":"","family":"Mehilli","given":"Julinda","non-dropping-particle":"","parse-names":false,"suffix":""},{"dropping-particle":"","family":"Metzler","given":"Bernhard","non-dropping-particle":"","parse-names":false,"suffix":""},{"dropping-particle":"","family":"Montalescot","given":"Gilles","non-dropping-particle":"","parse-names":false,"suffix":""},{"dropping-particle":"","family":"Pagano","given":"Domenico","non-dropping-particle":"","parse-names":false,"suffix":""},{"dropping-particle":"","family":"Petronio","given":"Anna Sonia","non-dropping-particle":"","parse-names":false,"suffix":""},{"dropping-particle":"","family":"Piepoli","given":"Massimo Francesco","non-dropping-particle":"","parse-names":false,"suffix":""},{"dropping-particle":"","family":"Popescu","given":"Bogdan A.","non-dropping-particle":"","parse-names":false,"suffix":""},{"dropping-particle":"","family":"Sádaba","given":"Rafael","non-dropping-particle":"","parse-names":false,"suffix":""},{"dropping-particle":"","family":"Shlyakhto","given":"Evgeny","non-dropping-particle":"","parse-names":false,"suffix":""},{"dropping-particle":"","family":"Silber","given":"Sigmund","non-dropping-particle":"","parse-names":false,"suffix":""},{"dropping-particle":"","family":"Simpson","given":"Iain A.","non-dropping-particle":"","parse-names":false,"suffix":""},{"dropping-particle":"","family":"Sparv","given":"David","non-dropping-particle":"","parse-names":false,"suffix":""},{"dropping-particle":"","family":"Tavilla","given":"Giuseppe","non-dropping-particle":"","parse-names":false,"suffix":""},{"dropping-particle":"","family":"Thiele","given":"Holger","non-dropping-particle":"","parse-names":false,"suffix":""},{"dropping-particle":"","family":"Tousek","given":"Petr","non-dropping-particle":"","parse-names":false,"suffix":""},{"dropping-particle":"","family":"Belle","given":"Eric","non-dropping-particle":"Van","parse-names":false,"suffix":""},{"dropping-particle":"","family":"Vranckx","given":"Pascal","non-dropping-particle":"","parse-names":false,"suffix":""},{"dropping-particle":"","family":"Witkowski","given":"Adam","non-dropping-particle":"","parse-names":false,"suffix":""},{"dropping-particle":"","family":"Zamorano","given":"Jose Luis","non-dropping-particle":"","parse-names":false,"suffix":""},{"dropping-particle":"","family":"Roffi","given":"Marco","non-dropping-particle":"","parse-names":false,"suffix":""}],"container-title":"European Heart Journal","id":"ITEM-1","issue":"2","issued":{"date-parts":[["2019"]]},"page":"87-165","title":"2018 ESC/EACTS Guidelines on myocardial revascularization","type":"article-journal","volume":"40"},"uris":["http://www.mendeley.com/documents/?uuid=744afd12-e305-4f93-8e40-3a9be68d0e4a"]}],"mendeley":{"formattedCitation":"(8)","plainTextFormattedCitation":"(8)","previouslyFormattedCitation":"(8)"},"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8C1720" w:rsidRPr="008C1720">
        <w:rPr>
          <w:rFonts w:ascii="Times New Roman" w:hAnsi="Times New Roman" w:cs="Times New Roman"/>
          <w:bCs/>
          <w:noProof/>
          <w:sz w:val="24"/>
          <w:szCs w:val="24"/>
          <w:lang w:val="en-US"/>
        </w:rPr>
        <w:t>(8)</w:t>
      </w:r>
      <w:r w:rsidR="008D3C49">
        <w:rPr>
          <w:rStyle w:val="FootnoteReference"/>
          <w:rFonts w:ascii="Times New Roman" w:hAnsi="Times New Roman" w:cs="Times New Roman"/>
          <w:sz w:val="24"/>
          <w:szCs w:val="24"/>
        </w:rPr>
        <w:fldChar w:fldCharType="end"/>
      </w:r>
      <w:r w:rsidR="00B20CC3">
        <w:rPr>
          <w:rFonts w:ascii="Times New Roman" w:hAnsi="Times New Roman" w:cs="Times New Roman"/>
          <w:sz w:val="24"/>
          <w:szCs w:val="24"/>
        </w:rPr>
        <w:t xml:space="preserve"> </w:t>
      </w:r>
      <w:r w:rsidR="007F00FF">
        <w:rPr>
          <w:rFonts w:ascii="Times New Roman" w:hAnsi="Times New Roman" w:cs="Times New Roman"/>
          <w:sz w:val="24"/>
          <w:szCs w:val="24"/>
        </w:rPr>
        <w:fldChar w:fldCharType="begin" w:fldLock="1"/>
      </w:r>
      <w:r w:rsidR="007F00FF">
        <w:rPr>
          <w:rFonts w:ascii="Times New Roman" w:hAnsi="Times New Roman" w:cs="Times New Roman"/>
          <w:sz w:val="24"/>
          <w:szCs w:val="24"/>
        </w:rPr>
        <w:instrText>ADDIN CSL_CITATION {"citationItems":[{"id":"ITEM-1","itemData":{"DOI":"10.1007/s00392-022-02106-y","ISBN":"0123456789","ISSN":"18610692","abstract":"Objective: We aimed to investigate the safety of drug-coated balloon (DCB)-only angioplasty compared to drug-eluting stent (DES), as part of routine clinical practice. Background: The recent BASKETSMALL2 trial demonstrated the safety and efficacy of DCB angioplasty for de novo small vessel disease. Registry data have also demonstrated that DCB angioplasty is safe; however, most of these studies are limited due to long recruitment time and a small number of patients with DCB compared to DES. Therefore, it is unclear if DCB-only strategy is safe to incorporate in routine elective clinical practice. Methods: We compared all-cause mortality and major cardiovascular endpoints (MACE), including unplanned target lesion revascularisation (TLR) of all patients treated with DCB or DES for first presentation of stable angina due to de novo coronary artery disease between 1st January 2015 and 15th November 2019. Data were analysed with Cox regression models and cumulative hazard plots. Results: We present 1237 patients; 544 treated with DCB and 693 treated with DES for de novo, mainly large-vessel coronary artery disease. On multivariable Cox regression analysis, only age and frailty remained significant adverse predictors of all-cause mortality. Univariable, cumulative hazard plots showed no difference between DCB and DES for either all-cause mortality or any of the major cardiovascular endpoints, including unplanned TLR. The results remained unchanged following propensity score-matched analysis. Conclusion: DCB-only angioplasty, for stable angina and predominantly large vessels, is safe compared to DES as part of routine clinical practice, in terms of all-cause mortality and MACE, including unplanned TLR. Graphic abstract: [Figure not available: see fulltext.].","author":[{"dropping-particle":"","family":"Merinopoulos","given":"Ioannis","non-dropping-particle":"","parse-names":false,"suffix":""},{"dropping-particle":"","family":"Gunawardena","given":"Tharusha","non-dropping-particle":"","parse-names":false,"suffix":""},{"dropping-particle":"","family":"Corballis","given":"Natasha","non-dropping-particle":"","parse-names":false,"suffix":""},{"dropping-particle":"","family":"Bhalraam","given":"U.","non-dropping-particle":"","parse-names":false,"suffix":""},{"dropping-particle":"","family":"Gilbert","given":"Tim","non-dropping-particle":"","parse-names":false,"suffix":""},{"dropping-particle":"","family":"Maart","given":"Clint","non-dropping-particle":"","parse-names":false,"suffix":""},{"dropping-particle":"","family":"Richardson","given":"Paul","non-dropping-particle":"","parse-names":false,"suffix":""},{"dropping-particle":"","family":"Ryding","given":"Alisdair","non-dropping-particle":"","parse-names":false,"suffix":""},{"dropping-particle":"","family":"Sarev","given":"Toomas","non-dropping-particle":"","parse-names":false,"suffix":""},{"dropping-particle":"","family":"Sawh","given":"Chris","non-dropping-particle":"","parse-names":false,"suffix":""},{"dropping-particle":"","family":"Sulfi","given":"Sreekumar","non-dropping-particle":"","parse-names":false,"suffix":""},{"dropping-particle":"","family":"Wickramarachchi","given":"Upul","non-dropping-particle":"","parse-names":false,"suffix":""},{"dropping-particle":"","family":"Wistow","given":"Trevor","non-dropping-particle":"","parse-names":false,"suffix":""},{"dropping-particle":"","family":"Mohamed","given":"Mohamed O.","non-dropping-particle":"","parse-names":false,"suffix":""},{"dropping-particle":"","family":"Mamas","given":"Mamas A.","non-dropping-particle":"","parse-names":false,"suffix":""},{"dropping-particle":"","family":"Vassiliou","given":"Vassilios S.","non-dropping-particle":"","parse-names":false,"suffix":""},{"dropping-particle":"","family":"Eccleshall","given":"Simon C.","non-dropping-particle":"","parse-names":false,"suffix":""}],"container-title":"Clinical Research in Cardiology","id":"ITEM-1","issued":{"date-parts":[["2022"]]},"publisher":"Springer Berlin Heidelberg","title":"Paclitaxel drug-coated balloon-only angioplasty for de novo coronary artery disease in elective clinical practice","type":"article-journal"},"uris":["http://www.mendeley.com/documents/?uuid=8820068e-ae64-4cab-b1b7-4b5aa7eea50c"]}],"mendeley":{"formattedCitation":"(9)","plainTextFormattedCitation":"(9)","previouslyFormattedCitation":"(9)"},"properties":{"noteIndex":0},"schema":"https://github.com/citation-style-language/schema/raw/master/csl-citation.json"}</w:instrText>
      </w:r>
      <w:r w:rsidR="007F00FF">
        <w:rPr>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(9)</w:t>
      </w:r>
      <w:r w:rsidR="007F00FF">
        <w:rPr>
          <w:rFonts w:ascii="Times New Roman" w:hAnsi="Times New Roman" w:cs="Times New Roman"/>
          <w:sz w:val="24"/>
          <w:szCs w:val="24"/>
        </w:rPr>
        <w:fldChar w:fldCharType="end"/>
      </w:r>
      <w:r w:rsidR="007F00FF">
        <w:rPr>
          <w:rFonts w:ascii="Times New Roman" w:hAnsi="Times New Roman" w:cs="Times New Roman"/>
          <w:sz w:val="24"/>
          <w:szCs w:val="24"/>
        </w:rPr>
        <w:t xml:space="preserve"> </w:t>
      </w:r>
      <w:r w:rsidR="007F00FF">
        <w:rPr>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{"citationItems":[{"id":"ITEM-1","itemData":{"DOI":"10.1007/s00392-020-01734-6","ISBN":"0123456789","ISSN":"18610692","abstract":"Objectives: We aimed to investigate long-term survival of paclitaxel DCB for percutaneous coronary intervention (PCI). Background: Safety concerns have been raised over the use of paclitaxel devices for peripheral artery disease recently, following a meta-analysis suggesting increased late mortality. With regard to drug-coated balloon (DCB) angioplasty for coronary artery intervention however, there is limited data to date regarding possible late mortality relating to paclitaxel. Methods: We compared all-cause mortality of patients treated with paclitaxel DCB to those with non-paclitaxel second-generation drug-eluting stents (DES) for stable, de novo coronary artery disease from 1st January 2011 till 31st December 2018. To have homogenous groups allowing data on safety to be interpreted accurately, we excluded patients with previous PCI and patients treated with a combination of both DCB and DES in subsequent PCIs. Data were analysed with Kaplan–Meier curves and Cox regression statistical models. Results: We present 1517 patients; 429 treated with paclitaxel DCB and 1088 treated with DES. On univariate analysis, age, hypercholesterolaemia, hypertension, peripheral vascular disease, prior myocardial infarction, heart failure, smoking, atrial fibrillation, decreasing estimated glomerular filtration rate (eGFR) [and renal failure (eGFR &lt; 45)] were associated with worse survival. DCB intervention showed a non-significant trend towards better prognosis compared to DES (p = 0.08). On multivariable analysis age, decreasing eGFR and smoking associated with worse prognosis. Conclusion: We found no evidence of late mortality associated with DCB angioplasty compared with non-paclitaxel second-generation DES in up to 5 years follow-up. DCB is a safe option for the treatment of de novo coronary artery disease.","author":[{"dropping-particle":"","family":"Merinopoulos","given":"Ioannis","non-dropping-particle":"","parse-names":false,"suffix":""},{"dropping-particle":"","family":"Gunawardena","given":"Tharusha","non-dropping-particle":"","parse-names":false,"suffix":""},{"dropping-particle":"","family":"Wickramarachchi","given":"Upul","non-dropping-particle":"","parse-names":false,"suffix":""},{"dropping-particle":"","family":"Richardson","given":"Paul","non-dropping-particle":"","parse-names":false,"suffix":""},{"dropping-particle":"","family":"Maart","given":"Clint","non-dropping-particle":"","parse-names":false,"suffix":""},{"dropping-particle":"","family":"Sreekumar","given":"Sulfi","non-dropping-particle":"","parse-names":false,"suffix":""},{"dropping-particle":"","family":"Sawh","given":"Chris","non-dropping-particle":"","parse-names":false,"suffix":""},{"dropping-particle":"","family":"Wistow","given":"Trevor","non-dropping-particle":"","parse-names":false,"suffix":""},{"dropping-particle":"","family":"Sarev","given":"Toomas","non-dropping-particle":"","parse-names":false,"suffix":""},{"dropping-particle":"","family":"Ryding","given":"Alisdair","non-dropping-particle":"","parse-names":false,"suffix":""},{"dropping-particle":"","family":"Gilbert","given":"Tim","non-dropping-particle":"","parse-names":false,"suffix":""},{"dropping-particle":"","family":"Perperoglou","given":"Aris","non-dropping-particle":"","parse-names":false,"suffix":""},{"dropping-particle":"","family":"Vassiliou","given":"Vassilios S.","non-dropping-particle":"","parse-names":false,"suffix":""},{"dropping-particle":"","family":"Eccleshall","given":"Simon C.","non-dropping-particle":"","parse-names":false,"suffix":""}],"container-title":"Clinical Research in Cardiology","id":"ITEM-1","issued":{"date-parts":[["2020"]]},"publisher":"Springer Berlin Heidelberg","title":"Long-term safety of paclitaxel drug-coated balloon-only angioplasty for de novo coronary artery disease: the SPARTAN DCB study","type":"article-journal"},"uris":["http://www.mendeley.com/documents/?uuid=c85fab25-2a5d-4f0b-94b9-f4813c3cfc84"]}],"mendeley":{"formattedCitation":"(10)","plainTextFormattedCitation":"(10)","previouslyFormattedCitation":"(10)"},"properties":{"noteIndex":0},"schema":"https://github.com/citation-style-language/schema/raw/master/csl-citation.json"}</w:instrText>
      </w:r>
      <w:r w:rsidR="007F00FF">
        <w:rPr>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(10)</w:t>
      </w:r>
      <w:r w:rsidR="007F00FF">
        <w:rPr>
          <w:rFonts w:ascii="Times New Roman" w:hAnsi="Times New Roman" w:cs="Times New Roman"/>
          <w:sz w:val="24"/>
          <w:szCs w:val="24"/>
        </w:rPr>
        <w:fldChar w:fldCharType="end"/>
      </w:r>
      <w:r w:rsidR="00741089">
        <w:rPr>
          <w:rFonts w:ascii="Times New Roman" w:hAnsi="Times New Roman" w:cs="Times New Roman"/>
          <w:sz w:val="24"/>
          <w:szCs w:val="24"/>
        </w:rPr>
        <w:t xml:space="preserve">. </w:t>
      </w:r>
      <w:r w:rsidR="00151013">
        <w:rPr>
          <w:rFonts w:ascii="Times New Roman" w:hAnsi="Times New Roman" w:cs="Times New Roman"/>
          <w:sz w:val="24"/>
          <w:szCs w:val="24"/>
        </w:rPr>
        <w:t>However, o</w:t>
      </w:r>
      <w:r w:rsidR="00E4329C">
        <w:rPr>
          <w:rFonts w:ascii="Times New Roman" w:hAnsi="Times New Roman" w:cs="Times New Roman"/>
          <w:sz w:val="24"/>
          <w:szCs w:val="24"/>
        </w:rPr>
        <w:t xml:space="preserve">nly a few, predominantly small studies have evaluated the safety of DCB-only angioplasty in the setting of </w:t>
      </w:r>
      <w:proofErr w:type="spellStart"/>
      <w:r w:rsidR="00C7268E">
        <w:rPr>
          <w:rFonts w:ascii="Times New Roman" w:hAnsi="Times New Roman" w:cs="Times New Roman"/>
          <w:sz w:val="24"/>
          <w:szCs w:val="24"/>
        </w:rPr>
        <w:t>p</w:t>
      </w:r>
      <w:r w:rsidR="00E4329C">
        <w:rPr>
          <w:rFonts w:ascii="Times New Roman" w:hAnsi="Times New Roman" w:cs="Times New Roman"/>
          <w:sz w:val="24"/>
          <w:szCs w:val="24"/>
        </w:rPr>
        <w:t>PCI</w:t>
      </w:r>
      <w:proofErr w:type="spellEnd"/>
      <w:r w:rsidR="00E91F69">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7A2174">
        <w:rPr>
          <w:rFonts w:ascii="Times New Roman" w:hAnsi="Times New Roman" w:cs="Times New Roman"/>
          <w:sz w:val="24"/>
          <w:szCs w:val="24"/>
        </w:rPr>
        <w:instrText>ADDIN CSL_CITATION {"citationItems":[{"id":"ITEM-1","itemData":{"DOI":"10.1016/S0140-6736(18)31719-7","ISSN":"1047-3211 1460-2199","abstract":"Understanding the neural mechanism that supports preserved language processing in aphasia has implications for both basic and applied science. This study examined brain activation associated with correct picture naming in 15 patients with aphasia. We contrasted each patient's activation to the activation observed in a neurologically healthy control group, allowing us to identify regions with unusual activity patterns. The results revealed that increased activation in preserved left hemisphere areas is associated with better naming performance in aphasia. This relationship was linear in nature; progressively less cortical activation was associated with greater severity of anomia. These findings are consistent with others who suggests that residual language function following stroke relies on preserved cortical areas in the left hemisphere. 2009 The Author. L2 - Available in fulltext at http://nhs4315904.resolver.library.nhs.uk/linker?linkScheme=highwire3&amp;linktype=best&amp;jKey=cercor.oxfordjournals.org&amp;genre=article&amp;volume=20&amp;issue=5&amp;epage=1019&amp;issn=1047-3211&amp;eissn=1460-2199&amp;date=2010-05&amp;pages=1013-1019&amp;aulast=Fridriksson+J&amp;auinit=.&amp;title=Cerebral+Cortex&amp;atitle=Activity+in+preserved+left+hemisphere+regions+predicts+anomia+severity+in+aphasia&amp;sid=Elsevier%3AScienceDirect&amp;rfr_id=info%3Asid%2Felsevier.com%3AScienceDirect&amp;jHome=http%3A%2F%2Fcercor.oxfordjournals.org&amp;provider=highwire&amp;pkgName=freeart L2 - Available in print at http://nhs4315904.resolver.library.nhs.uk/linker?template=slinks:redirect&amp;linkclass=hlisd&amp;issn=1047-3211&amp;title=Cerebral+cortex+%28New+York%2C+N.Y.+%3A+1991%29&amp;rfr_id=info%3Asid%2Felsevier.com%3AScienceDirect&amp;provider=customer&amp;pkgName=nhs43159046&amp;jHome=http%3A%2F%2Fwww.uhl-library.nhs.uk%2Fdirectpages%2Fuhlblarticles.html; Note: Signed form required and fair use policy apply","author":[{"dropping-particle":"V","family":"Jeger","given":"Raban","non-dropping-particle":"","parse-names":false,"suffix":""},{"dropping-particle":"","family":"Farah","given":"Ahmed","non-dropping-particle":"","parse-names":false,"suffix":""},{"dropping-particle":"","family":"Ohlow","given":"Marc-alexander","non-dropping-particle":"","parse-names":false,"suffix":""},{"dropping-particle":"","family":"Mangner","given":"Norman","non-dropping-particle":"","parse-names":false,"suffix":""},{"dropping-particle":"","family":"Möbius-winkler","given":"Sven","non-dropping-particle":"","parse-names":false,"suffix":""},{"dropping-particle":"","family":"Leibundgut","given":"Gregor","non-dropping-particle":"","parse-names":false,"suffix":""},{"dropping-particle":"","family":"Weilenmann","given":"Daniel","non-dropping-particle":"","parse-names":false,"suffix":""}],"container-title":"Lancet","id":"ITEM-1","issue":"18","issued":{"date-parts":[["2018"]]},"page":"1-8","title":"Drug-coated balloons for small coronary artery disease (BASKET-SMALL 2): an open-label non-inferiority trial","type":"article-journal","volume":"6736"},"uris":["http://www.mendeley.com/documents/?uuid=65f62a8b-886b-4688-a962-1d7aea0313ca"]}],"mendeley":{"formattedCitation":"(7)","plainTextFormattedCitation":"(7)","previouslyFormattedCitation":"(7)"},"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8C1720" w:rsidRPr="008C1720">
        <w:rPr>
          <w:rFonts w:ascii="Times New Roman" w:hAnsi="Times New Roman" w:cs="Times New Roman"/>
          <w:noProof/>
          <w:sz w:val="24"/>
          <w:szCs w:val="24"/>
        </w:rPr>
        <w:t>(7)</w:t>
      </w:r>
      <w:r w:rsidR="008D3C49">
        <w:rPr>
          <w:rStyle w:val="FootnoteReference"/>
          <w:rFonts w:ascii="Times New Roman" w:hAnsi="Times New Roman" w:cs="Times New Roman"/>
          <w:sz w:val="24"/>
          <w:szCs w:val="24"/>
        </w:rPr>
        <w:fldChar w:fldCharType="end"/>
      </w:r>
      <w:r w:rsidR="00E91F69">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{"citationItems":[{"id":"ITEM-1","itemData":{"DOI":"10.4330/wjc.v7.i6.311","ISSN":"1949-8462","PMID":"26131335","abstract":"We evaluated the clinical feasibility of using drug-coated balloon (DCB) angioplasty in patients undergoing primary percutaneous coronary intervention (PPCI). Between January 2010 to September 2014, 89 ST-elevation myocardial infarction patients (83% male, mean age 59 ± 14 years) with a total of 89 coronary lesions were treated with DCB during PPCI. Clinical outcomes are reported at 30 d follow-up. Left anterior descending artery was the most common target vessel for PCI (37%). Twenty-eight percent of the patients had underlying diabetes mellitus. Mean left ventricular ejection fraction was 44% ± 11%. DCB-only PCI was the predominant approach (96%) with the remaining 4% of patients receiving bail-out stenting. Thrombolysis in Myocardial Infarction (TIMI) 3 flow was successfully restored in 98% of patients. An average of 1.2 ± 0.5 DCB were used per patient, with mean DCB diameter of 2.6 ± 0.5 mm and average length of 23.2 ± 10.2 mm. At 30-d follow-up, there were 4 deaths (4.5%). No patients experienced abrupt closure of the infarct-related artery and there was no reported target-lesion failure. Our preliminary experience showed that DCB angioplasty in PPCI was feasible and associated with a high rate of TIMI 3 flow and low 30-d ischaemic event.","author":[{"dropping-particle":"","family":"Ho","given":"Hee Hwa","non-dropping-particle":"","parse-names":false,"suffix":""}],"container-title":"World Journal of Cardiology","id":"ITEM-1","issue":"6","issued":{"date-parts":[["2015"]]},"page":"311","title":"Preliminary experience with drug-coated balloon angioplasty in primary percutaneous coronary intervention","type":"article-journal","volume":"7"},"uris":["http://www.mendeley.com/documents/?uuid=ea374d4c-579d-4f4f-b763-1e4cd382cf70"]}],"mendeley":{"formattedCitation":"(11)","plainTextFormattedCitation":"(11)","previouslyFormattedCitation":"(11)"},"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bCs/>
          <w:noProof/>
          <w:sz w:val="24"/>
          <w:szCs w:val="24"/>
          <w:lang w:val="en-US"/>
        </w:rPr>
        <w:t>(11)</w:t>
      </w:r>
      <w:r w:rsidR="008D3C49">
        <w:rPr>
          <w:rStyle w:val="FootnoteReference"/>
          <w:rFonts w:ascii="Times New Roman" w:hAnsi="Times New Roman" w:cs="Times New Roman"/>
          <w:sz w:val="24"/>
          <w:szCs w:val="24"/>
        </w:rPr>
        <w:fldChar w:fldCharType="end"/>
      </w:r>
      <w:r w:rsidR="00E91F69">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10.1186/s13019-021-01525-8","ISBN":"1301902101","author":[{"dropping-particle":"","family":"Teacher","given":"Little","non-dropping-particle":"","parse-names":false,"suffix":""},{"dropping-particle":"","family":"Yellow","given":"Damien","non-dropping-particle":"","parse-names":false,"suffix":""},{"dropping-particle":"","family":"King","given":"Asaka","non-dropping-particle":"","parse-names":false,"suffix":""},{"dropping-particle":"","family":"Zhang","given":"Jin Chun","non-dropping-particle":"","parse-names":false,"suffix":""},{"dropping-particle":"","family":"Liu","given":"Li Hongqiang","non-dropping-particle":"","parse-names":false,"suffix":""},{"dropping-particle":"","family":"Road","given":"Yingmin","non-dropping-particle":"","parse-names":false,"suffix":""}],"container-title":"Journal of Cardiothoracic Surgery","id":"ITEM-1","issue":"1","issued":{"date-parts":[["2021"]]},"page":"1-7","publisher":"Journal of Cardiothoracic Surgery","title":"Study on the safety and effectiveness of drug-coated balloons in patients with acute myocardial infarction","type":"article-journal","volume":"16"},"uris":["http://www.mendeley.com/documents/?uuid=967f3b83-5504-430e-a098-bdf1fb70cd89"]}],"mendeley":{"formattedCitation":"(12)","plainTextFormattedCitation":"(12)","previouslyFormattedCitation":"(12)"},"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bCs/>
          <w:noProof/>
          <w:sz w:val="24"/>
          <w:szCs w:val="24"/>
          <w:lang w:val="en-US"/>
        </w:rPr>
        <w:t>(12)</w:t>
      </w:r>
      <w:r w:rsidR="008D3C49">
        <w:rPr>
          <w:rStyle w:val="FootnoteReference"/>
          <w:rFonts w:ascii="Times New Roman" w:hAnsi="Times New Roman" w:cs="Times New Roman"/>
          <w:sz w:val="24"/>
          <w:szCs w:val="24"/>
        </w:rPr>
        <w:fldChar w:fldCharType="end"/>
      </w:r>
      <w:r w:rsidR="004F4B7D">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{"citationItems":[{"id":"ITEM-1","itemData":{"DOI":"10.1002/ccd.26060","ISSN":"1522726X","PMID":"26119971","abstract":"Objective To evaluate a paclitaxel drug-eluting balloon (DEB) only strategy in primary percutaneous coronary intervention (PPCI), aiming at a comparison with bare metal stent (BMS) alone, DEB followed by BMS, and paclitaxel eluting stent (PES), as assessed in the randomized Drug Eluting Balloon in Acute ST-Segment Elevation Myocardial Infarction (DEB-AMI) trial. Background DEB-only seems an attractive strategy in PPCI, as it obviates the risk of stent thrombosis. Methods This study is a prospective registry with the same inclusion/exclusion criteria used in the DEB-AMI trial, as it constitutes the fourth, nonrandomized, treatment arm of this trial. Patients presenting with ST-elevation myocardial infarction were allocated to DEB-only (DIOR II, Eurocor GmbH, Bonn, Germany) after successful thrombus aspiration and predilatation. Primary endpoint was 6-month angiographic in-balloon/stent late-luminal loss (LLL). Secondary endpoints were in-balloon/stent binary restenosis and major adverse cardiac events (MACE: death, myocardial infarction, target-vessel revascularization). Results Forty patients underwent PPCI by DEB-only. Procedural success was achieved in 97.5% with bail-out stenting required in 10.0% of procedures. In DEB-only, LLL was 0.51±0.59 mm as compared to 0.74±0.57 mm in BMS (P=0.44), 0.64±0.56 mm in DEB+BMS (P=0.88) and 0.21±0.32 mm in PES (P&lt;0.01); in-balloon/stent binary restenosis rates were 22.2%, 23.8% (P=0.67), 28.6% (P=0.97), and 4.5% (P=0.07), respectively; and MACE rates were 17.5%, 23.5% (P=0.20), 20.0% (P=0.26), and 4.1% (P=0.90), respectively. No acute or late thrombotic events occurred in the DEB-only group. Conclusions PPCI by DEB-only in selected patients yielded an angiographic outcome comparable to BMS alone and DEB followed by BMS. PES proved angiographic superiority to DEB-only. DEB-only is therefore a potential treatment alternative during PPCI in patients with contra-indications to drug-eluting stents.","author":[{"dropping-particle":"","family":"Nijhoff","given":"Freek","non-dropping-particle":"","parse-names":false,"suffix":""},{"dropping-particle":"","family":"Agostoni","given":"Pierfrancesco","non-dropping-particle":"","parse-names":false,"suffix":""},{"dropping-particle":"","family":"Belkacemi","given":"Anouar","non-dropping-particle":"","parse-names":false,"suffix":""},{"dropping-particle":"","family":"Nathoe","given":"Hendrik M.","non-dropping-particle":"","parse-names":false,"suffix":""},{"dropping-particle":"","family":"Voskuil","given":"Michiel","non-dropping-particle":"","parse-names":false,"suffix":""},{"dropping-particle":"","family":"Samim","given":"Mariam","non-dropping-particle":"","parse-names":false,"suffix":""},{"dropping-particle":"","family":"Doevendans","given":"Pieter A.","non-dropping-particle":"","parse-names":false,"suffix":""},{"dropping-particle":"","family":"Stella","given":"Pieter R.","non-dropping-particle":"","parse-names":false,"suffix":""}],"container-title":"Catheterization and Cardiovascular Interventions","id":"ITEM-1","issued":{"date-parts":[["2015"]]},"page":"S34-S44","title":"Primary percutaneous coronary intervention by drug-eluting balloon angioplasty: The nonrandomized fourth arm of the DEB-AMI (drug-eluting balloon in ST-segment elevation myocardial infarction) trial","type":"article-journal","volume":"86"},"uris":["http://www.mendeley.com/documents/?uuid=9601f881-8661-49f6-9b96-e0385bc70fc2"]}],"mendeley":{"formattedCitation":"(13)","plainTextFormattedCitation":"(13)","previouslyFormattedCitation":"(13)"},"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(13)</w:t>
      </w:r>
      <w:r w:rsidR="008D3C49">
        <w:rPr>
          <w:rStyle w:val="FootnoteReference"/>
          <w:rFonts w:ascii="Times New Roman" w:hAnsi="Times New Roman" w:cs="Times New Roman"/>
          <w:sz w:val="24"/>
          <w:szCs w:val="24"/>
        </w:rPr>
        <w:fldChar w:fldCharType="end"/>
      </w:r>
      <w:r w:rsidR="00E4329C">
        <w:rPr>
          <w:rFonts w:ascii="Times New Roman" w:hAnsi="Times New Roman" w:cs="Times New Roman"/>
          <w:sz w:val="24"/>
          <w:szCs w:val="24"/>
        </w:rPr>
        <w:t xml:space="preserve">. </w:t>
      </w:r>
      <w:r w:rsidR="0074020C">
        <w:rPr>
          <w:rFonts w:ascii="Times New Roman" w:hAnsi="Times New Roman" w:cs="Times New Roman"/>
          <w:sz w:val="24"/>
          <w:szCs w:val="24"/>
        </w:rPr>
        <w:t xml:space="preserve">The </w:t>
      </w:r>
      <w:r w:rsidR="00F27B92">
        <w:rPr>
          <w:rFonts w:ascii="Times New Roman" w:hAnsi="Times New Roman" w:cs="Times New Roman"/>
          <w:sz w:val="24"/>
          <w:szCs w:val="24"/>
        </w:rPr>
        <w:t>present study sought</w:t>
      </w:r>
      <w:r w:rsidR="00E4329C">
        <w:rPr>
          <w:rFonts w:ascii="Times New Roman" w:hAnsi="Times New Roman" w:cs="Times New Roman"/>
          <w:sz w:val="24"/>
          <w:szCs w:val="24"/>
        </w:rPr>
        <w:t xml:space="preserve"> to assess the safety of DCB-only angioplasty in </w:t>
      </w:r>
      <w:proofErr w:type="spellStart"/>
      <w:r w:rsidR="00C7268E">
        <w:rPr>
          <w:rFonts w:ascii="Times New Roman" w:hAnsi="Times New Roman" w:cs="Times New Roman"/>
          <w:sz w:val="24"/>
          <w:szCs w:val="24"/>
        </w:rPr>
        <w:t>p</w:t>
      </w:r>
      <w:r w:rsidR="00E4329C">
        <w:rPr>
          <w:rFonts w:ascii="Times New Roman" w:hAnsi="Times New Roman" w:cs="Times New Roman"/>
          <w:sz w:val="24"/>
          <w:szCs w:val="24"/>
        </w:rPr>
        <w:t>PCI</w:t>
      </w:r>
      <w:proofErr w:type="spellEnd"/>
      <w:r w:rsidR="00E4329C">
        <w:rPr>
          <w:rFonts w:ascii="Times New Roman" w:hAnsi="Times New Roman" w:cs="Times New Roman"/>
          <w:sz w:val="24"/>
          <w:szCs w:val="24"/>
        </w:rPr>
        <w:t xml:space="preserve"> as compared with newer generation DES. </w:t>
      </w:r>
    </w:p>
    <w:p w14:paraId="633E3BFC" w14:textId="77777777" w:rsidR="007126D7" w:rsidRDefault="007126D7" w:rsidP="00741EDE">
      <w:pPr>
        <w:pStyle w:val="NoSpacing"/>
        <w:spacing w:line="480" w:lineRule="auto"/>
        <w:jc w:val="both"/>
        <w:rPr>
          <w:rFonts w:ascii="Times New Roman" w:hAnsi="Times New Roman" w:cs="Times New Roman"/>
          <w:b/>
          <w:sz w:val="24"/>
          <w:szCs w:val="24"/>
        </w:rPr>
      </w:pPr>
    </w:p>
    <w:p w14:paraId="65901E84" w14:textId="788EBEE2" w:rsidR="00741EDE" w:rsidRPr="007126D7" w:rsidRDefault="00741EDE" w:rsidP="00741EDE">
      <w:pPr>
        <w:pStyle w:val="NoSpacing"/>
        <w:spacing w:line="480" w:lineRule="auto"/>
        <w:jc w:val="both"/>
        <w:rPr>
          <w:rFonts w:ascii="Times New Roman" w:hAnsi="Times New Roman" w:cs="Times New Roman"/>
          <w:b/>
          <w:sz w:val="24"/>
          <w:szCs w:val="24"/>
        </w:rPr>
      </w:pPr>
      <w:r w:rsidRPr="00741EDE">
        <w:rPr>
          <w:rFonts w:ascii="Times New Roman" w:hAnsi="Times New Roman" w:cs="Times New Roman"/>
          <w:b/>
          <w:sz w:val="24"/>
          <w:szCs w:val="24"/>
        </w:rPr>
        <w:t>M</w:t>
      </w:r>
      <w:r w:rsidR="000B20E1">
        <w:rPr>
          <w:rFonts w:ascii="Times New Roman" w:hAnsi="Times New Roman" w:cs="Times New Roman"/>
          <w:b/>
          <w:sz w:val="24"/>
          <w:szCs w:val="24"/>
        </w:rPr>
        <w:t>ethods</w:t>
      </w:r>
    </w:p>
    <w:p w14:paraId="64EFA457" w14:textId="6C700FC3" w:rsidR="00741EDE" w:rsidRDefault="00741EDE" w:rsidP="00741E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The safety of paclitaxel drug coated balloon only angioplasty for ST elevation myocardial infarction was an investigator-initiated, single centre</w:t>
      </w:r>
      <w:r w:rsidR="000D1A48">
        <w:rPr>
          <w:rFonts w:ascii="Times New Roman" w:hAnsi="Times New Roman" w:cs="Times New Roman"/>
          <w:sz w:val="24"/>
          <w:szCs w:val="24"/>
        </w:rPr>
        <w:t>, retrospective, propensity matched,</w:t>
      </w:r>
      <w:r>
        <w:rPr>
          <w:rFonts w:ascii="Times New Roman" w:hAnsi="Times New Roman" w:cs="Times New Roman"/>
          <w:sz w:val="24"/>
          <w:szCs w:val="24"/>
        </w:rPr>
        <w:t xml:space="preserve"> cohort study. In our institution, patients undergoing PCI are prospectively entered in a dedicated </w:t>
      </w:r>
      <w:r w:rsidR="00F238DC">
        <w:rPr>
          <w:rFonts w:ascii="Times New Roman" w:hAnsi="Times New Roman" w:cs="Times New Roman"/>
          <w:sz w:val="24"/>
          <w:szCs w:val="24"/>
        </w:rPr>
        <w:t xml:space="preserve">clinical </w:t>
      </w:r>
      <w:r>
        <w:rPr>
          <w:rFonts w:ascii="Times New Roman" w:hAnsi="Times New Roman" w:cs="Times New Roman"/>
          <w:sz w:val="24"/>
          <w:szCs w:val="24"/>
        </w:rPr>
        <w:t xml:space="preserve">database. </w:t>
      </w:r>
      <w:r w:rsidR="0006747B">
        <w:rPr>
          <w:rFonts w:ascii="Times New Roman" w:hAnsi="Times New Roman" w:cs="Times New Roman"/>
          <w:sz w:val="24"/>
          <w:szCs w:val="24"/>
        </w:rPr>
        <w:t>T</w:t>
      </w:r>
      <w:r>
        <w:rPr>
          <w:rFonts w:ascii="Times New Roman" w:hAnsi="Times New Roman" w:cs="Times New Roman"/>
          <w:sz w:val="24"/>
          <w:szCs w:val="24"/>
        </w:rPr>
        <w:t>he</w:t>
      </w:r>
      <w:r w:rsidR="0006747B">
        <w:rPr>
          <w:rFonts w:ascii="Times New Roman" w:hAnsi="Times New Roman" w:cs="Times New Roman"/>
          <w:sz w:val="24"/>
          <w:szCs w:val="24"/>
        </w:rPr>
        <w:t xml:space="preserve"> study received approval from the</w:t>
      </w:r>
      <w:r>
        <w:rPr>
          <w:rFonts w:ascii="Times New Roman" w:hAnsi="Times New Roman" w:cs="Times New Roman"/>
          <w:sz w:val="24"/>
          <w:szCs w:val="24"/>
        </w:rPr>
        <w:t xml:space="preserve"> Northwest Haydock </w:t>
      </w:r>
      <w:r w:rsidR="00D2467E">
        <w:rPr>
          <w:rFonts w:ascii="Times New Roman" w:hAnsi="Times New Roman" w:cs="Times New Roman"/>
          <w:sz w:val="24"/>
          <w:szCs w:val="24"/>
        </w:rPr>
        <w:t>(17/NW/0278)</w:t>
      </w:r>
      <w:r>
        <w:rPr>
          <w:rFonts w:ascii="Times New Roman" w:hAnsi="Times New Roman" w:cs="Times New Roman"/>
          <w:sz w:val="24"/>
          <w:szCs w:val="24"/>
        </w:rPr>
        <w:t xml:space="preserve">, </w:t>
      </w:r>
      <w:r w:rsidR="00D2467E">
        <w:rPr>
          <w:rFonts w:ascii="Times New Roman" w:hAnsi="Times New Roman" w:cs="Times New Roman"/>
          <w:sz w:val="24"/>
          <w:szCs w:val="24"/>
        </w:rPr>
        <w:lastRenderedPageBreak/>
        <w:t>UK research ethics committee and Institutional Board approval by the Norfolk and Norwich University Hospital</w:t>
      </w:r>
      <w:r w:rsidR="0006747B">
        <w:rPr>
          <w:rFonts w:ascii="Times New Roman" w:hAnsi="Times New Roman" w:cs="Times New Roman"/>
          <w:sz w:val="24"/>
          <w:szCs w:val="24"/>
        </w:rPr>
        <w:t xml:space="preserve">. </w:t>
      </w:r>
      <w:r>
        <w:rPr>
          <w:rFonts w:ascii="Times New Roman" w:hAnsi="Times New Roman" w:cs="Times New Roman"/>
          <w:sz w:val="24"/>
          <w:szCs w:val="24"/>
        </w:rPr>
        <w:t>The confidentiality advisory group waived the need for patient consent due to the retrospective nature of our study</w:t>
      </w:r>
      <w:r w:rsidR="00D2467E">
        <w:rPr>
          <w:rFonts w:ascii="Times New Roman" w:hAnsi="Times New Roman" w:cs="Times New Roman"/>
          <w:sz w:val="24"/>
          <w:szCs w:val="24"/>
        </w:rPr>
        <w:t xml:space="preserve"> (17/CAG/0145)</w:t>
      </w:r>
      <w:r>
        <w:rPr>
          <w:rFonts w:ascii="Times New Roman" w:hAnsi="Times New Roman" w:cs="Times New Roman"/>
          <w:sz w:val="24"/>
          <w:szCs w:val="24"/>
        </w:rPr>
        <w:t xml:space="preserve">. In our institution, usage of DCB has steadily increased </w:t>
      </w:r>
      <w:r w:rsidR="00F238DC">
        <w:rPr>
          <w:rFonts w:ascii="Times New Roman" w:hAnsi="Times New Roman" w:cs="Times New Roman"/>
          <w:sz w:val="24"/>
          <w:szCs w:val="24"/>
        </w:rPr>
        <w:t xml:space="preserve">and </w:t>
      </w:r>
      <w:r>
        <w:rPr>
          <w:rFonts w:ascii="Times New Roman" w:hAnsi="Times New Roman" w:cs="Times New Roman"/>
          <w:sz w:val="24"/>
          <w:szCs w:val="24"/>
        </w:rPr>
        <w:t xml:space="preserve">usage of </w:t>
      </w:r>
      <w:r w:rsidR="00CA6DAF">
        <w:rPr>
          <w:rFonts w:ascii="Times New Roman" w:hAnsi="Times New Roman" w:cs="Times New Roman"/>
          <w:sz w:val="24"/>
          <w:szCs w:val="24"/>
        </w:rPr>
        <w:t>second-generation</w:t>
      </w:r>
      <w:r>
        <w:rPr>
          <w:rFonts w:ascii="Times New Roman" w:hAnsi="Times New Roman" w:cs="Times New Roman"/>
          <w:sz w:val="24"/>
          <w:szCs w:val="24"/>
        </w:rPr>
        <w:t xml:space="preserve"> DES has steadily decreased over the last ten years</w:t>
      </w:r>
      <w:r w:rsidR="000D016C">
        <w:rPr>
          <w:rFonts w:ascii="Times New Roman" w:hAnsi="Times New Roman" w:cs="Times New Roman"/>
          <w:sz w:val="24"/>
          <w:szCs w:val="24"/>
        </w:rPr>
        <w:t xml:space="preserve"> as</w:t>
      </w:r>
      <w:r w:rsidR="00AC5FF1">
        <w:rPr>
          <w:rFonts w:ascii="Times New Roman" w:hAnsi="Times New Roman" w:cs="Times New Roman"/>
          <w:sz w:val="24"/>
          <w:szCs w:val="24"/>
        </w:rPr>
        <w:t xml:space="preserve"> shown in </w:t>
      </w:r>
      <w:r w:rsidR="00CA6DAF">
        <w:rPr>
          <w:rFonts w:ascii="Times New Roman" w:hAnsi="Times New Roman" w:cs="Times New Roman"/>
          <w:b/>
          <w:bCs/>
          <w:sz w:val="24"/>
          <w:szCs w:val="24"/>
        </w:rPr>
        <w:t>S</w:t>
      </w:r>
      <w:r w:rsidR="00CA6DAF" w:rsidRPr="00C7268E">
        <w:rPr>
          <w:rFonts w:ascii="Times New Roman" w:hAnsi="Times New Roman" w:cs="Times New Roman"/>
          <w:b/>
          <w:bCs/>
          <w:sz w:val="24"/>
          <w:szCs w:val="24"/>
        </w:rPr>
        <w:t xml:space="preserve">upplementary </w:t>
      </w:r>
      <w:r w:rsidR="00CA6DAF">
        <w:rPr>
          <w:rFonts w:ascii="Times New Roman" w:hAnsi="Times New Roman" w:cs="Times New Roman"/>
          <w:b/>
          <w:bCs/>
          <w:sz w:val="24"/>
          <w:szCs w:val="24"/>
        </w:rPr>
        <w:t>F</w:t>
      </w:r>
      <w:r w:rsidR="00CA6DAF" w:rsidRPr="00C7268E">
        <w:rPr>
          <w:rFonts w:ascii="Times New Roman" w:hAnsi="Times New Roman" w:cs="Times New Roman"/>
          <w:b/>
          <w:bCs/>
          <w:sz w:val="24"/>
          <w:szCs w:val="24"/>
        </w:rPr>
        <w:t xml:space="preserve">igure </w:t>
      </w:r>
      <w:r w:rsidR="00AC5FF1" w:rsidRPr="00C7268E">
        <w:rPr>
          <w:rFonts w:ascii="Times New Roman" w:hAnsi="Times New Roman" w:cs="Times New Roman"/>
          <w:b/>
          <w:bCs/>
          <w:sz w:val="24"/>
          <w:szCs w:val="24"/>
        </w:rPr>
        <w:t>1</w:t>
      </w:r>
      <w:r>
        <w:rPr>
          <w:rFonts w:ascii="Times New Roman" w:hAnsi="Times New Roman" w:cs="Times New Roman"/>
          <w:sz w:val="24"/>
          <w:szCs w:val="24"/>
        </w:rPr>
        <w:t>. From 2016 onwards more than 100 patients per year with first presentation of STEMI and de novo disease were treated with DCB-only angioplasty</w:t>
      </w:r>
      <w:r w:rsidR="00CB7501">
        <w:rPr>
          <w:rFonts w:ascii="Times New Roman" w:hAnsi="Times New Roman" w:cs="Times New Roman"/>
          <w:sz w:val="24"/>
          <w:szCs w:val="24"/>
        </w:rPr>
        <w:t>, representing at least 35% of all the STEMI patients</w:t>
      </w:r>
      <w:r>
        <w:rPr>
          <w:rFonts w:ascii="Times New Roman" w:hAnsi="Times New Roman" w:cs="Times New Roman"/>
          <w:sz w:val="24"/>
          <w:szCs w:val="24"/>
        </w:rPr>
        <w:t xml:space="preserve">. </w:t>
      </w:r>
      <w:r w:rsidR="000D016C">
        <w:rPr>
          <w:rFonts w:ascii="Times New Roman" w:hAnsi="Times New Roman" w:cs="Times New Roman"/>
          <w:sz w:val="24"/>
          <w:szCs w:val="24"/>
        </w:rPr>
        <w:t>Hence, f</w:t>
      </w:r>
      <w:r>
        <w:rPr>
          <w:rFonts w:ascii="Times New Roman" w:hAnsi="Times New Roman" w:cs="Times New Roman"/>
          <w:sz w:val="24"/>
          <w:szCs w:val="24"/>
        </w:rPr>
        <w:t xml:space="preserve">or the purposes of this study we considered patients </w:t>
      </w:r>
      <w:r w:rsidR="00B75DBC">
        <w:rPr>
          <w:rFonts w:ascii="Times New Roman" w:hAnsi="Times New Roman" w:cs="Times New Roman"/>
          <w:sz w:val="24"/>
          <w:szCs w:val="24"/>
        </w:rPr>
        <w:t xml:space="preserve">from 2016 onwards, so that the two groups were more balanced in terms of </w:t>
      </w:r>
      <w:r w:rsidR="00CA6DAF">
        <w:rPr>
          <w:rFonts w:ascii="Times New Roman" w:hAnsi="Times New Roman" w:cs="Times New Roman"/>
          <w:sz w:val="24"/>
          <w:szCs w:val="24"/>
        </w:rPr>
        <w:t>frequency</w:t>
      </w:r>
      <w:r w:rsidR="00B75DBC">
        <w:rPr>
          <w:rFonts w:ascii="Times New Roman" w:hAnsi="Times New Roman" w:cs="Times New Roman"/>
          <w:sz w:val="24"/>
          <w:szCs w:val="24"/>
        </w:rPr>
        <w:t xml:space="preserve"> and </w:t>
      </w:r>
      <w:r w:rsidR="002A44D5">
        <w:rPr>
          <w:rFonts w:ascii="Times New Roman" w:hAnsi="Times New Roman" w:cs="Times New Roman"/>
          <w:sz w:val="24"/>
          <w:szCs w:val="24"/>
        </w:rPr>
        <w:t xml:space="preserve">follow up. </w:t>
      </w:r>
      <w:r w:rsidR="00087734">
        <w:rPr>
          <w:rFonts w:ascii="Times New Roman" w:hAnsi="Times New Roman" w:cs="Times New Roman"/>
          <w:sz w:val="24"/>
          <w:szCs w:val="24"/>
        </w:rPr>
        <w:t xml:space="preserve">We excluded patients with cardiac arrest, intubation or cardiogenic shock as their outcomes are determined mainly by the severity of the clinical presentation rather than the treatment strategy (Fig </w:t>
      </w:r>
      <w:r w:rsidR="00A17042">
        <w:rPr>
          <w:rFonts w:ascii="Times New Roman" w:hAnsi="Times New Roman" w:cs="Times New Roman"/>
          <w:sz w:val="24"/>
          <w:szCs w:val="24"/>
        </w:rPr>
        <w:t>1</w:t>
      </w:r>
      <w:r w:rsidR="00087734">
        <w:rPr>
          <w:rFonts w:ascii="Times New Roman" w:hAnsi="Times New Roman" w:cs="Times New Roman"/>
          <w:sz w:val="24"/>
          <w:szCs w:val="24"/>
        </w:rPr>
        <w:t xml:space="preserve">). </w:t>
      </w:r>
      <w:r w:rsidR="002A44D5">
        <w:rPr>
          <w:rFonts w:ascii="Times New Roman" w:hAnsi="Times New Roman" w:cs="Times New Roman"/>
          <w:sz w:val="24"/>
          <w:szCs w:val="24"/>
        </w:rPr>
        <w:t xml:space="preserve">Clinical and angiographic data were obtained from our prospectively collated database supplemented with data from electronic hospital records </w:t>
      </w:r>
      <w:r w:rsidR="002A44D5" w:rsidRPr="00AC5FF1">
        <w:rPr>
          <w:rFonts w:ascii="Times New Roman" w:hAnsi="Times New Roman" w:cs="Times New Roman"/>
          <w:sz w:val="24"/>
          <w:szCs w:val="24"/>
        </w:rPr>
        <w:t xml:space="preserve">as required. </w:t>
      </w:r>
      <w:r w:rsidR="00FC7C42" w:rsidRPr="00AC5FF1">
        <w:rPr>
          <w:rFonts w:ascii="Times New Roman" w:hAnsi="Times New Roman" w:cs="Times New Roman"/>
          <w:sz w:val="24"/>
          <w:szCs w:val="24"/>
        </w:rPr>
        <w:t>A</w:t>
      </w:r>
      <w:r w:rsidR="00F30974" w:rsidRPr="00AC5FF1">
        <w:rPr>
          <w:rFonts w:ascii="Times New Roman" w:hAnsi="Times New Roman" w:cs="Times New Roman"/>
          <w:sz w:val="24"/>
          <w:szCs w:val="24"/>
        </w:rPr>
        <w:t>n operator (NC) blinded to the outcomes</w:t>
      </w:r>
      <w:r w:rsidR="00FC7C42" w:rsidRPr="00AC5FF1">
        <w:rPr>
          <w:rFonts w:ascii="Times New Roman" w:hAnsi="Times New Roman" w:cs="Times New Roman"/>
          <w:sz w:val="24"/>
          <w:szCs w:val="24"/>
        </w:rPr>
        <w:t xml:space="preserve"> reviewed</w:t>
      </w:r>
      <w:r w:rsidR="00FC7C42">
        <w:rPr>
          <w:rFonts w:ascii="Times New Roman" w:hAnsi="Times New Roman" w:cs="Times New Roman"/>
          <w:sz w:val="24"/>
          <w:szCs w:val="24"/>
        </w:rPr>
        <w:t xml:space="preserve"> all angiograms</w:t>
      </w:r>
      <w:r w:rsidR="002A44D5">
        <w:rPr>
          <w:rFonts w:ascii="Times New Roman" w:hAnsi="Times New Roman" w:cs="Times New Roman"/>
          <w:sz w:val="24"/>
          <w:szCs w:val="24"/>
        </w:rPr>
        <w:t xml:space="preserve"> to confirm accuracy of treatment strategy, classify bifurcation disease, TIMI flow before and after PCI as well as coronary artery dissection post DCB implantation. A lesion was defined as bifurcation if there was a side branch more than 2mm in diameter within 5mm of the lesion. </w:t>
      </w:r>
      <w:r w:rsidR="00CA6DAF">
        <w:rPr>
          <w:rFonts w:ascii="Times New Roman" w:hAnsi="Times New Roman" w:cs="Times New Roman"/>
          <w:sz w:val="24"/>
          <w:szCs w:val="24"/>
        </w:rPr>
        <w:t xml:space="preserve">Medina </w:t>
      </w:r>
      <w:r w:rsidR="00CB7778">
        <w:rPr>
          <w:rFonts w:ascii="Times New Roman" w:hAnsi="Times New Roman" w:cs="Times New Roman"/>
          <w:sz w:val="24"/>
          <w:szCs w:val="24"/>
        </w:rPr>
        <w:t xml:space="preserve">subtypes 1.1.1, 1.0.1 and 0.1.1 were considered as true bifurcations. The vessel diameter was considered as the largest pre/post-dilatation balloon, DCB or DES </w:t>
      </w:r>
      <w:proofErr w:type="gramStart"/>
      <w:r w:rsidR="00CB7778">
        <w:rPr>
          <w:rFonts w:ascii="Times New Roman" w:hAnsi="Times New Roman" w:cs="Times New Roman"/>
          <w:sz w:val="24"/>
          <w:szCs w:val="24"/>
        </w:rPr>
        <w:t>used</w:t>
      </w:r>
      <w:proofErr w:type="gramEnd"/>
      <w:r w:rsidR="00CB7778">
        <w:rPr>
          <w:rFonts w:ascii="Times New Roman" w:hAnsi="Times New Roman" w:cs="Times New Roman"/>
          <w:sz w:val="24"/>
          <w:szCs w:val="24"/>
        </w:rPr>
        <w:t xml:space="preserve"> and lesion length was based on the DCB or DES length.</w:t>
      </w:r>
      <w:r w:rsidR="007A2174">
        <w:rPr>
          <w:rFonts w:ascii="Times New Roman" w:hAnsi="Times New Roman" w:cs="Times New Roman"/>
          <w:sz w:val="24"/>
          <w:szCs w:val="24"/>
        </w:rPr>
        <w:t xml:space="preserve"> </w:t>
      </w:r>
      <w:r w:rsidR="00846047" w:rsidRPr="00846047">
        <w:rPr>
          <w:rFonts w:ascii="Times New Roman" w:hAnsi="Times New Roman" w:cs="Times New Roman"/>
          <w:sz w:val="24"/>
          <w:szCs w:val="24"/>
          <w:highlight w:val="yellow"/>
        </w:rPr>
        <w:t>Calcification was assessed by angiographic visualisation.</w:t>
      </w:r>
    </w:p>
    <w:p w14:paraId="58807725" w14:textId="77777777" w:rsidR="00CB7778" w:rsidRDefault="00CB7778" w:rsidP="00741EDE">
      <w:pPr>
        <w:pStyle w:val="NoSpacing"/>
        <w:spacing w:line="480" w:lineRule="auto"/>
        <w:jc w:val="both"/>
        <w:rPr>
          <w:rFonts w:ascii="Times New Roman" w:hAnsi="Times New Roman" w:cs="Times New Roman"/>
          <w:sz w:val="24"/>
          <w:szCs w:val="24"/>
        </w:rPr>
      </w:pPr>
    </w:p>
    <w:p w14:paraId="646465C9" w14:textId="2A3FBC1F" w:rsidR="007A2174" w:rsidRDefault="00CB7778" w:rsidP="00741E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primary endpoint was all-cause mortality. </w:t>
      </w:r>
      <w:r w:rsidR="001939FE" w:rsidRPr="003506EE">
        <w:rPr>
          <w:rFonts w:ascii="Times New Roman" w:hAnsi="Times New Roman" w:cs="Times New Roman"/>
          <w:sz w:val="24"/>
          <w:szCs w:val="24"/>
        </w:rPr>
        <w:t>The secondary endpoi</w:t>
      </w:r>
      <w:r w:rsidR="00D377E4" w:rsidRPr="003506EE">
        <w:rPr>
          <w:rFonts w:ascii="Times New Roman" w:hAnsi="Times New Roman" w:cs="Times New Roman"/>
          <w:sz w:val="24"/>
          <w:szCs w:val="24"/>
        </w:rPr>
        <w:t>nt</w:t>
      </w:r>
      <w:r w:rsidR="00D2467E">
        <w:rPr>
          <w:rFonts w:ascii="Times New Roman" w:hAnsi="Times New Roman" w:cs="Times New Roman"/>
          <w:sz w:val="24"/>
          <w:szCs w:val="24"/>
        </w:rPr>
        <w:t>s were</w:t>
      </w:r>
      <w:r w:rsidR="000E2787">
        <w:rPr>
          <w:rFonts w:ascii="Times New Roman" w:hAnsi="Times New Roman" w:cs="Times New Roman"/>
          <w:sz w:val="24"/>
          <w:szCs w:val="24"/>
        </w:rPr>
        <w:t xml:space="preserve"> cardiovascular mortality, </w:t>
      </w:r>
      <w:r w:rsidR="00D2467E">
        <w:rPr>
          <w:rFonts w:ascii="Times New Roman" w:hAnsi="Times New Roman" w:cs="Times New Roman"/>
          <w:sz w:val="24"/>
          <w:szCs w:val="24"/>
        </w:rPr>
        <w:t>acute coronary syndrome (ACS), stroke</w:t>
      </w:r>
      <w:r w:rsidR="000E2787">
        <w:rPr>
          <w:rFonts w:ascii="Times New Roman" w:hAnsi="Times New Roman" w:cs="Times New Roman"/>
          <w:sz w:val="24"/>
          <w:szCs w:val="24"/>
        </w:rPr>
        <w:t xml:space="preserve"> or transient ischaemic attack</w:t>
      </w:r>
      <w:r w:rsidR="00D2467E">
        <w:rPr>
          <w:rFonts w:ascii="Times New Roman" w:hAnsi="Times New Roman" w:cs="Times New Roman"/>
          <w:sz w:val="24"/>
          <w:szCs w:val="24"/>
        </w:rPr>
        <w:t xml:space="preserve">, </w:t>
      </w:r>
      <w:r w:rsidR="000E2787">
        <w:rPr>
          <w:rFonts w:ascii="Times New Roman" w:hAnsi="Times New Roman" w:cs="Times New Roman"/>
          <w:sz w:val="24"/>
          <w:szCs w:val="24"/>
        </w:rPr>
        <w:t xml:space="preserve">major </w:t>
      </w:r>
      <w:proofErr w:type="gramStart"/>
      <w:r w:rsidR="000E2787">
        <w:rPr>
          <w:rFonts w:ascii="Times New Roman" w:hAnsi="Times New Roman" w:cs="Times New Roman"/>
          <w:sz w:val="24"/>
          <w:szCs w:val="24"/>
        </w:rPr>
        <w:t>bleeding</w:t>
      </w:r>
      <w:proofErr w:type="gramEnd"/>
      <w:r w:rsidR="000E2787">
        <w:rPr>
          <w:rFonts w:ascii="Times New Roman" w:hAnsi="Times New Roman" w:cs="Times New Roman"/>
          <w:sz w:val="24"/>
          <w:szCs w:val="24"/>
        </w:rPr>
        <w:t xml:space="preserve"> and target lesion revascularisation. </w:t>
      </w:r>
      <w:r w:rsidR="007A2174">
        <w:rPr>
          <w:rFonts w:ascii="Times New Roman" w:hAnsi="Times New Roman" w:cs="Times New Roman"/>
          <w:sz w:val="24"/>
          <w:szCs w:val="24"/>
        </w:rPr>
        <w:t xml:space="preserve">Patient outcomes were obtained from the Hospital Episodes Statistics from NHS digital. </w:t>
      </w:r>
      <w:r w:rsidR="000E2787">
        <w:rPr>
          <w:rFonts w:ascii="Times New Roman" w:hAnsi="Times New Roman" w:cs="Times New Roman"/>
          <w:sz w:val="24"/>
          <w:szCs w:val="24"/>
        </w:rPr>
        <w:t xml:space="preserve">Hospital Episode Statistics is a data warehouse containing details </w:t>
      </w:r>
      <w:r w:rsidR="000E2787">
        <w:rPr>
          <w:rFonts w:ascii="Times New Roman" w:hAnsi="Times New Roman" w:cs="Times New Roman"/>
          <w:sz w:val="24"/>
          <w:szCs w:val="24"/>
        </w:rPr>
        <w:lastRenderedPageBreak/>
        <w:t>of all admission</w:t>
      </w:r>
      <w:r w:rsidR="00AE741E">
        <w:rPr>
          <w:rFonts w:ascii="Times New Roman" w:hAnsi="Times New Roman" w:cs="Times New Roman"/>
          <w:sz w:val="24"/>
          <w:szCs w:val="24"/>
        </w:rPr>
        <w:t>s</w:t>
      </w:r>
      <w:r w:rsidR="000E2787">
        <w:rPr>
          <w:rFonts w:ascii="Times New Roman" w:hAnsi="Times New Roman" w:cs="Times New Roman"/>
          <w:sz w:val="24"/>
          <w:szCs w:val="24"/>
        </w:rPr>
        <w:t xml:space="preserve">, outpatient appointments and accident &amp; emergency attendances at NHS hospitals in England. </w:t>
      </w:r>
      <w:r w:rsidR="007A2174">
        <w:rPr>
          <w:rFonts w:ascii="Times New Roman" w:hAnsi="Times New Roman" w:cs="Times New Roman"/>
          <w:sz w:val="24"/>
          <w:szCs w:val="24"/>
        </w:rPr>
        <w:t xml:space="preserve">Supplementary table 1 demonstrates the ICD-10 diagnostic codes used to identify patients’ outcomes. </w:t>
      </w:r>
      <w:r w:rsidR="002B370E">
        <w:rPr>
          <w:rFonts w:ascii="Times New Roman" w:hAnsi="Times New Roman" w:cs="Times New Roman"/>
          <w:sz w:val="24"/>
          <w:szCs w:val="24"/>
        </w:rPr>
        <w:t>We obtained mortality data for all patients</w:t>
      </w:r>
      <w:r w:rsidR="00C7268E">
        <w:rPr>
          <w:rFonts w:ascii="Times New Roman" w:hAnsi="Times New Roman" w:cs="Times New Roman"/>
          <w:sz w:val="24"/>
          <w:szCs w:val="24"/>
        </w:rPr>
        <w:t xml:space="preserve"> from NHS digital</w:t>
      </w:r>
      <w:r w:rsidR="002B370E">
        <w:rPr>
          <w:rFonts w:ascii="Times New Roman" w:hAnsi="Times New Roman" w:cs="Times New Roman"/>
          <w:sz w:val="24"/>
          <w:szCs w:val="24"/>
        </w:rPr>
        <w:t xml:space="preserve">. </w:t>
      </w:r>
      <w:r w:rsidR="007A2174">
        <w:rPr>
          <w:rFonts w:ascii="Times New Roman" w:hAnsi="Times New Roman" w:cs="Times New Roman"/>
          <w:sz w:val="24"/>
          <w:szCs w:val="24"/>
        </w:rPr>
        <w:t xml:space="preserve">All deaths were classified as cardiovascular or non-cardiovascular by </w:t>
      </w:r>
      <w:r w:rsidR="00B134A5">
        <w:rPr>
          <w:rFonts w:ascii="Times New Roman" w:hAnsi="Times New Roman" w:cs="Times New Roman"/>
          <w:sz w:val="24"/>
          <w:szCs w:val="24"/>
        </w:rPr>
        <w:t>three blinded</w:t>
      </w:r>
      <w:r w:rsidR="007A2174">
        <w:rPr>
          <w:rFonts w:ascii="Times New Roman" w:hAnsi="Times New Roman" w:cs="Times New Roman"/>
          <w:sz w:val="24"/>
          <w:szCs w:val="24"/>
        </w:rPr>
        <w:t xml:space="preserve"> adjudicato</w:t>
      </w:r>
      <w:r w:rsidR="00B134A5">
        <w:rPr>
          <w:rFonts w:ascii="Times New Roman" w:hAnsi="Times New Roman" w:cs="Times New Roman"/>
          <w:sz w:val="24"/>
          <w:szCs w:val="24"/>
        </w:rPr>
        <w:t>rs</w:t>
      </w:r>
      <w:r w:rsidR="007A2174">
        <w:rPr>
          <w:rFonts w:ascii="Times New Roman" w:hAnsi="Times New Roman" w:cs="Times New Roman"/>
          <w:sz w:val="24"/>
          <w:szCs w:val="24"/>
        </w:rPr>
        <w:t xml:space="preserve"> according to academic research consortium 2 consensus </w:t>
      </w:r>
      <w:r w:rsidR="007A2174">
        <w:rPr>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{"citationItems":[{"id":"ITEM-1","itemData":{"DOI":"10.1161/CIRCULATIONAHA.117.029289","ISSN":"15244539","PMID":"29891620","abstract":"The Academic Research Consortium (ARC)-2 initiative revisited the clinical and angiographic end point definitions in coronary device trials, proposed in 2007, to make them more suitable for use in clinical trials that include increasingly complex lesion and patient populations and incorporate novel devices such as bioresorbable vascular scaffolds. In addition, recommendations for the incorporation of patient-related outcomes in clinical trials are proposed. Academic Research Consortium-2 is a collaborative effort between academic research organizations in the United States and Europe, device manufacturers, and European, US, and Asian regulatory bodies. Several in-person meetings were held to discuss the changes that have occurred in the device landscape and in clinical trials and regulatory pathways in the last decade. The consensus-based end point definitions in this document are endorsed by the stakeholders of this document and strongly advocated for clinical trial purposes. This Academic Research Consortium-2 document provides further standardization of end point definitions for coronary device trials, incorporating advances in technology and knowledge. Their use will aid interpretation of trial outcomes and comparison among studies, thus facilitating the evaluation of the safety and effectiveness of these devices.","author":[{"dropping-particle":"","family":"Garcia-Garcia","given":"Hector M.","non-dropping-particle":"","parse-names":false,"suffix":""},{"dropping-particle":"","family":"McFadden","given":"Eugène P.","non-dropping-particle":"","parse-names":false,"suffix":""},{"dropping-particle":"","family":"Farb","given":"Andrew","non-dropping-particle":"","parse-names":false,"suffix":""},{"dropping-particle":"","family":"Mehran","given":"Roxana","non-dropping-particle":"","parse-names":false,"suffix":""},{"dropping-particle":"","family":"Stone","given":"Gregg W.","non-dropping-particle":"","parse-names":false,"suffix":""},{"dropping-particle":"","family":"Spertus","given":"John","non-dropping-particle":"","parse-names":false,"suffix":""},{"dropping-particle":"","family":"Onuma","given":"Yoshinobu","non-dropping-particle":"","parse-names":false,"suffix":""},{"dropping-particle":"","family":"Morel","given":"Marie Angèle","non-dropping-particle":"","parse-names":false,"suffix":""},{"dropping-particle":"","family":"Es","given":"Gerrit Anne","non-dropping-particle":"Van","parse-names":false,"suffix":""},{"dropping-particle":"","family":"Zuckerman","given":"Bram","non-dropping-particle":"","parse-names":false,"suffix":""},{"dropping-particle":"","family":"Fearon","given":"William F.","non-dropping-particle":"","parse-names":false,"suffix":""},{"dropping-particle":"","family":"Taggart","given":"David","non-dropping-particle":"","parse-names":false,"suffix":""},{"dropping-particle":"","family":"Kappetein","given":"Arie Pieter","non-dropping-particle":"","parse-names":false,"suffix":""},{"dropping-particle":"","family":"Krucoff","given":"Mitchell W.","non-dropping-particle":"","parse-names":false,"suffix":""},{"dropping-particle":"","family":"Vranckx","given":"Pascal","non-dropping-particle":"","parse-names":false,"suffix":""},{"dropping-particle":"","family":"Windecker","given":"Stephan","non-dropping-particle":"","parse-names":false,"suffix":""},{"dropping-particle":"","family":"Cutlip","given":"Donald","non-dropping-particle":"","parse-names":false,"suffix":""},{"dropping-particle":"","family":"Serruys","given":"Patrick W.","non-dropping-particle":"","parse-names":false,"suffix":""}],"container-title":"Circulation","id":"ITEM-1","issue":"24","issued":{"date-parts":[["2018"]]},"page":"2635-2650","title":"Standardized end point definitions for coronary intervention trials: The academic research consortium-2 consensus document","type":"article-journal","volume":"137"},"uris":["http://www.mendeley.com/documents/?uuid=3a3b8f03-833e-4269-a1c9-750df70752b1"]}],"mendeley":{"formattedCitation":"(14)","plainTextFormattedCitation":"(14)","previouslyFormattedCitation":"(14)"},"properties":{"noteIndex":0},"schema":"https://github.com/citation-style-language/schema/raw/master/csl-citation.json"}</w:instrText>
      </w:r>
      <w:r w:rsidR="007A2174">
        <w:rPr>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(14)</w:t>
      </w:r>
      <w:r w:rsidR="007A2174">
        <w:rPr>
          <w:rFonts w:ascii="Times New Roman" w:hAnsi="Times New Roman" w:cs="Times New Roman"/>
          <w:sz w:val="24"/>
          <w:szCs w:val="24"/>
        </w:rPr>
        <w:fldChar w:fldCharType="end"/>
      </w:r>
      <w:r w:rsidR="007A2174">
        <w:rPr>
          <w:rFonts w:ascii="Times New Roman" w:hAnsi="Times New Roman" w:cs="Times New Roman"/>
          <w:sz w:val="24"/>
          <w:szCs w:val="24"/>
        </w:rPr>
        <w:t xml:space="preserve">. We used the validated Hospital Frailty Risk Score based on ICD-10 diagnostic codes to calculate the patients’ frailty index </w:t>
      </w:r>
      <w:r w:rsidR="007A2174">
        <w:rPr>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{"citationItems":[{"id":"ITEM-1","itemData":{"DOI":"10.1016/S0140-6736(18)30668-8","ISSN":"1474547X","PMID":"29706364","abstract":"Background: Older people are increasing users of health care globally. We aimed to establish whether older people with characteristics of frailty and who are at risk of adverse health-care outcomes could be identified using routinely collected data. Methods: A three-step approach was used to develop and validate a Hospital Frailty Risk Score from International Statistical Classification of Diseases and Related Health Problems, Tenth Revision (ICD-10) diagnostic codes. First, we carried out a cluster analysis to identify a group of older people (≥75 years) admitted to hospital who had high resource use and diagnoses associated with frailty. Second, we created a Hospital Frailty Risk Score based on ICD-10 codes that characterised this group. Third, in separate cohorts, we tested how well the score predicted adverse outcomes and whether it identified similar groups as other frailty tools. Findings: In the development cohort (n=22 139), older people with frailty diagnoses formed a distinct group and had higher non-elective hospital use (33·6 bed-days over 2 years compared with 23·0 bed-days for the group with the next highest number of bed-days). In the national validation cohort (n=1 013 590), compared with the 429 762 (42·4%) patients with the lowest risk scores, the 202 718 (20·0%) patients with the highest Hospital Frailty Risk Scores had increased odds of 30-day mortality (odds ratio 1·71, 95% CI 1·68–1·75), long hospital stay (6·03, 5·92–6·10), and 30-day readmission (1·48, 1·46–1·50). The c statistics (ie, model discrimination) between individuals for these three outcomes were 0·60, 0·68, and 0·56, respectively. The Hospital Frailty Risk Score showed fair overlap with dichotomised Fried and Rockwood scales (kappa scores 0·22, 95% CI 0·15–0·30 and 0·30, 0·22–0·38, respectively) and moderate agreement with the Rockwood Frailty Index (Pearson's correlation coefficient 0·41, 95% CI 0·38–0·47). Interpretation: The Hospital Frailty Risk Score provides hospitals and health systems with a low-cost, systematic way to screen for frailty and identify a group of patients who are at greater risk of adverse outcomes and for whom a frailty-attuned approach might be useful. Funding: National Institute for Health Research.","author":[{"dropping-particle":"","family":"Gilbert","given":"Thomas","non-dropping-particle":"","parse-names":false,"suffix":""},{"dropping-particle":"","family":"Neuburger","given":"Jenny","non-dropping-particle":"","parse-names":false,"suffix":""},{"dropping-particle":"","family":"Kraindler","given":"Joshua","non-dropping-particle":"","parse-names":false,"suffix":""},{"dropping-particle":"","family":"Keeble","given":"Eilis","non-dropping-particle":"","parse-names":false,"suffix":""},{"dropping-particle":"","family":"Smith","given":"Paul","non-dropping-particle":"","parse-names":false,"suffix":""},{"dropping-particle":"","family":"Ariti","given":"Cono","non-dropping-particle":"","parse-names":false,"suffix":""},{"dropping-particle":"","family":"Arora","given":"Sandeepa","non-dropping-particle":"","parse-names":false,"suffix":""},{"dropping-particle":"","family":"Street","given":"Andrew","non-dropping-particle":"","parse-names":false,"suffix":""},{"dropping-particle":"","family":"Parker","given":"Stuart","non-dropping-particle":"","parse-names":false,"suffix":""},{"dropping-particle":"","family":"Roberts","given":"Helen C.","non-dropping-particle":"","parse-names":false,"suffix":""},{"dropping-particle":"","family":"Bardsley","given":"Martin","non-dropping-particle":"","parse-names":false,"suffix":""},{"dropping-particle":"","family":"Conroy","given":"Simon","non-dropping-particle":"","parse-names":false,"suffix":""}],"container-title":"The Lancet","id":"ITEM-1","issue":"10132","issued":{"date-parts":[["2018"]]},"page":"1775-1782","publisher":"The Author(s). Published by Elsevier Ltd. This is an Open Access article under the CC BY-NC-ND 4.0 license","title":"Development and validation of a Hospital Frailty Risk Score focusing on older people in acute care settings using electronic hospital records: an observational study","type":"article-journal","volume":"391"},"uris":["http://www.mendeley.com/documents/?uuid=08471e00-952c-4a27-8cc9-82aa2816c61a"]}],"mendeley":{"formattedCitation":"(15)","plainTextFormattedCitation":"(15)","previouslyFormattedCitation":"(15)"},"properties":{"noteIndex":0},"schema":"https://github.com/citation-style-language/schema/raw/master/csl-citation.json"}</w:instrText>
      </w:r>
      <w:r w:rsidR="007A2174">
        <w:rPr>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(15)</w:t>
      </w:r>
      <w:r w:rsidR="007A2174">
        <w:rPr>
          <w:rFonts w:ascii="Times New Roman" w:hAnsi="Times New Roman" w:cs="Times New Roman"/>
          <w:sz w:val="24"/>
          <w:szCs w:val="24"/>
        </w:rPr>
        <w:fldChar w:fldCharType="end"/>
      </w:r>
      <w:r w:rsidR="007A2174">
        <w:rPr>
          <w:rFonts w:ascii="Times New Roman" w:hAnsi="Times New Roman" w:cs="Times New Roman"/>
          <w:sz w:val="24"/>
          <w:szCs w:val="24"/>
        </w:rPr>
        <w:t xml:space="preserve">. </w:t>
      </w:r>
      <w:r w:rsidR="005F2579">
        <w:rPr>
          <w:rFonts w:ascii="Times New Roman" w:hAnsi="Times New Roman" w:cs="Times New Roman"/>
          <w:sz w:val="24"/>
          <w:szCs w:val="24"/>
        </w:rPr>
        <w:t xml:space="preserve">We estimated the well validated ‘acuity’ score based on gender, age, serum creatinine, white blood cell count, anaemia, clinical presentation and antithrombotic medications </w:t>
      </w:r>
      <w:r w:rsidR="005F2579">
        <w:rPr>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{"citationItems":[{"id":"ITEM-1","itemData":{"DOI":"10.1016/j.jacc.2009.09.076","ISSN":"07351097","PMID":"20513595","abstract":"Objectives: The aim of this study was to develop a practical risk score to predict the risk and implications of major bleeding in acute coronary syndromes (ACS). Background: Hemorrhagic complications have been strongly linked with subsequent mortality in patients with ACS. Methods: A total of 17,421 patients with ACS (including non-ST-segment elevation myocardial infarction [MI], ST-segment elevation MI, and biomarker negative ACS) were studied in the ACUITY (Acute Catheterization and Urgent Intervention Triage strategY) and the HORIZONS-AMI (Harmonizing Outcomes with RevasculariZatiON and Stents in Acute Myocardial Infarction) trials. An integer risk score for major bleeding within 30 days was developed from a multivariable logistic regression model. Results: Non-coronary artery bypass graft surgery (CABG)-related major bleeding within 30 days occurred in 744 patients (7.3%) and had 6 independent baseline predictors (female sex, advanced age, elevated serum creatinine and white blood cell count, anemia, non-ST-segment elevation MI, or ST-segment elevation MI) and 1 treatment-related variable (use of heparin + a glycoprotein IIb/IIIa inhibitor rather than bivalirudin alone) (model c-statistic = 0.74). The integer risk score differentiated patients with a 30-day rate of non-CABG-related major bleeding ranging from 1% to over 40%. In a time-updated covariate-adjusted Cox proportional hazards regression model, major bleeding was an independent predictor of a 3.2-fold increase in mortality. The link to mortality risk was strongest for non-CABG-related Thrombolysis In Myocardial Infarction (TIMI)-defined major bleeding followed by non-TIMI major bleeding with or without blood transfusions, whereas isolated large hematomas and CABG-related bleeding were not significantly associated with subsequent mortality. Conclusions: Patients with ACS have marked variation in their risk of major bleeding. A simple risk score based on 6 baseline measures plus anticoagulation regimen identifies patients at increased risk for non-CABG-related bleeding and subsequent 1-year mortality, for whom appropriate treatment strategies can be implemented. © 2010 American College of Cardiology Foundation.","author":[{"dropping-particle":"","family":"Mehran","given":"Roxana","non-dropping-particle":"","parse-names":false,"suffix":""},{"dropping-particle":"","family":"Pocock","given":"Stuart J.","non-dropping-particle":"","parse-names":false,"suffix":""},{"dropping-particle":"","family":"Nikolsky","given":"Eugenia","non-dropping-particle":"","parse-names":false,"suffix":""},{"dropping-particle":"","family":"Clayton","given":"Tim","non-dropping-particle":"","parse-names":false,"suffix":""},{"dropping-particle":"","family":"Dangas","given":"George D.","non-dropping-particle":"","parse-names":false,"suffix":""},{"dropping-particle":"","family":"Kirtane","given":"Ajay J.","non-dropping-particle":"","parse-names":false,"suffix":""},{"dropping-particle":"","family":"Parise","given":"Helen","non-dropping-particle":"","parse-names":false,"suffix":""},{"dropping-particle":"","family":"Fahy","given":"Martin","non-dropping-particle":"","parse-names":false,"suffix":""},{"dropping-particle":"V.","family":"Manoukian","given":"Steven","non-dropping-particle":"","parse-names":false,"suffix":""},{"dropping-particle":"","family":"Feit","given":"Frederick","non-dropping-particle":"","parse-names":false,"suffix":""},{"dropping-particle":"","family":"Ohman","given":"Magnus E.","non-dropping-particle":"","parse-names":false,"suffix":""},{"dropping-particle":"","family":"Witzenbichler","given":"Bernard","non-dropping-particle":"","parse-names":false,"suffix":""},{"dropping-particle":"","family":"Guagliumi","given":"Giulio","non-dropping-particle":"","parse-names":false,"suffix":""},{"dropping-particle":"","family":"Lansky","given":"Alexandra J.","non-dropping-particle":"","parse-names":false,"suffix":""},{"dropping-particle":"","family":"Stone","given":"Gregg W.","non-dropping-particle":"","parse-names":false,"suffix":""}],"container-title":"Journal of the American College of Cardiology","id":"ITEM-1","issue":"23","issued":{"date-parts":[["2010"]]},"page":"2556-2566","publisher":"Elsevier Inc.","title":"A Risk Score to Predict Bleeding in Patients With Acute Coronary Syndromes","type":"article-journal","volume":"55"},"uris":["http://www.mendeley.com/documents/?uuid=5de86c8a-c5a1-417e-9d4e-ed71b32a839c"]}],"mendeley":{"formattedCitation":"(16)","plainTextFormattedCitation":"(16)","previouslyFormattedCitation":"(16)"},"properties":{"noteIndex":0},"schema":"https://github.com/citation-style-language/schema/raw/master/csl-citation.json"}</w:instrText>
      </w:r>
      <w:r w:rsidR="005F2579">
        <w:rPr>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(16)</w:t>
      </w:r>
      <w:r w:rsidR="005F2579">
        <w:rPr>
          <w:rFonts w:ascii="Times New Roman" w:hAnsi="Times New Roman" w:cs="Times New Roman"/>
          <w:sz w:val="24"/>
          <w:szCs w:val="24"/>
        </w:rPr>
        <w:fldChar w:fldCharType="end"/>
      </w:r>
      <w:r w:rsidR="005F2579">
        <w:rPr>
          <w:rFonts w:ascii="Times New Roman" w:hAnsi="Times New Roman" w:cs="Times New Roman"/>
          <w:sz w:val="24"/>
          <w:szCs w:val="24"/>
        </w:rPr>
        <w:t xml:space="preserve">.  </w:t>
      </w:r>
      <w:r w:rsidR="00063FED">
        <w:rPr>
          <w:rFonts w:ascii="Times New Roman" w:hAnsi="Times New Roman" w:cs="Times New Roman"/>
          <w:sz w:val="24"/>
          <w:szCs w:val="24"/>
        </w:rPr>
        <w:t xml:space="preserve">Unplanned TLR was identified following review of all patients’ angiograms who had repeat PCIs. </w:t>
      </w:r>
    </w:p>
    <w:p w14:paraId="6ECC7BED" w14:textId="596C8903" w:rsidR="00CB7778" w:rsidRDefault="00CB7778" w:rsidP="00741E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Statistical analysis was undertaken by an independent statistician in program R (version 3.6.0). Nominal variables are reported as counts (percentages) and compared by the </w:t>
      </w:r>
      <w:r w:rsidR="0081518A">
        <w:rPr>
          <w:rFonts w:ascii="Times New Roman" w:hAnsi="Times New Roman" w:cs="Times New Roman"/>
          <w:sz w:val="24"/>
          <w:szCs w:val="24"/>
        </w:rPr>
        <w:t xml:space="preserve">Pearson’s </w:t>
      </w:r>
      <w:r>
        <w:rPr>
          <w:rFonts w:ascii="Times New Roman" w:hAnsi="Times New Roman" w:cs="Times New Roman"/>
          <w:sz w:val="24"/>
          <w:szCs w:val="24"/>
        </w:rPr>
        <w:t>Chi-square</w:t>
      </w:r>
      <w:r w:rsidR="0081518A">
        <w:rPr>
          <w:rFonts w:ascii="Times New Roman" w:hAnsi="Times New Roman" w:cs="Times New Roman"/>
          <w:sz w:val="24"/>
          <w:szCs w:val="24"/>
        </w:rPr>
        <w:t>d</w:t>
      </w:r>
      <w:r>
        <w:rPr>
          <w:rFonts w:ascii="Times New Roman" w:hAnsi="Times New Roman" w:cs="Times New Roman"/>
          <w:sz w:val="24"/>
          <w:szCs w:val="24"/>
        </w:rPr>
        <w:t xml:space="preserve"> test</w:t>
      </w:r>
      <w:r w:rsidR="009B1971">
        <w:rPr>
          <w:rFonts w:ascii="Times New Roman" w:hAnsi="Times New Roman" w:cs="Times New Roman"/>
          <w:sz w:val="24"/>
          <w:szCs w:val="24"/>
        </w:rPr>
        <w:t xml:space="preserve">. </w:t>
      </w:r>
      <w:r w:rsidR="0081518A">
        <w:rPr>
          <w:rFonts w:ascii="Times New Roman" w:hAnsi="Times New Roman" w:cs="Times New Roman"/>
          <w:sz w:val="24"/>
          <w:szCs w:val="24"/>
        </w:rPr>
        <w:t>Kolmogorov and Shapiro tests were used to assess normal distribution of continuous variables. Continuous variables not normally distributed</w:t>
      </w:r>
      <w:r w:rsidR="009B1971">
        <w:rPr>
          <w:rFonts w:ascii="Times New Roman" w:hAnsi="Times New Roman" w:cs="Times New Roman"/>
          <w:sz w:val="24"/>
          <w:szCs w:val="24"/>
        </w:rPr>
        <w:t xml:space="preserve"> are reported as median (interquartile range</w:t>
      </w:r>
      <w:r w:rsidR="00CA6DAF">
        <w:rPr>
          <w:rFonts w:ascii="Times New Roman" w:hAnsi="Times New Roman" w:cs="Times New Roman"/>
          <w:sz w:val="24"/>
          <w:szCs w:val="24"/>
        </w:rPr>
        <w:t xml:space="preserve"> (IQR)</w:t>
      </w:r>
      <w:r w:rsidR="009B1971">
        <w:rPr>
          <w:rFonts w:ascii="Times New Roman" w:hAnsi="Times New Roman" w:cs="Times New Roman"/>
          <w:sz w:val="24"/>
          <w:szCs w:val="24"/>
        </w:rPr>
        <w:t>)</w:t>
      </w:r>
      <w:r w:rsidR="0081518A">
        <w:rPr>
          <w:rFonts w:ascii="Times New Roman" w:hAnsi="Times New Roman" w:cs="Times New Roman"/>
          <w:sz w:val="24"/>
          <w:szCs w:val="24"/>
        </w:rPr>
        <w:t xml:space="preserve">. Wilcoxon rank sum test or Fisher’s exact test were used to compare variables as appropriate. </w:t>
      </w:r>
      <w:r w:rsidR="009B1971">
        <w:rPr>
          <w:rFonts w:ascii="Times New Roman" w:hAnsi="Times New Roman" w:cs="Times New Roman"/>
          <w:sz w:val="24"/>
          <w:szCs w:val="24"/>
        </w:rPr>
        <w:t>Univariable Cox regression analyses were performed to identify predictors of mortality. Predictors with p-value &lt;0.05 were introduced into the multivariable Cox regression model. A p-value &lt;0.05 was considered significant. Kaplan Meier estimator curve and the log-rank test were used to plot and compare survival.</w:t>
      </w:r>
      <w:r w:rsidR="00FC7C42">
        <w:rPr>
          <w:rFonts w:ascii="Times New Roman" w:hAnsi="Times New Roman" w:cs="Times New Roman"/>
          <w:sz w:val="24"/>
          <w:szCs w:val="24"/>
        </w:rPr>
        <w:t xml:space="preserve"> Propensity score matched analysis was undertaken matching</w:t>
      </w:r>
      <w:r w:rsidR="008023AA">
        <w:rPr>
          <w:rFonts w:ascii="Times New Roman" w:hAnsi="Times New Roman" w:cs="Times New Roman"/>
          <w:sz w:val="24"/>
          <w:szCs w:val="24"/>
        </w:rPr>
        <w:t xml:space="preserve"> on the following </w:t>
      </w:r>
      <w:r w:rsidR="00FC7C42">
        <w:rPr>
          <w:rFonts w:ascii="Times New Roman" w:hAnsi="Times New Roman" w:cs="Times New Roman"/>
          <w:sz w:val="24"/>
          <w:szCs w:val="24"/>
        </w:rPr>
        <w:t>variables that were significant in univariable Cox regression analysis</w:t>
      </w:r>
      <w:r w:rsidR="0081518A">
        <w:rPr>
          <w:rFonts w:ascii="Times New Roman" w:hAnsi="Times New Roman" w:cs="Times New Roman"/>
          <w:sz w:val="24"/>
          <w:szCs w:val="24"/>
        </w:rPr>
        <w:t>.</w:t>
      </w:r>
    </w:p>
    <w:p w14:paraId="35BB2570" w14:textId="77777777" w:rsidR="00FC7C42" w:rsidRDefault="00FC7C42" w:rsidP="00741EDE">
      <w:pPr>
        <w:pStyle w:val="NoSpacing"/>
        <w:spacing w:line="480" w:lineRule="auto"/>
        <w:jc w:val="both"/>
        <w:rPr>
          <w:rFonts w:ascii="Times New Roman" w:hAnsi="Times New Roman" w:cs="Times New Roman"/>
          <w:sz w:val="24"/>
          <w:szCs w:val="24"/>
        </w:rPr>
      </w:pPr>
    </w:p>
    <w:p w14:paraId="67981AB8" w14:textId="20179575" w:rsidR="00FC7C42" w:rsidRPr="00FC7C42" w:rsidRDefault="000B20E1" w:rsidP="00741E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Results</w:t>
      </w:r>
    </w:p>
    <w:p w14:paraId="66891FC2" w14:textId="5CF668D2" w:rsidR="00BE186E" w:rsidRDefault="00FC7C42" w:rsidP="007D4DD1">
      <w:pPr>
        <w:pStyle w:val="NoSpacing"/>
        <w:spacing w:line="480" w:lineRule="auto"/>
        <w:jc w:val="both"/>
        <w:rPr>
          <w:rFonts w:ascii="Times New Roman" w:hAnsi="Times New Roman" w:cs="Times New Roman"/>
          <w:sz w:val="24"/>
          <w:szCs w:val="24"/>
        </w:rPr>
      </w:pPr>
      <w:bookmarkStart w:id="2" w:name="_Hlk118746638"/>
      <w:r>
        <w:rPr>
          <w:rFonts w:ascii="Times New Roman" w:hAnsi="Times New Roman" w:cs="Times New Roman"/>
          <w:sz w:val="24"/>
          <w:szCs w:val="24"/>
        </w:rPr>
        <w:t>A total of 4</w:t>
      </w:r>
      <w:r w:rsidR="00063FED">
        <w:rPr>
          <w:rFonts w:ascii="Times New Roman" w:hAnsi="Times New Roman" w:cs="Times New Roman"/>
          <w:sz w:val="24"/>
          <w:szCs w:val="24"/>
        </w:rPr>
        <w:t>52</w:t>
      </w:r>
      <w:r>
        <w:rPr>
          <w:rFonts w:ascii="Times New Roman" w:hAnsi="Times New Roman" w:cs="Times New Roman"/>
          <w:sz w:val="24"/>
          <w:szCs w:val="24"/>
        </w:rPr>
        <w:t xml:space="preserve"> consecutive patients treated with paclitaxel DCB</w:t>
      </w:r>
      <w:r w:rsidR="00137652">
        <w:rPr>
          <w:rFonts w:ascii="Times New Roman" w:hAnsi="Times New Roman" w:cs="Times New Roman"/>
          <w:sz w:val="24"/>
          <w:szCs w:val="24"/>
        </w:rPr>
        <w:t xml:space="preserve"> only</w:t>
      </w:r>
      <w:r>
        <w:rPr>
          <w:rFonts w:ascii="Times New Roman" w:hAnsi="Times New Roman" w:cs="Times New Roman"/>
          <w:sz w:val="24"/>
          <w:szCs w:val="24"/>
        </w:rPr>
        <w:t xml:space="preserve"> and </w:t>
      </w:r>
      <w:r w:rsidR="00063FED">
        <w:rPr>
          <w:rFonts w:ascii="Times New Roman" w:hAnsi="Times New Roman" w:cs="Times New Roman"/>
          <w:sz w:val="24"/>
          <w:szCs w:val="24"/>
        </w:rPr>
        <w:t>687</w:t>
      </w:r>
      <w:r>
        <w:rPr>
          <w:rFonts w:ascii="Times New Roman" w:hAnsi="Times New Roman" w:cs="Times New Roman"/>
          <w:sz w:val="24"/>
          <w:szCs w:val="24"/>
        </w:rPr>
        <w:t xml:space="preserve"> consecutive patients treated with 2</w:t>
      </w:r>
      <w:r w:rsidRPr="00FC7C42">
        <w:rPr>
          <w:rFonts w:ascii="Times New Roman" w:hAnsi="Times New Roman" w:cs="Times New Roman"/>
          <w:sz w:val="24"/>
          <w:szCs w:val="24"/>
          <w:vertAlign w:val="superscript"/>
        </w:rPr>
        <w:t>nd</w:t>
      </w:r>
      <w:r>
        <w:rPr>
          <w:rFonts w:ascii="Times New Roman" w:hAnsi="Times New Roman" w:cs="Times New Roman"/>
          <w:sz w:val="24"/>
          <w:szCs w:val="24"/>
        </w:rPr>
        <w:t xml:space="preserve"> generation DES</w:t>
      </w:r>
      <w:r w:rsidR="00137652">
        <w:rPr>
          <w:rFonts w:ascii="Times New Roman" w:hAnsi="Times New Roman" w:cs="Times New Roman"/>
          <w:sz w:val="24"/>
          <w:szCs w:val="24"/>
        </w:rPr>
        <w:t xml:space="preserve"> only</w:t>
      </w:r>
      <w:r>
        <w:rPr>
          <w:rFonts w:ascii="Times New Roman" w:hAnsi="Times New Roman" w:cs="Times New Roman"/>
          <w:sz w:val="24"/>
          <w:szCs w:val="24"/>
        </w:rPr>
        <w:t xml:space="preserve"> were identified</w:t>
      </w:r>
      <w:r w:rsidR="00A17042">
        <w:rPr>
          <w:rFonts w:ascii="Times New Roman" w:hAnsi="Times New Roman" w:cs="Times New Roman"/>
          <w:sz w:val="24"/>
          <w:szCs w:val="24"/>
        </w:rPr>
        <w:t xml:space="preserve"> (Fig 1</w:t>
      </w:r>
      <w:r w:rsidR="00110B07">
        <w:rPr>
          <w:rFonts w:ascii="Times New Roman" w:hAnsi="Times New Roman" w:cs="Times New Roman"/>
          <w:sz w:val="24"/>
          <w:szCs w:val="24"/>
        </w:rPr>
        <w:t>)</w:t>
      </w:r>
      <w:r>
        <w:rPr>
          <w:rFonts w:ascii="Times New Roman" w:hAnsi="Times New Roman" w:cs="Times New Roman"/>
          <w:sz w:val="24"/>
          <w:szCs w:val="24"/>
        </w:rPr>
        <w:t>.</w:t>
      </w:r>
      <w:r w:rsidR="00CB1C11">
        <w:rPr>
          <w:rFonts w:ascii="Times New Roman" w:hAnsi="Times New Roman" w:cs="Times New Roman"/>
          <w:sz w:val="24"/>
          <w:szCs w:val="24"/>
        </w:rPr>
        <w:t xml:space="preserve"> </w:t>
      </w:r>
      <w:r w:rsidR="00CB1C11" w:rsidRPr="0081518A">
        <w:rPr>
          <w:rFonts w:ascii="Times New Roman" w:hAnsi="Times New Roman" w:cs="Times New Roman"/>
          <w:sz w:val="24"/>
          <w:szCs w:val="24"/>
          <w:highlight w:val="yellow"/>
        </w:rPr>
        <w:t xml:space="preserve">There were 24 patients </w:t>
      </w:r>
      <w:r w:rsidR="00CB1C11" w:rsidRPr="0081518A">
        <w:rPr>
          <w:rFonts w:ascii="Times New Roman" w:hAnsi="Times New Roman" w:cs="Times New Roman"/>
          <w:sz w:val="24"/>
          <w:szCs w:val="24"/>
          <w:highlight w:val="yellow"/>
        </w:rPr>
        <w:lastRenderedPageBreak/>
        <w:t>who required bailout stenting (21 for worsening dissection and 3 for worsening acute vessel recoil following DCB)</w:t>
      </w:r>
      <w:r w:rsidR="00CB1C11" w:rsidRPr="00C103DC">
        <w:rPr>
          <w:rFonts w:ascii="Times New Roman" w:hAnsi="Times New Roman" w:cs="Times New Roman"/>
          <w:sz w:val="24"/>
          <w:szCs w:val="24"/>
          <w:highlight w:val="yellow"/>
        </w:rPr>
        <w:t>.</w:t>
      </w:r>
      <w:r w:rsidR="00C103DC">
        <w:rPr>
          <w:rFonts w:ascii="Times New Roman" w:hAnsi="Times New Roman" w:cs="Times New Roman"/>
          <w:sz w:val="24"/>
          <w:szCs w:val="24"/>
          <w:highlight w:val="yellow"/>
        </w:rPr>
        <w:t xml:space="preserve"> </w:t>
      </w:r>
      <w:bookmarkStart w:id="3" w:name="_Hlk118799652"/>
      <w:r w:rsidR="00C103DC" w:rsidRPr="00C103DC">
        <w:rPr>
          <w:rFonts w:ascii="Times New Roman" w:hAnsi="Times New Roman" w:cs="Times New Roman"/>
          <w:sz w:val="24"/>
          <w:szCs w:val="24"/>
          <w:highlight w:val="yellow"/>
        </w:rPr>
        <w:t xml:space="preserve">These patients have </w:t>
      </w:r>
      <w:r w:rsidR="00C103DC">
        <w:rPr>
          <w:rFonts w:ascii="Times New Roman" w:hAnsi="Times New Roman" w:cs="Times New Roman"/>
          <w:sz w:val="24"/>
          <w:szCs w:val="24"/>
          <w:highlight w:val="yellow"/>
        </w:rPr>
        <w:t>not been included in</w:t>
      </w:r>
      <w:r w:rsidR="00C103DC" w:rsidRPr="00C103DC">
        <w:rPr>
          <w:rFonts w:ascii="Times New Roman" w:hAnsi="Times New Roman" w:cs="Times New Roman"/>
          <w:sz w:val="24"/>
          <w:szCs w:val="24"/>
          <w:highlight w:val="yellow"/>
        </w:rPr>
        <w:t xml:space="preserve"> the analysis</w:t>
      </w:r>
      <w:r w:rsidR="00D31F2C">
        <w:rPr>
          <w:rFonts w:ascii="Times New Roman" w:hAnsi="Times New Roman" w:cs="Times New Roman"/>
          <w:sz w:val="24"/>
          <w:szCs w:val="24"/>
          <w:highlight w:val="yellow"/>
        </w:rPr>
        <w:t xml:space="preserve"> </w:t>
      </w:r>
      <w:bookmarkStart w:id="4" w:name="_Hlk119482937"/>
      <w:r w:rsidR="00D31F2C">
        <w:rPr>
          <w:rFonts w:ascii="Times New Roman" w:hAnsi="Times New Roman" w:cs="Times New Roman"/>
          <w:sz w:val="24"/>
          <w:szCs w:val="24"/>
          <w:highlight w:val="yellow"/>
        </w:rPr>
        <w:t xml:space="preserve">as they were identified </w:t>
      </w:r>
      <w:r w:rsidR="002A7C62">
        <w:rPr>
          <w:rFonts w:ascii="Times New Roman" w:hAnsi="Times New Roman" w:cs="Times New Roman"/>
          <w:sz w:val="24"/>
          <w:szCs w:val="24"/>
          <w:highlight w:val="yellow"/>
        </w:rPr>
        <w:t xml:space="preserve">during </w:t>
      </w:r>
      <w:r w:rsidR="00D31F2C">
        <w:rPr>
          <w:rFonts w:ascii="Times New Roman" w:hAnsi="Times New Roman" w:cs="Times New Roman"/>
          <w:sz w:val="24"/>
          <w:szCs w:val="24"/>
          <w:highlight w:val="yellow"/>
        </w:rPr>
        <w:t>the index procedure and received a DES – hence excluded</w:t>
      </w:r>
      <w:r w:rsidR="00C103DC" w:rsidRPr="00C103DC">
        <w:rPr>
          <w:rFonts w:ascii="Times New Roman" w:hAnsi="Times New Roman" w:cs="Times New Roman"/>
          <w:sz w:val="24"/>
          <w:szCs w:val="24"/>
          <w:highlight w:val="yellow"/>
        </w:rPr>
        <w:t>.</w:t>
      </w:r>
      <w:r w:rsidR="00CB1C11">
        <w:rPr>
          <w:rFonts w:ascii="Times New Roman" w:hAnsi="Times New Roman" w:cs="Times New Roman"/>
          <w:sz w:val="24"/>
          <w:szCs w:val="24"/>
        </w:rPr>
        <w:t xml:space="preserve"> </w:t>
      </w:r>
      <w:bookmarkEnd w:id="2"/>
      <w:bookmarkEnd w:id="3"/>
      <w:bookmarkEnd w:id="4"/>
      <w:r>
        <w:rPr>
          <w:rFonts w:ascii="Times New Roman" w:hAnsi="Times New Roman" w:cs="Times New Roman"/>
          <w:sz w:val="24"/>
          <w:szCs w:val="24"/>
        </w:rPr>
        <w:t>The me</w:t>
      </w:r>
      <w:r w:rsidR="00C103DC">
        <w:rPr>
          <w:rFonts w:ascii="Times New Roman" w:hAnsi="Times New Roman" w:cs="Times New Roman"/>
          <w:sz w:val="24"/>
          <w:szCs w:val="24"/>
        </w:rPr>
        <w:t>an</w:t>
      </w:r>
      <w:r>
        <w:rPr>
          <w:rFonts w:ascii="Times New Roman" w:hAnsi="Times New Roman" w:cs="Times New Roman"/>
          <w:sz w:val="24"/>
          <w:szCs w:val="24"/>
        </w:rPr>
        <w:t xml:space="preserve"> age </w:t>
      </w:r>
      <w:r w:rsidRPr="00FD25EA">
        <w:rPr>
          <w:rFonts w:ascii="Times New Roman" w:hAnsi="Times New Roman" w:cs="Times New Roman"/>
          <w:sz w:val="24"/>
          <w:szCs w:val="24"/>
        </w:rPr>
        <w:t>was 6</w:t>
      </w:r>
      <w:r w:rsidR="00FD25EA" w:rsidRPr="00FD25EA">
        <w:rPr>
          <w:rFonts w:ascii="Times New Roman" w:hAnsi="Times New Roman" w:cs="Times New Roman"/>
          <w:sz w:val="24"/>
          <w:szCs w:val="24"/>
        </w:rPr>
        <w:t>6</w:t>
      </w:r>
      <w:r w:rsidRPr="00FD25EA">
        <w:rPr>
          <w:rFonts w:ascii="Times New Roman" w:hAnsi="Times New Roman" w:cs="Times New Roman"/>
          <w:sz w:val="24"/>
          <w:szCs w:val="24"/>
        </w:rPr>
        <w:t xml:space="preserve"> (</w:t>
      </w:r>
      <w:r w:rsidR="00C103DC">
        <w:rPr>
          <w:rFonts w:ascii="Times New Roman" w:hAnsi="Times New Roman" w:cs="Times New Roman"/>
          <w:sz w:val="24"/>
          <w:szCs w:val="24"/>
        </w:rPr>
        <w:t>±13</w:t>
      </w:r>
      <w:r w:rsidRPr="00FD25EA">
        <w:rPr>
          <w:rFonts w:ascii="Times New Roman" w:hAnsi="Times New Roman" w:cs="Times New Roman"/>
          <w:sz w:val="24"/>
          <w:szCs w:val="24"/>
        </w:rPr>
        <w:t>) and 66 (</w:t>
      </w:r>
      <w:r w:rsidR="00C103DC">
        <w:rPr>
          <w:rFonts w:ascii="Times New Roman" w:hAnsi="Times New Roman" w:cs="Times New Roman"/>
          <w:sz w:val="24"/>
          <w:szCs w:val="24"/>
        </w:rPr>
        <w:t>±11</w:t>
      </w:r>
      <w:r w:rsidRPr="00FD25EA">
        <w:rPr>
          <w:rFonts w:ascii="Times New Roman" w:hAnsi="Times New Roman" w:cs="Times New Roman"/>
          <w:sz w:val="24"/>
          <w:szCs w:val="24"/>
        </w:rPr>
        <w:t xml:space="preserve">) </w:t>
      </w:r>
      <w:r>
        <w:rPr>
          <w:rFonts w:ascii="Times New Roman" w:hAnsi="Times New Roman" w:cs="Times New Roman"/>
          <w:sz w:val="24"/>
          <w:szCs w:val="24"/>
        </w:rPr>
        <w:t>years old for the DCB and DES group</w:t>
      </w:r>
      <w:r w:rsidR="00415EFA">
        <w:rPr>
          <w:rFonts w:ascii="Times New Roman" w:hAnsi="Times New Roman" w:cs="Times New Roman"/>
          <w:sz w:val="24"/>
          <w:szCs w:val="24"/>
        </w:rPr>
        <w:t>s,</w:t>
      </w:r>
      <w:r>
        <w:rPr>
          <w:rFonts w:ascii="Times New Roman" w:hAnsi="Times New Roman" w:cs="Times New Roman"/>
          <w:sz w:val="24"/>
          <w:szCs w:val="24"/>
        </w:rPr>
        <w:t xml:space="preserve"> respectively. Male patients accounted for 73%</w:t>
      </w:r>
      <w:r w:rsidR="00DC56D2">
        <w:rPr>
          <w:rFonts w:ascii="Times New Roman" w:hAnsi="Times New Roman" w:cs="Times New Roman"/>
          <w:sz w:val="24"/>
          <w:szCs w:val="24"/>
        </w:rPr>
        <w:t xml:space="preserve"> and 74% for the DCB and DES groups</w:t>
      </w:r>
      <w:r w:rsidR="00415EFA">
        <w:rPr>
          <w:rFonts w:ascii="Times New Roman" w:hAnsi="Times New Roman" w:cs="Times New Roman"/>
          <w:sz w:val="24"/>
          <w:szCs w:val="24"/>
        </w:rPr>
        <w:t>,</w:t>
      </w:r>
      <w:r w:rsidR="00DC56D2">
        <w:rPr>
          <w:rFonts w:ascii="Times New Roman" w:hAnsi="Times New Roman" w:cs="Times New Roman"/>
          <w:sz w:val="24"/>
          <w:szCs w:val="24"/>
        </w:rPr>
        <w:t xml:space="preserve"> respectively. The groups were well balanced in baseline patient characteristics as shown in table 1.</w:t>
      </w:r>
      <w:r w:rsidR="00C20DD5">
        <w:rPr>
          <w:rFonts w:ascii="Times New Roman" w:hAnsi="Times New Roman" w:cs="Times New Roman"/>
          <w:sz w:val="24"/>
          <w:szCs w:val="24"/>
        </w:rPr>
        <w:t xml:space="preserve"> There were very few differences; the DCB group had more patients with </w:t>
      </w:r>
      <w:r w:rsidR="00415EFA">
        <w:rPr>
          <w:rFonts w:ascii="Times New Roman" w:hAnsi="Times New Roman" w:cs="Times New Roman"/>
          <w:sz w:val="24"/>
          <w:szCs w:val="24"/>
        </w:rPr>
        <w:t xml:space="preserve">previous </w:t>
      </w:r>
      <w:r w:rsidR="00C20DD5">
        <w:rPr>
          <w:rFonts w:ascii="Times New Roman" w:hAnsi="Times New Roman" w:cs="Times New Roman"/>
          <w:sz w:val="24"/>
          <w:szCs w:val="24"/>
        </w:rPr>
        <w:t>stroke</w:t>
      </w:r>
      <w:r w:rsidR="00FD25EA">
        <w:rPr>
          <w:rFonts w:ascii="Times New Roman" w:hAnsi="Times New Roman" w:cs="Times New Roman"/>
          <w:sz w:val="24"/>
          <w:szCs w:val="24"/>
        </w:rPr>
        <w:t xml:space="preserve"> and higher frailty index</w:t>
      </w:r>
      <w:r w:rsidR="00C20DD5">
        <w:rPr>
          <w:rFonts w:ascii="Times New Roman" w:hAnsi="Times New Roman" w:cs="Times New Roman"/>
          <w:sz w:val="24"/>
          <w:szCs w:val="24"/>
        </w:rPr>
        <w:t xml:space="preserve"> while the DES group had more pa</w:t>
      </w:r>
      <w:r w:rsidR="007D4DD1">
        <w:rPr>
          <w:rFonts w:ascii="Times New Roman" w:hAnsi="Times New Roman" w:cs="Times New Roman"/>
          <w:sz w:val="24"/>
          <w:szCs w:val="24"/>
        </w:rPr>
        <w:t>tients with history of smoking.</w:t>
      </w:r>
    </w:p>
    <w:p w14:paraId="012B4B01" w14:textId="7A91FC20" w:rsidR="009959A2" w:rsidRDefault="009959A2" w:rsidP="00741E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2 shows the angiographic characteristics of the target vessels treated. </w:t>
      </w:r>
      <w:r w:rsidR="00A74762">
        <w:rPr>
          <w:rFonts w:ascii="Times New Roman" w:hAnsi="Times New Roman" w:cs="Times New Roman"/>
          <w:sz w:val="24"/>
          <w:szCs w:val="24"/>
        </w:rPr>
        <w:t>Overall, the groups were</w:t>
      </w:r>
      <w:r w:rsidR="00155676">
        <w:rPr>
          <w:rFonts w:ascii="Times New Roman" w:hAnsi="Times New Roman" w:cs="Times New Roman"/>
          <w:sz w:val="24"/>
          <w:szCs w:val="24"/>
        </w:rPr>
        <w:t xml:space="preserve"> well balanced with very few differences. </w:t>
      </w:r>
      <w:r w:rsidR="00A74762">
        <w:rPr>
          <w:rFonts w:ascii="Times New Roman" w:hAnsi="Times New Roman" w:cs="Times New Roman"/>
          <w:sz w:val="24"/>
          <w:szCs w:val="24"/>
        </w:rPr>
        <w:t>T</w:t>
      </w:r>
      <w:r>
        <w:rPr>
          <w:rFonts w:ascii="Times New Roman" w:hAnsi="Times New Roman" w:cs="Times New Roman"/>
          <w:sz w:val="24"/>
          <w:szCs w:val="24"/>
        </w:rPr>
        <w:t>he DCB group had significantly more patients with bifurcation and true bifurcation disease treated</w:t>
      </w:r>
      <w:r w:rsidR="00753165">
        <w:rPr>
          <w:rFonts w:ascii="Times New Roman" w:hAnsi="Times New Roman" w:cs="Times New Roman"/>
          <w:sz w:val="24"/>
          <w:szCs w:val="24"/>
        </w:rPr>
        <w:t xml:space="preserve">. </w:t>
      </w:r>
      <w:r w:rsidR="007246D7">
        <w:rPr>
          <w:rFonts w:ascii="Times New Roman" w:hAnsi="Times New Roman" w:cs="Times New Roman"/>
          <w:sz w:val="24"/>
          <w:szCs w:val="24"/>
        </w:rPr>
        <w:t>The DES group had a significantly larger median vessel diameter but both groups had median vessel diameter more than 3 mm.</w:t>
      </w:r>
    </w:p>
    <w:p w14:paraId="4D8248B1" w14:textId="77777777" w:rsidR="0081518A" w:rsidRDefault="0081518A" w:rsidP="00741EDE">
      <w:pPr>
        <w:pStyle w:val="NoSpacing"/>
        <w:spacing w:line="480" w:lineRule="auto"/>
        <w:jc w:val="both"/>
        <w:rPr>
          <w:rFonts w:ascii="Times New Roman" w:hAnsi="Times New Roman" w:cs="Times New Roman"/>
          <w:sz w:val="24"/>
          <w:szCs w:val="24"/>
        </w:rPr>
      </w:pPr>
    </w:p>
    <w:p w14:paraId="51AA9C12" w14:textId="0FA24E38" w:rsidR="00194A96" w:rsidRDefault="00C8491D" w:rsidP="00741E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median </w:t>
      </w:r>
      <w:r w:rsidR="00CA6DAF">
        <w:rPr>
          <w:rFonts w:ascii="Times New Roman" w:hAnsi="Times New Roman" w:cs="Times New Roman"/>
          <w:sz w:val="24"/>
          <w:szCs w:val="24"/>
        </w:rPr>
        <w:t>follow-</w:t>
      </w:r>
      <w:r>
        <w:rPr>
          <w:rFonts w:ascii="Times New Roman" w:hAnsi="Times New Roman" w:cs="Times New Roman"/>
          <w:sz w:val="24"/>
          <w:szCs w:val="24"/>
        </w:rPr>
        <w:t xml:space="preserve">up for the DCB group was </w:t>
      </w:r>
      <w:r w:rsidR="00E5645F">
        <w:rPr>
          <w:rFonts w:ascii="Times New Roman" w:hAnsi="Times New Roman" w:cs="Times New Roman"/>
          <w:sz w:val="24"/>
          <w:szCs w:val="24"/>
        </w:rPr>
        <w:t>34.7</w:t>
      </w:r>
      <w:r w:rsidR="007B76A7">
        <w:rPr>
          <w:rFonts w:ascii="Times New Roman" w:hAnsi="Times New Roman" w:cs="Times New Roman"/>
          <w:sz w:val="24"/>
          <w:szCs w:val="24"/>
        </w:rPr>
        <w:t xml:space="preserve"> months (interquartile range: </w:t>
      </w:r>
      <w:r w:rsidR="00E5645F">
        <w:rPr>
          <w:rFonts w:ascii="Times New Roman" w:hAnsi="Times New Roman" w:cs="Times New Roman"/>
          <w:sz w:val="24"/>
          <w:szCs w:val="24"/>
        </w:rPr>
        <w:t>24</w:t>
      </w:r>
      <w:r w:rsidR="008023AA">
        <w:rPr>
          <w:rFonts w:ascii="Times New Roman" w:hAnsi="Times New Roman" w:cs="Times New Roman"/>
          <w:sz w:val="24"/>
          <w:szCs w:val="24"/>
        </w:rPr>
        <w:t>.0</w:t>
      </w:r>
      <w:r w:rsidR="007B76A7">
        <w:rPr>
          <w:rFonts w:ascii="Times New Roman" w:hAnsi="Times New Roman" w:cs="Times New Roman"/>
          <w:sz w:val="24"/>
          <w:szCs w:val="24"/>
        </w:rPr>
        <w:t xml:space="preserve"> - 4</w:t>
      </w:r>
      <w:r w:rsidR="00E5645F">
        <w:rPr>
          <w:rFonts w:ascii="Times New Roman" w:hAnsi="Times New Roman" w:cs="Times New Roman"/>
          <w:sz w:val="24"/>
          <w:szCs w:val="24"/>
        </w:rPr>
        <w:t>9</w:t>
      </w:r>
      <w:r w:rsidR="007B76A7">
        <w:rPr>
          <w:rFonts w:ascii="Times New Roman" w:hAnsi="Times New Roman" w:cs="Times New Roman"/>
          <w:sz w:val="24"/>
          <w:szCs w:val="24"/>
        </w:rPr>
        <w:t>.</w:t>
      </w:r>
      <w:r w:rsidR="00E5645F">
        <w:rPr>
          <w:rFonts w:ascii="Times New Roman" w:hAnsi="Times New Roman" w:cs="Times New Roman"/>
          <w:sz w:val="24"/>
          <w:szCs w:val="24"/>
        </w:rPr>
        <w:t>9</w:t>
      </w:r>
      <w:r w:rsidR="007B76A7">
        <w:rPr>
          <w:rFonts w:ascii="Times New Roman" w:hAnsi="Times New Roman" w:cs="Times New Roman"/>
          <w:sz w:val="24"/>
          <w:szCs w:val="24"/>
        </w:rPr>
        <w:t xml:space="preserve">) while for the DES group it was </w:t>
      </w:r>
      <w:r w:rsidR="00E5645F">
        <w:rPr>
          <w:rFonts w:ascii="Times New Roman" w:hAnsi="Times New Roman" w:cs="Times New Roman"/>
          <w:sz w:val="24"/>
          <w:szCs w:val="24"/>
        </w:rPr>
        <w:t>41.2</w:t>
      </w:r>
      <w:r w:rsidR="007B76A7">
        <w:rPr>
          <w:rFonts w:ascii="Times New Roman" w:hAnsi="Times New Roman" w:cs="Times New Roman"/>
          <w:sz w:val="24"/>
          <w:szCs w:val="24"/>
        </w:rPr>
        <w:t xml:space="preserve"> months (</w:t>
      </w:r>
      <w:r w:rsidR="00CA6DAF">
        <w:rPr>
          <w:rFonts w:ascii="Times New Roman" w:hAnsi="Times New Roman" w:cs="Times New Roman"/>
          <w:sz w:val="24"/>
          <w:szCs w:val="24"/>
        </w:rPr>
        <w:t>IQR</w:t>
      </w:r>
      <w:r w:rsidR="007B76A7">
        <w:rPr>
          <w:rFonts w:ascii="Times New Roman" w:hAnsi="Times New Roman" w:cs="Times New Roman"/>
          <w:sz w:val="24"/>
          <w:szCs w:val="24"/>
        </w:rPr>
        <w:t>: 2</w:t>
      </w:r>
      <w:r w:rsidR="00E5645F">
        <w:rPr>
          <w:rFonts w:ascii="Times New Roman" w:hAnsi="Times New Roman" w:cs="Times New Roman"/>
          <w:sz w:val="24"/>
          <w:szCs w:val="24"/>
        </w:rPr>
        <w:t>8</w:t>
      </w:r>
      <w:r w:rsidR="00CA6DAF">
        <w:rPr>
          <w:rFonts w:ascii="Times New Roman" w:hAnsi="Times New Roman" w:cs="Times New Roman"/>
          <w:sz w:val="24"/>
          <w:szCs w:val="24"/>
        </w:rPr>
        <w:t>.0</w:t>
      </w:r>
      <w:r w:rsidR="007B76A7">
        <w:rPr>
          <w:rFonts w:ascii="Times New Roman" w:hAnsi="Times New Roman" w:cs="Times New Roman"/>
          <w:sz w:val="24"/>
          <w:szCs w:val="24"/>
        </w:rPr>
        <w:t xml:space="preserve"> </w:t>
      </w:r>
      <w:r w:rsidR="00E5645F">
        <w:rPr>
          <w:rFonts w:ascii="Times New Roman" w:hAnsi="Times New Roman" w:cs="Times New Roman"/>
          <w:sz w:val="24"/>
          <w:szCs w:val="24"/>
        </w:rPr>
        <w:t>–</w:t>
      </w:r>
      <w:r w:rsidR="007B76A7">
        <w:rPr>
          <w:rFonts w:ascii="Times New Roman" w:hAnsi="Times New Roman" w:cs="Times New Roman"/>
          <w:sz w:val="24"/>
          <w:szCs w:val="24"/>
        </w:rPr>
        <w:t xml:space="preserve"> </w:t>
      </w:r>
      <w:r w:rsidR="00E5645F">
        <w:rPr>
          <w:rFonts w:ascii="Times New Roman" w:hAnsi="Times New Roman" w:cs="Times New Roman"/>
          <w:sz w:val="24"/>
          <w:szCs w:val="24"/>
        </w:rPr>
        <w:t>51.6</w:t>
      </w:r>
      <w:r w:rsidR="007B76A7">
        <w:rPr>
          <w:rFonts w:ascii="Times New Roman" w:hAnsi="Times New Roman" w:cs="Times New Roman"/>
          <w:sz w:val="24"/>
          <w:szCs w:val="24"/>
        </w:rPr>
        <w:t>)</w:t>
      </w:r>
      <w:r w:rsidR="008023AA">
        <w:rPr>
          <w:rFonts w:ascii="Times New Roman" w:hAnsi="Times New Roman" w:cs="Times New Roman"/>
          <w:sz w:val="24"/>
          <w:szCs w:val="24"/>
        </w:rPr>
        <w:t xml:space="preserve"> (p&lt;0.001)</w:t>
      </w:r>
      <w:r w:rsidR="007B76A7">
        <w:rPr>
          <w:rFonts w:ascii="Times New Roman" w:hAnsi="Times New Roman" w:cs="Times New Roman"/>
          <w:sz w:val="24"/>
          <w:szCs w:val="24"/>
        </w:rPr>
        <w:t xml:space="preserve">. </w:t>
      </w:r>
      <w:r w:rsidR="0002475E">
        <w:rPr>
          <w:rFonts w:ascii="Times New Roman" w:hAnsi="Times New Roman" w:cs="Times New Roman"/>
          <w:sz w:val="24"/>
          <w:szCs w:val="24"/>
        </w:rPr>
        <w:t>The</w:t>
      </w:r>
      <w:r w:rsidR="007D06C9">
        <w:rPr>
          <w:rFonts w:ascii="Times New Roman" w:hAnsi="Times New Roman" w:cs="Times New Roman"/>
          <w:sz w:val="24"/>
          <w:szCs w:val="24"/>
        </w:rPr>
        <w:t xml:space="preserve"> mortality rate was 49/452 (10.8%) in the DCB group and 62/687 (9%) in the DES group (</w:t>
      </w:r>
      <w:r w:rsidR="00CA6DAF">
        <w:rPr>
          <w:rFonts w:ascii="Times New Roman" w:hAnsi="Times New Roman" w:cs="Times New Roman"/>
          <w:sz w:val="24"/>
          <w:szCs w:val="24"/>
        </w:rPr>
        <w:t>hazard ratio (</w:t>
      </w:r>
      <w:r w:rsidR="007D06C9">
        <w:rPr>
          <w:rFonts w:ascii="Times New Roman" w:hAnsi="Times New Roman" w:cs="Times New Roman"/>
          <w:sz w:val="24"/>
          <w:szCs w:val="24"/>
        </w:rPr>
        <w:t>HR</w:t>
      </w:r>
      <w:r w:rsidR="00CA6DAF">
        <w:rPr>
          <w:rFonts w:ascii="Times New Roman" w:hAnsi="Times New Roman" w:cs="Times New Roman"/>
          <w:sz w:val="24"/>
          <w:szCs w:val="24"/>
        </w:rPr>
        <w:t>)</w:t>
      </w:r>
      <w:r w:rsidR="007D06C9">
        <w:rPr>
          <w:rFonts w:ascii="Times New Roman" w:hAnsi="Times New Roman" w:cs="Times New Roman"/>
          <w:sz w:val="24"/>
          <w:szCs w:val="24"/>
        </w:rPr>
        <w:t>=0.77; CI: 0.53-1.12; p=0.18). Kaplan Meier estimator plot showed that t</w:t>
      </w:r>
      <w:r w:rsidR="007B76A7">
        <w:rPr>
          <w:rFonts w:ascii="Times New Roman" w:hAnsi="Times New Roman" w:cs="Times New Roman"/>
          <w:sz w:val="24"/>
          <w:szCs w:val="24"/>
        </w:rPr>
        <w:t xml:space="preserve">here was no </w:t>
      </w:r>
      <w:r w:rsidR="00B73C3C">
        <w:rPr>
          <w:rFonts w:ascii="Times New Roman" w:hAnsi="Times New Roman" w:cs="Times New Roman"/>
          <w:sz w:val="24"/>
          <w:szCs w:val="24"/>
        </w:rPr>
        <w:t xml:space="preserve">significant difference in </w:t>
      </w:r>
      <w:r w:rsidR="007B76A7">
        <w:rPr>
          <w:rFonts w:ascii="Times New Roman" w:hAnsi="Times New Roman" w:cs="Times New Roman"/>
          <w:sz w:val="24"/>
          <w:szCs w:val="24"/>
        </w:rPr>
        <w:t>all-cause mortality associated with paclitaxel DCB compared to DES</w:t>
      </w:r>
      <w:r w:rsidR="00BE186E">
        <w:rPr>
          <w:rFonts w:ascii="Times New Roman" w:hAnsi="Times New Roman" w:cs="Times New Roman"/>
          <w:sz w:val="24"/>
          <w:szCs w:val="24"/>
        </w:rPr>
        <w:t xml:space="preserve"> (Fig </w:t>
      </w:r>
      <w:r w:rsidR="00A17042">
        <w:rPr>
          <w:rFonts w:ascii="Times New Roman" w:hAnsi="Times New Roman" w:cs="Times New Roman"/>
          <w:sz w:val="24"/>
          <w:szCs w:val="24"/>
        </w:rPr>
        <w:t>2</w:t>
      </w:r>
      <w:r w:rsidR="00195656">
        <w:rPr>
          <w:rFonts w:ascii="Times New Roman" w:hAnsi="Times New Roman" w:cs="Times New Roman"/>
          <w:sz w:val="24"/>
          <w:szCs w:val="24"/>
        </w:rPr>
        <w:t>)</w:t>
      </w:r>
      <w:r w:rsidR="007B76A7">
        <w:rPr>
          <w:rFonts w:ascii="Times New Roman" w:hAnsi="Times New Roman" w:cs="Times New Roman"/>
          <w:sz w:val="24"/>
          <w:szCs w:val="24"/>
        </w:rPr>
        <w:t xml:space="preserve">. </w:t>
      </w:r>
      <w:r w:rsidR="007D06C9" w:rsidRPr="00A91BED">
        <w:rPr>
          <w:rFonts w:ascii="Times New Roman" w:hAnsi="Times New Roman" w:cs="Times New Roman"/>
          <w:sz w:val="24"/>
          <w:szCs w:val="24"/>
        </w:rPr>
        <w:t xml:space="preserve">Furthermore, there </w:t>
      </w:r>
      <w:r w:rsidR="00B73C3C" w:rsidRPr="00A91BED">
        <w:rPr>
          <w:rFonts w:ascii="Times New Roman" w:hAnsi="Times New Roman" w:cs="Times New Roman"/>
          <w:sz w:val="24"/>
          <w:szCs w:val="24"/>
        </w:rPr>
        <w:t>w</w:t>
      </w:r>
      <w:r w:rsidR="00B73C3C">
        <w:rPr>
          <w:rFonts w:ascii="Times New Roman" w:hAnsi="Times New Roman" w:cs="Times New Roman"/>
          <w:sz w:val="24"/>
          <w:szCs w:val="24"/>
        </w:rPr>
        <w:t>ere</w:t>
      </w:r>
      <w:r w:rsidR="00B73C3C" w:rsidRPr="00A91BED">
        <w:rPr>
          <w:rFonts w:ascii="Times New Roman" w:hAnsi="Times New Roman" w:cs="Times New Roman"/>
          <w:sz w:val="24"/>
          <w:szCs w:val="24"/>
        </w:rPr>
        <w:t xml:space="preserve"> </w:t>
      </w:r>
      <w:r w:rsidR="007D06C9" w:rsidRPr="00A91BED">
        <w:rPr>
          <w:rFonts w:ascii="Times New Roman" w:hAnsi="Times New Roman" w:cs="Times New Roman"/>
          <w:sz w:val="24"/>
          <w:szCs w:val="24"/>
        </w:rPr>
        <w:t>no</w:t>
      </w:r>
      <w:r w:rsidR="00B73C3C">
        <w:rPr>
          <w:rFonts w:ascii="Times New Roman" w:hAnsi="Times New Roman" w:cs="Times New Roman"/>
          <w:sz w:val="24"/>
          <w:szCs w:val="24"/>
        </w:rPr>
        <w:t xml:space="preserve"> significant</w:t>
      </w:r>
      <w:r w:rsidR="007D06C9" w:rsidRPr="00A91BED">
        <w:rPr>
          <w:rFonts w:ascii="Times New Roman" w:hAnsi="Times New Roman" w:cs="Times New Roman"/>
          <w:sz w:val="24"/>
          <w:szCs w:val="24"/>
        </w:rPr>
        <w:t xml:space="preserve"> difference</w:t>
      </w:r>
      <w:r w:rsidR="00B73C3C">
        <w:rPr>
          <w:rFonts w:ascii="Times New Roman" w:hAnsi="Times New Roman" w:cs="Times New Roman"/>
          <w:sz w:val="24"/>
          <w:szCs w:val="24"/>
        </w:rPr>
        <w:t>s</w:t>
      </w:r>
      <w:r w:rsidR="007D06C9" w:rsidRPr="00A91BED">
        <w:rPr>
          <w:rFonts w:ascii="Times New Roman" w:hAnsi="Times New Roman" w:cs="Times New Roman"/>
          <w:sz w:val="24"/>
          <w:szCs w:val="24"/>
        </w:rPr>
        <w:t xml:space="preserve"> in any of the secondary endpoints, cardiovascular mortality, ACS, stroke, major bleeding or unplanned TLR</w:t>
      </w:r>
      <w:r w:rsidR="00740101" w:rsidRPr="00A91BED">
        <w:rPr>
          <w:rFonts w:ascii="Times New Roman" w:hAnsi="Times New Roman" w:cs="Times New Roman"/>
          <w:sz w:val="24"/>
          <w:szCs w:val="24"/>
        </w:rPr>
        <w:t xml:space="preserve"> (</w:t>
      </w:r>
      <w:r w:rsidR="00CA6DAF" w:rsidRPr="008023AA">
        <w:rPr>
          <w:rFonts w:ascii="Times New Roman" w:hAnsi="Times New Roman" w:cs="Times New Roman"/>
          <w:b/>
          <w:bCs/>
          <w:sz w:val="24"/>
          <w:szCs w:val="24"/>
        </w:rPr>
        <w:t xml:space="preserve">Supplementary Figure </w:t>
      </w:r>
      <w:r w:rsidR="009E4667" w:rsidRPr="008023AA">
        <w:rPr>
          <w:rFonts w:ascii="Times New Roman" w:hAnsi="Times New Roman" w:cs="Times New Roman"/>
          <w:b/>
          <w:bCs/>
          <w:sz w:val="24"/>
          <w:szCs w:val="24"/>
        </w:rPr>
        <w:t>2</w:t>
      </w:r>
      <w:r w:rsidR="00740101" w:rsidRPr="00A91BED">
        <w:rPr>
          <w:rFonts w:ascii="Times New Roman" w:hAnsi="Times New Roman" w:cs="Times New Roman"/>
          <w:sz w:val="24"/>
          <w:szCs w:val="24"/>
        </w:rPr>
        <w:t>)</w:t>
      </w:r>
      <w:r w:rsidR="007D06C9" w:rsidRPr="00A91BED">
        <w:rPr>
          <w:rFonts w:ascii="Times New Roman" w:hAnsi="Times New Roman" w:cs="Times New Roman"/>
          <w:sz w:val="24"/>
          <w:szCs w:val="24"/>
        </w:rPr>
        <w:t xml:space="preserve">. </w:t>
      </w:r>
      <w:bookmarkStart w:id="5" w:name="_Hlk118745257"/>
      <w:r w:rsidR="00194A96" w:rsidRPr="003506EE">
        <w:rPr>
          <w:rFonts w:ascii="Times New Roman" w:hAnsi="Times New Roman" w:cs="Times New Roman"/>
          <w:sz w:val="24"/>
          <w:szCs w:val="24"/>
        </w:rPr>
        <w:t>The median length of hospitalisation post-</w:t>
      </w:r>
      <w:proofErr w:type="spellStart"/>
      <w:r w:rsidR="00C7268E">
        <w:rPr>
          <w:rFonts w:ascii="Times New Roman" w:hAnsi="Times New Roman" w:cs="Times New Roman"/>
          <w:sz w:val="24"/>
          <w:szCs w:val="24"/>
        </w:rPr>
        <w:t>p</w:t>
      </w:r>
      <w:r w:rsidR="00194A96" w:rsidRPr="003506EE">
        <w:rPr>
          <w:rFonts w:ascii="Times New Roman" w:hAnsi="Times New Roman" w:cs="Times New Roman"/>
          <w:sz w:val="24"/>
          <w:szCs w:val="24"/>
        </w:rPr>
        <w:t>PCI</w:t>
      </w:r>
      <w:proofErr w:type="spellEnd"/>
      <w:r w:rsidR="00194A96" w:rsidRPr="003506EE">
        <w:rPr>
          <w:rFonts w:ascii="Times New Roman" w:hAnsi="Times New Roman" w:cs="Times New Roman"/>
          <w:sz w:val="24"/>
          <w:szCs w:val="24"/>
        </w:rPr>
        <w:t xml:space="preserve"> was 2.22 days (IQR: 1.63, 2.87) for the DCB group and 2.19 days (IQR: 1.57, 2.69) for the DES group. There were six in-hospital deaths (1.</w:t>
      </w:r>
      <w:r w:rsidR="00BB2059">
        <w:rPr>
          <w:rFonts w:ascii="Times New Roman" w:hAnsi="Times New Roman" w:cs="Times New Roman"/>
          <w:sz w:val="24"/>
          <w:szCs w:val="24"/>
        </w:rPr>
        <w:t>3</w:t>
      </w:r>
      <w:r w:rsidR="00194A96" w:rsidRPr="003506EE">
        <w:rPr>
          <w:rFonts w:ascii="Times New Roman" w:hAnsi="Times New Roman" w:cs="Times New Roman"/>
          <w:sz w:val="24"/>
          <w:szCs w:val="24"/>
        </w:rPr>
        <w:t>%) in the DCB group and five in the DES group (0.7%). The difference was not statistically significant (p=0.</w:t>
      </w:r>
      <w:r w:rsidR="005D6330">
        <w:rPr>
          <w:rFonts w:ascii="Times New Roman" w:hAnsi="Times New Roman" w:cs="Times New Roman"/>
          <w:sz w:val="24"/>
          <w:szCs w:val="24"/>
        </w:rPr>
        <w:t>56</w:t>
      </w:r>
      <w:r w:rsidR="00194A96" w:rsidRPr="003506EE">
        <w:rPr>
          <w:rFonts w:ascii="Times New Roman" w:hAnsi="Times New Roman" w:cs="Times New Roman"/>
          <w:sz w:val="24"/>
          <w:szCs w:val="24"/>
        </w:rPr>
        <w:t xml:space="preserve">). There were no planned or unplanned in-hospital TLR in the DCB group, while there were five unplanned in-hospital TLR in the DES group. Three patients </w:t>
      </w:r>
      <w:r w:rsidR="00194A96" w:rsidRPr="003506EE">
        <w:rPr>
          <w:rFonts w:ascii="Times New Roman" w:hAnsi="Times New Roman" w:cs="Times New Roman"/>
          <w:sz w:val="24"/>
          <w:szCs w:val="24"/>
        </w:rPr>
        <w:lastRenderedPageBreak/>
        <w:t>had acute stent thrombosis while another two patients had ongoing chest pain requiring stent optimisation</w:t>
      </w:r>
      <w:r w:rsidR="00194A96" w:rsidRPr="003839EF">
        <w:rPr>
          <w:rFonts w:ascii="Times New Roman" w:hAnsi="Times New Roman" w:cs="Times New Roman"/>
          <w:sz w:val="24"/>
          <w:szCs w:val="24"/>
        </w:rPr>
        <w:t>.</w:t>
      </w:r>
      <w:r w:rsidR="00155676" w:rsidRPr="003839EF">
        <w:rPr>
          <w:rFonts w:ascii="Times New Roman" w:hAnsi="Times New Roman" w:cs="Times New Roman"/>
          <w:sz w:val="24"/>
          <w:szCs w:val="24"/>
        </w:rPr>
        <w:t xml:space="preserve"> Furthermore, there was no difference in all-cause mortality or unplanned TLR within 30 days. The 30-day mortality was</w:t>
      </w:r>
      <w:r w:rsidR="00E37D8B" w:rsidRPr="003839EF">
        <w:rPr>
          <w:rFonts w:ascii="Times New Roman" w:hAnsi="Times New Roman" w:cs="Times New Roman"/>
          <w:sz w:val="24"/>
          <w:szCs w:val="24"/>
        </w:rPr>
        <w:t xml:space="preserve"> 2% vs 1.5% (p=0.49) while the 30-day unplanned TLR was 0.2% vs 0.7% (p=0.41) for the DCB and DES group respectively</w:t>
      </w:r>
      <w:bookmarkStart w:id="6" w:name="_Hlk118746494"/>
      <w:r w:rsidR="00E37D8B" w:rsidRPr="003839EF">
        <w:rPr>
          <w:rFonts w:ascii="Times New Roman" w:hAnsi="Times New Roman" w:cs="Times New Roman"/>
          <w:sz w:val="24"/>
          <w:szCs w:val="24"/>
        </w:rPr>
        <w:t>.</w:t>
      </w:r>
      <w:r w:rsidR="00E37D8B">
        <w:rPr>
          <w:rFonts w:ascii="Times New Roman" w:hAnsi="Times New Roman" w:cs="Times New Roman"/>
          <w:sz w:val="24"/>
          <w:szCs w:val="24"/>
        </w:rPr>
        <w:t xml:space="preserve"> </w:t>
      </w:r>
      <w:r w:rsidR="00F82035" w:rsidRPr="00B9667F">
        <w:rPr>
          <w:rFonts w:ascii="Times New Roman" w:hAnsi="Times New Roman" w:cs="Times New Roman"/>
          <w:sz w:val="24"/>
          <w:szCs w:val="24"/>
          <w:highlight w:val="yellow"/>
        </w:rPr>
        <w:t>Analysis of</w:t>
      </w:r>
      <w:r w:rsidR="00B9667F" w:rsidRPr="00B9667F">
        <w:rPr>
          <w:rFonts w:ascii="Times New Roman" w:hAnsi="Times New Roman" w:cs="Times New Roman"/>
          <w:sz w:val="24"/>
          <w:szCs w:val="24"/>
          <w:highlight w:val="yellow"/>
        </w:rPr>
        <w:t xml:space="preserve"> net adverse cardiac events at the short term </w:t>
      </w:r>
      <w:bookmarkEnd w:id="6"/>
      <w:r w:rsidR="003839EF" w:rsidRPr="003839EF">
        <w:rPr>
          <w:rFonts w:ascii="Times New Roman" w:hAnsi="Times New Roman" w:cs="Times New Roman"/>
          <w:sz w:val="24"/>
          <w:szCs w:val="24"/>
          <w:highlight w:val="yellow"/>
        </w:rPr>
        <w:t>after propensity score matching, did not show any significant differences between DCB and DES at 30 days or 1 year.</w:t>
      </w:r>
    </w:p>
    <w:bookmarkEnd w:id="5"/>
    <w:p w14:paraId="2E1FAF44" w14:textId="7E2BE11C" w:rsidR="00195656" w:rsidRDefault="00195656" w:rsidP="00741ED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Univariable Cox regression analysis</w:t>
      </w:r>
      <w:r w:rsidR="00B75DBC">
        <w:rPr>
          <w:rFonts w:ascii="Times New Roman" w:hAnsi="Times New Roman" w:cs="Times New Roman"/>
          <w:sz w:val="24"/>
          <w:szCs w:val="24"/>
        </w:rPr>
        <w:t xml:space="preserve"> (table 3)</w:t>
      </w:r>
      <w:r>
        <w:rPr>
          <w:rFonts w:ascii="Times New Roman" w:hAnsi="Times New Roman" w:cs="Times New Roman"/>
          <w:sz w:val="24"/>
          <w:szCs w:val="24"/>
        </w:rPr>
        <w:t xml:space="preserve"> identified the following adverse prognostic factors for all-cause morta</w:t>
      </w:r>
      <w:r w:rsidR="00B75DBC">
        <w:rPr>
          <w:rFonts w:ascii="Times New Roman" w:hAnsi="Times New Roman" w:cs="Times New Roman"/>
          <w:sz w:val="24"/>
          <w:szCs w:val="24"/>
        </w:rPr>
        <w:t xml:space="preserve">lity: increasing age, </w:t>
      </w:r>
      <w:r w:rsidR="00740101">
        <w:rPr>
          <w:rFonts w:ascii="Times New Roman" w:hAnsi="Times New Roman" w:cs="Times New Roman"/>
          <w:sz w:val="24"/>
          <w:szCs w:val="24"/>
        </w:rPr>
        <w:t xml:space="preserve">hypertension, </w:t>
      </w:r>
      <w:r w:rsidR="00B75DBC">
        <w:rPr>
          <w:rFonts w:ascii="Times New Roman" w:hAnsi="Times New Roman" w:cs="Times New Roman"/>
          <w:sz w:val="24"/>
          <w:szCs w:val="24"/>
        </w:rPr>
        <w:t xml:space="preserve">peripheral vascular disease, stroke, </w:t>
      </w:r>
      <w:r w:rsidR="00EC0C5D">
        <w:rPr>
          <w:rFonts w:ascii="Times New Roman" w:hAnsi="Times New Roman" w:cs="Times New Roman"/>
          <w:sz w:val="24"/>
          <w:szCs w:val="24"/>
        </w:rPr>
        <w:t xml:space="preserve">previous </w:t>
      </w:r>
      <w:r w:rsidR="00B75DBC">
        <w:rPr>
          <w:rFonts w:ascii="Times New Roman" w:hAnsi="Times New Roman" w:cs="Times New Roman"/>
          <w:sz w:val="24"/>
          <w:szCs w:val="24"/>
        </w:rPr>
        <w:t>myocardial infarction, coronary artery bypass graft (CABG), heart failure, atrial fibrillation (AF), chronic obstructive pulmonary disease (COPD), diabetes, decreasing estimated gl</w:t>
      </w:r>
      <w:r w:rsidR="00B80E2D">
        <w:rPr>
          <w:rFonts w:ascii="Times New Roman" w:hAnsi="Times New Roman" w:cs="Times New Roman"/>
          <w:sz w:val="24"/>
          <w:szCs w:val="24"/>
        </w:rPr>
        <w:t xml:space="preserve">omerular filtration rate (eGFR), </w:t>
      </w:r>
      <w:r w:rsidR="00740101">
        <w:rPr>
          <w:rFonts w:ascii="Times New Roman" w:hAnsi="Times New Roman" w:cs="Times New Roman"/>
          <w:sz w:val="24"/>
          <w:szCs w:val="24"/>
        </w:rPr>
        <w:t xml:space="preserve">frailty, </w:t>
      </w:r>
      <w:r w:rsidR="00B80E2D">
        <w:rPr>
          <w:rFonts w:ascii="Times New Roman" w:hAnsi="Times New Roman" w:cs="Times New Roman"/>
          <w:sz w:val="24"/>
          <w:szCs w:val="24"/>
        </w:rPr>
        <w:t>vessel treated</w:t>
      </w:r>
      <w:r w:rsidR="00A91BED">
        <w:rPr>
          <w:rFonts w:ascii="Times New Roman" w:hAnsi="Times New Roman" w:cs="Times New Roman"/>
          <w:sz w:val="24"/>
          <w:szCs w:val="24"/>
        </w:rPr>
        <w:t xml:space="preserve"> and</w:t>
      </w:r>
      <w:r w:rsidR="00740101">
        <w:rPr>
          <w:rFonts w:ascii="Times New Roman" w:hAnsi="Times New Roman" w:cs="Times New Roman"/>
          <w:sz w:val="24"/>
          <w:szCs w:val="24"/>
        </w:rPr>
        <w:t xml:space="preserve"> </w:t>
      </w:r>
      <w:r w:rsidR="00B75DBC">
        <w:rPr>
          <w:rFonts w:ascii="Times New Roman" w:hAnsi="Times New Roman" w:cs="Times New Roman"/>
          <w:sz w:val="24"/>
          <w:szCs w:val="24"/>
        </w:rPr>
        <w:t xml:space="preserve">true bifurcation. </w:t>
      </w:r>
      <w:r w:rsidR="008C2BA0">
        <w:rPr>
          <w:rFonts w:ascii="Times New Roman" w:hAnsi="Times New Roman" w:cs="Times New Roman"/>
          <w:sz w:val="24"/>
          <w:szCs w:val="24"/>
        </w:rPr>
        <w:t>On multivariable Cox regression analysis</w:t>
      </w:r>
      <w:r w:rsidR="00EE0181">
        <w:rPr>
          <w:rFonts w:ascii="Times New Roman" w:hAnsi="Times New Roman" w:cs="Times New Roman"/>
          <w:sz w:val="24"/>
          <w:szCs w:val="24"/>
        </w:rPr>
        <w:t xml:space="preserve"> (table 4)</w:t>
      </w:r>
      <w:r w:rsidR="008C2BA0">
        <w:rPr>
          <w:rFonts w:ascii="Times New Roman" w:hAnsi="Times New Roman" w:cs="Times New Roman"/>
          <w:sz w:val="24"/>
          <w:szCs w:val="24"/>
        </w:rPr>
        <w:t xml:space="preserve">, only age, </w:t>
      </w:r>
      <w:r w:rsidR="00002A41">
        <w:rPr>
          <w:rFonts w:ascii="Times New Roman" w:hAnsi="Times New Roman" w:cs="Times New Roman"/>
          <w:sz w:val="24"/>
          <w:szCs w:val="24"/>
        </w:rPr>
        <w:t>history of heart failure,</w:t>
      </w:r>
      <w:r w:rsidR="00740101">
        <w:rPr>
          <w:rFonts w:ascii="Times New Roman" w:hAnsi="Times New Roman" w:cs="Times New Roman"/>
          <w:sz w:val="24"/>
          <w:szCs w:val="24"/>
        </w:rPr>
        <w:t xml:space="preserve"> </w:t>
      </w:r>
      <w:proofErr w:type="gramStart"/>
      <w:r w:rsidR="00740101">
        <w:rPr>
          <w:rFonts w:ascii="Times New Roman" w:hAnsi="Times New Roman" w:cs="Times New Roman"/>
          <w:sz w:val="24"/>
          <w:szCs w:val="24"/>
        </w:rPr>
        <w:t>frailty</w:t>
      </w:r>
      <w:proofErr w:type="gramEnd"/>
      <w:r w:rsidR="00740101">
        <w:rPr>
          <w:rFonts w:ascii="Times New Roman" w:hAnsi="Times New Roman" w:cs="Times New Roman"/>
          <w:sz w:val="24"/>
          <w:szCs w:val="24"/>
        </w:rPr>
        <w:t xml:space="preserve"> and </w:t>
      </w:r>
      <w:r w:rsidR="00002A41">
        <w:rPr>
          <w:rFonts w:ascii="Times New Roman" w:hAnsi="Times New Roman" w:cs="Times New Roman"/>
          <w:sz w:val="24"/>
          <w:szCs w:val="24"/>
        </w:rPr>
        <w:t>family history of IHD</w:t>
      </w:r>
      <w:r w:rsidR="008C2BA0">
        <w:rPr>
          <w:rFonts w:ascii="Times New Roman" w:hAnsi="Times New Roman" w:cs="Times New Roman"/>
          <w:sz w:val="24"/>
          <w:szCs w:val="24"/>
        </w:rPr>
        <w:t xml:space="preserve"> remained independent predictors of mortality. </w:t>
      </w:r>
    </w:p>
    <w:p w14:paraId="68077952" w14:textId="77777777" w:rsidR="001D2C36" w:rsidRDefault="001D2C36">
      <w:pPr>
        <w:rPr>
          <w:rFonts w:ascii="Times New Roman" w:hAnsi="Times New Roman" w:cs="Times New Roman"/>
          <w:sz w:val="24"/>
          <w:szCs w:val="24"/>
        </w:rPr>
      </w:pPr>
    </w:p>
    <w:p w14:paraId="01541DBA" w14:textId="70AD169D" w:rsidR="000C1817" w:rsidRDefault="001B0A01" w:rsidP="007D4DD1">
      <w:p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Propensity </w:t>
      </w:r>
      <w:proofErr w:type="gramStart"/>
      <w:r>
        <w:rPr>
          <w:rFonts w:ascii="Times New Roman" w:hAnsi="Times New Roman" w:cs="Times New Roman"/>
          <w:sz w:val="24"/>
          <w:szCs w:val="24"/>
        </w:rPr>
        <w:t>sc</w:t>
      </w:r>
      <w:r w:rsidR="00F45DC0">
        <w:rPr>
          <w:rFonts w:ascii="Times New Roman" w:hAnsi="Times New Roman" w:cs="Times New Roman"/>
          <w:sz w:val="24"/>
          <w:szCs w:val="24"/>
        </w:rPr>
        <w:t>ore</w:t>
      </w:r>
      <w:proofErr w:type="gramEnd"/>
      <w:r w:rsidR="00F45DC0">
        <w:rPr>
          <w:rFonts w:ascii="Times New Roman" w:hAnsi="Times New Roman" w:cs="Times New Roman"/>
          <w:sz w:val="24"/>
          <w:szCs w:val="24"/>
        </w:rPr>
        <w:t xml:space="preserve"> matched analysis for all</w:t>
      </w:r>
      <w:r>
        <w:rPr>
          <w:rFonts w:ascii="Times New Roman" w:hAnsi="Times New Roman" w:cs="Times New Roman"/>
          <w:sz w:val="24"/>
          <w:szCs w:val="24"/>
        </w:rPr>
        <w:t xml:space="preserve"> positive variables in univariable Cox regression analysis demonstrated no difference in morta</w:t>
      </w:r>
      <w:r w:rsidR="00BE186E">
        <w:rPr>
          <w:rFonts w:ascii="Times New Roman" w:hAnsi="Times New Roman" w:cs="Times New Roman"/>
          <w:sz w:val="24"/>
          <w:szCs w:val="24"/>
        </w:rPr>
        <w:t>l</w:t>
      </w:r>
      <w:r w:rsidR="00A17042">
        <w:rPr>
          <w:rFonts w:ascii="Times New Roman" w:hAnsi="Times New Roman" w:cs="Times New Roman"/>
          <w:sz w:val="24"/>
          <w:szCs w:val="24"/>
        </w:rPr>
        <w:t>ity between DCB and DES (Fig 3</w:t>
      </w:r>
      <w:r>
        <w:rPr>
          <w:rFonts w:ascii="Times New Roman" w:hAnsi="Times New Roman" w:cs="Times New Roman"/>
          <w:sz w:val="24"/>
          <w:szCs w:val="24"/>
        </w:rPr>
        <w:t xml:space="preserve">). </w:t>
      </w:r>
      <w:r w:rsidR="00481D98">
        <w:rPr>
          <w:rFonts w:ascii="Times New Roman" w:hAnsi="Times New Roman" w:cs="Times New Roman"/>
          <w:sz w:val="24"/>
          <w:szCs w:val="24"/>
        </w:rPr>
        <w:t xml:space="preserve">There </w:t>
      </w:r>
      <w:r w:rsidR="002B370E">
        <w:rPr>
          <w:rFonts w:ascii="Times New Roman" w:hAnsi="Times New Roman" w:cs="Times New Roman"/>
          <w:sz w:val="24"/>
          <w:szCs w:val="24"/>
        </w:rPr>
        <w:t xml:space="preserve">were </w:t>
      </w:r>
      <w:r w:rsidR="00481D98">
        <w:rPr>
          <w:rFonts w:ascii="Times New Roman" w:hAnsi="Times New Roman" w:cs="Times New Roman"/>
          <w:sz w:val="24"/>
          <w:szCs w:val="24"/>
        </w:rPr>
        <w:t>no significant difference</w:t>
      </w:r>
      <w:r w:rsidR="002B370E">
        <w:rPr>
          <w:rFonts w:ascii="Times New Roman" w:hAnsi="Times New Roman" w:cs="Times New Roman"/>
          <w:sz w:val="24"/>
          <w:szCs w:val="24"/>
        </w:rPr>
        <w:t>s</w:t>
      </w:r>
      <w:r w:rsidR="00481D98">
        <w:rPr>
          <w:rFonts w:ascii="Times New Roman" w:hAnsi="Times New Roman" w:cs="Times New Roman"/>
          <w:sz w:val="24"/>
          <w:szCs w:val="24"/>
        </w:rPr>
        <w:t xml:space="preserve"> in any of the</w:t>
      </w:r>
      <w:r w:rsidR="004D16C8">
        <w:rPr>
          <w:rFonts w:ascii="Times New Roman" w:hAnsi="Times New Roman" w:cs="Times New Roman"/>
          <w:sz w:val="24"/>
          <w:szCs w:val="24"/>
        </w:rPr>
        <w:t xml:space="preserve"> net adverse cardiac events </w:t>
      </w:r>
      <w:r w:rsidR="00481D98">
        <w:rPr>
          <w:rFonts w:ascii="Times New Roman" w:hAnsi="Times New Roman" w:cs="Times New Roman"/>
          <w:sz w:val="24"/>
          <w:szCs w:val="24"/>
        </w:rPr>
        <w:t xml:space="preserve">including unplanned TLR (supplementary figure </w:t>
      </w:r>
      <w:r w:rsidR="009E4667">
        <w:rPr>
          <w:rFonts w:ascii="Times New Roman" w:hAnsi="Times New Roman" w:cs="Times New Roman"/>
          <w:sz w:val="24"/>
          <w:szCs w:val="24"/>
        </w:rPr>
        <w:t>3</w:t>
      </w:r>
      <w:r w:rsidR="00481D98" w:rsidRPr="0014327F">
        <w:rPr>
          <w:rFonts w:ascii="Times New Roman" w:hAnsi="Times New Roman" w:cs="Times New Roman"/>
          <w:sz w:val="24"/>
          <w:szCs w:val="24"/>
        </w:rPr>
        <w:t>)</w:t>
      </w:r>
      <w:r w:rsidR="00481D98" w:rsidRPr="009C1004">
        <w:rPr>
          <w:rFonts w:ascii="Times New Roman" w:hAnsi="Times New Roman" w:cs="Times New Roman"/>
          <w:color w:val="FF0000"/>
          <w:sz w:val="24"/>
          <w:szCs w:val="24"/>
        </w:rPr>
        <w:t xml:space="preserve">. </w:t>
      </w:r>
      <w:r w:rsidR="002B1FD8" w:rsidRPr="005F2579">
        <w:rPr>
          <w:rFonts w:ascii="Times New Roman" w:hAnsi="Times New Roman" w:cs="Times New Roman"/>
          <w:sz w:val="24"/>
          <w:szCs w:val="24"/>
        </w:rPr>
        <w:t xml:space="preserve">Multivariable Cox regression analysis for the propensity matched population identified </w:t>
      </w:r>
      <w:r w:rsidR="005F2579" w:rsidRPr="005F2579">
        <w:rPr>
          <w:rFonts w:ascii="Times New Roman" w:hAnsi="Times New Roman" w:cs="Times New Roman"/>
          <w:sz w:val="24"/>
          <w:szCs w:val="24"/>
        </w:rPr>
        <w:t xml:space="preserve">frailty score, acuity score, history of heart failure and family history of IHD as independent predictors of mortality </w:t>
      </w:r>
      <w:r w:rsidR="002B1FD8" w:rsidRPr="005F2579">
        <w:rPr>
          <w:rFonts w:ascii="Times New Roman" w:hAnsi="Times New Roman" w:cs="Times New Roman"/>
          <w:sz w:val="24"/>
          <w:szCs w:val="24"/>
        </w:rPr>
        <w:t>(Table 5).</w:t>
      </w:r>
      <w:r w:rsidR="009C1004" w:rsidRPr="005F2579">
        <w:rPr>
          <w:rFonts w:ascii="Times New Roman" w:hAnsi="Times New Roman" w:cs="Times New Roman"/>
          <w:sz w:val="24"/>
          <w:szCs w:val="24"/>
        </w:rPr>
        <w:t xml:space="preserve"> </w:t>
      </w:r>
    </w:p>
    <w:p w14:paraId="5B6A254B" w14:textId="1EA48871" w:rsidR="009C1004" w:rsidRPr="009C1004" w:rsidRDefault="009C1004" w:rsidP="007D4DD1">
      <w:pPr>
        <w:spacing w:line="480" w:lineRule="auto"/>
        <w:jc w:val="both"/>
        <w:rPr>
          <w:rFonts w:ascii="Times New Roman" w:hAnsi="Times New Roman" w:cs="Times New Roman"/>
          <w:sz w:val="24"/>
          <w:szCs w:val="24"/>
        </w:rPr>
      </w:pPr>
      <w:bookmarkStart w:id="7" w:name="_Hlk118746864"/>
      <w:r w:rsidRPr="009C1004">
        <w:rPr>
          <w:rFonts w:ascii="Times New Roman" w:hAnsi="Times New Roman" w:cs="Times New Roman"/>
          <w:sz w:val="24"/>
          <w:szCs w:val="24"/>
          <w:highlight w:val="yellow"/>
        </w:rPr>
        <w:t xml:space="preserve">Subgroup analysis according to vessel size (more or less than 3mm) or bifurcation disease demonstrated that the results were consistent </w:t>
      </w:r>
      <w:r w:rsidR="00906489">
        <w:rPr>
          <w:rFonts w:ascii="Times New Roman" w:hAnsi="Times New Roman" w:cs="Times New Roman"/>
          <w:sz w:val="24"/>
          <w:szCs w:val="24"/>
          <w:highlight w:val="yellow"/>
        </w:rPr>
        <w:t>in these subgroups</w:t>
      </w:r>
      <w:r w:rsidRPr="009C1004">
        <w:rPr>
          <w:rFonts w:ascii="Times New Roman" w:hAnsi="Times New Roman" w:cs="Times New Roman"/>
          <w:sz w:val="24"/>
          <w:szCs w:val="24"/>
          <w:highlight w:val="yellow"/>
        </w:rPr>
        <w:t>.</w:t>
      </w:r>
      <w:r>
        <w:rPr>
          <w:rFonts w:ascii="Times New Roman" w:hAnsi="Times New Roman" w:cs="Times New Roman"/>
          <w:sz w:val="24"/>
          <w:szCs w:val="24"/>
        </w:rPr>
        <w:t xml:space="preserve"> </w:t>
      </w:r>
    </w:p>
    <w:bookmarkEnd w:id="7"/>
    <w:p w14:paraId="0BB8B56B" w14:textId="283F7031" w:rsidR="001B0A01" w:rsidRPr="001B0A01" w:rsidRDefault="000B20E1" w:rsidP="00EE0181">
      <w:pPr>
        <w:rPr>
          <w:rFonts w:ascii="Times New Roman" w:hAnsi="Times New Roman" w:cs="Times New Roman"/>
          <w:b/>
          <w:sz w:val="24"/>
          <w:szCs w:val="24"/>
        </w:rPr>
      </w:pPr>
      <w:r>
        <w:rPr>
          <w:rFonts w:ascii="Times New Roman" w:hAnsi="Times New Roman" w:cs="Times New Roman"/>
          <w:b/>
          <w:sz w:val="24"/>
          <w:szCs w:val="24"/>
        </w:rPr>
        <w:t>Discussion</w:t>
      </w:r>
    </w:p>
    <w:p w14:paraId="48148B6F" w14:textId="6D41FC39" w:rsidR="008D610F" w:rsidRDefault="009043D8" w:rsidP="0094367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the largest </w:t>
      </w:r>
      <w:r w:rsidR="008D53EA">
        <w:rPr>
          <w:rFonts w:ascii="Times New Roman" w:hAnsi="Times New Roman" w:cs="Times New Roman"/>
          <w:sz w:val="24"/>
          <w:szCs w:val="24"/>
        </w:rPr>
        <w:t>cohort analysis</w:t>
      </w:r>
      <w:r>
        <w:rPr>
          <w:rFonts w:ascii="Times New Roman" w:hAnsi="Times New Roman" w:cs="Times New Roman"/>
          <w:sz w:val="24"/>
          <w:szCs w:val="24"/>
        </w:rPr>
        <w:t xml:space="preserve"> assessing the safety of DCB-only angioplasty compared with 2</w:t>
      </w:r>
      <w:r w:rsidRPr="009043D8">
        <w:rPr>
          <w:rFonts w:ascii="Times New Roman" w:hAnsi="Times New Roman" w:cs="Times New Roman"/>
          <w:sz w:val="24"/>
          <w:szCs w:val="24"/>
          <w:vertAlign w:val="superscript"/>
        </w:rPr>
        <w:t>nd</w:t>
      </w:r>
      <w:r>
        <w:rPr>
          <w:rFonts w:ascii="Times New Roman" w:hAnsi="Times New Roman" w:cs="Times New Roman"/>
          <w:sz w:val="24"/>
          <w:szCs w:val="24"/>
        </w:rPr>
        <w:t xml:space="preserve"> generation DES for </w:t>
      </w:r>
      <w:proofErr w:type="spellStart"/>
      <w:r w:rsidR="00C7268E">
        <w:rPr>
          <w:rFonts w:ascii="Times New Roman" w:hAnsi="Times New Roman" w:cs="Times New Roman"/>
          <w:sz w:val="24"/>
          <w:szCs w:val="24"/>
        </w:rPr>
        <w:t>p</w:t>
      </w:r>
      <w:r>
        <w:rPr>
          <w:rFonts w:ascii="Times New Roman" w:hAnsi="Times New Roman" w:cs="Times New Roman"/>
          <w:sz w:val="24"/>
          <w:szCs w:val="24"/>
        </w:rPr>
        <w:t>PC</w:t>
      </w:r>
      <w:r w:rsidR="00623DE7">
        <w:rPr>
          <w:rFonts w:ascii="Times New Roman" w:hAnsi="Times New Roman" w:cs="Times New Roman"/>
          <w:sz w:val="24"/>
          <w:szCs w:val="24"/>
        </w:rPr>
        <w:t>I</w:t>
      </w:r>
      <w:proofErr w:type="spellEnd"/>
      <w:r w:rsidR="00623DE7">
        <w:rPr>
          <w:rFonts w:ascii="Times New Roman" w:hAnsi="Times New Roman" w:cs="Times New Roman"/>
          <w:sz w:val="24"/>
          <w:szCs w:val="24"/>
        </w:rPr>
        <w:t xml:space="preserve"> </w:t>
      </w:r>
      <w:r w:rsidR="001E7054">
        <w:rPr>
          <w:rFonts w:ascii="Times New Roman" w:hAnsi="Times New Roman" w:cs="Times New Roman"/>
          <w:sz w:val="24"/>
          <w:szCs w:val="24"/>
        </w:rPr>
        <w:t>showing</w:t>
      </w:r>
      <w:r>
        <w:rPr>
          <w:rFonts w:ascii="Times New Roman" w:hAnsi="Times New Roman" w:cs="Times New Roman"/>
          <w:sz w:val="24"/>
          <w:szCs w:val="24"/>
        </w:rPr>
        <w:t xml:space="preserve"> no difference in all-cause mortality between DCB and </w:t>
      </w:r>
      <w:r>
        <w:rPr>
          <w:rFonts w:ascii="Times New Roman" w:hAnsi="Times New Roman" w:cs="Times New Roman"/>
          <w:sz w:val="24"/>
          <w:szCs w:val="24"/>
        </w:rPr>
        <w:lastRenderedPageBreak/>
        <w:t>DES f</w:t>
      </w:r>
      <w:r w:rsidR="00131017">
        <w:rPr>
          <w:rFonts w:ascii="Times New Roman" w:hAnsi="Times New Roman" w:cs="Times New Roman"/>
          <w:sz w:val="24"/>
          <w:szCs w:val="24"/>
        </w:rPr>
        <w:t>or STEMI and</w:t>
      </w:r>
      <w:r>
        <w:rPr>
          <w:rFonts w:ascii="Times New Roman" w:hAnsi="Times New Roman" w:cs="Times New Roman"/>
          <w:sz w:val="24"/>
          <w:szCs w:val="24"/>
        </w:rPr>
        <w:t xml:space="preserve"> no diffe</w:t>
      </w:r>
      <w:r w:rsidR="00E70416">
        <w:rPr>
          <w:rFonts w:ascii="Times New Roman" w:hAnsi="Times New Roman" w:cs="Times New Roman"/>
          <w:sz w:val="24"/>
          <w:szCs w:val="24"/>
        </w:rPr>
        <w:t>rence in the propensity score-</w:t>
      </w:r>
      <w:r>
        <w:rPr>
          <w:rFonts w:ascii="Times New Roman" w:hAnsi="Times New Roman" w:cs="Times New Roman"/>
          <w:sz w:val="24"/>
          <w:szCs w:val="24"/>
        </w:rPr>
        <w:t>matched analysis</w:t>
      </w:r>
      <w:r w:rsidRPr="000B4ED1">
        <w:rPr>
          <w:rFonts w:ascii="Times New Roman" w:hAnsi="Times New Roman" w:cs="Times New Roman"/>
          <w:sz w:val="24"/>
          <w:szCs w:val="24"/>
        </w:rPr>
        <w:t xml:space="preserve">. </w:t>
      </w:r>
      <w:r w:rsidR="00966CF4" w:rsidRPr="000B4ED1">
        <w:rPr>
          <w:rFonts w:ascii="Times New Roman" w:hAnsi="Times New Roman" w:cs="Times New Roman"/>
          <w:sz w:val="24"/>
          <w:szCs w:val="24"/>
        </w:rPr>
        <w:t>Furthermore, there was no difference</w:t>
      </w:r>
      <w:r w:rsidR="00131017">
        <w:rPr>
          <w:rFonts w:ascii="Times New Roman" w:hAnsi="Times New Roman" w:cs="Times New Roman"/>
          <w:sz w:val="24"/>
          <w:szCs w:val="24"/>
        </w:rPr>
        <w:t xml:space="preserve"> in </w:t>
      </w:r>
      <w:r w:rsidR="00740101">
        <w:rPr>
          <w:rFonts w:ascii="Times New Roman" w:hAnsi="Times New Roman" w:cs="Times New Roman"/>
          <w:sz w:val="24"/>
          <w:szCs w:val="24"/>
        </w:rPr>
        <w:t xml:space="preserve">any of the </w:t>
      </w:r>
      <w:r w:rsidR="004D16C8">
        <w:rPr>
          <w:rFonts w:ascii="Times New Roman" w:hAnsi="Times New Roman" w:cs="Times New Roman"/>
          <w:sz w:val="24"/>
          <w:szCs w:val="24"/>
        </w:rPr>
        <w:t>net adverse cardiac events</w:t>
      </w:r>
      <w:r w:rsidR="00740101">
        <w:rPr>
          <w:rFonts w:ascii="Times New Roman" w:hAnsi="Times New Roman" w:cs="Times New Roman"/>
          <w:sz w:val="24"/>
          <w:szCs w:val="24"/>
        </w:rPr>
        <w:t xml:space="preserve"> including unplanned TLR. </w:t>
      </w:r>
    </w:p>
    <w:p w14:paraId="79065290" w14:textId="081EC6CB" w:rsidR="00300A5F" w:rsidRDefault="00C7268E" w:rsidP="00943677">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284547" w:rsidRPr="00131017">
        <w:rPr>
          <w:rFonts w:ascii="Times New Roman" w:hAnsi="Times New Roman" w:cs="Times New Roman"/>
          <w:sz w:val="24"/>
          <w:szCs w:val="24"/>
        </w:rPr>
        <w:t>PCI</w:t>
      </w:r>
      <w:proofErr w:type="spellEnd"/>
      <w:r w:rsidR="00284547" w:rsidRPr="00131017">
        <w:rPr>
          <w:rFonts w:ascii="Times New Roman" w:hAnsi="Times New Roman" w:cs="Times New Roman"/>
          <w:sz w:val="24"/>
          <w:szCs w:val="24"/>
        </w:rPr>
        <w:t xml:space="preserve"> has significantly improved the outcomes including survival of patients presenting with STEMI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10.1056/NEJM199303113281001","author":[{"dropping-particle":"","family":"Grines","given":"C","non-dropping-particle":"","parse-names":false,"suffix":""},{"dropping-particle":"","family":"Browse","given":"K","non-dropping-particle":"","parse-names":false,"suffix":""},{"dropping-particle":"","family":"Marco","given":"J","non-dropping-particle":"","parse-names":false,"suffix":""},{"dropping-particle":"","family":"Rothbaum","given":"D","non-dropping-particle":"","parse-names":false,"suffix":""},{"dropping-particle":"","family":"Stone","given":"G","non-dropping-particle":"","parse-names":false,"suffix":""},{"dropping-particle":"","family":"O'Keefe","given":"J","non-dropping-particle":"","parse-names":false,"suffix":""},{"dropping-particle":"","family":"Overlie","given":"P","non-dropping-particle":"","parse-names":false,"suffix":""},{"dropping-particle":"","family":"Donohue","given":"B","non-dropping-particle":"","parse-names":false,"suffix":""},{"dropping-particle":"","family":"Chelliah","given":"N","non-dropping-particle":"","parse-names":false,"suffix":""},{"dropping-particle":"","family":"Timmis","given":"G","non-dropping-particle":"","parse-names":false,"suffix":""},{"dropping-particle":"","family":"Vlietstra","given":"R","non-dropping-particle":"","parse-names":false,"suffix":""},{"dropping-particle":"","family":"Strzelecki","given":"M","non-dropping-particle":"","parse-names":false,"suffix":""},{"dropping-particle":"","family":"Puchrowicz-Ochocki","given":"S","non-dropping-particle":"","parse-names":false,"suffix":""},{"dropping-particle":"","family":"W","given":"O'neill","non-dropping-particle":"","parse-names":false,"suffix":""}],"container-title":"New England Journal of Medicine","id":"ITEM-1","issue":"10","issued":{"date-parts":[["1993"]]},"page":"673-679","title":"A comparison of immediate angioplasty with thrombolytic therapy for acute myocardial infarction","type":"article-journal","volume":"328"},"uris":["http://www.mendeley.com/documents/?uuid=4632ee48-4e49-4202-9fe1-1b60140e2a84"]}],"mendeley":{"formattedCitation":"(17)","plainTextFormattedCitation":"(17)","previouslyFormattedCitation":"(17)"},"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(17)</w:t>
      </w:r>
      <w:r w:rsidR="008D3C49">
        <w:rPr>
          <w:rStyle w:val="FootnoteReference"/>
          <w:rFonts w:ascii="Times New Roman" w:hAnsi="Times New Roman" w:cs="Times New Roman"/>
          <w:sz w:val="24"/>
          <w:szCs w:val="24"/>
        </w:rPr>
        <w:fldChar w:fldCharType="end"/>
      </w:r>
      <w:r w:rsidR="00284547" w:rsidRPr="00131017">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{"citationItems":[{"id":"ITEM-1","itemData":{"DOI":"10.1053/euhj.2000.2192","ISSN":"0195668X","PMID":"10973757","author":[{"dropping-particle":"","family":"Zijlstra","given":"F.","non-dropping-particle":"","parse-names":false,"suffix":""}],"container-title":"European Heart Journal","id":"ITEM-1","issue":"18","issued":{"date-parts":[["2000"]]},"page":"1487-1489","title":"Long-term benefit of primary angioplasty compared to thrombolytic therapy for acute myocardial infarction","type":"article-journal","volume":"21"},"uris":["http://www.mendeley.com/documents/?uuid=f640bbae-112f-4cf9-b1e2-7147ee32b8bc"]}],"mendeley":{"formattedCitation":"(18)","plainTextFormattedCitation":"(18)","previouslyFormattedCitation":"(18)"},"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bCs/>
          <w:noProof/>
          <w:sz w:val="24"/>
          <w:szCs w:val="24"/>
          <w:lang w:val="en-US"/>
        </w:rPr>
        <w:t>(18)</w:t>
      </w:r>
      <w:r w:rsidR="008D3C49">
        <w:rPr>
          <w:rStyle w:val="FootnoteReference"/>
          <w:rFonts w:ascii="Times New Roman" w:hAnsi="Times New Roman" w:cs="Times New Roman"/>
          <w:sz w:val="24"/>
          <w:szCs w:val="24"/>
        </w:rPr>
        <w:fldChar w:fldCharType="end"/>
      </w:r>
      <w:r w:rsidR="00284547" w:rsidRPr="00131017">
        <w:rPr>
          <w:rFonts w:ascii="Times New Roman" w:hAnsi="Times New Roman" w:cs="Times New Roman"/>
          <w:sz w:val="24"/>
          <w:szCs w:val="24"/>
        </w:rPr>
        <w:t xml:space="preserve">. </w:t>
      </w:r>
      <w:r w:rsidR="005308D0" w:rsidRPr="00131017">
        <w:rPr>
          <w:rFonts w:ascii="Times New Roman" w:hAnsi="Times New Roman" w:cs="Times New Roman"/>
          <w:sz w:val="24"/>
          <w:szCs w:val="24"/>
        </w:rPr>
        <w:t>Even though</w:t>
      </w:r>
      <w:r w:rsidR="001E7054">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1E7054">
        <w:rPr>
          <w:rFonts w:ascii="Times New Roman" w:hAnsi="Times New Roman" w:cs="Times New Roman"/>
          <w:sz w:val="24"/>
          <w:szCs w:val="24"/>
        </w:rPr>
        <w:t>PCI</w:t>
      </w:r>
      <w:proofErr w:type="spellEnd"/>
      <w:r w:rsidR="001E7054">
        <w:rPr>
          <w:rFonts w:ascii="Times New Roman" w:hAnsi="Times New Roman" w:cs="Times New Roman"/>
          <w:sz w:val="24"/>
          <w:szCs w:val="24"/>
        </w:rPr>
        <w:t xml:space="preserve"> with</w:t>
      </w:r>
      <w:r w:rsidR="005308D0" w:rsidRPr="00131017">
        <w:rPr>
          <w:rFonts w:ascii="Times New Roman" w:hAnsi="Times New Roman" w:cs="Times New Roman"/>
          <w:sz w:val="24"/>
          <w:szCs w:val="24"/>
        </w:rPr>
        <w:t xml:space="preserve"> 2</w:t>
      </w:r>
      <w:r w:rsidR="005308D0" w:rsidRPr="00131017">
        <w:rPr>
          <w:rFonts w:ascii="Times New Roman" w:hAnsi="Times New Roman" w:cs="Times New Roman"/>
          <w:sz w:val="24"/>
          <w:szCs w:val="24"/>
          <w:vertAlign w:val="superscript"/>
        </w:rPr>
        <w:t>nd</w:t>
      </w:r>
      <w:r w:rsidR="005308D0" w:rsidRPr="00131017">
        <w:rPr>
          <w:rFonts w:ascii="Times New Roman" w:hAnsi="Times New Roman" w:cs="Times New Roman"/>
          <w:sz w:val="24"/>
          <w:szCs w:val="24"/>
        </w:rPr>
        <w:t xml:space="preserve"> generation DES has emerged as the standard of care, stent related events have persisted despite great advances in stent technology </w:t>
      </w:r>
      <w:r w:rsidR="008D3C49">
        <w:rPr>
          <w:rStyle w:val="FootnoteReference"/>
          <w:rFonts w:ascii="Times New Roman" w:hAnsi="Times New Roman" w:cs="Times New Roman"/>
          <w:sz w:val="24"/>
          <w:szCs w:val="24"/>
        </w:rPr>
        <w:fldChar w:fldCharType="begin" w:fldLock="1"/>
      </w:r>
      <w:r w:rsidR="007A2174">
        <w:rPr>
          <w:rFonts w:ascii="Times New Roman" w:hAnsi="Times New Roman" w:cs="Times New Roman"/>
          <w:sz w:val="24"/>
          <w:szCs w:val="24"/>
        </w:rPr>
        <w:instrText>ADDIN CSL_CITATION {"citationItems":[{"id":"ITEM-1","itemData":{"DOI":"10.1093/eurheartj/ehy394","ISSN":"15229645","PMID":"30165437","author":[{"dropping-particle":"","family":"Neumann","given":"F. J.","non-dropping-particle":"","parse-names":false,"suffix":""},{"dropping-particle":"","family":"Sousa-Uva","given":"Miguel","non-dropping-particle":"","parse-names":false,"suffix":""},{"dropping-particle":"","family":"Ahlsson","given":"Anders","non-dropping-particle":"","parse-names":false,"suffix":""},{"dropping-particle":"","family":"Alfonso","given":"Fernando","non-dropping-particle":"","parse-names":false,"suffix":""},{"dropping-particle":"","family":"Banning","given":"Adrian P.","non-dropping-particle":"","parse-names":false,"suffix":""},{"dropping-particle":"","family":"Benedetto","given":"Umberto","non-dropping-particle":"","parse-names":false,"suffix":""},{"dropping-particle":"","family":"Byrne","given":"Robert A.","non-dropping-particle":"","parse-names":false,"suffix":""},{"dropping-particle":"","family":"Collet","given":"Jean Philippe","non-dropping-particle":"","parse-names":false,"suffix":""},{"dropping-particle":"","family":"Falk","given":"Volkmar","non-dropping-particle":"","parse-names":false,"suffix":""},{"dropping-particle":"","family":"Head","given":"Stuart J.","non-dropping-particle":"","parse-names":false,"suffix":""},{"dropping-particle":"","family":"Jüni","given":"Peter","non-dropping-particle":"","parse-names":false,"suffix":""},{"dropping-particle":"","family":"Kastrati","given":"Adnan","non-dropping-particle":"","parse-names":false,"suffix":""},{"dropping-particle":"","family":"Koller","given":"Akos","non-dropping-particle":"","parse-names":false,"suffix":""},{"dropping-particle":"","family":"Kristensen","given":"Steen D.","non-dropping-particle":"","parse-names":false,"suffix":""},{"dropping-particle":"","family":"Niebauer","given":"Josef","non-dropping-particle":"","parse-names":false,"suffix":""},{"dropping-particle":"","family":"Richter","given":"Dimitrios J.","non-dropping-particle":"","parse-names":false,"suffix":""},{"dropping-particle":"","family":"Seferovic","given":"Petar M.","non-dropping-particle":"","parse-names":false,"suffix":""},{"dropping-particle":"","family":"Sibbing","given":"Dirk","non-dropping-particle":"","parse-names":false,"suffix":""},{"dropping-particle":"","family":"Stefanini","given":"Giulio G.","non-dropping-particle":"","parse-names":false,"suffix":""},{"dropping-particle":"","family":"Windecker","given":"Stephan","non-dropping-particle":"","parse-names":false,"suffix":""},{"dropping-particle":"","family":"Yadav","given":"Rashmi","non-dropping-particle":"","parse-names":false,"suffix":""},{"dropping-particle":"","family":"Zembala","given":"Michael O.","non-dropping-particle":"","parse-names":false,"suffix":""},{"dropping-particle":"","family":"Wijns","given":"William","non-dropping-particle":"","parse-names":false,"suffix":""},{"dropping-particle":"","family":"Glineur","given":"David","non-dropping-particle":"","parse-names":false,"suffix":""},{"dropping-particle":"","family":"Aboyans","given":"Victor","non-dropping-particle":"","parse-names":false,"suffix":""},{"dropping-particle":"","family":"Achenbach","given":"Stephan","non-dropping-particle":"","parse-names":false,"suffix":""},{"dropping-particle":"","family":"Agewall","given":"Stefan","non-dropping-particle":"","parse-names":false,"suffix":""},{"dropping-particle":"","family":"Andreotti","given":"Felicita","non-dropping-particle":"","parse-names":false,"suffix":""},{"dropping-particle":"","family":"Barbato","given":"Emanuele","non-dropping-particle":"","parse-names":false,"suffix":""},{"dropping-particle":"","family":"Baumbach","given":"Andreas","non-dropping-particle":"","parse-names":false,"suffix":""},{"dropping-particle":"","family":"Brophy","given":"James","non-dropping-particle":"","parse-names":false,"suffix":""},{"dropping-particle":"","family":"Bueno","given":"Hcrossed","non-dropping-particle":"","parse-names":false,"suffix":""},{"dropping-particle":"","family":"Calvert","given":"Patrick A.","non-dropping-particle":"","parse-names":false,"suffix":""},{"dropping-particle":"","family":"Capodanno","given":"Davide","non-dropping-particle":"","parse-names":false,"suffix":""},{"dropping-particle":"","family":"Davierwala","given":"Piroze M.","non-dropping-particle":"","parse-names":false,"suffix":""},{"dropping-particle":"","family":"Delgado","given":"Victoria","non-dropping-particle":"","parse-names":false,"suffix":""},{"dropping-particle":"","family":"Dudek","given":"Dariusz","non-dropping-particle":"","parse-names":false,"suffix":""},{"dropping-particle":"","family":"Freemantle","given":"Nick","non-dropping-particle":"","parse-names":false,"suffix":""},{"dropping-particle":"","family":"Funck-Brentano","given":"Christian","non-dropping-particle":"","parse-names":false,"suffix":""},{"dropping-particle":"","family":"Gaemperli","given":"Oliver","non-dropping-particle":"","parse-names":false,"suffix":""},{"dropping-particle":"","family":"Gielen","given":"Stephan","non-dropping-particle":"","parse-names":false,"suffix":""},{"dropping-particle":"","family":"Gilard","given":"Martine","non-dropping-particle":"","parse-names":false,"suffix":""},{"dropping-particle":"","family":"Gorenek","given":"Bulent","non-dropping-particle":"","parse-names":false,"suffix":""},{"dropping-particle":"","family":"Haasenritter","given":"Joerg","non-dropping-particle":"","parse-names":false,"suffix":""},{"dropping-particle":"","family":"Haude","given":"Michael","non-dropping-particle":"","parse-names":false,"suffix":""},{"dropping-particle":"","family":"Ibanez","given":"Borja","non-dropping-particle":"","parse-names":false,"suffix":""},{"dropping-particle":"","family":"Iung","given":"Bernard","non-dropping-particle":"","parse-names":false,"suffix":""},{"dropping-particle":"","family":"Jeppsson","given":"Anders","non-dropping-particle":"","parse-names":false,"suffix":""},{"dropping-particle":"","family":"Katritsis","given":"Demosthenes","non-dropping-particle":"","parse-names":false,"suffix":""},{"dropping-particle":"","family":"Knuuti","given":"Juhani","non-dropping-particle":"","parse-names":false,"suffix":""},{"dropping-particle":"","family":"Kolh","given":"Philippe","non-dropping-particle":"","parse-names":false,"suffix":""},{"dropping-particle":"","family":"Leite-Moreira","given":"Adelino","non-dropping-particle":"","parse-names":false,"suffix":""},{"dropping-particle":"","family":"Lund","given":"Lars H.","non-dropping-particle":"","parse-names":false,"suffix":""},{"dropping-particle":"","family":"Maisano","given":"Francesco","non-dropping-particle":"","parse-names":false,"suffix":""},{"dropping-particle":"","family":"Mehilli","given":"Julinda","non-dropping-particle":"","parse-names":false,"suffix":""},{"dropping-particle":"","family":"Metzler","given":"Bernhard","non-dropping-particle":"","parse-names":false,"suffix":""},{"dropping-particle":"","family":"Montalescot","given":"Gilles","non-dropping-particle":"","parse-names":false,"suffix":""},{"dropping-particle":"","family":"Pagano","given":"Domenico","non-dropping-particle":"","parse-names":false,"suffix":""},{"dropping-particle":"","family":"Petronio","given":"Anna Sonia","non-dropping-particle":"","parse-names":false,"suffix":""},{"dropping-particle":"","family":"Piepoli","given":"Massimo Francesco","non-dropping-particle":"","parse-names":false,"suffix":""},{"dropping-particle":"","family":"Popescu","given":"Bogdan A.","non-dropping-particle":"","parse-names":false,"suffix":""},{"dropping-particle":"","family":"Sádaba","given":"Rafael","non-dropping-particle":"","parse-names":false,"suffix":""},{"dropping-particle":"","family":"Shlyakhto","given":"Evgeny","non-dropping-particle":"","parse-names":false,"suffix":""},{"dropping-particle":"","family":"Silber","given":"Sigmund","non-dropping-particle":"","parse-names":false,"suffix":""},{"dropping-particle":"","family":"Simpson","given":"Iain A.","non-dropping-particle":"","parse-names":false,"suffix":""},{"dropping-particle":"","family":"Sparv","given":"David","non-dropping-particle":"","parse-names":false,"suffix":""},{"dropping-particle":"","family":"Tavilla","given":"Giuseppe","non-dropping-particle":"","parse-names":false,"suffix":""},{"dropping-particle":"","family":"Thiele","given":"Holger","non-dropping-particle":"","parse-names":false,"suffix":""},{"dropping-particle":"","family":"Tousek","given":"Petr","non-dropping-particle":"","parse-names":false,"suffix":""},{"dropping-particle":"","family":"Belle","given":"Eric","non-dropping-particle":"Van","parse-names":false,"suffix":""},{"dropping-particle":"","family":"Vranckx","given":"Pascal","non-dropping-particle":"","parse-names":false,"suffix":""},{"dropping-particle":"","family":"Witkowski","given":"Adam","non-dropping-particle":"","parse-names":false,"suffix":""},{"dropping-particle":"","family":"Zamorano","given":"Jose Luis","non-dropping-particle":"","parse-names":false,"suffix":""},{"dropping-particle":"","family":"Roffi","given":"Marco","non-dropping-particle":"","parse-names":false,"suffix":""}],"container-title":"European Heart Journal","id":"ITEM-1","issue":"2","issued":{"date-parts":[["2019"]]},"page":"87-165","title":"2018 ESC/EACTS Guidelines on myocardial revascularization","type":"article-journal","volume":"40"},"uris":["http://www.mendeley.com/documents/?uuid=744afd12-e305-4f93-8e40-3a9be68d0e4a"]}],"mendeley":{"formattedCitation":"(8)","plainTextFormattedCitation":"(8)","previouslyFormattedCitation":"(8)"},"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8C1720" w:rsidRPr="008C1720">
        <w:rPr>
          <w:rFonts w:ascii="Times New Roman" w:hAnsi="Times New Roman" w:cs="Times New Roman"/>
          <w:noProof/>
          <w:sz w:val="24"/>
          <w:szCs w:val="24"/>
        </w:rPr>
        <w:t>(8)</w:t>
      </w:r>
      <w:r w:rsidR="008D3C49">
        <w:rPr>
          <w:rStyle w:val="FootnoteReference"/>
          <w:rFonts w:ascii="Times New Roman" w:hAnsi="Times New Roman" w:cs="Times New Roman"/>
          <w:sz w:val="24"/>
          <w:szCs w:val="24"/>
        </w:rPr>
        <w:fldChar w:fldCharType="end"/>
      </w:r>
      <w:r w:rsidR="005308D0" w:rsidRPr="00131017">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{"citationItems":[{"id":"ITEM-1","itemData":{"DOI":"10.1161/CIRCINTERVENTIONS.113.000415","ISSN":"19417640","PMID":"23922145","abstract":"Background-The efficacy and safety of drug-eluting stents (DES) in patients with ST-segment-elevation myocardial infarction (STEMI) is controversial. Consequently, DES implantation has a class IIa indication in the American College of Cardiology/American Heart Association and the European Society of Cardiology STEMI guidelines. Methods and Results-PUBMED, EMBASE, and CENTRAL were searched for randomized clinical trials, until March 2013, comparing any of the 5 Food and Drug Administration-approved durable stent and polymer DES (sirolimus eluting stent, paclitaxel eluting stent, everolimus-eluting stent [EES], zotarolimus-eluting stent, and zotarolimus-eluting stent resolute), against each other or bare metal stents (BMS), and enrolling =50 patients with STEMI. Efficacy (target vessel revascularization) and safety (death, myocardial infarction, and stent thrombosis) outcomes at the longest reported followup times were evaluated. Twenty-eight randomized clinical trials with 34 068 patient-years of follow-up on subjects with STEMI fulfilled the inclusion criteria. When compared with BMS (reference rate ratio [RR] of 1), sirolimus eluting stent (RR, 0.46; 95% credibility interval [CrI], 0.36-0.56), paclitaxel eluting stent (RR, 0.69; 95% CrI, 0.53-0.87), and EES (RR, 0.42; 95% CrI, 0.26-0.62) were associated with a statistically significant reduction in rate of target vessel revascularization, with the point estimate for zotarolimus-eluting stent resolute trending in a similar direction. There was no increase in the risk of death, myocardial infarction, or stent thrombosis with any DES compared with BMS. Moreover, EES was associated with a statistically significant reduction in the rate of stent thrombosis when compared with sirolimus eluting stent (RR, 0.38; 95% CrI, 0.21-0.74), paclitaxel eluting stent (RR, 0.39; 95% CrI, 0.21-0.73), and even BMS (RR, 0.42; 95% CrI, 0.23-0.76). There was a 74% probability that EES had the lowest rate of any stent thrombosis when compared with all other stent types (no data on zotarolimus-eluting stent resolute). There was no increase in very late stent thrombosis with EES versus BMS (RR, 0.89; 95% CrI, 0.09-8.67). Conclusions-In patients with STEMI, DES versus BMS was associated with substantial decrease in the risk of target vessel revascularization without compromising safety. EES had the added advantage of substantial reduction in the risk of stent thrombosis when compared with first-generation DES and BMS with no incr…","author":[{"dropping-particle":"","family":"Bangalore","given":"Sripal","non-dropping-particle":"","parse-names":false,"suffix":""},{"dropping-particle":"","family":"Amoroso","given":"Nicholas","non-dropping-particle":"","parse-names":false,"suffix":""},{"dropping-particle":"","family":"Fusaro","given":"Mario","non-dropping-particle":"","parse-names":false,"suffix":""},{"dropping-particle":"","family":"Kumar","given":"Sunil","non-dropping-particle":"","parse-names":false,"suffix":""},{"dropping-particle":"","family":"Feit","given":"Frederick","non-dropping-particle":"","parse-names":false,"suffix":""}],"container-title":"Circulation: Cardiovascular Interventions","id":"ITEM-1","issue":"4","issued":{"date-parts":[["2013"]]},"page":"378-390","title":"Outcomes with various drug-eluting or bare metal stents in patients with st-segment-elevation myocardial infarction: A mixed treatment comparison analysis of trial level data from 34 068 patient-years of follow-up from randomized trials","type":"article-journal","volume":"6"},"uris":["http://www.mendeley.com/documents/?uuid=ae0d9fce-4609-4e3c-a6e5-84243bc12e24"]}],"mendeley":{"formattedCitation":"(19)","plainTextFormattedCitation":"(19)","previouslyFormattedCitation":"(19)"},"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bCs/>
          <w:noProof/>
          <w:sz w:val="24"/>
          <w:szCs w:val="24"/>
          <w:lang w:val="en-US"/>
        </w:rPr>
        <w:t>(19)</w:t>
      </w:r>
      <w:r w:rsidR="008D3C49">
        <w:rPr>
          <w:rStyle w:val="FootnoteReference"/>
          <w:rFonts w:ascii="Times New Roman" w:hAnsi="Times New Roman" w:cs="Times New Roman"/>
          <w:sz w:val="24"/>
          <w:szCs w:val="24"/>
        </w:rPr>
        <w:fldChar w:fldCharType="end"/>
      </w:r>
      <w:r w:rsidR="005308D0" w:rsidRPr="00131017">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{"citationItems":[{"id":"ITEM-1","itemData":{"DOI":"10.1016/j.jacc.2019.09.038","ISSN":"15583597","PMID":"31753202","abstract":"Background: To date, no specific drug-eluting stent (DES) has fully proven its superiority over others in patients with ST-segment elevation myocardial infarction (STEMI) undergoing percutaneous coronary intervention. Objectives: The purpose of this study was to compare the safety and efficacy of coronary artery stents in STEMI patients in a patient-level network meta-analysis. Methods: Eligible studies were dedicated randomized controlled trials comparing different stents in STEMI patients undergoing percutaneous coronary intervention with at least 12 months of clinical follow-up. Of 19 studies identified from the published data, individual patient data were collected in 15 studies with 10,979 patients representing 87.7% of patients in the overall network of evidence. The primary endpoint was the composite of cardiac death, reinfarction, or target lesion revascularization. Results: Overall, 8,487 (77.3%) of 10,979 STEMI patients were male and the mean age was 60.7 years. At a median follow-up of 3 years, compared with bare-metal stents (BMS), patients treated with paclitaxel-, sirolimus-, everolimus-, or biolimus-eluting stents had a significantly lower risk of the primary endpoint (adjusted hazard ratios [HRs]: 0.74 [95% confidence interval (CI): 0.63 to 0.88], 0.65 [95% CI: 0.49 to 0.85], 0.70 [95% CI: 0.53 to 0.91], and 0.66 [95% CI: 0.49 to 0.88], respectively). The risk of primary endpoint was not different between patients treated with BMS and zotarolimus-eluting stents (adjusted HR: 0.83 [95% CI: 0.51 to 1.38]). Among patients treated with DES, no significant difference in the risk of the primary outcome was demonstrated. Treatment with second-generation DES was associated with significantly lower risk of definite or probable stent thrombosis compared with BMS (adjusted HR: 0.61 [95% CI: 0.42 to 0.89]) and first-generation DES (adjusted HR: 0.56 [95% CI: 0.36 to 0.88]). Conclusions: In STEMI patients, DES were superior to BMS with respect to long-term efficacy. No difference in long-term efficacy and safety was observed among specific DES. Second-generation were superior to first-generation DES in reducing stent thrombosis. (Clinical Outcomes After Primary Percutaneous Coronary Intervention [PCI] Using Contemporary Drug-Eluting Stent [DES]: Evidence From the Individual Patient Data Network Meta-Analysis; CRD42018104053)","author":[{"dropping-particle":"","family":"Chichareon","given":"Ply","non-dropping-particle":"","parse-names":false,"suffix":""},{"dropping-particle":"","family":"Modolo","given":"Rodrigo","non-dropping-particle":"","parse-names":false,"suffix":""},{"dropping-particle":"","family":"Collet","given":"Carlos","non-dropping-particle":"","parse-names":false,"suffix":""},{"dropping-particle":"","family":"Tenekecioglu","given":"Erhan","non-dropping-particle":"","parse-names":false,"suffix":""},{"dropping-particle":"","family":"Vink","given":"Maarten A.","non-dropping-particle":"","parse-names":false,"suffix":""},{"dropping-particle":"","family":"Oh","given":"Pyung Chun","non-dropping-particle":"","parse-names":false,"suffix":""},{"dropping-particle":"","family":"Ahn","given":"Jung Min","non-dropping-particle":"","parse-names":false,"suffix":""},{"dropping-particle":"","family":"Musto","given":"Carmine","non-dropping-particle":"","parse-names":false,"suffix":""},{"dropping-particle":"","family":"Díaz de la Llera","given":"Luis S.","non-dropping-particle":"","parse-names":false,"suffix":""},{"dropping-particle":"","family":"Cho","given":"Young Seok","non-dropping-particle":"","parse-names":false,"suffix":""},{"dropping-particle":"","family":"Violini","given":"Roberto","non-dropping-particle":"","parse-names":false,"suffix":""},{"dropping-particle":"","family":"Park","given":"Seung Jung","non-dropping-particle":"","parse-names":false,"suffix":""},{"dropping-particle":"","family":"Suryapranata","given":"Harry","non-dropping-particle":"","parse-names":false,"suffix":""},{"dropping-particle":"","family":"Piek","given":"Jan J.","non-dropping-particle":"","parse-names":false,"suffix":""},{"dropping-particle":"","family":"Winter","given":"Robbert J.","non-dropping-particle":"de","parse-names":false,"suffix":""},{"dropping-particle":"","family":"Wykrzykowska","given":"Joanna J.","non-dropping-particle":"","parse-names":false,"suffix":""},{"dropping-particle":"","family":"Spaulding","given":"Christian","non-dropping-particle":"","parse-names":false,"suffix":""},{"dropping-particle":"","family":"Kang","given":"Woong Chol","non-dropping-particle":"","parse-names":false,"suffix":""},{"dropping-particle":"","family":"Slagboom","given":"Ton","non-dropping-particle":"","parse-names":false,"suffix":""},{"dropping-particle":"","family":"Hofma","given":"Sjoerd H.","non-dropping-particle":"","parse-names":false,"suffix":""},{"dropping-particle":"","family":"Wijnbergen","given":"Inge F.","non-dropping-particle":"","parse-names":false,"suffix":""},{"dropping-particle":"","family":"Lorenzo","given":"Emilio","non-dropping-particle":"Di","parse-names":false,"suffix":""},{"dropping-particle":"","family":"Pijls","given":"Nico H.","non-dropping-particle":"","parse-names":false,"suffix":""},{"dropping-particle":"","family":"Räber","given":"Lorenz","non-dropping-particle":"","parse-names":false,"suffix":""},{"dropping-particle":"","family":"Brugaletta","given":"Salvatore","non-dropping-particle":"","parse-names":false,"suffix":""},{"dropping-particle":"","family":"Sabaté","given":"Manel","non-dropping-particle":"","parse-names":false,"suffix":""},{"dropping-particle":"","family":"Stoll","given":"Hans Peter","non-dropping-particle":"","parse-names":false,"suffix":""},{"dropping-particle":"","family":"Stone","given":"Gregg W.","non-dropping-particle":"","parse-names":false,"suffix":""},{"dropping-particle":"","family":"Windecker","given":"Stephan","non-dropping-particle":"","parse-names":false,"suffix":""},{"dropping-particle":"","family":"Onuma","given":"Yoshinobu","non-dropping-particle":"","parse-names":false,"suffix":""},{"dropping-particle":"","family":"Serruys","given":"Patrick W.","non-dropping-particle":"","parse-names":false,"suffix":""}],"container-title":"Journal of the American College of Cardiology","id":"ITEM-1","issue":"21","issued":{"date-parts":[["2019"]]},"page":"2572-2584","title":"Efficacy and Safety of Stents in ST-Segment Elevation Myocardial Infarction","type":"article-journal","volume":"74"},"uris":["http://www.mendeley.com/documents/?uuid=86a23bb7-1dec-4d25-abf0-7c66e5714d7a"]}],"mendeley":{"formattedCitation":"(20)","plainTextFormattedCitation":"(20)","previouslyFormattedCitation":"(20)"},"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bCs/>
          <w:noProof/>
          <w:sz w:val="24"/>
          <w:szCs w:val="24"/>
          <w:lang w:val="en-US"/>
        </w:rPr>
        <w:t>(20)</w:t>
      </w:r>
      <w:r w:rsidR="008D3C49">
        <w:rPr>
          <w:rStyle w:val="FootnoteReference"/>
          <w:rFonts w:ascii="Times New Roman" w:hAnsi="Times New Roman" w:cs="Times New Roman"/>
          <w:sz w:val="24"/>
          <w:szCs w:val="24"/>
        </w:rPr>
        <w:fldChar w:fldCharType="end"/>
      </w:r>
      <w:r w:rsidR="005308D0" w:rsidRPr="00131017">
        <w:rPr>
          <w:rFonts w:ascii="Times New Roman" w:hAnsi="Times New Roman" w:cs="Times New Roman"/>
          <w:sz w:val="24"/>
          <w:szCs w:val="24"/>
        </w:rPr>
        <w:t xml:space="preserve">. </w:t>
      </w:r>
      <w:r w:rsidR="00652DF3" w:rsidRPr="00131017">
        <w:rPr>
          <w:rFonts w:ascii="Times New Roman" w:hAnsi="Times New Roman" w:cs="Times New Roman"/>
          <w:sz w:val="24"/>
          <w:szCs w:val="24"/>
        </w:rPr>
        <w:t xml:space="preserve">DCB-only angioplasty, </w:t>
      </w:r>
      <w:r w:rsidR="005308D0" w:rsidRPr="00131017">
        <w:rPr>
          <w:rFonts w:ascii="Times New Roman" w:hAnsi="Times New Roman" w:cs="Times New Roman"/>
          <w:sz w:val="24"/>
          <w:szCs w:val="24"/>
        </w:rPr>
        <w:t>an emerging treatment strategy providing local drug de</w:t>
      </w:r>
      <w:r w:rsidR="00131017">
        <w:rPr>
          <w:rFonts w:ascii="Times New Roman" w:hAnsi="Times New Roman" w:cs="Times New Roman"/>
          <w:sz w:val="24"/>
          <w:szCs w:val="24"/>
        </w:rPr>
        <w:t xml:space="preserve">livery </w:t>
      </w:r>
      <w:r w:rsidR="00913814">
        <w:rPr>
          <w:rFonts w:ascii="Times New Roman" w:hAnsi="Times New Roman" w:cs="Times New Roman"/>
          <w:sz w:val="24"/>
          <w:szCs w:val="24"/>
        </w:rPr>
        <w:t xml:space="preserve">to prevent restenosis </w:t>
      </w:r>
      <w:r w:rsidR="00131017">
        <w:rPr>
          <w:rFonts w:ascii="Times New Roman" w:hAnsi="Times New Roman" w:cs="Times New Roman"/>
          <w:sz w:val="24"/>
          <w:szCs w:val="24"/>
        </w:rPr>
        <w:t>without the placement</w:t>
      </w:r>
      <w:r w:rsidR="00652DF3" w:rsidRPr="00131017">
        <w:rPr>
          <w:rFonts w:ascii="Times New Roman" w:hAnsi="Times New Roman" w:cs="Times New Roman"/>
          <w:sz w:val="24"/>
          <w:szCs w:val="24"/>
        </w:rPr>
        <w:t xml:space="preserve"> of a permanent stent, has not been fully evaluated compared to 2</w:t>
      </w:r>
      <w:r w:rsidR="00652DF3" w:rsidRPr="00131017">
        <w:rPr>
          <w:rFonts w:ascii="Times New Roman" w:hAnsi="Times New Roman" w:cs="Times New Roman"/>
          <w:sz w:val="24"/>
          <w:szCs w:val="24"/>
          <w:vertAlign w:val="superscript"/>
        </w:rPr>
        <w:t>nd</w:t>
      </w:r>
      <w:r w:rsidR="00652DF3" w:rsidRPr="00131017">
        <w:rPr>
          <w:rFonts w:ascii="Times New Roman" w:hAnsi="Times New Roman" w:cs="Times New Roman"/>
          <w:sz w:val="24"/>
          <w:szCs w:val="24"/>
        </w:rPr>
        <w:t xml:space="preserve"> generation DES.  The recent REVELATION trial demonstrated </w:t>
      </w:r>
      <w:r w:rsidR="008130B0">
        <w:rPr>
          <w:rFonts w:ascii="Times New Roman" w:hAnsi="Times New Roman" w:cs="Times New Roman"/>
          <w:sz w:val="24"/>
          <w:szCs w:val="24"/>
        </w:rPr>
        <w:t xml:space="preserve">safety and </w:t>
      </w:r>
      <w:r w:rsidR="00652DF3" w:rsidRPr="00131017">
        <w:rPr>
          <w:rFonts w:ascii="Times New Roman" w:hAnsi="Times New Roman" w:cs="Times New Roman"/>
          <w:sz w:val="24"/>
          <w:szCs w:val="24"/>
        </w:rPr>
        <w:t xml:space="preserve">efficacy of DCB compared to DES for STEMI in terms of fractional flow reserve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{"citationItems":[{"id":"ITEM-1","itemData":{"DOI":"10.1016/j.jcin.2019.04.016","ISSN":"18767605","abstract":"Objectives: This study sought to assess the efficacy and safety of a drug-coated balloon (DCB) strategy versus drug-eluting stent (DES) in primary percutaneous coronary intervention for ST-segment elevation myocardial infarction (STEMI). Background: In primary percutaneous coronary intervention for STEMI, stenting has proved to be beneficial with regard to repeat revascularization, but not recurrent myocardial infarction or death, compared with balloon angioplasty alone. A strategy of DCB angioplasty without stenting might abolish the potential disadvantages of stent implantation while reducing the probability of restenosis observed in plain old balloon angioplasty. Methods: In the prospective, randomized, single-center REVELATION trial, we compared DCB with DES in patients presenting with STEMI. Patients with a new, nonseverely calcified culprit lesion in a native coronary artery and a residual stenosis of &lt;50% after pre-dilatation were randomized to treatment with a DCB or DES. The primary endpoint was fractional flow reserve at 9 months, allowing for a functional measurement of the infarct-related lesion. Results: A total of 120 patients were included. At 9 months after enrolment, the mean fractional flow reserve value was 0.92 ± 0.05 in the DCB group (n = 35) and 0.91 ± 0.06 in the DES group (n = 38) (p = 0.27). One abrupt vessel closure requiring treatment occurred after treatment with DCB. Up to 9-months follow-up, 2 patients required nonurgent target lesion revascularization (1 in each group). Conclusions: In the setting of STEMI, the DCB strategy was noninferior to DES in terms of fractional flow reserve assessed at 9 months. Furthermore, it seemed to be a safe and feasible strategy. (Revascularization With Paclitaxel-Coated Balloon Angioplasty Versus Drug-Eluting Stenting in Acute Myocardial Infarction [REVELATION]; NCT02219802)","author":[{"dropping-particle":"","family":"Vos","given":"Nicola S.","non-dropping-particle":"","parse-names":false,"suffix":""},{"dropping-particle":"","family":"Fagel","given":"Nick D.","non-dropping-particle":"","parse-names":false,"suffix":""},{"dropping-particle":"","family":"Amoroso","given":"Giovanni","non-dropping-particle":"","parse-names":false,"suffix":""},{"dropping-particle":"","family":"Herrman","given":"Jean Paul R.","non-dropping-particle":"","parse-names":false,"suffix":""},{"dropping-particle":"","family":"Patterson","given":"Mark S.","non-dropping-particle":"","parse-names":false,"suffix":""},{"dropping-particle":"","family":"Piers","given":"Lieuwe H.","non-dropping-particle":"","parse-names":false,"suffix":""},{"dropping-particle":"","family":"Schaaf","given":"René J.","non-dropping-particle":"van der","parse-names":false,"suffix":""},{"dropping-particle":"","family":"Slagboom","given":"Ton","non-dropping-particle":"","parse-names":false,"suffix":""},{"dropping-particle":"","family":"Vink","given":"Maarten A.","non-dropping-particle":"","parse-names":false,"suffix":""}],"container-title":"JACC: Cardiovascular Interventions","id":"ITEM-1","issue":"17","issued":{"date-parts":[["2019"]]},"page":"1691-1699","title":"Paclitaxel-Coated Balloon Angioplasty Versus Drug-Eluting Stent in Acute Myocardial Infarction: The REVELATION Randomized Trial","type":"article-journal","volume":"12"},"uris":["http://www.mendeley.com/documents/?uuid=8d99bab3-3f34-4536-b840-1428309d9581"]}],"mendeley":{"formattedCitation":"(21)","plainTextFormattedCitation":"(21)","previouslyFormattedCitation":"(21)"},"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bCs/>
          <w:noProof/>
          <w:sz w:val="24"/>
          <w:szCs w:val="24"/>
          <w:lang w:val="en-US"/>
        </w:rPr>
        <w:t>(21)</w:t>
      </w:r>
      <w:r w:rsidR="008D3C49">
        <w:rPr>
          <w:rStyle w:val="FootnoteReference"/>
          <w:rFonts w:ascii="Times New Roman" w:hAnsi="Times New Roman" w:cs="Times New Roman"/>
          <w:sz w:val="24"/>
          <w:szCs w:val="24"/>
        </w:rPr>
        <w:fldChar w:fldCharType="end"/>
      </w:r>
      <w:r w:rsidR="00131017">
        <w:rPr>
          <w:rFonts w:ascii="Times New Roman" w:hAnsi="Times New Roman" w:cs="Times New Roman"/>
          <w:sz w:val="24"/>
          <w:szCs w:val="24"/>
        </w:rPr>
        <w:t>. In addition, t</w:t>
      </w:r>
      <w:r w:rsidR="00652DF3" w:rsidRPr="00131017">
        <w:rPr>
          <w:rFonts w:ascii="Times New Roman" w:hAnsi="Times New Roman" w:cs="Times New Roman"/>
          <w:sz w:val="24"/>
          <w:szCs w:val="24"/>
        </w:rPr>
        <w:t>here are only few, small studies that have assessed safety of DCB compared to 2</w:t>
      </w:r>
      <w:r w:rsidR="00652DF3" w:rsidRPr="00131017">
        <w:rPr>
          <w:rFonts w:ascii="Times New Roman" w:hAnsi="Times New Roman" w:cs="Times New Roman"/>
          <w:sz w:val="24"/>
          <w:szCs w:val="24"/>
          <w:vertAlign w:val="superscript"/>
        </w:rPr>
        <w:t>nd</w:t>
      </w:r>
      <w:r w:rsidR="00652DF3" w:rsidRPr="00131017">
        <w:rPr>
          <w:rFonts w:ascii="Times New Roman" w:hAnsi="Times New Roman" w:cs="Times New Roman"/>
          <w:sz w:val="24"/>
          <w:szCs w:val="24"/>
        </w:rPr>
        <w:t xml:space="preserve"> generation DES, demonstrating that DCB-only strategy is feasible in STEMI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10.1186/s13019-021-01525-8","ISBN":"1301902101","author":[{"dropping-particle":"","family":"Teacher","given":"Little","non-dropping-particle":"","parse-names":false,"suffix":""},{"dropping-particle":"","family":"Yellow","given":"Damien","non-dropping-particle":"","parse-names":false,"suffix":""},{"dropping-particle":"","family":"King","given":"Asaka","non-dropping-particle":"","parse-names":false,"suffix":""},{"dropping-particle":"","family":"Zhang","given":"Jin Chun","non-dropping-particle":"","parse-names":false,"suffix":""},{"dropping-particle":"","family":"Liu","given":"Li Hongqiang","non-dropping-particle":"","parse-names":false,"suffix":""},{"dropping-particle":"","family":"Road","given":"Yingmin","non-dropping-particle":"","parse-names":false,"suffix":""}],"container-title":"Journal of Cardiothoracic Surgery","id":"ITEM-1","issue":"1","issued":{"date-parts":[["2021"]]},"page":"1-7","publisher":"Journal of Cardiothoracic Surgery","title":"Study on the safety and effectiveness of drug-coated balloons in patients with acute myocardial infarction","type":"article-journal","volume":"16"},"uris":["http://www.mendeley.com/documents/?uuid=967f3b83-5504-430e-a098-bdf1fb70cd89"]}],"mendeley":{"formattedCitation":"(12)","plainTextFormattedCitation":"(12)","previouslyFormattedCitation":"(12)"},"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(12)</w:t>
      </w:r>
      <w:r w:rsidR="008D3C49">
        <w:rPr>
          <w:rStyle w:val="FootnoteReference"/>
          <w:rFonts w:ascii="Times New Roman" w:hAnsi="Times New Roman" w:cs="Times New Roman"/>
          <w:sz w:val="24"/>
          <w:szCs w:val="24"/>
        </w:rPr>
        <w:fldChar w:fldCharType="end"/>
      </w:r>
      <w:r w:rsidR="00652DF3" w:rsidRPr="00131017">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{"citationItems":[{"id":"ITEM-1","itemData":{"DOI":"10.1002/ccd.26060","ISSN":"1522726X","PMID":"26119971","abstract":"Objective To evaluate a paclitaxel drug-eluting balloon (DEB) only strategy in primary percutaneous coronary intervention (PPCI), aiming at a comparison with bare metal stent (BMS) alone, DEB followed by BMS, and paclitaxel eluting stent (PES), as assessed in the randomized Drug Eluting Balloon in Acute ST-Segment Elevation Myocardial Infarction (DEB-AMI) trial. Background DEB-only seems an attractive strategy in PPCI, as it obviates the risk of stent thrombosis. Methods This study is a prospective registry with the same inclusion/exclusion criteria used in the DEB-AMI trial, as it constitutes the fourth, nonrandomized, treatment arm of this trial. Patients presenting with ST-elevation myocardial infarction were allocated to DEB-only (DIOR II, Eurocor GmbH, Bonn, Germany) after successful thrombus aspiration and predilatation. Primary endpoint was 6-month angiographic in-balloon/stent late-luminal loss (LLL). Secondary endpoints were in-balloon/stent binary restenosis and major adverse cardiac events (MACE: death, myocardial infarction, target-vessel revascularization). Results Forty patients underwent PPCI by DEB-only. Procedural success was achieved in 97.5% with bail-out stenting required in 10.0% of procedures. In DEB-only, LLL was 0.51±0.59 mm as compared to 0.74±0.57 mm in BMS (P=0.44), 0.64±0.56 mm in DEB+BMS (P=0.88) and 0.21±0.32 mm in PES (P&lt;0.01); in-balloon/stent binary restenosis rates were 22.2%, 23.8% (P=0.67), 28.6% (P=0.97), and 4.5% (P=0.07), respectively; and MACE rates were 17.5%, 23.5% (P=0.20), 20.0% (P=0.26), and 4.1% (P=0.90), respectively. No acute or late thrombotic events occurred in the DEB-only group. Conclusions PPCI by DEB-only in selected patients yielded an angiographic outcome comparable to BMS alone and DEB followed by BMS. PES proved angiographic superiority to DEB-only. DEB-only is therefore a potential treatment alternative during PPCI in patients with contra-indications to drug-eluting stents.","author":[{"dropping-particle":"","family":"Nijhoff","given":"Freek","non-dropping-particle":"","parse-names":false,"suffix":""},{"dropping-particle":"","family":"Agostoni","given":"Pierfrancesco","non-dropping-particle":"","parse-names":false,"suffix":""},{"dropping-particle":"","family":"Belkacemi","given":"Anouar","non-dropping-particle":"","parse-names":false,"suffix":""},{"dropping-particle":"","family":"Nathoe","given":"Hendrik M.","non-dropping-particle":"","parse-names":false,"suffix":""},{"dropping-particle":"","family":"Voskuil","given":"Michiel","non-dropping-particle":"","parse-names":false,"suffix":""},{"dropping-particle":"","family":"Samim","given":"Mariam","non-dropping-particle":"","parse-names":false,"suffix":""},{"dropping-particle":"","family":"Doevendans","given":"Pieter A.","non-dropping-particle":"","parse-names":false,"suffix":""},{"dropping-particle":"","family":"Stella","given":"Pieter R.","non-dropping-particle":"","parse-names":false,"suffix":""}],"container-title":"Catheterization and Cardiovascular Interventions","id":"ITEM-1","issued":{"date-parts":[["2015"]]},"page":"S34-S44","title":"Primary percutaneous coronary intervention by drug-eluting balloon angioplasty: The nonrandomized fourth arm of the DEB-AMI (drug-eluting balloon in ST-segment elevation myocardial infarction) trial","type":"article-journal","volume":"86"},"uris":["http://www.mendeley.com/documents/?uuid=9601f881-8661-49f6-9b96-e0385bc70fc2"]}],"mendeley":{"formattedCitation":"(13)","plainTextFormattedCitation":"(13)","previouslyFormattedCitation":"(13)"},"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(13)</w:t>
      </w:r>
      <w:r w:rsidR="008D3C49">
        <w:rPr>
          <w:rStyle w:val="FootnoteReference"/>
          <w:rFonts w:ascii="Times New Roman" w:hAnsi="Times New Roman" w:cs="Times New Roman"/>
          <w:sz w:val="24"/>
          <w:szCs w:val="24"/>
        </w:rPr>
        <w:fldChar w:fldCharType="end"/>
      </w:r>
      <w:r w:rsidR="00652DF3" w:rsidRPr="00131017">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{"citationItems":[{"id":"ITEM-1","itemData":{"DOI":"10.1016/j.amjms.2017.07.005","ISSN":"15382990","PMID":"29208251","abstract":"Background: Drug-eluting stents (DES) represent a significant evolution in the treatment of patients with acute myocardial infarction with ST elevation. However, stent-related adverse events have led to an introduction of drug-coated balloons (DCB) applied particularly to bifurcation lesions, in-stent restenosis and small vessel disease. The aim of this study was to determine whether a DCB-only strategy has a similar safety profile and equal angiographic and clinical outcomes to DES implantation in primary percutaneous coronary intervention (pPCI). Materials and Methods: Seventy-five patients with acute myocardial infarction with ST elevation were randomized into DES and DCB groups of 37 and 38 patients, respectively. The study end-points were major adverse cardiac events and late lumen loss during the 6 months following the pPCI. Results: Reinfarction occurred in 5.4% of patients in the DES and 5.3% of patients in the DCB group after 1 month (risk ratio = 1.03, 95% CI [0.15-6.91], P = 0.98). After 6 months, major adverse cardiac events were reported in 5.4% of patients in the DES group and none in the DCB group (risk ratio = 5.13, 95% CI [0.25-103.42], P = 0.29). Late lumen loss in the DES group was 0.10 ± 0.19 mm and −0.09 ± 0.09 mm in the DCB group (P &lt; 0.05). Conclusions: A DCB-only strategy is safe and feasible in the pPCI setting and showed good clinical and angiographic outcomes in a 6-month follow-up period.","author":[{"dropping-particle":"","family":"Gobić","given":"David","non-dropping-particle":"","parse-names":false,"suffix":""},{"dropping-particle":"","family":"Tomulić","given":"Vjekoslav","non-dropping-particle":"","parse-names":false,"suffix":""},{"dropping-particle":"","family":"Lulić","given":"Davorka","non-dropping-particle":"","parse-names":false,"suffix":""},{"dropping-particle":"","family":"Židan","given":"David","non-dropping-particle":"","parse-names":false,"suffix":""},{"dropping-particle":"","family":"Brusich","given":"Sandro","non-dropping-particle":"","parse-names":false,"suffix":""},{"dropping-particle":"","family":"Jakljević","given":"Tomislav","non-dropping-particle":"","parse-names":false,"suffix":""},{"dropping-particle":"","family":"Zaputović","given":"Luka","non-dropping-particle":"","parse-names":false,"suffix":""}],"container-title":"American Journal of the Medical Sciences","id":"ITEM-1","issue":"6","issued":{"date-parts":[["2017"]]},"page":"553-560","publisher":"Elsevier","title":"Drug-Coated Balloon Versus Drug-Eluting Stent in Primary Percutaneous Coronary Intervention: A Feasibility Study","type":"article-journal","volume":"354"},"uris":["http://www.mendeley.com/documents/?uuid=e4dab6e3-3741-4d3a-b1af-92ac72c78865"]}],"mendeley":{"formattedCitation":"(22)","plainTextFormattedCitation":"(22)","previouslyFormattedCitation":"(22)"},"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(22)</w:t>
      </w:r>
      <w:r w:rsidR="008D3C49">
        <w:rPr>
          <w:rStyle w:val="FootnoteReference"/>
          <w:rFonts w:ascii="Times New Roman" w:hAnsi="Times New Roman" w:cs="Times New Roman"/>
          <w:sz w:val="24"/>
          <w:szCs w:val="24"/>
        </w:rPr>
        <w:fldChar w:fldCharType="end"/>
      </w:r>
      <w:r w:rsidR="00652DF3" w:rsidRPr="00131017">
        <w:rPr>
          <w:rFonts w:ascii="Times New Roman" w:hAnsi="Times New Roman" w:cs="Times New Roman"/>
          <w:sz w:val="24"/>
          <w:szCs w:val="24"/>
        </w:rPr>
        <w:t xml:space="preserve">. </w:t>
      </w:r>
      <w:r w:rsidR="00300A5F">
        <w:rPr>
          <w:rFonts w:ascii="Times New Roman" w:hAnsi="Times New Roman" w:cs="Times New Roman"/>
          <w:sz w:val="24"/>
          <w:szCs w:val="24"/>
        </w:rPr>
        <w:t>This is the largest analysis</w:t>
      </w:r>
      <w:r w:rsidR="0072214F">
        <w:rPr>
          <w:rFonts w:ascii="Times New Roman" w:hAnsi="Times New Roman" w:cs="Times New Roman"/>
          <w:sz w:val="24"/>
          <w:szCs w:val="24"/>
        </w:rPr>
        <w:t xml:space="preserve"> reporting on the most relevant, hard endpoint of all-cause mortality and also</w:t>
      </w:r>
      <w:r w:rsidR="00740101">
        <w:rPr>
          <w:rFonts w:ascii="Times New Roman" w:hAnsi="Times New Roman" w:cs="Times New Roman"/>
          <w:sz w:val="24"/>
          <w:szCs w:val="24"/>
        </w:rPr>
        <w:t xml:space="preserve"> all </w:t>
      </w:r>
      <w:r w:rsidR="004D16C8">
        <w:rPr>
          <w:rFonts w:ascii="Times New Roman" w:hAnsi="Times New Roman" w:cs="Times New Roman"/>
          <w:sz w:val="24"/>
          <w:szCs w:val="24"/>
        </w:rPr>
        <w:t>net adverse cardiac events</w:t>
      </w:r>
      <w:r w:rsidR="00740101">
        <w:rPr>
          <w:rFonts w:ascii="Times New Roman" w:hAnsi="Times New Roman" w:cs="Times New Roman"/>
          <w:sz w:val="24"/>
          <w:szCs w:val="24"/>
        </w:rPr>
        <w:t xml:space="preserve"> including unplanned TLR.</w:t>
      </w:r>
    </w:p>
    <w:p w14:paraId="4C927032" w14:textId="10D86D0D" w:rsidR="00F97243" w:rsidRDefault="00300A5F" w:rsidP="00943677">
      <w:pPr>
        <w:spacing w:line="480" w:lineRule="auto"/>
        <w:jc w:val="both"/>
        <w:rPr>
          <w:rFonts w:ascii="Times New Roman" w:hAnsi="Times New Roman" w:cs="Times New Roman"/>
          <w:sz w:val="24"/>
          <w:szCs w:val="24"/>
        </w:rPr>
      </w:pPr>
      <w:r>
        <w:rPr>
          <w:rFonts w:ascii="Times New Roman" w:hAnsi="Times New Roman" w:cs="Times New Roman"/>
          <w:sz w:val="24"/>
          <w:szCs w:val="24"/>
        </w:rPr>
        <w:t>We have</w:t>
      </w:r>
      <w:r w:rsidR="00F9749A">
        <w:rPr>
          <w:rFonts w:ascii="Times New Roman" w:hAnsi="Times New Roman" w:cs="Times New Roman"/>
          <w:sz w:val="24"/>
          <w:szCs w:val="24"/>
        </w:rPr>
        <w:t xml:space="preserve"> demonstrated that DCB-only angioplasty is safe in patients with STEMI and de novo disease compared to 2</w:t>
      </w:r>
      <w:r w:rsidR="00F9749A" w:rsidRPr="00F9749A">
        <w:rPr>
          <w:rFonts w:ascii="Times New Roman" w:hAnsi="Times New Roman" w:cs="Times New Roman"/>
          <w:sz w:val="24"/>
          <w:szCs w:val="24"/>
          <w:vertAlign w:val="superscript"/>
        </w:rPr>
        <w:t>nd</w:t>
      </w:r>
      <w:r w:rsidR="00F9749A">
        <w:rPr>
          <w:rFonts w:ascii="Times New Roman" w:hAnsi="Times New Roman" w:cs="Times New Roman"/>
          <w:sz w:val="24"/>
          <w:szCs w:val="24"/>
        </w:rPr>
        <w:t xml:space="preserve"> generation DES. In our institution, over the last </w:t>
      </w:r>
      <w:r w:rsidR="00EC0C5D">
        <w:rPr>
          <w:rFonts w:ascii="Times New Roman" w:hAnsi="Times New Roman" w:cs="Times New Roman"/>
          <w:sz w:val="24"/>
          <w:szCs w:val="24"/>
        </w:rPr>
        <w:t>six</w:t>
      </w:r>
      <w:r w:rsidR="00F9749A">
        <w:rPr>
          <w:rFonts w:ascii="Times New Roman" w:hAnsi="Times New Roman" w:cs="Times New Roman"/>
          <w:sz w:val="24"/>
          <w:szCs w:val="24"/>
        </w:rPr>
        <w:t xml:space="preserve"> years a</w:t>
      </w:r>
      <w:r w:rsidR="00C921C5">
        <w:rPr>
          <w:rFonts w:ascii="Times New Roman" w:hAnsi="Times New Roman" w:cs="Times New Roman"/>
          <w:sz w:val="24"/>
          <w:szCs w:val="24"/>
        </w:rPr>
        <w:t xml:space="preserve"> comparable number of patients with first presentation of STEMI due to de novo coronary artery disease were treated with DCB-only strategy and DES-only strategy, while at the same time, the number of patients treated with both DCB and DES remained low. </w:t>
      </w:r>
      <w:r w:rsidR="00D14D88">
        <w:rPr>
          <w:rFonts w:ascii="Times New Roman" w:hAnsi="Times New Roman" w:cs="Times New Roman"/>
          <w:sz w:val="24"/>
          <w:szCs w:val="24"/>
        </w:rPr>
        <w:t>In the short term, DCB-only angioplasty appears safe with no difference in in-hospital outcomes and reassuringly no cases of acute vessel closure. Furthermore, t</w:t>
      </w:r>
      <w:r w:rsidR="00F9749A">
        <w:rPr>
          <w:rFonts w:ascii="Times New Roman" w:hAnsi="Times New Roman" w:cs="Times New Roman"/>
          <w:sz w:val="24"/>
          <w:szCs w:val="24"/>
        </w:rPr>
        <w:t>here was no difference in mortality</w:t>
      </w:r>
      <w:r w:rsidR="00C11D92">
        <w:rPr>
          <w:rFonts w:ascii="Times New Roman" w:hAnsi="Times New Roman" w:cs="Times New Roman"/>
          <w:sz w:val="24"/>
          <w:szCs w:val="24"/>
        </w:rPr>
        <w:t xml:space="preserve"> or any of the </w:t>
      </w:r>
      <w:r w:rsidR="004D16C8">
        <w:rPr>
          <w:rFonts w:ascii="Times New Roman" w:hAnsi="Times New Roman" w:cs="Times New Roman"/>
          <w:sz w:val="24"/>
          <w:szCs w:val="24"/>
        </w:rPr>
        <w:t xml:space="preserve">net adverse cardiac events </w:t>
      </w:r>
      <w:r w:rsidR="00C11D92">
        <w:rPr>
          <w:rFonts w:ascii="Times New Roman" w:hAnsi="Times New Roman" w:cs="Times New Roman"/>
          <w:sz w:val="24"/>
          <w:szCs w:val="24"/>
        </w:rPr>
        <w:t>including unplanned TLR,</w:t>
      </w:r>
      <w:r w:rsidR="00F9749A">
        <w:rPr>
          <w:rFonts w:ascii="Times New Roman" w:hAnsi="Times New Roman" w:cs="Times New Roman"/>
          <w:sz w:val="24"/>
          <w:szCs w:val="24"/>
        </w:rPr>
        <w:t xml:space="preserve"> </w:t>
      </w:r>
      <w:r w:rsidR="000E3F57">
        <w:rPr>
          <w:rFonts w:ascii="Times New Roman" w:hAnsi="Times New Roman" w:cs="Times New Roman"/>
          <w:sz w:val="24"/>
          <w:szCs w:val="24"/>
        </w:rPr>
        <w:t xml:space="preserve">after </w:t>
      </w:r>
      <w:r w:rsidR="00E5645F">
        <w:rPr>
          <w:rFonts w:ascii="Times New Roman" w:hAnsi="Times New Roman" w:cs="Times New Roman"/>
          <w:sz w:val="24"/>
          <w:szCs w:val="24"/>
        </w:rPr>
        <w:t>&gt;3</w:t>
      </w:r>
      <w:r w:rsidR="00C921C5">
        <w:rPr>
          <w:rFonts w:ascii="Times New Roman" w:hAnsi="Times New Roman" w:cs="Times New Roman"/>
          <w:sz w:val="24"/>
          <w:szCs w:val="24"/>
        </w:rPr>
        <w:t xml:space="preserve"> years</w:t>
      </w:r>
      <w:r w:rsidR="000E3F57">
        <w:rPr>
          <w:rFonts w:ascii="Times New Roman" w:hAnsi="Times New Roman" w:cs="Times New Roman"/>
          <w:sz w:val="24"/>
          <w:szCs w:val="24"/>
        </w:rPr>
        <w:t xml:space="preserve"> (median) follow up. </w:t>
      </w:r>
      <w:r w:rsidR="00F45DC0">
        <w:rPr>
          <w:rFonts w:ascii="Times New Roman" w:hAnsi="Times New Roman" w:cs="Times New Roman"/>
          <w:sz w:val="24"/>
          <w:szCs w:val="24"/>
        </w:rPr>
        <w:t xml:space="preserve">These </w:t>
      </w:r>
      <w:r w:rsidR="000E3F57">
        <w:rPr>
          <w:rFonts w:ascii="Times New Roman" w:hAnsi="Times New Roman" w:cs="Times New Roman"/>
          <w:sz w:val="24"/>
          <w:szCs w:val="24"/>
        </w:rPr>
        <w:t xml:space="preserve">results were </w:t>
      </w:r>
      <w:r w:rsidR="0048712F">
        <w:rPr>
          <w:rFonts w:ascii="Times New Roman" w:hAnsi="Times New Roman" w:cs="Times New Roman"/>
          <w:sz w:val="24"/>
          <w:szCs w:val="24"/>
        </w:rPr>
        <w:t xml:space="preserve">similar </w:t>
      </w:r>
      <w:r w:rsidR="000E3F57">
        <w:rPr>
          <w:rFonts w:ascii="Times New Roman" w:hAnsi="Times New Roman" w:cs="Times New Roman"/>
          <w:sz w:val="24"/>
          <w:szCs w:val="24"/>
        </w:rPr>
        <w:t>following propensity score matched analysis</w:t>
      </w:r>
      <w:r w:rsidR="00F45DC0">
        <w:rPr>
          <w:rFonts w:ascii="Times New Roman" w:hAnsi="Times New Roman" w:cs="Times New Roman"/>
          <w:sz w:val="24"/>
          <w:szCs w:val="24"/>
        </w:rPr>
        <w:t xml:space="preserve"> and consistent with previous smaller studies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10.1186/s13019-021-01525-8","ISBN":"1301902101","author":[{"dropping-particle":"","family":"Teacher","given":"Little","non-dropping-particle":"","parse-names":false,"suffix":""},{"dropping-particle":"","family":"Yellow","given":"Damien","non-dropping-particle":"","parse-names":false,"suffix":""},{"dropping-particle":"","family":"King","given":"Asaka","non-dropping-particle":"","parse-names":false,"suffix":""},{"dropping-particle":"","family":"Zhang","given":"Jin Chun","non-dropping-particle":"","parse-names":false,"suffix":""},{"dropping-particle":"","family":"Liu","given":"Li Hongqiang","non-dropping-particle":"","parse-names":false,"suffix":""},{"dropping-particle":"","family":"Road","given":"Yingmin","non-dropping-particle":"","parse-names":false,"suffix":""}],"container-title":"Journal of Cardiothoracic Surgery","id":"ITEM-1","issue":"1","issued":{"date-parts":[["2021"]]},"page":"1-7","publisher":"Journal of Cardiothoracic Surgery","title":"Study on the safety and effectiveness of drug-coated balloons in patients with acute myocardial infarction","type":"article-journal","volume":"16"},"uris":["http://www.mendeley.com/documents/?uuid=967f3b83-5504-430e-a098-bdf1fb70cd89"]}],"mendeley":{"formattedCitation":"(12)","plainTextFormattedCitation":"(12)","previouslyFormattedCitation":"(12)"},"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(12)</w:t>
      </w:r>
      <w:r w:rsidR="008D3C49">
        <w:rPr>
          <w:rStyle w:val="FootnoteReference"/>
          <w:rFonts w:ascii="Times New Roman" w:hAnsi="Times New Roman" w:cs="Times New Roman"/>
          <w:sz w:val="24"/>
          <w:szCs w:val="24"/>
        </w:rPr>
        <w:fldChar w:fldCharType="end"/>
      </w:r>
      <w:r w:rsidR="00F45DC0">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{"citationItems":[{"id":"ITEM-1","itemData":{"DOI":"10.1002/ccd.26060","ISSN":"1522726X","PMID":"26119971","abstract":"Objective To evaluate a paclitaxel drug-eluting balloon (DEB) only strategy in primary percutaneous coronary intervention (PPCI), aiming at a comparison with bare metal stent (BMS) alone, DEB followed by BMS, and paclitaxel eluting stent (PES), as assessed in the randomized Drug Eluting Balloon in Acute ST-Segment Elevation Myocardial Infarction (DEB-AMI) trial. Background DEB-only seems an attractive strategy in PPCI, as it obviates the risk of stent thrombosis. Methods This study is a prospective registry with the same inclusion/exclusion criteria used in the DEB-AMI trial, as it constitutes the fourth, nonrandomized, treatment arm of this trial. Patients presenting with ST-elevation myocardial infarction were allocated to DEB-only (DIOR II, Eurocor GmbH, Bonn, Germany) after successful thrombus aspiration and predilatation. Primary endpoint was 6-month angiographic in-balloon/stent late-luminal loss (LLL). Secondary endpoints were in-balloon/stent binary restenosis and major adverse cardiac events (MACE: death, myocardial infarction, target-vessel revascularization). Results Forty patients underwent PPCI by DEB-only. Procedural success was achieved in 97.5% with bail-out stenting required in 10.0% of procedures. In DEB-only, LLL was 0.51±0.59 mm as compared to 0.74±0.57 mm in BMS (P=0.44), 0.64±0.56 mm in DEB+BMS (P=0.88) and 0.21±0.32 mm in PES (P&lt;0.01); in-balloon/stent binary restenosis rates were 22.2%, 23.8% (P=0.67), 28.6% (P=0.97), and 4.5% (P=0.07), respectively; and MACE rates were 17.5%, 23.5% (P=0.20), 20.0% (P=0.26), and 4.1% (P=0.90), respectively. No acute or late thrombotic events occurred in the DEB-only group. Conclusions PPCI by DEB-only in selected patients yielded an angiographic outcome comparable to BMS alone and DEB followed by BMS. PES proved angiographic superiority to DEB-only. DEB-only is therefore a potential treatment alternative during PPCI in patients with contra-indications to drug-eluting stents.","author":[{"dropping-particle":"","family":"Nijhoff","given":"Freek","non-dropping-particle":"","parse-names":false,"suffix":""},{"dropping-particle":"","family":"Agostoni","given":"Pierfrancesco","non-dropping-particle":"","parse-names":false,"suffix":""},{"dropping-particle":"","family":"Belkacemi","given":"Anouar","non-dropping-particle":"","parse-names":false,"suffix":""},{"dropping-particle":"","family":"Nathoe","given":"Hendrik M.","non-dropping-particle":"","parse-names":false,"suffix":""},{"dropping-particle":"","family":"Voskuil","given":"Michiel","non-dropping-particle":"","parse-names":false,"suffix":""},{"dropping-particle":"","family":"Samim","given":"Mariam","non-dropping-particle":"","parse-names":false,"suffix":""},{"dropping-particle":"","family":"Doevendans","given":"Pieter A.","non-dropping-particle":"","parse-names":false,"suffix":""},{"dropping-particle":"","family":"Stella","given":"Pieter R.","non-dropping-particle":"","parse-names":false,"suffix":""}],"container-title":"Catheterization and Cardiovascular Interventions","id":"ITEM-1","issued":{"date-parts":[["2015"]]},"page":"S34-S44","title":"Primary percutaneous coronary intervention by drug-eluting balloon angioplasty: The nonrandomized fourth arm of the DEB-AMI (drug-eluting balloon in ST-segment elevation myocardial infarction) trial","type":"article-journal","volume":"86"},"uris":["http://www.mendeley.com/documents/?uuid=9601f881-8661-49f6-9b96-e0385bc70fc2"]}],"mendeley":{"formattedCitation":"(13)","plainTextFormattedCitation":"(13)","previouslyFormattedCitation":"(13)"},"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(13)</w:t>
      </w:r>
      <w:r w:rsidR="008D3C49">
        <w:rPr>
          <w:rStyle w:val="FootnoteReference"/>
          <w:rFonts w:ascii="Times New Roman" w:hAnsi="Times New Roman" w:cs="Times New Roman"/>
          <w:sz w:val="24"/>
          <w:szCs w:val="24"/>
        </w:rPr>
        <w:fldChar w:fldCharType="end"/>
      </w:r>
      <w:r w:rsidR="00F45DC0">
        <w:rPr>
          <w:rFonts w:ascii="Times New Roman" w:hAnsi="Times New Roman" w:cs="Times New Roman"/>
          <w:sz w:val="24"/>
          <w:szCs w:val="24"/>
        </w:rPr>
        <w:t xml:space="preserve">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{"citationItems":[{"id":"ITEM-1","itemData":{"DOI":"10.1016/j.amjms.2017.07.005","ISSN":"15382990","PMID":"29208251","abstract":"Background: Drug-eluting stents (DES) represent a significant evolution in the treatment of patients with acute myocardial infarction with ST elevation. However, stent-related adverse events have led to an introduction of drug-coated balloons (DCB) applied particularly to bifurcation lesions, in-stent restenosis and small vessel disease. The aim of this study was to determine whether a DCB-only strategy has a similar safety profile and equal angiographic and clinical outcomes to DES implantation in primary percutaneous coronary intervention (pPCI). Materials and Methods: Seventy-five patients with acute myocardial infarction with ST elevation were randomized into DES and DCB groups of 37 and 38 patients, respectively. The study end-points were major adverse cardiac events and late lumen loss during the 6 months following the pPCI. Results: Reinfarction occurred in 5.4% of patients in the DES and 5.3% of patients in the DCB group after 1 month (risk ratio = 1.03, 95% CI [0.15-6.91], P = 0.98). After 6 months, major adverse cardiac events were reported in 5.4% of patients in the DES group and none in the DCB group (risk ratio = 5.13, 95% CI [0.25-103.42], P = 0.29). Late lumen loss in the DES group was 0.10 ± 0.19 mm and −0.09 ± 0.09 mm in the DCB group (P &lt; 0.05). Conclusions: A DCB-only strategy is safe and feasible in the pPCI setting and showed good clinical and angiographic outcomes in a 6-month follow-up period.","author":[{"dropping-particle":"","family":"Gobić","given":"David","non-dropping-particle":"","parse-names":false,"suffix":""},{"dropping-particle":"","family":"Tomulić","given":"Vjekoslav","non-dropping-particle":"","parse-names":false,"suffix":""},{"dropping-particle":"","family":"Lulić","given":"Davorka","non-dropping-particle":"","parse-names":false,"suffix":""},{"dropping-particle":"","family":"Židan","given":"David","non-dropping-particle":"","parse-names":false,"suffix":""},{"dropping-particle":"","family":"Brusich","given":"Sandro","non-dropping-particle":"","parse-names":false,"suffix":""},{"dropping-particle":"","family":"Jakljević","given":"Tomislav","non-dropping-particle":"","parse-names":false,"suffix":""},{"dropping-particle":"","family":"Zaputović","given":"Luka","non-dropping-particle":"","parse-names":false,"suffix":""}],"container-title":"American Journal of the Medical Sciences","id":"ITEM-1","issue":"6","issued":{"date-parts":[["2017"]]},"page":"553-560","publisher":"Elsevier","title":"Drug-Coated Balloon Versus Drug-Eluting Stent in Primary Percutaneous Coronary Intervention: A Feasibility Study","type":"article-journal","volume":"354"},"uris":["http://www.mendeley.com/documents/?uuid=e4dab6e3-3741-4d3a-b1af-92ac72c78865"]}],"mendeley":{"formattedCitation":"(22)","plainTextFormattedCitation":"(22)","previouslyFormattedCitation":"(22)"},"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(22)</w:t>
      </w:r>
      <w:r w:rsidR="008D3C49">
        <w:rPr>
          <w:rStyle w:val="FootnoteReference"/>
          <w:rFonts w:ascii="Times New Roman" w:hAnsi="Times New Roman" w:cs="Times New Roman"/>
          <w:sz w:val="24"/>
          <w:szCs w:val="24"/>
        </w:rPr>
        <w:fldChar w:fldCharType="end"/>
      </w:r>
      <w:r w:rsidR="000E3F57">
        <w:rPr>
          <w:rFonts w:ascii="Times New Roman" w:hAnsi="Times New Roman" w:cs="Times New Roman"/>
          <w:sz w:val="24"/>
          <w:szCs w:val="24"/>
        </w:rPr>
        <w:t xml:space="preserve">. </w:t>
      </w:r>
      <w:r w:rsidR="00846047" w:rsidRPr="00846047">
        <w:rPr>
          <w:rFonts w:ascii="Times New Roman" w:hAnsi="Times New Roman" w:cs="Times New Roman"/>
          <w:sz w:val="24"/>
          <w:szCs w:val="24"/>
          <w:highlight w:val="yellow"/>
        </w:rPr>
        <w:t xml:space="preserve">Subgroup analysis demonstrated consistent results in both small or large vessels and in bifurcation disease. </w:t>
      </w:r>
      <w:bookmarkStart w:id="8" w:name="_Hlk119998346"/>
      <w:r w:rsidR="00846047" w:rsidRPr="00846047">
        <w:rPr>
          <w:rFonts w:ascii="Times New Roman" w:hAnsi="Times New Roman" w:cs="Times New Roman"/>
          <w:sz w:val="24"/>
          <w:szCs w:val="24"/>
          <w:highlight w:val="yellow"/>
        </w:rPr>
        <w:t>Further studies will need to verify these results in such subgroups</w:t>
      </w:r>
      <w:bookmarkEnd w:id="8"/>
      <w:r w:rsidR="00846047">
        <w:rPr>
          <w:rFonts w:ascii="Times New Roman" w:hAnsi="Times New Roman" w:cs="Times New Roman"/>
          <w:sz w:val="24"/>
          <w:szCs w:val="24"/>
        </w:rPr>
        <w:t xml:space="preserve">. </w:t>
      </w:r>
      <w:r w:rsidR="00932399">
        <w:rPr>
          <w:rFonts w:ascii="Times New Roman" w:hAnsi="Times New Roman" w:cs="Times New Roman"/>
          <w:sz w:val="24"/>
          <w:szCs w:val="24"/>
        </w:rPr>
        <w:t xml:space="preserve">Given the equipoise of our results, it is important to note that in the context of </w:t>
      </w:r>
      <w:r w:rsidR="00932399">
        <w:rPr>
          <w:rFonts w:ascii="Times New Roman" w:hAnsi="Times New Roman" w:cs="Times New Roman"/>
          <w:sz w:val="24"/>
          <w:szCs w:val="24"/>
        </w:rPr>
        <w:lastRenderedPageBreak/>
        <w:t xml:space="preserve">STEMI, a DCB-only strategy may provide an advantage in cases of a) uncertain vessel size resulting in inadequate stent apposition b) uncertainty about antiplatelet compliance or bleeding risk </w:t>
      </w:r>
      <w:r w:rsidR="00DD2428">
        <w:rPr>
          <w:rFonts w:ascii="Times New Roman" w:hAnsi="Times New Roman" w:cs="Times New Roman"/>
          <w:sz w:val="24"/>
          <w:szCs w:val="24"/>
        </w:rPr>
        <w:t xml:space="preserve">and </w:t>
      </w:r>
      <w:r w:rsidR="00927EB1">
        <w:rPr>
          <w:rFonts w:ascii="Times New Roman" w:hAnsi="Times New Roman" w:cs="Times New Roman"/>
          <w:sz w:val="24"/>
          <w:szCs w:val="24"/>
        </w:rPr>
        <w:t xml:space="preserve">c) </w:t>
      </w:r>
      <w:r w:rsidR="00DD2428">
        <w:rPr>
          <w:rFonts w:ascii="Times New Roman" w:hAnsi="Times New Roman" w:cs="Times New Roman"/>
          <w:sz w:val="24"/>
          <w:szCs w:val="24"/>
        </w:rPr>
        <w:t xml:space="preserve">may simplify treatment of complex bifurcation lesions </w:t>
      </w:r>
      <w:r w:rsidR="00DD2428">
        <w:rPr>
          <w:rFonts w:ascii="Times New Roman" w:hAnsi="Times New Roman" w:cs="Times New Roman"/>
          <w:sz w:val="24"/>
          <w:szCs w:val="24"/>
        </w:rPr>
        <w:fldChar w:fldCharType="begin" w:fldLock="1"/>
      </w:r>
      <w:r w:rsidR="008023AA">
        <w:rPr>
          <w:rFonts w:ascii="Times New Roman" w:hAnsi="Times New Roman" w:cs="Times New Roman"/>
          <w:sz w:val="24"/>
          <w:szCs w:val="24"/>
        </w:rPr>
        <w:instrText>ADDIN CSL_CITATION {"citationItems":[{"id":"ITEM-1","itemData":{"DOI":"10.1016/j.jcin.2020.02.043","ISSN":"18767605","PMID":"32473887","abstract":"Although drug-eluting stents are still the default interventional treatment of coronary artery disease, drug-coated balloons (DCBs) represent a novel alternative therapeutic strategy in certain anatomic conditions. The effect of DCBs is based on the fast and homogenous transfer of antiproliferative drugs into the vessel wall during single balloon inflation by means of a lipophilic matrix without the use of permanent implants. Although their use is established for in-stent restenosis of both bare-metal and drug-eluting stents, recent randomized clinical data demonstrate a good efficacy and safety profile in de novo small-vessel disease and high bleeding risk. In addition, there are other emerging indications (e.g., bifurcation lesions, large-vessel disease, diabetes mellitus, acute coronary syndromes). Because the interaction among the different delivery balloon designs, doses, formulations, and release kinetics of the drugs used is important, there seems to be no “class effect” of DCBs. On the basis of the amount of recently published data, the International DCB Consensus Group provides this update of previous recommendations summarizing the historical background, technical considerations such as choice of device and implantation technique, possible indications, and future perspectives.","author":[{"dropping-particle":"V.","family":"Jeger","given":"Raban","non-dropping-particle":"","parse-names":false,"suffix":""},{"dropping-particle":"","family":"Eccleshall","given":"Simon","non-dropping-particle":"","parse-names":false,"suffix":""},{"dropping-particle":"","family":"Wan Ahmad","given":"Wan Azman","non-dropping-particle":"","parse-names":false,"suffix":""},{"dropping-particle":"","family":"Ge","given":"Junbo","non-dropping-particle":"","parse-names":false,"suffix":""},{"dropping-particle":"","family":"Poerner","given":"Tudor C.","non-dropping-particle":"","parse-names":false,"suffix":""},{"dropping-particle":"","family":"Shin","given":"Eun Seok","non-dropping-particle":"","parse-names":false,"suffix":""},{"dropping-particle":"","family":"Alfonso","given":"Fernando","non-dropping-particle":"","parse-names":false,"suffix":""},{"dropping-particle":"","family":"Latib","given":"Azeem","non-dropping-particle":"","parse-names":false,"suffix":""},{"dropping-particle":"","family":"Ong","given":"Paul J.","non-dropping-particle":"","parse-names":false,"suffix":""},{"dropping-particle":"","family":"Rissanen","given":"Tuomas T.","non-dropping-particle":"","parse-names":false,"suffix":""},{"dropping-particle":"","family":"Saucedo","given":"Jorge","non-dropping-particle":"","parse-names":false,"suffix":""},{"dropping-particle":"","family":"Scheller","given":"Bruno","non-dropping-particle":"","parse-names":false,"suffix":""},{"dropping-particle":"","family":"Kleber","given":"Franz X.","non-dropping-particle":"","parse-names":false,"suffix":""}],"container-title":"JACC: Cardiovascular Interventions","id":"ITEM-1","issue":"12","issued":{"date-parts":[["2020"]]},"page":"1391-1402","publisher":"Elsevier","title":"Drug-Coated Balloons for Coronary Artery Disease: Third Report of the International DCB Consensus Group","type":"article-journal","volume":"13"},"uris":["http://www.mendeley.com/documents/?uuid=6e27742b-65dc-4efa-8cc7-2c6e27ce9c1c"]}],"mendeley":{"formattedCitation":"(5)","plainTextFormattedCitation":"(5)","previouslyFormattedCitation":"(5)"},"properties":{"noteIndex":0},"schema":"https://github.com/citation-style-language/schema/raw/master/csl-citation.json"}</w:instrText>
      </w:r>
      <w:r w:rsidR="00DD2428">
        <w:rPr>
          <w:rFonts w:ascii="Times New Roman" w:hAnsi="Times New Roman" w:cs="Times New Roman"/>
          <w:sz w:val="24"/>
          <w:szCs w:val="24"/>
        </w:rPr>
        <w:fldChar w:fldCharType="separate"/>
      </w:r>
      <w:r w:rsidR="00DD2428" w:rsidRPr="00DD2428">
        <w:rPr>
          <w:rFonts w:ascii="Times New Roman" w:hAnsi="Times New Roman" w:cs="Times New Roman"/>
          <w:noProof/>
          <w:sz w:val="24"/>
          <w:szCs w:val="24"/>
        </w:rPr>
        <w:t>(5)</w:t>
      </w:r>
      <w:r w:rsidR="00DD2428">
        <w:rPr>
          <w:rFonts w:ascii="Times New Roman" w:hAnsi="Times New Roman" w:cs="Times New Roman"/>
          <w:sz w:val="24"/>
          <w:szCs w:val="24"/>
        </w:rPr>
        <w:fldChar w:fldCharType="end"/>
      </w:r>
      <w:r w:rsidR="00DD2428">
        <w:rPr>
          <w:rFonts w:ascii="Times New Roman" w:hAnsi="Times New Roman" w:cs="Times New Roman"/>
          <w:sz w:val="24"/>
          <w:szCs w:val="24"/>
        </w:rPr>
        <w:t xml:space="preserve">. </w:t>
      </w:r>
    </w:p>
    <w:p w14:paraId="28E71C76" w14:textId="36758FC6" w:rsidR="00F45DC0" w:rsidRDefault="00F97243" w:rsidP="0094367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included a large number of consecutive patients with STEMI due to de novo disease and no restriction in vessel size. </w:t>
      </w:r>
      <w:r w:rsidR="00F30974" w:rsidRPr="00581FA7">
        <w:rPr>
          <w:rFonts w:ascii="Times New Roman" w:hAnsi="Times New Roman" w:cs="Times New Roman"/>
          <w:sz w:val="24"/>
          <w:szCs w:val="24"/>
        </w:rPr>
        <w:t xml:space="preserve">More than 80% of the culprit vessels in both groups had diameter ≥ 3mm, indicating that the great majority of patients treated had large vessel disease. The median vessel diameter was </w:t>
      </w:r>
      <w:r w:rsidR="000D3569">
        <w:rPr>
          <w:rFonts w:ascii="Times New Roman" w:hAnsi="Times New Roman" w:cs="Times New Roman"/>
          <w:sz w:val="24"/>
          <w:szCs w:val="24"/>
        </w:rPr>
        <w:t>3.</w:t>
      </w:r>
      <w:r w:rsidR="00B1748A">
        <w:rPr>
          <w:rFonts w:ascii="Times New Roman" w:hAnsi="Times New Roman" w:cs="Times New Roman"/>
          <w:sz w:val="24"/>
          <w:szCs w:val="24"/>
        </w:rPr>
        <w:t>5m</w:t>
      </w:r>
      <w:r w:rsidR="000D3569">
        <w:rPr>
          <w:rFonts w:ascii="Times New Roman" w:hAnsi="Times New Roman" w:cs="Times New Roman"/>
          <w:sz w:val="24"/>
          <w:szCs w:val="24"/>
        </w:rPr>
        <w:t xml:space="preserve">m </w:t>
      </w:r>
      <w:r w:rsidR="00F35E09">
        <w:rPr>
          <w:rFonts w:ascii="Times New Roman" w:hAnsi="Times New Roman" w:cs="Times New Roman"/>
          <w:sz w:val="24"/>
          <w:szCs w:val="24"/>
        </w:rPr>
        <w:t>in both groups</w:t>
      </w:r>
      <w:r w:rsidR="00F30974" w:rsidRPr="00581FA7">
        <w:rPr>
          <w:rFonts w:ascii="Times New Roman" w:hAnsi="Times New Roman" w:cs="Times New Roman"/>
          <w:sz w:val="24"/>
          <w:szCs w:val="24"/>
        </w:rPr>
        <w:t>.</w:t>
      </w:r>
      <w:r>
        <w:rPr>
          <w:rFonts w:ascii="Times New Roman" w:hAnsi="Times New Roman" w:cs="Times New Roman"/>
          <w:sz w:val="24"/>
          <w:szCs w:val="24"/>
        </w:rPr>
        <w:t xml:space="preserve"> Furthermore, the groups were well balanced in terms of baseline patient characteristics. The only differences were that the DCB group had more patients with previous stroke while the DES group had more patients with history of smoking. In terms of angiographic characteristics, the DCB group had more</w:t>
      </w:r>
      <w:r w:rsidR="00543E85">
        <w:rPr>
          <w:rFonts w:ascii="Times New Roman" w:hAnsi="Times New Roman" w:cs="Times New Roman"/>
          <w:sz w:val="24"/>
          <w:szCs w:val="24"/>
        </w:rPr>
        <w:t xml:space="preserve"> patients with bifurcations and true bifurcations treated indicating that complex disease was treated</w:t>
      </w:r>
      <w:r w:rsidR="004D35F3">
        <w:rPr>
          <w:rFonts w:ascii="Times New Roman" w:hAnsi="Times New Roman" w:cs="Times New Roman"/>
          <w:sz w:val="24"/>
          <w:szCs w:val="24"/>
        </w:rPr>
        <w:t>, and possibly reflects operator bias towards a DCB</w:t>
      </w:r>
      <w:r w:rsidR="008130B0">
        <w:rPr>
          <w:rFonts w:ascii="Times New Roman" w:hAnsi="Times New Roman" w:cs="Times New Roman"/>
          <w:sz w:val="24"/>
          <w:szCs w:val="24"/>
        </w:rPr>
        <w:t>-</w:t>
      </w:r>
      <w:r w:rsidR="004D35F3">
        <w:rPr>
          <w:rFonts w:ascii="Times New Roman" w:hAnsi="Times New Roman" w:cs="Times New Roman"/>
          <w:sz w:val="24"/>
          <w:szCs w:val="24"/>
        </w:rPr>
        <w:t>only approach in bifurcations</w:t>
      </w:r>
      <w:r w:rsidR="008130B0">
        <w:rPr>
          <w:rFonts w:ascii="Times New Roman" w:hAnsi="Times New Roman" w:cs="Times New Roman"/>
          <w:sz w:val="24"/>
          <w:szCs w:val="24"/>
        </w:rPr>
        <w:t>.</w:t>
      </w:r>
    </w:p>
    <w:p w14:paraId="453B9CBB" w14:textId="353C1956" w:rsidR="00543E85" w:rsidRPr="00543E85" w:rsidRDefault="000B20E1" w:rsidP="00943677">
      <w:pPr>
        <w:spacing w:line="480" w:lineRule="auto"/>
        <w:jc w:val="both"/>
        <w:rPr>
          <w:rFonts w:ascii="Times New Roman" w:hAnsi="Times New Roman" w:cs="Times New Roman"/>
          <w:b/>
          <w:sz w:val="24"/>
          <w:szCs w:val="24"/>
        </w:rPr>
      </w:pPr>
      <w:r>
        <w:rPr>
          <w:rFonts w:ascii="Times New Roman" w:hAnsi="Times New Roman" w:cs="Times New Roman"/>
          <w:b/>
          <w:sz w:val="24"/>
          <w:szCs w:val="24"/>
        </w:rPr>
        <w:t>Limitations</w:t>
      </w:r>
    </w:p>
    <w:p w14:paraId="1AF87ED0" w14:textId="0BF5E229" w:rsidR="00543E85" w:rsidRDefault="00543E85" w:rsidP="00943677">
      <w:pPr>
        <w:spacing w:line="480" w:lineRule="auto"/>
        <w:jc w:val="both"/>
        <w:rPr>
          <w:rFonts w:ascii="Times New Roman" w:hAnsi="Times New Roman" w:cs="Times New Roman"/>
          <w:sz w:val="24"/>
          <w:szCs w:val="24"/>
        </w:rPr>
      </w:pPr>
      <w:r>
        <w:rPr>
          <w:rFonts w:ascii="Times New Roman" w:hAnsi="Times New Roman" w:cs="Times New Roman"/>
          <w:sz w:val="24"/>
          <w:szCs w:val="24"/>
        </w:rPr>
        <w:t>The retrospective, no</w:t>
      </w:r>
      <w:r w:rsidR="0025276C">
        <w:rPr>
          <w:rFonts w:ascii="Times New Roman" w:hAnsi="Times New Roman" w:cs="Times New Roman"/>
          <w:sz w:val="24"/>
          <w:szCs w:val="24"/>
        </w:rPr>
        <w:t>n-randomised nature of our cohort</w:t>
      </w:r>
      <w:r>
        <w:rPr>
          <w:rFonts w:ascii="Times New Roman" w:hAnsi="Times New Roman" w:cs="Times New Roman"/>
          <w:sz w:val="24"/>
          <w:szCs w:val="24"/>
        </w:rPr>
        <w:t xml:space="preserve"> </w:t>
      </w:r>
      <w:r w:rsidR="00673A8E">
        <w:rPr>
          <w:rFonts w:ascii="Times New Roman" w:hAnsi="Times New Roman" w:cs="Times New Roman"/>
          <w:sz w:val="24"/>
          <w:szCs w:val="24"/>
        </w:rPr>
        <w:t>from a single centre is a possible source of</w:t>
      </w:r>
      <w:r>
        <w:rPr>
          <w:rFonts w:ascii="Times New Roman" w:hAnsi="Times New Roman" w:cs="Times New Roman"/>
          <w:sz w:val="24"/>
          <w:szCs w:val="24"/>
        </w:rPr>
        <w:t xml:space="preserve"> bias. However, our institution provides cardiac intervention as a large tertiary centre to a population in excess of </w:t>
      </w:r>
      <w:r w:rsidR="00D75787">
        <w:rPr>
          <w:rFonts w:ascii="Times New Roman" w:hAnsi="Times New Roman" w:cs="Times New Roman"/>
          <w:sz w:val="24"/>
          <w:szCs w:val="24"/>
        </w:rPr>
        <w:t>1.5</w:t>
      </w:r>
      <w:r>
        <w:rPr>
          <w:rFonts w:ascii="Times New Roman" w:hAnsi="Times New Roman" w:cs="Times New Roman"/>
          <w:sz w:val="24"/>
          <w:szCs w:val="24"/>
        </w:rPr>
        <w:t xml:space="preserve"> million people </w:t>
      </w:r>
      <w:r w:rsidR="00D75787">
        <w:rPr>
          <w:rFonts w:ascii="Times New Roman" w:hAnsi="Times New Roman" w:cs="Times New Roman"/>
          <w:sz w:val="24"/>
          <w:szCs w:val="24"/>
        </w:rPr>
        <w:t xml:space="preserve">for </w:t>
      </w:r>
      <w:proofErr w:type="spellStart"/>
      <w:r w:rsidR="00C7268E">
        <w:rPr>
          <w:rFonts w:ascii="Times New Roman" w:hAnsi="Times New Roman" w:cs="Times New Roman"/>
          <w:sz w:val="24"/>
          <w:szCs w:val="24"/>
        </w:rPr>
        <w:t>p</w:t>
      </w:r>
      <w:r w:rsidR="00D75787">
        <w:rPr>
          <w:rFonts w:ascii="Times New Roman" w:hAnsi="Times New Roman" w:cs="Times New Roman"/>
          <w:sz w:val="24"/>
          <w:szCs w:val="24"/>
        </w:rPr>
        <w:t>PCI</w:t>
      </w:r>
      <w:proofErr w:type="spellEnd"/>
      <w:r w:rsidR="00D75787">
        <w:rPr>
          <w:rFonts w:ascii="Times New Roman" w:hAnsi="Times New Roman" w:cs="Times New Roman"/>
          <w:sz w:val="24"/>
          <w:szCs w:val="24"/>
        </w:rPr>
        <w:t xml:space="preserve">, </w:t>
      </w:r>
      <w:r>
        <w:rPr>
          <w:rFonts w:ascii="Times New Roman" w:hAnsi="Times New Roman" w:cs="Times New Roman"/>
          <w:sz w:val="24"/>
          <w:szCs w:val="24"/>
        </w:rPr>
        <w:t xml:space="preserve">and has </w:t>
      </w:r>
      <w:r w:rsidR="00D75787">
        <w:rPr>
          <w:rFonts w:ascii="Times New Roman" w:hAnsi="Times New Roman" w:cs="Times New Roman"/>
          <w:sz w:val="24"/>
          <w:szCs w:val="24"/>
        </w:rPr>
        <w:t xml:space="preserve">one of </w:t>
      </w:r>
      <w:r>
        <w:rPr>
          <w:rFonts w:ascii="Times New Roman" w:hAnsi="Times New Roman" w:cs="Times New Roman"/>
          <w:sz w:val="24"/>
          <w:szCs w:val="24"/>
        </w:rPr>
        <w:t xml:space="preserve">the highest implantation of DCBs for coronary artery disease in the UK </w:t>
      </w:r>
      <w:r w:rsidR="008D3C49">
        <w:rPr>
          <w:rStyle w:val="FootnoteReference"/>
          <w:rFonts w:ascii="Times New Roman" w:hAnsi="Times New Roman" w:cs="Times New Roman"/>
          <w:sz w:val="24"/>
          <w:szCs w:val="24"/>
        </w:rPr>
        <w:fldChar w:fldCharType="begin" w:fldLock="1"/>
      </w:r>
      <w:r w:rsidR="0014327F">
        <w:rPr>
          <w:rFonts w:ascii="Times New Roman" w:hAnsi="Times New Roman" w:cs="Times New Roman"/>
          <w:sz w:val="24"/>
          <w:szCs w:val="24"/>
        </w:rPr>
        <w:instrText>ADDIN CSL_CITATION {"citationItems":[{"id":"ITEM-1","itemData":{"URL":"http://www.bcis.org.uk/wp-content/uploads/2019/02/BCIS-Audit-2017-18-data-for-web-ALL-excl-TAVI-as-27-02-2019.pdf","accessed":{"date-parts":[["2019","10","28"]]},"author":[{"dropping-particle":"","family":"Ludman","given":"Peter F","non-dropping-particle":"","parse-names":false,"suffix":""}],"id":"ITEM-1","issued":{"date-parts":[["2019"]]},"title":"BCIS Audit returns adult interventional procedures","type":"webpage"},"uris":["http://www.mendeley.com/documents/?uuid=9b86e06c-c6ae-47e0-b24a-5b0ea728703b"]}],"mendeley":{"formattedCitation":"(23)","plainTextFormattedCitation":"(23)","previouslyFormattedCitation":"(23)"},"properties":{"noteIndex":0},"schema":"https://github.com/citation-style-language/schema/raw/master/csl-citation.json"}</w:instrText>
      </w:r>
      <w:r w:rsidR="008D3C49">
        <w:rPr>
          <w:rStyle w:val="FootnoteReference"/>
          <w:rFonts w:ascii="Times New Roman" w:hAnsi="Times New Roman" w:cs="Times New Roman"/>
          <w:sz w:val="24"/>
          <w:szCs w:val="24"/>
        </w:rPr>
        <w:fldChar w:fldCharType="separate"/>
      </w:r>
      <w:r w:rsidR="007F00FF" w:rsidRPr="007F00FF">
        <w:rPr>
          <w:rFonts w:ascii="Times New Roman" w:hAnsi="Times New Roman" w:cs="Times New Roman"/>
          <w:noProof/>
          <w:sz w:val="24"/>
          <w:szCs w:val="24"/>
        </w:rPr>
        <w:t>(23)</w:t>
      </w:r>
      <w:r w:rsidR="008D3C49">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In addition, we included </w:t>
      </w:r>
      <w:r w:rsidR="0048712F">
        <w:rPr>
          <w:rFonts w:ascii="Times New Roman" w:hAnsi="Times New Roman" w:cs="Times New Roman"/>
          <w:sz w:val="24"/>
          <w:szCs w:val="24"/>
        </w:rPr>
        <w:t xml:space="preserve">all </w:t>
      </w:r>
      <w:r>
        <w:rPr>
          <w:rFonts w:ascii="Times New Roman" w:hAnsi="Times New Roman" w:cs="Times New Roman"/>
          <w:sz w:val="24"/>
          <w:szCs w:val="24"/>
        </w:rPr>
        <w:t xml:space="preserve">consecutive patients fulfilling the inclusion criteria ameliorating referral bias. </w:t>
      </w:r>
      <w:bookmarkStart w:id="9" w:name="_Hlk118797101"/>
      <w:r w:rsidR="00EB349E" w:rsidRPr="00CC299F">
        <w:rPr>
          <w:rFonts w:ascii="Times New Roman" w:hAnsi="Times New Roman" w:cs="Times New Roman"/>
          <w:sz w:val="24"/>
          <w:szCs w:val="24"/>
          <w:highlight w:val="yellow"/>
        </w:rPr>
        <w:t xml:space="preserve">DCB-only angioplasty, as most interventional techniques, is accompanied by a learning curve; therefore, our results might not be generalizable to smaller institutions with less </w:t>
      </w:r>
      <w:r w:rsidR="00CC299F" w:rsidRPr="00CC299F">
        <w:rPr>
          <w:rFonts w:ascii="Times New Roman" w:hAnsi="Times New Roman" w:cs="Times New Roman"/>
          <w:sz w:val="24"/>
          <w:szCs w:val="24"/>
          <w:highlight w:val="yellow"/>
        </w:rPr>
        <w:t xml:space="preserve">clinical </w:t>
      </w:r>
      <w:r w:rsidR="00EB349E" w:rsidRPr="00CC299F">
        <w:rPr>
          <w:rFonts w:ascii="Times New Roman" w:hAnsi="Times New Roman" w:cs="Times New Roman"/>
          <w:sz w:val="24"/>
          <w:szCs w:val="24"/>
          <w:highlight w:val="yellow"/>
        </w:rPr>
        <w:t>experience in DCB-only strategy.</w:t>
      </w:r>
      <w:r w:rsidR="00EB349E">
        <w:rPr>
          <w:rFonts w:ascii="Times New Roman" w:hAnsi="Times New Roman" w:cs="Times New Roman"/>
          <w:sz w:val="24"/>
          <w:szCs w:val="24"/>
        </w:rPr>
        <w:t xml:space="preserve"> </w:t>
      </w:r>
      <w:bookmarkEnd w:id="9"/>
      <w:r w:rsidR="00F86991" w:rsidRPr="0014327F">
        <w:rPr>
          <w:rFonts w:ascii="Times New Roman" w:hAnsi="Times New Roman" w:cs="Times New Roman"/>
          <w:sz w:val="24"/>
          <w:szCs w:val="24"/>
          <w:highlight w:val="yellow"/>
        </w:rPr>
        <w:t xml:space="preserve">Our data did not allow us to use the ARC-HBR criteria which were published a few years after </w:t>
      </w:r>
      <w:r w:rsidR="0014327F" w:rsidRPr="0014327F">
        <w:rPr>
          <w:rFonts w:ascii="Times New Roman" w:hAnsi="Times New Roman" w:cs="Times New Roman"/>
          <w:sz w:val="24"/>
          <w:szCs w:val="24"/>
          <w:highlight w:val="yellow"/>
        </w:rPr>
        <w:t>the start of our cohort</w:t>
      </w:r>
      <w:r w:rsidR="0014327F">
        <w:rPr>
          <w:rFonts w:ascii="Times New Roman" w:hAnsi="Times New Roman" w:cs="Times New Roman"/>
          <w:sz w:val="24"/>
          <w:szCs w:val="24"/>
          <w:highlight w:val="yellow"/>
        </w:rPr>
        <w:t xml:space="preserve"> </w:t>
      </w:r>
      <w:r w:rsidR="0014327F">
        <w:rPr>
          <w:rFonts w:ascii="Times New Roman" w:hAnsi="Times New Roman" w:cs="Times New Roman"/>
          <w:sz w:val="24"/>
          <w:szCs w:val="24"/>
          <w:highlight w:val="yellow"/>
        </w:rPr>
        <w:fldChar w:fldCharType="begin" w:fldLock="1"/>
      </w:r>
      <w:r w:rsidR="0014327F">
        <w:rPr>
          <w:rFonts w:ascii="Times New Roman" w:hAnsi="Times New Roman" w:cs="Times New Roman"/>
          <w:sz w:val="24"/>
          <w:szCs w:val="24"/>
          <w:highlight w:val="yellow"/>
        </w:rPr>
        <w:instrText>ADDIN CSL_CITATION {"citationItems":[{"id":"ITEM-1","itemData":{"DOI":"10.1093/eurheartj/ehz372","ISSN":"15229645","PMID":"31116395","abstract":"Identification and management of patients at high bleeding risk undergoing percutaneous coronary intervention are of major importance, but a lack of standardization in defining this population limits trial design, data interpretation, and clinical decision-making. The Academic Research Consortium for High Bleeding Risk (ARC-HBR) is a collaboration among leading research organizations, regulatory authorities, and physician-scientists from the United States, Asia, and Europe focusing on percutaneous coronary intervention-related bleeding. Two meetings of the 31-member consortium were held in Washington, DC, in April 2018 and in Paris, France, in October 2018. These meetings were organized by the Cardiovascular European Research Center on behalf of the ARC-HBR group and included representatives of the US Food and Drug Administration and the Japanese Pharmaceuticals and Medical Devices Agency, as well as observers from the pharmaceutical and medical device industries. A consensus definition of patients at high bleeding risk was developed that was based on review of the available evidence. The definition is intended to provide consistency in defining this population for clinical trials and to complement clinical decision-making and regulatory review. The proposed ARC-HBR consensus document represents the first pragmatic approach to a consistent definition of high bleeding risk in clinical trials evaluating the safety and effectiveness of devices and drug regimens for patients undergoing percutaneous coronary intervention.","author":[{"dropping-particle":"","family":"Urban","given":"Philip","non-dropping-particle":"","parse-names":false,"suffix":""},{"dropping-particle":"","family":"Mehran","given":"Roxana","non-dropping-particle":"","parse-names":false,"suffix":""},{"dropping-particle":"","family":"Colleran","given":"Roisin","non-dropping-particle":"","parse-names":false,"suffix":""},{"dropping-particle":"","family":"Angiolillo","given":"Dominick J.","non-dropping-particle":"","parse-names":false,"suffix":""},{"dropping-particle":"","family":"Byrne","given":"Robert A.","non-dropping-particle":"","parse-names":false,"suffix":""},{"dropping-particle":"","family":"Capodanno","given":"Davide","non-dropping-particle":"","parse-names":false,"suffix":""},{"dropping-particle":"","family":"Cuisset","given":"Thomas","non-dropping-particle":"","parse-names":false,"suffix":""},{"dropping-particle":"","family":"Cutlip","given":"Donald","non-dropping-particle":"","parse-names":false,"suffix":""},{"dropping-particle":"","family":"Eerdmans","given":"Pedro","non-dropping-particle":"","parse-names":false,"suffix":""},{"dropping-particle":"","family":"Eikelboom","given":"John","non-dropping-particle":"","parse-names":false,"suffix":""},{"dropping-particle":"","family":"Farb","given":"Andrew","non-dropping-particle":"","parse-names":false,"suffix":""},{"dropping-particle":"","family":"Gibson","given":"C. Michael","non-dropping-particle":"","parse-names":false,"suffix":""},{"dropping-particle":"","family":"Gregson","given":"John","non-dropping-particle":"","parse-names":false,"suffix":""},{"dropping-particle":"","family":"Haude","given":"Michael","non-dropping-particle":"","parse-names":false,"suffix":""},{"dropping-particle":"","family":"James","given":"Stefan K.","non-dropping-particle":"","parse-names":false,"suffix":""},{"dropping-particle":"","family":"Kim","given":"Hyo Soo","non-dropping-particle":"","parse-names":false,"suffix":""},{"dropping-particle":"","family":"Kimura","given":"Takeshi","non-dropping-particle":"","parse-names":false,"suffix":""},{"dropping-particle":"","family":"Konishi","given":"Akihide","non-dropping-particle":"","parse-names":false,"suffix":""},{"dropping-particle":"","family":"Laschinger","given":"John","non-dropping-particle":"","parse-names":false,"suffix":""},{"dropping-particle":"","family":"Leon","given":"Martin B.","non-dropping-particle":"","parse-names":false,"suffix":""},{"dropping-particle":"","family":"Magee","given":"P. F.Adrian","non-dropping-particle":"","parse-names":false,"suffix":""},{"dropping-particle":"","family":"Mitsutake","given":"Yoshiaki","non-dropping-particle":"","parse-names":false,"suffix":""},{"dropping-particle":"","family":"Mylotte","given":"Darren","non-dropping-particle":"","parse-names":false,"suffix":""},{"dropping-particle":"","family":"Pocock","given":"Stuart","non-dropping-particle":"","parse-names":false,"suffix":""},{"dropping-particle":"","family":"Price","given":"Matthew J.","non-dropping-particle":"","parse-names":false,"suffix":""},{"dropping-particle":"V.","family":"Rao","given":"Sunil","non-dropping-particle":"","parse-names":false,"suffix":""},{"dropping-particle":"","family":"Spitzer","given":"Ernest","non-dropping-particle":"","parse-names":false,"suffix":""},{"dropping-particle":"","family":"Stockbridge","given":"Norman","non-dropping-particle":"","parse-names":false,"suffix":""},{"dropping-particle":"","family":"Valgimigli","given":"Marco","non-dropping-particle":"","parse-names":false,"suffix":""},{"dropping-particle":"","family":"Varenne","given":"Olivier","non-dropping-particle":"","parse-names":false,"suffix":""},{"dropping-particle":"","family":"Windhoevel","given":"Ute","non-dropping-particle":"","parse-names":false,"suffix":""},{"dropping-particle":"","family":"Yeh","given":"Robert W.","non-dropping-particle":"","parse-names":false,"suffix":""},{"dropping-particle":"","family":"Krucoff","given":"Mitchell W.","non-dropping-particle":"","parse-names":false,"suffix":""},{"dropping-particle":"","family":"Morice","given":"Marie Claude","non-dropping-particle":"","parse-names":false,"suffix":""}],"container-title":"European Heart Journal","id":"ITEM-1","issue":"31","issued":{"date-parts":[["2019"]]},"page":"2632-2653","title":"Defining high bleeding risk in patients undergoing percutaneous coronary intervention: a consensus document from the Academic Research Consortium for High Bleeding Risk","type":"article-journal","volume":"40"},"uris":["http://www.mendeley.com/documents/?uuid=280543c0-4aa2-4f91-b1f3-79a79a6fc421"]}],"mendeley":{"formattedCitation":"(24)","plainTextFormattedCitation":"(24)"},"properties":{"noteIndex":0},"schema":"https://github.com/citation-style-language/schema/raw/master/csl-citation.json"}</w:instrText>
      </w:r>
      <w:r w:rsidR="0014327F">
        <w:rPr>
          <w:rFonts w:ascii="Times New Roman" w:hAnsi="Times New Roman" w:cs="Times New Roman"/>
          <w:sz w:val="24"/>
          <w:szCs w:val="24"/>
          <w:highlight w:val="yellow"/>
        </w:rPr>
        <w:fldChar w:fldCharType="separate"/>
      </w:r>
      <w:r w:rsidR="0014327F" w:rsidRPr="0014327F">
        <w:rPr>
          <w:rFonts w:ascii="Times New Roman" w:hAnsi="Times New Roman" w:cs="Times New Roman"/>
          <w:noProof/>
          <w:sz w:val="24"/>
          <w:szCs w:val="24"/>
          <w:highlight w:val="yellow"/>
        </w:rPr>
        <w:t>(24)</w:t>
      </w:r>
      <w:r w:rsidR="0014327F">
        <w:rPr>
          <w:rFonts w:ascii="Times New Roman" w:hAnsi="Times New Roman" w:cs="Times New Roman"/>
          <w:sz w:val="24"/>
          <w:szCs w:val="24"/>
          <w:highlight w:val="yellow"/>
        </w:rPr>
        <w:fldChar w:fldCharType="end"/>
      </w:r>
      <w:r w:rsidR="0014327F" w:rsidRPr="0014327F">
        <w:rPr>
          <w:rFonts w:ascii="Times New Roman" w:hAnsi="Times New Roman" w:cs="Times New Roman"/>
          <w:sz w:val="24"/>
          <w:szCs w:val="24"/>
          <w:highlight w:val="yellow"/>
        </w:rPr>
        <w:t>. However, we have calculated and run the analysis using the ‘</w:t>
      </w:r>
      <w:r w:rsidR="00B13FFB">
        <w:rPr>
          <w:rFonts w:ascii="Times New Roman" w:hAnsi="Times New Roman" w:cs="Times New Roman"/>
          <w:sz w:val="24"/>
          <w:szCs w:val="24"/>
          <w:highlight w:val="yellow"/>
        </w:rPr>
        <w:t>A</w:t>
      </w:r>
      <w:r w:rsidR="0014327F" w:rsidRPr="0014327F">
        <w:rPr>
          <w:rFonts w:ascii="Times New Roman" w:hAnsi="Times New Roman" w:cs="Times New Roman"/>
          <w:sz w:val="24"/>
          <w:szCs w:val="24"/>
          <w:highlight w:val="yellow"/>
        </w:rPr>
        <w:t>cuity’ score.</w:t>
      </w:r>
      <w:r w:rsidR="0014327F">
        <w:rPr>
          <w:rFonts w:ascii="Times New Roman" w:hAnsi="Times New Roman" w:cs="Times New Roman"/>
          <w:sz w:val="24"/>
          <w:szCs w:val="24"/>
        </w:rPr>
        <w:t xml:space="preserve"> </w:t>
      </w:r>
      <w:r w:rsidR="00EB349E">
        <w:rPr>
          <w:rFonts w:ascii="Times New Roman" w:hAnsi="Times New Roman" w:cs="Times New Roman"/>
          <w:sz w:val="24"/>
          <w:szCs w:val="24"/>
        </w:rPr>
        <w:t xml:space="preserve">Finally, even though this study is retrospective and non-randomised, our clinical database was completed prospectively and the high-rate of DCB implantation in our institution </w:t>
      </w:r>
      <w:r w:rsidR="00EB349E">
        <w:rPr>
          <w:rFonts w:ascii="Times New Roman" w:hAnsi="Times New Roman" w:cs="Times New Roman"/>
          <w:sz w:val="24"/>
          <w:szCs w:val="24"/>
        </w:rPr>
        <w:lastRenderedPageBreak/>
        <w:t>resulted in groups well-balanced in terms or patient and angiographic characteristics.</w:t>
      </w:r>
      <w:r w:rsidR="00BD238D">
        <w:rPr>
          <w:rFonts w:ascii="Times New Roman" w:hAnsi="Times New Roman" w:cs="Times New Roman"/>
          <w:sz w:val="24"/>
          <w:szCs w:val="24"/>
        </w:rPr>
        <w:t xml:space="preserve"> Lastly, despite our efforts we were not able to review the follow up angiograms of 9 (1.9%) patients in the DCB group and 13(1.9%) patients in the DES group who have had re-PCI elsewhere. </w:t>
      </w:r>
    </w:p>
    <w:p w14:paraId="4A25B2F9" w14:textId="4EF762CB" w:rsidR="00EB349E" w:rsidRPr="00EB349E" w:rsidRDefault="000B20E1" w:rsidP="00943677">
      <w:pPr>
        <w:spacing w:line="48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234FEA41" w14:textId="78F65F95" w:rsidR="00EB349E" w:rsidRDefault="00EB349E" w:rsidP="0094367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conclusion, this is the </w:t>
      </w:r>
      <w:r w:rsidR="0025276C">
        <w:rPr>
          <w:rFonts w:ascii="Times New Roman" w:hAnsi="Times New Roman" w:cs="Times New Roman"/>
          <w:sz w:val="24"/>
          <w:szCs w:val="24"/>
        </w:rPr>
        <w:t xml:space="preserve">largest cohort analysis </w:t>
      </w:r>
      <w:r>
        <w:rPr>
          <w:rFonts w:ascii="Times New Roman" w:hAnsi="Times New Roman" w:cs="Times New Roman"/>
          <w:sz w:val="24"/>
          <w:szCs w:val="24"/>
        </w:rPr>
        <w:t>comparing DCB-only angioplasty to 2</w:t>
      </w:r>
      <w:r w:rsidRPr="00EB349E">
        <w:rPr>
          <w:rFonts w:ascii="Times New Roman" w:hAnsi="Times New Roman" w:cs="Times New Roman"/>
          <w:sz w:val="24"/>
          <w:szCs w:val="24"/>
          <w:vertAlign w:val="superscript"/>
        </w:rPr>
        <w:t>nd</w:t>
      </w:r>
      <w:r>
        <w:rPr>
          <w:rFonts w:ascii="Times New Roman" w:hAnsi="Times New Roman" w:cs="Times New Roman"/>
          <w:sz w:val="24"/>
          <w:szCs w:val="24"/>
        </w:rPr>
        <w:t xml:space="preserve"> generation DES in STEMI </w:t>
      </w:r>
      <w:r w:rsidR="0048712F">
        <w:rPr>
          <w:rFonts w:ascii="Times New Roman" w:hAnsi="Times New Roman" w:cs="Times New Roman"/>
          <w:sz w:val="24"/>
          <w:szCs w:val="24"/>
        </w:rPr>
        <w:t xml:space="preserve">reporting on </w:t>
      </w:r>
      <w:r>
        <w:rPr>
          <w:rFonts w:ascii="Times New Roman" w:hAnsi="Times New Roman" w:cs="Times New Roman"/>
          <w:sz w:val="24"/>
          <w:szCs w:val="24"/>
        </w:rPr>
        <w:t>all-cause mortality</w:t>
      </w:r>
      <w:r w:rsidR="00652DF3">
        <w:rPr>
          <w:rFonts w:ascii="Times New Roman" w:hAnsi="Times New Roman" w:cs="Times New Roman"/>
          <w:sz w:val="24"/>
          <w:szCs w:val="24"/>
        </w:rPr>
        <w:t xml:space="preserve"> a</w:t>
      </w:r>
      <w:r w:rsidR="00652DF3" w:rsidRPr="00D76206">
        <w:rPr>
          <w:rFonts w:ascii="Times New Roman" w:hAnsi="Times New Roman" w:cs="Times New Roman"/>
          <w:sz w:val="24"/>
          <w:szCs w:val="24"/>
        </w:rPr>
        <w:t xml:space="preserve">nd </w:t>
      </w:r>
      <w:r w:rsidR="00C921C5">
        <w:rPr>
          <w:rFonts w:ascii="Times New Roman" w:hAnsi="Times New Roman" w:cs="Times New Roman"/>
          <w:sz w:val="24"/>
          <w:szCs w:val="24"/>
        </w:rPr>
        <w:t xml:space="preserve">all </w:t>
      </w:r>
      <w:r w:rsidR="004D16C8">
        <w:rPr>
          <w:rFonts w:ascii="Times New Roman" w:hAnsi="Times New Roman" w:cs="Times New Roman"/>
          <w:sz w:val="24"/>
          <w:szCs w:val="24"/>
        </w:rPr>
        <w:t>net adverse cardiac events</w:t>
      </w:r>
      <w:r w:rsidR="00C921C5">
        <w:rPr>
          <w:rFonts w:ascii="Times New Roman" w:hAnsi="Times New Roman" w:cs="Times New Roman"/>
          <w:sz w:val="24"/>
          <w:szCs w:val="24"/>
        </w:rPr>
        <w:t xml:space="preserve"> including unplanned TLR</w:t>
      </w:r>
      <w:r w:rsidRPr="00D76206">
        <w:rPr>
          <w:rFonts w:ascii="Times New Roman" w:hAnsi="Times New Roman" w:cs="Times New Roman"/>
          <w:sz w:val="24"/>
          <w:szCs w:val="24"/>
        </w:rPr>
        <w:t>.</w:t>
      </w:r>
      <w:r>
        <w:rPr>
          <w:rFonts w:ascii="Times New Roman" w:hAnsi="Times New Roman" w:cs="Times New Roman"/>
          <w:sz w:val="24"/>
          <w:szCs w:val="24"/>
        </w:rPr>
        <w:t xml:space="preserve"> </w:t>
      </w:r>
      <w:r w:rsidR="00B92759">
        <w:rPr>
          <w:rFonts w:ascii="Times New Roman" w:hAnsi="Times New Roman" w:cs="Times New Roman"/>
          <w:sz w:val="24"/>
          <w:szCs w:val="24"/>
        </w:rPr>
        <w:t>Using propensity matching, w</w:t>
      </w:r>
      <w:r>
        <w:rPr>
          <w:rFonts w:ascii="Times New Roman" w:hAnsi="Times New Roman" w:cs="Times New Roman"/>
          <w:sz w:val="24"/>
          <w:szCs w:val="24"/>
        </w:rPr>
        <w:t>e have demonstrated that DCB-only angioplasty is safe with no difference in mortality</w:t>
      </w:r>
      <w:r w:rsidR="00C921C5">
        <w:rPr>
          <w:rFonts w:ascii="Times New Roman" w:hAnsi="Times New Roman" w:cs="Times New Roman"/>
          <w:sz w:val="24"/>
          <w:szCs w:val="24"/>
        </w:rPr>
        <w:t xml:space="preserve"> or </w:t>
      </w:r>
      <w:r w:rsidR="00EC0C5D">
        <w:rPr>
          <w:rFonts w:ascii="Times New Roman" w:hAnsi="Times New Roman" w:cs="Times New Roman"/>
          <w:sz w:val="24"/>
          <w:szCs w:val="24"/>
        </w:rPr>
        <w:t xml:space="preserve">any of </w:t>
      </w:r>
      <w:r w:rsidR="004D16C8">
        <w:rPr>
          <w:rFonts w:ascii="Times New Roman" w:hAnsi="Times New Roman" w:cs="Times New Roman"/>
          <w:sz w:val="24"/>
          <w:szCs w:val="24"/>
        </w:rPr>
        <w:t>net adverse cardiac events</w:t>
      </w:r>
      <w:r w:rsidR="00C921C5">
        <w:rPr>
          <w:rFonts w:ascii="Times New Roman" w:hAnsi="Times New Roman" w:cs="Times New Roman"/>
          <w:sz w:val="24"/>
          <w:szCs w:val="24"/>
        </w:rPr>
        <w:t xml:space="preserve"> including unplanned TLR,</w:t>
      </w:r>
      <w:r w:rsidR="00FA7861">
        <w:rPr>
          <w:rFonts w:ascii="Times New Roman" w:hAnsi="Times New Roman" w:cs="Times New Roman"/>
          <w:sz w:val="24"/>
          <w:szCs w:val="24"/>
        </w:rPr>
        <w:t xml:space="preserve"> compared to DES in STEMI. </w:t>
      </w:r>
    </w:p>
    <w:p w14:paraId="5B39E4A7" w14:textId="77777777" w:rsidR="007D4DD1" w:rsidRDefault="007D4DD1">
      <w:pPr>
        <w:rPr>
          <w:rFonts w:ascii="Times New Roman" w:hAnsi="Times New Roman" w:cs="Times New Roman"/>
          <w:b/>
          <w:sz w:val="24"/>
          <w:szCs w:val="24"/>
        </w:rPr>
      </w:pPr>
      <w:r>
        <w:rPr>
          <w:rFonts w:ascii="Times New Roman" w:hAnsi="Times New Roman" w:cs="Times New Roman"/>
          <w:b/>
          <w:sz w:val="24"/>
          <w:szCs w:val="24"/>
        </w:rPr>
        <w:br w:type="page"/>
      </w:r>
    </w:p>
    <w:p w14:paraId="40BCF9F9" w14:textId="6607192B" w:rsidR="00024578" w:rsidRDefault="00024578" w:rsidP="00024578">
      <w:pPr>
        <w:rPr>
          <w:rFonts w:ascii="Times New Roman" w:hAnsi="Times New Roman" w:cs="Times New Roman"/>
          <w:b/>
          <w:sz w:val="24"/>
          <w:szCs w:val="24"/>
        </w:rPr>
      </w:pPr>
      <w:r>
        <w:rPr>
          <w:rFonts w:ascii="Times New Roman" w:hAnsi="Times New Roman" w:cs="Times New Roman"/>
          <w:b/>
          <w:sz w:val="24"/>
          <w:szCs w:val="24"/>
        </w:rPr>
        <w:lastRenderedPageBreak/>
        <w:t>Clinical perspective</w:t>
      </w:r>
    </w:p>
    <w:p w14:paraId="0B85F205" w14:textId="62E5D1CA" w:rsidR="00024578" w:rsidRPr="00024578" w:rsidRDefault="00024578" w:rsidP="00024578">
      <w:pPr>
        <w:pStyle w:val="ListParagraph"/>
        <w:numPr>
          <w:ilvl w:val="0"/>
          <w:numId w:val="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pPCI</w:t>
      </w:r>
      <w:proofErr w:type="spellEnd"/>
      <w:r>
        <w:rPr>
          <w:rFonts w:ascii="Times New Roman" w:hAnsi="Times New Roman" w:cs="Times New Roman"/>
          <w:sz w:val="24"/>
          <w:szCs w:val="24"/>
        </w:rPr>
        <w:t xml:space="preserve"> has significantly improved the prognosis of patients with STEMI. DCB-only angioplasty for patients with STEMI has not been fully evaluated.</w:t>
      </w:r>
    </w:p>
    <w:p w14:paraId="2CA26B4E" w14:textId="77777777" w:rsidR="00024578" w:rsidRDefault="00024578" w:rsidP="00024578">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In this analysis of 1139 patients with STEMI there was no difference in all-cause mortality after an average of 3 years, between DCB and 2</w:t>
      </w:r>
      <w:r w:rsidRPr="007E22E2">
        <w:rPr>
          <w:rFonts w:ascii="Times New Roman" w:hAnsi="Times New Roman" w:cs="Times New Roman"/>
          <w:sz w:val="24"/>
          <w:szCs w:val="24"/>
          <w:vertAlign w:val="superscript"/>
        </w:rPr>
        <w:t>nd</w:t>
      </w:r>
      <w:r>
        <w:rPr>
          <w:rFonts w:ascii="Times New Roman" w:hAnsi="Times New Roman" w:cs="Times New Roman"/>
          <w:sz w:val="24"/>
          <w:szCs w:val="24"/>
        </w:rPr>
        <w:t xml:space="preserve"> generation DES. There was no difference in any of the net adverse cardiac events including unplanned TLR. </w:t>
      </w:r>
    </w:p>
    <w:p w14:paraId="310A7B56" w14:textId="1F13F630" w:rsidR="000B20E1" w:rsidRPr="00796E82" w:rsidRDefault="00024578" w:rsidP="000B20E1">
      <w:pPr>
        <w:pStyle w:val="ListParagraph"/>
        <w:numPr>
          <w:ilvl w:val="0"/>
          <w:numId w:val="1"/>
        </w:numPr>
        <w:spacing w:line="480" w:lineRule="auto"/>
        <w:jc w:val="both"/>
        <w:rPr>
          <w:rFonts w:ascii="Times New Roman" w:hAnsi="Times New Roman" w:cs="Times New Roman"/>
          <w:b/>
          <w:sz w:val="24"/>
          <w:szCs w:val="24"/>
        </w:rPr>
      </w:pPr>
      <w:r w:rsidRPr="00CB7501">
        <w:rPr>
          <w:rFonts w:ascii="Times New Roman" w:hAnsi="Times New Roman" w:cs="Times New Roman"/>
          <w:sz w:val="24"/>
          <w:szCs w:val="24"/>
        </w:rPr>
        <w:t>DCB-only angioplasty in STEMI appears safe and can be considered</w:t>
      </w:r>
      <w:r w:rsidR="00CC299F">
        <w:rPr>
          <w:rFonts w:ascii="Times New Roman" w:hAnsi="Times New Roman" w:cs="Times New Roman"/>
          <w:sz w:val="24"/>
          <w:szCs w:val="24"/>
        </w:rPr>
        <w:t>.</w:t>
      </w:r>
    </w:p>
    <w:p w14:paraId="35938C7F" w14:textId="77777777" w:rsidR="00FA7861" w:rsidRDefault="00FA7861" w:rsidP="00943677">
      <w:pPr>
        <w:spacing w:line="480" w:lineRule="auto"/>
        <w:jc w:val="both"/>
        <w:rPr>
          <w:rFonts w:ascii="Times New Roman" w:hAnsi="Times New Roman" w:cs="Times New Roman"/>
          <w:sz w:val="24"/>
          <w:szCs w:val="24"/>
        </w:rPr>
      </w:pPr>
    </w:p>
    <w:p w14:paraId="7D5F02BE" w14:textId="77777777" w:rsidR="00D76206" w:rsidRDefault="00D76206">
      <w:pPr>
        <w:rPr>
          <w:rFonts w:ascii="Times New Roman" w:hAnsi="Times New Roman" w:cs="Times New Roman"/>
          <w:b/>
          <w:sz w:val="24"/>
          <w:szCs w:val="24"/>
        </w:rPr>
      </w:pPr>
      <w:r>
        <w:rPr>
          <w:rFonts w:ascii="Times New Roman" w:hAnsi="Times New Roman" w:cs="Times New Roman"/>
          <w:b/>
          <w:sz w:val="24"/>
          <w:szCs w:val="24"/>
        </w:rPr>
        <w:br w:type="page"/>
      </w:r>
    </w:p>
    <w:p w14:paraId="22DDE2F4" w14:textId="457C638A" w:rsidR="00E91F69" w:rsidRPr="00E91F69" w:rsidRDefault="000B20E1" w:rsidP="00741EDE">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References</w:t>
      </w:r>
    </w:p>
    <w:p w14:paraId="47A62CD1" w14:textId="28A50BFA" w:rsidR="0014327F" w:rsidRPr="0014327F" w:rsidRDefault="00E91F69"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14327F" w:rsidRPr="0014327F">
        <w:rPr>
          <w:rFonts w:ascii="Times New Roman" w:hAnsi="Times New Roman" w:cs="Times New Roman"/>
          <w:noProof/>
          <w:sz w:val="24"/>
          <w:szCs w:val="24"/>
        </w:rPr>
        <w:t xml:space="preserve">1. </w:t>
      </w:r>
      <w:r w:rsidR="0014327F" w:rsidRPr="0014327F">
        <w:rPr>
          <w:rFonts w:ascii="Times New Roman" w:hAnsi="Times New Roman" w:cs="Times New Roman"/>
          <w:noProof/>
          <w:sz w:val="24"/>
          <w:szCs w:val="24"/>
        </w:rPr>
        <w:tab/>
        <w:t>Ibanez B, James S, Agewall S, Antunes MJ, Bucciarelli-Ducci C, Bueno H, Caforio ALP, Crea F, Goudevenos JA, Halvorsen S, Hindricks G, Kastrati A, Lenzen MJ, Prescott E, Roffi M, Valgimigli M, Varenhorst C, Vranckx P, Widimský P, et al. 2017 ESC Guidelines for the management of acute myocardial infarction in patients presenting with ST-segment elevation. Eur Heart J. 2018;39(2):119–77. DOI 10.1093/eurheartj/ehx393PMID 28886621</w:t>
      </w:r>
    </w:p>
    <w:p w14:paraId="4D12340D"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2. </w:t>
      </w:r>
      <w:r w:rsidRPr="0014327F">
        <w:rPr>
          <w:rFonts w:ascii="Times New Roman" w:hAnsi="Times New Roman" w:cs="Times New Roman"/>
          <w:noProof/>
          <w:sz w:val="24"/>
          <w:szCs w:val="24"/>
        </w:rPr>
        <w:tab/>
        <w:t>Palmerini T, Biondi-Zoccai G, Della Riva D, Mariani A, Sabaté M, Valgimigli M, Frati G, Kedhi E, Smits PC, Kaiser C, Genereux P, Galatius S, Kirtane AJ, Stone GW. Clinical outcomes with drug-eluting and bare-metal stents in patients with ST-segment elevation myocardial infarction: Evidence from a comprehensive network meta-analysis. J Am Coll Cardiol. 2013;62(6):496–504. DOI 10.1016/j.jacc.2013.05.022PMID 23747778</w:t>
      </w:r>
    </w:p>
    <w:p w14:paraId="4E63C6AA"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3. </w:t>
      </w:r>
      <w:r w:rsidRPr="0014327F">
        <w:rPr>
          <w:rFonts w:ascii="Times New Roman" w:hAnsi="Times New Roman" w:cs="Times New Roman"/>
          <w:noProof/>
          <w:sz w:val="24"/>
          <w:szCs w:val="24"/>
        </w:rPr>
        <w:tab/>
        <w:t>Yerasi C, Case BC, Forrestal BJ, Torguson R, Weintraub WS, Garcia-Garcia HM, Waksman R. Drug-Coated Balloon for De Novo Coronary Artery Disease: JACC State-of-the-Art Review. J Am Coll Cardiol. 2020;75(9):1061–73. DOI 10.1016/j.jacc.2019.12.046PMID 32138967</w:t>
      </w:r>
    </w:p>
    <w:p w14:paraId="64C94FD5"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4. </w:t>
      </w:r>
      <w:r w:rsidRPr="0014327F">
        <w:rPr>
          <w:rFonts w:ascii="Times New Roman" w:hAnsi="Times New Roman" w:cs="Times New Roman"/>
          <w:noProof/>
          <w:sz w:val="24"/>
          <w:szCs w:val="24"/>
        </w:rPr>
        <w:tab/>
        <w:t>Merinopoulos I, Gunawardena T, Wickramarachchi U, Ryding A, Eccleshall S, Vassiliou V. Percutaneous Coronary Intervention in the Elderly: Are Drug-coated Balloons the Future? Curr Cardiol Rev. 2018;14(1):45–52. DOI 10.2174/1573403X14666171226144120</w:t>
      </w:r>
    </w:p>
    <w:p w14:paraId="1A0883AF"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5. </w:t>
      </w:r>
      <w:r w:rsidRPr="0014327F">
        <w:rPr>
          <w:rFonts w:ascii="Times New Roman" w:hAnsi="Times New Roman" w:cs="Times New Roman"/>
          <w:noProof/>
          <w:sz w:val="24"/>
          <w:szCs w:val="24"/>
        </w:rPr>
        <w:tab/>
        <w:t xml:space="preserve">Jeger R V., Eccleshall S, Wan Ahmad WA, Ge J, Poerner TC, Shin ES, Alfonso F, Latib A, Ong PJ, Rissanen TT, Saucedo J, Scheller B, Kleber FX. Drug-Coated Balloons for Coronary Artery Disease: Third Report of the International DCB Consensus Group. JACC Cardiovasc Interv. 2020;13(12):1391–402. DOI </w:t>
      </w:r>
      <w:r w:rsidRPr="0014327F">
        <w:rPr>
          <w:rFonts w:ascii="Times New Roman" w:hAnsi="Times New Roman" w:cs="Times New Roman"/>
          <w:noProof/>
          <w:sz w:val="24"/>
          <w:szCs w:val="24"/>
        </w:rPr>
        <w:lastRenderedPageBreak/>
        <w:t>10.1016/j.jcin.2020.02.043PMID 32473887</w:t>
      </w:r>
    </w:p>
    <w:p w14:paraId="53B09A3A"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6. </w:t>
      </w:r>
      <w:r w:rsidRPr="0014327F">
        <w:rPr>
          <w:rFonts w:ascii="Times New Roman" w:hAnsi="Times New Roman" w:cs="Times New Roman"/>
          <w:noProof/>
          <w:sz w:val="24"/>
          <w:szCs w:val="24"/>
        </w:rPr>
        <w:tab/>
        <w:t>Rissanen TT, Uskela S, Eränen J, Mäntylä P, Olli A, Romppanen H, Siljander A, Pietilä M, Minkkinen MJ, Tervo J, Kärkkäinen JM, Vatanen A, Perälä A, Müller M, Porela P, Palojoki E. Drug-coated balloon for treatment of de-novo coronary artery lesions in patients with high bleeding risk (DEBUT): a single-blind, randomised, non-inferiority trial. Lancet. 2019;394(10194):230–9. DOI 10.1016/S0140-6736(19)31126-2PMID 31204115</w:t>
      </w:r>
    </w:p>
    <w:p w14:paraId="3919921D"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7. </w:t>
      </w:r>
      <w:r w:rsidRPr="0014327F">
        <w:rPr>
          <w:rFonts w:ascii="Times New Roman" w:hAnsi="Times New Roman" w:cs="Times New Roman"/>
          <w:noProof/>
          <w:sz w:val="24"/>
          <w:szCs w:val="24"/>
        </w:rPr>
        <w:tab/>
        <w:t>Jeger R V, Farah A, Ohlow M, Mangner N, Möbius-winkler S, Leibundgut G, Weilenmann D. Drug-coated balloons for small coronary artery disease (BASKET-SMALL 2): an open-label non-inferiority trial. Lancet. 2018;6736(18):1–8. DOI 10.1016/S0140-6736(18)31719-7</w:t>
      </w:r>
    </w:p>
    <w:p w14:paraId="250743B8"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8. </w:t>
      </w:r>
      <w:r w:rsidRPr="0014327F">
        <w:rPr>
          <w:rFonts w:ascii="Times New Roman" w:hAnsi="Times New Roman" w:cs="Times New Roman"/>
          <w:noProof/>
          <w:sz w:val="24"/>
          <w:szCs w:val="24"/>
        </w:rPr>
        <w:tab/>
        <w:t>Neumann FJ, Sousa-Uva M, Ahlsson A, Alfonso F, Banning AP, Benedetto U, Byrne RA, Collet JP, Falk V, Head SJ, Jüni P, Kastrati A, Koller A, Kristensen SD, Niebauer J, Richter DJ, Seferovic PM, Sibbing D, Stefanini GG, et al. 2018 ESC/EACTS Guidelines on myocardial revascularization. Eur Heart J. 2019;40(2):87–165. DOI 10.1093/eurheartj/ehy394PMID 30165437</w:t>
      </w:r>
    </w:p>
    <w:p w14:paraId="22BDB3E0"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9. </w:t>
      </w:r>
      <w:r w:rsidRPr="0014327F">
        <w:rPr>
          <w:rFonts w:ascii="Times New Roman" w:hAnsi="Times New Roman" w:cs="Times New Roman"/>
          <w:noProof/>
          <w:sz w:val="24"/>
          <w:szCs w:val="24"/>
        </w:rPr>
        <w:tab/>
        <w:t>Merinopoulos I, Gunawardena T, Corballis N, Bhalraam U, Gilbert T, Maart C, Richardson P, Ryding A, Sarev T, Sawh C, Sulfi S, Wickramarachchi U, Wistow T, Mohamed MO, Mamas MA, Vassiliou VS, Eccleshall SC. Paclitaxel drug-coated balloon-only angioplasty for de novo coronary artery disease in elective clinical practice. Clin Res Cardiol. 2022; DOI 10.1007/s00392-022-02106-y</w:t>
      </w:r>
    </w:p>
    <w:p w14:paraId="62AA5D88"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10. </w:t>
      </w:r>
      <w:r w:rsidRPr="0014327F">
        <w:rPr>
          <w:rFonts w:ascii="Times New Roman" w:hAnsi="Times New Roman" w:cs="Times New Roman"/>
          <w:noProof/>
          <w:sz w:val="24"/>
          <w:szCs w:val="24"/>
        </w:rPr>
        <w:tab/>
        <w:t xml:space="preserve">Merinopoulos I, Gunawardena T, Wickramarachchi U, Richardson P, Maart C, Sreekumar S, Sawh C, Wistow T, Sarev T, Ryding A, Gilbert T, Perperoglou A, Vassiliou VS, Eccleshall SC. Long-term safety of paclitaxel drug-coated balloon-only angioplasty for de novo coronary artery disease: the SPARTAN DCB study. Clin Res </w:t>
      </w:r>
      <w:r w:rsidRPr="0014327F">
        <w:rPr>
          <w:rFonts w:ascii="Times New Roman" w:hAnsi="Times New Roman" w:cs="Times New Roman"/>
          <w:noProof/>
          <w:sz w:val="24"/>
          <w:szCs w:val="24"/>
        </w:rPr>
        <w:lastRenderedPageBreak/>
        <w:t>Cardiol. 2020; DOI 10.1007/s00392-020-01734-6</w:t>
      </w:r>
    </w:p>
    <w:p w14:paraId="3CD31D59"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11. </w:t>
      </w:r>
      <w:r w:rsidRPr="0014327F">
        <w:rPr>
          <w:rFonts w:ascii="Times New Roman" w:hAnsi="Times New Roman" w:cs="Times New Roman"/>
          <w:noProof/>
          <w:sz w:val="24"/>
          <w:szCs w:val="24"/>
        </w:rPr>
        <w:tab/>
        <w:t>Ho HH. Preliminary experience with drug-coated balloon angioplasty in primary percutaneous coronary intervention. World J Cardiol. 2015;7(6):311. DOI 10.4330/wjc.v7.i6.311PMID 26131335</w:t>
      </w:r>
    </w:p>
    <w:p w14:paraId="0A19AB3D"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12. </w:t>
      </w:r>
      <w:r w:rsidRPr="0014327F">
        <w:rPr>
          <w:rFonts w:ascii="Times New Roman" w:hAnsi="Times New Roman" w:cs="Times New Roman"/>
          <w:noProof/>
          <w:sz w:val="24"/>
          <w:szCs w:val="24"/>
        </w:rPr>
        <w:tab/>
        <w:t>Teacher L, Yellow D, King A, Zhang JC, Liu LH, Road Y. Study on the safety and effectiveness of drug-coated balloons in patients with acute myocardial infarction. J Cardiothorac Surg. 2021;16(1):1–7. DOI 10.1186/s13019-021-01525-8</w:t>
      </w:r>
    </w:p>
    <w:p w14:paraId="15CAF6B7"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13. </w:t>
      </w:r>
      <w:r w:rsidRPr="0014327F">
        <w:rPr>
          <w:rFonts w:ascii="Times New Roman" w:hAnsi="Times New Roman" w:cs="Times New Roman"/>
          <w:noProof/>
          <w:sz w:val="24"/>
          <w:szCs w:val="24"/>
        </w:rPr>
        <w:tab/>
        <w:t>Nijhoff F, Agostoni P, Belkacemi A, Nathoe HM, Voskuil M, Samim M, Doevendans PA, Stella PR. Primary percutaneous coronary intervention by drug-eluting balloon angioplasty: The nonrandomized fourth arm of the DEB-AMI (drug-eluting balloon in ST-segment elevation myocardial infarction) trial. Catheter Cardiovasc Interv. 2015;86:S34–44. DOI 10.1002/ccd.26060PMID 26119971</w:t>
      </w:r>
    </w:p>
    <w:p w14:paraId="26677CC2"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14. </w:t>
      </w:r>
      <w:r w:rsidRPr="0014327F">
        <w:rPr>
          <w:rFonts w:ascii="Times New Roman" w:hAnsi="Times New Roman" w:cs="Times New Roman"/>
          <w:noProof/>
          <w:sz w:val="24"/>
          <w:szCs w:val="24"/>
        </w:rPr>
        <w:tab/>
        <w:t>Garcia-Garcia HM, McFadden EP, Farb A, Mehran R, Stone GW, Spertus J, Onuma Y, Morel MA, Van Es GA, Zuckerman B, Fearon WF, Taggart D, Kappetein AP, Krucoff MW, Vranckx P, Windecker S, Cutlip D, Serruys PW. Standardized end point definitions for coronary intervention trials: The academic research consortium-2 consensus document. Circulation. 2018;137(24):2635–50. DOI 10.1161/CIRCULATIONAHA.117.029289PMID 29891620</w:t>
      </w:r>
    </w:p>
    <w:p w14:paraId="6B29F3BE"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15. </w:t>
      </w:r>
      <w:r w:rsidRPr="0014327F">
        <w:rPr>
          <w:rFonts w:ascii="Times New Roman" w:hAnsi="Times New Roman" w:cs="Times New Roman"/>
          <w:noProof/>
          <w:sz w:val="24"/>
          <w:szCs w:val="24"/>
        </w:rPr>
        <w:tab/>
        <w:t>Gilbert T, Neuburger J, Kraindler J, Keeble E, Smith P, Ariti C, Arora S, Street A, Parker S, Roberts HC, Bardsley M, Conroy S. Development and validation of a Hospital Frailty Risk Score focusing on older people in acute care settings using electronic hospital records: an observational study. Lancet. 2018;391(10132):1775–82. DOI 10.1016/S0140-6736(18)30668-8PMID 29706364</w:t>
      </w:r>
    </w:p>
    <w:p w14:paraId="4378B4FD"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16. </w:t>
      </w:r>
      <w:r w:rsidRPr="0014327F">
        <w:rPr>
          <w:rFonts w:ascii="Times New Roman" w:hAnsi="Times New Roman" w:cs="Times New Roman"/>
          <w:noProof/>
          <w:sz w:val="24"/>
          <w:szCs w:val="24"/>
        </w:rPr>
        <w:tab/>
        <w:t xml:space="preserve">Mehran R, Pocock SJ, Nikolsky E, Clayton T, Dangas GD, Kirtane AJ, Parise H, Fahy M, Manoukian S V., Feit F, Ohman ME, Witzenbichler B, Guagliumi G, Lansky AJ, </w:t>
      </w:r>
      <w:r w:rsidRPr="0014327F">
        <w:rPr>
          <w:rFonts w:ascii="Times New Roman" w:hAnsi="Times New Roman" w:cs="Times New Roman"/>
          <w:noProof/>
          <w:sz w:val="24"/>
          <w:szCs w:val="24"/>
        </w:rPr>
        <w:lastRenderedPageBreak/>
        <w:t>Stone GW. A Risk Score to Predict Bleeding in Patients With Acute Coronary Syndromes. J Am Coll Cardiol. 2010;55(23):2556–66. DOI 10.1016/j.jacc.2009.09.076PMID 20513595</w:t>
      </w:r>
    </w:p>
    <w:p w14:paraId="08C41638"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17. </w:t>
      </w:r>
      <w:r w:rsidRPr="0014327F">
        <w:rPr>
          <w:rFonts w:ascii="Times New Roman" w:hAnsi="Times New Roman" w:cs="Times New Roman"/>
          <w:noProof/>
          <w:sz w:val="24"/>
          <w:szCs w:val="24"/>
        </w:rPr>
        <w:tab/>
        <w:t>Grines C, Browse K, Marco J, Rothbaum D, Stone G, O’Keefe J, Overlie P, Donohue B, Chelliah N, Timmis G, Vlietstra R, Strzelecki M, Puchrowicz-Ochocki S, W O. A comparison of immediate angioplasty with thrombolytic therapy for acute myocardial infarction. N Engl J Med. 1993;328(10):673–9. DOI 10.1056/NEJM199303113281001</w:t>
      </w:r>
    </w:p>
    <w:p w14:paraId="659520AF"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18. </w:t>
      </w:r>
      <w:r w:rsidRPr="0014327F">
        <w:rPr>
          <w:rFonts w:ascii="Times New Roman" w:hAnsi="Times New Roman" w:cs="Times New Roman"/>
          <w:noProof/>
          <w:sz w:val="24"/>
          <w:szCs w:val="24"/>
        </w:rPr>
        <w:tab/>
        <w:t>Zijlstra F. Long-term benefit of primary angioplasty compared to thrombolytic therapy for acute myocardial infarction. Eur Heart J. 2000;21(18):1487–9. DOI 10.1053/euhj.2000.2192PMID 10973757</w:t>
      </w:r>
    </w:p>
    <w:p w14:paraId="2513B836"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19. </w:t>
      </w:r>
      <w:r w:rsidRPr="0014327F">
        <w:rPr>
          <w:rFonts w:ascii="Times New Roman" w:hAnsi="Times New Roman" w:cs="Times New Roman"/>
          <w:noProof/>
          <w:sz w:val="24"/>
          <w:szCs w:val="24"/>
        </w:rPr>
        <w:tab/>
        <w:t>Bangalore S, Amoroso N, Fusaro M, Kumar S, Feit F. Outcomes with various drug-eluting or bare metal stents in patients with st-segment-elevation myocardial infarction: A mixed treatment comparison analysis of trial level data from 34 068 patient-years of follow-up from randomized trials. Circ Cardiovasc Interv. 2013;6(4):378–90. DOI 10.1161/CIRCINTERVENTIONS.113.000415PMID 23922145</w:t>
      </w:r>
    </w:p>
    <w:p w14:paraId="008EB2E8"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20. </w:t>
      </w:r>
      <w:r w:rsidRPr="0014327F">
        <w:rPr>
          <w:rFonts w:ascii="Times New Roman" w:hAnsi="Times New Roman" w:cs="Times New Roman"/>
          <w:noProof/>
          <w:sz w:val="24"/>
          <w:szCs w:val="24"/>
        </w:rPr>
        <w:tab/>
        <w:t>Chichareon P, Modolo R, Collet C, Tenekecioglu E, Vink MA, Oh PC, Ahn JM, Musto C, Díaz de la Llera LS, Cho YS, Violini R, Park SJ, Suryapranata H, Piek JJ, de Winter RJ, Wykrzykowska JJ, Spaulding C, Kang WC, Slagboom T, et al. Efficacy and Safety of Stents in ST-Segment Elevation Myocardial Infarction. J Am Coll Cardiol. 2019;74(21):2572–84. DOI 10.1016/j.jacc.2019.09.038PMID 31753202</w:t>
      </w:r>
    </w:p>
    <w:p w14:paraId="7D722619"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21. </w:t>
      </w:r>
      <w:r w:rsidRPr="0014327F">
        <w:rPr>
          <w:rFonts w:ascii="Times New Roman" w:hAnsi="Times New Roman" w:cs="Times New Roman"/>
          <w:noProof/>
          <w:sz w:val="24"/>
          <w:szCs w:val="24"/>
        </w:rPr>
        <w:tab/>
        <w:t>Vos NS, Fagel ND, Amoroso G, Herrman JPR, Patterson MS, Piers LH, van der Schaaf RJ, Slagboom T, Vink MA. Paclitaxel-Coated Balloon Angioplasty Versus Drug-Eluting Stent in Acute Myocardial Infarction: The REVELATION Randomized Trial. JACC Cardiovasc Interv. 2019;12(17):1691–9. DOI 10.1016/j.jcin.2019.04.016</w:t>
      </w:r>
    </w:p>
    <w:p w14:paraId="1F2C99A7"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lastRenderedPageBreak/>
        <w:t xml:space="preserve">22. </w:t>
      </w:r>
      <w:r w:rsidRPr="0014327F">
        <w:rPr>
          <w:rFonts w:ascii="Times New Roman" w:hAnsi="Times New Roman" w:cs="Times New Roman"/>
          <w:noProof/>
          <w:sz w:val="24"/>
          <w:szCs w:val="24"/>
        </w:rPr>
        <w:tab/>
        <w:t>Gobić D, Tomulić V, Lulić D, Židan D, Brusich S, Jakljević T, Zaputović L. Drug-Coated Balloon Versus Drug-Eluting Stent in Primary Percutaneous Coronary Intervention: A Feasibility Study. Am J Med Sci. 2017;354(6):553–60. DOI 10.1016/j.amjms.2017.07.005PMID 29208251</w:t>
      </w:r>
    </w:p>
    <w:p w14:paraId="0D0F5165"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14327F">
        <w:rPr>
          <w:rFonts w:ascii="Times New Roman" w:hAnsi="Times New Roman" w:cs="Times New Roman"/>
          <w:noProof/>
          <w:sz w:val="24"/>
          <w:szCs w:val="24"/>
        </w:rPr>
        <w:t xml:space="preserve">23. </w:t>
      </w:r>
      <w:r w:rsidRPr="0014327F">
        <w:rPr>
          <w:rFonts w:ascii="Times New Roman" w:hAnsi="Times New Roman" w:cs="Times New Roman"/>
          <w:noProof/>
          <w:sz w:val="24"/>
          <w:szCs w:val="24"/>
        </w:rPr>
        <w:tab/>
        <w:t xml:space="preserve">Ludman PF. BCIS Audit returns adult interventional procedures [Internet]. 2019 [cited 2019 Oct 28]. </w:t>
      </w:r>
    </w:p>
    <w:p w14:paraId="1FB24C3C" w14:textId="77777777" w:rsidR="0014327F" w:rsidRPr="0014327F" w:rsidRDefault="0014327F" w:rsidP="0014327F">
      <w:pPr>
        <w:widowControl w:val="0"/>
        <w:autoSpaceDE w:val="0"/>
        <w:autoSpaceDN w:val="0"/>
        <w:adjustRightInd w:val="0"/>
        <w:spacing w:after="0" w:line="480" w:lineRule="auto"/>
        <w:ind w:left="640" w:hanging="640"/>
        <w:rPr>
          <w:rFonts w:ascii="Times New Roman" w:hAnsi="Times New Roman" w:cs="Times New Roman"/>
          <w:noProof/>
          <w:sz w:val="24"/>
        </w:rPr>
      </w:pPr>
      <w:r w:rsidRPr="0014327F">
        <w:rPr>
          <w:rFonts w:ascii="Times New Roman" w:hAnsi="Times New Roman" w:cs="Times New Roman"/>
          <w:noProof/>
          <w:sz w:val="24"/>
          <w:szCs w:val="24"/>
        </w:rPr>
        <w:t xml:space="preserve">24. </w:t>
      </w:r>
      <w:r w:rsidRPr="0014327F">
        <w:rPr>
          <w:rFonts w:ascii="Times New Roman" w:hAnsi="Times New Roman" w:cs="Times New Roman"/>
          <w:noProof/>
          <w:sz w:val="24"/>
          <w:szCs w:val="24"/>
        </w:rPr>
        <w:tab/>
        <w:t>Urban P, Mehran R, Colleran R, Angiolillo DJ, Byrne RA, Capodanno D, Cuisset T, Cutlip D, Eerdmans P, Eikelboom J, Farb A, Gibson CM, Gregson J, Haude M, James SK, Kim HS, Kimura T, Konishi A, Laschinger J, et al. Defining high bleeding risk in patients undergoing percutaneous coronary intervention: a consensus document from the Academic Research Consortium for High Bleeding Risk. Eur Heart J. 2019;40(31):2632–53. DOI 10.1093/eurheartj/ehz372PMID 31116395</w:t>
      </w:r>
    </w:p>
    <w:p w14:paraId="150487B0" w14:textId="2FFDE2BF" w:rsidR="008D3C49" w:rsidRDefault="00E91F69" w:rsidP="008C1720">
      <w:pPr>
        <w:widowControl w:val="0"/>
        <w:autoSpaceDE w:val="0"/>
        <w:autoSpaceDN w:val="0"/>
        <w:adjustRightInd w:val="0"/>
        <w:spacing w:after="0" w:line="480" w:lineRule="auto"/>
        <w:ind w:left="640" w:hanging="640"/>
        <w:rPr>
          <w:rFonts w:ascii="Times New Roman" w:hAnsi="Times New Roman" w:cs="Times New Roman"/>
          <w:sz w:val="24"/>
          <w:szCs w:val="24"/>
        </w:rPr>
      </w:pPr>
      <w:r>
        <w:rPr>
          <w:rFonts w:ascii="Times New Roman" w:hAnsi="Times New Roman" w:cs="Times New Roman"/>
          <w:sz w:val="24"/>
          <w:szCs w:val="24"/>
        </w:rPr>
        <w:fldChar w:fldCharType="end"/>
      </w:r>
    </w:p>
    <w:p w14:paraId="37DAA482" w14:textId="77777777" w:rsidR="00E5645F" w:rsidRDefault="00E5645F">
      <w:pPr>
        <w:rPr>
          <w:rFonts w:ascii="Times New Roman" w:hAnsi="Times New Roman" w:cs="Times New Roman"/>
          <w:b/>
          <w:sz w:val="24"/>
          <w:szCs w:val="24"/>
        </w:rPr>
      </w:pPr>
      <w:r>
        <w:rPr>
          <w:rFonts w:ascii="Times New Roman" w:hAnsi="Times New Roman" w:cs="Times New Roman"/>
          <w:b/>
          <w:sz w:val="24"/>
          <w:szCs w:val="24"/>
        </w:rPr>
        <w:br w:type="page"/>
      </w:r>
    </w:p>
    <w:p w14:paraId="409642C6" w14:textId="10701B79" w:rsidR="00D50006" w:rsidRPr="00D50006" w:rsidRDefault="00D1528A" w:rsidP="00D5000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Figure titles and </w:t>
      </w:r>
      <w:r w:rsidR="00D50006" w:rsidRPr="00D50006">
        <w:rPr>
          <w:rFonts w:ascii="Times New Roman" w:hAnsi="Times New Roman" w:cs="Times New Roman"/>
          <w:b/>
          <w:sz w:val="24"/>
          <w:szCs w:val="24"/>
        </w:rPr>
        <w:t>legends</w:t>
      </w:r>
    </w:p>
    <w:p w14:paraId="1C41B5EE" w14:textId="77777777" w:rsidR="00D1528A" w:rsidRDefault="00D1528A" w:rsidP="00D50006">
      <w:pPr>
        <w:pStyle w:val="NoSpacing"/>
        <w:spacing w:line="480" w:lineRule="auto"/>
        <w:jc w:val="both"/>
        <w:rPr>
          <w:rFonts w:ascii="Times New Roman" w:hAnsi="Times New Roman" w:cs="Times New Roman"/>
          <w:b/>
          <w:sz w:val="24"/>
          <w:szCs w:val="24"/>
        </w:rPr>
      </w:pPr>
    </w:p>
    <w:p w14:paraId="11994ED9" w14:textId="26E800C7" w:rsidR="00D50006" w:rsidRPr="00D1528A" w:rsidRDefault="00771730" w:rsidP="00D5000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Figure</w:t>
      </w:r>
      <w:r w:rsidR="00E3328E">
        <w:rPr>
          <w:rFonts w:ascii="Times New Roman" w:hAnsi="Times New Roman" w:cs="Times New Roman"/>
          <w:b/>
          <w:sz w:val="24"/>
          <w:szCs w:val="24"/>
        </w:rPr>
        <w:t xml:space="preserve"> </w:t>
      </w:r>
      <w:r>
        <w:rPr>
          <w:rFonts w:ascii="Times New Roman" w:hAnsi="Times New Roman" w:cs="Times New Roman"/>
          <w:b/>
          <w:sz w:val="24"/>
          <w:szCs w:val="24"/>
        </w:rPr>
        <w:t>1.</w:t>
      </w:r>
      <w:r w:rsidR="00D1528A">
        <w:rPr>
          <w:rFonts w:ascii="Times New Roman" w:hAnsi="Times New Roman" w:cs="Times New Roman"/>
          <w:b/>
          <w:sz w:val="24"/>
          <w:szCs w:val="24"/>
        </w:rPr>
        <w:t xml:space="preserve"> Title:</w:t>
      </w:r>
      <w:r w:rsidR="0025276C">
        <w:rPr>
          <w:rFonts w:ascii="Times New Roman" w:hAnsi="Times New Roman" w:cs="Times New Roman"/>
          <w:b/>
          <w:sz w:val="24"/>
          <w:szCs w:val="24"/>
        </w:rPr>
        <w:t xml:space="preserve"> C</w:t>
      </w:r>
      <w:r w:rsidR="00D50006" w:rsidRPr="00D50006">
        <w:rPr>
          <w:rFonts w:ascii="Times New Roman" w:hAnsi="Times New Roman" w:cs="Times New Roman"/>
          <w:b/>
          <w:sz w:val="24"/>
          <w:szCs w:val="24"/>
        </w:rPr>
        <w:t>onsort diagram</w:t>
      </w:r>
    </w:p>
    <w:p w14:paraId="4172992C" w14:textId="76361778" w:rsidR="00D50006" w:rsidRPr="00D50006" w:rsidRDefault="00771730" w:rsidP="00D5000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Figure 1.</w:t>
      </w:r>
      <w:r w:rsidR="00D50006" w:rsidRPr="00D50006">
        <w:rPr>
          <w:rFonts w:ascii="Times New Roman" w:hAnsi="Times New Roman" w:cs="Times New Roman"/>
          <w:b/>
          <w:sz w:val="24"/>
          <w:szCs w:val="24"/>
        </w:rPr>
        <w:t xml:space="preserve"> </w:t>
      </w:r>
      <w:r w:rsidR="00D1528A">
        <w:rPr>
          <w:rFonts w:ascii="Times New Roman" w:hAnsi="Times New Roman" w:cs="Times New Roman"/>
          <w:b/>
          <w:sz w:val="24"/>
          <w:szCs w:val="24"/>
        </w:rPr>
        <w:t xml:space="preserve">Legend: </w:t>
      </w:r>
      <w:r w:rsidR="00D50006" w:rsidRPr="00D50006">
        <w:rPr>
          <w:rFonts w:ascii="Times New Roman" w:hAnsi="Times New Roman" w:cs="Times New Roman"/>
          <w:b/>
          <w:sz w:val="24"/>
          <w:szCs w:val="24"/>
        </w:rPr>
        <w:t xml:space="preserve">Consort diagram indicating how the final </w:t>
      </w:r>
      <w:r w:rsidR="0025276C">
        <w:rPr>
          <w:rFonts w:ascii="Times New Roman" w:hAnsi="Times New Roman" w:cs="Times New Roman"/>
          <w:b/>
          <w:sz w:val="24"/>
          <w:szCs w:val="24"/>
        </w:rPr>
        <w:t>population included in the analysis</w:t>
      </w:r>
      <w:r w:rsidR="00D50006" w:rsidRPr="00D50006">
        <w:rPr>
          <w:rFonts w:ascii="Times New Roman" w:hAnsi="Times New Roman" w:cs="Times New Roman"/>
          <w:b/>
          <w:sz w:val="24"/>
          <w:szCs w:val="24"/>
        </w:rPr>
        <w:t xml:space="preserve"> was identified</w:t>
      </w:r>
    </w:p>
    <w:p w14:paraId="646B0B9E" w14:textId="77777777" w:rsidR="00D50006" w:rsidRDefault="00D50006" w:rsidP="00D50006">
      <w:pPr>
        <w:pStyle w:val="NoSpacing"/>
        <w:spacing w:line="480" w:lineRule="auto"/>
        <w:jc w:val="both"/>
        <w:rPr>
          <w:rFonts w:ascii="Times New Roman" w:hAnsi="Times New Roman" w:cs="Times New Roman"/>
          <w:b/>
          <w:sz w:val="24"/>
          <w:szCs w:val="24"/>
        </w:rPr>
      </w:pPr>
      <w:r w:rsidRPr="00D50006">
        <w:rPr>
          <w:rFonts w:ascii="Times New Roman" w:hAnsi="Times New Roman" w:cs="Times New Roman"/>
          <w:b/>
          <w:sz w:val="24"/>
          <w:szCs w:val="24"/>
        </w:rPr>
        <w:t>STEMI: ST segment elevation myocardial infarction, DCB: drug coated balloon, DES: drug eluting stent, POBA: plain old balloon angioplasty, BMS: bare metal stent</w:t>
      </w:r>
    </w:p>
    <w:p w14:paraId="76CFF455" w14:textId="142F3DFF" w:rsidR="004641B4" w:rsidRDefault="004641B4">
      <w:pPr>
        <w:rPr>
          <w:rFonts w:ascii="Times New Roman" w:hAnsi="Times New Roman" w:cs="Times New Roman"/>
          <w:b/>
          <w:sz w:val="24"/>
          <w:szCs w:val="24"/>
        </w:rPr>
      </w:pPr>
    </w:p>
    <w:p w14:paraId="08C92F79" w14:textId="7F5C9DD4" w:rsidR="00D50006" w:rsidRPr="00D50006" w:rsidRDefault="00D50006" w:rsidP="00D50006">
      <w:pPr>
        <w:pStyle w:val="NoSpacing"/>
        <w:spacing w:line="480" w:lineRule="auto"/>
        <w:jc w:val="both"/>
        <w:rPr>
          <w:rFonts w:ascii="Times New Roman" w:hAnsi="Times New Roman" w:cs="Times New Roman"/>
          <w:b/>
          <w:sz w:val="24"/>
          <w:szCs w:val="24"/>
        </w:rPr>
      </w:pPr>
      <w:r w:rsidRPr="00D50006">
        <w:rPr>
          <w:rFonts w:ascii="Times New Roman" w:hAnsi="Times New Roman" w:cs="Times New Roman"/>
          <w:b/>
          <w:sz w:val="24"/>
          <w:szCs w:val="24"/>
        </w:rPr>
        <w:t>Fig</w:t>
      </w:r>
      <w:r w:rsidR="00771730">
        <w:rPr>
          <w:rFonts w:ascii="Times New Roman" w:hAnsi="Times New Roman" w:cs="Times New Roman"/>
          <w:b/>
          <w:sz w:val="24"/>
          <w:szCs w:val="24"/>
        </w:rPr>
        <w:t>ure</w:t>
      </w:r>
      <w:r w:rsidRPr="00D50006">
        <w:rPr>
          <w:rFonts w:ascii="Times New Roman" w:hAnsi="Times New Roman" w:cs="Times New Roman"/>
          <w:b/>
          <w:sz w:val="24"/>
          <w:szCs w:val="24"/>
        </w:rPr>
        <w:t xml:space="preserve"> 2</w:t>
      </w:r>
      <w:r>
        <w:rPr>
          <w:rFonts w:ascii="Times New Roman" w:hAnsi="Times New Roman" w:cs="Times New Roman"/>
          <w:b/>
          <w:sz w:val="24"/>
          <w:szCs w:val="24"/>
        </w:rPr>
        <w:t xml:space="preserve">. </w:t>
      </w:r>
      <w:r w:rsidR="00D1528A">
        <w:rPr>
          <w:rFonts w:ascii="Times New Roman" w:hAnsi="Times New Roman" w:cs="Times New Roman"/>
          <w:b/>
          <w:sz w:val="24"/>
          <w:szCs w:val="24"/>
        </w:rPr>
        <w:t xml:space="preserve">Title: </w:t>
      </w:r>
      <w:r w:rsidRPr="00D50006">
        <w:rPr>
          <w:rFonts w:ascii="Times New Roman" w:hAnsi="Times New Roman" w:cs="Times New Roman"/>
          <w:b/>
          <w:sz w:val="24"/>
          <w:szCs w:val="24"/>
        </w:rPr>
        <w:t>Kaplan Meier estimator plot of all-cause mortality</w:t>
      </w:r>
    </w:p>
    <w:p w14:paraId="0513D8F8" w14:textId="78EA2F04" w:rsidR="00D50006" w:rsidRDefault="00771730" w:rsidP="00D50006">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Figure 2.</w:t>
      </w:r>
      <w:r w:rsidR="00D50006" w:rsidRPr="00D50006">
        <w:rPr>
          <w:rFonts w:ascii="Times New Roman" w:hAnsi="Times New Roman" w:cs="Times New Roman"/>
          <w:b/>
          <w:sz w:val="24"/>
          <w:szCs w:val="24"/>
        </w:rPr>
        <w:t xml:space="preserve"> </w:t>
      </w:r>
      <w:r w:rsidR="00D1528A">
        <w:rPr>
          <w:rFonts w:ascii="Times New Roman" w:hAnsi="Times New Roman" w:cs="Times New Roman"/>
          <w:b/>
          <w:sz w:val="24"/>
          <w:szCs w:val="24"/>
        </w:rPr>
        <w:t xml:space="preserve">Legend: </w:t>
      </w:r>
      <w:r w:rsidR="00D50006" w:rsidRPr="00D50006">
        <w:rPr>
          <w:rFonts w:ascii="Times New Roman" w:hAnsi="Times New Roman" w:cs="Times New Roman"/>
          <w:b/>
          <w:sz w:val="24"/>
          <w:szCs w:val="24"/>
        </w:rPr>
        <w:t>Kaplan Meier estimator plot of all-cause mortality for DCB vs 2</w:t>
      </w:r>
      <w:r w:rsidR="00D50006" w:rsidRPr="00D50006">
        <w:rPr>
          <w:rFonts w:ascii="Times New Roman" w:hAnsi="Times New Roman" w:cs="Times New Roman"/>
          <w:b/>
          <w:sz w:val="24"/>
          <w:szCs w:val="24"/>
          <w:vertAlign w:val="superscript"/>
        </w:rPr>
        <w:t xml:space="preserve">nd </w:t>
      </w:r>
      <w:r w:rsidR="00D50006" w:rsidRPr="00D50006">
        <w:rPr>
          <w:rFonts w:ascii="Times New Roman" w:hAnsi="Times New Roman" w:cs="Times New Roman"/>
          <w:b/>
          <w:sz w:val="24"/>
          <w:szCs w:val="24"/>
        </w:rPr>
        <w:t>generation DES with numbers at risk shown below the graph. DCB: drug coated balloon, DES: drug eluting stent</w:t>
      </w:r>
    </w:p>
    <w:p w14:paraId="032F7FDE" w14:textId="4B1A9B0C" w:rsidR="004641B4" w:rsidRDefault="004641B4">
      <w:pPr>
        <w:rPr>
          <w:rFonts w:ascii="Times New Roman" w:hAnsi="Times New Roman" w:cs="Times New Roman"/>
          <w:b/>
          <w:sz w:val="24"/>
          <w:szCs w:val="24"/>
        </w:rPr>
      </w:pPr>
    </w:p>
    <w:p w14:paraId="62EAF9C6" w14:textId="0829C187" w:rsidR="004641B4" w:rsidRPr="004641B4" w:rsidRDefault="004641B4" w:rsidP="004641B4">
      <w:pPr>
        <w:rPr>
          <w:rFonts w:ascii="Times New Roman" w:hAnsi="Times New Roman" w:cs="Times New Roman"/>
          <w:b/>
          <w:sz w:val="24"/>
          <w:szCs w:val="24"/>
        </w:rPr>
      </w:pPr>
      <w:r w:rsidRPr="004641B4">
        <w:rPr>
          <w:rFonts w:ascii="Times New Roman" w:hAnsi="Times New Roman" w:cs="Times New Roman"/>
          <w:b/>
          <w:sz w:val="24"/>
          <w:szCs w:val="24"/>
        </w:rPr>
        <w:t>Figure 3</w:t>
      </w:r>
      <w:r w:rsidR="00771730">
        <w:rPr>
          <w:rFonts w:ascii="Times New Roman" w:hAnsi="Times New Roman" w:cs="Times New Roman"/>
          <w:b/>
          <w:sz w:val="24"/>
          <w:szCs w:val="24"/>
        </w:rPr>
        <w:t>.</w:t>
      </w:r>
      <w:r w:rsidR="00D1528A">
        <w:rPr>
          <w:rFonts w:ascii="Times New Roman" w:hAnsi="Times New Roman" w:cs="Times New Roman"/>
          <w:b/>
          <w:sz w:val="24"/>
          <w:szCs w:val="24"/>
        </w:rPr>
        <w:t xml:space="preserve"> Title:</w:t>
      </w:r>
      <w:r w:rsidRPr="004641B4">
        <w:rPr>
          <w:rFonts w:ascii="Times New Roman" w:hAnsi="Times New Roman" w:cs="Times New Roman"/>
          <w:b/>
          <w:sz w:val="24"/>
          <w:szCs w:val="24"/>
        </w:rPr>
        <w:t xml:space="preserve"> Kaplan Meier estimator plot in propensity score matched groups</w:t>
      </w:r>
    </w:p>
    <w:p w14:paraId="396A32AA" w14:textId="56310201" w:rsidR="004641B4" w:rsidRPr="004641B4" w:rsidRDefault="004641B4" w:rsidP="004641B4">
      <w:pPr>
        <w:spacing w:line="480" w:lineRule="auto"/>
        <w:rPr>
          <w:rFonts w:ascii="Times New Roman" w:hAnsi="Times New Roman" w:cs="Times New Roman"/>
          <w:b/>
          <w:sz w:val="24"/>
          <w:szCs w:val="24"/>
        </w:rPr>
      </w:pPr>
      <w:r w:rsidRPr="004641B4">
        <w:rPr>
          <w:rFonts w:ascii="Times New Roman" w:hAnsi="Times New Roman" w:cs="Times New Roman"/>
          <w:b/>
          <w:sz w:val="24"/>
          <w:szCs w:val="24"/>
        </w:rPr>
        <w:t>Figure 3. Legend: Kaplan Meier estimator plot in propensity score matched groups showing no difference in mortality between DCB and DES.</w:t>
      </w:r>
    </w:p>
    <w:p w14:paraId="3A267069" w14:textId="77777777" w:rsidR="004641B4" w:rsidRPr="004641B4" w:rsidRDefault="004641B4" w:rsidP="004641B4">
      <w:pPr>
        <w:spacing w:line="480" w:lineRule="auto"/>
        <w:rPr>
          <w:rFonts w:ascii="Times New Roman" w:hAnsi="Times New Roman" w:cs="Times New Roman"/>
          <w:b/>
          <w:sz w:val="24"/>
          <w:szCs w:val="24"/>
        </w:rPr>
      </w:pPr>
      <w:r w:rsidRPr="004641B4">
        <w:rPr>
          <w:rFonts w:ascii="Times New Roman" w:hAnsi="Times New Roman" w:cs="Times New Roman"/>
          <w:b/>
          <w:sz w:val="24"/>
          <w:szCs w:val="24"/>
        </w:rPr>
        <w:t>DCB: drug coated balloon, DES: drug eluting stent</w:t>
      </w:r>
    </w:p>
    <w:p w14:paraId="0733A26E" w14:textId="2961301B" w:rsidR="004641B4" w:rsidRPr="00D50006" w:rsidRDefault="004641B4" w:rsidP="00D50006">
      <w:pPr>
        <w:pStyle w:val="NoSpacing"/>
        <w:spacing w:line="480" w:lineRule="auto"/>
        <w:jc w:val="both"/>
        <w:rPr>
          <w:rFonts w:ascii="Times New Roman" w:hAnsi="Times New Roman" w:cs="Times New Roman"/>
          <w:b/>
          <w:sz w:val="24"/>
          <w:szCs w:val="24"/>
        </w:rPr>
      </w:pPr>
    </w:p>
    <w:p w14:paraId="3C0AB99B" w14:textId="77777777" w:rsidR="00D50006" w:rsidRPr="00D50006" w:rsidRDefault="00D50006" w:rsidP="00D50006">
      <w:pPr>
        <w:pStyle w:val="NoSpacing"/>
        <w:spacing w:line="480" w:lineRule="auto"/>
        <w:jc w:val="both"/>
        <w:rPr>
          <w:rFonts w:ascii="Times New Roman" w:hAnsi="Times New Roman" w:cs="Times New Roman"/>
          <w:b/>
          <w:sz w:val="24"/>
          <w:szCs w:val="24"/>
        </w:rPr>
      </w:pPr>
    </w:p>
    <w:p w14:paraId="32AA14C7" w14:textId="77777777" w:rsidR="00D50006" w:rsidRDefault="00D50006">
      <w:pPr>
        <w:rPr>
          <w:rFonts w:ascii="Times New Roman" w:hAnsi="Times New Roman" w:cs="Times New Roman"/>
          <w:b/>
          <w:sz w:val="24"/>
          <w:szCs w:val="24"/>
        </w:rPr>
      </w:pPr>
      <w:r>
        <w:rPr>
          <w:rFonts w:ascii="Times New Roman" w:hAnsi="Times New Roman" w:cs="Times New Roman"/>
          <w:b/>
          <w:sz w:val="24"/>
          <w:szCs w:val="24"/>
        </w:rPr>
        <w:br w:type="page"/>
      </w:r>
    </w:p>
    <w:p w14:paraId="44F2005B" w14:textId="2CA02798" w:rsidR="00D1528A" w:rsidRDefault="00D1528A" w:rsidP="00B203F5">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Tables</w:t>
      </w:r>
    </w:p>
    <w:p w14:paraId="0CFED3E9" w14:textId="7E552FEA" w:rsidR="00B203F5" w:rsidRDefault="00771730" w:rsidP="00B203F5">
      <w:pPr>
        <w:pStyle w:val="NoSpacing"/>
        <w:spacing w:line="480" w:lineRule="auto"/>
        <w:jc w:val="both"/>
        <w:rPr>
          <w:rFonts w:ascii="Times New Roman" w:hAnsi="Times New Roman" w:cs="Times New Roman"/>
          <w:b/>
          <w:sz w:val="24"/>
          <w:szCs w:val="24"/>
        </w:rPr>
      </w:pPr>
      <w:bookmarkStart w:id="10" w:name="_Hlk119481597"/>
      <w:r>
        <w:rPr>
          <w:rFonts w:ascii="Times New Roman" w:hAnsi="Times New Roman" w:cs="Times New Roman"/>
          <w:b/>
          <w:sz w:val="24"/>
          <w:szCs w:val="24"/>
        </w:rPr>
        <w:t>Table 1.</w:t>
      </w:r>
      <w:r w:rsidR="00B203F5" w:rsidRPr="00B203F5">
        <w:rPr>
          <w:rFonts w:ascii="Times New Roman" w:hAnsi="Times New Roman" w:cs="Times New Roman"/>
          <w:b/>
          <w:sz w:val="24"/>
          <w:szCs w:val="24"/>
        </w:rPr>
        <w:t xml:space="preserve"> Baseline patient characteristics</w:t>
      </w:r>
    </w:p>
    <w:tbl>
      <w:tblPr>
        <w:tblW w:w="9176" w:type="dxa"/>
        <w:tblInd w:w="-75"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3052"/>
        <w:gridCol w:w="2126"/>
        <w:gridCol w:w="1424"/>
        <w:gridCol w:w="1414"/>
        <w:gridCol w:w="1160"/>
      </w:tblGrid>
      <w:tr w:rsidR="008E0933" w:rsidRPr="000C04E4" w14:paraId="545922EB" w14:textId="77777777" w:rsidTr="00047BA9">
        <w:trPr>
          <w:tblHeader/>
        </w:trPr>
        <w:tc>
          <w:tcPr>
            <w:tcW w:w="3052" w:type="dxa"/>
            <w:tcBorders>
              <w:left w:val="nil"/>
              <w:right w:val="nil"/>
            </w:tcBorders>
            <w:shd w:val="clear" w:color="auto" w:fill="FFFFFF"/>
            <w:tcMar>
              <w:top w:w="75" w:type="dxa"/>
              <w:left w:w="75" w:type="dxa"/>
              <w:bottom w:w="90" w:type="dxa"/>
              <w:right w:w="75" w:type="dxa"/>
            </w:tcMar>
            <w:vAlign w:val="bottom"/>
            <w:hideMark/>
          </w:tcPr>
          <w:p w14:paraId="4294E993" w14:textId="77777777" w:rsidR="008E0933" w:rsidRPr="000C04E4" w:rsidRDefault="008E0933" w:rsidP="00850812">
            <w:pPr>
              <w:spacing w:after="0" w:line="240" w:lineRule="auto"/>
              <w:rPr>
                <w:rFonts w:ascii="Segoe UI" w:eastAsia="Times New Roman" w:hAnsi="Segoe UI" w:cs="Segoe UI"/>
                <w:color w:val="333333"/>
                <w:sz w:val="20"/>
                <w:szCs w:val="20"/>
                <w:lang w:eastAsia="en-GB"/>
              </w:rPr>
            </w:pPr>
            <w:bookmarkStart w:id="11" w:name="_Hlk118797417"/>
            <w:bookmarkEnd w:id="10"/>
            <w:r w:rsidRPr="000C04E4">
              <w:rPr>
                <w:rFonts w:ascii="Segoe UI" w:eastAsia="Times New Roman" w:hAnsi="Segoe UI" w:cs="Segoe UI"/>
                <w:b/>
                <w:bCs/>
                <w:color w:val="333333"/>
                <w:sz w:val="20"/>
                <w:szCs w:val="20"/>
                <w:lang w:eastAsia="en-GB"/>
              </w:rPr>
              <w:t>Characteristic</w:t>
            </w:r>
          </w:p>
        </w:tc>
        <w:tc>
          <w:tcPr>
            <w:tcW w:w="2126" w:type="dxa"/>
            <w:tcBorders>
              <w:left w:val="nil"/>
              <w:right w:val="nil"/>
            </w:tcBorders>
            <w:shd w:val="clear" w:color="auto" w:fill="FFFFFF"/>
            <w:tcMar>
              <w:top w:w="75" w:type="dxa"/>
              <w:left w:w="75" w:type="dxa"/>
              <w:bottom w:w="90" w:type="dxa"/>
              <w:right w:w="75" w:type="dxa"/>
            </w:tcMar>
            <w:vAlign w:val="bottom"/>
            <w:hideMark/>
          </w:tcPr>
          <w:p w14:paraId="65D18DA8" w14:textId="77777777" w:rsidR="008E0933" w:rsidRPr="000C04E4" w:rsidRDefault="008E0933" w:rsidP="00850812">
            <w:pPr>
              <w:spacing w:after="0" w:line="240" w:lineRule="auto"/>
              <w:jc w:val="center"/>
              <w:rPr>
                <w:rFonts w:ascii="Segoe UI" w:eastAsia="Times New Roman" w:hAnsi="Segoe UI" w:cs="Segoe UI"/>
                <w:color w:val="333333"/>
                <w:sz w:val="20"/>
                <w:szCs w:val="20"/>
                <w:lang w:eastAsia="en-GB"/>
              </w:rPr>
            </w:pPr>
            <w:r w:rsidRPr="000C04E4">
              <w:rPr>
                <w:rFonts w:ascii="Segoe UI" w:eastAsia="Times New Roman" w:hAnsi="Segoe UI" w:cs="Segoe UI"/>
                <w:b/>
                <w:bCs/>
                <w:color w:val="333333"/>
                <w:sz w:val="20"/>
                <w:szCs w:val="20"/>
                <w:lang w:eastAsia="en-GB"/>
              </w:rPr>
              <w:t>Overall</w:t>
            </w:r>
            <w:r w:rsidRPr="000C04E4">
              <w:rPr>
                <w:rFonts w:ascii="Segoe UI" w:eastAsia="Times New Roman" w:hAnsi="Segoe UI" w:cs="Segoe UI"/>
                <w:color w:val="333333"/>
                <w:sz w:val="20"/>
                <w:szCs w:val="20"/>
                <w:lang w:eastAsia="en-GB"/>
              </w:rPr>
              <w:t>, N = 1,139</w:t>
            </w:r>
            <w:r w:rsidRPr="000C04E4">
              <w:rPr>
                <w:rFonts w:ascii="Segoe UI" w:eastAsia="Times New Roman" w:hAnsi="Segoe UI" w:cs="Segoe UI"/>
                <w:i/>
                <w:iCs/>
                <w:color w:val="333333"/>
                <w:sz w:val="15"/>
                <w:szCs w:val="15"/>
                <w:vertAlign w:val="superscript"/>
                <w:lang w:eastAsia="en-GB"/>
              </w:rPr>
              <w:t>1</w:t>
            </w:r>
          </w:p>
        </w:tc>
        <w:tc>
          <w:tcPr>
            <w:tcW w:w="1424" w:type="dxa"/>
            <w:tcBorders>
              <w:left w:val="nil"/>
              <w:right w:val="nil"/>
            </w:tcBorders>
            <w:shd w:val="clear" w:color="auto" w:fill="FFFFFF"/>
            <w:tcMar>
              <w:top w:w="75" w:type="dxa"/>
              <w:left w:w="75" w:type="dxa"/>
              <w:bottom w:w="90" w:type="dxa"/>
              <w:right w:w="75" w:type="dxa"/>
            </w:tcMar>
            <w:vAlign w:val="bottom"/>
            <w:hideMark/>
          </w:tcPr>
          <w:p w14:paraId="33345D65" w14:textId="77777777" w:rsidR="008E0933" w:rsidRPr="000C04E4" w:rsidRDefault="008E0933" w:rsidP="00850812">
            <w:pPr>
              <w:spacing w:after="0" w:line="240" w:lineRule="auto"/>
              <w:jc w:val="center"/>
              <w:rPr>
                <w:rFonts w:ascii="Segoe UI" w:eastAsia="Times New Roman" w:hAnsi="Segoe UI" w:cs="Segoe UI"/>
                <w:color w:val="333333"/>
                <w:sz w:val="20"/>
                <w:szCs w:val="20"/>
                <w:lang w:eastAsia="en-GB"/>
              </w:rPr>
            </w:pPr>
            <w:r w:rsidRPr="000C04E4">
              <w:rPr>
                <w:rFonts w:ascii="Segoe UI" w:eastAsia="Times New Roman" w:hAnsi="Segoe UI" w:cs="Segoe UI"/>
                <w:b/>
                <w:bCs/>
                <w:color w:val="333333"/>
                <w:sz w:val="20"/>
                <w:szCs w:val="20"/>
                <w:lang w:eastAsia="en-GB"/>
              </w:rPr>
              <w:t>DCB</w:t>
            </w:r>
            <w:r w:rsidRPr="000C04E4">
              <w:rPr>
                <w:rFonts w:ascii="Segoe UI" w:eastAsia="Times New Roman" w:hAnsi="Segoe UI" w:cs="Segoe UI"/>
                <w:color w:val="333333"/>
                <w:sz w:val="20"/>
                <w:szCs w:val="20"/>
                <w:lang w:eastAsia="en-GB"/>
              </w:rPr>
              <w:t>, N = 452</w:t>
            </w:r>
          </w:p>
        </w:tc>
        <w:tc>
          <w:tcPr>
            <w:tcW w:w="0" w:type="auto"/>
            <w:tcBorders>
              <w:left w:val="nil"/>
              <w:right w:val="nil"/>
            </w:tcBorders>
            <w:shd w:val="clear" w:color="auto" w:fill="FFFFFF"/>
            <w:tcMar>
              <w:top w:w="75" w:type="dxa"/>
              <w:left w:w="75" w:type="dxa"/>
              <w:bottom w:w="90" w:type="dxa"/>
              <w:right w:w="75" w:type="dxa"/>
            </w:tcMar>
            <w:vAlign w:val="bottom"/>
            <w:hideMark/>
          </w:tcPr>
          <w:p w14:paraId="7AEFACBA" w14:textId="77777777" w:rsidR="008E0933" w:rsidRPr="000C04E4" w:rsidRDefault="008E0933" w:rsidP="00850812">
            <w:pPr>
              <w:spacing w:after="0" w:line="240" w:lineRule="auto"/>
              <w:jc w:val="center"/>
              <w:rPr>
                <w:rFonts w:ascii="Segoe UI" w:eastAsia="Times New Roman" w:hAnsi="Segoe UI" w:cs="Segoe UI"/>
                <w:color w:val="333333"/>
                <w:sz w:val="20"/>
                <w:szCs w:val="20"/>
                <w:lang w:eastAsia="en-GB"/>
              </w:rPr>
            </w:pPr>
            <w:r w:rsidRPr="000C04E4">
              <w:rPr>
                <w:rFonts w:ascii="Segoe UI" w:eastAsia="Times New Roman" w:hAnsi="Segoe UI" w:cs="Segoe UI"/>
                <w:b/>
                <w:bCs/>
                <w:color w:val="333333"/>
                <w:sz w:val="20"/>
                <w:szCs w:val="20"/>
                <w:lang w:eastAsia="en-GB"/>
              </w:rPr>
              <w:t>DES</w:t>
            </w:r>
            <w:r w:rsidRPr="000C04E4">
              <w:rPr>
                <w:rFonts w:ascii="Segoe UI" w:eastAsia="Times New Roman" w:hAnsi="Segoe UI" w:cs="Segoe UI"/>
                <w:color w:val="333333"/>
                <w:sz w:val="20"/>
                <w:szCs w:val="20"/>
                <w:lang w:eastAsia="en-GB"/>
              </w:rPr>
              <w:t>, N = 687</w:t>
            </w:r>
          </w:p>
        </w:tc>
        <w:tc>
          <w:tcPr>
            <w:tcW w:w="0" w:type="auto"/>
            <w:tcBorders>
              <w:left w:val="nil"/>
              <w:right w:val="nil"/>
            </w:tcBorders>
            <w:shd w:val="clear" w:color="auto" w:fill="FFFFFF"/>
            <w:tcMar>
              <w:top w:w="75" w:type="dxa"/>
              <w:left w:w="75" w:type="dxa"/>
              <w:bottom w:w="90" w:type="dxa"/>
              <w:right w:w="75" w:type="dxa"/>
            </w:tcMar>
            <w:vAlign w:val="bottom"/>
            <w:hideMark/>
          </w:tcPr>
          <w:p w14:paraId="57C24EE2" w14:textId="77777777" w:rsidR="008E0933" w:rsidRPr="000C04E4" w:rsidRDefault="008E0933" w:rsidP="00850812">
            <w:pPr>
              <w:spacing w:after="0" w:line="240" w:lineRule="auto"/>
              <w:jc w:val="center"/>
              <w:rPr>
                <w:rFonts w:ascii="Segoe UI" w:eastAsia="Times New Roman" w:hAnsi="Segoe UI" w:cs="Segoe UI"/>
                <w:color w:val="333333"/>
                <w:sz w:val="20"/>
                <w:szCs w:val="20"/>
                <w:lang w:eastAsia="en-GB"/>
              </w:rPr>
            </w:pPr>
            <w:r w:rsidRPr="000C04E4">
              <w:rPr>
                <w:rFonts w:ascii="Segoe UI" w:eastAsia="Times New Roman" w:hAnsi="Segoe UI" w:cs="Segoe UI"/>
                <w:b/>
                <w:bCs/>
                <w:color w:val="333333"/>
                <w:sz w:val="20"/>
                <w:szCs w:val="20"/>
                <w:lang w:eastAsia="en-GB"/>
              </w:rPr>
              <w:t>p-value</w:t>
            </w:r>
          </w:p>
        </w:tc>
      </w:tr>
      <w:tr w:rsidR="008E0933" w:rsidRPr="000C04E4" w14:paraId="300CB03C"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A9D8402"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Age, Mean (SD)</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7DE3D7C"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66 (12)</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3E98227"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66 (13)</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03316A4"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66 (11)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2F870D0"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0.97</w:t>
            </w:r>
            <w:r w:rsidRPr="000C04E4">
              <w:rPr>
                <w:rFonts w:ascii="Segoe UI" w:eastAsia="Times New Roman" w:hAnsi="Segoe UI" w:cs="Segoe UI"/>
                <w:i/>
                <w:iCs/>
                <w:color w:val="333333"/>
                <w:sz w:val="15"/>
                <w:szCs w:val="15"/>
                <w:vertAlign w:val="superscript"/>
                <w:lang w:eastAsia="en-GB"/>
              </w:rPr>
              <w:t>2</w:t>
            </w:r>
          </w:p>
        </w:tc>
      </w:tr>
      <w:tr w:rsidR="008E0933" w:rsidRPr="000C04E4" w14:paraId="565FA4A5"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1D1AB03"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Sex,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39A7B4B"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878A09F" w14:textId="77777777" w:rsidR="008E0933" w:rsidRPr="000C04E4" w:rsidRDefault="008E0933" w:rsidP="00850812">
            <w:pPr>
              <w:spacing w:before="150" w:after="150" w:line="240" w:lineRule="auto"/>
              <w:ind w:left="150" w:right="150"/>
              <w:jc w:val="center"/>
              <w:rPr>
                <w:rFonts w:ascii="Times New Roman" w:eastAsia="Times New Roman" w:hAnsi="Times New Roman" w:cs="Times New Roman"/>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6B6CC54" w14:textId="77777777" w:rsidR="008E0933" w:rsidRPr="000C04E4" w:rsidRDefault="008E0933" w:rsidP="00850812">
            <w:pPr>
              <w:spacing w:before="150" w:after="150" w:line="240" w:lineRule="auto"/>
              <w:ind w:left="150" w:right="150"/>
              <w:jc w:val="center"/>
              <w:rPr>
                <w:rFonts w:ascii="Times New Roman" w:eastAsia="Times New Roman" w:hAnsi="Times New Roman" w:cs="Times New Roman"/>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DC980D1"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0.69</w:t>
            </w:r>
            <w:r w:rsidRPr="000C04E4">
              <w:rPr>
                <w:rFonts w:ascii="Segoe UI" w:eastAsia="Times New Roman" w:hAnsi="Segoe UI" w:cs="Segoe UI"/>
                <w:i/>
                <w:iCs/>
                <w:color w:val="333333"/>
                <w:sz w:val="15"/>
                <w:szCs w:val="15"/>
                <w:vertAlign w:val="superscript"/>
                <w:lang w:eastAsia="en-GB"/>
              </w:rPr>
              <w:t>4</w:t>
            </w:r>
          </w:p>
        </w:tc>
      </w:tr>
      <w:tr w:rsidR="008E0933" w:rsidRPr="000C04E4" w14:paraId="16DABFB7"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E3C3C2A"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    Male</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7DCD226"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839 (74)</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D76F32A"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330 (73)</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75B79A8"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509 (74)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B571559"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p>
        </w:tc>
      </w:tr>
      <w:tr w:rsidR="008E0933" w:rsidRPr="000C04E4" w14:paraId="671E518D"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60F994CA"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    Female</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61CDE3E5"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300 (26)</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2ACB237"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122 (27)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63DC2A5"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178 (26)</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A61058A"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p>
        </w:tc>
      </w:tr>
      <w:tr w:rsidR="008E0933" w:rsidRPr="000C04E4" w14:paraId="726AB945"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12B86EF"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Hypercholesterolaemia</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DE44A34"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179 (16)</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9FF7C64"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79 (17)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953D773"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100 (15)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07D4FC9"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0.18</w:t>
            </w:r>
            <w:r w:rsidRPr="000C04E4">
              <w:rPr>
                <w:rFonts w:ascii="Segoe UI" w:eastAsia="Times New Roman" w:hAnsi="Segoe UI" w:cs="Segoe UI"/>
                <w:i/>
                <w:iCs/>
                <w:color w:val="333333"/>
                <w:sz w:val="15"/>
                <w:szCs w:val="15"/>
                <w:vertAlign w:val="superscript"/>
                <w:lang w:eastAsia="en-GB"/>
              </w:rPr>
              <w:t>4</w:t>
            </w:r>
          </w:p>
        </w:tc>
      </w:tr>
      <w:tr w:rsidR="008E0933" w:rsidRPr="000C04E4" w14:paraId="63F84EED"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3527173"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Hypertension</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CD6F31E"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424 (37)</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D396B11"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183 (40)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ECD393F"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241 (35)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219D474"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0.065</w:t>
            </w:r>
            <w:r w:rsidRPr="000C04E4">
              <w:rPr>
                <w:rFonts w:ascii="Segoe UI" w:eastAsia="Times New Roman" w:hAnsi="Segoe UI" w:cs="Segoe UI"/>
                <w:i/>
                <w:iCs/>
                <w:color w:val="333333"/>
                <w:sz w:val="15"/>
                <w:szCs w:val="15"/>
                <w:vertAlign w:val="superscript"/>
                <w:lang w:eastAsia="en-GB"/>
              </w:rPr>
              <w:t>4</w:t>
            </w:r>
          </w:p>
        </w:tc>
      </w:tr>
      <w:tr w:rsidR="008E0933" w:rsidRPr="000C04E4" w14:paraId="3BB95AEF"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7F8C82B"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Peripheral vascular disease</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E23ECF1"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14 (1.2)</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345B2CB"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7 (1.5)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3E8D60A"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7 (1.0)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667EB43"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0.43</w:t>
            </w:r>
            <w:r w:rsidRPr="000C04E4">
              <w:rPr>
                <w:rFonts w:ascii="Segoe UI" w:eastAsia="Times New Roman" w:hAnsi="Segoe UI" w:cs="Segoe UI"/>
                <w:i/>
                <w:iCs/>
                <w:color w:val="333333"/>
                <w:sz w:val="15"/>
                <w:szCs w:val="15"/>
                <w:vertAlign w:val="superscript"/>
                <w:lang w:eastAsia="en-GB"/>
              </w:rPr>
              <w:t>4</w:t>
            </w:r>
          </w:p>
        </w:tc>
      </w:tr>
      <w:tr w:rsidR="008E0933" w:rsidRPr="000C04E4" w14:paraId="7F17E8C6"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0E24463"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Stroke</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3666156"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30 (2.6)</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9B0CBC6"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18 (4.0)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E865939"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12 (1.7)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319C7EF" w14:textId="77777777" w:rsidR="008E0933" w:rsidRPr="000C04E4" w:rsidRDefault="008E0933" w:rsidP="00850812">
            <w:pPr>
              <w:spacing w:before="150" w:after="150" w:line="240" w:lineRule="auto"/>
              <w:ind w:left="150" w:right="150"/>
              <w:jc w:val="center"/>
              <w:rPr>
                <w:rFonts w:ascii="Segoe UI" w:eastAsia="Times New Roman" w:hAnsi="Segoe UI" w:cs="Segoe UI"/>
                <w:b/>
                <w:bCs/>
                <w:color w:val="333333"/>
                <w:sz w:val="20"/>
                <w:szCs w:val="20"/>
                <w:lang w:eastAsia="en-GB"/>
              </w:rPr>
            </w:pPr>
            <w:r w:rsidRPr="000C04E4">
              <w:rPr>
                <w:rFonts w:ascii="Segoe UI" w:eastAsia="Times New Roman" w:hAnsi="Segoe UI" w:cs="Segoe UI"/>
                <w:b/>
                <w:bCs/>
                <w:color w:val="333333"/>
                <w:sz w:val="20"/>
                <w:szCs w:val="20"/>
                <w:lang w:eastAsia="en-GB"/>
              </w:rPr>
              <w:t>0.021</w:t>
            </w:r>
            <w:r w:rsidRPr="000C04E4">
              <w:rPr>
                <w:rFonts w:ascii="Segoe UI" w:eastAsia="Times New Roman" w:hAnsi="Segoe UI" w:cs="Segoe UI"/>
                <w:i/>
                <w:iCs/>
                <w:color w:val="333333"/>
                <w:sz w:val="15"/>
                <w:szCs w:val="15"/>
                <w:vertAlign w:val="superscript"/>
                <w:lang w:eastAsia="en-GB"/>
              </w:rPr>
              <w:t>4</w:t>
            </w:r>
          </w:p>
        </w:tc>
      </w:tr>
      <w:tr w:rsidR="008E0933" w:rsidRPr="000C04E4" w14:paraId="0166BA06"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349E2AC"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Previous myocardial infarction</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489CC4E"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65 (5.7)</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56FB4C9"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30 (6.6)</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97764CC"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35 (5.1)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462E7E3"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0.27</w:t>
            </w:r>
            <w:r w:rsidRPr="000C04E4">
              <w:rPr>
                <w:rFonts w:ascii="Segoe UI" w:eastAsia="Times New Roman" w:hAnsi="Segoe UI" w:cs="Segoe UI"/>
                <w:i/>
                <w:iCs/>
                <w:color w:val="333333"/>
                <w:sz w:val="15"/>
                <w:szCs w:val="15"/>
                <w:vertAlign w:val="superscript"/>
                <w:lang w:eastAsia="en-GB"/>
              </w:rPr>
              <w:t>4</w:t>
            </w:r>
          </w:p>
        </w:tc>
      </w:tr>
      <w:tr w:rsidR="008E0933" w:rsidRPr="000C04E4" w14:paraId="7404E073"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CFB2164"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P</w:t>
            </w:r>
            <w:r>
              <w:rPr>
                <w:rFonts w:ascii="Segoe UI" w:eastAsia="Times New Roman" w:hAnsi="Segoe UI" w:cs="Segoe UI"/>
                <w:color w:val="333333"/>
                <w:sz w:val="20"/>
                <w:szCs w:val="20"/>
                <w:lang w:eastAsia="en-GB"/>
              </w:rPr>
              <w:t>revious percutaneous coronary intervention</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93CCF6C"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54 (4.7)</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CEE3C3A"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25 (5.5)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A893650"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29 (4.2)</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CF59292"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0.31</w:t>
            </w:r>
            <w:r w:rsidRPr="000C04E4">
              <w:rPr>
                <w:rFonts w:ascii="Segoe UI" w:eastAsia="Times New Roman" w:hAnsi="Segoe UI" w:cs="Segoe UI"/>
                <w:i/>
                <w:iCs/>
                <w:color w:val="333333"/>
                <w:sz w:val="15"/>
                <w:szCs w:val="15"/>
                <w:vertAlign w:val="superscript"/>
                <w:lang w:eastAsia="en-GB"/>
              </w:rPr>
              <w:t>4</w:t>
            </w:r>
          </w:p>
        </w:tc>
      </w:tr>
      <w:tr w:rsidR="008E0933" w:rsidRPr="000C04E4" w14:paraId="354DB58A"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A238DE4"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P</w:t>
            </w:r>
            <w:r>
              <w:rPr>
                <w:rFonts w:ascii="Segoe UI" w:eastAsia="Times New Roman" w:hAnsi="Segoe UI" w:cs="Segoe UI"/>
                <w:color w:val="333333"/>
                <w:sz w:val="20"/>
                <w:szCs w:val="20"/>
                <w:lang w:eastAsia="en-GB"/>
              </w:rPr>
              <w:t>revious coronary artery bypass graft</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107563E"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11 (1.0)</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1847073"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5 (1.1)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0DAC324"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 (0.9)</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37D3457"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0.76</w:t>
            </w:r>
            <w:r w:rsidRPr="000C04E4">
              <w:rPr>
                <w:rFonts w:ascii="Segoe UI" w:eastAsia="Times New Roman" w:hAnsi="Segoe UI" w:cs="Segoe UI"/>
                <w:i/>
                <w:iCs/>
                <w:color w:val="333333"/>
                <w:sz w:val="15"/>
                <w:szCs w:val="15"/>
                <w:vertAlign w:val="superscript"/>
                <w:lang w:eastAsia="en-GB"/>
              </w:rPr>
              <w:t>3</w:t>
            </w:r>
          </w:p>
        </w:tc>
      </w:tr>
      <w:tr w:rsidR="008E0933" w:rsidRPr="000C04E4" w14:paraId="3F89CBBF"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13A3100"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Heart failure</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0767384"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4 (0.4)</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B3A505E"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2 (0.4)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729FB15"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2 (0.3)</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0921704"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0.65</w:t>
            </w:r>
            <w:r w:rsidRPr="000C04E4">
              <w:rPr>
                <w:rFonts w:ascii="Segoe UI" w:eastAsia="Times New Roman" w:hAnsi="Segoe UI" w:cs="Segoe UI"/>
                <w:i/>
                <w:iCs/>
                <w:color w:val="333333"/>
                <w:sz w:val="15"/>
                <w:szCs w:val="15"/>
                <w:vertAlign w:val="superscript"/>
                <w:lang w:eastAsia="en-GB"/>
              </w:rPr>
              <w:t>3</w:t>
            </w:r>
          </w:p>
        </w:tc>
      </w:tr>
      <w:tr w:rsidR="008E0933" w:rsidRPr="000C04E4" w14:paraId="701A9851"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45A2951"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Atrial fibrillation</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1EFD47B"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91 (8.0)</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8B7342B"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37 (8.2)</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7594C63"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54 (7.9)</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7D4219F"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0.84</w:t>
            </w:r>
            <w:r w:rsidRPr="000C04E4">
              <w:rPr>
                <w:rFonts w:ascii="Segoe UI" w:eastAsia="Times New Roman" w:hAnsi="Segoe UI" w:cs="Segoe UI"/>
                <w:i/>
                <w:iCs/>
                <w:color w:val="333333"/>
                <w:sz w:val="15"/>
                <w:szCs w:val="15"/>
                <w:vertAlign w:val="superscript"/>
                <w:lang w:eastAsia="en-GB"/>
              </w:rPr>
              <w:t>4</w:t>
            </w:r>
          </w:p>
        </w:tc>
      </w:tr>
      <w:tr w:rsidR="008E0933" w:rsidRPr="000C04E4" w14:paraId="60875A55"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752472C"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F</w:t>
            </w:r>
            <w:r>
              <w:rPr>
                <w:rFonts w:ascii="Segoe UI" w:eastAsia="Times New Roman" w:hAnsi="Segoe UI" w:cs="Segoe UI"/>
                <w:color w:val="333333"/>
                <w:sz w:val="20"/>
                <w:szCs w:val="20"/>
                <w:lang w:eastAsia="en-GB"/>
              </w:rPr>
              <w:t>amily history of IHD</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A81449E"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114 (10)</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C322EE1"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44 (9.7)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C3D1A2B"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70 (10)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F21D8CF"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0.80</w:t>
            </w:r>
            <w:r w:rsidRPr="000C04E4">
              <w:rPr>
                <w:rFonts w:ascii="Segoe UI" w:eastAsia="Times New Roman" w:hAnsi="Segoe UI" w:cs="Segoe UI"/>
                <w:i/>
                <w:iCs/>
                <w:color w:val="333333"/>
                <w:sz w:val="15"/>
                <w:szCs w:val="15"/>
                <w:vertAlign w:val="superscript"/>
                <w:lang w:eastAsia="en-GB"/>
              </w:rPr>
              <w:t>4</w:t>
            </w:r>
          </w:p>
        </w:tc>
      </w:tr>
      <w:tr w:rsidR="008E0933" w:rsidRPr="000C04E4" w14:paraId="6785AF04"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3A1669D"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Chronic obstructive pulmonary disease</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1EA78EB"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62 (5.4)</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B2D87B8"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27 (6.0)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CBC6819"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35 (5.1)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2F26125"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0.52</w:t>
            </w:r>
            <w:r w:rsidRPr="000C04E4">
              <w:rPr>
                <w:rFonts w:ascii="Segoe UI" w:eastAsia="Times New Roman" w:hAnsi="Segoe UI" w:cs="Segoe UI"/>
                <w:i/>
                <w:iCs/>
                <w:color w:val="333333"/>
                <w:sz w:val="15"/>
                <w:szCs w:val="15"/>
                <w:vertAlign w:val="superscript"/>
                <w:lang w:eastAsia="en-GB"/>
              </w:rPr>
              <w:t>4</w:t>
            </w:r>
          </w:p>
        </w:tc>
      </w:tr>
      <w:tr w:rsidR="008E0933" w:rsidRPr="000C04E4" w14:paraId="2376CF78"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E981FD9"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Diabetes</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D0A70D0"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146 (13)</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496E97B"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63 (14)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C87C85B"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83 (12)</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01E3F80"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0.36</w:t>
            </w:r>
            <w:r w:rsidRPr="000C04E4">
              <w:rPr>
                <w:rFonts w:ascii="Segoe UI" w:eastAsia="Times New Roman" w:hAnsi="Segoe UI" w:cs="Segoe UI"/>
                <w:i/>
                <w:iCs/>
                <w:color w:val="333333"/>
                <w:sz w:val="15"/>
                <w:szCs w:val="15"/>
                <w:vertAlign w:val="superscript"/>
                <w:lang w:eastAsia="en-GB"/>
              </w:rPr>
              <w:t>4</w:t>
            </w:r>
          </w:p>
        </w:tc>
      </w:tr>
      <w:tr w:rsidR="008E0933" w:rsidRPr="000C04E4" w14:paraId="78540121"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001EA64"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S</w:t>
            </w:r>
            <w:r>
              <w:rPr>
                <w:rFonts w:ascii="Segoe UI" w:eastAsia="Times New Roman" w:hAnsi="Segoe UI" w:cs="Segoe UI"/>
                <w:color w:val="333333"/>
                <w:sz w:val="20"/>
                <w:szCs w:val="20"/>
                <w:lang w:eastAsia="en-GB"/>
              </w:rPr>
              <w:t>moking (current / previous)</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489BE3F" w14:textId="77777777" w:rsidR="008E0933" w:rsidRPr="000C04E4" w:rsidRDefault="008E0933"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 xml:space="preserve">     </w:t>
            </w:r>
            <w:r w:rsidRPr="000C04E4">
              <w:rPr>
                <w:rFonts w:ascii="Segoe UI" w:eastAsia="Times New Roman" w:hAnsi="Segoe UI" w:cs="Segoe UI"/>
                <w:color w:val="333333"/>
                <w:sz w:val="20"/>
                <w:szCs w:val="20"/>
                <w:lang w:eastAsia="en-GB"/>
              </w:rPr>
              <w:t>689 (63)</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354280A" w14:textId="77777777" w:rsidR="008E0933" w:rsidRPr="000C04E4" w:rsidRDefault="008E0933"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0C04E4">
              <w:rPr>
                <w:rFonts w:ascii="Segoe UI" w:eastAsia="Times New Roman" w:hAnsi="Segoe UI" w:cs="Segoe UI"/>
                <w:color w:val="333333"/>
                <w:sz w:val="20"/>
                <w:szCs w:val="20"/>
                <w:lang w:eastAsia="en-GB"/>
              </w:rPr>
              <w:t>254 (58)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E90E777" w14:textId="77777777" w:rsidR="008E0933" w:rsidRPr="000C04E4" w:rsidRDefault="008E0933"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0C04E4">
              <w:rPr>
                <w:rFonts w:ascii="Segoe UI" w:eastAsia="Times New Roman" w:hAnsi="Segoe UI" w:cs="Segoe UI"/>
                <w:color w:val="333333"/>
                <w:sz w:val="20"/>
                <w:szCs w:val="20"/>
                <w:lang w:eastAsia="en-GB"/>
              </w:rPr>
              <w:t>435 (67)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80CA648" w14:textId="77777777" w:rsidR="008E0933" w:rsidRPr="000C04E4" w:rsidRDefault="008E0933" w:rsidP="00850812">
            <w:pPr>
              <w:spacing w:before="150" w:after="150" w:line="240" w:lineRule="auto"/>
              <w:ind w:left="150" w:right="150"/>
              <w:jc w:val="center"/>
              <w:rPr>
                <w:rFonts w:ascii="Segoe UI" w:eastAsia="Times New Roman" w:hAnsi="Segoe UI" w:cs="Segoe UI"/>
                <w:b/>
                <w:bCs/>
                <w:color w:val="333333"/>
                <w:sz w:val="20"/>
                <w:szCs w:val="20"/>
                <w:lang w:eastAsia="en-GB"/>
              </w:rPr>
            </w:pPr>
            <w:r w:rsidRPr="000C04E4">
              <w:rPr>
                <w:rFonts w:ascii="Segoe UI" w:eastAsia="Times New Roman" w:hAnsi="Segoe UI" w:cs="Segoe UI"/>
                <w:b/>
                <w:bCs/>
                <w:color w:val="333333"/>
                <w:sz w:val="20"/>
                <w:szCs w:val="20"/>
                <w:lang w:eastAsia="en-GB"/>
              </w:rPr>
              <w:t>0.006</w:t>
            </w:r>
            <w:r w:rsidRPr="000C04E4">
              <w:rPr>
                <w:rFonts w:ascii="Segoe UI" w:eastAsia="Times New Roman" w:hAnsi="Segoe UI" w:cs="Segoe UI"/>
                <w:i/>
                <w:iCs/>
                <w:color w:val="333333"/>
                <w:sz w:val="15"/>
                <w:szCs w:val="15"/>
                <w:vertAlign w:val="superscript"/>
                <w:lang w:eastAsia="en-GB"/>
              </w:rPr>
              <w:t>4</w:t>
            </w:r>
          </w:p>
        </w:tc>
      </w:tr>
      <w:tr w:rsidR="008E0933" w:rsidRPr="000C04E4" w14:paraId="2C7F795A"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9BC3B2F" w14:textId="6D8A1C91" w:rsidR="008E0933" w:rsidRPr="000C04E4" w:rsidRDefault="00047BA9"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lastRenderedPageBreak/>
              <w:t>Estimated glomerular filtration rate</w:t>
            </w:r>
            <w:r w:rsidR="008E0933" w:rsidRPr="000C04E4">
              <w:rPr>
                <w:rFonts w:ascii="Segoe UI" w:eastAsia="Times New Roman" w:hAnsi="Segoe UI" w:cs="Segoe UI"/>
                <w:color w:val="333333"/>
                <w:sz w:val="20"/>
                <w:szCs w:val="20"/>
                <w:lang w:eastAsia="en-GB"/>
              </w:rPr>
              <w:t>, Mean (SD)</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5375F00"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91 (26)</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844768A"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92 (27)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584696C"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90 (25)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3CD0D2E" w14:textId="77777777" w:rsidR="008E0933" w:rsidRPr="000C04E4" w:rsidRDefault="008E0933" w:rsidP="00850812">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0.23</w:t>
            </w:r>
            <w:r w:rsidRPr="000C04E4">
              <w:rPr>
                <w:rFonts w:ascii="Segoe UI" w:eastAsia="Times New Roman" w:hAnsi="Segoe UI" w:cs="Segoe UI"/>
                <w:i/>
                <w:iCs/>
                <w:color w:val="333333"/>
                <w:sz w:val="15"/>
                <w:szCs w:val="15"/>
                <w:vertAlign w:val="superscript"/>
                <w:lang w:eastAsia="en-GB"/>
              </w:rPr>
              <w:t>2</w:t>
            </w:r>
          </w:p>
        </w:tc>
      </w:tr>
      <w:tr w:rsidR="008E0933" w:rsidRPr="000C04E4" w14:paraId="7EB7BBCE"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tcPr>
          <w:p w14:paraId="15AD0FAB" w14:textId="68CDE501" w:rsidR="008E0933" w:rsidRPr="000C04E4" w:rsidRDefault="008E0933" w:rsidP="008E0933">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Frailty</w:t>
            </w:r>
            <w:r>
              <w:rPr>
                <w:rFonts w:ascii="Segoe UI" w:eastAsia="Times New Roman" w:hAnsi="Segoe UI" w:cs="Segoe UI"/>
                <w:color w:val="333333"/>
                <w:sz w:val="20"/>
                <w:szCs w:val="20"/>
                <w:lang w:eastAsia="en-GB"/>
              </w:rPr>
              <w:t xml:space="preserve"> </w:t>
            </w:r>
            <w:r w:rsidRPr="000C04E4">
              <w:rPr>
                <w:rFonts w:ascii="Segoe UI" w:eastAsia="Times New Roman" w:hAnsi="Segoe UI" w:cs="Segoe UI"/>
                <w:color w:val="333333"/>
                <w:sz w:val="20"/>
                <w:szCs w:val="20"/>
                <w:lang w:eastAsia="en-GB"/>
              </w:rPr>
              <w:t>Sc</w:t>
            </w:r>
            <w:r>
              <w:rPr>
                <w:rFonts w:ascii="Segoe UI" w:eastAsia="Times New Roman" w:hAnsi="Segoe UI" w:cs="Segoe UI"/>
                <w:color w:val="333333"/>
                <w:sz w:val="20"/>
                <w:szCs w:val="20"/>
                <w:lang w:eastAsia="en-GB"/>
              </w:rPr>
              <w:t>ore</w:t>
            </w:r>
            <w:r w:rsidRPr="000C04E4">
              <w:rPr>
                <w:rFonts w:ascii="Segoe UI" w:eastAsia="Times New Roman" w:hAnsi="Segoe UI" w:cs="Segoe UI"/>
                <w:color w:val="333333"/>
                <w:sz w:val="20"/>
                <w:szCs w:val="20"/>
                <w:lang w:eastAsia="en-GB"/>
              </w:rPr>
              <w:t>, Median (IQR)</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tcPr>
          <w:p w14:paraId="2B3ECBEB" w14:textId="3DD73D0B"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0.00 (0.00 – 0.70)</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tcPr>
          <w:p w14:paraId="2321C413" w14:textId="054D9522"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0.00 (0.00 – 0.80)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616BCE3D" w14:textId="0C5EED6E"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0.00 (0.00 – 0.50)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7FD3E2FB" w14:textId="30C751A7" w:rsidR="008E0933" w:rsidRPr="000C04E4" w:rsidRDefault="008E0933" w:rsidP="008E0933">
            <w:pPr>
              <w:spacing w:before="150" w:after="150" w:line="240" w:lineRule="auto"/>
              <w:ind w:left="150" w:right="150"/>
              <w:jc w:val="center"/>
              <w:rPr>
                <w:rFonts w:ascii="Segoe UI" w:eastAsia="Times New Roman" w:hAnsi="Segoe UI" w:cs="Segoe UI"/>
                <w:b/>
                <w:bCs/>
                <w:color w:val="333333"/>
                <w:sz w:val="20"/>
                <w:szCs w:val="20"/>
                <w:lang w:eastAsia="en-GB"/>
              </w:rPr>
            </w:pPr>
            <w:r w:rsidRPr="000C04E4">
              <w:rPr>
                <w:rFonts w:ascii="Segoe UI" w:eastAsia="Times New Roman" w:hAnsi="Segoe UI" w:cs="Segoe UI"/>
                <w:b/>
                <w:bCs/>
                <w:color w:val="333333"/>
                <w:sz w:val="20"/>
                <w:szCs w:val="20"/>
                <w:lang w:eastAsia="en-GB"/>
              </w:rPr>
              <w:t>0.034</w:t>
            </w:r>
            <w:r w:rsidRPr="000C04E4">
              <w:rPr>
                <w:rFonts w:ascii="Segoe UI" w:eastAsia="Times New Roman" w:hAnsi="Segoe UI" w:cs="Segoe UI"/>
                <w:i/>
                <w:iCs/>
                <w:color w:val="333333"/>
                <w:sz w:val="15"/>
                <w:szCs w:val="15"/>
                <w:vertAlign w:val="superscript"/>
                <w:lang w:eastAsia="en-GB"/>
              </w:rPr>
              <w:t>2</w:t>
            </w:r>
          </w:p>
        </w:tc>
      </w:tr>
      <w:tr w:rsidR="008E0933" w:rsidRPr="000C04E4" w14:paraId="3B34955B"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tcPr>
          <w:p w14:paraId="2F18D16F" w14:textId="0BC15609" w:rsidR="008E0933" w:rsidRPr="000C04E4" w:rsidRDefault="008E0933" w:rsidP="008E0933">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Acuity</w:t>
            </w:r>
            <w:r>
              <w:rPr>
                <w:rFonts w:ascii="Segoe UI" w:eastAsia="Times New Roman" w:hAnsi="Segoe UI" w:cs="Segoe UI"/>
                <w:color w:val="333333"/>
                <w:sz w:val="20"/>
                <w:szCs w:val="20"/>
                <w:lang w:eastAsia="en-GB"/>
              </w:rPr>
              <w:t xml:space="preserve"> score</w:t>
            </w:r>
            <w:r w:rsidRPr="000C04E4">
              <w:rPr>
                <w:rFonts w:ascii="Segoe UI" w:eastAsia="Times New Roman" w:hAnsi="Segoe UI" w:cs="Segoe UI"/>
                <w:color w:val="333333"/>
                <w:sz w:val="20"/>
                <w:szCs w:val="20"/>
                <w:lang w:eastAsia="en-GB"/>
              </w:rPr>
              <w:t>, Median (IQR)</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tcPr>
          <w:p w14:paraId="66275B39" w14:textId="130E4A39"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17 (14 – 23)</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tcPr>
          <w:p w14:paraId="0EE399FD" w14:textId="264233F7"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17 (14 – 23)</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4C973130" w14:textId="54D05A9A"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18 (14 – 23)</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5F46D3B4" w14:textId="5830B7E9" w:rsidR="008E0933" w:rsidRPr="000C04E4" w:rsidRDefault="008E0933" w:rsidP="008E0933">
            <w:pPr>
              <w:spacing w:before="150" w:after="150" w:line="240" w:lineRule="auto"/>
              <w:ind w:left="150" w:right="150"/>
              <w:jc w:val="center"/>
              <w:rPr>
                <w:rFonts w:ascii="Segoe UI" w:eastAsia="Times New Roman" w:hAnsi="Segoe UI" w:cs="Segoe UI"/>
                <w:b/>
                <w:bCs/>
                <w:color w:val="333333"/>
                <w:sz w:val="20"/>
                <w:szCs w:val="20"/>
                <w:lang w:eastAsia="en-GB"/>
              </w:rPr>
            </w:pPr>
            <w:r w:rsidRPr="000C04E4">
              <w:rPr>
                <w:rFonts w:ascii="Segoe UI" w:eastAsia="Times New Roman" w:hAnsi="Segoe UI" w:cs="Segoe UI"/>
                <w:color w:val="333333"/>
                <w:sz w:val="20"/>
                <w:szCs w:val="20"/>
                <w:lang w:eastAsia="en-GB"/>
              </w:rPr>
              <w:t>0.87</w:t>
            </w:r>
            <w:r w:rsidRPr="000C04E4">
              <w:rPr>
                <w:rFonts w:ascii="Segoe UI" w:eastAsia="Times New Roman" w:hAnsi="Segoe UI" w:cs="Segoe UI"/>
                <w:i/>
                <w:iCs/>
                <w:color w:val="333333"/>
                <w:sz w:val="15"/>
                <w:szCs w:val="15"/>
                <w:vertAlign w:val="superscript"/>
                <w:lang w:eastAsia="en-GB"/>
              </w:rPr>
              <w:t>2</w:t>
            </w:r>
          </w:p>
        </w:tc>
      </w:tr>
      <w:tr w:rsidR="002F6EC8" w:rsidRPr="000C04E4" w14:paraId="637FCF7E"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tcPr>
          <w:p w14:paraId="68AF2CA4" w14:textId="4DE5E036" w:rsidR="002F6EC8" w:rsidRPr="000C04E4" w:rsidRDefault="002F6EC8" w:rsidP="008E0933">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Discharge medications</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tcPr>
          <w:p w14:paraId="23508E0F" w14:textId="77777777" w:rsidR="002F6EC8" w:rsidRPr="000C04E4" w:rsidRDefault="002F6EC8" w:rsidP="008E0933">
            <w:pPr>
              <w:spacing w:before="150" w:after="150" w:line="240" w:lineRule="auto"/>
              <w:ind w:left="150" w:right="150"/>
              <w:jc w:val="center"/>
              <w:rPr>
                <w:rFonts w:ascii="Segoe UI" w:eastAsia="Times New Roman" w:hAnsi="Segoe UI" w:cs="Segoe UI"/>
                <w:color w:val="333333"/>
                <w:sz w:val="20"/>
                <w:szCs w:val="20"/>
                <w:lang w:eastAsia="en-GB"/>
              </w:rPr>
            </w:pP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tcPr>
          <w:p w14:paraId="6466A04D" w14:textId="77777777" w:rsidR="002F6EC8" w:rsidRPr="000C04E4" w:rsidRDefault="002F6EC8" w:rsidP="008E0933">
            <w:pPr>
              <w:spacing w:before="150" w:after="150" w:line="240" w:lineRule="auto"/>
              <w:ind w:left="150" w:right="150"/>
              <w:jc w:val="center"/>
              <w:rPr>
                <w:rFonts w:ascii="Segoe UI" w:eastAsia="Times New Roman" w:hAnsi="Segoe UI" w:cs="Segoe UI"/>
                <w:color w:val="333333"/>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5020956B" w14:textId="77777777" w:rsidR="002F6EC8" w:rsidRPr="000C04E4" w:rsidRDefault="002F6EC8" w:rsidP="008E0933">
            <w:pPr>
              <w:spacing w:before="150" w:after="150" w:line="240" w:lineRule="auto"/>
              <w:ind w:left="150" w:right="150"/>
              <w:jc w:val="center"/>
              <w:rPr>
                <w:rFonts w:ascii="Segoe UI" w:eastAsia="Times New Roman" w:hAnsi="Segoe UI" w:cs="Segoe UI"/>
                <w:color w:val="333333"/>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0D1115D9" w14:textId="77777777" w:rsidR="002F6EC8" w:rsidRPr="000C04E4" w:rsidRDefault="002F6EC8" w:rsidP="008E0933">
            <w:pPr>
              <w:spacing w:before="150" w:after="150" w:line="240" w:lineRule="auto"/>
              <w:ind w:left="150" w:right="150"/>
              <w:jc w:val="center"/>
              <w:rPr>
                <w:rFonts w:ascii="Segoe UI" w:eastAsia="Times New Roman" w:hAnsi="Segoe UI" w:cs="Segoe UI"/>
                <w:b/>
                <w:bCs/>
                <w:color w:val="333333"/>
                <w:sz w:val="20"/>
                <w:szCs w:val="20"/>
                <w:lang w:eastAsia="en-GB"/>
              </w:rPr>
            </w:pPr>
          </w:p>
        </w:tc>
      </w:tr>
      <w:tr w:rsidR="008E0933" w:rsidRPr="000C04E4" w14:paraId="7181EC5B"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tcPr>
          <w:p w14:paraId="2D0A9F64" w14:textId="4898DDA2" w:rsidR="008E0933" w:rsidRPr="000C04E4" w:rsidRDefault="008E0933" w:rsidP="008E0933">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Aspirin,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tcPr>
          <w:p w14:paraId="0B918F21" w14:textId="2091F55E"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1,100 (97</w:t>
            </w:r>
            <w:r w:rsidR="00AB07C0">
              <w:rPr>
                <w:rFonts w:ascii="Segoe UI" w:eastAsia="Times New Roman" w:hAnsi="Segoe UI" w:cs="Segoe UI"/>
                <w:color w:val="333333"/>
                <w:sz w:val="20"/>
                <w:szCs w:val="20"/>
                <w:lang w:eastAsia="en-GB"/>
              </w:rPr>
              <w:t>.5</w:t>
            </w:r>
            <w:r w:rsidRPr="000C04E4">
              <w:rPr>
                <w:rFonts w:ascii="Segoe UI" w:eastAsia="Times New Roman" w:hAnsi="Segoe UI" w:cs="Segoe UI"/>
                <w:color w:val="333333"/>
                <w:sz w:val="20"/>
                <w:szCs w:val="20"/>
                <w:lang w:eastAsia="en-GB"/>
              </w:rPr>
              <w:t>)</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tcPr>
          <w:p w14:paraId="6A2CA99F" w14:textId="78CB9571"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421 (9</w:t>
            </w:r>
            <w:r w:rsidR="002F6EC8">
              <w:rPr>
                <w:rFonts w:ascii="Segoe UI" w:eastAsia="Times New Roman" w:hAnsi="Segoe UI" w:cs="Segoe UI"/>
                <w:color w:val="333333"/>
                <w:sz w:val="20"/>
                <w:szCs w:val="20"/>
                <w:lang w:eastAsia="en-GB"/>
              </w:rPr>
              <w:t>4</w:t>
            </w:r>
            <w:r w:rsidR="00AB07C0">
              <w:rPr>
                <w:rFonts w:ascii="Segoe UI" w:eastAsia="Times New Roman" w:hAnsi="Segoe UI" w:cs="Segoe UI"/>
                <w:color w:val="333333"/>
                <w:sz w:val="20"/>
                <w:szCs w:val="20"/>
                <w:lang w:eastAsia="en-GB"/>
              </w:rPr>
              <w:t>.4</w:t>
            </w:r>
            <w:r w:rsidRPr="000C04E4">
              <w:rPr>
                <w:rFonts w:ascii="Segoe UI" w:eastAsia="Times New Roman" w:hAnsi="Segoe UI" w:cs="Segoe UI"/>
                <w:color w:val="333333"/>
                <w:sz w:val="20"/>
                <w:szCs w:val="20"/>
                <w:lang w:eastAsia="en-GB"/>
              </w:rPr>
              <w: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4E742149" w14:textId="5659D938"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679 (</w:t>
            </w:r>
            <w:r w:rsidR="00AB07C0">
              <w:rPr>
                <w:rFonts w:ascii="Segoe UI" w:eastAsia="Times New Roman" w:hAnsi="Segoe UI" w:cs="Segoe UI"/>
                <w:color w:val="333333"/>
                <w:sz w:val="20"/>
                <w:szCs w:val="20"/>
                <w:lang w:eastAsia="en-GB"/>
              </w:rPr>
              <w:t>99.6</w:t>
            </w:r>
            <w:r w:rsidRPr="000C04E4">
              <w:rPr>
                <w:rFonts w:ascii="Segoe UI" w:eastAsia="Times New Roman" w:hAnsi="Segoe UI" w:cs="Segoe UI"/>
                <w:color w:val="333333"/>
                <w:sz w:val="20"/>
                <w:szCs w:val="20"/>
                <w:lang w:eastAsia="en-GB"/>
              </w:rPr>
              <w: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582DD645" w14:textId="4280F87B" w:rsidR="008E0933" w:rsidRPr="000C04E4" w:rsidRDefault="008E0933" w:rsidP="008E0933">
            <w:pPr>
              <w:spacing w:before="150" w:after="150" w:line="240" w:lineRule="auto"/>
              <w:ind w:left="150" w:right="150"/>
              <w:jc w:val="center"/>
              <w:rPr>
                <w:rFonts w:ascii="Segoe UI" w:eastAsia="Times New Roman" w:hAnsi="Segoe UI" w:cs="Segoe UI"/>
                <w:b/>
                <w:bCs/>
                <w:color w:val="333333"/>
                <w:sz w:val="20"/>
                <w:szCs w:val="20"/>
                <w:lang w:eastAsia="en-GB"/>
              </w:rPr>
            </w:pPr>
            <w:r w:rsidRPr="000C04E4">
              <w:rPr>
                <w:rFonts w:ascii="Segoe UI" w:eastAsia="Times New Roman" w:hAnsi="Segoe UI" w:cs="Segoe UI"/>
                <w:b/>
                <w:bCs/>
                <w:color w:val="333333"/>
                <w:sz w:val="20"/>
                <w:szCs w:val="20"/>
                <w:lang w:eastAsia="en-GB"/>
              </w:rPr>
              <w:t>&lt;0.001</w:t>
            </w:r>
            <w:r w:rsidRPr="000C04E4">
              <w:rPr>
                <w:rFonts w:ascii="Segoe UI" w:eastAsia="Times New Roman" w:hAnsi="Segoe UI" w:cs="Segoe UI"/>
                <w:i/>
                <w:iCs/>
                <w:color w:val="333333"/>
                <w:sz w:val="15"/>
                <w:szCs w:val="15"/>
                <w:vertAlign w:val="superscript"/>
                <w:lang w:eastAsia="en-GB"/>
              </w:rPr>
              <w:t>4</w:t>
            </w:r>
          </w:p>
        </w:tc>
      </w:tr>
      <w:tr w:rsidR="008E0933" w:rsidRPr="000C04E4" w14:paraId="552C4981"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B41B521" w14:textId="77777777" w:rsidR="008E0933" w:rsidRPr="000C04E4" w:rsidRDefault="008E0933" w:rsidP="008E0933">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Second antiplatelet</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62CE773F" w14:textId="11BF394B"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1,125 (99</w:t>
            </w:r>
            <w:r w:rsidR="00AB07C0">
              <w:rPr>
                <w:rFonts w:ascii="Segoe UI" w:eastAsia="Times New Roman" w:hAnsi="Segoe UI" w:cs="Segoe UI"/>
                <w:color w:val="333333"/>
                <w:sz w:val="20"/>
                <w:szCs w:val="20"/>
                <w:lang w:eastAsia="en-GB"/>
              </w:rPr>
              <w:t>.7</w:t>
            </w:r>
            <w:r w:rsidRPr="000C04E4">
              <w:rPr>
                <w:rFonts w:ascii="Segoe UI" w:eastAsia="Times New Roman" w:hAnsi="Segoe UI" w:cs="Segoe UI"/>
                <w:color w:val="333333"/>
                <w:sz w:val="20"/>
                <w:szCs w:val="20"/>
                <w:lang w:eastAsia="en-GB"/>
              </w:rPr>
              <w:t>)</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5C197EF" w14:textId="34E817C6"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446 (</w:t>
            </w:r>
            <w:r w:rsidR="002F6EC8">
              <w:rPr>
                <w:rFonts w:ascii="Segoe UI" w:eastAsia="Times New Roman" w:hAnsi="Segoe UI" w:cs="Segoe UI"/>
                <w:color w:val="333333"/>
                <w:sz w:val="20"/>
                <w:szCs w:val="20"/>
                <w:lang w:eastAsia="en-GB"/>
              </w:rPr>
              <w:t>100</w:t>
            </w:r>
            <w:r w:rsidRPr="000C04E4">
              <w:rPr>
                <w:rFonts w:ascii="Segoe UI" w:eastAsia="Times New Roman" w:hAnsi="Segoe UI" w:cs="Segoe UI"/>
                <w:color w:val="333333"/>
                <w:sz w:val="20"/>
                <w:szCs w:val="20"/>
                <w:lang w:eastAsia="en-GB"/>
              </w:rPr>
              <w: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EEE82D2" w14:textId="11B720A3"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679 (</w:t>
            </w:r>
            <w:r w:rsidR="00AB07C0">
              <w:rPr>
                <w:rFonts w:ascii="Segoe UI" w:eastAsia="Times New Roman" w:hAnsi="Segoe UI" w:cs="Segoe UI"/>
                <w:color w:val="333333"/>
                <w:sz w:val="20"/>
                <w:szCs w:val="20"/>
                <w:lang w:eastAsia="en-GB"/>
              </w:rPr>
              <w:t>99.6</w:t>
            </w:r>
            <w:r w:rsidRPr="000C04E4">
              <w:rPr>
                <w:rFonts w:ascii="Segoe UI" w:eastAsia="Times New Roman" w:hAnsi="Segoe UI" w:cs="Segoe UI"/>
                <w:color w:val="333333"/>
                <w:sz w:val="20"/>
                <w:szCs w:val="20"/>
                <w:lang w:eastAsia="en-GB"/>
              </w:rPr>
              <w: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F1D6157" w14:textId="509B6B5C"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w:t>
            </w:r>
            <w:r w:rsidR="00F4348B">
              <w:rPr>
                <w:rFonts w:ascii="Segoe UI" w:eastAsia="Times New Roman" w:hAnsi="Segoe UI" w:cs="Segoe UI"/>
                <w:color w:val="333333"/>
                <w:sz w:val="20"/>
                <w:szCs w:val="20"/>
                <w:lang w:eastAsia="en-GB"/>
              </w:rPr>
              <w:t>16</w:t>
            </w:r>
            <w:r w:rsidRPr="000C04E4">
              <w:rPr>
                <w:rFonts w:ascii="Segoe UI" w:eastAsia="Times New Roman" w:hAnsi="Segoe UI" w:cs="Segoe UI"/>
                <w:i/>
                <w:iCs/>
                <w:color w:val="333333"/>
                <w:sz w:val="15"/>
                <w:szCs w:val="15"/>
                <w:vertAlign w:val="superscript"/>
                <w:lang w:eastAsia="en-GB"/>
              </w:rPr>
              <w:t>4</w:t>
            </w:r>
          </w:p>
        </w:tc>
      </w:tr>
      <w:tr w:rsidR="004D769D" w:rsidRPr="000C04E4" w14:paraId="7FD30652"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tcPr>
          <w:p w14:paraId="72871F01" w14:textId="09E6C6D3" w:rsidR="004D769D" w:rsidRDefault="004D769D" w:rsidP="008E0933">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DAPT duration (Mean, SD)</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tcPr>
          <w:p w14:paraId="44BD4DEB" w14:textId="2931B40A" w:rsidR="004D769D" w:rsidRPr="000C04E4" w:rsidRDefault="00AB07C0" w:rsidP="008E0933">
            <w:pPr>
              <w:spacing w:before="150" w:after="150" w:line="240" w:lineRule="auto"/>
              <w:ind w:left="150" w:right="150"/>
              <w:jc w:val="center"/>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347 (77)</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tcPr>
          <w:p w14:paraId="2D630138" w14:textId="5436C6C2" w:rsidR="004D769D" w:rsidRPr="000C04E4" w:rsidRDefault="004D769D" w:rsidP="008E0933">
            <w:pPr>
              <w:spacing w:before="150" w:after="150" w:line="240" w:lineRule="auto"/>
              <w:ind w:left="150" w:right="150"/>
              <w:jc w:val="center"/>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34</w:t>
            </w:r>
            <w:r w:rsidR="002F6EC8">
              <w:rPr>
                <w:rFonts w:ascii="Segoe UI" w:eastAsia="Times New Roman" w:hAnsi="Segoe UI" w:cs="Segoe UI"/>
                <w:color w:val="333333"/>
                <w:sz w:val="20"/>
                <w:szCs w:val="20"/>
                <w:lang w:eastAsia="en-GB"/>
              </w:rPr>
              <w:t>8</w:t>
            </w:r>
            <w:r>
              <w:rPr>
                <w:rFonts w:ascii="Segoe UI" w:eastAsia="Times New Roman" w:hAnsi="Segoe UI" w:cs="Segoe UI"/>
                <w:color w:val="333333"/>
                <w:sz w:val="20"/>
                <w:szCs w:val="20"/>
                <w:lang w:eastAsia="en-GB"/>
              </w:rPr>
              <w:t xml:space="preserve"> (78)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4A329ACF" w14:textId="026592B6" w:rsidR="004D769D" w:rsidRPr="000C04E4" w:rsidRDefault="004D769D" w:rsidP="008E0933">
            <w:pPr>
              <w:spacing w:before="150" w:after="150" w:line="240" w:lineRule="auto"/>
              <w:ind w:left="150" w:right="150"/>
              <w:jc w:val="center"/>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346 (77)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1269CC65" w14:textId="7DAC237D" w:rsidR="004D769D" w:rsidRPr="000C04E4" w:rsidRDefault="00F4348B" w:rsidP="008E0933">
            <w:pPr>
              <w:spacing w:before="150" w:after="150" w:line="240" w:lineRule="auto"/>
              <w:ind w:left="150" w:right="150"/>
              <w:jc w:val="center"/>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0.73</w:t>
            </w:r>
            <w:r w:rsidR="002E57F8" w:rsidRPr="002E57F8">
              <w:rPr>
                <w:rFonts w:ascii="Segoe UI" w:eastAsia="Times New Roman" w:hAnsi="Segoe UI" w:cs="Segoe UI"/>
                <w:i/>
                <w:iCs/>
                <w:color w:val="333333"/>
                <w:sz w:val="15"/>
                <w:szCs w:val="15"/>
                <w:vertAlign w:val="superscript"/>
                <w:lang w:eastAsia="en-GB"/>
              </w:rPr>
              <w:t>2</w:t>
            </w:r>
          </w:p>
        </w:tc>
      </w:tr>
      <w:tr w:rsidR="004D769D" w:rsidRPr="000C04E4" w14:paraId="254AB568"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tcPr>
          <w:p w14:paraId="469B114C" w14:textId="2D36C8AF" w:rsidR="004D769D" w:rsidRDefault="004D769D" w:rsidP="008E0933">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Anticoagulation</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tcPr>
          <w:p w14:paraId="45F37C48" w14:textId="29B49F30" w:rsidR="004D769D" w:rsidRPr="000C04E4" w:rsidRDefault="00AB07C0" w:rsidP="008E0933">
            <w:pPr>
              <w:spacing w:before="150" w:after="150" w:line="240" w:lineRule="auto"/>
              <w:ind w:left="150" w:right="150"/>
              <w:jc w:val="center"/>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54 (4.8)</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tcPr>
          <w:p w14:paraId="28F3B0AC" w14:textId="446F1B6B" w:rsidR="004D769D" w:rsidRPr="000C04E4" w:rsidRDefault="004D769D" w:rsidP="008E0933">
            <w:pPr>
              <w:spacing w:before="150" w:after="150" w:line="240" w:lineRule="auto"/>
              <w:ind w:left="150" w:right="150"/>
              <w:jc w:val="center"/>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23 (5.2)</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27CD7A25" w14:textId="6CFD8006" w:rsidR="004D769D" w:rsidRPr="000C04E4" w:rsidRDefault="004D769D" w:rsidP="008E0933">
            <w:pPr>
              <w:spacing w:before="150" w:after="150" w:line="240" w:lineRule="auto"/>
              <w:ind w:left="150" w:right="150"/>
              <w:jc w:val="center"/>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31 (4.5)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10D3B81C" w14:textId="6B0C0C2D" w:rsidR="004D769D" w:rsidRPr="000C04E4" w:rsidRDefault="00F4348B" w:rsidP="008E0933">
            <w:pPr>
              <w:spacing w:before="150" w:after="150" w:line="240" w:lineRule="auto"/>
              <w:ind w:left="150" w:right="150"/>
              <w:jc w:val="center"/>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0.64</w:t>
            </w:r>
            <w:r w:rsidR="002E57F8">
              <w:rPr>
                <w:rFonts w:ascii="Segoe UI" w:eastAsia="Times New Roman" w:hAnsi="Segoe UI" w:cs="Segoe UI"/>
                <w:i/>
                <w:iCs/>
                <w:color w:val="333333"/>
                <w:sz w:val="15"/>
                <w:szCs w:val="15"/>
                <w:vertAlign w:val="superscript"/>
                <w:lang w:eastAsia="en-GB"/>
              </w:rPr>
              <w:t>4</w:t>
            </w:r>
          </w:p>
        </w:tc>
      </w:tr>
      <w:tr w:rsidR="008E0933" w:rsidRPr="000C04E4" w14:paraId="4B8A6AED"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F0CC04B" w14:textId="77777777" w:rsidR="008E0933" w:rsidRPr="000C04E4" w:rsidRDefault="008E0933" w:rsidP="008E0933">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Beta blocker</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739BC56" w14:textId="35E8A18B"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1,051 (9</w:t>
            </w:r>
            <w:r w:rsidR="00AB07C0">
              <w:rPr>
                <w:rFonts w:ascii="Segoe UI" w:eastAsia="Times New Roman" w:hAnsi="Segoe UI" w:cs="Segoe UI"/>
                <w:color w:val="333333"/>
                <w:sz w:val="20"/>
                <w:szCs w:val="20"/>
                <w:lang w:eastAsia="en-GB"/>
              </w:rPr>
              <w:t>3.2</w:t>
            </w:r>
            <w:r w:rsidRPr="000C04E4">
              <w:rPr>
                <w:rFonts w:ascii="Segoe UI" w:eastAsia="Times New Roman" w:hAnsi="Segoe UI" w:cs="Segoe UI"/>
                <w:color w:val="333333"/>
                <w:sz w:val="20"/>
                <w:szCs w:val="20"/>
                <w:lang w:eastAsia="en-GB"/>
              </w:rPr>
              <w:t>)</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CFB06D6" w14:textId="13951CE4"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414 (9</w:t>
            </w:r>
            <w:r w:rsidR="00AB07C0">
              <w:rPr>
                <w:rFonts w:ascii="Segoe UI" w:eastAsia="Times New Roman" w:hAnsi="Segoe UI" w:cs="Segoe UI"/>
                <w:color w:val="333333"/>
                <w:sz w:val="20"/>
                <w:szCs w:val="20"/>
                <w:lang w:eastAsia="en-GB"/>
              </w:rPr>
              <w:t>2.8</w:t>
            </w:r>
            <w:r w:rsidRPr="000C04E4">
              <w:rPr>
                <w:rFonts w:ascii="Segoe UI" w:eastAsia="Times New Roman" w:hAnsi="Segoe UI" w:cs="Segoe UI"/>
                <w:color w:val="333333"/>
                <w:sz w:val="20"/>
                <w:szCs w:val="20"/>
                <w:lang w:eastAsia="en-GB"/>
              </w:rPr>
              <w: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542002F" w14:textId="6B784FA4"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637 (93</w:t>
            </w:r>
            <w:r w:rsidR="00AB07C0">
              <w:rPr>
                <w:rFonts w:ascii="Segoe UI" w:eastAsia="Times New Roman" w:hAnsi="Segoe UI" w:cs="Segoe UI"/>
                <w:color w:val="333333"/>
                <w:sz w:val="20"/>
                <w:szCs w:val="20"/>
                <w:lang w:eastAsia="en-GB"/>
              </w:rPr>
              <w:t>.4</w:t>
            </w:r>
            <w:r w:rsidRPr="000C04E4">
              <w:rPr>
                <w:rFonts w:ascii="Segoe UI" w:eastAsia="Times New Roman" w:hAnsi="Segoe UI" w:cs="Segoe UI"/>
                <w:color w:val="333333"/>
                <w:sz w:val="20"/>
                <w:szCs w:val="20"/>
                <w:lang w:eastAsia="en-GB"/>
              </w:rPr>
              <w: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00DC6A5" w14:textId="13B2061A"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w:t>
            </w:r>
            <w:r w:rsidR="00F4348B">
              <w:rPr>
                <w:rFonts w:ascii="Segoe UI" w:eastAsia="Times New Roman" w:hAnsi="Segoe UI" w:cs="Segoe UI"/>
                <w:color w:val="333333"/>
                <w:sz w:val="20"/>
                <w:szCs w:val="20"/>
                <w:lang w:eastAsia="en-GB"/>
              </w:rPr>
              <w:t>71</w:t>
            </w:r>
            <w:r w:rsidRPr="000C04E4">
              <w:rPr>
                <w:rFonts w:ascii="Segoe UI" w:eastAsia="Times New Roman" w:hAnsi="Segoe UI" w:cs="Segoe UI"/>
                <w:i/>
                <w:iCs/>
                <w:color w:val="333333"/>
                <w:sz w:val="15"/>
                <w:szCs w:val="15"/>
                <w:vertAlign w:val="superscript"/>
                <w:lang w:eastAsia="en-GB"/>
              </w:rPr>
              <w:t>4</w:t>
            </w:r>
          </w:p>
        </w:tc>
      </w:tr>
      <w:tr w:rsidR="008E0933" w:rsidRPr="000C04E4" w14:paraId="3F01057C"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834EEC6" w14:textId="77777777" w:rsidR="008E0933" w:rsidRPr="000C04E4" w:rsidRDefault="008E0933" w:rsidP="008E0933">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ACE inhibitor / ARB</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1B8F241" w14:textId="7470E170"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1,053 (9</w:t>
            </w:r>
            <w:r w:rsidR="00AB07C0">
              <w:rPr>
                <w:rFonts w:ascii="Segoe UI" w:eastAsia="Times New Roman" w:hAnsi="Segoe UI" w:cs="Segoe UI"/>
                <w:color w:val="333333"/>
                <w:sz w:val="20"/>
                <w:szCs w:val="20"/>
                <w:lang w:eastAsia="en-GB"/>
              </w:rPr>
              <w:t>3.4</w:t>
            </w:r>
            <w:r w:rsidRPr="000C04E4">
              <w:rPr>
                <w:rFonts w:ascii="Segoe UI" w:eastAsia="Times New Roman" w:hAnsi="Segoe UI" w:cs="Segoe UI"/>
                <w:color w:val="333333"/>
                <w:sz w:val="20"/>
                <w:szCs w:val="20"/>
                <w:lang w:eastAsia="en-GB"/>
              </w:rPr>
              <w:t>)</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6F3276A9" w14:textId="4B16F565"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415 (9</w:t>
            </w:r>
            <w:r w:rsidR="002F6EC8">
              <w:rPr>
                <w:rFonts w:ascii="Segoe UI" w:eastAsia="Times New Roman" w:hAnsi="Segoe UI" w:cs="Segoe UI"/>
                <w:color w:val="333333"/>
                <w:sz w:val="20"/>
                <w:szCs w:val="20"/>
                <w:lang w:eastAsia="en-GB"/>
              </w:rPr>
              <w:t>3</w:t>
            </w:r>
            <w:r w:rsidR="00AB07C0">
              <w:rPr>
                <w:rFonts w:ascii="Segoe UI" w:eastAsia="Times New Roman" w:hAnsi="Segoe UI" w:cs="Segoe UI"/>
                <w:color w:val="333333"/>
                <w:sz w:val="20"/>
                <w:szCs w:val="20"/>
                <w:lang w:eastAsia="en-GB"/>
              </w:rPr>
              <w:t>.0</w:t>
            </w:r>
            <w:r w:rsidRPr="000C04E4">
              <w:rPr>
                <w:rFonts w:ascii="Segoe UI" w:eastAsia="Times New Roman" w:hAnsi="Segoe UI" w:cs="Segoe UI"/>
                <w:color w:val="333333"/>
                <w:sz w:val="20"/>
                <w:szCs w:val="20"/>
                <w:lang w:eastAsia="en-GB"/>
              </w:rPr>
              <w: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DFF236F" w14:textId="57B0C46A"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638 (93</w:t>
            </w:r>
            <w:r w:rsidR="002F6EC8">
              <w:rPr>
                <w:rFonts w:ascii="Segoe UI" w:eastAsia="Times New Roman" w:hAnsi="Segoe UI" w:cs="Segoe UI"/>
                <w:color w:val="333333"/>
                <w:sz w:val="20"/>
                <w:szCs w:val="20"/>
                <w:lang w:eastAsia="en-GB"/>
              </w:rPr>
              <w:t>.5</w:t>
            </w:r>
            <w:r w:rsidRPr="000C04E4">
              <w:rPr>
                <w:rFonts w:ascii="Segoe UI" w:eastAsia="Times New Roman" w:hAnsi="Segoe UI" w:cs="Segoe UI"/>
                <w:color w:val="333333"/>
                <w:sz w:val="20"/>
                <w:szCs w:val="20"/>
                <w:lang w:eastAsia="en-GB"/>
              </w:rPr>
              <w: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FFF44D9" w14:textId="2F787AF7"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w:t>
            </w:r>
            <w:r w:rsidR="00F4348B">
              <w:rPr>
                <w:rFonts w:ascii="Segoe UI" w:eastAsia="Times New Roman" w:hAnsi="Segoe UI" w:cs="Segoe UI"/>
                <w:color w:val="333333"/>
                <w:sz w:val="20"/>
                <w:szCs w:val="20"/>
                <w:lang w:eastAsia="en-GB"/>
              </w:rPr>
              <w:t>74</w:t>
            </w:r>
            <w:r w:rsidRPr="000C04E4">
              <w:rPr>
                <w:rFonts w:ascii="Segoe UI" w:eastAsia="Times New Roman" w:hAnsi="Segoe UI" w:cs="Segoe UI"/>
                <w:i/>
                <w:iCs/>
                <w:color w:val="333333"/>
                <w:sz w:val="15"/>
                <w:szCs w:val="15"/>
                <w:vertAlign w:val="superscript"/>
                <w:lang w:eastAsia="en-GB"/>
              </w:rPr>
              <w:t>4</w:t>
            </w:r>
          </w:p>
        </w:tc>
      </w:tr>
      <w:tr w:rsidR="008E0933" w:rsidRPr="000C04E4" w14:paraId="57317FDB"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53C38EB" w14:textId="77777777" w:rsidR="008E0933" w:rsidRPr="000C04E4" w:rsidRDefault="008E0933" w:rsidP="008E0933">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Statin,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260652B" w14:textId="01F59303"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1,104 (97</w:t>
            </w:r>
            <w:r w:rsidR="00AB07C0">
              <w:rPr>
                <w:rFonts w:ascii="Segoe UI" w:eastAsia="Times New Roman" w:hAnsi="Segoe UI" w:cs="Segoe UI"/>
                <w:color w:val="333333"/>
                <w:sz w:val="20"/>
                <w:szCs w:val="20"/>
                <w:lang w:eastAsia="en-GB"/>
              </w:rPr>
              <w:t>.9</w:t>
            </w:r>
            <w:r w:rsidRPr="000C04E4">
              <w:rPr>
                <w:rFonts w:ascii="Segoe UI" w:eastAsia="Times New Roman" w:hAnsi="Segoe UI" w:cs="Segoe UI"/>
                <w:color w:val="333333"/>
                <w:sz w:val="20"/>
                <w:szCs w:val="20"/>
                <w:lang w:eastAsia="en-GB"/>
              </w:rPr>
              <w:t>)</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715D547" w14:textId="4DBDC609"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437 (9</w:t>
            </w:r>
            <w:r w:rsidR="002F6EC8">
              <w:rPr>
                <w:rFonts w:ascii="Segoe UI" w:eastAsia="Times New Roman" w:hAnsi="Segoe UI" w:cs="Segoe UI"/>
                <w:color w:val="333333"/>
                <w:sz w:val="20"/>
                <w:szCs w:val="20"/>
                <w:lang w:eastAsia="en-GB"/>
              </w:rPr>
              <w:t>8</w:t>
            </w:r>
            <w:r w:rsidR="00AB07C0">
              <w:rPr>
                <w:rFonts w:ascii="Segoe UI" w:eastAsia="Times New Roman" w:hAnsi="Segoe UI" w:cs="Segoe UI"/>
                <w:color w:val="333333"/>
                <w:sz w:val="20"/>
                <w:szCs w:val="20"/>
                <w:lang w:eastAsia="en-GB"/>
              </w:rPr>
              <w:t>.0</w:t>
            </w:r>
            <w:r w:rsidRPr="000C04E4">
              <w:rPr>
                <w:rFonts w:ascii="Segoe UI" w:eastAsia="Times New Roman" w:hAnsi="Segoe UI" w:cs="Segoe UI"/>
                <w:color w:val="333333"/>
                <w:sz w:val="20"/>
                <w:szCs w:val="20"/>
                <w:lang w:eastAsia="en-GB"/>
              </w:rPr>
              <w: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BA3B02D" w14:textId="2EB46C44"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667 (9</w:t>
            </w:r>
            <w:r w:rsidR="00AB07C0">
              <w:rPr>
                <w:rFonts w:ascii="Segoe UI" w:eastAsia="Times New Roman" w:hAnsi="Segoe UI" w:cs="Segoe UI"/>
                <w:color w:val="333333"/>
                <w:sz w:val="20"/>
                <w:szCs w:val="20"/>
                <w:lang w:eastAsia="en-GB"/>
              </w:rPr>
              <w:t>7.</w:t>
            </w:r>
            <w:r w:rsidR="002F6EC8">
              <w:rPr>
                <w:rFonts w:ascii="Segoe UI" w:eastAsia="Times New Roman" w:hAnsi="Segoe UI" w:cs="Segoe UI"/>
                <w:color w:val="333333"/>
                <w:sz w:val="20"/>
                <w:szCs w:val="20"/>
                <w:lang w:eastAsia="en-GB"/>
              </w:rPr>
              <w:t>8</w:t>
            </w:r>
            <w:r w:rsidRPr="000C04E4">
              <w:rPr>
                <w:rFonts w:ascii="Segoe UI" w:eastAsia="Times New Roman" w:hAnsi="Segoe UI" w:cs="Segoe UI"/>
                <w:color w:val="333333"/>
                <w:sz w:val="20"/>
                <w:szCs w:val="20"/>
                <w:lang w:eastAsia="en-GB"/>
              </w:rPr>
              <w: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1AA8EB5" w14:textId="708883FE"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w:t>
            </w:r>
            <w:r w:rsidR="00F4348B">
              <w:rPr>
                <w:rFonts w:ascii="Segoe UI" w:eastAsia="Times New Roman" w:hAnsi="Segoe UI" w:cs="Segoe UI"/>
                <w:color w:val="333333"/>
                <w:sz w:val="20"/>
                <w:szCs w:val="20"/>
                <w:lang w:eastAsia="en-GB"/>
              </w:rPr>
              <w:t>84</w:t>
            </w:r>
            <w:r w:rsidRPr="000C04E4">
              <w:rPr>
                <w:rFonts w:ascii="Segoe UI" w:eastAsia="Times New Roman" w:hAnsi="Segoe UI" w:cs="Segoe UI"/>
                <w:i/>
                <w:iCs/>
                <w:color w:val="333333"/>
                <w:sz w:val="15"/>
                <w:szCs w:val="15"/>
                <w:vertAlign w:val="superscript"/>
                <w:lang w:eastAsia="en-GB"/>
              </w:rPr>
              <w:t>4</w:t>
            </w:r>
          </w:p>
        </w:tc>
      </w:tr>
      <w:tr w:rsidR="008E0933" w:rsidRPr="000C04E4" w14:paraId="3747EDA7" w14:textId="77777777" w:rsidTr="00047BA9">
        <w:tc>
          <w:tcPr>
            <w:tcW w:w="305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102E70D" w14:textId="77777777" w:rsidR="008E0933" w:rsidRPr="000C04E4" w:rsidRDefault="008E0933" w:rsidP="008E0933">
            <w:pPr>
              <w:spacing w:before="150" w:after="150" w:line="240" w:lineRule="auto"/>
              <w:ind w:left="150" w:right="150"/>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Aldost</w:t>
            </w:r>
            <w:r>
              <w:rPr>
                <w:rFonts w:ascii="Segoe UI" w:eastAsia="Times New Roman" w:hAnsi="Segoe UI" w:cs="Segoe UI"/>
                <w:color w:val="333333"/>
                <w:sz w:val="20"/>
                <w:szCs w:val="20"/>
                <w:lang w:eastAsia="en-GB"/>
              </w:rPr>
              <w:t>erone antagonist</w:t>
            </w:r>
            <w:r w:rsidRPr="000C04E4">
              <w:rPr>
                <w:rFonts w:ascii="Segoe UI" w:eastAsia="Times New Roman" w:hAnsi="Segoe UI" w:cs="Segoe UI"/>
                <w:color w:val="333333"/>
                <w:sz w:val="20"/>
                <w:szCs w:val="20"/>
                <w:lang w:eastAsia="en-GB"/>
              </w:rPr>
              <w:t>, n (%)</w:t>
            </w:r>
          </w:p>
        </w:tc>
        <w:tc>
          <w:tcPr>
            <w:tcW w:w="212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766A62F" w14:textId="6A90AEAD"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155 (1</w:t>
            </w:r>
            <w:r w:rsidR="00AB07C0">
              <w:rPr>
                <w:rFonts w:ascii="Segoe UI" w:eastAsia="Times New Roman" w:hAnsi="Segoe UI" w:cs="Segoe UI"/>
                <w:color w:val="333333"/>
                <w:sz w:val="20"/>
                <w:szCs w:val="20"/>
                <w:lang w:eastAsia="en-GB"/>
              </w:rPr>
              <w:t>3.7</w:t>
            </w:r>
            <w:r w:rsidRPr="000C04E4">
              <w:rPr>
                <w:rFonts w:ascii="Segoe UI" w:eastAsia="Times New Roman" w:hAnsi="Segoe UI" w:cs="Segoe UI"/>
                <w:color w:val="333333"/>
                <w:sz w:val="20"/>
                <w:szCs w:val="20"/>
                <w:lang w:eastAsia="en-GB"/>
              </w:rPr>
              <w:t>)</w:t>
            </w:r>
          </w:p>
        </w:tc>
        <w:tc>
          <w:tcPr>
            <w:tcW w:w="1424"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801FEFE" w14:textId="6CC3D7A6"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60 (1</w:t>
            </w:r>
            <w:r w:rsidR="002F6EC8">
              <w:rPr>
                <w:rFonts w:ascii="Segoe UI" w:eastAsia="Times New Roman" w:hAnsi="Segoe UI" w:cs="Segoe UI"/>
                <w:color w:val="333333"/>
                <w:sz w:val="20"/>
                <w:szCs w:val="20"/>
                <w:lang w:eastAsia="en-GB"/>
              </w:rPr>
              <w:t>3.5</w:t>
            </w:r>
            <w:r w:rsidRPr="000C04E4">
              <w:rPr>
                <w:rFonts w:ascii="Segoe UI" w:eastAsia="Times New Roman" w:hAnsi="Segoe UI" w:cs="Segoe UI"/>
                <w:color w:val="333333"/>
                <w:sz w:val="20"/>
                <w:szCs w:val="20"/>
                <w:lang w:eastAsia="en-GB"/>
              </w:rPr>
              <w: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FA0064D" w14:textId="02E9FC5F"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95 (1</w:t>
            </w:r>
            <w:r w:rsidR="00AB07C0">
              <w:rPr>
                <w:rFonts w:ascii="Segoe UI" w:eastAsia="Times New Roman" w:hAnsi="Segoe UI" w:cs="Segoe UI"/>
                <w:color w:val="333333"/>
                <w:sz w:val="20"/>
                <w:szCs w:val="20"/>
                <w:lang w:eastAsia="en-GB"/>
              </w:rPr>
              <w:t>3.9</w:t>
            </w:r>
            <w:r w:rsidRPr="000C04E4">
              <w:rPr>
                <w:rFonts w:ascii="Segoe UI" w:eastAsia="Times New Roman" w:hAnsi="Segoe UI" w:cs="Segoe UI"/>
                <w:color w:val="333333"/>
                <w:sz w:val="20"/>
                <w:szCs w:val="20"/>
                <w:lang w:eastAsia="en-GB"/>
              </w:rPr>
              <w: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91EA25F" w14:textId="3C91AC6D" w:rsidR="008E0933" w:rsidRPr="000C04E4" w:rsidRDefault="008E0933" w:rsidP="008E0933">
            <w:pPr>
              <w:spacing w:before="150" w:after="150" w:line="240" w:lineRule="auto"/>
              <w:ind w:left="150" w:right="150"/>
              <w:jc w:val="center"/>
              <w:rPr>
                <w:rFonts w:ascii="Segoe UI" w:eastAsia="Times New Roman" w:hAnsi="Segoe UI" w:cs="Segoe UI"/>
                <w:color w:val="333333"/>
                <w:sz w:val="20"/>
                <w:szCs w:val="20"/>
                <w:lang w:eastAsia="en-GB"/>
              </w:rPr>
            </w:pPr>
            <w:r w:rsidRPr="000C04E4">
              <w:rPr>
                <w:rFonts w:ascii="Segoe UI" w:eastAsia="Times New Roman" w:hAnsi="Segoe UI" w:cs="Segoe UI"/>
                <w:color w:val="333333"/>
                <w:sz w:val="20"/>
                <w:szCs w:val="20"/>
                <w:lang w:eastAsia="en-GB"/>
              </w:rPr>
              <w:t>0.</w:t>
            </w:r>
            <w:r w:rsidR="00F4348B">
              <w:rPr>
                <w:rFonts w:ascii="Segoe UI" w:eastAsia="Times New Roman" w:hAnsi="Segoe UI" w:cs="Segoe UI"/>
                <w:color w:val="333333"/>
                <w:sz w:val="20"/>
                <w:szCs w:val="20"/>
                <w:lang w:eastAsia="en-GB"/>
              </w:rPr>
              <w:t>82</w:t>
            </w:r>
            <w:r w:rsidRPr="000C04E4">
              <w:rPr>
                <w:rFonts w:ascii="Segoe UI" w:eastAsia="Times New Roman" w:hAnsi="Segoe UI" w:cs="Segoe UI"/>
                <w:i/>
                <w:iCs/>
                <w:color w:val="333333"/>
                <w:sz w:val="15"/>
                <w:szCs w:val="15"/>
                <w:vertAlign w:val="superscript"/>
                <w:lang w:eastAsia="en-GB"/>
              </w:rPr>
              <w:t>4</w:t>
            </w:r>
          </w:p>
        </w:tc>
      </w:tr>
      <w:tr w:rsidR="008E0933" w:rsidRPr="000C04E4" w14:paraId="60DC0B6F" w14:textId="77777777" w:rsidTr="008E0933">
        <w:tc>
          <w:tcPr>
            <w:tcW w:w="0" w:type="auto"/>
            <w:gridSpan w:val="5"/>
            <w:shd w:val="clear" w:color="auto" w:fill="FFFFFF"/>
            <w:tcMar>
              <w:top w:w="15" w:type="dxa"/>
              <w:left w:w="75" w:type="dxa"/>
              <w:bottom w:w="15" w:type="dxa"/>
              <w:right w:w="75" w:type="dxa"/>
            </w:tcMar>
            <w:vAlign w:val="center"/>
            <w:hideMark/>
          </w:tcPr>
          <w:p w14:paraId="045F8E20" w14:textId="77777777" w:rsidR="008E0933" w:rsidRPr="000C04E4" w:rsidRDefault="008E0933" w:rsidP="008E0933">
            <w:pPr>
              <w:spacing w:after="0" w:line="240" w:lineRule="auto"/>
              <w:rPr>
                <w:rFonts w:ascii="Segoe UI" w:eastAsia="Times New Roman" w:hAnsi="Segoe UI" w:cs="Segoe UI"/>
                <w:color w:val="333333"/>
                <w:sz w:val="18"/>
                <w:szCs w:val="18"/>
                <w:lang w:eastAsia="en-GB"/>
              </w:rPr>
            </w:pPr>
            <w:r w:rsidRPr="000C04E4">
              <w:rPr>
                <w:rFonts w:ascii="Segoe UI" w:eastAsia="Times New Roman" w:hAnsi="Segoe UI" w:cs="Segoe UI"/>
                <w:i/>
                <w:iCs/>
                <w:color w:val="333333"/>
                <w:sz w:val="13"/>
                <w:szCs w:val="13"/>
                <w:vertAlign w:val="superscript"/>
                <w:lang w:eastAsia="en-GB"/>
              </w:rPr>
              <w:t>1</w:t>
            </w:r>
            <w:r w:rsidRPr="000C04E4">
              <w:rPr>
                <w:rFonts w:ascii="Segoe UI" w:eastAsia="Times New Roman" w:hAnsi="Segoe UI" w:cs="Segoe UI"/>
                <w:color w:val="333333"/>
                <w:sz w:val="18"/>
                <w:szCs w:val="18"/>
                <w:lang w:eastAsia="en-GB"/>
              </w:rPr>
              <w:t> Median (IQR); Range; n (%); Mean (SD)</w:t>
            </w:r>
          </w:p>
        </w:tc>
      </w:tr>
      <w:tr w:rsidR="008E0933" w:rsidRPr="000C04E4" w14:paraId="0D1FF465" w14:textId="77777777" w:rsidTr="008E0933">
        <w:tc>
          <w:tcPr>
            <w:tcW w:w="0" w:type="auto"/>
            <w:gridSpan w:val="5"/>
            <w:shd w:val="clear" w:color="auto" w:fill="FFFFFF"/>
            <w:tcMar>
              <w:top w:w="15" w:type="dxa"/>
              <w:left w:w="75" w:type="dxa"/>
              <w:bottom w:w="15" w:type="dxa"/>
              <w:right w:w="75" w:type="dxa"/>
            </w:tcMar>
            <w:vAlign w:val="center"/>
            <w:hideMark/>
          </w:tcPr>
          <w:p w14:paraId="74AF88CC" w14:textId="77777777" w:rsidR="008E0933" w:rsidRPr="000C04E4" w:rsidRDefault="008E0933" w:rsidP="008E0933">
            <w:pPr>
              <w:spacing w:after="0" w:line="240" w:lineRule="auto"/>
              <w:rPr>
                <w:rFonts w:ascii="Segoe UI" w:eastAsia="Times New Roman" w:hAnsi="Segoe UI" w:cs="Segoe UI"/>
                <w:color w:val="333333"/>
                <w:sz w:val="18"/>
                <w:szCs w:val="18"/>
                <w:lang w:eastAsia="en-GB"/>
              </w:rPr>
            </w:pPr>
            <w:r w:rsidRPr="000C04E4">
              <w:rPr>
                <w:rFonts w:ascii="Segoe UI" w:eastAsia="Times New Roman" w:hAnsi="Segoe UI" w:cs="Segoe UI"/>
                <w:i/>
                <w:iCs/>
                <w:color w:val="333333"/>
                <w:sz w:val="13"/>
                <w:szCs w:val="13"/>
                <w:vertAlign w:val="superscript"/>
                <w:lang w:eastAsia="en-GB"/>
              </w:rPr>
              <w:t>2</w:t>
            </w:r>
            <w:r w:rsidRPr="000C04E4">
              <w:rPr>
                <w:rFonts w:ascii="Segoe UI" w:eastAsia="Times New Roman" w:hAnsi="Segoe UI" w:cs="Segoe UI"/>
                <w:color w:val="333333"/>
                <w:sz w:val="18"/>
                <w:szCs w:val="18"/>
                <w:lang w:eastAsia="en-GB"/>
              </w:rPr>
              <w:t> Wilcoxon rank sum test</w:t>
            </w:r>
          </w:p>
        </w:tc>
      </w:tr>
      <w:tr w:rsidR="008E0933" w:rsidRPr="000C04E4" w14:paraId="09B27854" w14:textId="77777777" w:rsidTr="008E0933">
        <w:tc>
          <w:tcPr>
            <w:tcW w:w="0" w:type="auto"/>
            <w:gridSpan w:val="5"/>
            <w:shd w:val="clear" w:color="auto" w:fill="FFFFFF"/>
            <w:tcMar>
              <w:top w:w="15" w:type="dxa"/>
              <w:left w:w="75" w:type="dxa"/>
              <w:bottom w:w="15" w:type="dxa"/>
              <w:right w:w="75" w:type="dxa"/>
            </w:tcMar>
            <w:vAlign w:val="center"/>
            <w:hideMark/>
          </w:tcPr>
          <w:p w14:paraId="1DEF8AF4" w14:textId="77777777" w:rsidR="008E0933" w:rsidRPr="000C04E4" w:rsidRDefault="008E0933" w:rsidP="008E0933">
            <w:pPr>
              <w:spacing w:after="0" w:line="240" w:lineRule="auto"/>
              <w:rPr>
                <w:rFonts w:ascii="Segoe UI" w:eastAsia="Times New Roman" w:hAnsi="Segoe UI" w:cs="Segoe UI"/>
                <w:color w:val="333333"/>
                <w:sz w:val="18"/>
                <w:szCs w:val="18"/>
                <w:lang w:eastAsia="en-GB"/>
              </w:rPr>
            </w:pPr>
            <w:r w:rsidRPr="000C04E4">
              <w:rPr>
                <w:rFonts w:ascii="Segoe UI" w:eastAsia="Times New Roman" w:hAnsi="Segoe UI" w:cs="Segoe UI"/>
                <w:i/>
                <w:iCs/>
                <w:color w:val="333333"/>
                <w:sz w:val="13"/>
                <w:szCs w:val="13"/>
                <w:vertAlign w:val="superscript"/>
                <w:lang w:eastAsia="en-GB"/>
              </w:rPr>
              <w:t>3</w:t>
            </w:r>
            <w:r w:rsidRPr="000C04E4">
              <w:rPr>
                <w:rFonts w:ascii="Segoe UI" w:eastAsia="Times New Roman" w:hAnsi="Segoe UI" w:cs="Segoe UI"/>
                <w:color w:val="333333"/>
                <w:sz w:val="18"/>
                <w:szCs w:val="18"/>
                <w:lang w:eastAsia="en-GB"/>
              </w:rPr>
              <w:t> Fisher's exact test</w:t>
            </w:r>
          </w:p>
        </w:tc>
      </w:tr>
      <w:tr w:rsidR="008E0933" w:rsidRPr="000C04E4" w14:paraId="1B8363DD" w14:textId="77777777" w:rsidTr="008E0933">
        <w:tc>
          <w:tcPr>
            <w:tcW w:w="0" w:type="auto"/>
            <w:gridSpan w:val="5"/>
            <w:shd w:val="clear" w:color="auto" w:fill="FFFFFF"/>
            <w:tcMar>
              <w:top w:w="15" w:type="dxa"/>
              <w:left w:w="75" w:type="dxa"/>
              <w:bottom w:w="15" w:type="dxa"/>
              <w:right w:w="75" w:type="dxa"/>
            </w:tcMar>
            <w:vAlign w:val="center"/>
            <w:hideMark/>
          </w:tcPr>
          <w:p w14:paraId="29D9E4B7" w14:textId="77777777" w:rsidR="008E0933" w:rsidRDefault="008E0933" w:rsidP="008E0933">
            <w:pPr>
              <w:spacing w:after="0" w:line="240" w:lineRule="auto"/>
              <w:rPr>
                <w:rFonts w:ascii="Segoe UI" w:eastAsia="Times New Roman" w:hAnsi="Segoe UI" w:cs="Segoe UI"/>
                <w:color w:val="333333"/>
                <w:sz w:val="18"/>
                <w:szCs w:val="18"/>
                <w:lang w:eastAsia="en-GB"/>
              </w:rPr>
            </w:pPr>
            <w:r w:rsidRPr="000C04E4">
              <w:rPr>
                <w:rFonts w:ascii="Segoe UI" w:eastAsia="Times New Roman" w:hAnsi="Segoe UI" w:cs="Segoe UI"/>
                <w:i/>
                <w:iCs/>
                <w:color w:val="333333"/>
                <w:sz w:val="13"/>
                <w:szCs w:val="13"/>
                <w:vertAlign w:val="superscript"/>
                <w:lang w:eastAsia="en-GB"/>
              </w:rPr>
              <w:t>4</w:t>
            </w:r>
            <w:r w:rsidRPr="000C04E4">
              <w:rPr>
                <w:rFonts w:ascii="Segoe UI" w:eastAsia="Times New Roman" w:hAnsi="Segoe UI" w:cs="Segoe UI"/>
                <w:color w:val="333333"/>
                <w:sz w:val="18"/>
                <w:szCs w:val="18"/>
                <w:lang w:eastAsia="en-GB"/>
              </w:rPr>
              <w:t xml:space="preserve"> Pearson's Chi-squared </w:t>
            </w:r>
            <w:proofErr w:type="gramStart"/>
            <w:r w:rsidRPr="000C04E4">
              <w:rPr>
                <w:rFonts w:ascii="Segoe UI" w:eastAsia="Times New Roman" w:hAnsi="Segoe UI" w:cs="Segoe UI"/>
                <w:color w:val="333333"/>
                <w:sz w:val="18"/>
                <w:szCs w:val="18"/>
                <w:lang w:eastAsia="en-GB"/>
              </w:rPr>
              <w:t>test</w:t>
            </w:r>
            <w:proofErr w:type="gramEnd"/>
          </w:p>
          <w:p w14:paraId="1EBEDF25" w14:textId="1DF06185" w:rsidR="00047BA9" w:rsidRPr="000C04E4" w:rsidRDefault="00047BA9" w:rsidP="008E0933">
            <w:pPr>
              <w:spacing w:after="0" w:line="240" w:lineRule="auto"/>
              <w:rPr>
                <w:rFonts w:ascii="Segoe UI" w:eastAsia="Times New Roman" w:hAnsi="Segoe UI" w:cs="Segoe UI"/>
                <w:color w:val="333333"/>
                <w:sz w:val="18"/>
                <w:szCs w:val="18"/>
                <w:lang w:eastAsia="en-GB"/>
              </w:rPr>
            </w:pPr>
          </w:p>
        </w:tc>
      </w:tr>
    </w:tbl>
    <w:bookmarkEnd w:id="11"/>
    <w:p w14:paraId="7DE35180" w14:textId="5D7E6347" w:rsidR="00B203F5" w:rsidRPr="00B203F5" w:rsidRDefault="00B203F5" w:rsidP="00B203F5">
      <w:pPr>
        <w:pStyle w:val="NoSpacing"/>
        <w:spacing w:line="480" w:lineRule="auto"/>
        <w:jc w:val="both"/>
        <w:rPr>
          <w:rFonts w:ascii="Times New Roman" w:hAnsi="Times New Roman" w:cs="Times New Roman"/>
          <w:b/>
          <w:sz w:val="24"/>
          <w:szCs w:val="24"/>
        </w:rPr>
      </w:pPr>
      <w:r w:rsidRPr="00B203F5">
        <w:rPr>
          <w:rFonts w:ascii="Times New Roman" w:hAnsi="Times New Roman" w:cs="Times New Roman"/>
          <w:b/>
          <w:sz w:val="24"/>
          <w:szCs w:val="24"/>
        </w:rPr>
        <w:t>Table 1</w:t>
      </w:r>
      <w:r w:rsidR="00771730">
        <w:rPr>
          <w:rFonts w:ascii="Times New Roman" w:hAnsi="Times New Roman" w:cs="Times New Roman"/>
          <w:b/>
          <w:sz w:val="24"/>
          <w:szCs w:val="24"/>
        </w:rPr>
        <w:t>.</w:t>
      </w:r>
      <w:r w:rsidRPr="00B203F5">
        <w:rPr>
          <w:rFonts w:ascii="Times New Roman" w:hAnsi="Times New Roman" w:cs="Times New Roman"/>
          <w:b/>
          <w:sz w:val="24"/>
          <w:szCs w:val="24"/>
        </w:rPr>
        <w:t xml:space="preserve"> Baseline patient characteristics of patients treated with DCB or DES. </w:t>
      </w:r>
      <w:r w:rsidR="00047BA9">
        <w:rPr>
          <w:rFonts w:ascii="Times New Roman" w:hAnsi="Times New Roman" w:cs="Times New Roman"/>
          <w:b/>
          <w:sz w:val="24"/>
          <w:szCs w:val="24"/>
        </w:rPr>
        <w:t>Bold characters indicate</w:t>
      </w:r>
      <w:r w:rsidRPr="00B203F5">
        <w:rPr>
          <w:rFonts w:ascii="Times New Roman" w:hAnsi="Times New Roman" w:cs="Times New Roman"/>
          <w:b/>
          <w:sz w:val="24"/>
          <w:szCs w:val="24"/>
        </w:rPr>
        <w:t xml:space="preserve"> significant result.</w:t>
      </w:r>
    </w:p>
    <w:p w14:paraId="14BA96D6" w14:textId="77777777" w:rsidR="00B203F5" w:rsidRDefault="00B203F5" w:rsidP="00B203F5">
      <w:pPr>
        <w:pStyle w:val="NoSpacing"/>
        <w:spacing w:line="480" w:lineRule="auto"/>
        <w:jc w:val="both"/>
        <w:rPr>
          <w:rFonts w:ascii="Times New Roman" w:hAnsi="Times New Roman" w:cs="Times New Roman"/>
          <w:b/>
          <w:sz w:val="24"/>
          <w:szCs w:val="24"/>
        </w:rPr>
      </w:pPr>
      <w:r w:rsidRPr="00B203F5">
        <w:rPr>
          <w:rFonts w:ascii="Times New Roman" w:hAnsi="Times New Roman" w:cs="Times New Roman"/>
          <w:b/>
          <w:sz w:val="24"/>
          <w:szCs w:val="24"/>
        </w:rPr>
        <w:t>DCB: drug coated balloon, DES: drug eluting stent, eGFR: estimated glomerular filtration rate</w:t>
      </w:r>
    </w:p>
    <w:p w14:paraId="1F0473BF" w14:textId="08D91944" w:rsidR="00FD3E41" w:rsidRDefault="00FD3E41">
      <w:pPr>
        <w:rPr>
          <w:rFonts w:ascii="Times New Roman" w:hAnsi="Times New Roman" w:cs="Times New Roman"/>
          <w:b/>
          <w:sz w:val="24"/>
          <w:szCs w:val="24"/>
        </w:rPr>
      </w:pPr>
      <w:r>
        <w:rPr>
          <w:rFonts w:ascii="Times New Roman" w:hAnsi="Times New Roman" w:cs="Times New Roman"/>
          <w:b/>
          <w:sz w:val="24"/>
          <w:szCs w:val="24"/>
        </w:rPr>
        <w:br w:type="page"/>
      </w:r>
    </w:p>
    <w:p w14:paraId="3B11B545" w14:textId="2B4EDDBF" w:rsidR="00FD3E41" w:rsidRDefault="00FD3E41" w:rsidP="00FD3E41">
      <w:pPr>
        <w:pStyle w:val="NoSpacing"/>
        <w:spacing w:line="480" w:lineRule="auto"/>
        <w:jc w:val="both"/>
        <w:rPr>
          <w:rFonts w:ascii="Times New Roman" w:hAnsi="Times New Roman" w:cs="Times New Roman"/>
          <w:b/>
          <w:sz w:val="24"/>
          <w:szCs w:val="24"/>
        </w:rPr>
      </w:pPr>
      <w:bookmarkStart w:id="12" w:name="_Hlk119485258"/>
      <w:r w:rsidRPr="00FD3E41">
        <w:rPr>
          <w:rFonts w:ascii="Times New Roman" w:hAnsi="Times New Roman" w:cs="Times New Roman"/>
          <w:b/>
          <w:sz w:val="24"/>
          <w:szCs w:val="24"/>
        </w:rPr>
        <w:lastRenderedPageBreak/>
        <w:t>Table 2</w:t>
      </w:r>
      <w:r w:rsidR="00771730">
        <w:rPr>
          <w:rFonts w:ascii="Times New Roman" w:hAnsi="Times New Roman" w:cs="Times New Roman"/>
          <w:b/>
          <w:sz w:val="24"/>
          <w:szCs w:val="24"/>
        </w:rPr>
        <w:t>.</w:t>
      </w:r>
      <w:r w:rsidRPr="00FD3E41">
        <w:rPr>
          <w:rFonts w:ascii="Times New Roman" w:hAnsi="Times New Roman" w:cs="Times New Roman"/>
          <w:b/>
          <w:sz w:val="24"/>
          <w:szCs w:val="24"/>
        </w:rPr>
        <w:t xml:space="preserve"> Angiographic characteristics of target vessels</w:t>
      </w:r>
    </w:p>
    <w:tbl>
      <w:tblPr>
        <w:tblW w:w="9176"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3077"/>
        <w:gridCol w:w="1655"/>
        <w:gridCol w:w="1642"/>
        <w:gridCol w:w="1642"/>
        <w:gridCol w:w="1160"/>
      </w:tblGrid>
      <w:tr w:rsidR="002D608F" w:rsidRPr="00767B3B" w14:paraId="55C88DD0" w14:textId="77777777" w:rsidTr="003A5D6E">
        <w:trPr>
          <w:tblHeader/>
        </w:trPr>
        <w:tc>
          <w:tcPr>
            <w:tcW w:w="0" w:type="auto"/>
            <w:tcBorders>
              <w:left w:val="nil"/>
              <w:right w:val="nil"/>
            </w:tcBorders>
            <w:shd w:val="clear" w:color="auto" w:fill="FFFFFF"/>
            <w:tcMar>
              <w:top w:w="75" w:type="dxa"/>
              <w:left w:w="75" w:type="dxa"/>
              <w:bottom w:w="90" w:type="dxa"/>
              <w:right w:w="75" w:type="dxa"/>
            </w:tcMar>
            <w:vAlign w:val="bottom"/>
            <w:hideMark/>
          </w:tcPr>
          <w:p w14:paraId="407AF35F" w14:textId="77777777" w:rsidR="002D608F" w:rsidRPr="00767B3B" w:rsidRDefault="002D608F" w:rsidP="003A5D6E">
            <w:pPr>
              <w:spacing w:after="0" w:line="240" w:lineRule="auto"/>
              <w:rPr>
                <w:rFonts w:ascii="Segoe UI" w:eastAsia="Times New Roman" w:hAnsi="Segoe UI" w:cs="Segoe UI"/>
                <w:color w:val="333333"/>
                <w:sz w:val="20"/>
                <w:szCs w:val="20"/>
                <w:lang w:eastAsia="en-GB"/>
              </w:rPr>
            </w:pPr>
            <w:bookmarkStart w:id="13" w:name="_Hlk118797287"/>
            <w:bookmarkEnd w:id="12"/>
            <w:r w:rsidRPr="00767B3B">
              <w:rPr>
                <w:rFonts w:ascii="Segoe UI" w:eastAsia="Times New Roman" w:hAnsi="Segoe UI" w:cs="Segoe UI"/>
                <w:b/>
                <w:bCs/>
                <w:color w:val="333333"/>
                <w:sz w:val="20"/>
                <w:szCs w:val="20"/>
                <w:lang w:eastAsia="en-GB"/>
              </w:rPr>
              <w:t>Characteristic</w:t>
            </w:r>
          </w:p>
        </w:tc>
        <w:tc>
          <w:tcPr>
            <w:tcW w:w="0" w:type="auto"/>
            <w:tcBorders>
              <w:left w:val="nil"/>
              <w:right w:val="nil"/>
            </w:tcBorders>
            <w:shd w:val="clear" w:color="auto" w:fill="FFFFFF"/>
            <w:tcMar>
              <w:top w:w="75" w:type="dxa"/>
              <w:left w:w="75" w:type="dxa"/>
              <w:bottom w:w="90" w:type="dxa"/>
              <w:right w:w="75" w:type="dxa"/>
            </w:tcMar>
            <w:vAlign w:val="bottom"/>
            <w:hideMark/>
          </w:tcPr>
          <w:p w14:paraId="47D750B0" w14:textId="77777777" w:rsidR="002D608F" w:rsidRPr="00767B3B" w:rsidRDefault="002D608F" w:rsidP="003A5D6E">
            <w:pPr>
              <w:spacing w:after="0" w:line="240" w:lineRule="auto"/>
              <w:jc w:val="center"/>
              <w:rPr>
                <w:rFonts w:ascii="Segoe UI" w:eastAsia="Times New Roman" w:hAnsi="Segoe UI" w:cs="Segoe UI"/>
                <w:color w:val="333333"/>
                <w:sz w:val="20"/>
                <w:szCs w:val="20"/>
                <w:lang w:eastAsia="en-GB"/>
              </w:rPr>
            </w:pPr>
            <w:r w:rsidRPr="00767B3B">
              <w:rPr>
                <w:rFonts w:ascii="Segoe UI" w:eastAsia="Times New Roman" w:hAnsi="Segoe UI" w:cs="Segoe UI"/>
                <w:b/>
                <w:bCs/>
                <w:color w:val="333333"/>
                <w:sz w:val="20"/>
                <w:szCs w:val="20"/>
                <w:lang w:eastAsia="en-GB"/>
              </w:rPr>
              <w:t>Overall</w:t>
            </w:r>
            <w:r w:rsidRPr="00767B3B">
              <w:rPr>
                <w:rFonts w:ascii="Segoe UI" w:eastAsia="Times New Roman" w:hAnsi="Segoe UI" w:cs="Segoe UI"/>
                <w:color w:val="333333"/>
                <w:sz w:val="20"/>
                <w:szCs w:val="20"/>
                <w:lang w:eastAsia="en-GB"/>
              </w:rPr>
              <w:t>, N = 1,139</w:t>
            </w:r>
            <w:r w:rsidRPr="00767B3B">
              <w:rPr>
                <w:rFonts w:ascii="Segoe UI" w:eastAsia="Times New Roman" w:hAnsi="Segoe UI" w:cs="Segoe UI"/>
                <w:i/>
                <w:iCs/>
                <w:color w:val="333333"/>
                <w:sz w:val="15"/>
                <w:szCs w:val="15"/>
                <w:vertAlign w:val="superscript"/>
                <w:lang w:eastAsia="en-GB"/>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2A3F4D3A" w14:textId="77777777" w:rsidR="002D608F" w:rsidRPr="00767B3B" w:rsidRDefault="002D608F" w:rsidP="003A5D6E">
            <w:pPr>
              <w:spacing w:after="0" w:line="240" w:lineRule="auto"/>
              <w:jc w:val="center"/>
              <w:rPr>
                <w:rFonts w:ascii="Segoe UI" w:eastAsia="Times New Roman" w:hAnsi="Segoe UI" w:cs="Segoe UI"/>
                <w:color w:val="333333"/>
                <w:sz w:val="20"/>
                <w:szCs w:val="20"/>
                <w:lang w:eastAsia="en-GB"/>
              </w:rPr>
            </w:pPr>
            <w:r w:rsidRPr="00767B3B">
              <w:rPr>
                <w:rFonts w:ascii="Segoe UI" w:eastAsia="Times New Roman" w:hAnsi="Segoe UI" w:cs="Segoe UI"/>
                <w:b/>
                <w:bCs/>
                <w:color w:val="333333"/>
                <w:sz w:val="20"/>
                <w:szCs w:val="20"/>
                <w:lang w:eastAsia="en-GB"/>
              </w:rPr>
              <w:t>DCB</w:t>
            </w:r>
            <w:r w:rsidRPr="00767B3B">
              <w:rPr>
                <w:rFonts w:ascii="Segoe UI" w:eastAsia="Times New Roman" w:hAnsi="Segoe UI" w:cs="Segoe UI"/>
                <w:color w:val="333333"/>
                <w:sz w:val="20"/>
                <w:szCs w:val="20"/>
                <w:lang w:eastAsia="en-GB"/>
              </w:rPr>
              <w:t>, N = 452</w:t>
            </w:r>
          </w:p>
        </w:tc>
        <w:tc>
          <w:tcPr>
            <w:tcW w:w="0" w:type="auto"/>
            <w:tcBorders>
              <w:left w:val="nil"/>
              <w:right w:val="nil"/>
            </w:tcBorders>
            <w:shd w:val="clear" w:color="auto" w:fill="FFFFFF"/>
            <w:tcMar>
              <w:top w:w="75" w:type="dxa"/>
              <w:left w:w="75" w:type="dxa"/>
              <w:bottom w:w="90" w:type="dxa"/>
              <w:right w:w="75" w:type="dxa"/>
            </w:tcMar>
            <w:vAlign w:val="bottom"/>
            <w:hideMark/>
          </w:tcPr>
          <w:p w14:paraId="59826304" w14:textId="77777777" w:rsidR="002D608F" w:rsidRPr="00767B3B" w:rsidRDefault="002D608F" w:rsidP="003A5D6E">
            <w:pPr>
              <w:spacing w:after="0" w:line="240" w:lineRule="auto"/>
              <w:jc w:val="center"/>
              <w:rPr>
                <w:rFonts w:ascii="Segoe UI" w:eastAsia="Times New Roman" w:hAnsi="Segoe UI" w:cs="Segoe UI"/>
                <w:color w:val="333333"/>
                <w:sz w:val="20"/>
                <w:szCs w:val="20"/>
                <w:lang w:eastAsia="en-GB"/>
              </w:rPr>
            </w:pPr>
            <w:r w:rsidRPr="00767B3B">
              <w:rPr>
                <w:rFonts w:ascii="Segoe UI" w:eastAsia="Times New Roman" w:hAnsi="Segoe UI" w:cs="Segoe UI"/>
                <w:b/>
                <w:bCs/>
                <w:color w:val="333333"/>
                <w:sz w:val="20"/>
                <w:szCs w:val="20"/>
                <w:lang w:eastAsia="en-GB"/>
              </w:rPr>
              <w:t>DES</w:t>
            </w:r>
            <w:r w:rsidRPr="00767B3B">
              <w:rPr>
                <w:rFonts w:ascii="Segoe UI" w:eastAsia="Times New Roman" w:hAnsi="Segoe UI" w:cs="Segoe UI"/>
                <w:color w:val="333333"/>
                <w:sz w:val="20"/>
                <w:szCs w:val="20"/>
                <w:lang w:eastAsia="en-GB"/>
              </w:rPr>
              <w:t>, N = 687</w:t>
            </w:r>
          </w:p>
        </w:tc>
        <w:tc>
          <w:tcPr>
            <w:tcW w:w="0" w:type="auto"/>
            <w:tcBorders>
              <w:left w:val="nil"/>
              <w:right w:val="nil"/>
            </w:tcBorders>
            <w:shd w:val="clear" w:color="auto" w:fill="FFFFFF"/>
            <w:tcMar>
              <w:top w:w="75" w:type="dxa"/>
              <w:left w:w="75" w:type="dxa"/>
              <w:bottom w:w="90" w:type="dxa"/>
              <w:right w:w="75" w:type="dxa"/>
            </w:tcMar>
            <w:vAlign w:val="bottom"/>
            <w:hideMark/>
          </w:tcPr>
          <w:p w14:paraId="7A1D6C16" w14:textId="77777777" w:rsidR="002D608F" w:rsidRPr="00767B3B" w:rsidRDefault="002D608F" w:rsidP="003A5D6E">
            <w:pPr>
              <w:spacing w:after="0" w:line="240" w:lineRule="auto"/>
              <w:jc w:val="center"/>
              <w:rPr>
                <w:rFonts w:ascii="Segoe UI" w:eastAsia="Times New Roman" w:hAnsi="Segoe UI" w:cs="Segoe UI"/>
                <w:color w:val="333333"/>
                <w:sz w:val="20"/>
                <w:szCs w:val="20"/>
                <w:lang w:eastAsia="en-GB"/>
              </w:rPr>
            </w:pPr>
            <w:r w:rsidRPr="00767B3B">
              <w:rPr>
                <w:rFonts w:ascii="Segoe UI" w:eastAsia="Times New Roman" w:hAnsi="Segoe UI" w:cs="Segoe UI"/>
                <w:b/>
                <w:bCs/>
                <w:color w:val="333333"/>
                <w:sz w:val="20"/>
                <w:szCs w:val="20"/>
                <w:lang w:eastAsia="en-GB"/>
              </w:rPr>
              <w:t>p-value</w:t>
            </w:r>
          </w:p>
        </w:tc>
      </w:tr>
      <w:tr w:rsidR="002D608F" w:rsidRPr="00767B3B" w14:paraId="34EBC687"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9F54E4A" w14:textId="77777777" w:rsidR="002D608F" w:rsidRPr="00767B3B" w:rsidRDefault="002D608F" w:rsidP="003A5D6E">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Vessel</w:t>
            </w:r>
            <w:r>
              <w:rPr>
                <w:rFonts w:ascii="Segoe UI" w:eastAsia="Times New Roman" w:hAnsi="Segoe UI" w:cs="Segoe UI"/>
                <w:color w:val="333333"/>
                <w:sz w:val="20"/>
                <w:szCs w:val="20"/>
                <w:lang w:eastAsia="en-GB"/>
              </w:rPr>
              <w:t xml:space="preserve"> treated</w:t>
            </w:r>
            <w:r w:rsidRPr="00767B3B">
              <w:rPr>
                <w:rFonts w:ascii="Segoe UI" w:eastAsia="Times New Roman" w:hAnsi="Segoe UI" w:cs="Segoe UI"/>
                <w:color w:val="333333"/>
                <w:sz w:val="20"/>
                <w:szCs w:val="20"/>
                <w:lang w:eastAsia="en-GB"/>
              </w:rPr>
              <w:t>, n (%)</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2C92BAD" w14:textId="77777777" w:rsidR="002D608F" w:rsidRPr="00767B3B" w:rsidRDefault="002D608F" w:rsidP="003A5D6E">
            <w:pPr>
              <w:spacing w:before="150" w:after="150" w:line="240" w:lineRule="auto"/>
              <w:ind w:left="150" w:right="150"/>
              <w:rPr>
                <w:rFonts w:ascii="Segoe UI" w:eastAsia="Times New Roman" w:hAnsi="Segoe UI" w:cs="Segoe UI"/>
                <w:color w:val="333333"/>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A9D4791" w14:textId="77777777" w:rsidR="002D608F" w:rsidRPr="00767B3B" w:rsidRDefault="002D608F" w:rsidP="003A5D6E">
            <w:pPr>
              <w:spacing w:before="150" w:after="150" w:line="240" w:lineRule="auto"/>
              <w:ind w:left="150" w:right="150"/>
              <w:jc w:val="center"/>
              <w:rPr>
                <w:rFonts w:ascii="Times New Roman" w:eastAsia="Times New Roman" w:hAnsi="Times New Roman" w:cs="Times New Roman"/>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ECF569A" w14:textId="77777777" w:rsidR="002D608F" w:rsidRPr="00767B3B" w:rsidRDefault="002D608F" w:rsidP="003A5D6E">
            <w:pPr>
              <w:spacing w:before="150" w:after="150" w:line="240" w:lineRule="auto"/>
              <w:ind w:left="150" w:right="150"/>
              <w:jc w:val="center"/>
              <w:rPr>
                <w:rFonts w:ascii="Times New Roman" w:eastAsia="Times New Roman" w:hAnsi="Times New Roman" w:cs="Times New Roman"/>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33A0C05"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0.075</w:t>
            </w:r>
            <w:r w:rsidRPr="00767B3B">
              <w:rPr>
                <w:rFonts w:ascii="Segoe UI" w:eastAsia="Times New Roman" w:hAnsi="Segoe UI" w:cs="Segoe UI"/>
                <w:i/>
                <w:iCs/>
                <w:color w:val="333333"/>
                <w:sz w:val="15"/>
                <w:szCs w:val="15"/>
                <w:vertAlign w:val="superscript"/>
                <w:lang w:eastAsia="en-GB"/>
              </w:rPr>
              <w:t>3</w:t>
            </w:r>
          </w:p>
        </w:tc>
      </w:tr>
      <w:tr w:rsidR="002D608F" w:rsidRPr="00767B3B" w14:paraId="24C8243E"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42BF10C" w14:textId="77777777" w:rsidR="002D608F" w:rsidRPr="00767B3B" w:rsidRDefault="002D608F" w:rsidP="003A5D6E">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LMS</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4CB488E"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7 (0.6)</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5AB3857"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2 (0.4)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49D49C1"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5 (0.7)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1235D88"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p>
        </w:tc>
      </w:tr>
      <w:tr w:rsidR="002D608F" w:rsidRPr="00767B3B" w14:paraId="7B262459"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D231F56" w14:textId="77777777" w:rsidR="002D608F" w:rsidRPr="00767B3B" w:rsidRDefault="002D608F" w:rsidP="003A5D6E">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LAD</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77604A7"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452 (40)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59D4F69"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196 (43)</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EFC59B1"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256 (37)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209C060"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p>
        </w:tc>
      </w:tr>
      <w:tr w:rsidR="002D608F" w:rsidRPr="00767B3B" w14:paraId="2AAACD69"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14D65BE" w14:textId="77777777" w:rsidR="002D608F" w:rsidRPr="00767B3B" w:rsidRDefault="002D608F" w:rsidP="003A5D6E">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w:t>
            </w:r>
            <w:proofErr w:type="spellStart"/>
            <w:r w:rsidRPr="00767B3B">
              <w:rPr>
                <w:rFonts w:ascii="Segoe UI" w:eastAsia="Times New Roman" w:hAnsi="Segoe UI" w:cs="Segoe UI"/>
                <w:color w:val="333333"/>
                <w:sz w:val="20"/>
                <w:szCs w:val="20"/>
                <w:lang w:eastAsia="en-GB"/>
              </w:rPr>
              <w:t>LCx</w:t>
            </w:r>
            <w:proofErr w:type="spellEnd"/>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144E3CC"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181 (16)</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AE3BE50"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78 (17)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E08C0B1"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103 (15)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0D51C49"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p>
        </w:tc>
      </w:tr>
      <w:tr w:rsidR="002D608F" w:rsidRPr="00767B3B" w14:paraId="11A21B20"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5970FC4" w14:textId="77777777" w:rsidR="002D608F" w:rsidRPr="00767B3B" w:rsidRDefault="002D608F" w:rsidP="003A5D6E">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RCA</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F44D9DC"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496 (44)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F66B4B2"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175 (39)</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22F0075"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321 (47)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03162A4"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p>
        </w:tc>
      </w:tr>
      <w:tr w:rsidR="002D608F" w:rsidRPr="00767B3B" w14:paraId="1B951A52"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2F76389" w14:textId="77777777" w:rsidR="002D608F" w:rsidRPr="00767B3B" w:rsidRDefault="002D608F" w:rsidP="003A5D6E">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Graft</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7B22821"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3 (0.3)</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8BA5E04"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 (0.2)</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0B5AC1A"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2 (0.3)</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4982375" w14:textId="77777777" w:rsidR="002D608F" w:rsidRPr="00767B3B" w:rsidRDefault="002D608F" w:rsidP="003A5D6E">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0CBFC3DA" w14:textId="77777777" w:rsidTr="00F35E09">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421F74F6" w14:textId="3FCF70DB"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LMS</w:t>
            </w:r>
            <w:r>
              <w:rPr>
                <w:rFonts w:ascii="Segoe UI" w:eastAsia="Times New Roman" w:hAnsi="Segoe UI" w:cs="Segoe UI"/>
                <w:color w:val="333333"/>
                <w:sz w:val="20"/>
                <w:szCs w:val="20"/>
                <w:lang w:eastAsia="en-GB"/>
              </w:rPr>
              <w:t xml:space="preserve"> treated</w:t>
            </w:r>
            <w:r w:rsidRPr="00767B3B">
              <w:rPr>
                <w:rFonts w:ascii="Segoe UI" w:eastAsia="Times New Roman" w:hAnsi="Segoe UI" w:cs="Segoe UI"/>
                <w:color w:val="333333"/>
                <w:sz w:val="20"/>
                <w:szCs w:val="20"/>
                <w:lang w:eastAsia="en-GB"/>
              </w:rPr>
              <w:t>, n (%)</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4BD6CB8C" w14:textId="1429683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 xml:space="preserve">      </w:t>
            </w:r>
            <w:r w:rsidRPr="00767B3B">
              <w:rPr>
                <w:rFonts w:ascii="Segoe UI" w:eastAsia="Times New Roman" w:hAnsi="Segoe UI" w:cs="Segoe UI"/>
                <w:color w:val="333333"/>
                <w:sz w:val="20"/>
                <w:szCs w:val="20"/>
                <w:lang w:eastAsia="en-GB"/>
              </w:rPr>
              <w:t>7 (0.6)</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0A4B8CF5" w14:textId="138FB39D" w:rsidR="00F35E09" w:rsidRPr="00767B3B" w:rsidRDefault="00F35E09" w:rsidP="00F35E09">
            <w:pPr>
              <w:spacing w:before="150" w:after="150" w:line="240" w:lineRule="auto"/>
              <w:ind w:left="150" w:right="150"/>
              <w:jc w:val="center"/>
              <w:rPr>
                <w:rFonts w:ascii="Times New Roman" w:eastAsia="Times New Roman" w:hAnsi="Times New Roman" w:cs="Times New Roman"/>
                <w:sz w:val="20"/>
                <w:szCs w:val="20"/>
                <w:lang w:eastAsia="en-GB"/>
              </w:rPr>
            </w:pPr>
            <w:r w:rsidRPr="00767B3B">
              <w:rPr>
                <w:rFonts w:ascii="Segoe UI" w:eastAsia="Times New Roman" w:hAnsi="Segoe UI" w:cs="Segoe UI"/>
                <w:color w:val="333333"/>
                <w:sz w:val="20"/>
                <w:szCs w:val="20"/>
                <w:lang w:eastAsia="en-GB"/>
              </w:rPr>
              <w:t>2 (0.4)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0F6B5758" w14:textId="0AEA5944" w:rsidR="00F35E09" w:rsidRPr="00767B3B" w:rsidRDefault="00F35E09" w:rsidP="00F35E09">
            <w:pPr>
              <w:spacing w:before="150" w:after="150" w:line="240" w:lineRule="auto"/>
              <w:ind w:left="150" w:right="150"/>
              <w:jc w:val="center"/>
              <w:rPr>
                <w:rFonts w:ascii="Times New Roman" w:eastAsia="Times New Roman" w:hAnsi="Times New Roman" w:cs="Times New Roman"/>
                <w:sz w:val="20"/>
                <w:szCs w:val="20"/>
                <w:lang w:eastAsia="en-GB"/>
              </w:rPr>
            </w:pPr>
            <w:r w:rsidRPr="00767B3B">
              <w:rPr>
                <w:rFonts w:ascii="Segoe UI" w:eastAsia="Times New Roman" w:hAnsi="Segoe UI" w:cs="Segoe UI"/>
                <w:color w:val="333333"/>
                <w:sz w:val="20"/>
                <w:szCs w:val="20"/>
                <w:lang w:eastAsia="en-GB"/>
              </w:rPr>
              <w:t>5 (0.7)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24027142" w14:textId="5B6F4744"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0.71</w:t>
            </w:r>
            <w:r w:rsidRPr="00767B3B">
              <w:rPr>
                <w:rFonts w:ascii="Segoe UI" w:eastAsia="Times New Roman" w:hAnsi="Segoe UI" w:cs="Segoe UI"/>
                <w:i/>
                <w:iCs/>
                <w:color w:val="333333"/>
                <w:sz w:val="15"/>
                <w:szCs w:val="15"/>
                <w:vertAlign w:val="superscript"/>
                <w:lang w:eastAsia="en-GB"/>
              </w:rPr>
              <w:t>3</w:t>
            </w:r>
          </w:p>
        </w:tc>
      </w:tr>
      <w:tr w:rsidR="00F35E09" w:rsidRPr="00767B3B" w14:paraId="3E0A9048"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5FE2B4CE" w14:textId="5F3CF078"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LMS</w:t>
            </w:r>
            <w:r>
              <w:rPr>
                <w:rFonts w:ascii="Segoe UI" w:eastAsia="Times New Roman" w:hAnsi="Segoe UI" w:cs="Segoe UI"/>
                <w:color w:val="333333"/>
                <w:sz w:val="20"/>
                <w:szCs w:val="20"/>
                <w:lang w:eastAsia="en-GB"/>
              </w:rPr>
              <w:t>/</w:t>
            </w:r>
            <w:r w:rsidRPr="00767B3B">
              <w:rPr>
                <w:rFonts w:ascii="Segoe UI" w:eastAsia="Times New Roman" w:hAnsi="Segoe UI" w:cs="Segoe UI"/>
                <w:color w:val="333333"/>
                <w:sz w:val="20"/>
                <w:szCs w:val="20"/>
                <w:lang w:eastAsia="en-GB"/>
              </w:rPr>
              <w:t>LAD</w:t>
            </w:r>
            <w:r>
              <w:rPr>
                <w:rFonts w:ascii="Segoe UI" w:eastAsia="Times New Roman" w:hAnsi="Segoe UI" w:cs="Segoe UI"/>
                <w:color w:val="333333"/>
                <w:sz w:val="20"/>
                <w:szCs w:val="20"/>
                <w:lang w:eastAsia="en-GB"/>
              </w:rPr>
              <w:t xml:space="preserve"> treated</w:t>
            </w:r>
            <w:r w:rsidRPr="00767B3B">
              <w:rPr>
                <w:rFonts w:ascii="Segoe UI" w:eastAsia="Times New Roman" w:hAnsi="Segoe UI" w:cs="Segoe UI"/>
                <w:color w:val="333333"/>
                <w:sz w:val="20"/>
                <w:szCs w:val="20"/>
                <w:lang w:eastAsia="en-GB"/>
              </w:rPr>
              <w:t>, n (%)</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173F1CFA" w14:textId="3FE2049C" w:rsidR="00F35E09" w:rsidRDefault="00F35E09" w:rsidP="00F35E09">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 xml:space="preserve">    </w:t>
            </w:r>
            <w:r w:rsidRPr="00767B3B">
              <w:rPr>
                <w:rFonts w:ascii="Segoe UI" w:eastAsia="Times New Roman" w:hAnsi="Segoe UI" w:cs="Segoe UI"/>
                <w:color w:val="333333"/>
                <w:sz w:val="20"/>
                <w:szCs w:val="20"/>
                <w:lang w:eastAsia="en-GB"/>
              </w:rPr>
              <w:t>459 (40)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6B476A00" w14:textId="5CD7A66B"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198 (44)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2DBA7145" w14:textId="5818373A"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261 (38)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tcPr>
          <w:p w14:paraId="649833DD" w14:textId="340B9C8A"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0.050</w:t>
            </w:r>
            <w:r w:rsidRPr="00767B3B">
              <w:rPr>
                <w:rFonts w:ascii="Segoe UI" w:eastAsia="Times New Roman" w:hAnsi="Segoe UI" w:cs="Segoe UI"/>
                <w:i/>
                <w:iCs/>
                <w:color w:val="333333"/>
                <w:sz w:val="15"/>
                <w:szCs w:val="15"/>
                <w:vertAlign w:val="superscript"/>
                <w:lang w:eastAsia="en-GB"/>
              </w:rPr>
              <w:t>4</w:t>
            </w:r>
          </w:p>
        </w:tc>
      </w:tr>
      <w:tr w:rsidR="00F35E09" w:rsidRPr="00767B3B" w14:paraId="20ACC973"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2107DB4"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Multivessel</w:t>
            </w:r>
            <w:r>
              <w:rPr>
                <w:rFonts w:ascii="Segoe UI" w:eastAsia="Times New Roman" w:hAnsi="Segoe UI" w:cs="Segoe UI"/>
                <w:color w:val="333333"/>
                <w:sz w:val="20"/>
                <w:szCs w:val="20"/>
                <w:lang w:eastAsia="en-GB"/>
              </w:rPr>
              <w:t xml:space="preserve"> PCI</w:t>
            </w:r>
            <w:r w:rsidRPr="00767B3B">
              <w:rPr>
                <w:rFonts w:ascii="Segoe UI" w:eastAsia="Times New Roman" w:hAnsi="Segoe UI" w:cs="Segoe UI"/>
                <w:color w:val="333333"/>
                <w:sz w:val="20"/>
                <w:szCs w:val="20"/>
                <w:lang w:eastAsia="en-GB"/>
              </w:rPr>
              <w:t>, n (%)</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DB32EBE"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 xml:space="preserve">    </w:t>
            </w:r>
            <w:r w:rsidRPr="00767B3B">
              <w:rPr>
                <w:rFonts w:ascii="Segoe UI" w:eastAsia="Times New Roman" w:hAnsi="Segoe UI" w:cs="Segoe UI"/>
                <w:color w:val="333333"/>
                <w:sz w:val="20"/>
                <w:szCs w:val="20"/>
                <w:lang w:eastAsia="en-GB"/>
              </w:rPr>
              <w:t>43 (3.8)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E150C63" w14:textId="77777777" w:rsidR="00F35E09" w:rsidRPr="00767B3B" w:rsidRDefault="00F35E09" w:rsidP="00F35E09">
            <w:pPr>
              <w:spacing w:before="150" w:after="150" w:line="240" w:lineRule="auto"/>
              <w:ind w:left="150" w:right="150"/>
              <w:jc w:val="center"/>
              <w:rPr>
                <w:rFonts w:ascii="Times New Roman" w:eastAsia="Times New Roman" w:hAnsi="Times New Roman" w:cs="Times New Roman"/>
                <w:sz w:val="20"/>
                <w:szCs w:val="20"/>
                <w:lang w:eastAsia="en-GB"/>
              </w:rPr>
            </w:pPr>
            <w:r w:rsidRPr="00767B3B">
              <w:rPr>
                <w:rFonts w:ascii="Segoe UI" w:eastAsia="Times New Roman" w:hAnsi="Segoe UI" w:cs="Segoe UI"/>
                <w:color w:val="333333"/>
                <w:sz w:val="20"/>
                <w:szCs w:val="20"/>
                <w:lang w:eastAsia="en-GB"/>
              </w:rPr>
              <w:t>17 (3.8)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888F1E1" w14:textId="77777777" w:rsidR="00F35E09" w:rsidRPr="00767B3B" w:rsidRDefault="00F35E09" w:rsidP="00F35E09">
            <w:pPr>
              <w:spacing w:before="150" w:after="150" w:line="240" w:lineRule="auto"/>
              <w:ind w:left="150" w:right="150"/>
              <w:jc w:val="center"/>
              <w:rPr>
                <w:rFonts w:ascii="Times New Roman" w:eastAsia="Times New Roman" w:hAnsi="Times New Roman" w:cs="Times New Roman"/>
                <w:sz w:val="20"/>
                <w:szCs w:val="20"/>
                <w:lang w:eastAsia="en-GB"/>
              </w:rPr>
            </w:pPr>
            <w:r w:rsidRPr="00767B3B">
              <w:rPr>
                <w:rFonts w:ascii="Segoe UI" w:eastAsia="Times New Roman" w:hAnsi="Segoe UI" w:cs="Segoe UI"/>
                <w:color w:val="333333"/>
                <w:sz w:val="20"/>
                <w:szCs w:val="20"/>
                <w:lang w:eastAsia="en-GB"/>
              </w:rPr>
              <w:t>26 (3.8)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8B41C42"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0.98</w:t>
            </w:r>
            <w:r w:rsidRPr="00767B3B">
              <w:rPr>
                <w:rFonts w:ascii="Segoe UI" w:eastAsia="Times New Roman" w:hAnsi="Segoe UI" w:cs="Segoe UI"/>
                <w:i/>
                <w:iCs/>
                <w:color w:val="333333"/>
                <w:sz w:val="15"/>
                <w:szCs w:val="15"/>
                <w:vertAlign w:val="superscript"/>
                <w:lang w:eastAsia="en-GB"/>
              </w:rPr>
              <w:t>4</w:t>
            </w:r>
          </w:p>
        </w:tc>
      </w:tr>
      <w:tr w:rsidR="00F35E09" w:rsidRPr="00767B3B" w14:paraId="2D408202"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FB90078"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Bifurcation</w:t>
            </w:r>
            <w:r w:rsidRPr="00767B3B">
              <w:rPr>
                <w:rFonts w:ascii="Segoe UI" w:eastAsia="Times New Roman" w:hAnsi="Segoe UI" w:cs="Segoe UI"/>
                <w:color w:val="333333"/>
                <w:sz w:val="20"/>
                <w:szCs w:val="20"/>
                <w:lang w:eastAsia="en-GB"/>
              </w:rPr>
              <w:t>, n (%)</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753BE35"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386 (34)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2B4BD17"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188 (42)</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AC6D9EB"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198 (29)</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9A2FFE9" w14:textId="77777777" w:rsidR="00F35E09" w:rsidRPr="00767B3B" w:rsidRDefault="00F35E09" w:rsidP="00F35E09">
            <w:pPr>
              <w:spacing w:before="150" w:after="150" w:line="240" w:lineRule="auto"/>
              <w:ind w:left="150" w:right="150"/>
              <w:jc w:val="center"/>
              <w:rPr>
                <w:rFonts w:ascii="Segoe UI" w:eastAsia="Times New Roman" w:hAnsi="Segoe UI" w:cs="Segoe UI"/>
                <w:b/>
                <w:bCs/>
                <w:color w:val="333333"/>
                <w:sz w:val="20"/>
                <w:szCs w:val="20"/>
                <w:lang w:eastAsia="en-GB"/>
              </w:rPr>
            </w:pPr>
            <w:r w:rsidRPr="00767B3B">
              <w:rPr>
                <w:rFonts w:ascii="Segoe UI" w:eastAsia="Times New Roman" w:hAnsi="Segoe UI" w:cs="Segoe UI"/>
                <w:b/>
                <w:bCs/>
                <w:color w:val="333333"/>
                <w:sz w:val="20"/>
                <w:szCs w:val="20"/>
                <w:lang w:eastAsia="en-GB"/>
              </w:rPr>
              <w:t>&lt;0.001</w:t>
            </w:r>
            <w:r w:rsidRPr="00767B3B">
              <w:rPr>
                <w:rFonts w:ascii="Segoe UI" w:eastAsia="Times New Roman" w:hAnsi="Segoe UI" w:cs="Segoe UI"/>
                <w:i/>
                <w:iCs/>
                <w:color w:val="333333"/>
                <w:sz w:val="15"/>
                <w:szCs w:val="15"/>
                <w:vertAlign w:val="superscript"/>
                <w:lang w:eastAsia="en-GB"/>
              </w:rPr>
              <w:t>4</w:t>
            </w:r>
          </w:p>
        </w:tc>
      </w:tr>
      <w:tr w:rsidR="00F35E09" w:rsidRPr="00767B3B" w14:paraId="314F9A09"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EC863F1"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True</w:t>
            </w:r>
            <w:r>
              <w:rPr>
                <w:rFonts w:ascii="Segoe UI" w:eastAsia="Times New Roman" w:hAnsi="Segoe UI" w:cs="Segoe UI"/>
                <w:color w:val="333333"/>
                <w:sz w:val="20"/>
                <w:szCs w:val="20"/>
                <w:lang w:eastAsia="en-GB"/>
              </w:rPr>
              <w:t xml:space="preserve"> bifurcation</w:t>
            </w:r>
            <w:r w:rsidRPr="00767B3B">
              <w:rPr>
                <w:rFonts w:ascii="Segoe UI" w:eastAsia="Times New Roman" w:hAnsi="Segoe UI" w:cs="Segoe UI"/>
                <w:color w:val="333333"/>
                <w:sz w:val="20"/>
                <w:szCs w:val="20"/>
                <w:lang w:eastAsia="en-GB"/>
              </w:rPr>
              <w:t>, n (%)</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8AEC688"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88 (7.7)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40308CD"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50 (11)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3757F8E"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38 (5.5)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DAB57AE" w14:textId="77777777" w:rsidR="00F35E09" w:rsidRPr="00767B3B" w:rsidRDefault="00F35E09" w:rsidP="00F35E09">
            <w:pPr>
              <w:spacing w:before="150" w:after="150" w:line="240" w:lineRule="auto"/>
              <w:ind w:left="150" w:right="150"/>
              <w:jc w:val="center"/>
              <w:rPr>
                <w:rFonts w:ascii="Segoe UI" w:eastAsia="Times New Roman" w:hAnsi="Segoe UI" w:cs="Segoe UI"/>
                <w:b/>
                <w:bCs/>
                <w:color w:val="333333"/>
                <w:sz w:val="20"/>
                <w:szCs w:val="20"/>
                <w:lang w:eastAsia="en-GB"/>
              </w:rPr>
            </w:pPr>
            <w:r w:rsidRPr="00767B3B">
              <w:rPr>
                <w:rFonts w:ascii="Segoe UI" w:eastAsia="Times New Roman" w:hAnsi="Segoe UI" w:cs="Segoe UI"/>
                <w:b/>
                <w:bCs/>
                <w:color w:val="333333"/>
                <w:sz w:val="20"/>
                <w:szCs w:val="20"/>
                <w:lang w:eastAsia="en-GB"/>
              </w:rPr>
              <w:t>&lt;0.001</w:t>
            </w:r>
            <w:r w:rsidRPr="00767B3B">
              <w:rPr>
                <w:rFonts w:ascii="Segoe UI" w:eastAsia="Times New Roman" w:hAnsi="Segoe UI" w:cs="Segoe UI"/>
                <w:i/>
                <w:iCs/>
                <w:color w:val="333333"/>
                <w:sz w:val="15"/>
                <w:szCs w:val="15"/>
                <w:vertAlign w:val="superscript"/>
                <w:lang w:eastAsia="en-GB"/>
              </w:rPr>
              <w:t>4</w:t>
            </w:r>
          </w:p>
        </w:tc>
      </w:tr>
      <w:tr w:rsidR="00F35E09" w:rsidRPr="00767B3B" w14:paraId="51BD497E"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5D50D6E"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Heavy</w:t>
            </w:r>
            <w:r>
              <w:rPr>
                <w:rFonts w:ascii="Segoe UI" w:eastAsia="Times New Roman" w:hAnsi="Segoe UI" w:cs="Segoe UI"/>
                <w:color w:val="333333"/>
                <w:sz w:val="20"/>
                <w:szCs w:val="20"/>
                <w:lang w:eastAsia="en-GB"/>
              </w:rPr>
              <w:t xml:space="preserve"> calcification</w:t>
            </w:r>
            <w:r w:rsidRPr="00767B3B">
              <w:rPr>
                <w:rFonts w:ascii="Segoe UI" w:eastAsia="Times New Roman" w:hAnsi="Segoe UI" w:cs="Segoe UI"/>
                <w:color w:val="333333"/>
                <w:sz w:val="20"/>
                <w:szCs w:val="20"/>
                <w:lang w:eastAsia="en-GB"/>
              </w:rPr>
              <w:t>, n (%)</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9711DB5"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159 (14)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38DA669"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67 (15)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C35D512"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92 (13)</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83C05F5"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0.50</w:t>
            </w:r>
            <w:r w:rsidRPr="00767B3B">
              <w:rPr>
                <w:rFonts w:ascii="Segoe UI" w:eastAsia="Times New Roman" w:hAnsi="Segoe UI" w:cs="Segoe UI"/>
                <w:i/>
                <w:iCs/>
                <w:color w:val="333333"/>
                <w:sz w:val="15"/>
                <w:szCs w:val="15"/>
                <w:vertAlign w:val="superscript"/>
                <w:lang w:eastAsia="en-GB"/>
              </w:rPr>
              <w:t>4</w:t>
            </w:r>
          </w:p>
        </w:tc>
      </w:tr>
      <w:tr w:rsidR="00F35E09" w:rsidRPr="00767B3B" w14:paraId="3AB6E3E2"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5B9372B"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Vessel diameter</w:t>
            </w:r>
            <w:r w:rsidRPr="00767B3B">
              <w:rPr>
                <w:rFonts w:ascii="Segoe UI" w:eastAsia="Times New Roman" w:hAnsi="Segoe UI" w:cs="Segoe UI"/>
                <w:color w:val="333333"/>
                <w:sz w:val="20"/>
                <w:szCs w:val="20"/>
                <w:lang w:eastAsia="en-GB"/>
              </w:rPr>
              <w:t>, Median (IQR)</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D866901"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3.50 (3.00 – 4.00)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87712EB"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3.50 (3.00 – 3.50)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B1DAD1F"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3.50 (3.00 – 4.00)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C873989" w14:textId="77777777" w:rsidR="00F35E09" w:rsidRPr="00767B3B" w:rsidRDefault="00F35E09" w:rsidP="00F35E09">
            <w:pPr>
              <w:spacing w:before="150" w:after="150" w:line="240" w:lineRule="auto"/>
              <w:ind w:left="150" w:right="150"/>
              <w:jc w:val="center"/>
              <w:rPr>
                <w:rFonts w:ascii="Segoe UI" w:eastAsia="Times New Roman" w:hAnsi="Segoe UI" w:cs="Segoe UI"/>
                <w:b/>
                <w:bCs/>
                <w:color w:val="333333"/>
                <w:sz w:val="20"/>
                <w:szCs w:val="20"/>
                <w:lang w:eastAsia="en-GB"/>
              </w:rPr>
            </w:pPr>
            <w:r w:rsidRPr="00767B3B">
              <w:rPr>
                <w:rFonts w:ascii="Segoe UI" w:eastAsia="Times New Roman" w:hAnsi="Segoe UI" w:cs="Segoe UI"/>
                <w:b/>
                <w:bCs/>
                <w:color w:val="333333"/>
                <w:sz w:val="20"/>
                <w:szCs w:val="20"/>
                <w:lang w:eastAsia="en-GB"/>
              </w:rPr>
              <w:t>&lt;0.001</w:t>
            </w:r>
            <w:r w:rsidRPr="00767B3B">
              <w:rPr>
                <w:rFonts w:ascii="Segoe UI" w:eastAsia="Times New Roman" w:hAnsi="Segoe UI" w:cs="Segoe UI"/>
                <w:i/>
                <w:iCs/>
                <w:color w:val="333333"/>
                <w:sz w:val="15"/>
                <w:szCs w:val="15"/>
                <w:vertAlign w:val="superscript"/>
                <w:lang w:eastAsia="en-GB"/>
              </w:rPr>
              <w:t>2</w:t>
            </w:r>
          </w:p>
        </w:tc>
      </w:tr>
      <w:tr w:rsidR="00F35E09" w:rsidRPr="00767B3B" w14:paraId="3B3ED4FD"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55127E6"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Lesion length</w:t>
            </w:r>
            <w:r w:rsidRPr="00767B3B">
              <w:rPr>
                <w:rFonts w:ascii="Segoe UI" w:eastAsia="Times New Roman" w:hAnsi="Segoe UI" w:cs="Segoe UI"/>
                <w:color w:val="333333"/>
                <w:sz w:val="20"/>
                <w:szCs w:val="20"/>
                <w:lang w:eastAsia="en-GB"/>
              </w:rPr>
              <w:t>, Median (IQR)</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5747161"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25 (20 – 32)</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F2E7360"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25 (20 – 30)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40CFB3F"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24 (18 – 32)</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10F83C4"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0.93</w:t>
            </w:r>
            <w:r w:rsidRPr="00767B3B">
              <w:rPr>
                <w:rFonts w:ascii="Segoe UI" w:eastAsia="Times New Roman" w:hAnsi="Segoe UI" w:cs="Segoe UI"/>
                <w:i/>
                <w:iCs/>
                <w:color w:val="333333"/>
                <w:sz w:val="15"/>
                <w:szCs w:val="15"/>
                <w:vertAlign w:val="superscript"/>
                <w:lang w:eastAsia="en-GB"/>
              </w:rPr>
              <w:t>2</w:t>
            </w:r>
          </w:p>
        </w:tc>
      </w:tr>
      <w:tr w:rsidR="00F35E09" w:rsidRPr="00767B3B" w14:paraId="165B23B8"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47DBF21"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 xml:space="preserve">Culprit </w:t>
            </w:r>
            <w:r w:rsidRPr="00767B3B">
              <w:rPr>
                <w:rFonts w:ascii="Segoe UI" w:eastAsia="Times New Roman" w:hAnsi="Segoe UI" w:cs="Segoe UI"/>
                <w:color w:val="333333"/>
                <w:sz w:val="20"/>
                <w:szCs w:val="20"/>
                <w:lang w:eastAsia="en-GB"/>
              </w:rPr>
              <w:t>Vessel</w:t>
            </w:r>
            <w:r>
              <w:rPr>
                <w:rFonts w:ascii="Segoe UI" w:eastAsia="Times New Roman" w:hAnsi="Segoe UI" w:cs="Segoe UI"/>
                <w:color w:val="333333"/>
                <w:sz w:val="20"/>
                <w:szCs w:val="20"/>
                <w:lang w:eastAsia="en-GB"/>
              </w:rPr>
              <w:t xml:space="preserve"> ≥3</w:t>
            </w:r>
            <w:r w:rsidRPr="00767B3B">
              <w:rPr>
                <w:rFonts w:ascii="Segoe UI" w:eastAsia="Times New Roman" w:hAnsi="Segoe UI" w:cs="Segoe UI"/>
                <w:color w:val="333333"/>
                <w:sz w:val="20"/>
                <w:szCs w:val="20"/>
                <w:lang w:eastAsia="en-GB"/>
              </w:rPr>
              <w:t>mm, n (%)</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71A514C"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958 (85)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7AD9145"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363 (81)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8AAFAE8"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595 (87)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2684CE8" w14:textId="77777777" w:rsidR="00F35E09" w:rsidRPr="00767B3B" w:rsidRDefault="00F35E09" w:rsidP="00F35E09">
            <w:pPr>
              <w:spacing w:before="150" w:after="150" w:line="240" w:lineRule="auto"/>
              <w:ind w:left="150" w:right="150"/>
              <w:jc w:val="center"/>
              <w:rPr>
                <w:rFonts w:ascii="Segoe UI" w:eastAsia="Times New Roman" w:hAnsi="Segoe UI" w:cs="Segoe UI"/>
                <w:b/>
                <w:bCs/>
                <w:color w:val="333333"/>
                <w:sz w:val="20"/>
                <w:szCs w:val="20"/>
                <w:lang w:eastAsia="en-GB"/>
              </w:rPr>
            </w:pPr>
            <w:r w:rsidRPr="00767B3B">
              <w:rPr>
                <w:rFonts w:ascii="Segoe UI" w:eastAsia="Times New Roman" w:hAnsi="Segoe UI" w:cs="Segoe UI"/>
                <w:b/>
                <w:bCs/>
                <w:color w:val="333333"/>
                <w:sz w:val="20"/>
                <w:szCs w:val="20"/>
                <w:lang w:eastAsia="en-GB"/>
              </w:rPr>
              <w:t>0.008</w:t>
            </w:r>
            <w:r w:rsidRPr="00767B3B">
              <w:rPr>
                <w:rFonts w:ascii="Segoe UI" w:eastAsia="Times New Roman" w:hAnsi="Segoe UI" w:cs="Segoe UI"/>
                <w:i/>
                <w:iCs/>
                <w:color w:val="333333"/>
                <w:sz w:val="15"/>
                <w:szCs w:val="15"/>
                <w:vertAlign w:val="superscript"/>
                <w:lang w:eastAsia="en-GB"/>
              </w:rPr>
              <w:t>4</w:t>
            </w:r>
          </w:p>
        </w:tc>
      </w:tr>
      <w:tr w:rsidR="00F35E09" w:rsidRPr="00767B3B" w14:paraId="1ED37718"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1760F9A"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TIMI flow pre-PCI</w:t>
            </w:r>
            <w:r w:rsidRPr="00767B3B">
              <w:rPr>
                <w:rFonts w:ascii="Segoe UI" w:eastAsia="Times New Roman" w:hAnsi="Segoe UI" w:cs="Segoe UI"/>
                <w:color w:val="333333"/>
                <w:sz w:val="20"/>
                <w:szCs w:val="20"/>
                <w:lang w:eastAsia="en-GB"/>
              </w:rPr>
              <w:t>, n (%)</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94164E7"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CC8E995" w14:textId="77777777" w:rsidR="00F35E09" w:rsidRPr="00767B3B" w:rsidRDefault="00F35E09" w:rsidP="00F35E09">
            <w:pPr>
              <w:spacing w:before="150" w:after="150" w:line="240" w:lineRule="auto"/>
              <w:ind w:left="150" w:right="150"/>
              <w:jc w:val="center"/>
              <w:rPr>
                <w:rFonts w:ascii="Times New Roman" w:eastAsia="Times New Roman" w:hAnsi="Times New Roman" w:cs="Times New Roman"/>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2B5AFAE" w14:textId="77777777" w:rsidR="00F35E09" w:rsidRPr="00767B3B" w:rsidRDefault="00F35E09" w:rsidP="00F35E09">
            <w:pPr>
              <w:spacing w:before="150" w:after="150" w:line="240" w:lineRule="auto"/>
              <w:ind w:left="150" w:right="150"/>
              <w:jc w:val="center"/>
              <w:rPr>
                <w:rFonts w:ascii="Times New Roman" w:eastAsia="Times New Roman" w:hAnsi="Times New Roman" w:cs="Times New Roman"/>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F2162AD"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0.28</w:t>
            </w:r>
            <w:r w:rsidRPr="00767B3B">
              <w:rPr>
                <w:rFonts w:ascii="Segoe UI" w:eastAsia="Times New Roman" w:hAnsi="Segoe UI" w:cs="Segoe UI"/>
                <w:i/>
                <w:iCs/>
                <w:color w:val="333333"/>
                <w:sz w:val="15"/>
                <w:szCs w:val="15"/>
                <w:vertAlign w:val="superscript"/>
                <w:lang w:eastAsia="en-GB"/>
              </w:rPr>
              <w:t>4</w:t>
            </w:r>
          </w:p>
        </w:tc>
      </w:tr>
      <w:tr w:rsidR="00F35E09" w:rsidRPr="00767B3B" w14:paraId="17F95183"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18C8AF1"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0/1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7BB145E"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852 (75)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F094BAA"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330 (73)</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2A899CB"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522 (76)</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920BCD7"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49698304"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2B8CB0E"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2/3</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652C855"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286 (25)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0DC1C1B"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121 (27)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72EE644"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165 (24)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D4489DB"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4D478A1E"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FD41AA0"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TIMI flow post-PCI</w:t>
            </w:r>
            <w:r w:rsidRPr="00767B3B">
              <w:rPr>
                <w:rFonts w:ascii="Segoe UI" w:eastAsia="Times New Roman" w:hAnsi="Segoe UI" w:cs="Segoe UI"/>
                <w:color w:val="333333"/>
                <w:sz w:val="20"/>
                <w:szCs w:val="20"/>
                <w:lang w:eastAsia="en-GB"/>
              </w:rPr>
              <w:t>, n (%)</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70E54BA"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BD52CED" w14:textId="77777777" w:rsidR="00F35E09" w:rsidRPr="00767B3B" w:rsidRDefault="00F35E09" w:rsidP="00F35E09">
            <w:pPr>
              <w:spacing w:before="150" w:after="150" w:line="240" w:lineRule="auto"/>
              <w:ind w:left="150" w:right="150"/>
              <w:jc w:val="center"/>
              <w:rPr>
                <w:rFonts w:ascii="Times New Roman" w:eastAsia="Times New Roman" w:hAnsi="Times New Roman" w:cs="Times New Roman"/>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C295344" w14:textId="77777777" w:rsidR="00F35E09" w:rsidRPr="00767B3B" w:rsidRDefault="00F35E09" w:rsidP="00F35E09">
            <w:pPr>
              <w:spacing w:before="150" w:after="150" w:line="240" w:lineRule="auto"/>
              <w:ind w:left="150" w:right="150"/>
              <w:jc w:val="center"/>
              <w:rPr>
                <w:rFonts w:ascii="Times New Roman" w:eastAsia="Times New Roman" w:hAnsi="Times New Roman" w:cs="Times New Roman"/>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86C495E"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0.75</w:t>
            </w:r>
            <w:r w:rsidRPr="00767B3B">
              <w:rPr>
                <w:rFonts w:ascii="Segoe UI" w:eastAsia="Times New Roman" w:hAnsi="Segoe UI" w:cs="Segoe UI"/>
                <w:i/>
                <w:iCs/>
                <w:color w:val="333333"/>
                <w:sz w:val="15"/>
                <w:szCs w:val="15"/>
                <w:vertAlign w:val="superscript"/>
                <w:lang w:eastAsia="en-GB"/>
              </w:rPr>
              <w:t>3</w:t>
            </w:r>
          </w:p>
        </w:tc>
      </w:tr>
      <w:tr w:rsidR="00F35E09" w:rsidRPr="00767B3B" w14:paraId="1BB4844B"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C8A7B1D"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0/1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7A1D5AF"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9 (0.8)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68F85B9"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4 (0.9)</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B09DA75"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5 (0.7)</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40E8295"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58B2D10E"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743F5E1"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lastRenderedPageBreak/>
              <w:t>    2/3</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53CA144"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1,130 (99)</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203702B"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448 (99)</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8F2D984"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682 (99)</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78F8A1F"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5EF2898B"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F0AE16C"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Coronary</w:t>
            </w:r>
            <w:r>
              <w:rPr>
                <w:rFonts w:ascii="Segoe UI" w:eastAsia="Times New Roman" w:hAnsi="Segoe UI" w:cs="Segoe UI"/>
                <w:color w:val="333333"/>
                <w:sz w:val="20"/>
                <w:szCs w:val="20"/>
                <w:lang w:eastAsia="en-GB"/>
              </w:rPr>
              <w:t xml:space="preserve"> </w:t>
            </w:r>
            <w:r w:rsidRPr="00767B3B">
              <w:rPr>
                <w:rFonts w:ascii="Segoe UI" w:eastAsia="Times New Roman" w:hAnsi="Segoe UI" w:cs="Segoe UI"/>
                <w:color w:val="333333"/>
                <w:sz w:val="20"/>
                <w:szCs w:val="20"/>
                <w:lang w:eastAsia="en-GB"/>
              </w:rPr>
              <w:t>Dissection, n (%)</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F76D62F"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D039CC5" w14:textId="77777777" w:rsidR="00F35E09" w:rsidRPr="00767B3B" w:rsidRDefault="00F35E09" w:rsidP="00F35E09">
            <w:pPr>
              <w:spacing w:before="150" w:after="150" w:line="240" w:lineRule="auto"/>
              <w:ind w:left="150" w:right="150"/>
              <w:jc w:val="center"/>
              <w:rPr>
                <w:rFonts w:ascii="Times New Roman" w:eastAsia="Times New Roman" w:hAnsi="Times New Roman" w:cs="Times New Roman"/>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EA20749" w14:textId="77777777" w:rsidR="00F35E09" w:rsidRPr="00767B3B" w:rsidRDefault="00F35E09" w:rsidP="00F35E09">
            <w:pPr>
              <w:spacing w:before="150" w:after="150" w:line="240" w:lineRule="auto"/>
              <w:ind w:left="150" w:right="150"/>
              <w:jc w:val="center"/>
              <w:rPr>
                <w:rFonts w:ascii="Times New Roman" w:eastAsia="Times New Roman" w:hAnsi="Times New Roman" w:cs="Times New Roman"/>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8FE4D91"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&gt;0.99</w:t>
            </w:r>
            <w:r w:rsidRPr="00767B3B">
              <w:rPr>
                <w:rFonts w:ascii="Segoe UI" w:eastAsia="Times New Roman" w:hAnsi="Segoe UI" w:cs="Segoe UI"/>
                <w:i/>
                <w:iCs/>
                <w:color w:val="333333"/>
                <w:sz w:val="15"/>
                <w:szCs w:val="15"/>
                <w:vertAlign w:val="superscript"/>
                <w:lang w:eastAsia="en-GB"/>
              </w:rPr>
              <w:t>3</w:t>
            </w:r>
          </w:p>
        </w:tc>
      </w:tr>
      <w:tr w:rsidR="00F35E09" w:rsidRPr="00767B3B" w14:paraId="3EC651F3"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993797B"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No angiographic dissection</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9A8314F"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317 (70)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478846E"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317 (70)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E7D5CE8"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 (NA)</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A620E2B"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0F2F76B1"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942B84F"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xml:space="preserve">    Type </w:t>
            </w:r>
            <w:r>
              <w:rPr>
                <w:rFonts w:ascii="Segoe UI" w:eastAsia="Times New Roman" w:hAnsi="Segoe UI" w:cs="Segoe UI"/>
                <w:color w:val="333333"/>
                <w:sz w:val="20"/>
                <w:szCs w:val="20"/>
                <w:lang w:eastAsia="en-GB"/>
              </w:rPr>
              <w:t>A</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FA59127"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72 (16)</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DBE78EF"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72 (16)</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F3234BA"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 (NA)</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41D9D7C"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34840AE4"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AE91335"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xml:space="preserve">    Type </w:t>
            </w:r>
            <w:r>
              <w:rPr>
                <w:rFonts w:ascii="Segoe UI" w:eastAsia="Times New Roman" w:hAnsi="Segoe UI" w:cs="Segoe UI"/>
                <w:color w:val="333333"/>
                <w:sz w:val="20"/>
                <w:szCs w:val="20"/>
                <w:lang w:eastAsia="en-GB"/>
              </w:rPr>
              <w:t>B</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A92A6DA"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62 (14)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717E7C9"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62 (14)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B240E1E"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 (NA)</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13E77BA"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662964FC"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8A28B05"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Bi</w:t>
            </w:r>
            <w:r>
              <w:rPr>
                <w:rFonts w:ascii="Segoe UI" w:eastAsia="Times New Roman" w:hAnsi="Segoe UI" w:cs="Segoe UI"/>
                <w:color w:val="333333"/>
                <w:sz w:val="20"/>
                <w:szCs w:val="20"/>
                <w:lang w:eastAsia="en-GB"/>
              </w:rPr>
              <w:t xml:space="preserve">furcation treatment </w:t>
            </w:r>
            <w:r w:rsidRPr="00767B3B">
              <w:rPr>
                <w:rFonts w:ascii="Segoe UI" w:eastAsia="Times New Roman" w:hAnsi="Segoe UI" w:cs="Segoe UI"/>
                <w:color w:val="333333"/>
                <w:sz w:val="20"/>
                <w:szCs w:val="20"/>
                <w:lang w:eastAsia="en-GB"/>
              </w:rPr>
              <w:t>strategy, n (%)</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EBC0F84"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FAC067B" w14:textId="77777777" w:rsidR="00F35E09" w:rsidRPr="00767B3B" w:rsidRDefault="00F35E09" w:rsidP="00F35E09">
            <w:pPr>
              <w:spacing w:before="150" w:after="150" w:line="240" w:lineRule="auto"/>
              <w:ind w:left="150" w:right="150"/>
              <w:jc w:val="center"/>
              <w:rPr>
                <w:rFonts w:ascii="Times New Roman" w:eastAsia="Times New Roman" w:hAnsi="Times New Roman" w:cs="Times New Roman"/>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5817A1E" w14:textId="77777777" w:rsidR="00F35E09" w:rsidRPr="00767B3B" w:rsidRDefault="00F35E09" w:rsidP="00F35E09">
            <w:pPr>
              <w:spacing w:before="150" w:after="150" w:line="240" w:lineRule="auto"/>
              <w:ind w:left="150" w:right="150"/>
              <w:jc w:val="center"/>
              <w:rPr>
                <w:rFonts w:ascii="Times New Roman" w:eastAsia="Times New Roman" w:hAnsi="Times New Roman" w:cs="Times New Roman"/>
                <w:sz w:val="20"/>
                <w:szCs w:val="20"/>
                <w:lang w:eastAsia="en-GB"/>
              </w:rPr>
            </w:pP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336BE26" w14:textId="77777777" w:rsidR="00F35E09" w:rsidRPr="00767B3B" w:rsidRDefault="00F35E09" w:rsidP="00F35E09">
            <w:pPr>
              <w:spacing w:before="150" w:after="150" w:line="240" w:lineRule="auto"/>
              <w:ind w:left="150" w:right="150"/>
              <w:jc w:val="center"/>
              <w:rPr>
                <w:rFonts w:ascii="Segoe UI" w:eastAsia="Times New Roman" w:hAnsi="Segoe UI" w:cs="Segoe UI"/>
                <w:b/>
                <w:bCs/>
                <w:color w:val="333333"/>
                <w:sz w:val="20"/>
                <w:szCs w:val="20"/>
                <w:lang w:eastAsia="en-GB"/>
              </w:rPr>
            </w:pPr>
            <w:r w:rsidRPr="00767B3B">
              <w:rPr>
                <w:rFonts w:ascii="Segoe UI" w:eastAsia="Times New Roman" w:hAnsi="Segoe UI" w:cs="Segoe UI"/>
                <w:b/>
                <w:bCs/>
                <w:color w:val="333333"/>
                <w:sz w:val="20"/>
                <w:szCs w:val="20"/>
                <w:lang w:eastAsia="en-GB"/>
              </w:rPr>
              <w:t>&lt;0.001</w:t>
            </w:r>
            <w:r w:rsidRPr="00767B3B">
              <w:rPr>
                <w:rFonts w:ascii="Segoe UI" w:eastAsia="Times New Roman" w:hAnsi="Segoe UI" w:cs="Segoe UI"/>
                <w:i/>
                <w:iCs/>
                <w:color w:val="333333"/>
                <w:sz w:val="15"/>
                <w:szCs w:val="15"/>
                <w:vertAlign w:val="superscript"/>
                <w:lang w:eastAsia="en-GB"/>
              </w:rPr>
              <w:t>3</w:t>
            </w:r>
          </w:p>
        </w:tc>
      </w:tr>
      <w:tr w:rsidR="00F35E09" w:rsidRPr="00767B3B" w14:paraId="7989FB52"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D1405B1"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DCB MB Only</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42B4897"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148 (38)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B8CBB45"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148 (79)</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0F92DEC"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 (0)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26360EB"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65E7A2BD"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D7B84D5"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DCB SB Only</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6A3A596"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20 (5.2)</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F144CE7"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20 (11)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8D6F27E"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 (0)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9218493"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4E079964"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25B145D"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DCB MB &amp; SB</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B28F63E"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17 (4.4)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D7BAD25"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17 (9.1)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CAE68B1"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 (0)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9F318B5"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23A86E34"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4946FAA"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DCB MB &amp; POBA SB</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D8C9A89"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2 (0.5)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6114214"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2 (1.1)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F20B79B"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 (0)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53093F2"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2003E09B"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F9878B7"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DES MB</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75BC451"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169 (44)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6874E56"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 (0)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FD51D32"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169 (85)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DCDECD8"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5FB6153A"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FCC4E62"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DES MB &amp; SB</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BE7E8A8"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8 (2.1)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AD553D1"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 (0)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4FD4A3A"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8 (4.0)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415499F"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17F9BCB0"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7594250"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DES MB &amp; POBA SB</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651D4A5"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6 (1.6)</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C57B91F"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 (0)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C65CBC6"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6 (3.0)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8477253"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15D10E1F" w14:textId="77777777" w:rsidTr="003A5D6E">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2C859F1" w14:textId="77777777" w:rsidR="00F35E09" w:rsidRPr="00767B3B" w:rsidRDefault="00F35E09" w:rsidP="00F35E09">
            <w:pPr>
              <w:spacing w:before="150" w:after="150" w:line="240" w:lineRule="auto"/>
              <w:ind w:left="150" w:right="150"/>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    DES SB Only</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B2F609F"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15 (3.9)</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39A8716"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0 (0)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A3D09DE"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r w:rsidRPr="00767B3B">
              <w:rPr>
                <w:rFonts w:ascii="Segoe UI" w:eastAsia="Times New Roman" w:hAnsi="Segoe UI" w:cs="Segoe UI"/>
                <w:color w:val="333333"/>
                <w:sz w:val="20"/>
                <w:szCs w:val="20"/>
                <w:lang w:eastAsia="en-GB"/>
              </w:rPr>
              <w:t>15 (7.6)</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2B0704E" w14:textId="77777777" w:rsidR="00F35E09" w:rsidRPr="00767B3B" w:rsidRDefault="00F35E09" w:rsidP="00F35E09">
            <w:pPr>
              <w:spacing w:before="150" w:after="150" w:line="240" w:lineRule="auto"/>
              <w:ind w:left="150" w:right="150"/>
              <w:jc w:val="center"/>
              <w:rPr>
                <w:rFonts w:ascii="Segoe UI" w:eastAsia="Times New Roman" w:hAnsi="Segoe UI" w:cs="Segoe UI"/>
                <w:color w:val="333333"/>
                <w:sz w:val="20"/>
                <w:szCs w:val="20"/>
                <w:lang w:eastAsia="en-GB"/>
              </w:rPr>
            </w:pPr>
          </w:p>
        </w:tc>
      </w:tr>
      <w:tr w:rsidR="00F35E09" w:rsidRPr="00767B3B" w14:paraId="43885562" w14:textId="77777777" w:rsidTr="003A5D6E">
        <w:tc>
          <w:tcPr>
            <w:tcW w:w="0" w:type="auto"/>
            <w:gridSpan w:val="5"/>
            <w:shd w:val="clear" w:color="auto" w:fill="FFFFFF"/>
            <w:tcMar>
              <w:top w:w="15" w:type="dxa"/>
              <w:left w:w="75" w:type="dxa"/>
              <w:bottom w:w="15" w:type="dxa"/>
              <w:right w:w="75" w:type="dxa"/>
            </w:tcMar>
            <w:vAlign w:val="center"/>
            <w:hideMark/>
          </w:tcPr>
          <w:p w14:paraId="1892670E" w14:textId="77777777" w:rsidR="00F35E09" w:rsidRPr="00767B3B" w:rsidRDefault="00F35E09" w:rsidP="00F35E09">
            <w:pPr>
              <w:spacing w:after="0" w:line="240" w:lineRule="auto"/>
              <w:rPr>
                <w:rFonts w:ascii="Segoe UI" w:eastAsia="Times New Roman" w:hAnsi="Segoe UI" w:cs="Segoe UI"/>
                <w:color w:val="333333"/>
                <w:sz w:val="18"/>
                <w:szCs w:val="18"/>
                <w:lang w:eastAsia="en-GB"/>
              </w:rPr>
            </w:pPr>
            <w:r w:rsidRPr="00767B3B">
              <w:rPr>
                <w:rFonts w:ascii="Segoe UI" w:eastAsia="Times New Roman" w:hAnsi="Segoe UI" w:cs="Segoe UI"/>
                <w:i/>
                <w:iCs/>
                <w:color w:val="333333"/>
                <w:sz w:val="13"/>
                <w:szCs w:val="13"/>
                <w:vertAlign w:val="superscript"/>
                <w:lang w:eastAsia="en-GB"/>
              </w:rPr>
              <w:t>1</w:t>
            </w:r>
            <w:r w:rsidRPr="00767B3B">
              <w:rPr>
                <w:rFonts w:ascii="Segoe UI" w:eastAsia="Times New Roman" w:hAnsi="Segoe UI" w:cs="Segoe UI"/>
                <w:color w:val="333333"/>
                <w:sz w:val="18"/>
                <w:szCs w:val="18"/>
                <w:lang w:eastAsia="en-GB"/>
              </w:rPr>
              <w:t> Median (IQR); Range; n (%); Mean (SD)</w:t>
            </w:r>
          </w:p>
        </w:tc>
      </w:tr>
      <w:tr w:rsidR="00F35E09" w:rsidRPr="00767B3B" w14:paraId="22B61D6C" w14:textId="77777777" w:rsidTr="003A5D6E">
        <w:tc>
          <w:tcPr>
            <w:tcW w:w="0" w:type="auto"/>
            <w:gridSpan w:val="5"/>
            <w:shd w:val="clear" w:color="auto" w:fill="FFFFFF"/>
            <w:tcMar>
              <w:top w:w="15" w:type="dxa"/>
              <w:left w:w="75" w:type="dxa"/>
              <w:bottom w:w="15" w:type="dxa"/>
              <w:right w:w="75" w:type="dxa"/>
            </w:tcMar>
            <w:vAlign w:val="center"/>
            <w:hideMark/>
          </w:tcPr>
          <w:p w14:paraId="60406D83" w14:textId="77777777" w:rsidR="00F35E09" w:rsidRPr="00767B3B" w:rsidRDefault="00F35E09" w:rsidP="00F35E09">
            <w:pPr>
              <w:spacing w:after="0" w:line="240" w:lineRule="auto"/>
              <w:rPr>
                <w:rFonts w:ascii="Segoe UI" w:eastAsia="Times New Roman" w:hAnsi="Segoe UI" w:cs="Segoe UI"/>
                <w:color w:val="333333"/>
                <w:sz w:val="18"/>
                <w:szCs w:val="18"/>
                <w:lang w:eastAsia="en-GB"/>
              </w:rPr>
            </w:pPr>
            <w:r w:rsidRPr="00767B3B">
              <w:rPr>
                <w:rFonts w:ascii="Segoe UI" w:eastAsia="Times New Roman" w:hAnsi="Segoe UI" w:cs="Segoe UI"/>
                <w:i/>
                <w:iCs/>
                <w:color w:val="333333"/>
                <w:sz w:val="13"/>
                <w:szCs w:val="13"/>
                <w:vertAlign w:val="superscript"/>
                <w:lang w:eastAsia="en-GB"/>
              </w:rPr>
              <w:t>2</w:t>
            </w:r>
            <w:r w:rsidRPr="00767B3B">
              <w:rPr>
                <w:rFonts w:ascii="Segoe UI" w:eastAsia="Times New Roman" w:hAnsi="Segoe UI" w:cs="Segoe UI"/>
                <w:color w:val="333333"/>
                <w:sz w:val="18"/>
                <w:szCs w:val="18"/>
                <w:lang w:eastAsia="en-GB"/>
              </w:rPr>
              <w:t> Wilcoxon rank sum test</w:t>
            </w:r>
          </w:p>
        </w:tc>
      </w:tr>
      <w:tr w:rsidR="00F35E09" w:rsidRPr="00767B3B" w14:paraId="18F37020" w14:textId="77777777" w:rsidTr="003A5D6E">
        <w:tc>
          <w:tcPr>
            <w:tcW w:w="0" w:type="auto"/>
            <w:gridSpan w:val="5"/>
            <w:shd w:val="clear" w:color="auto" w:fill="FFFFFF"/>
            <w:tcMar>
              <w:top w:w="15" w:type="dxa"/>
              <w:left w:w="75" w:type="dxa"/>
              <w:bottom w:w="15" w:type="dxa"/>
              <w:right w:w="75" w:type="dxa"/>
            </w:tcMar>
            <w:vAlign w:val="center"/>
            <w:hideMark/>
          </w:tcPr>
          <w:p w14:paraId="3F93821D" w14:textId="77777777" w:rsidR="00F35E09" w:rsidRPr="00767B3B" w:rsidRDefault="00F35E09" w:rsidP="00F35E09">
            <w:pPr>
              <w:spacing w:after="0" w:line="240" w:lineRule="auto"/>
              <w:rPr>
                <w:rFonts w:ascii="Segoe UI" w:eastAsia="Times New Roman" w:hAnsi="Segoe UI" w:cs="Segoe UI"/>
                <w:color w:val="333333"/>
                <w:sz w:val="18"/>
                <w:szCs w:val="18"/>
                <w:lang w:eastAsia="en-GB"/>
              </w:rPr>
            </w:pPr>
            <w:r w:rsidRPr="00767B3B">
              <w:rPr>
                <w:rFonts w:ascii="Segoe UI" w:eastAsia="Times New Roman" w:hAnsi="Segoe UI" w:cs="Segoe UI"/>
                <w:i/>
                <w:iCs/>
                <w:color w:val="333333"/>
                <w:sz w:val="13"/>
                <w:szCs w:val="13"/>
                <w:vertAlign w:val="superscript"/>
                <w:lang w:eastAsia="en-GB"/>
              </w:rPr>
              <w:t>3</w:t>
            </w:r>
            <w:r w:rsidRPr="00767B3B">
              <w:rPr>
                <w:rFonts w:ascii="Segoe UI" w:eastAsia="Times New Roman" w:hAnsi="Segoe UI" w:cs="Segoe UI"/>
                <w:color w:val="333333"/>
                <w:sz w:val="18"/>
                <w:szCs w:val="18"/>
                <w:lang w:eastAsia="en-GB"/>
              </w:rPr>
              <w:t> Fisher's exact test</w:t>
            </w:r>
          </w:p>
        </w:tc>
      </w:tr>
      <w:tr w:rsidR="00F35E09" w:rsidRPr="00767B3B" w14:paraId="695832C8" w14:textId="77777777" w:rsidTr="003A5D6E">
        <w:tc>
          <w:tcPr>
            <w:tcW w:w="0" w:type="auto"/>
            <w:gridSpan w:val="5"/>
            <w:shd w:val="clear" w:color="auto" w:fill="FFFFFF"/>
            <w:tcMar>
              <w:top w:w="15" w:type="dxa"/>
              <w:left w:w="75" w:type="dxa"/>
              <w:bottom w:w="15" w:type="dxa"/>
              <w:right w:w="75" w:type="dxa"/>
            </w:tcMar>
            <w:vAlign w:val="center"/>
            <w:hideMark/>
          </w:tcPr>
          <w:p w14:paraId="4E212A14" w14:textId="77777777" w:rsidR="00F35E09" w:rsidRPr="00767B3B" w:rsidRDefault="00F35E09" w:rsidP="00F35E09">
            <w:pPr>
              <w:spacing w:after="0" w:line="240" w:lineRule="auto"/>
              <w:rPr>
                <w:rFonts w:ascii="Segoe UI" w:eastAsia="Times New Roman" w:hAnsi="Segoe UI" w:cs="Segoe UI"/>
                <w:color w:val="333333"/>
                <w:sz w:val="18"/>
                <w:szCs w:val="18"/>
                <w:lang w:eastAsia="en-GB"/>
              </w:rPr>
            </w:pPr>
            <w:r w:rsidRPr="00767B3B">
              <w:rPr>
                <w:rFonts w:ascii="Segoe UI" w:eastAsia="Times New Roman" w:hAnsi="Segoe UI" w:cs="Segoe UI"/>
                <w:i/>
                <w:iCs/>
                <w:color w:val="333333"/>
                <w:sz w:val="13"/>
                <w:szCs w:val="13"/>
                <w:vertAlign w:val="superscript"/>
                <w:lang w:eastAsia="en-GB"/>
              </w:rPr>
              <w:t>4</w:t>
            </w:r>
            <w:r w:rsidRPr="00767B3B">
              <w:rPr>
                <w:rFonts w:ascii="Segoe UI" w:eastAsia="Times New Roman" w:hAnsi="Segoe UI" w:cs="Segoe UI"/>
                <w:color w:val="333333"/>
                <w:sz w:val="18"/>
                <w:szCs w:val="18"/>
                <w:lang w:eastAsia="en-GB"/>
              </w:rPr>
              <w:t xml:space="preserve"> Pearson's Chi-squared </w:t>
            </w:r>
            <w:proofErr w:type="gramStart"/>
            <w:r w:rsidRPr="00767B3B">
              <w:rPr>
                <w:rFonts w:ascii="Segoe UI" w:eastAsia="Times New Roman" w:hAnsi="Segoe UI" w:cs="Segoe UI"/>
                <w:color w:val="333333"/>
                <w:sz w:val="18"/>
                <w:szCs w:val="18"/>
                <w:lang w:eastAsia="en-GB"/>
              </w:rPr>
              <w:t>test</w:t>
            </w:r>
            <w:proofErr w:type="gramEnd"/>
          </w:p>
        </w:tc>
      </w:tr>
      <w:bookmarkEnd w:id="13"/>
    </w:tbl>
    <w:p w14:paraId="0B9DB2CB" w14:textId="36CD8162" w:rsidR="002D608F" w:rsidRDefault="002D608F" w:rsidP="00FD3E41">
      <w:pPr>
        <w:pStyle w:val="NoSpacing"/>
        <w:spacing w:line="480" w:lineRule="auto"/>
        <w:jc w:val="both"/>
        <w:rPr>
          <w:rFonts w:ascii="Times New Roman" w:hAnsi="Times New Roman" w:cs="Times New Roman"/>
          <w:b/>
          <w:sz w:val="24"/>
          <w:szCs w:val="24"/>
        </w:rPr>
      </w:pPr>
    </w:p>
    <w:p w14:paraId="671EF453" w14:textId="2911924D" w:rsidR="00FD3E41" w:rsidRPr="00FD3E41" w:rsidRDefault="00FD3E41" w:rsidP="00FD3E41">
      <w:pPr>
        <w:pStyle w:val="NoSpacing"/>
        <w:spacing w:line="480" w:lineRule="auto"/>
        <w:jc w:val="both"/>
        <w:rPr>
          <w:rFonts w:ascii="Times New Roman" w:hAnsi="Times New Roman" w:cs="Times New Roman"/>
          <w:b/>
          <w:sz w:val="24"/>
          <w:szCs w:val="24"/>
        </w:rPr>
      </w:pPr>
      <w:r w:rsidRPr="00FD3E41">
        <w:rPr>
          <w:rFonts w:ascii="Times New Roman" w:hAnsi="Times New Roman" w:cs="Times New Roman"/>
          <w:b/>
          <w:sz w:val="24"/>
          <w:szCs w:val="24"/>
        </w:rPr>
        <w:t>Table 2</w:t>
      </w:r>
      <w:r w:rsidR="00771730">
        <w:rPr>
          <w:rFonts w:ascii="Times New Roman" w:hAnsi="Times New Roman" w:cs="Times New Roman"/>
          <w:b/>
          <w:sz w:val="24"/>
          <w:szCs w:val="24"/>
        </w:rPr>
        <w:t>.</w:t>
      </w:r>
      <w:r w:rsidRPr="00FD3E41">
        <w:rPr>
          <w:rFonts w:ascii="Times New Roman" w:hAnsi="Times New Roman" w:cs="Times New Roman"/>
          <w:b/>
          <w:sz w:val="24"/>
          <w:szCs w:val="24"/>
        </w:rPr>
        <w:t xml:space="preserve"> Angiographic characteristics of target vessels treated with DCB or DES.</w:t>
      </w:r>
    </w:p>
    <w:p w14:paraId="298FF09E" w14:textId="5CC847A7" w:rsidR="00FD3E41" w:rsidRPr="00FD3E41" w:rsidRDefault="00FD3E41" w:rsidP="00FD3E41">
      <w:pPr>
        <w:pStyle w:val="NoSpacing"/>
        <w:spacing w:line="480" w:lineRule="auto"/>
        <w:jc w:val="both"/>
        <w:rPr>
          <w:rFonts w:ascii="Times New Roman" w:hAnsi="Times New Roman" w:cs="Times New Roman"/>
          <w:b/>
          <w:sz w:val="24"/>
          <w:szCs w:val="24"/>
        </w:rPr>
      </w:pPr>
      <w:r w:rsidRPr="00FD3E41">
        <w:rPr>
          <w:rFonts w:ascii="Times New Roman" w:hAnsi="Times New Roman" w:cs="Times New Roman"/>
          <w:b/>
          <w:sz w:val="24"/>
          <w:szCs w:val="24"/>
        </w:rPr>
        <w:t xml:space="preserve">DCB: drug coated balloon, DES: drug eluting stent, LMS: left main stem, LAD: left anterior descending, </w:t>
      </w:r>
      <w:proofErr w:type="spellStart"/>
      <w:r w:rsidRPr="00FD3E41">
        <w:rPr>
          <w:rFonts w:ascii="Times New Roman" w:hAnsi="Times New Roman" w:cs="Times New Roman"/>
          <w:b/>
          <w:sz w:val="24"/>
          <w:szCs w:val="24"/>
        </w:rPr>
        <w:t>Cx</w:t>
      </w:r>
      <w:proofErr w:type="spellEnd"/>
      <w:r w:rsidRPr="00FD3E41">
        <w:rPr>
          <w:rFonts w:ascii="Times New Roman" w:hAnsi="Times New Roman" w:cs="Times New Roman"/>
          <w:b/>
          <w:sz w:val="24"/>
          <w:szCs w:val="24"/>
        </w:rPr>
        <w:t>: left circumflex, RCA: right coronary artery, TIMI: thrombolysis in myocardial infarction</w:t>
      </w:r>
      <w:r w:rsidR="00765A30">
        <w:rPr>
          <w:rFonts w:ascii="Times New Roman" w:hAnsi="Times New Roman" w:cs="Times New Roman"/>
          <w:b/>
          <w:sz w:val="24"/>
          <w:szCs w:val="24"/>
        </w:rPr>
        <w:t>,</w:t>
      </w:r>
      <w:r w:rsidRPr="00FD3E41">
        <w:rPr>
          <w:rFonts w:ascii="Times New Roman" w:hAnsi="Times New Roman" w:cs="Times New Roman"/>
          <w:b/>
          <w:sz w:val="24"/>
          <w:szCs w:val="24"/>
        </w:rPr>
        <w:t xml:space="preserve"> </w:t>
      </w:r>
      <w:r w:rsidR="00765A30">
        <w:rPr>
          <w:rFonts w:ascii="Times New Roman" w:hAnsi="Times New Roman" w:cs="Times New Roman"/>
          <w:b/>
          <w:sz w:val="24"/>
          <w:szCs w:val="24"/>
        </w:rPr>
        <w:t>bold characters indicate</w:t>
      </w:r>
      <w:r w:rsidRPr="00FD3E41">
        <w:rPr>
          <w:rFonts w:ascii="Times New Roman" w:hAnsi="Times New Roman" w:cs="Times New Roman"/>
          <w:b/>
          <w:sz w:val="24"/>
          <w:szCs w:val="24"/>
        </w:rPr>
        <w:t xml:space="preserve"> significant result</w:t>
      </w:r>
    </w:p>
    <w:p w14:paraId="0BAB05FF" w14:textId="77777777" w:rsidR="00FD3E41" w:rsidRPr="00B203F5" w:rsidRDefault="00FD3E41" w:rsidP="00B203F5">
      <w:pPr>
        <w:pStyle w:val="NoSpacing"/>
        <w:spacing w:line="480" w:lineRule="auto"/>
        <w:jc w:val="both"/>
        <w:rPr>
          <w:rFonts w:ascii="Times New Roman" w:hAnsi="Times New Roman" w:cs="Times New Roman"/>
          <w:b/>
          <w:sz w:val="24"/>
          <w:szCs w:val="24"/>
        </w:rPr>
      </w:pPr>
    </w:p>
    <w:p w14:paraId="450D347B" w14:textId="78B7BCCB" w:rsidR="00FD3E41" w:rsidRDefault="00FD3E41" w:rsidP="00FD3E41">
      <w:pPr>
        <w:pStyle w:val="NoSpacing"/>
        <w:spacing w:line="480" w:lineRule="auto"/>
        <w:jc w:val="both"/>
        <w:rPr>
          <w:rFonts w:ascii="Times New Roman" w:hAnsi="Times New Roman" w:cs="Times New Roman"/>
          <w:b/>
          <w:sz w:val="24"/>
          <w:szCs w:val="24"/>
        </w:rPr>
      </w:pPr>
      <w:bookmarkStart w:id="14" w:name="_Hlk118797247"/>
      <w:r w:rsidRPr="00FD3E41">
        <w:rPr>
          <w:rFonts w:ascii="Times New Roman" w:hAnsi="Times New Roman" w:cs="Times New Roman"/>
          <w:b/>
          <w:sz w:val="24"/>
          <w:szCs w:val="24"/>
        </w:rPr>
        <w:lastRenderedPageBreak/>
        <w:t>Table 3</w:t>
      </w:r>
      <w:r w:rsidR="00771730">
        <w:rPr>
          <w:rFonts w:ascii="Times New Roman" w:hAnsi="Times New Roman" w:cs="Times New Roman"/>
          <w:b/>
          <w:sz w:val="24"/>
          <w:szCs w:val="24"/>
        </w:rPr>
        <w:t>.</w:t>
      </w:r>
      <w:r w:rsidRPr="00FD3E41">
        <w:rPr>
          <w:rFonts w:ascii="Times New Roman" w:hAnsi="Times New Roman" w:cs="Times New Roman"/>
          <w:b/>
          <w:sz w:val="24"/>
          <w:szCs w:val="24"/>
        </w:rPr>
        <w:t xml:space="preserve"> Univariable Cox regression analysis</w:t>
      </w:r>
    </w:p>
    <w:tbl>
      <w:tblPr>
        <w:tblW w:w="7655" w:type="dxa"/>
        <w:tblBorders>
          <w:top w:val="single" w:sz="12" w:space="0" w:color="A8A8A8"/>
          <w:bottom w:val="single" w:sz="12" w:space="0" w:color="A8A8A8"/>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19"/>
        <w:gridCol w:w="992"/>
        <w:gridCol w:w="2268"/>
        <w:gridCol w:w="1276"/>
      </w:tblGrid>
      <w:tr w:rsidR="00390784" w:rsidRPr="009C6CA2" w14:paraId="46C588DE" w14:textId="77777777" w:rsidTr="00390784">
        <w:trPr>
          <w:tblHeader/>
        </w:trPr>
        <w:tc>
          <w:tcPr>
            <w:tcW w:w="3119" w:type="dxa"/>
            <w:tcBorders>
              <w:left w:val="nil"/>
              <w:right w:val="nil"/>
            </w:tcBorders>
            <w:shd w:val="clear" w:color="auto" w:fill="FFFFFF"/>
            <w:tcMar>
              <w:top w:w="75" w:type="dxa"/>
              <w:left w:w="75" w:type="dxa"/>
              <w:bottom w:w="90" w:type="dxa"/>
              <w:right w:w="75" w:type="dxa"/>
            </w:tcMar>
            <w:vAlign w:val="bottom"/>
            <w:hideMark/>
          </w:tcPr>
          <w:p w14:paraId="7A708D0C" w14:textId="77777777" w:rsidR="00390784" w:rsidRPr="009C6CA2" w:rsidRDefault="00390784" w:rsidP="00850812">
            <w:pPr>
              <w:spacing w:after="0" w:line="240" w:lineRule="auto"/>
              <w:rPr>
                <w:rFonts w:ascii="Segoe UI" w:eastAsia="Times New Roman" w:hAnsi="Segoe UI" w:cs="Segoe UI"/>
                <w:color w:val="333333"/>
                <w:sz w:val="20"/>
                <w:szCs w:val="20"/>
                <w:lang w:eastAsia="en-GB"/>
              </w:rPr>
            </w:pPr>
            <w:bookmarkStart w:id="15" w:name="_Hlk118797218"/>
            <w:bookmarkEnd w:id="14"/>
            <w:r w:rsidRPr="009C6CA2">
              <w:rPr>
                <w:rFonts w:ascii="Segoe UI" w:eastAsia="Times New Roman" w:hAnsi="Segoe UI" w:cs="Segoe UI"/>
                <w:b/>
                <w:bCs/>
                <w:color w:val="333333"/>
                <w:sz w:val="20"/>
                <w:szCs w:val="20"/>
                <w:lang w:eastAsia="en-GB"/>
              </w:rPr>
              <w:t>Mortality</w:t>
            </w:r>
            <w:r w:rsidRPr="009C6CA2">
              <w:rPr>
                <w:rFonts w:ascii="Segoe UI" w:eastAsia="Times New Roman" w:hAnsi="Segoe UI" w:cs="Segoe UI"/>
                <w:color w:val="333333"/>
                <w:sz w:val="20"/>
                <w:szCs w:val="20"/>
                <w:lang w:eastAsia="en-GB"/>
              </w:rPr>
              <w:t> (Univariate)</w:t>
            </w:r>
          </w:p>
        </w:tc>
        <w:tc>
          <w:tcPr>
            <w:tcW w:w="992" w:type="dxa"/>
            <w:tcBorders>
              <w:left w:val="nil"/>
              <w:right w:val="nil"/>
            </w:tcBorders>
            <w:shd w:val="clear" w:color="auto" w:fill="FFFFFF"/>
            <w:tcMar>
              <w:top w:w="75" w:type="dxa"/>
              <w:left w:w="75" w:type="dxa"/>
              <w:bottom w:w="90" w:type="dxa"/>
              <w:right w:w="75" w:type="dxa"/>
            </w:tcMar>
            <w:vAlign w:val="bottom"/>
            <w:hideMark/>
          </w:tcPr>
          <w:p w14:paraId="4AE011ED" w14:textId="77777777" w:rsidR="00390784" w:rsidRPr="009C6CA2" w:rsidRDefault="00390784" w:rsidP="00850812">
            <w:pPr>
              <w:spacing w:after="0" w:line="240" w:lineRule="auto"/>
              <w:jc w:val="center"/>
              <w:rPr>
                <w:rFonts w:ascii="Segoe UI" w:eastAsia="Times New Roman" w:hAnsi="Segoe UI" w:cs="Segoe UI"/>
                <w:color w:val="333333"/>
                <w:sz w:val="20"/>
                <w:szCs w:val="20"/>
                <w:lang w:eastAsia="en-GB"/>
              </w:rPr>
            </w:pPr>
            <w:r w:rsidRPr="009C6CA2">
              <w:rPr>
                <w:rFonts w:ascii="Segoe UI" w:eastAsia="Times New Roman" w:hAnsi="Segoe UI" w:cs="Segoe UI"/>
                <w:b/>
                <w:bCs/>
                <w:color w:val="333333"/>
                <w:sz w:val="20"/>
                <w:szCs w:val="20"/>
                <w:lang w:eastAsia="en-GB"/>
              </w:rPr>
              <w:t>N</w:t>
            </w:r>
          </w:p>
        </w:tc>
        <w:tc>
          <w:tcPr>
            <w:tcW w:w="2268" w:type="dxa"/>
            <w:tcBorders>
              <w:left w:val="nil"/>
              <w:right w:val="nil"/>
            </w:tcBorders>
            <w:shd w:val="clear" w:color="auto" w:fill="FFFFFF"/>
            <w:tcMar>
              <w:top w:w="75" w:type="dxa"/>
              <w:left w:w="75" w:type="dxa"/>
              <w:bottom w:w="90" w:type="dxa"/>
              <w:right w:w="75" w:type="dxa"/>
            </w:tcMar>
            <w:vAlign w:val="bottom"/>
            <w:hideMark/>
          </w:tcPr>
          <w:p w14:paraId="111C81A6" w14:textId="77777777" w:rsidR="00390784" w:rsidRPr="009C6CA2" w:rsidRDefault="00390784" w:rsidP="00850812">
            <w:pPr>
              <w:spacing w:after="0" w:line="240" w:lineRule="auto"/>
              <w:jc w:val="center"/>
              <w:rPr>
                <w:rFonts w:ascii="Segoe UI" w:eastAsia="Times New Roman" w:hAnsi="Segoe UI" w:cs="Segoe UI"/>
                <w:color w:val="333333"/>
                <w:sz w:val="20"/>
                <w:szCs w:val="20"/>
                <w:lang w:eastAsia="en-GB"/>
              </w:rPr>
            </w:pPr>
            <w:r w:rsidRPr="009C6CA2">
              <w:rPr>
                <w:rFonts w:ascii="Segoe UI" w:eastAsia="Times New Roman" w:hAnsi="Segoe UI" w:cs="Segoe UI"/>
                <w:b/>
                <w:bCs/>
                <w:color w:val="333333"/>
                <w:sz w:val="20"/>
                <w:szCs w:val="20"/>
                <w:lang w:eastAsia="en-GB"/>
              </w:rPr>
              <w:t>HR</w:t>
            </w:r>
            <w:r w:rsidRPr="009C6CA2">
              <w:rPr>
                <w:rFonts w:ascii="Segoe UI" w:eastAsia="Times New Roman" w:hAnsi="Segoe UI" w:cs="Segoe UI"/>
                <w:color w:val="333333"/>
                <w:sz w:val="20"/>
                <w:szCs w:val="20"/>
                <w:lang w:eastAsia="en-GB"/>
              </w:rPr>
              <w:t> </w:t>
            </w:r>
            <w:r w:rsidRPr="009C6CA2">
              <w:rPr>
                <w:rFonts w:ascii="Segoe UI" w:eastAsia="Times New Roman" w:hAnsi="Segoe UI" w:cs="Segoe UI"/>
                <w:b/>
                <w:bCs/>
                <w:color w:val="333333"/>
                <w:sz w:val="20"/>
                <w:szCs w:val="20"/>
                <w:lang w:eastAsia="en-GB"/>
              </w:rPr>
              <w:t>(95% CI)</w:t>
            </w:r>
            <w:r w:rsidRPr="009C6CA2">
              <w:rPr>
                <w:rFonts w:ascii="Segoe UI" w:eastAsia="Times New Roman" w:hAnsi="Segoe UI" w:cs="Segoe UI"/>
                <w:i/>
                <w:iCs/>
                <w:color w:val="333333"/>
                <w:sz w:val="15"/>
                <w:szCs w:val="15"/>
                <w:vertAlign w:val="superscript"/>
                <w:lang w:eastAsia="en-GB"/>
              </w:rPr>
              <w:t>1</w:t>
            </w:r>
          </w:p>
        </w:tc>
        <w:tc>
          <w:tcPr>
            <w:tcW w:w="1276" w:type="dxa"/>
            <w:tcBorders>
              <w:left w:val="nil"/>
              <w:right w:val="nil"/>
            </w:tcBorders>
            <w:shd w:val="clear" w:color="auto" w:fill="FFFFFF"/>
            <w:tcMar>
              <w:top w:w="75" w:type="dxa"/>
              <w:left w:w="75" w:type="dxa"/>
              <w:bottom w:w="90" w:type="dxa"/>
              <w:right w:w="75" w:type="dxa"/>
            </w:tcMar>
            <w:vAlign w:val="bottom"/>
            <w:hideMark/>
          </w:tcPr>
          <w:p w14:paraId="0DA67AE6" w14:textId="77777777" w:rsidR="00390784" w:rsidRPr="009C6CA2" w:rsidRDefault="00390784" w:rsidP="00850812">
            <w:pPr>
              <w:spacing w:after="0" w:line="240" w:lineRule="auto"/>
              <w:jc w:val="center"/>
              <w:rPr>
                <w:rFonts w:ascii="Segoe UI" w:eastAsia="Times New Roman" w:hAnsi="Segoe UI" w:cs="Segoe UI"/>
                <w:color w:val="333333"/>
                <w:sz w:val="20"/>
                <w:szCs w:val="20"/>
                <w:lang w:eastAsia="en-GB"/>
              </w:rPr>
            </w:pPr>
            <w:r w:rsidRPr="009C6CA2">
              <w:rPr>
                <w:rFonts w:ascii="Segoe UI" w:eastAsia="Times New Roman" w:hAnsi="Segoe UI" w:cs="Segoe UI"/>
                <w:b/>
                <w:bCs/>
                <w:color w:val="333333"/>
                <w:sz w:val="20"/>
                <w:szCs w:val="20"/>
                <w:lang w:eastAsia="en-GB"/>
              </w:rPr>
              <w:t>p-value</w:t>
            </w:r>
          </w:p>
        </w:tc>
      </w:tr>
      <w:tr w:rsidR="00390784" w:rsidRPr="009C6CA2" w14:paraId="1C8FE0B5" w14:textId="77777777" w:rsidTr="00390784">
        <w:trPr>
          <w:trHeight w:val="665"/>
        </w:trPr>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3209926" w14:textId="6C0FC273"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DES</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49FFAE2"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8686CCA"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0.78 (0.53 to 1.13)</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9228687"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0.18</w:t>
            </w:r>
          </w:p>
        </w:tc>
      </w:tr>
      <w:tr w:rsidR="00390784" w:rsidRPr="009C6CA2" w14:paraId="48295CFF"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6AC364D"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Age</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7AC0ACE"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E274AB8"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1.09 (1.07 to 1.11)</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46A2C12" w14:textId="77777777" w:rsidR="00390784" w:rsidRPr="009C6CA2" w:rsidRDefault="00390784" w:rsidP="00850812">
            <w:pPr>
              <w:spacing w:before="150" w:after="150" w:line="240" w:lineRule="auto"/>
              <w:ind w:left="150" w:right="150"/>
              <w:jc w:val="center"/>
              <w:rPr>
                <w:rFonts w:ascii="Segoe UI" w:eastAsia="Times New Roman" w:hAnsi="Segoe UI" w:cs="Segoe UI"/>
                <w:b/>
                <w:bCs/>
                <w:color w:val="333333"/>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1C27F3C3"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5E16DC9"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Female</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643DBF57"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FE2483E"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1.29 (0.87 to 1.93)</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6FA51FC"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0.21</w:t>
            </w:r>
          </w:p>
        </w:tc>
      </w:tr>
      <w:tr w:rsidR="00390784" w:rsidRPr="009C6CA2" w14:paraId="1FB558FD"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3BF30B1"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Hypercholesterolaemia</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8BBE0A0"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AA52A4C"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0.75 (0.43 to 1.32)</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D548D16"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color w:val="333333"/>
                <w:sz w:val="20"/>
                <w:szCs w:val="20"/>
                <w:lang w:eastAsia="en-GB"/>
              </w:rPr>
              <w:t>0.32</w:t>
            </w:r>
          </w:p>
        </w:tc>
      </w:tr>
      <w:tr w:rsidR="00390784" w:rsidRPr="009C6CA2" w14:paraId="648C893C"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B23AD24"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Hypertension</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2B5FFA3"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B1D0DF2"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1.50 (1.03 to 2.18)</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4ACCEF6"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0.033</w:t>
            </w:r>
          </w:p>
        </w:tc>
      </w:tr>
      <w:tr w:rsidR="00390784" w:rsidRPr="009C6CA2" w14:paraId="1D07C108"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E79A2C7"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Peripheral vascular disease</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B66A049"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B1FCAE3"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5.84 (2.56 to 13.3)</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DB7536A"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21291740"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D851A3C"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Stroke</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64C50D5"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8C5B779"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3.98 (2.01 to 7.88)</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41C6A5C"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3BA7C887"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06DC532"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P</w:t>
            </w:r>
            <w:r>
              <w:rPr>
                <w:rFonts w:ascii="Segoe UI" w:eastAsia="Times New Roman" w:hAnsi="Segoe UI" w:cs="Segoe UI"/>
                <w:color w:val="333333"/>
                <w:sz w:val="20"/>
                <w:szCs w:val="20"/>
                <w:lang w:eastAsia="en-GB"/>
              </w:rPr>
              <w:t>revious Myocardial infarction</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E32EBED"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291B7FF"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2.49 (1.42 to 4.36)</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B4C5D64"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0.001</w:t>
            </w:r>
          </w:p>
        </w:tc>
      </w:tr>
      <w:tr w:rsidR="00390784" w:rsidRPr="009C6CA2" w14:paraId="6DC8FF89"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EC4BEFB"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PCI</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CDF7827"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4114942"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1.40 (0.65 to 3.01)</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63441B2"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color w:val="333333"/>
                <w:sz w:val="20"/>
                <w:szCs w:val="20"/>
                <w:lang w:eastAsia="en-GB"/>
              </w:rPr>
              <w:t>0.39</w:t>
            </w:r>
          </w:p>
        </w:tc>
      </w:tr>
      <w:tr w:rsidR="00390784" w:rsidRPr="009C6CA2" w14:paraId="602DBCBE"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3001B9C"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CABG</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6301ECA"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F1A1389"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4.95 (2.02 to 12.1)</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666C34AD"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4CE13665"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5AEB471"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Heart failure</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A4D30B6"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6E5291E7"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31.6 (11.4 to 87.4)</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0B43850"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1B67D2CF"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6F098BB"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Atrial fibrillation</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7202830"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7B25C6D"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2.46 (1.48 to 4.08)</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090BB22"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27C9A739"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90EFF4D"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F</w:t>
            </w:r>
            <w:r>
              <w:rPr>
                <w:rFonts w:ascii="Segoe UI" w:eastAsia="Times New Roman" w:hAnsi="Segoe UI" w:cs="Segoe UI"/>
                <w:color w:val="333333"/>
                <w:sz w:val="20"/>
                <w:szCs w:val="20"/>
                <w:lang w:eastAsia="en-GB"/>
              </w:rPr>
              <w:t>amily history</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F651E57"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549C2B3"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0.37 (0.15 to 0.90)</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9BF37BA"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0.029</w:t>
            </w:r>
          </w:p>
        </w:tc>
      </w:tr>
      <w:tr w:rsidR="00390784" w:rsidRPr="009C6CA2" w14:paraId="43EB8092"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E210893"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COPD</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452EB8F"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C23A60B"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3.57 (2.13 to 5.98)</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EA5A659"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29B870BF"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CB02B85"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Diabetes</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D8255EC"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C2718F3"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2.13 (1.38 to 3.31)</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2F4F06E"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0588EF15"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3CA1F7D"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Current / ex-smoker</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C26B88F"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1,090</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482F7A1"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0.98 (0.66 to 1.45)</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F629F5F"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color w:val="333333"/>
                <w:sz w:val="20"/>
                <w:szCs w:val="20"/>
                <w:lang w:eastAsia="en-GB"/>
              </w:rPr>
              <w:t>0.90</w:t>
            </w:r>
          </w:p>
        </w:tc>
      </w:tr>
      <w:tr w:rsidR="00390784" w:rsidRPr="009C6CA2" w14:paraId="1C4FE790"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148BDEF"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e</w:t>
            </w:r>
            <w:r w:rsidRPr="009C6CA2">
              <w:rPr>
                <w:rFonts w:ascii="Segoe UI" w:eastAsia="Times New Roman" w:hAnsi="Segoe UI" w:cs="Segoe UI"/>
                <w:color w:val="333333"/>
                <w:sz w:val="20"/>
                <w:szCs w:val="20"/>
                <w:lang w:eastAsia="en-GB"/>
              </w:rPr>
              <w:t>GFR</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EAB7AB4"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1,138</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638F0F0D"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0.97 (0.96 to 0.98)</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2414064" w14:textId="77777777" w:rsidR="00390784" w:rsidRPr="009C6CA2" w:rsidRDefault="00390784" w:rsidP="00850812">
            <w:pPr>
              <w:spacing w:before="150" w:after="150" w:line="240" w:lineRule="auto"/>
              <w:ind w:left="150" w:right="150"/>
              <w:jc w:val="center"/>
              <w:rPr>
                <w:rFonts w:ascii="Segoe UI" w:eastAsia="Times New Roman" w:hAnsi="Segoe UI" w:cs="Segoe UI"/>
                <w:b/>
                <w:bCs/>
                <w:color w:val="333333"/>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6C0FAD41"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tcPr>
          <w:p w14:paraId="407351BC" w14:textId="77777777" w:rsidR="00390784" w:rsidRDefault="00390784" w:rsidP="00850812">
            <w:pPr>
              <w:spacing w:before="150" w:after="150" w:line="240" w:lineRule="auto"/>
              <w:ind w:left="150" w:right="150"/>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Frailty</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tcPr>
          <w:p w14:paraId="231382A6"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tcPr>
          <w:p w14:paraId="3E87DC9E"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1.24 (1.18 to 1.30)</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tcPr>
          <w:p w14:paraId="7D2769B8" w14:textId="77777777" w:rsidR="00390784" w:rsidRPr="009C6CA2" w:rsidRDefault="00390784" w:rsidP="00850812">
            <w:pPr>
              <w:spacing w:before="150" w:after="150" w:line="240" w:lineRule="auto"/>
              <w:ind w:left="150" w:right="150"/>
              <w:jc w:val="center"/>
              <w:rPr>
                <w:rFonts w:ascii="Segoe UI" w:eastAsia="Times New Roman" w:hAnsi="Segoe UI" w:cs="Segoe UI"/>
                <w:b/>
                <w:bCs/>
                <w:color w:val="333333"/>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67A1AD28"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tcPr>
          <w:p w14:paraId="307688BB"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Acuity</w:t>
            </w:r>
            <w:r>
              <w:rPr>
                <w:rFonts w:ascii="Segoe UI" w:eastAsia="Times New Roman" w:hAnsi="Segoe UI" w:cs="Segoe UI"/>
                <w:color w:val="333333"/>
                <w:sz w:val="20"/>
                <w:szCs w:val="20"/>
                <w:lang w:eastAsia="en-GB"/>
              </w:rPr>
              <w:t xml:space="preserve"> score</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tcPr>
          <w:p w14:paraId="4E6839FC"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1,102</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tcPr>
          <w:p w14:paraId="0F856067"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1.12 (1.09 to 1.15)</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tcPr>
          <w:p w14:paraId="0ACFF975" w14:textId="77777777" w:rsidR="00390784" w:rsidRPr="009C6CA2" w:rsidRDefault="00390784" w:rsidP="00850812">
            <w:pPr>
              <w:spacing w:before="150" w:after="150" w:line="240" w:lineRule="auto"/>
              <w:ind w:left="150" w:right="150"/>
              <w:jc w:val="center"/>
              <w:rPr>
                <w:rFonts w:ascii="Segoe UI" w:eastAsia="Times New Roman" w:hAnsi="Segoe UI" w:cs="Segoe UI"/>
                <w:b/>
                <w:bCs/>
                <w:color w:val="333333"/>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253FCD26"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07CC574"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LMS</w:t>
            </w:r>
            <w:r>
              <w:rPr>
                <w:rFonts w:ascii="Segoe UI" w:eastAsia="Times New Roman" w:hAnsi="Segoe UI" w:cs="Segoe UI"/>
                <w:color w:val="333333"/>
                <w:sz w:val="20"/>
                <w:szCs w:val="20"/>
                <w:lang w:eastAsia="en-GB"/>
              </w:rPr>
              <w:t xml:space="preserve"> treated</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DAFB887"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946CE2A"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8.88 (3.62 to 21.8)</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C5FE0CD"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0BC0677A"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BADF8E2"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lastRenderedPageBreak/>
              <w:t>Multivessel</w:t>
            </w:r>
            <w:r>
              <w:rPr>
                <w:rFonts w:ascii="Segoe UI" w:eastAsia="Times New Roman" w:hAnsi="Segoe UI" w:cs="Segoe UI"/>
                <w:color w:val="333333"/>
                <w:sz w:val="20"/>
                <w:szCs w:val="20"/>
                <w:lang w:eastAsia="en-GB"/>
              </w:rPr>
              <w:t xml:space="preserve"> PCI</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C31B3EA"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9D01298"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1.00 (0.37 to 2.73)</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E660AFD"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color w:val="333333"/>
                <w:sz w:val="20"/>
                <w:szCs w:val="20"/>
                <w:lang w:eastAsia="en-GB"/>
              </w:rPr>
              <w:t>&gt;0.99</w:t>
            </w:r>
          </w:p>
        </w:tc>
      </w:tr>
      <w:tr w:rsidR="00390784" w:rsidRPr="009C6CA2" w14:paraId="72E32A9A"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6F4E6572"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Vessel diameter</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D96B41C"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1,133</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9886D04"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0.93 (0.68 to 1.27)</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1CAF9EF"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0.64</w:t>
            </w:r>
          </w:p>
        </w:tc>
      </w:tr>
      <w:tr w:rsidR="00390784" w:rsidRPr="009C6CA2" w14:paraId="7EBF45CD"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FE63B8D"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Lesion length</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E874F64"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1,133</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7FD6785"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1.01 (0.99 to 1.02)</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F79625C"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0.38</w:t>
            </w:r>
          </w:p>
        </w:tc>
      </w:tr>
      <w:tr w:rsidR="00390784" w:rsidRPr="009C6CA2" w14:paraId="0978AB5F"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AE5B646"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Vessel</w:t>
            </w:r>
            <w:r>
              <w:rPr>
                <w:rFonts w:ascii="Segoe UI" w:eastAsia="Times New Roman" w:hAnsi="Segoe UI" w:cs="Segoe UI"/>
                <w:color w:val="333333"/>
                <w:sz w:val="20"/>
                <w:szCs w:val="20"/>
                <w:lang w:eastAsia="en-GB"/>
              </w:rPr>
              <w:t xml:space="preserve"> ≥3mm</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98E4504"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1,133</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1FA7D06"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0.85 (0.52 to 1.39)</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19B2F77"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color w:val="333333"/>
                <w:sz w:val="20"/>
                <w:szCs w:val="20"/>
                <w:lang w:eastAsia="en-GB"/>
              </w:rPr>
              <w:t>0.52</w:t>
            </w:r>
          </w:p>
        </w:tc>
      </w:tr>
      <w:tr w:rsidR="00390784" w:rsidRPr="009C6CA2" w14:paraId="766C7ACC"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5530565"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TIMI flow post-PCI</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D02E224"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42AA28AA"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0.91 (0.13 to 6.55)</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4E6D455"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color w:val="333333"/>
                <w:sz w:val="20"/>
                <w:szCs w:val="20"/>
                <w:lang w:eastAsia="en-GB"/>
              </w:rPr>
              <w:t>0.93</w:t>
            </w:r>
          </w:p>
        </w:tc>
      </w:tr>
      <w:tr w:rsidR="00390784" w:rsidRPr="009C6CA2" w14:paraId="286AFB35"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AAFCD9C"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Pr>
                <w:rFonts w:ascii="Segoe UI" w:eastAsia="Times New Roman" w:hAnsi="Segoe UI" w:cs="Segoe UI"/>
                <w:color w:val="333333"/>
                <w:sz w:val="20"/>
                <w:szCs w:val="20"/>
                <w:lang w:eastAsia="en-GB"/>
              </w:rPr>
              <w:t>Bifurcation</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56FA9ED"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7D68AD1"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1.39 (0.95 to 2.03)</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6C9843B9"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color w:val="333333"/>
                <w:sz w:val="20"/>
                <w:szCs w:val="20"/>
                <w:lang w:eastAsia="en-GB"/>
              </w:rPr>
              <w:t>0.088</w:t>
            </w:r>
          </w:p>
        </w:tc>
      </w:tr>
      <w:tr w:rsidR="00390784" w:rsidRPr="009C6CA2" w14:paraId="2FD95731"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2B33E26B"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True</w:t>
            </w:r>
            <w:r>
              <w:rPr>
                <w:rFonts w:ascii="Segoe UI" w:eastAsia="Times New Roman" w:hAnsi="Segoe UI" w:cs="Segoe UI"/>
                <w:color w:val="333333"/>
                <w:sz w:val="20"/>
                <w:szCs w:val="20"/>
                <w:lang w:eastAsia="en-GB"/>
              </w:rPr>
              <w:t xml:space="preserve"> bifurcation</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081E543"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1,139</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1244EC45"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2.69 (1.64 to 4.42)</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928DDFE"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7BF7AD5B" w14:textId="77777777" w:rsidTr="00390784">
        <w:tc>
          <w:tcPr>
            <w:tcW w:w="3119"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3FF2C30D" w14:textId="77777777" w:rsidR="00390784" w:rsidRPr="009C6CA2" w:rsidRDefault="00390784" w:rsidP="00850812">
            <w:pPr>
              <w:spacing w:before="150" w:after="150" w:line="240" w:lineRule="auto"/>
              <w:ind w:left="150" w:right="150"/>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Heavy</w:t>
            </w:r>
            <w:r>
              <w:rPr>
                <w:rFonts w:ascii="Segoe UI" w:eastAsia="Times New Roman" w:hAnsi="Segoe UI" w:cs="Segoe UI"/>
                <w:color w:val="333333"/>
                <w:sz w:val="20"/>
                <w:szCs w:val="20"/>
                <w:lang w:eastAsia="en-GB"/>
              </w:rPr>
              <w:t xml:space="preserve"> calcification</w:t>
            </w:r>
          </w:p>
        </w:tc>
        <w:tc>
          <w:tcPr>
            <w:tcW w:w="992"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5F3191CD"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1,135</w:t>
            </w:r>
          </w:p>
        </w:tc>
        <w:tc>
          <w:tcPr>
            <w:tcW w:w="2268"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0BB35BA3" w14:textId="77777777" w:rsidR="00390784" w:rsidRPr="009C6CA2" w:rsidRDefault="00390784" w:rsidP="00850812">
            <w:pPr>
              <w:spacing w:before="150" w:after="150" w:line="240" w:lineRule="auto"/>
              <w:ind w:left="150" w:right="150"/>
              <w:jc w:val="center"/>
              <w:rPr>
                <w:rFonts w:ascii="Segoe UI" w:eastAsia="Times New Roman" w:hAnsi="Segoe UI" w:cs="Segoe UI"/>
                <w:color w:val="333333"/>
                <w:sz w:val="20"/>
                <w:szCs w:val="20"/>
                <w:lang w:eastAsia="en-GB"/>
              </w:rPr>
            </w:pPr>
            <w:r w:rsidRPr="009C6CA2">
              <w:rPr>
                <w:rFonts w:ascii="Segoe UI" w:eastAsia="Times New Roman" w:hAnsi="Segoe UI" w:cs="Segoe UI"/>
                <w:color w:val="333333"/>
                <w:sz w:val="20"/>
                <w:szCs w:val="20"/>
                <w:lang w:eastAsia="en-GB"/>
              </w:rPr>
              <w:t>2.50 (1.66 to 3.78)</w:t>
            </w:r>
          </w:p>
        </w:tc>
        <w:tc>
          <w:tcPr>
            <w:tcW w:w="1276" w:type="dxa"/>
            <w:tcBorders>
              <w:top w:val="single" w:sz="6" w:space="0" w:color="D3D3D3"/>
              <w:left w:val="nil"/>
              <w:right w:val="nil"/>
            </w:tcBorders>
            <w:shd w:val="clear" w:color="auto" w:fill="FFFFFF"/>
            <w:tcMar>
              <w:top w:w="15" w:type="dxa"/>
              <w:left w:w="75" w:type="dxa"/>
              <w:bottom w:w="15" w:type="dxa"/>
              <w:right w:w="75" w:type="dxa"/>
            </w:tcMar>
            <w:vAlign w:val="center"/>
            <w:hideMark/>
          </w:tcPr>
          <w:p w14:paraId="7ACF40D9" w14:textId="77777777" w:rsidR="00390784" w:rsidRPr="009C6CA2" w:rsidRDefault="00390784" w:rsidP="00850812">
            <w:pPr>
              <w:spacing w:before="150" w:after="150" w:line="240" w:lineRule="auto"/>
              <w:ind w:left="150" w:right="150"/>
              <w:jc w:val="center"/>
              <w:rPr>
                <w:rFonts w:ascii="Times New Roman" w:eastAsia="Times New Roman" w:hAnsi="Times New Roman" w:cs="Times New Roman"/>
                <w:sz w:val="20"/>
                <w:szCs w:val="20"/>
                <w:lang w:eastAsia="en-GB"/>
              </w:rPr>
            </w:pPr>
            <w:r w:rsidRPr="009C6CA2">
              <w:rPr>
                <w:rFonts w:ascii="Segoe UI" w:eastAsia="Times New Roman" w:hAnsi="Segoe UI" w:cs="Segoe UI"/>
                <w:b/>
                <w:bCs/>
                <w:color w:val="333333"/>
                <w:sz w:val="20"/>
                <w:szCs w:val="20"/>
                <w:lang w:eastAsia="en-GB"/>
              </w:rPr>
              <w:t>&lt;0.001</w:t>
            </w:r>
          </w:p>
        </w:tc>
      </w:tr>
      <w:tr w:rsidR="00390784" w:rsidRPr="009C6CA2" w14:paraId="27A51070" w14:textId="77777777" w:rsidTr="00390784">
        <w:tc>
          <w:tcPr>
            <w:tcW w:w="7655" w:type="dxa"/>
            <w:gridSpan w:val="4"/>
            <w:shd w:val="clear" w:color="auto" w:fill="FFFFFF"/>
            <w:tcMar>
              <w:top w:w="15" w:type="dxa"/>
              <w:left w:w="75" w:type="dxa"/>
              <w:bottom w:w="15" w:type="dxa"/>
              <w:right w:w="75" w:type="dxa"/>
            </w:tcMar>
            <w:vAlign w:val="center"/>
            <w:hideMark/>
          </w:tcPr>
          <w:p w14:paraId="67C264E2" w14:textId="77777777" w:rsidR="00390784" w:rsidRPr="009C6CA2" w:rsidRDefault="00390784" w:rsidP="00850812">
            <w:pPr>
              <w:spacing w:after="0" w:line="240" w:lineRule="auto"/>
              <w:rPr>
                <w:rFonts w:ascii="Segoe UI" w:eastAsia="Times New Roman" w:hAnsi="Segoe UI" w:cs="Segoe UI"/>
                <w:color w:val="333333"/>
                <w:sz w:val="18"/>
                <w:szCs w:val="18"/>
                <w:lang w:eastAsia="en-GB"/>
              </w:rPr>
            </w:pPr>
            <w:r w:rsidRPr="009C6CA2">
              <w:rPr>
                <w:rFonts w:ascii="Segoe UI" w:eastAsia="Times New Roman" w:hAnsi="Segoe UI" w:cs="Segoe UI"/>
                <w:i/>
                <w:iCs/>
                <w:color w:val="333333"/>
                <w:sz w:val="13"/>
                <w:szCs w:val="13"/>
                <w:vertAlign w:val="superscript"/>
                <w:lang w:eastAsia="en-GB"/>
              </w:rPr>
              <w:t>1</w:t>
            </w:r>
            <w:r w:rsidRPr="009C6CA2">
              <w:rPr>
                <w:rFonts w:ascii="Segoe UI" w:eastAsia="Times New Roman" w:hAnsi="Segoe UI" w:cs="Segoe UI"/>
                <w:color w:val="333333"/>
                <w:sz w:val="18"/>
                <w:szCs w:val="18"/>
                <w:lang w:eastAsia="en-GB"/>
              </w:rPr>
              <w:t> HR = Hazard Ratio, CI = Confidence Interval</w:t>
            </w:r>
          </w:p>
        </w:tc>
      </w:tr>
    </w:tbl>
    <w:bookmarkEnd w:id="15"/>
    <w:p w14:paraId="3F7328DF" w14:textId="421A4103" w:rsidR="00FD3E41" w:rsidRPr="00FD3E41" w:rsidRDefault="00FD3E41" w:rsidP="00FD3E41">
      <w:pPr>
        <w:pStyle w:val="NoSpacing"/>
        <w:spacing w:line="480" w:lineRule="auto"/>
        <w:jc w:val="both"/>
        <w:rPr>
          <w:rFonts w:ascii="Times New Roman" w:hAnsi="Times New Roman" w:cs="Times New Roman"/>
          <w:b/>
          <w:sz w:val="24"/>
          <w:szCs w:val="24"/>
        </w:rPr>
      </w:pPr>
      <w:r w:rsidRPr="00FD3E41">
        <w:rPr>
          <w:rFonts w:ascii="Times New Roman" w:hAnsi="Times New Roman" w:cs="Times New Roman"/>
          <w:b/>
          <w:sz w:val="24"/>
          <w:szCs w:val="24"/>
        </w:rPr>
        <w:t>Table 3</w:t>
      </w:r>
      <w:r w:rsidR="00771730">
        <w:rPr>
          <w:rFonts w:ascii="Times New Roman" w:hAnsi="Times New Roman" w:cs="Times New Roman"/>
          <w:b/>
          <w:sz w:val="24"/>
          <w:szCs w:val="24"/>
        </w:rPr>
        <w:t>.</w:t>
      </w:r>
      <w:r w:rsidRPr="00FD3E41">
        <w:rPr>
          <w:rFonts w:ascii="Times New Roman" w:hAnsi="Times New Roman" w:cs="Times New Roman"/>
          <w:b/>
          <w:sz w:val="24"/>
          <w:szCs w:val="24"/>
        </w:rPr>
        <w:t xml:space="preserve"> Results of univariable Cox regression analysis for all-cause mortality.</w:t>
      </w:r>
    </w:p>
    <w:p w14:paraId="3FF3CD13" w14:textId="754088CB" w:rsidR="00FD3E41" w:rsidRDefault="00FD3E41" w:rsidP="00FD3E41">
      <w:pPr>
        <w:pStyle w:val="NoSpacing"/>
        <w:spacing w:line="480" w:lineRule="auto"/>
        <w:jc w:val="both"/>
        <w:rPr>
          <w:rFonts w:ascii="Times New Roman" w:hAnsi="Times New Roman" w:cs="Times New Roman"/>
          <w:b/>
          <w:sz w:val="24"/>
          <w:szCs w:val="24"/>
        </w:rPr>
      </w:pPr>
      <w:r w:rsidRPr="00FD3E41">
        <w:rPr>
          <w:rFonts w:ascii="Times New Roman" w:hAnsi="Times New Roman" w:cs="Times New Roman"/>
          <w:b/>
          <w:sz w:val="24"/>
          <w:szCs w:val="24"/>
        </w:rPr>
        <w:t xml:space="preserve">PCI: percutaneous coronary intervention, CABG: coronary artery bypass graft, COPD: chronic obstructive pulmonary disease, eGFR: estimated glomerular filtration rate, TIMI: thrombolysis in myocardial infarction. </w:t>
      </w:r>
      <w:r w:rsidR="00390784">
        <w:rPr>
          <w:rFonts w:ascii="Times New Roman" w:hAnsi="Times New Roman" w:cs="Times New Roman"/>
          <w:b/>
          <w:sz w:val="24"/>
          <w:szCs w:val="24"/>
        </w:rPr>
        <w:t>Bold characters</w:t>
      </w:r>
      <w:r w:rsidRPr="00FD3E41">
        <w:rPr>
          <w:rFonts w:ascii="Times New Roman" w:hAnsi="Times New Roman" w:cs="Times New Roman"/>
          <w:b/>
          <w:sz w:val="24"/>
          <w:szCs w:val="24"/>
        </w:rPr>
        <w:t xml:space="preserve"> significant result</w:t>
      </w:r>
    </w:p>
    <w:p w14:paraId="4D348525" w14:textId="72E4A7E4" w:rsidR="008375F0" w:rsidRDefault="008375F0" w:rsidP="00FD3E41">
      <w:pPr>
        <w:pStyle w:val="NoSpacing"/>
        <w:spacing w:line="480" w:lineRule="auto"/>
        <w:jc w:val="both"/>
        <w:rPr>
          <w:rFonts w:ascii="Times New Roman" w:hAnsi="Times New Roman" w:cs="Times New Roman"/>
          <w:b/>
          <w:sz w:val="24"/>
          <w:szCs w:val="24"/>
        </w:rPr>
      </w:pPr>
    </w:p>
    <w:p w14:paraId="4909D2A9" w14:textId="18E3688D" w:rsidR="008375F0" w:rsidRDefault="008375F0" w:rsidP="00FD3E41">
      <w:pPr>
        <w:pStyle w:val="NoSpacing"/>
        <w:spacing w:line="480" w:lineRule="auto"/>
        <w:jc w:val="both"/>
        <w:rPr>
          <w:rFonts w:ascii="Times New Roman" w:hAnsi="Times New Roman" w:cs="Times New Roman"/>
          <w:b/>
          <w:sz w:val="24"/>
          <w:szCs w:val="24"/>
        </w:rPr>
      </w:pPr>
    </w:p>
    <w:p w14:paraId="672EA3D1" w14:textId="77777777" w:rsidR="008375F0" w:rsidRPr="00FD3E41" w:rsidRDefault="008375F0" w:rsidP="00FD3E41">
      <w:pPr>
        <w:pStyle w:val="NoSpacing"/>
        <w:spacing w:line="480" w:lineRule="auto"/>
        <w:jc w:val="both"/>
        <w:rPr>
          <w:rFonts w:ascii="Times New Roman" w:hAnsi="Times New Roman" w:cs="Times New Roman"/>
          <w:b/>
          <w:sz w:val="24"/>
          <w:szCs w:val="24"/>
        </w:rPr>
      </w:pPr>
    </w:p>
    <w:p w14:paraId="455E1707" w14:textId="77777777" w:rsidR="00FD3E41" w:rsidRDefault="00FD3E41">
      <w:pPr>
        <w:rPr>
          <w:rFonts w:ascii="Times New Roman" w:hAnsi="Times New Roman" w:cs="Times New Roman"/>
          <w:b/>
          <w:sz w:val="24"/>
          <w:szCs w:val="24"/>
        </w:rPr>
      </w:pPr>
    </w:p>
    <w:p w14:paraId="18D61F5E" w14:textId="77777777" w:rsidR="00FD3E41" w:rsidRDefault="00FD3E41">
      <w:pPr>
        <w:rPr>
          <w:rFonts w:ascii="Times New Roman" w:hAnsi="Times New Roman" w:cs="Times New Roman"/>
          <w:b/>
          <w:sz w:val="24"/>
          <w:szCs w:val="24"/>
        </w:rPr>
      </w:pPr>
      <w:r>
        <w:rPr>
          <w:rFonts w:ascii="Times New Roman" w:hAnsi="Times New Roman" w:cs="Times New Roman"/>
          <w:b/>
          <w:sz w:val="24"/>
          <w:szCs w:val="24"/>
        </w:rPr>
        <w:br w:type="page"/>
      </w:r>
    </w:p>
    <w:p w14:paraId="697E18AF" w14:textId="24228FC8" w:rsidR="00FD3E41" w:rsidRDefault="00FD3E41" w:rsidP="00FD3E41">
      <w:pPr>
        <w:pStyle w:val="NoSpacing"/>
        <w:spacing w:line="480" w:lineRule="auto"/>
        <w:jc w:val="both"/>
        <w:rPr>
          <w:rFonts w:ascii="Times New Roman" w:hAnsi="Times New Roman" w:cs="Times New Roman"/>
          <w:b/>
          <w:sz w:val="24"/>
          <w:szCs w:val="24"/>
        </w:rPr>
      </w:pPr>
      <w:r w:rsidRPr="00FD3E41">
        <w:rPr>
          <w:rFonts w:ascii="Times New Roman" w:hAnsi="Times New Roman" w:cs="Times New Roman"/>
          <w:b/>
          <w:sz w:val="24"/>
          <w:szCs w:val="24"/>
        </w:rPr>
        <w:lastRenderedPageBreak/>
        <w:t>Table 4</w:t>
      </w:r>
      <w:r w:rsidR="00771730">
        <w:rPr>
          <w:rFonts w:ascii="Times New Roman" w:hAnsi="Times New Roman" w:cs="Times New Roman"/>
          <w:b/>
          <w:sz w:val="24"/>
          <w:szCs w:val="24"/>
        </w:rPr>
        <w:t>.</w:t>
      </w:r>
      <w:r w:rsidRPr="00FD3E41">
        <w:rPr>
          <w:rFonts w:ascii="Times New Roman" w:hAnsi="Times New Roman" w:cs="Times New Roman"/>
          <w:b/>
          <w:sz w:val="24"/>
          <w:szCs w:val="24"/>
        </w:rPr>
        <w:t xml:space="preserve"> Multivariable Cox regression analysis</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4112"/>
        <w:gridCol w:w="925"/>
        <w:gridCol w:w="2021"/>
        <w:gridCol w:w="1106"/>
      </w:tblGrid>
      <w:tr w:rsidR="0081518A" w:rsidRPr="0081518A" w14:paraId="53DD8AE4" w14:textId="77777777" w:rsidTr="0081518A">
        <w:trPr>
          <w:tblHeader/>
        </w:trPr>
        <w:tc>
          <w:tcPr>
            <w:tcW w:w="0" w:type="auto"/>
            <w:tcBorders>
              <w:left w:val="nil"/>
              <w:right w:val="nil"/>
            </w:tcBorders>
            <w:shd w:val="clear" w:color="auto" w:fill="FFFFFF"/>
            <w:tcMar>
              <w:top w:w="75" w:type="dxa"/>
              <w:left w:w="75" w:type="dxa"/>
              <w:bottom w:w="90" w:type="dxa"/>
              <w:right w:w="75" w:type="dxa"/>
            </w:tcMar>
            <w:vAlign w:val="bottom"/>
            <w:hideMark/>
          </w:tcPr>
          <w:p w14:paraId="1F87FF75" w14:textId="77777777" w:rsidR="0081518A" w:rsidRPr="0081518A" w:rsidRDefault="0081518A" w:rsidP="0081518A">
            <w:pPr>
              <w:spacing w:after="0" w:line="240" w:lineRule="auto"/>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All-Cause Mortality (Multivariate)</w:t>
            </w:r>
          </w:p>
        </w:tc>
        <w:tc>
          <w:tcPr>
            <w:tcW w:w="0" w:type="auto"/>
            <w:tcBorders>
              <w:left w:val="nil"/>
              <w:right w:val="nil"/>
            </w:tcBorders>
            <w:shd w:val="clear" w:color="auto" w:fill="FFFFFF"/>
            <w:tcMar>
              <w:top w:w="75" w:type="dxa"/>
              <w:left w:w="75" w:type="dxa"/>
              <w:bottom w:w="90" w:type="dxa"/>
              <w:right w:w="75" w:type="dxa"/>
            </w:tcMar>
            <w:vAlign w:val="bottom"/>
            <w:hideMark/>
          </w:tcPr>
          <w:p w14:paraId="3F5FE978" w14:textId="77777777" w:rsidR="0081518A" w:rsidRPr="0081518A" w:rsidRDefault="0081518A" w:rsidP="0081518A">
            <w:pPr>
              <w:spacing w:after="0" w:line="240" w:lineRule="auto"/>
              <w:jc w:val="center"/>
              <w:rPr>
                <w:rFonts w:ascii="Segoe UI" w:eastAsia="Times New Roman" w:hAnsi="Segoe UI" w:cs="Segoe UI"/>
                <w:color w:val="333333"/>
                <w:sz w:val="20"/>
                <w:szCs w:val="20"/>
                <w:lang w:eastAsia="en-GB"/>
              </w:rPr>
            </w:pPr>
            <w:r w:rsidRPr="0081518A">
              <w:rPr>
                <w:rFonts w:ascii="Segoe UI" w:eastAsia="Times New Roman" w:hAnsi="Segoe UI" w:cs="Segoe UI"/>
                <w:b/>
                <w:bCs/>
                <w:color w:val="333333"/>
                <w:sz w:val="20"/>
                <w:szCs w:val="20"/>
                <w:lang w:eastAsia="en-GB"/>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5D8C82C0" w14:textId="77777777" w:rsidR="0081518A" w:rsidRPr="0081518A" w:rsidRDefault="0081518A" w:rsidP="0081518A">
            <w:pPr>
              <w:spacing w:after="0" w:line="240" w:lineRule="auto"/>
              <w:jc w:val="center"/>
              <w:rPr>
                <w:rFonts w:ascii="Segoe UI" w:eastAsia="Times New Roman" w:hAnsi="Segoe UI" w:cs="Segoe UI"/>
                <w:color w:val="333333"/>
                <w:sz w:val="20"/>
                <w:szCs w:val="20"/>
                <w:lang w:eastAsia="en-GB"/>
              </w:rPr>
            </w:pPr>
            <w:r w:rsidRPr="0081518A">
              <w:rPr>
                <w:rFonts w:ascii="Segoe UI" w:eastAsia="Times New Roman" w:hAnsi="Segoe UI" w:cs="Segoe UI"/>
                <w:b/>
                <w:bCs/>
                <w:color w:val="333333"/>
                <w:sz w:val="20"/>
                <w:szCs w:val="20"/>
                <w:lang w:eastAsia="en-GB"/>
              </w:rPr>
              <w:t>HR</w:t>
            </w:r>
            <w:r w:rsidRPr="0081518A">
              <w:rPr>
                <w:rFonts w:ascii="Segoe UI" w:eastAsia="Times New Roman" w:hAnsi="Segoe UI" w:cs="Segoe UI"/>
                <w:color w:val="333333"/>
                <w:sz w:val="20"/>
                <w:szCs w:val="20"/>
                <w:lang w:eastAsia="en-GB"/>
              </w:rPr>
              <w:t> </w:t>
            </w:r>
            <w:r w:rsidRPr="0081518A">
              <w:rPr>
                <w:rFonts w:ascii="Segoe UI" w:eastAsia="Times New Roman" w:hAnsi="Segoe UI" w:cs="Segoe UI"/>
                <w:b/>
                <w:bCs/>
                <w:color w:val="333333"/>
                <w:sz w:val="20"/>
                <w:szCs w:val="20"/>
                <w:lang w:eastAsia="en-GB"/>
              </w:rPr>
              <w:t>(95% CI)</w:t>
            </w:r>
            <w:r w:rsidRPr="0081518A">
              <w:rPr>
                <w:rFonts w:ascii="Segoe UI" w:eastAsia="Times New Roman" w:hAnsi="Segoe UI" w:cs="Segoe UI"/>
                <w:i/>
                <w:iCs/>
                <w:color w:val="333333"/>
                <w:sz w:val="15"/>
                <w:szCs w:val="15"/>
                <w:vertAlign w:val="superscript"/>
                <w:lang w:eastAsia="en-GB"/>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7280D7A3" w14:textId="77777777" w:rsidR="0081518A" w:rsidRPr="0081518A" w:rsidRDefault="0081518A" w:rsidP="0081518A">
            <w:pPr>
              <w:spacing w:after="0" w:line="240" w:lineRule="auto"/>
              <w:jc w:val="center"/>
              <w:rPr>
                <w:rFonts w:ascii="Segoe UI" w:eastAsia="Times New Roman" w:hAnsi="Segoe UI" w:cs="Segoe UI"/>
                <w:color w:val="333333"/>
                <w:sz w:val="20"/>
                <w:szCs w:val="20"/>
                <w:lang w:eastAsia="en-GB"/>
              </w:rPr>
            </w:pPr>
            <w:r w:rsidRPr="0081518A">
              <w:rPr>
                <w:rFonts w:ascii="Segoe UI" w:eastAsia="Times New Roman" w:hAnsi="Segoe UI" w:cs="Segoe UI"/>
                <w:b/>
                <w:bCs/>
                <w:color w:val="333333"/>
                <w:sz w:val="20"/>
                <w:szCs w:val="20"/>
                <w:lang w:eastAsia="en-GB"/>
              </w:rPr>
              <w:t>p-value</w:t>
            </w:r>
          </w:p>
        </w:tc>
      </w:tr>
      <w:tr w:rsidR="0081518A" w:rsidRPr="0081518A" w14:paraId="471747E8" w14:textId="77777777" w:rsidTr="0081518A">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5261E46" w14:textId="77777777" w:rsidR="0081518A" w:rsidRPr="0081518A" w:rsidRDefault="0081518A" w:rsidP="0081518A">
            <w:pPr>
              <w:spacing w:before="150" w:after="150" w:line="240" w:lineRule="auto"/>
              <w:ind w:left="150" w:right="150"/>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DCB/DES [DES]</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2644E47" w14:textId="1EE5404F"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1,</w:t>
            </w:r>
            <w:r w:rsidR="006F15A4">
              <w:rPr>
                <w:rFonts w:ascii="Segoe UI" w:eastAsia="Times New Roman" w:hAnsi="Segoe UI" w:cs="Segoe UI"/>
                <w:color w:val="333333"/>
                <w:sz w:val="20"/>
                <w:szCs w:val="20"/>
                <w:lang w:eastAsia="en-GB"/>
              </w:rPr>
              <w:t>138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D1BD487" w14:textId="77777777"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0.90 (0.80 to 1.02)</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FB53DF8" w14:textId="77777777"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0.11</w:t>
            </w:r>
          </w:p>
        </w:tc>
      </w:tr>
      <w:tr w:rsidR="0081518A" w:rsidRPr="0081518A" w14:paraId="3C102896" w14:textId="77777777" w:rsidTr="0081518A">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32E6FF0" w14:textId="77777777" w:rsidR="0081518A" w:rsidRPr="0081518A" w:rsidRDefault="0081518A" w:rsidP="0081518A">
            <w:pPr>
              <w:spacing w:before="150" w:after="150" w:line="240" w:lineRule="auto"/>
              <w:ind w:left="150" w:right="150"/>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Age</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789302B" w14:textId="7CDD77DC"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1,</w:t>
            </w:r>
            <w:r w:rsidR="006F15A4">
              <w:rPr>
                <w:rFonts w:ascii="Segoe UI" w:eastAsia="Times New Roman" w:hAnsi="Segoe UI" w:cs="Segoe UI"/>
                <w:color w:val="333333"/>
                <w:sz w:val="20"/>
                <w:szCs w:val="20"/>
                <w:lang w:eastAsia="en-GB"/>
              </w:rPr>
              <w:t>138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5099D44" w14:textId="77777777"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1.01 (1.00 to 1.01)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CE303A8" w14:textId="77777777" w:rsidR="0081518A" w:rsidRPr="0081518A" w:rsidRDefault="0081518A" w:rsidP="0081518A">
            <w:pPr>
              <w:spacing w:before="150" w:after="150" w:line="240" w:lineRule="auto"/>
              <w:ind w:left="150" w:right="150"/>
              <w:jc w:val="center"/>
              <w:rPr>
                <w:rFonts w:ascii="Segoe UI" w:eastAsia="Times New Roman" w:hAnsi="Segoe UI" w:cs="Segoe UI"/>
                <w:b/>
                <w:bCs/>
                <w:color w:val="333333"/>
                <w:sz w:val="20"/>
                <w:szCs w:val="20"/>
                <w:lang w:eastAsia="en-GB"/>
              </w:rPr>
            </w:pPr>
            <w:r w:rsidRPr="0081518A">
              <w:rPr>
                <w:rFonts w:ascii="Segoe UI" w:eastAsia="Times New Roman" w:hAnsi="Segoe UI" w:cs="Segoe UI"/>
                <w:b/>
                <w:bCs/>
                <w:color w:val="333333"/>
                <w:sz w:val="20"/>
                <w:szCs w:val="20"/>
                <w:lang w:eastAsia="en-GB"/>
              </w:rPr>
              <w:t>0.020</w:t>
            </w:r>
          </w:p>
        </w:tc>
      </w:tr>
      <w:tr w:rsidR="0081518A" w:rsidRPr="0081518A" w14:paraId="2BE8C014" w14:textId="77777777" w:rsidTr="0081518A">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2F1D330" w14:textId="77777777" w:rsidR="0081518A" w:rsidRPr="0081518A" w:rsidRDefault="0081518A" w:rsidP="0081518A">
            <w:pPr>
              <w:spacing w:before="150" w:after="150" w:line="240" w:lineRule="auto"/>
              <w:ind w:left="150" w:right="150"/>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History of Cerebrovascular Events</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23FCA55" w14:textId="64D19868"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1,</w:t>
            </w:r>
            <w:r w:rsidR="006F15A4">
              <w:rPr>
                <w:rFonts w:ascii="Segoe UI" w:eastAsia="Times New Roman" w:hAnsi="Segoe UI" w:cs="Segoe UI"/>
                <w:color w:val="333333"/>
                <w:sz w:val="20"/>
                <w:szCs w:val="20"/>
                <w:lang w:eastAsia="en-GB"/>
              </w:rPr>
              <w:t>138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441D5F5" w14:textId="77777777"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1.36 (0.93 to 1.98)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CB9B885" w14:textId="77777777"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0.11</w:t>
            </w:r>
          </w:p>
        </w:tc>
      </w:tr>
      <w:tr w:rsidR="0081518A" w:rsidRPr="0081518A" w14:paraId="5D51C78C" w14:textId="77777777" w:rsidTr="0081518A">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B1D7930" w14:textId="77777777" w:rsidR="0081518A" w:rsidRPr="0081518A" w:rsidRDefault="0081518A" w:rsidP="0081518A">
            <w:pPr>
              <w:spacing w:before="150" w:after="150" w:line="240" w:lineRule="auto"/>
              <w:ind w:left="150" w:right="150"/>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History of Heart Failure</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4BEE993" w14:textId="44113B67"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1,</w:t>
            </w:r>
            <w:r w:rsidR="006F15A4">
              <w:rPr>
                <w:rFonts w:ascii="Segoe UI" w:eastAsia="Times New Roman" w:hAnsi="Segoe UI" w:cs="Segoe UI"/>
                <w:color w:val="333333"/>
                <w:sz w:val="20"/>
                <w:szCs w:val="20"/>
                <w:lang w:eastAsia="en-GB"/>
              </w:rPr>
              <w:t>138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B137CA7" w14:textId="77777777"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11.6 (4.29 to 31.5)</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5A1DABF" w14:textId="77777777" w:rsidR="0081518A" w:rsidRPr="0081518A" w:rsidRDefault="0081518A" w:rsidP="0081518A">
            <w:pPr>
              <w:spacing w:before="150" w:after="150" w:line="240" w:lineRule="auto"/>
              <w:ind w:left="150" w:right="150"/>
              <w:jc w:val="center"/>
              <w:rPr>
                <w:rFonts w:ascii="Segoe UI" w:eastAsia="Times New Roman" w:hAnsi="Segoe UI" w:cs="Segoe UI"/>
                <w:b/>
                <w:bCs/>
                <w:color w:val="333333"/>
                <w:sz w:val="20"/>
                <w:szCs w:val="20"/>
                <w:lang w:eastAsia="en-GB"/>
              </w:rPr>
            </w:pPr>
            <w:r w:rsidRPr="0081518A">
              <w:rPr>
                <w:rFonts w:ascii="Segoe UI" w:eastAsia="Times New Roman" w:hAnsi="Segoe UI" w:cs="Segoe UI"/>
                <w:b/>
                <w:bCs/>
                <w:color w:val="333333"/>
                <w:sz w:val="20"/>
                <w:szCs w:val="20"/>
                <w:lang w:eastAsia="en-GB"/>
              </w:rPr>
              <w:t>&lt;0.001</w:t>
            </w:r>
          </w:p>
        </w:tc>
      </w:tr>
      <w:tr w:rsidR="0081518A" w:rsidRPr="0081518A" w14:paraId="44C1B3B4" w14:textId="77777777" w:rsidTr="0081518A">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56130EF" w14:textId="77777777" w:rsidR="0081518A" w:rsidRPr="0081518A" w:rsidRDefault="0081518A" w:rsidP="0081518A">
            <w:pPr>
              <w:spacing w:before="150" w:after="150" w:line="240" w:lineRule="auto"/>
              <w:ind w:left="150" w:right="150"/>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Family History of Coronary Artery Disease</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C9F09F5" w14:textId="46D07509"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1,</w:t>
            </w:r>
            <w:r w:rsidR="006F15A4">
              <w:rPr>
                <w:rFonts w:ascii="Segoe UI" w:eastAsia="Times New Roman" w:hAnsi="Segoe UI" w:cs="Segoe UI"/>
                <w:color w:val="333333"/>
                <w:sz w:val="20"/>
                <w:szCs w:val="20"/>
                <w:lang w:eastAsia="en-GB"/>
              </w:rPr>
              <w:t>138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C4DBA46" w14:textId="77777777"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0.66 (0.53 to 0.80)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CEFC0BB" w14:textId="77777777" w:rsidR="0081518A" w:rsidRPr="0081518A" w:rsidRDefault="0081518A" w:rsidP="0081518A">
            <w:pPr>
              <w:spacing w:before="150" w:after="150" w:line="240" w:lineRule="auto"/>
              <w:ind w:left="150" w:right="150"/>
              <w:jc w:val="center"/>
              <w:rPr>
                <w:rFonts w:ascii="Segoe UI" w:eastAsia="Times New Roman" w:hAnsi="Segoe UI" w:cs="Segoe UI"/>
                <w:b/>
                <w:bCs/>
                <w:color w:val="333333"/>
                <w:sz w:val="20"/>
                <w:szCs w:val="20"/>
                <w:lang w:eastAsia="en-GB"/>
              </w:rPr>
            </w:pPr>
            <w:r w:rsidRPr="0081518A">
              <w:rPr>
                <w:rFonts w:ascii="Segoe UI" w:eastAsia="Times New Roman" w:hAnsi="Segoe UI" w:cs="Segoe UI"/>
                <w:b/>
                <w:bCs/>
                <w:color w:val="333333"/>
                <w:sz w:val="20"/>
                <w:szCs w:val="20"/>
                <w:lang w:eastAsia="en-GB"/>
              </w:rPr>
              <w:t>&lt;0.001</w:t>
            </w:r>
          </w:p>
        </w:tc>
      </w:tr>
      <w:tr w:rsidR="0081518A" w:rsidRPr="0081518A" w14:paraId="556B83A9" w14:textId="77777777" w:rsidTr="0081518A">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617DE46" w14:textId="6758642F" w:rsidR="0081518A" w:rsidRPr="0081518A" w:rsidRDefault="006F15A4" w:rsidP="0081518A">
            <w:pPr>
              <w:spacing w:before="150" w:after="150" w:line="240" w:lineRule="auto"/>
              <w:ind w:left="150" w:right="150"/>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E</w:t>
            </w:r>
            <w:r>
              <w:rPr>
                <w:rFonts w:ascii="Segoe UI" w:eastAsia="Times New Roman" w:hAnsi="Segoe UI" w:cs="Segoe UI"/>
                <w:color w:val="333333"/>
                <w:sz w:val="20"/>
                <w:szCs w:val="20"/>
                <w:lang w:eastAsia="en-GB"/>
              </w:rPr>
              <w:t>stimated glomerular filtration rate</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CB7141F" w14:textId="3F34FCB5"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1,</w:t>
            </w:r>
            <w:r w:rsidR="006F15A4">
              <w:rPr>
                <w:rFonts w:ascii="Segoe UI" w:eastAsia="Times New Roman" w:hAnsi="Segoe UI" w:cs="Segoe UI"/>
                <w:color w:val="333333"/>
                <w:sz w:val="20"/>
                <w:szCs w:val="20"/>
                <w:lang w:eastAsia="en-GB"/>
              </w:rPr>
              <w:t>138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68BCA4B" w14:textId="77777777"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1.00 (1.00 to 1.00)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BDC81C6" w14:textId="77777777"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0.13</w:t>
            </w:r>
          </w:p>
        </w:tc>
      </w:tr>
      <w:tr w:rsidR="0081518A" w:rsidRPr="0081518A" w14:paraId="29D37C0D" w14:textId="77777777" w:rsidTr="0081518A">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8A6D89E" w14:textId="77777777" w:rsidR="0081518A" w:rsidRPr="0081518A" w:rsidRDefault="0081518A" w:rsidP="0081518A">
            <w:pPr>
              <w:spacing w:before="150" w:after="150" w:line="240" w:lineRule="auto"/>
              <w:ind w:left="150" w:right="150"/>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Frailty Score</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3D0E04B" w14:textId="1E3577A0"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1,</w:t>
            </w:r>
            <w:r w:rsidR="006F15A4">
              <w:rPr>
                <w:rFonts w:ascii="Segoe UI" w:eastAsia="Times New Roman" w:hAnsi="Segoe UI" w:cs="Segoe UI"/>
                <w:color w:val="333333"/>
                <w:sz w:val="20"/>
                <w:szCs w:val="20"/>
                <w:lang w:eastAsia="en-GB"/>
              </w:rPr>
              <w:t>138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F396E3F" w14:textId="77777777" w:rsidR="0081518A" w:rsidRPr="0081518A" w:rsidRDefault="0081518A" w:rsidP="0081518A">
            <w:pPr>
              <w:spacing w:before="150" w:after="150" w:line="240" w:lineRule="auto"/>
              <w:ind w:left="150" w:right="150"/>
              <w:jc w:val="center"/>
              <w:rPr>
                <w:rFonts w:ascii="Segoe UI" w:eastAsia="Times New Roman" w:hAnsi="Segoe UI" w:cs="Segoe UI"/>
                <w:color w:val="333333"/>
                <w:sz w:val="20"/>
                <w:szCs w:val="20"/>
                <w:lang w:eastAsia="en-GB"/>
              </w:rPr>
            </w:pPr>
            <w:r w:rsidRPr="0081518A">
              <w:rPr>
                <w:rFonts w:ascii="Segoe UI" w:eastAsia="Times New Roman" w:hAnsi="Segoe UI" w:cs="Segoe UI"/>
                <w:color w:val="333333"/>
                <w:sz w:val="20"/>
                <w:szCs w:val="20"/>
                <w:lang w:eastAsia="en-GB"/>
              </w:rPr>
              <w:t>1.06 (1.02 to 1.10)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94727ED" w14:textId="77777777" w:rsidR="0081518A" w:rsidRPr="0081518A" w:rsidRDefault="0081518A" w:rsidP="0081518A">
            <w:pPr>
              <w:spacing w:before="150" w:after="150" w:line="240" w:lineRule="auto"/>
              <w:ind w:left="150" w:right="150"/>
              <w:jc w:val="center"/>
              <w:rPr>
                <w:rFonts w:ascii="Segoe UI" w:eastAsia="Times New Roman" w:hAnsi="Segoe UI" w:cs="Segoe UI"/>
                <w:b/>
                <w:bCs/>
                <w:color w:val="333333"/>
                <w:sz w:val="20"/>
                <w:szCs w:val="20"/>
                <w:lang w:eastAsia="en-GB"/>
              </w:rPr>
            </w:pPr>
            <w:r w:rsidRPr="0081518A">
              <w:rPr>
                <w:rFonts w:ascii="Segoe UI" w:eastAsia="Times New Roman" w:hAnsi="Segoe UI" w:cs="Segoe UI"/>
                <w:b/>
                <w:bCs/>
                <w:color w:val="333333"/>
                <w:sz w:val="20"/>
                <w:szCs w:val="20"/>
                <w:lang w:eastAsia="en-GB"/>
              </w:rPr>
              <w:t>0.001</w:t>
            </w:r>
          </w:p>
        </w:tc>
      </w:tr>
      <w:tr w:rsidR="0081518A" w:rsidRPr="0081518A" w14:paraId="1CC51C1F" w14:textId="77777777" w:rsidTr="0081518A">
        <w:tc>
          <w:tcPr>
            <w:tcW w:w="0" w:type="auto"/>
            <w:gridSpan w:val="4"/>
            <w:shd w:val="clear" w:color="auto" w:fill="FFFFFF"/>
            <w:tcMar>
              <w:top w:w="15" w:type="dxa"/>
              <w:left w:w="75" w:type="dxa"/>
              <w:bottom w:w="15" w:type="dxa"/>
              <w:right w:w="75" w:type="dxa"/>
            </w:tcMar>
            <w:vAlign w:val="center"/>
            <w:hideMark/>
          </w:tcPr>
          <w:p w14:paraId="314AC71B" w14:textId="77777777" w:rsidR="0081518A" w:rsidRPr="0081518A" w:rsidRDefault="0081518A" w:rsidP="0081518A">
            <w:pPr>
              <w:spacing w:after="0" w:line="240" w:lineRule="auto"/>
              <w:rPr>
                <w:rFonts w:ascii="Segoe UI" w:eastAsia="Times New Roman" w:hAnsi="Segoe UI" w:cs="Segoe UI"/>
                <w:color w:val="333333"/>
                <w:sz w:val="18"/>
                <w:szCs w:val="18"/>
                <w:lang w:eastAsia="en-GB"/>
              </w:rPr>
            </w:pPr>
            <w:r w:rsidRPr="0081518A">
              <w:rPr>
                <w:rFonts w:ascii="Segoe UI" w:eastAsia="Times New Roman" w:hAnsi="Segoe UI" w:cs="Segoe UI"/>
                <w:i/>
                <w:iCs/>
                <w:color w:val="333333"/>
                <w:sz w:val="13"/>
                <w:szCs w:val="13"/>
                <w:vertAlign w:val="superscript"/>
                <w:lang w:eastAsia="en-GB"/>
              </w:rPr>
              <w:t>1</w:t>
            </w:r>
            <w:r w:rsidRPr="0081518A">
              <w:rPr>
                <w:rFonts w:ascii="Segoe UI" w:eastAsia="Times New Roman" w:hAnsi="Segoe UI" w:cs="Segoe UI"/>
                <w:color w:val="333333"/>
                <w:sz w:val="18"/>
                <w:szCs w:val="18"/>
                <w:lang w:eastAsia="en-GB"/>
              </w:rPr>
              <w:t> HR = Hazard Ratio, CI = Confidence Interval</w:t>
            </w:r>
          </w:p>
        </w:tc>
      </w:tr>
    </w:tbl>
    <w:p w14:paraId="44BD37D6" w14:textId="5396A28A" w:rsidR="00FD3E41" w:rsidRPr="00FD3E41" w:rsidRDefault="00FD3E41" w:rsidP="00FD3E41">
      <w:pPr>
        <w:rPr>
          <w:rFonts w:ascii="Times New Roman" w:hAnsi="Times New Roman" w:cs="Times New Roman"/>
          <w:b/>
          <w:sz w:val="24"/>
          <w:szCs w:val="24"/>
        </w:rPr>
      </w:pPr>
      <w:r w:rsidRPr="00FD3E41">
        <w:rPr>
          <w:rFonts w:ascii="Times New Roman" w:hAnsi="Times New Roman" w:cs="Times New Roman"/>
          <w:b/>
          <w:sz w:val="24"/>
          <w:szCs w:val="24"/>
        </w:rPr>
        <w:t>Table 4</w:t>
      </w:r>
      <w:r w:rsidR="00771730">
        <w:rPr>
          <w:rFonts w:ascii="Times New Roman" w:hAnsi="Times New Roman" w:cs="Times New Roman"/>
          <w:b/>
          <w:sz w:val="24"/>
          <w:szCs w:val="24"/>
        </w:rPr>
        <w:t>.</w:t>
      </w:r>
      <w:r w:rsidRPr="00FD3E41">
        <w:rPr>
          <w:rFonts w:ascii="Times New Roman" w:hAnsi="Times New Roman" w:cs="Times New Roman"/>
          <w:b/>
          <w:sz w:val="24"/>
          <w:szCs w:val="24"/>
        </w:rPr>
        <w:t xml:space="preserve"> Results of multivariable Cox regression analysis</w:t>
      </w:r>
    </w:p>
    <w:p w14:paraId="2A13DBF1" w14:textId="32EE483C" w:rsidR="00FD3E41" w:rsidRPr="00FD3E41" w:rsidRDefault="006F15A4" w:rsidP="00FD3E41">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DCB: drug coated balloon, </w:t>
      </w:r>
      <w:r w:rsidR="00FD3E41" w:rsidRPr="00FD3E41">
        <w:rPr>
          <w:rFonts w:ascii="Times New Roman" w:hAnsi="Times New Roman" w:cs="Times New Roman"/>
          <w:b/>
          <w:sz w:val="24"/>
          <w:szCs w:val="24"/>
        </w:rPr>
        <w:t>DES: drug eluting stent</w:t>
      </w:r>
      <w:r>
        <w:rPr>
          <w:rFonts w:ascii="Times New Roman" w:hAnsi="Times New Roman" w:cs="Times New Roman"/>
          <w:b/>
          <w:sz w:val="24"/>
          <w:szCs w:val="24"/>
        </w:rPr>
        <w:t>, bold characters</w:t>
      </w:r>
      <w:r w:rsidR="00FD3E41" w:rsidRPr="00FD3E41">
        <w:rPr>
          <w:rFonts w:ascii="Times New Roman" w:hAnsi="Times New Roman" w:cs="Times New Roman"/>
          <w:b/>
          <w:sz w:val="24"/>
          <w:szCs w:val="24"/>
        </w:rPr>
        <w:t xml:space="preserve"> indicate significant result</w:t>
      </w:r>
    </w:p>
    <w:p w14:paraId="56E9862A" w14:textId="77777777" w:rsidR="00FD3E41" w:rsidRDefault="00FD3E41">
      <w:pPr>
        <w:rPr>
          <w:rFonts w:ascii="Times New Roman" w:hAnsi="Times New Roman" w:cs="Times New Roman"/>
          <w:b/>
          <w:sz w:val="24"/>
          <w:szCs w:val="24"/>
        </w:rPr>
      </w:pPr>
    </w:p>
    <w:p w14:paraId="57CCDC63" w14:textId="77777777" w:rsidR="00FD3E41" w:rsidRDefault="00FD3E41">
      <w:pPr>
        <w:rPr>
          <w:rFonts w:ascii="Times New Roman" w:hAnsi="Times New Roman" w:cs="Times New Roman"/>
          <w:b/>
          <w:sz w:val="24"/>
          <w:szCs w:val="24"/>
        </w:rPr>
      </w:pPr>
    </w:p>
    <w:p w14:paraId="1C14DF4D" w14:textId="77777777" w:rsidR="00D1528A" w:rsidRDefault="00D1528A">
      <w:pPr>
        <w:rPr>
          <w:rFonts w:ascii="Times New Roman" w:hAnsi="Times New Roman" w:cs="Times New Roman"/>
          <w:b/>
          <w:sz w:val="24"/>
          <w:szCs w:val="24"/>
        </w:rPr>
      </w:pPr>
      <w:r>
        <w:rPr>
          <w:rFonts w:ascii="Times New Roman" w:hAnsi="Times New Roman" w:cs="Times New Roman"/>
          <w:b/>
          <w:sz w:val="24"/>
          <w:szCs w:val="24"/>
        </w:rPr>
        <w:br w:type="page"/>
      </w:r>
    </w:p>
    <w:p w14:paraId="085E2C01" w14:textId="3A6DDCA5" w:rsidR="00FD3E41" w:rsidRDefault="00FD3E41" w:rsidP="00FD3E41">
      <w:pPr>
        <w:spacing w:line="480" w:lineRule="auto"/>
        <w:rPr>
          <w:rFonts w:ascii="Times New Roman" w:hAnsi="Times New Roman" w:cs="Times New Roman"/>
          <w:b/>
          <w:sz w:val="24"/>
          <w:szCs w:val="24"/>
        </w:rPr>
      </w:pPr>
      <w:r w:rsidRPr="00FD3E41">
        <w:rPr>
          <w:rFonts w:ascii="Times New Roman" w:hAnsi="Times New Roman" w:cs="Times New Roman"/>
          <w:b/>
          <w:sz w:val="24"/>
          <w:szCs w:val="24"/>
        </w:rPr>
        <w:lastRenderedPageBreak/>
        <w:t>Table 5</w:t>
      </w:r>
      <w:r w:rsidR="00771730">
        <w:rPr>
          <w:rFonts w:ascii="Times New Roman" w:hAnsi="Times New Roman" w:cs="Times New Roman"/>
          <w:b/>
          <w:sz w:val="24"/>
          <w:szCs w:val="24"/>
        </w:rPr>
        <w:t>.</w:t>
      </w:r>
      <w:r w:rsidRPr="00FD3E41">
        <w:rPr>
          <w:rFonts w:ascii="Times New Roman" w:hAnsi="Times New Roman" w:cs="Times New Roman"/>
          <w:b/>
          <w:sz w:val="24"/>
          <w:szCs w:val="24"/>
        </w:rPr>
        <w:t xml:space="preserve"> Multivariable Cox regression analysis for propensity matched population</w:t>
      </w:r>
    </w:p>
    <w:p w14:paraId="23B66795" w14:textId="77777777" w:rsidR="00F35E09" w:rsidRPr="00FD3E41" w:rsidRDefault="00F35E09" w:rsidP="00FD3E41">
      <w:pPr>
        <w:spacing w:line="480" w:lineRule="auto"/>
        <w:rPr>
          <w:rFonts w:ascii="Times New Roman" w:hAnsi="Times New Roman" w:cs="Times New Roman"/>
          <w:b/>
          <w:sz w:val="24"/>
          <w:szCs w:val="24"/>
        </w:rPr>
      </w:pPr>
    </w:p>
    <w:p w14:paraId="3924BAB3" w14:textId="48E0B107" w:rsidR="00FD3E41" w:rsidRDefault="00FD3E41" w:rsidP="00FD3E41">
      <w:pPr>
        <w:spacing w:line="480" w:lineRule="auto"/>
        <w:jc w:val="both"/>
        <w:rPr>
          <w:rFonts w:ascii="Times New Roman" w:hAnsi="Times New Roman" w:cs="Times New Roman"/>
          <w:b/>
          <w:sz w:val="24"/>
          <w:szCs w:val="24"/>
        </w:rPr>
      </w:pPr>
      <w:r w:rsidRPr="00FD3E41">
        <w:rPr>
          <w:rFonts w:ascii="Times New Roman" w:hAnsi="Times New Roman" w:cs="Times New Roman"/>
          <w:b/>
          <w:sz w:val="24"/>
          <w:szCs w:val="24"/>
        </w:rPr>
        <w:t>Table 5</w:t>
      </w:r>
      <w:r w:rsidR="00771730">
        <w:rPr>
          <w:rFonts w:ascii="Times New Roman" w:hAnsi="Times New Roman" w:cs="Times New Roman"/>
          <w:b/>
          <w:sz w:val="24"/>
          <w:szCs w:val="24"/>
        </w:rPr>
        <w:t>.</w:t>
      </w:r>
      <w:r w:rsidRPr="00FD3E41">
        <w:rPr>
          <w:rFonts w:ascii="Times New Roman" w:hAnsi="Times New Roman" w:cs="Times New Roman"/>
          <w:b/>
          <w:sz w:val="24"/>
          <w:szCs w:val="24"/>
        </w:rPr>
        <w:t xml:space="preserve"> Results of multivariable Cox regression analysis for propensity matched population</w:t>
      </w:r>
    </w:p>
    <w:tbl>
      <w:tblPr>
        <w:tblW w:w="0" w:type="dxa"/>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4112"/>
        <w:gridCol w:w="774"/>
        <w:gridCol w:w="2021"/>
        <w:gridCol w:w="1106"/>
      </w:tblGrid>
      <w:tr w:rsidR="005F2579" w:rsidRPr="005F2579" w14:paraId="1B5A3D14" w14:textId="77777777" w:rsidTr="005F2579">
        <w:trPr>
          <w:tblHeader/>
        </w:trPr>
        <w:tc>
          <w:tcPr>
            <w:tcW w:w="0" w:type="auto"/>
            <w:tcBorders>
              <w:left w:val="nil"/>
              <w:right w:val="nil"/>
            </w:tcBorders>
            <w:shd w:val="clear" w:color="auto" w:fill="FFFFFF"/>
            <w:tcMar>
              <w:top w:w="75" w:type="dxa"/>
              <w:left w:w="75" w:type="dxa"/>
              <w:bottom w:w="90" w:type="dxa"/>
              <w:right w:w="75" w:type="dxa"/>
            </w:tcMar>
            <w:vAlign w:val="bottom"/>
            <w:hideMark/>
          </w:tcPr>
          <w:p w14:paraId="5A42E4AD" w14:textId="77777777" w:rsidR="005F2579" w:rsidRPr="005F2579" w:rsidRDefault="005F2579" w:rsidP="005F2579">
            <w:pPr>
              <w:spacing w:after="0" w:line="240" w:lineRule="auto"/>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All-Cause Mortality (Multivariate)</w:t>
            </w:r>
          </w:p>
        </w:tc>
        <w:tc>
          <w:tcPr>
            <w:tcW w:w="0" w:type="auto"/>
            <w:tcBorders>
              <w:left w:val="nil"/>
              <w:right w:val="nil"/>
            </w:tcBorders>
            <w:shd w:val="clear" w:color="auto" w:fill="FFFFFF"/>
            <w:tcMar>
              <w:top w:w="75" w:type="dxa"/>
              <w:left w:w="75" w:type="dxa"/>
              <w:bottom w:w="90" w:type="dxa"/>
              <w:right w:w="75" w:type="dxa"/>
            </w:tcMar>
            <w:vAlign w:val="bottom"/>
            <w:hideMark/>
          </w:tcPr>
          <w:p w14:paraId="534BB6C9" w14:textId="77777777" w:rsidR="005F2579" w:rsidRPr="005F2579" w:rsidRDefault="005F2579" w:rsidP="005F2579">
            <w:pPr>
              <w:spacing w:after="0" w:line="240" w:lineRule="auto"/>
              <w:jc w:val="center"/>
              <w:rPr>
                <w:rFonts w:ascii="Segoe UI" w:eastAsia="Times New Roman" w:hAnsi="Segoe UI" w:cs="Segoe UI"/>
                <w:color w:val="333333"/>
                <w:sz w:val="20"/>
                <w:szCs w:val="20"/>
                <w:lang w:eastAsia="en-GB"/>
              </w:rPr>
            </w:pPr>
            <w:r w:rsidRPr="005F2579">
              <w:rPr>
                <w:rFonts w:ascii="Segoe UI" w:eastAsia="Times New Roman" w:hAnsi="Segoe UI" w:cs="Segoe UI"/>
                <w:b/>
                <w:bCs/>
                <w:color w:val="333333"/>
                <w:sz w:val="20"/>
                <w:szCs w:val="20"/>
                <w:lang w:eastAsia="en-GB"/>
              </w:rPr>
              <w:t>N</w:t>
            </w:r>
          </w:p>
        </w:tc>
        <w:tc>
          <w:tcPr>
            <w:tcW w:w="0" w:type="auto"/>
            <w:tcBorders>
              <w:left w:val="nil"/>
              <w:right w:val="nil"/>
            </w:tcBorders>
            <w:shd w:val="clear" w:color="auto" w:fill="FFFFFF"/>
            <w:tcMar>
              <w:top w:w="75" w:type="dxa"/>
              <w:left w:w="75" w:type="dxa"/>
              <w:bottom w:w="90" w:type="dxa"/>
              <w:right w:w="75" w:type="dxa"/>
            </w:tcMar>
            <w:vAlign w:val="bottom"/>
            <w:hideMark/>
          </w:tcPr>
          <w:p w14:paraId="1AB0131D" w14:textId="77777777" w:rsidR="005F2579" w:rsidRPr="005F2579" w:rsidRDefault="005F2579" w:rsidP="005F2579">
            <w:pPr>
              <w:spacing w:after="0" w:line="240" w:lineRule="auto"/>
              <w:jc w:val="center"/>
              <w:rPr>
                <w:rFonts w:ascii="Segoe UI" w:eastAsia="Times New Roman" w:hAnsi="Segoe UI" w:cs="Segoe UI"/>
                <w:color w:val="333333"/>
                <w:sz w:val="20"/>
                <w:szCs w:val="20"/>
                <w:lang w:eastAsia="en-GB"/>
              </w:rPr>
            </w:pPr>
            <w:r w:rsidRPr="005F2579">
              <w:rPr>
                <w:rFonts w:ascii="Segoe UI" w:eastAsia="Times New Roman" w:hAnsi="Segoe UI" w:cs="Segoe UI"/>
                <w:b/>
                <w:bCs/>
                <w:color w:val="333333"/>
                <w:sz w:val="20"/>
                <w:szCs w:val="20"/>
                <w:lang w:eastAsia="en-GB"/>
              </w:rPr>
              <w:t>HR</w:t>
            </w:r>
            <w:r w:rsidRPr="005F2579">
              <w:rPr>
                <w:rFonts w:ascii="Segoe UI" w:eastAsia="Times New Roman" w:hAnsi="Segoe UI" w:cs="Segoe UI"/>
                <w:color w:val="333333"/>
                <w:sz w:val="20"/>
                <w:szCs w:val="20"/>
                <w:lang w:eastAsia="en-GB"/>
              </w:rPr>
              <w:t> </w:t>
            </w:r>
            <w:r w:rsidRPr="005F2579">
              <w:rPr>
                <w:rFonts w:ascii="Segoe UI" w:eastAsia="Times New Roman" w:hAnsi="Segoe UI" w:cs="Segoe UI"/>
                <w:b/>
                <w:bCs/>
                <w:color w:val="333333"/>
                <w:sz w:val="20"/>
                <w:szCs w:val="20"/>
                <w:lang w:eastAsia="en-GB"/>
              </w:rPr>
              <w:t>(95% CI)</w:t>
            </w:r>
            <w:r w:rsidRPr="005F2579">
              <w:rPr>
                <w:rFonts w:ascii="Segoe UI" w:eastAsia="Times New Roman" w:hAnsi="Segoe UI" w:cs="Segoe UI"/>
                <w:i/>
                <w:iCs/>
                <w:color w:val="333333"/>
                <w:sz w:val="15"/>
                <w:szCs w:val="15"/>
                <w:vertAlign w:val="superscript"/>
                <w:lang w:eastAsia="en-GB"/>
              </w:rPr>
              <w:t>1</w:t>
            </w:r>
          </w:p>
        </w:tc>
        <w:tc>
          <w:tcPr>
            <w:tcW w:w="0" w:type="auto"/>
            <w:tcBorders>
              <w:left w:val="nil"/>
              <w:right w:val="nil"/>
            </w:tcBorders>
            <w:shd w:val="clear" w:color="auto" w:fill="FFFFFF"/>
            <w:tcMar>
              <w:top w:w="75" w:type="dxa"/>
              <w:left w:w="75" w:type="dxa"/>
              <w:bottom w:w="90" w:type="dxa"/>
              <w:right w:w="75" w:type="dxa"/>
            </w:tcMar>
            <w:vAlign w:val="bottom"/>
            <w:hideMark/>
          </w:tcPr>
          <w:p w14:paraId="6FDA0E0F" w14:textId="77777777" w:rsidR="005F2579" w:rsidRPr="005F2579" w:rsidRDefault="005F2579" w:rsidP="005F2579">
            <w:pPr>
              <w:spacing w:after="0" w:line="240" w:lineRule="auto"/>
              <w:jc w:val="center"/>
              <w:rPr>
                <w:rFonts w:ascii="Segoe UI" w:eastAsia="Times New Roman" w:hAnsi="Segoe UI" w:cs="Segoe UI"/>
                <w:color w:val="333333"/>
                <w:sz w:val="20"/>
                <w:szCs w:val="20"/>
                <w:lang w:eastAsia="en-GB"/>
              </w:rPr>
            </w:pPr>
            <w:r w:rsidRPr="005F2579">
              <w:rPr>
                <w:rFonts w:ascii="Segoe UI" w:eastAsia="Times New Roman" w:hAnsi="Segoe UI" w:cs="Segoe UI"/>
                <w:b/>
                <w:bCs/>
                <w:color w:val="333333"/>
                <w:sz w:val="20"/>
                <w:szCs w:val="20"/>
                <w:lang w:eastAsia="en-GB"/>
              </w:rPr>
              <w:t>p-value</w:t>
            </w:r>
          </w:p>
        </w:tc>
      </w:tr>
      <w:tr w:rsidR="005F2579" w:rsidRPr="005F2579" w14:paraId="458DD673" w14:textId="77777777" w:rsidTr="005F2579">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FE5E3D5" w14:textId="77777777" w:rsidR="005F2579" w:rsidRPr="005F2579" w:rsidRDefault="005F2579" w:rsidP="005F2579">
            <w:pPr>
              <w:spacing w:before="150" w:after="150" w:line="240" w:lineRule="auto"/>
              <w:ind w:left="150" w:right="150"/>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DCB/DES</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1624BBA"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878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13000766"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0.89 (0.78 to 1.01)</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3288BF5"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0.080</w:t>
            </w:r>
          </w:p>
        </w:tc>
      </w:tr>
      <w:tr w:rsidR="005F2579" w:rsidRPr="005F2579" w14:paraId="61680FAC" w14:textId="77777777" w:rsidTr="005F2579">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D68C634" w14:textId="77777777" w:rsidR="005F2579" w:rsidRPr="005F2579" w:rsidRDefault="005F2579" w:rsidP="005F2579">
            <w:pPr>
              <w:spacing w:before="150" w:after="150" w:line="240" w:lineRule="auto"/>
              <w:ind w:left="150" w:right="150"/>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History of Heart Failure</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788B438"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878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276C7F3"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8.94 (3.28 to 24.4)</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1E17591" w14:textId="77777777" w:rsidR="005F2579" w:rsidRPr="005F2579" w:rsidRDefault="005F2579" w:rsidP="005F2579">
            <w:pPr>
              <w:spacing w:before="150" w:after="150" w:line="240" w:lineRule="auto"/>
              <w:ind w:left="150" w:right="150"/>
              <w:jc w:val="center"/>
              <w:rPr>
                <w:rFonts w:ascii="Segoe UI" w:eastAsia="Times New Roman" w:hAnsi="Segoe UI" w:cs="Segoe UI"/>
                <w:b/>
                <w:bCs/>
                <w:color w:val="333333"/>
                <w:sz w:val="20"/>
                <w:szCs w:val="20"/>
                <w:lang w:eastAsia="en-GB"/>
              </w:rPr>
            </w:pPr>
            <w:r w:rsidRPr="005F2579">
              <w:rPr>
                <w:rFonts w:ascii="Segoe UI" w:eastAsia="Times New Roman" w:hAnsi="Segoe UI" w:cs="Segoe UI"/>
                <w:b/>
                <w:bCs/>
                <w:color w:val="333333"/>
                <w:sz w:val="20"/>
                <w:szCs w:val="20"/>
                <w:lang w:eastAsia="en-GB"/>
              </w:rPr>
              <w:t>&lt;0.001</w:t>
            </w:r>
          </w:p>
        </w:tc>
      </w:tr>
      <w:tr w:rsidR="005F2579" w:rsidRPr="005F2579" w14:paraId="5E838791" w14:textId="77777777" w:rsidTr="005F2579">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02E1BB6" w14:textId="77777777" w:rsidR="005F2579" w:rsidRPr="005F2579" w:rsidRDefault="005F2579" w:rsidP="005F2579">
            <w:pPr>
              <w:spacing w:before="150" w:after="150" w:line="240" w:lineRule="auto"/>
              <w:ind w:left="150" w:right="150"/>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Family History of Coronary Artery Disease</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3EA1A57"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878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70153F2"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0.68 (0.53 to 0.86)</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8FE4AAC" w14:textId="77777777" w:rsidR="005F2579" w:rsidRPr="005F2579" w:rsidRDefault="005F2579" w:rsidP="005F2579">
            <w:pPr>
              <w:spacing w:before="150" w:after="150" w:line="240" w:lineRule="auto"/>
              <w:ind w:left="150" w:right="150"/>
              <w:jc w:val="center"/>
              <w:rPr>
                <w:rFonts w:ascii="Segoe UI" w:eastAsia="Times New Roman" w:hAnsi="Segoe UI" w:cs="Segoe UI"/>
                <w:b/>
                <w:bCs/>
                <w:color w:val="333333"/>
                <w:sz w:val="20"/>
                <w:szCs w:val="20"/>
                <w:lang w:eastAsia="en-GB"/>
              </w:rPr>
            </w:pPr>
            <w:r w:rsidRPr="005F2579">
              <w:rPr>
                <w:rFonts w:ascii="Segoe UI" w:eastAsia="Times New Roman" w:hAnsi="Segoe UI" w:cs="Segoe UI"/>
                <w:b/>
                <w:bCs/>
                <w:color w:val="333333"/>
                <w:sz w:val="20"/>
                <w:szCs w:val="20"/>
                <w:lang w:eastAsia="en-GB"/>
              </w:rPr>
              <w:t>0.002</w:t>
            </w:r>
          </w:p>
        </w:tc>
      </w:tr>
      <w:tr w:rsidR="005F2579" w:rsidRPr="005F2579" w14:paraId="5277452F" w14:textId="77777777" w:rsidTr="005F2579">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76F4B2C5" w14:textId="77777777" w:rsidR="005F2579" w:rsidRPr="005F2579" w:rsidRDefault="005F2579" w:rsidP="005F2579">
            <w:pPr>
              <w:spacing w:before="150" w:after="150" w:line="240" w:lineRule="auto"/>
              <w:ind w:left="150" w:right="150"/>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Bifurcations</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47B1B64"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878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1D68D7E"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1.14 (0.99 to 1.30)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EFEDD29"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0.067</w:t>
            </w:r>
          </w:p>
        </w:tc>
      </w:tr>
      <w:tr w:rsidR="005F2579" w:rsidRPr="005F2579" w14:paraId="2EAA8B3C" w14:textId="77777777" w:rsidTr="005F2579">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44A60D5E" w14:textId="77777777" w:rsidR="005F2579" w:rsidRPr="005F2579" w:rsidRDefault="005F2579" w:rsidP="005F2579">
            <w:pPr>
              <w:spacing w:before="150" w:after="150" w:line="240" w:lineRule="auto"/>
              <w:ind w:left="150" w:right="150"/>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Frailty Score</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15B9B34"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878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225DDB61"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1.06 (1.02 to 1.10)</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05B5E8A4" w14:textId="77777777" w:rsidR="005F2579" w:rsidRPr="005F2579" w:rsidRDefault="005F2579" w:rsidP="005F2579">
            <w:pPr>
              <w:spacing w:before="150" w:after="150" w:line="240" w:lineRule="auto"/>
              <w:ind w:left="150" w:right="150"/>
              <w:jc w:val="center"/>
              <w:rPr>
                <w:rFonts w:ascii="Segoe UI" w:eastAsia="Times New Roman" w:hAnsi="Segoe UI" w:cs="Segoe UI"/>
                <w:b/>
                <w:bCs/>
                <w:color w:val="333333"/>
                <w:sz w:val="20"/>
                <w:szCs w:val="20"/>
                <w:lang w:eastAsia="en-GB"/>
              </w:rPr>
            </w:pPr>
            <w:r w:rsidRPr="005F2579">
              <w:rPr>
                <w:rFonts w:ascii="Segoe UI" w:eastAsia="Times New Roman" w:hAnsi="Segoe UI" w:cs="Segoe UI"/>
                <w:b/>
                <w:bCs/>
                <w:color w:val="333333"/>
                <w:sz w:val="20"/>
                <w:szCs w:val="20"/>
                <w:lang w:eastAsia="en-GB"/>
              </w:rPr>
              <w:t>&lt;0.001</w:t>
            </w:r>
          </w:p>
        </w:tc>
      </w:tr>
      <w:tr w:rsidR="005F2579" w:rsidRPr="005F2579" w14:paraId="2F78389C" w14:textId="77777777" w:rsidTr="005F2579">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5FAC445A" w14:textId="77777777" w:rsidR="005F2579" w:rsidRPr="005F2579" w:rsidRDefault="005F2579" w:rsidP="005F2579">
            <w:pPr>
              <w:spacing w:before="150" w:after="150" w:line="240" w:lineRule="auto"/>
              <w:ind w:left="150" w:right="150"/>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Acuity Score</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EC71C71"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878</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679AFC88" w14:textId="77777777" w:rsidR="005F2579" w:rsidRPr="005F2579" w:rsidRDefault="005F2579" w:rsidP="005F2579">
            <w:pPr>
              <w:spacing w:before="150" w:after="150" w:line="240" w:lineRule="auto"/>
              <w:ind w:left="150" w:right="150"/>
              <w:jc w:val="center"/>
              <w:rPr>
                <w:rFonts w:ascii="Segoe UI" w:eastAsia="Times New Roman" w:hAnsi="Segoe UI" w:cs="Segoe UI"/>
                <w:color w:val="333333"/>
                <w:sz w:val="20"/>
                <w:szCs w:val="20"/>
                <w:lang w:eastAsia="en-GB"/>
              </w:rPr>
            </w:pPr>
            <w:r w:rsidRPr="005F2579">
              <w:rPr>
                <w:rFonts w:ascii="Segoe UI" w:eastAsia="Times New Roman" w:hAnsi="Segoe UI" w:cs="Segoe UI"/>
                <w:color w:val="333333"/>
                <w:sz w:val="20"/>
                <w:szCs w:val="20"/>
                <w:lang w:eastAsia="en-GB"/>
              </w:rPr>
              <w:t>1.01 (1.00 to 1.02)</w:t>
            </w:r>
          </w:p>
        </w:tc>
        <w:tc>
          <w:tcPr>
            <w:tcW w:w="0" w:type="auto"/>
            <w:tcBorders>
              <w:top w:val="single" w:sz="6" w:space="0" w:color="D3D3D3"/>
              <w:left w:val="nil"/>
              <w:right w:val="nil"/>
            </w:tcBorders>
            <w:shd w:val="clear" w:color="auto" w:fill="FFFFFF"/>
            <w:tcMar>
              <w:top w:w="15" w:type="dxa"/>
              <w:left w:w="75" w:type="dxa"/>
              <w:bottom w:w="15" w:type="dxa"/>
              <w:right w:w="75" w:type="dxa"/>
            </w:tcMar>
            <w:vAlign w:val="center"/>
            <w:hideMark/>
          </w:tcPr>
          <w:p w14:paraId="3FD6D362" w14:textId="77777777" w:rsidR="005F2579" w:rsidRPr="005F2579" w:rsidRDefault="005F2579" w:rsidP="005F2579">
            <w:pPr>
              <w:spacing w:before="150" w:after="150" w:line="240" w:lineRule="auto"/>
              <w:ind w:left="150" w:right="150"/>
              <w:jc w:val="center"/>
              <w:rPr>
                <w:rFonts w:ascii="Segoe UI" w:eastAsia="Times New Roman" w:hAnsi="Segoe UI" w:cs="Segoe UI"/>
                <w:b/>
                <w:bCs/>
                <w:color w:val="333333"/>
                <w:sz w:val="20"/>
                <w:szCs w:val="20"/>
                <w:lang w:eastAsia="en-GB"/>
              </w:rPr>
            </w:pPr>
            <w:r w:rsidRPr="005F2579">
              <w:rPr>
                <w:rFonts w:ascii="Segoe UI" w:eastAsia="Times New Roman" w:hAnsi="Segoe UI" w:cs="Segoe UI"/>
                <w:b/>
                <w:bCs/>
                <w:color w:val="333333"/>
                <w:sz w:val="20"/>
                <w:szCs w:val="20"/>
                <w:lang w:eastAsia="en-GB"/>
              </w:rPr>
              <w:t>0.031</w:t>
            </w:r>
          </w:p>
        </w:tc>
      </w:tr>
      <w:tr w:rsidR="005F2579" w:rsidRPr="005F2579" w14:paraId="244018AE" w14:textId="77777777" w:rsidTr="005F2579">
        <w:tc>
          <w:tcPr>
            <w:tcW w:w="0" w:type="auto"/>
            <w:gridSpan w:val="4"/>
            <w:shd w:val="clear" w:color="auto" w:fill="FFFFFF"/>
            <w:tcMar>
              <w:top w:w="15" w:type="dxa"/>
              <w:left w:w="75" w:type="dxa"/>
              <w:bottom w:w="15" w:type="dxa"/>
              <w:right w:w="75" w:type="dxa"/>
            </w:tcMar>
            <w:vAlign w:val="center"/>
            <w:hideMark/>
          </w:tcPr>
          <w:p w14:paraId="322082A1" w14:textId="77777777" w:rsidR="005F2579" w:rsidRPr="005F2579" w:rsidRDefault="005F2579" w:rsidP="005F2579">
            <w:pPr>
              <w:spacing w:after="0" w:line="240" w:lineRule="auto"/>
              <w:rPr>
                <w:rFonts w:ascii="Segoe UI" w:eastAsia="Times New Roman" w:hAnsi="Segoe UI" w:cs="Segoe UI"/>
                <w:color w:val="333333"/>
                <w:sz w:val="18"/>
                <w:szCs w:val="18"/>
                <w:lang w:eastAsia="en-GB"/>
              </w:rPr>
            </w:pPr>
            <w:r w:rsidRPr="005F2579">
              <w:rPr>
                <w:rFonts w:ascii="Segoe UI" w:eastAsia="Times New Roman" w:hAnsi="Segoe UI" w:cs="Segoe UI"/>
                <w:i/>
                <w:iCs/>
                <w:color w:val="333333"/>
                <w:sz w:val="13"/>
                <w:szCs w:val="13"/>
                <w:vertAlign w:val="superscript"/>
                <w:lang w:eastAsia="en-GB"/>
              </w:rPr>
              <w:t>1</w:t>
            </w:r>
            <w:r w:rsidRPr="005F2579">
              <w:rPr>
                <w:rFonts w:ascii="Segoe UI" w:eastAsia="Times New Roman" w:hAnsi="Segoe UI" w:cs="Segoe UI"/>
                <w:color w:val="333333"/>
                <w:sz w:val="18"/>
                <w:szCs w:val="18"/>
                <w:lang w:eastAsia="en-GB"/>
              </w:rPr>
              <w:t> HR = Hazard Ratio, CI = Confidence Interval</w:t>
            </w:r>
          </w:p>
        </w:tc>
      </w:tr>
    </w:tbl>
    <w:p w14:paraId="511B41B7" w14:textId="77777777" w:rsidR="00FD3E41" w:rsidRDefault="00FD3E41" w:rsidP="00FD3E41">
      <w:pPr>
        <w:spacing w:line="480" w:lineRule="auto"/>
        <w:jc w:val="both"/>
        <w:rPr>
          <w:rFonts w:ascii="Times New Roman" w:hAnsi="Times New Roman" w:cs="Times New Roman"/>
          <w:b/>
          <w:sz w:val="24"/>
          <w:szCs w:val="24"/>
        </w:rPr>
      </w:pPr>
      <w:r w:rsidRPr="00FD3E41">
        <w:rPr>
          <w:rFonts w:ascii="Times New Roman" w:hAnsi="Times New Roman" w:cs="Times New Roman"/>
          <w:b/>
          <w:sz w:val="24"/>
          <w:szCs w:val="24"/>
        </w:rPr>
        <w:t>PVD: peripheral vascular disease, COPD: chronic obstructive pulmonary disease, DES: drug eluting stent * indicates significant result</w:t>
      </w:r>
    </w:p>
    <w:p w14:paraId="0E7921E5" w14:textId="58161945" w:rsidR="00D1528A" w:rsidRDefault="00D1528A">
      <w:pPr>
        <w:rPr>
          <w:rFonts w:ascii="Times New Roman" w:hAnsi="Times New Roman" w:cs="Times New Roman"/>
          <w:sz w:val="24"/>
          <w:szCs w:val="24"/>
        </w:rPr>
      </w:pPr>
      <w:r>
        <w:rPr>
          <w:rFonts w:ascii="Times New Roman" w:hAnsi="Times New Roman" w:cs="Times New Roman"/>
          <w:sz w:val="24"/>
          <w:szCs w:val="24"/>
        </w:rPr>
        <w:br w:type="page"/>
      </w:r>
    </w:p>
    <w:p w14:paraId="3BB39299" w14:textId="290BDB49" w:rsidR="00D1528A" w:rsidRPr="00D1528A" w:rsidRDefault="00D1528A" w:rsidP="00FD3E41">
      <w:pPr>
        <w:spacing w:line="480" w:lineRule="auto"/>
        <w:jc w:val="both"/>
        <w:rPr>
          <w:rFonts w:ascii="Times New Roman" w:hAnsi="Times New Roman" w:cs="Times New Roman"/>
          <w:b/>
          <w:sz w:val="24"/>
          <w:szCs w:val="24"/>
        </w:rPr>
      </w:pPr>
      <w:r w:rsidRPr="00D1528A">
        <w:rPr>
          <w:rFonts w:ascii="Times New Roman" w:hAnsi="Times New Roman" w:cs="Times New Roman"/>
          <w:b/>
          <w:sz w:val="24"/>
          <w:szCs w:val="24"/>
        </w:rPr>
        <w:lastRenderedPageBreak/>
        <w:t>Figures</w:t>
      </w:r>
    </w:p>
    <w:p w14:paraId="62D4460E" w14:textId="33D596BA" w:rsidR="00D1528A" w:rsidRPr="00D1528A" w:rsidRDefault="00D1528A" w:rsidP="00FD3E41">
      <w:pPr>
        <w:spacing w:line="480" w:lineRule="auto"/>
        <w:jc w:val="both"/>
        <w:rPr>
          <w:rFonts w:ascii="Times New Roman" w:hAnsi="Times New Roman" w:cs="Times New Roman"/>
          <w:b/>
          <w:sz w:val="24"/>
          <w:szCs w:val="24"/>
        </w:rPr>
      </w:pPr>
      <w:r w:rsidRPr="00D1528A">
        <w:rPr>
          <w:rFonts w:ascii="Times New Roman" w:hAnsi="Times New Roman" w:cs="Times New Roman"/>
          <w:b/>
          <w:sz w:val="24"/>
          <w:szCs w:val="24"/>
        </w:rPr>
        <w:t>Figure 1</w:t>
      </w:r>
    </w:p>
    <w:p w14:paraId="2BC98D4B" w14:textId="4A2B9226" w:rsidR="00E91F69" w:rsidRDefault="0009529F" w:rsidP="00771730">
      <w:pPr>
        <w:rPr>
          <w:rFonts w:ascii="Times New Roman" w:hAnsi="Times New Roman" w:cs="Times New Roman"/>
          <w:b/>
          <w:sz w:val="24"/>
          <w:szCs w:val="24"/>
        </w:rPr>
      </w:pPr>
      <w:r>
        <w:rPr>
          <w:noProof/>
        </w:rPr>
        <w:drawing>
          <wp:inline distT="0" distB="0" distL="0" distR="0" wp14:anchorId="083A1786" wp14:editId="7EAE131F">
            <wp:extent cx="5731510" cy="320103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01035"/>
                    </a:xfrm>
                    <a:prstGeom prst="rect">
                      <a:avLst/>
                    </a:prstGeom>
                    <a:noFill/>
                    <a:ln>
                      <a:noFill/>
                    </a:ln>
                  </pic:spPr>
                </pic:pic>
              </a:graphicData>
            </a:graphic>
          </wp:inline>
        </w:drawing>
      </w:r>
    </w:p>
    <w:p w14:paraId="5EB03158" w14:textId="477366EB" w:rsidR="0009529F" w:rsidRDefault="0009529F" w:rsidP="00771730">
      <w:pPr>
        <w:rPr>
          <w:rFonts w:ascii="Times New Roman" w:hAnsi="Times New Roman" w:cs="Times New Roman"/>
          <w:b/>
          <w:sz w:val="24"/>
          <w:szCs w:val="24"/>
        </w:rPr>
      </w:pPr>
    </w:p>
    <w:p w14:paraId="652FABEF" w14:textId="77777777" w:rsidR="00D17FA1" w:rsidRDefault="00D17FA1">
      <w:pPr>
        <w:rPr>
          <w:rFonts w:ascii="Times New Roman" w:hAnsi="Times New Roman" w:cs="Times New Roman"/>
          <w:b/>
          <w:sz w:val="24"/>
          <w:szCs w:val="24"/>
        </w:rPr>
      </w:pPr>
      <w:r>
        <w:rPr>
          <w:rFonts w:ascii="Times New Roman" w:hAnsi="Times New Roman" w:cs="Times New Roman"/>
          <w:b/>
          <w:sz w:val="24"/>
          <w:szCs w:val="24"/>
        </w:rPr>
        <w:br w:type="page"/>
      </w:r>
    </w:p>
    <w:p w14:paraId="46E846ED" w14:textId="771E6C5A" w:rsidR="00D1528A" w:rsidRDefault="00D1528A" w:rsidP="00771730">
      <w:pPr>
        <w:rPr>
          <w:rFonts w:ascii="Times New Roman" w:hAnsi="Times New Roman" w:cs="Times New Roman"/>
          <w:b/>
          <w:sz w:val="24"/>
          <w:szCs w:val="24"/>
        </w:rPr>
      </w:pPr>
      <w:r>
        <w:rPr>
          <w:rFonts w:ascii="Times New Roman" w:hAnsi="Times New Roman" w:cs="Times New Roman"/>
          <w:b/>
          <w:sz w:val="24"/>
          <w:szCs w:val="24"/>
        </w:rPr>
        <w:lastRenderedPageBreak/>
        <w:t>Figure 2</w:t>
      </w:r>
    </w:p>
    <w:p w14:paraId="255E19A6" w14:textId="3FD7E7E8" w:rsidR="00D1528A" w:rsidRDefault="00D17FA1" w:rsidP="00771730">
      <w:pPr>
        <w:rPr>
          <w:rFonts w:ascii="Times New Roman" w:hAnsi="Times New Roman" w:cs="Times New Roman"/>
          <w:b/>
          <w:sz w:val="24"/>
          <w:szCs w:val="24"/>
        </w:rPr>
      </w:pPr>
      <w:r w:rsidRPr="00D17FA1">
        <w:rPr>
          <w:rFonts w:ascii="Times New Roman" w:hAnsi="Times New Roman" w:cs="Times New Roman"/>
          <w:b/>
          <w:noProof/>
          <w:sz w:val="24"/>
          <w:szCs w:val="24"/>
        </w:rPr>
        <w:drawing>
          <wp:inline distT="0" distB="0" distL="0" distR="0" wp14:anchorId="58E888F8" wp14:editId="0FD4F096">
            <wp:extent cx="5082220" cy="505206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93" t="15363" r="29803" b="5456"/>
                    <a:stretch/>
                  </pic:blipFill>
                  <pic:spPr bwMode="auto">
                    <a:xfrm>
                      <a:off x="0" y="0"/>
                      <a:ext cx="5119029" cy="5088651"/>
                    </a:xfrm>
                    <a:prstGeom prst="rect">
                      <a:avLst/>
                    </a:prstGeom>
                    <a:ln>
                      <a:noFill/>
                    </a:ln>
                    <a:extLst>
                      <a:ext uri="{53640926-AAD7-44D8-BBD7-CCE9431645EC}">
                        <a14:shadowObscured xmlns:a14="http://schemas.microsoft.com/office/drawing/2010/main"/>
                      </a:ext>
                    </a:extLst>
                  </pic:spPr>
                </pic:pic>
              </a:graphicData>
            </a:graphic>
          </wp:inline>
        </w:drawing>
      </w:r>
    </w:p>
    <w:p w14:paraId="08F87926" w14:textId="77777777" w:rsidR="00D858F3" w:rsidRDefault="00D858F3" w:rsidP="00771730">
      <w:pPr>
        <w:rPr>
          <w:rFonts w:ascii="Times New Roman" w:hAnsi="Times New Roman" w:cs="Times New Roman"/>
          <w:b/>
          <w:sz w:val="24"/>
          <w:szCs w:val="24"/>
        </w:rPr>
      </w:pPr>
    </w:p>
    <w:p w14:paraId="6E24F9DA" w14:textId="77777777" w:rsidR="00D858F3" w:rsidRDefault="00D858F3" w:rsidP="00771730">
      <w:pPr>
        <w:rPr>
          <w:rFonts w:ascii="Times New Roman" w:hAnsi="Times New Roman" w:cs="Times New Roman"/>
          <w:b/>
          <w:sz w:val="24"/>
          <w:szCs w:val="24"/>
        </w:rPr>
      </w:pPr>
    </w:p>
    <w:p w14:paraId="4FD21C26" w14:textId="77777777" w:rsidR="00D858F3" w:rsidRDefault="00D858F3" w:rsidP="00771730">
      <w:pPr>
        <w:rPr>
          <w:rFonts w:ascii="Times New Roman" w:hAnsi="Times New Roman" w:cs="Times New Roman"/>
          <w:b/>
          <w:sz w:val="24"/>
          <w:szCs w:val="24"/>
        </w:rPr>
      </w:pPr>
    </w:p>
    <w:p w14:paraId="6FD8B81D" w14:textId="77777777" w:rsidR="00D17FA1" w:rsidRDefault="00D17FA1">
      <w:pPr>
        <w:rPr>
          <w:rFonts w:ascii="Times New Roman" w:hAnsi="Times New Roman" w:cs="Times New Roman"/>
          <w:b/>
          <w:sz w:val="24"/>
          <w:szCs w:val="24"/>
        </w:rPr>
      </w:pPr>
      <w:r>
        <w:rPr>
          <w:rFonts w:ascii="Times New Roman" w:hAnsi="Times New Roman" w:cs="Times New Roman"/>
          <w:b/>
          <w:sz w:val="24"/>
          <w:szCs w:val="24"/>
        </w:rPr>
        <w:br w:type="page"/>
      </w:r>
    </w:p>
    <w:p w14:paraId="105F7EC7" w14:textId="70E3D7BF" w:rsidR="00D1528A" w:rsidRDefault="00D1528A" w:rsidP="00771730">
      <w:pPr>
        <w:rPr>
          <w:rFonts w:ascii="Times New Roman" w:hAnsi="Times New Roman" w:cs="Times New Roman"/>
          <w:b/>
          <w:sz w:val="24"/>
          <w:szCs w:val="24"/>
        </w:rPr>
      </w:pPr>
      <w:r>
        <w:rPr>
          <w:rFonts w:ascii="Times New Roman" w:hAnsi="Times New Roman" w:cs="Times New Roman"/>
          <w:b/>
          <w:sz w:val="24"/>
          <w:szCs w:val="24"/>
        </w:rPr>
        <w:lastRenderedPageBreak/>
        <w:t>Figure 3</w:t>
      </w:r>
    </w:p>
    <w:p w14:paraId="26ED2FA5" w14:textId="59329F47" w:rsidR="00D1528A" w:rsidRDefault="00D17FA1" w:rsidP="00771730">
      <w:pPr>
        <w:rPr>
          <w:rFonts w:ascii="Times New Roman" w:hAnsi="Times New Roman" w:cs="Times New Roman"/>
          <w:b/>
          <w:sz w:val="24"/>
          <w:szCs w:val="24"/>
        </w:rPr>
      </w:pPr>
      <w:r w:rsidRPr="00D17FA1">
        <w:rPr>
          <w:rFonts w:ascii="Times New Roman" w:hAnsi="Times New Roman" w:cs="Times New Roman"/>
          <w:b/>
          <w:noProof/>
          <w:sz w:val="24"/>
          <w:szCs w:val="24"/>
        </w:rPr>
        <w:drawing>
          <wp:inline distT="0" distB="0" distL="0" distR="0" wp14:anchorId="06153D44" wp14:editId="3D893414">
            <wp:extent cx="5334000" cy="530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526" t="15363" r="29803" b="5693"/>
                    <a:stretch/>
                  </pic:blipFill>
                  <pic:spPr bwMode="auto">
                    <a:xfrm>
                      <a:off x="0" y="0"/>
                      <a:ext cx="5341088" cy="5309296"/>
                    </a:xfrm>
                    <a:prstGeom prst="rect">
                      <a:avLst/>
                    </a:prstGeom>
                    <a:ln>
                      <a:noFill/>
                    </a:ln>
                    <a:extLst>
                      <a:ext uri="{53640926-AAD7-44D8-BBD7-CCE9431645EC}">
                        <a14:shadowObscured xmlns:a14="http://schemas.microsoft.com/office/drawing/2010/main"/>
                      </a:ext>
                    </a:extLst>
                  </pic:spPr>
                </pic:pic>
              </a:graphicData>
            </a:graphic>
          </wp:inline>
        </w:drawing>
      </w:r>
    </w:p>
    <w:p w14:paraId="02D6C78E" w14:textId="04B2423F" w:rsidR="00063FED" w:rsidRDefault="00063FED" w:rsidP="00771730">
      <w:pPr>
        <w:rPr>
          <w:rFonts w:ascii="Times New Roman" w:hAnsi="Times New Roman" w:cs="Times New Roman"/>
          <w:b/>
          <w:sz w:val="24"/>
          <w:szCs w:val="24"/>
        </w:rPr>
      </w:pPr>
    </w:p>
    <w:p w14:paraId="45A40C15" w14:textId="58AC2530" w:rsidR="00063FED" w:rsidRDefault="00063FED" w:rsidP="00771730">
      <w:pPr>
        <w:rPr>
          <w:rFonts w:ascii="Times New Roman" w:hAnsi="Times New Roman" w:cs="Times New Roman"/>
          <w:b/>
          <w:sz w:val="24"/>
          <w:szCs w:val="24"/>
        </w:rPr>
      </w:pPr>
    </w:p>
    <w:p w14:paraId="5F1B7A1A" w14:textId="77777777" w:rsidR="00063FED" w:rsidRDefault="00063FED">
      <w:pPr>
        <w:rPr>
          <w:rFonts w:ascii="Times New Roman" w:hAnsi="Times New Roman" w:cs="Times New Roman"/>
          <w:b/>
          <w:sz w:val="24"/>
          <w:szCs w:val="24"/>
        </w:rPr>
      </w:pPr>
      <w:r>
        <w:rPr>
          <w:rFonts w:ascii="Times New Roman" w:hAnsi="Times New Roman" w:cs="Times New Roman"/>
          <w:b/>
          <w:sz w:val="24"/>
          <w:szCs w:val="24"/>
        </w:rPr>
        <w:br w:type="page"/>
      </w:r>
    </w:p>
    <w:p w14:paraId="3C282537" w14:textId="77777777" w:rsidR="00063FED" w:rsidRPr="00632DD6" w:rsidRDefault="00063FED" w:rsidP="00063FED">
      <w:pPr>
        <w:pStyle w:val="NoSpacing"/>
        <w:spacing w:line="480" w:lineRule="auto"/>
        <w:jc w:val="both"/>
        <w:rPr>
          <w:rFonts w:ascii="Times New Roman" w:hAnsi="Times New Roman" w:cs="Times New Roman"/>
          <w:b/>
          <w:sz w:val="24"/>
          <w:szCs w:val="24"/>
        </w:rPr>
      </w:pPr>
      <w:r w:rsidRPr="00632DD6">
        <w:rPr>
          <w:rFonts w:ascii="Times New Roman" w:hAnsi="Times New Roman" w:cs="Times New Roman"/>
          <w:b/>
          <w:sz w:val="24"/>
          <w:szCs w:val="24"/>
        </w:rPr>
        <w:lastRenderedPageBreak/>
        <w:t>Supplementary material</w:t>
      </w:r>
    </w:p>
    <w:p w14:paraId="6B288CCA" w14:textId="77777777" w:rsidR="00063FED" w:rsidRDefault="00063FED" w:rsidP="00063FE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Supplementary table 1: ICD-10 codes used to identify patients’ outcomes</w:t>
      </w:r>
    </w:p>
    <w:tbl>
      <w:tblPr>
        <w:tblStyle w:val="TableGrid"/>
        <w:tblW w:w="0" w:type="auto"/>
        <w:tblLook w:val="04A0" w:firstRow="1" w:lastRow="0" w:firstColumn="1" w:lastColumn="0" w:noHBand="0" w:noVBand="1"/>
      </w:tblPr>
      <w:tblGrid>
        <w:gridCol w:w="4361"/>
        <w:gridCol w:w="4394"/>
      </w:tblGrid>
      <w:tr w:rsidR="00063FED" w14:paraId="68ECF009" w14:textId="77777777" w:rsidTr="00984FFE">
        <w:tc>
          <w:tcPr>
            <w:tcW w:w="8755" w:type="dxa"/>
            <w:gridSpan w:val="2"/>
          </w:tcPr>
          <w:p w14:paraId="0DAE0B1C" w14:textId="77777777" w:rsidR="00063FED" w:rsidRPr="00936C19" w:rsidRDefault="00063FED" w:rsidP="00984FFE">
            <w:pPr>
              <w:pStyle w:val="NoSpacing"/>
              <w:spacing w:line="480" w:lineRule="auto"/>
              <w:jc w:val="both"/>
              <w:rPr>
                <w:rFonts w:ascii="Times New Roman" w:hAnsi="Times New Roman" w:cs="Times New Roman"/>
                <w:b/>
                <w:bCs/>
                <w:sz w:val="24"/>
                <w:szCs w:val="24"/>
              </w:rPr>
            </w:pPr>
            <w:r w:rsidRPr="00936C19">
              <w:rPr>
                <w:rFonts w:ascii="Times New Roman" w:hAnsi="Times New Roman" w:cs="Times New Roman"/>
                <w:b/>
                <w:bCs/>
                <w:sz w:val="24"/>
                <w:szCs w:val="24"/>
              </w:rPr>
              <w:t>Acute coronary syndrome</w:t>
            </w:r>
          </w:p>
        </w:tc>
      </w:tr>
      <w:tr w:rsidR="00063FED" w14:paraId="279101AA" w14:textId="77777777" w:rsidTr="00984FFE">
        <w:tc>
          <w:tcPr>
            <w:tcW w:w="4361" w:type="dxa"/>
          </w:tcPr>
          <w:p w14:paraId="64C17251"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STEMI</w:t>
            </w:r>
          </w:p>
        </w:tc>
        <w:tc>
          <w:tcPr>
            <w:tcW w:w="4394" w:type="dxa"/>
          </w:tcPr>
          <w:p w14:paraId="6C4B8097" w14:textId="77777777" w:rsidR="00063FED" w:rsidRDefault="00063FED" w:rsidP="00984FFE">
            <w:pPr>
              <w:pStyle w:val="NoSpacing"/>
              <w:spacing w:line="480" w:lineRule="auto"/>
              <w:jc w:val="both"/>
              <w:rPr>
                <w:rFonts w:ascii="Times New Roman" w:hAnsi="Times New Roman" w:cs="Times New Roman"/>
                <w:sz w:val="24"/>
                <w:szCs w:val="24"/>
              </w:rPr>
            </w:pPr>
            <w:r w:rsidRPr="00DF2219">
              <w:rPr>
                <w:rFonts w:asciiTheme="majorBidi" w:hAnsiTheme="majorBidi" w:cstheme="majorBidi"/>
                <w:color w:val="1C1D1E"/>
                <w:shd w:val="clear" w:color="auto" w:fill="FFFFFF"/>
              </w:rPr>
              <w:t>I210</w:t>
            </w:r>
            <w:r>
              <w:rPr>
                <w:rFonts w:asciiTheme="majorBidi" w:hAnsiTheme="majorBidi" w:cstheme="majorBidi"/>
                <w:color w:val="1C1D1E"/>
                <w:shd w:val="clear" w:color="auto" w:fill="FFFFFF"/>
              </w:rPr>
              <w:t xml:space="preserve">* </w:t>
            </w:r>
            <w:r w:rsidRPr="00DF2219">
              <w:rPr>
                <w:rFonts w:asciiTheme="majorBidi" w:hAnsiTheme="majorBidi" w:cstheme="majorBidi"/>
                <w:color w:val="1C1D1E"/>
                <w:shd w:val="clear" w:color="auto" w:fill="FFFFFF"/>
              </w:rPr>
              <w:t>I211</w:t>
            </w:r>
            <w:r>
              <w:rPr>
                <w:rFonts w:asciiTheme="majorBidi" w:hAnsiTheme="majorBidi" w:cstheme="majorBidi"/>
                <w:color w:val="1C1D1E"/>
                <w:shd w:val="clear" w:color="auto" w:fill="FFFFFF"/>
              </w:rPr>
              <w:t xml:space="preserve">* </w:t>
            </w:r>
            <w:r w:rsidRPr="00DF2219">
              <w:rPr>
                <w:rFonts w:asciiTheme="majorBidi" w:hAnsiTheme="majorBidi" w:cstheme="majorBidi"/>
                <w:color w:val="1C1D1E"/>
                <w:shd w:val="clear" w:color="auto" w:fill="FFFFFF"/>
              </w:rPr>
              <w:t>I212</w:t>
            </w:r>
            <w:r>
              <w:rPr>
                <w:rFonts w:asciiTheme="majorBidi" w:hAnsiTheme="majorBidi" w:cstheme="majorBidi"/>
                <w:color w:val="1C1D1E"/>
                <w:shd w:val="clear" w:color="auto" w:fill="FFFFFF"/>
              </w:rPr>
              <w:t>*</w:t>
            </w:r>
            <w:r w:rsidRPr="00DF2219">
              <w:rPr>
                <w:rFonts w:asciiTheme="majorBidi" w:hAnsiTheme="majorBidi" w:cstheme="majorBidi"/>
                <w:color w:val="1C1D1E"/>
                <w:shd w:val="clear" w:color="auto" w:fill="FFFFFF"/>
              </w:rPr>
              <w:t xml:space="preserve"> I213</w:t>
            </w:r>
          </w:p>
        </w:tc>
      </w:tr>
      <w:tr w:rsidR="00063FED" w14:paraId="0B4C53F0" w14:textId="77777777" w:rsidTr="00984FFE">
        <w:tc>
          <w:tcPr>
            <w:tcW w:w="4361" w:type="dxa"/>
          </w:tcPr>
          <w:p w14:paraId="00F9A450"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NSTEACS</w:t>
            </w:r>
          </w:p>
        </w:tc>
        <w:tc>
          <w:tcPr>
            <w:tcW w:w="4394" w:type="dxa"/>
          </w:tcPr>
          <w:p w14:paraId="04214478" w14:textId="77777777" w:rsidR="00063FED" w:rsidRDefault="00063FED" w:rsidP="00984FFE">
            <w:pPr>
              <w:pStyle w:val="NoSpacing"/>
              <w:spacing w:line="480" w:lineRule="auto"/>
              <w:jc w:val="both"/>
              <w:rPr>
                <w:rFonts w:ascii="Times New Roman" w:hAnsi="Times New Roman" w:cs="Times New Roman"/>
                <w:sz w:val="24"/>
                <w:szCs w:val="24"/>
              </w:rPr>
            </w:pPr>
            <w:r w:rsidRPr="00DF2219">
              <w:rPr>
                <w:rFonts w:asciiTheme="majorBidi" w:hAnsiTheme="majorBidi" w:cstheme="majorBidi"/>
              </w:rPr>
              <w:t xml:space="preserve">I214 </w:t>
            </w:r>
            <w:r w:rsidRPr="00B45A8F">
              <w:rPr>
                <w:rFonts w:asciiTheme="majorBidi" w:hAnsiTheme="majorBidi" w:cstheme="majorBidi"/>
              </w:rPr>
              <w:t>I219</w:t>
            </w:r>
            <w:r w:rsidRPr="00DF2219">
              <w:rPr>
                <w:rFonts w:asciiTheme="majorBidi" w:hAnsiTheme="majorBidi" w:cstheme="majorBidi"/>
              </w:rPr>
              <w:t xml:space="preserve"> I200 (UA)</w:t>
            </w:r>
          </w:p>
        </w:tc>
      </w:tr>
      <w:tr w:rsidR="00063FED" w14:paraId="3A043796" w14:textId="77777777" w:rsidTr="00984FFE">
        <w:tc>
          <w:tcPr>
            <w:tcW w:w="4361" w:type="dxa"/>
          </w:tcPr>
          <w:p w14:paraId="0A3CE0D6"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Re-infarction</w:t>
            </w:r>
          </w:p>
        </w:tc>
        <w:tc>
          <w:tcPr>
            <w:tcW w:w="4394" w:type="dxa"/>
          </w:tcPr>
          <w:p w14:paraId="5C8A2041" w14:textId="77777777" w:rsidR="00063FED" w:rsidRDefault="00063FED" w:rsidP="00984FFE">
            <w:pPr>
              <w:pStyle w:val="NoSpacing"/>
              <w:spacing w:line="480" w:lineRule="auto"/>
              <w:jc w:val="both"/>
              <w:rPr>
                <w:rFonts w:ascii="Times New Roman" w:hAnsi="Times New Roman" w:cs="Times New Roman"/>
                <w:sz w:val="24"/>
                <w:szCs w:val="24"/>
              </w:rPr>
            </w:pPr>
            <w:r w:rsidRPr="00DF2219">
              <w:rPr>
                <w:rFonts w:asciiTheme="majorBidi" w:hAnsiTheme="majorBidi" w:cstheme="majorBidi"/>
              </w:rPr>
              <w:t>I22*</w:t>
            </w:r>
          </w:p>
        </w:tc>
      </w:tr>
      <w:tr w:rsidR="00063FED" w14:paraId="649CAC3A" w14:textId="77777777" w:rsidTr="00984FFE">
        <w:tc>
          <w:tcPr>
            <w:tcW w:w="8755" w:type="dxa"/>
            <w:gridSpan w:val="2"/>
          </w:tcPr>
          <w:p w14:paraId="4ED5369B" w14:textId="77777777" w:rsidR="00063FED" w:rsidRPr="00936C19" w:rsidRDefault="00063FED" w:rsidP="00984FFE">
            <w:pPr>
              <w:pStyle w:val="NoSpacing"/>
              <w:spacing w:line="480" w:lineRule="auto"/>
              <w:jc w:val="both"/>
              <w:rPr>
                <w:rFonts w:ascii="Times New Roman" w:hAnsi="Times New Roman" w:cs="Times New Roman"/>
                <w:b/>
                <w:bCs/>
                <w:sz w:val="24"/>
                <w:szCs w:val="24"/>
              </w:rPr>
            </w:pPr>
            <w:r w:rsidRPr="00936C19">
              <w:rPr>
                <w:rFonts w:ascii="Times New Roman" w:hAnsi="Times New Roman" w:cs="Times New Roman"/>
                <w:b/>
                <w:bCs/>
                <w:sz w:val="24"/>
                <w:szCs w:val="24"/>
              </w:rPr>
              <w:t>Stroke</w:t>
            </w:r>
          </w:p>
        </w:tc>
      </w:tr>
      <w:tr w:rsidR="00063FED" w14:paraId="512FA653" w14:textId="77777777" w:rsidTr="00984FFE">
        <w:tc>
          <w:tcPr>
            <w:tcW w:w="4361" w:type="dxa"/>
          </w:tcPr>
          <w:p w14:paraId="698817B1"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Ischaemic stroke</w:t>
            </w:r>
          </w:p>
        </w:tc>
        <w:tc>
          <w:tcPr>
            <w:tcW w:w="4394" w:type="dxa"/>
          </w:tcPr>
          <w:p w14:paraId="2501CD59" w14:textId="77777777" w:rsidR="00063FED" w:rsidRDefault="00063FED" w:rsidP="00984FFE">
            <w:pPr>
              <w:pStyle w:val="NoSpacing"/>
              <w:spacing w:line="480" w:lineRule="auto"/>
              <w:jc w:val="both"/>
              <w:rPr>
                <w:rFonts w:ascii="Times New Roman" w:hAnsi="Times New Roman" w:cs="Times New Roman"/>
                <w:sz w:val="24"/>
                <w:szCs w:val="24"/>
              </w:rPr>
            </w:pPr>
            <w:r>
              <w:rPr>
                <w:rFonts w:asciiTheme="majorBidi" w:hAnsiTheme="majorBidi" w:cstheme="majorBidi"/>
              </w:rPr>
              <w:t>I63*</w:t>
            </w:r>
          </w:p>
        </w:tc>
      </w:tr>
      <w:tr w:rsidR="00063FED" w14:paraId="2A3601C2" w14:textId="77777777" w:rsidTr="00984FFE">
        <w:tc>
          <w:tcPr>
            <w:tcW w:w="4361" w:type="dxa"/>
          </w:tcPr>
          <w:p w14:paraId="2C0C9392"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Transient ischaemic attack</w:t>
            </w:r>
          </w:p>
        </w:tc>
        <w:tc>
          <w:tcPr>
            <w:tcW w:w="4394" w:type="dxa"/>
          </w:tcPr>
          <w:p w14:paraId="79862493"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G459, G453</w:t>
            </w:r>
          </w:p>
        </w:tc>
      </w:tr>
      <w:tr w:rsidR="00063FED" w14:paraId="6F77B408" w14:textId="77777777" w:rsidTr="00984FFE">
        <w:tc>
          <w:tcPr>
            <w:tcW w:w="8755" w:type="dxa"/>
            <w:gridSpan w:val="2"/>
          </w:tcPr>
          <w:p w14:paraId="74EE27BF" w14:textId="77777777" w:rsidR="00063FED" w:rsidRPr="00B65D27" w:rsidRDefault="00063FED" w:rsidP="00984FFE">
            <w:pPr>
              <w:pStyle w:val="NoSpacing"/>
              <w:spacing w:line="480" w:lineRule="auto"/>
              <w:jc w:val="both"/>
              <w:rPr>
                <w:rFonts w:ascii="Times New Roman" w:hAnsi="Times New Roman" w:cs="Times New Roman"/>
                <w:b/>
                <w:bCs/>
                <w:sz w:val="24"/>
                <w:szCs w:val="24"/>
              </w:rPr>
            </w:pPr>
            <w:r w:rsidRPr="00B65D27">
              <w:rPr>
                <w:rFonts w:ascii="Times New Roman" w:hAnsi="Times New Roman" w:cs="Times New Roman"/>
                <w:b/>
                <w:bCs/>
                <w:sz w:val="24"/>
                <w:szCs w:val="24"/>
              </w:rPr>
              <w:t>Major bleeding</w:t>
            </w:r>
          </w:p>
        </w:tc>
      </w:tr>
      <w:tr w:rsidR="00063FED" w14:paraId="24148F2C" w14:textId="77777777" w:rsidTr="00984FFE">
        <w:tc>
          <w:tcPr>
            <w:tcW w:w="4361" w:type="dxa"/>
          </w:tcPr>
          <w:p w14:paraId="5E429B9A"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Subarachnoid haemorrhage</w:t>
            </w:r>
          </w:p>
        </w:tc>
        <w:tc>
          <w:tcPr>
            <w:tcW w:w="4394" w:type="dxa"/>
          </w:tcPr>
          <w:p w14:paraId="3C585729"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I60*</w:t>
            </w:r>
          </w:p>
        </w:tc>
      </w:tr>
      <w:tr w:rsidR="00063FED" w14:paraId="579AEFAE" w14:textId="77777777" w:rsidTr="00984FFE">
        <w:tc>
          <w:tcPr>
            <w:tcW w:w="4361" w:type="dxa"/>
          </w:tcPr>
          <w:p w14:paraId="43C54534"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Intracerebral haemorrhage</w:t>
            </w:r>
          </w:p>
        </w:tc>
        <w:tc>
          <w:tcPr>
            <w:tcW w:w="4394" w:type="dxa"/>
          </w:tcPr>
          <w:p w14:paraId="01FCBAE7"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I61*</w:t>
            </w:r>
          </w:p>
        </w:tc>
      </w:tr>
      <w:tr w:rsidR="00063FED" w14:paraId="566F6E1F" w14:textId="77777777" w:rsidTr="00984FFE">
        <w:tc>
          <w:tcPr>
            <w:tcW w:w="4361" w:type="dxa"/>
          </w:tcPr>
          <w:p w14:paraId="6DE9D627"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Non-traumatic intracranial bleeding</w:t>
            </w:r>
          </w:p>
        </w:tc>
        <w:tc>
          <w:tcPr>
            <w:tcW w:w="4394" w:type="dxa"/>
          </w:tcPr>
          <w:p w14:paraId="3EC9953F"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I62*</w:t>
            </w:r>
          </w:p>
        </w:tc>
      </w:tr>
      <w:tr w:rsidR="00063FED" w14:paraId="7E5BACB8" w14:textId="77777777" w:rsidTr="00984FFE">
        <w:tc>
          <w:tcPr>
            <w:tcW w:w="4361" w:type="dxa"/>
          </w:tcPr>
          <w:p w14:paraId="0BE08C1B"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Gastrointestinal bleeding</w:t>
            </w:r>
          </w:p>
        </w:tc>
        <w:tc>
          <w:tcPr>
            <w:tcW w:w="4394" w:type="dxa"/>
          </w:tcPr>
          <w:p w14:paraId="406BB06A"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K920, K921, K922</w:t>
            </w:r>
          </w:p>
        </w:tc>
      </w:tr>
      <w:tr w:rsidR="00063FED" w14:paraId="36789239" w14:textId="77777777" w:rsidTr="00984FFE">
        <w:tc>
          <w:tcPr>
            <w:tcW w:w="4361" w:type="dxa"/>
          </w:tcPr>
          <w:p w14:paraId="1DFE035C"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Haemorrhage not elsewhere specified</w:t>
            </w:r>
          </w:p>
        </w:tc>
        <w:tc>
          <w:tcPr>
            <w:tcW w:w="4394" w:type="dxa"/>
          </w:tcPr>
          <w:p w14:paraId="34D3A548" w14:textId="77777777" w:rsidR="00063FED" w:rsidRDefault="00063FED" w:rsidP="00984FF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R58X</w:t>
            </w:r>
          </w:p>
        </w:tc>
      </w:tr>
    </w:tbl>
    <w:p w14:paraId="4A8E7118" w14:textId="77777777" w:rsidR="00063FED" w:rsidRDefault="00063FED" w:rsidP="00063FE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Supplementary table 1: ICD-10 codes used to identify patients’ outcomes.</w:t>
      </w:r>
    </w:p>
    <w:p w14:paraId="40769733" w14:textId="77777777" w:rsidR="00AD5D01" w:rsidRDefault="00AD5D01">
      <w:pPr>
        <w:rPr>
          <w:rFonts w:ascii="Times New Roman" w:hAnsi="Times New Roman" w:cs="Times New Roman"/>
          <w:b/>
          <w:sz w:val="24"/>
          <w:szCs w:val="24"/>
        </w:rPr>
      </w:pPr>
      <w:r>
        <w:rPr>
          <w:rFonts w:ascii="Times New Roman" w:hAnsi="Times New Roman" w:cs="Times New Roman"/>
          <w:b/>
          <w:sz w:val="24"/>
          <w:szCs w:val="24"/>
        </w:rPr>
        <w:br w:type="page"/>
      </w:r>
    </w:p>
    <w:p w14:paraId="047BAF2A" w14:textId="3F4CAA39" w:rsidR="00AD5D01" w:rsidRPr="009E4667" w:rsidRDefault="00AD5D01">
      <w:pPr>
        <w:rPr>
          <w:rFonts w:ascii="Times New Roman" w:hAnsi="Times New Roman" w:cs="Times New Roman"/>
          <w:bCs/>
          <w:sz w:val="24"/>
          <w:szCs w:val="24"/>
        </w:rPr>
      </w:pPr>
      <w:r w:rsidRPr="009E4667">
        <w:rPr>
          <w:rFonts w:ascii="Times New Roman" w:hAnsi="Times New Roman" w:cs="Times New Roman"/>
          <w:bCs/>
          <w:sz w:val="24"/>
          <w:szCs w:val="24"/>
        </w:rPr>
        <w:lastRenderedPageBreak/>
        <w:t xml:space="preserve">Supplementary figure 1: </w:t>
      </w:r>
      <w:r w:rsidR="009E4667" w:rsidRPr="009E4667">
        <w:rPr>
          <w:rFonts w:ascii="Times New Roman" w:hAnsi="Times New Roman" w:cs="Times New Roman"/>
          <w:bCs/>
          <w:sz w:val="24"/>
          <w:szCs w:val="24"/>
        </w:rPr>
        <w:t>Yearly usage of DCB and DES in patients with first STEMI presentation due to de novo disease fulfilling inclusion criteria</w:t>
      </w:r>
    </w:p>
    <w:p w14:paraId="0ED33BDC" w14:textId="7B84AF95" w:rsidR="00DB00FC" w:rsidRDefault="009E4667">
      <w:pPr>
        <w:rPr>
          <w:rFonts w:ascii="Times New Roman" w:hAnsi="Times New Roman" w:cs="Times New Roman"/>
          <w:b/>
          <w:sz w:val="24"/>
          <w:szCs w:val="24"/>
        </w:rPr>
      </w:pPr>
      <w:r>
        <w:rPr>
          <w:noProof/>
        </w:rPr>
        <w:drawing>
          <wp:inline distT="0" distB="0" distL="0" distR="0" wp14:anchorId="1983EF81" wp14:editId="46653121">
            <wp:extent cx="5128260" cy="306673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674" cy="3075952"/>
                    </a:xfrm>
                    <a:prstGeom prst="rect">
                      <a:avLst/>
                    </a:prstGeom>
                    <a:noFill/>
                    <a:ln>
                      <a:noFill/>
                    </a:ln>
                  </pic:spPr>
                </pic:pic>
              </a:graphicData>
            </a:graphic>
          </wp:inline>
        </w:drawing>
      </w:r>
      <w:r>
        <w:rPr>
          <w:rFonts w:ascii="Times New Roman" w:hAnsi="Times New Roman" w:cs="Times New Roman"/>
          <w:b/>
          <w:sz w:val="24"/>
          <w:szCs w:val="24"/>
        </w:rPr>
        <w:t xml:space="preserve"> </w:t>
      </w:r>
      <w:r w:rsidR="00DB00FC">
        <w:rPr>
          <w:rFonts w:ascii="Times New Roman" w:hAnsi="Times New Roman" w:cs="Times New Roman"/>
          <w:b/>
          <w:sz w:val="24"/>
          <w:szCs w:val="24"/>
        </w:rPr>
        <w:br w:type="page"/>
      </w:r>
    </w:p>
    <w:p w14:paraId="4B85D5FB" w14:textId="4300254C" w:rsidR="00063FED" w:rsidRDefault="00DB00FC" w:rsidP="00771730">
      <w:pPr>
        <w:rPr>
          <w:rFonts w:ascii="Times New Roman" w:hAnsi="Times New Roman" w:cs="Times New Roman"/>
          <w:bCs/>
          <w:sz w:val="24"/>
          <w:szCs w:val="24"/>
        </w:rPr>
      </w:pPr>
      <w:r w:rsidRPr="00DB00FC">
        <w:rPr>
          <w:rFonts w:ascii="Times New Roman" w:hAnsi="Times New Roman" w:cs="Times New Roman"/>
          <w:bCs/>
          <w:sz w:val="24"/>
          <w:szCs w:val="24"/>
        </w:rPr>
        <w:lastRenderedPageBreak/>
        <w:t xml:space="preserve">Supplemental figure </w:t>
      </w:r>
      <w:r w:rsidR="009E4667">
        <w:rPr>
          <w:rFonts w:ascii="Times New Roman" w:hAnsi="Times New Roman" w:cs="Times New Roman"/>
          <w:bCs/>
          <w:sz w:val="24"/>
          <w:szCs w:val="24"/>
        </w:rPr>
        <w:t>2</w:t>
      </w:r>
      <w:r w:rsidRPr="00DB00FC">
        <w:rPr>
          <w:rFonts w:ascii="Times New Roman" w:hAnsi="Times New Roman" w:cs="Times New Roman"/>
          <w:bCs/>
          <w:sz w:val="24"/>
          <w:szCs w:val="24"/>
        </w:rPr>
        <w:t xml:space="preserve">: Kaplan Meier for </w:t>
      </w:r>
      <w:r w:rsidR="004D16C8">
        <w:rPr>
          <w:rFonts w:ascii="Times New Roman" w:hAnsi="Times New Roman" w:cs="Times New Roman"/>
          <w:bCs/>
          <w:sz w:val="24"/>
          <w:szCs w:val="24"/>
        </w:rPr>
        <w:t>net adverse cardiac events</w:t>
      </w:r>
      <w:r w:rsidRPr="00DB00FC">
        <w:rPr>
          <w:rFonts w:ascii="Times New Roman" w:hAnsi="Times New Roman" w:cs="Times New Roman"/>
          <w:bCs/>
          <w:sz w:val="24"/>
          <w:szCs w:val="24"/>
        </w:rPr>
        <w:t xml:space="preserve"> in full cohort</w:t>
      </w:r>
    </w:p>
    <w:p w14:paraId="77A3B50A" w14:textId="43374841" w:rsidR="00951416" w:rsidRDefault="00951416" w:rsidP="00771730">
      <w:pPr>
        <w:rPr>
          <w:rFonts w:ascii="Times New Roman" w:hAnsi="Times New Roman" w:cs="Times New Roman"/>
          <w:bCs/>
          <w:sz w:val="24"/>
          <w:szCs w:val="24"/>
        </w:rPr>
      </w:pPr>
      <w:r w:rsidRPr="00951416">
        <w:rPr>
          <w:rFonts w:ascii="Times New Roman" w:hAnsi="Times New Roman" w:cs="Times New Roman"/>
          <w:bCs/>
          <w:noProof/>
          <w:sz w:val="24"/>
          <w:szCs w:val="24"/>
        </w:rPr>
        <w:drawing>
          <wp:inline distT="0" distB="0" distL="0" distR="0" wp14:anchorId="4A81A212" wp14:editId="31B863BF">
            <wp:extent cx="2567940" cy="25755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393" t="15127" r="29803" b="4983"/>
                    <a:stretch/>
                  </pic:blipFill>
                  <pic:spPr bwMode="auto">
                    <a:xfrm>
                      <a:off x="0" y="0"/>
                      <a:ext cx="2567940" cy="2575560"/>
                    </a:xfrm>
                    <a:prstGeom prst="rect">
                      <a:avLst/>
                    </a:prstGeom>
                    <a:ln>
                      <a:noFill/>
                    </a:ln>
                    <a:extLst>
                      <a:ext uri="{53640926-AAD7-44D8-BBD7-CCE9431645EC}">
                        <a14:shadowObscured xmlns:a14="http://schemas.microsoft.com/office/drawing/2010/main"/>
                      </a:ext>
                    </a:extLst>
                  </pic:spPr>
                </pic:pic>
              </a:graphicData>
            </a:graphic>
          </wp:inline>
        </w:drawing>
      </w:r>
      <w:r w:rsidRPr="00951416">
        <w:rPr>
          <w:rFonts w:ascii="Times New Roman" w:hAnsi="Times New Roman" w:cs="Times New Roman"/>
          <w:bCs/>
          <w:noProof/>
          <w:sz w:val="24"/>
          <w:szCs w:val="24"/>
        </w:rPr>
        <w:drawing>
          <wp:inline distT="0" distB="0" distL="0" distR="0" wp14:anchorId="3ADBB03E" wp14:editId="7C38D7A2">
            <wp:extent cx="2621280" cy="2582618"/>
            <wp:effectExtent l="0" t="0" r="762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93" t="15600" r="29537" b="5456"/>
                    <a:stretch/>
                  </pic:blipFill>
                  <pic:spPr bwMode="auto">
                    <a:xfrm>
                      <a:off x="0" y="0"/>
                      <a:ext cx="2630694" cy="2591893"/>
                    </a:xfrm>
                    <a:prstGeom prst="rect">
                      <a:avLst/>
                    </a:prstGeom>
                    <a:ln>
                      <a:noFill/>
                    </a:ln>
                    <a:extLst>
                      <a:ext uri="{53640926-AAD7-44D8-BBD7-CCE9431645EC}">
                        <a14:shadowObscured xmlns:a14="http://schemas.microsoft.com/office/drawing/2010/main"/>
                      </a:ext>
                    </a:extLst>
                  </pic:spPr>
                </pic:pic>
              </a:graphicData>
            </a:graphic>
          </wp:inline>
        </w:drawing>
      </w:r>
    </w:p>
    <w:p w14:paraId="2FC72C82" w14:textId="77777777" w:rsidR="00951416" w:rsidRDefault="00951416">
      <w:pPr>
        <w:rPr>
          <w:rFonts w:ascii="Times New Roman" w:hAnsi="Times New Roman" w:cs="Times New Roman"/>
          <w:bCs/>
          <w:sz w:val="24"/>
          <w:szCs w:val="24"/>
        </w:rPr>
      </w:pPr>
      <w:r w:rsidRPr="00951416">
        <w:rPr>
          <w:rFonts w:ascii="Times New Roman" w:hAnsi="Times New Roman" w:cs="Times New Roman"/>
          <w:bCs/>
          <w:noProof/>
          <w:sz w:val="24"/>
          <w:szCs w:val="24"/>
        </w:rPr>
        <w:drawing>
          <wp:inline distT="0" distB="0" distL="0" distR="0" wp14:anchorId="132A98C1" wp14:editId="6B20D6BC">
            <wp:extent cx="2575560" cy="2545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261" t="15600" r="29803" b="5456"/>
                    <a:stretch/>
                  </pic:blipFill>
                  <pic:spPr bwMode="auto">
                    <a:xfrm>
                      <a:off x="0" y="0"/>
                      <a:ext cx="2575560" cy="2545080"/>
                    </a:xfrm>
                    <a:prstGeom prst="rect">
                      <a:avLst/>
                    </a:prstGeom>
                    <a:ln>
                      <a:noFill/>
                    </a:ln>
                    <a:extLst>
                      <a:ext uri="{53640926-AAD7-44D8-BBD7-CCE9431645EC}">
                        <a14:shadowObscured xmlns:a14="http://schemas.microsoft.com/office/drawing/2010/main"/>
                      </a:ext>
                    </a:extLst>
                  </pic:spPr>
                </pic:pic>
              </a:graphicData>
            </a:graphic>
          </wp:inline>
        </w:drawing>
      </w:r>
      <w:r w:rsidRPr="00951416">
        <w:rPr>
          <w:rFonts w:ascii="Times New Roman" w:hAnsi="Times New Roman" w:cs="Times New Roman"/>
          <w:bCs/>
          <w:noProof/>
          <w:sz w:val="24"/>
          <w:szCs w:val="24"/>
        </w:rPr>
        <w:drawing>
          <wp:inline distT="0" distB="0" distL="0" distR="0" wp14:anchorId="3BCE4403" wp14:editId="7313EBF2">
            <wp:extent cx="2583180" cy="25450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393" t="15600" r="29537" b="5456"/>
                    <a:stretch/>
                  </pic:blipFill>
                  <pic:spPr bwMode="auto">
                    <a:xfrm>
                      <a:off x="0" y="0"/>
                      <a:ext cx="2583180" cy="2545080"/>
                    </a:xfrm>
                    <a:prstGeom prst="rect">
                      <a:avLst/>
                    </a:prstGeom>
                    <a:ln>
                      <a:noFill/>
                    </a:ln>
                    <a:extLst>
                      <a:ext uri="{53640926-AAD7-44D8-BBD7-CCE9431645EC}">
                        <a14:shadowObscured xmlns:a14="http://schemas.microsoft.com/office/drawing/2010/main"/>
                      </a:ext>
                    </a:extLst>
                  </pic:spPr>
                </pic:pic>
              </a:graphicData>
            </a:graphic>
          </wp:inline>
        </w:drawing>
      </w:r>
    </w:p>
    <w:p w14:paraId="38C38F5B" w14:textId="1F35E475" w:rsidR="00607873" w:rsidRPr="00705A62" w:rsidRDefault="00951416">
      <w:pPr>
        <w:rPr>
          <w:rFonts w:ascii="Times New Roman" w:hAnsi="Times New Roman" w:cs="Times New Roman"/>
          <w:bCs/>
          <w:sz w:val="24"/>
          <w:szCs w:val="24"/>
        </w:rPr>
      </w:pPr>
      <w:r w:rsidRPr="00951416">
        <w:rPr>
          <w:rFonts w:ascii="Times New Roman" w:hAnsi="Times New Roman" w:cs="Times New Roman"/>
          <w:bCs/>
          <w:noProof/>
          <w:sz w:val="24"/>
          <w:szCs w:val="24"/>
        </w:rPr>
        <w:drawing>
          <wp:inline distT="0" distB="0" distL="0" distR="0" wp14:anchorId="1989B4DE" wp14:editId="7E2C619C">
            <wp:extent cx="2560320" cy="258159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5369" cy="2596769"/>
                    </a:xfrm>
                    <a:prstGeom prst="rect">
                      <a:avLst/>
                    </a:prstGeom>
                  </pic:spPr>
                </pic:pic>
              </a:graphicData>
            </a:graphic>
          </wp:inline>
        </w:drawing>
      </w:r>
      <w:r>
        <w:rPr>
          <w:rFonts w:ascii="Times New Roman" w:hAnsi="Times New Roman" w:cs="Times New Roman"/>
          <w:bCs/>
          <w:sz w:val="24"/>
          <w:szCs w:val="24"/>
        </w:rPr>
        <w:br w:type="page"/>
      </w:r>
    </w:p>
    <w:p w14:paraId="449DB76A" w14:textId="718A2508" w:rsidR="00607873" w:rsidRDefault="00607873" w:rsidP="00771730">
      <w:pPr>
        <w:rPr>
          <w:rFonts w:ascii="Times New Roman" w:hAnsi="Times New Roman" w:cs="Times New Roman"/>
          <w:bCs/>
          <w:sz w:val="24"/>
          <w:szCs w:val="24"/>
        </w:rPr>
      </w:pPr>
      <w:r w:rsidRPr="00607873">
        <w:rPr>
          <w:rFonts w:ascii="Times New Roman" w:hAnsi="Times New Roman" w:cs="Times New Roman"/>
          <w:bCs/>
          <w:sz w:val="24"/>
          <w:szCs w:val="24"/>
        </w:rPr>
        <w:lastRenderedPageBreak/>
        <w:t xml:space="preserve">Supplement figure </w:t>
      </w:r>
      <w:r w:rsidR="009E4667">
        <w:rPr>
          <w:rFonts w:ascii="Times New Roman" w:hAnsi="Times New Roman" w:cs="Times New Roman"/>
          <w:bCs/>
          <w:sz w:val="24"/>
          <w:szCs w:val="24"/>
        </w:rPr>
        <w:t>3</w:t>
      </w:r>
      <w:r w:rsidRPr="00607873">
        <w:rPr>
          <w:rFonts w:ascii="Times New Roman" w:hAnsi="Times New Roman" w:cs="Times New Roman"/>
          <w:bCs/>
          <w:sz w:val="24"/>
          <w:szCs w:val="24"/>
        </w:rPr>
        <w:t xml:space="preserve">: Kaplan Meier plots for </w:t>
      </w:r>
      <w:r w:rsidR="004D16C8">
        <w:rPr>
          <w:rFonts w:ascii="Times New Roman" w:hAnsi="Times New Roman" w:cs="Times New Roman"/>
          <w:bCs/>
          <w:sz w:val="24"/>
          <w:szCs w:val="24"/>
        </w:rPr>
        <w:t>net adverse cardiac events</w:t>
      </w:r>
      <w:r w:rsidRPr="00607873">
        <w:rPr>
          <w:rFonts w:ascii="Times New Roman" w:hAnsi="Times New Roman" w:cs="Times New Roman"/>
          <w:bCs/>
          <w:sz w:val="24"/>
          <w:szCs w:val="24"/>
        </w:rPr>
        <w:t xml:space="preserve"> in matched cohort</w:t>
      </w:r>
    </w:p>
    <w:p w14:paraId="1C7C2C4A" w14:textId="77777777" w:rsidR="00705A62" w:rsidRDefault="00705A62">
      <w:pPr>
        <w:rPr>
          <w:rFonts w:ascii="Times New Roman" w:hAnsi="Times New Roman" w:cs="Times New Roman"/>
          <w:bCs/>
          <w:sz w:val="24"/>
          <w:szCs w:val="24"/>
        </w:rPr>
      </w:pPr>
      <w:r w:rsidRPr="00705A62">
        <w:rPr>
          <w:rFonts w:ascii="Times New Roman" w:hAnsi="Times New Roman" w:cs="Times New Roman"/>
          <w:bCs/>
          <w:noProof/>
          <w:sz w:val="24"/>
          <w:szCs w:val="24"/>
        </w:rPr>
        <w:drawing>
          <wp:inline distT="0" distB="0" distL="0" distR="0" wp14:anchorId="4FA90232" wp14:editId="0EF151E7">
            <wp:extent cx="2614140" cy="2590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526" t="15837" r="29803" b="5455"/>
                    <a:stretch/>
                  </pic:blipFill>
                  <pic:spPr bwMode="auto">
                    <a:xfrm>
                      <a:off x="0" y="0"/>
                      <a:ext cx="2634111" cy="2610592"/>
                    </a:xfrm>
                    <a:prstGeom prst="rect">
                      <a:avLst/>
                    </a:prstGeom>
                    <a:ln>
                      <a:noFill/>
                    </a:ln>
                    <a:extLst>
                      <a:ext uri="{53640926-AAD7-44D8-BBD7-CCE9431645EC}">
                        <a14:shadowObscured xmlns:a14="http://schemas.microsoft.com/office/drawing/2010/main"/>
                      </a:ext>
                    </a:extLst>
                  </pic:spPr>
                </pic:pic>
              </a:graphicData>
            </a:graphic>
          </wp:inline>
        </w:drawing>
      </w:r>
      <w:r w:rsidRPr="00705A62">
        <w:rPr>
          <w:rFonts w:ascii="Times New Roman" w:hAnsi="Times New Roman" w:cs="Times New Roman"/>
          <w:bCs/>
          <w:noProof/>
          <w:sz w:val="24"/>
          <w:szCs w:val="24"/>
        </w:rPr>
        <w:drawing>
          <wp:inline distT="0" distB="0" distL="0" distR="0" wp14:anchorId="544A6AF2" wp14:editId="384F7C8F">
            <wp:extent cx="2613660" cy="256726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394" t="15836" r="29670" b="5693"/>
                    <a:stretch/>
                  </pic:blipFill>
                  <pic:spPr bwMode="auto">
                    <a:xfrm>
                      <a:off x="0" y="0"/>
                      <a:ext cx="2629938" cy="2583253"/>
                    </a:xfrm>
                    <a:prstGeom prst="rect">
                      <a:avLst/>
                    </a:prstGeom>
                    <a:ln>
                      <a:noFill/>
                    </a:ln>
                    <a:extLst>
                      <a:ext uri="{53640926-AAD7-44D8-BBD7-CCE9431645EC}">
                        <a14:shadowObscured xmlns:a14="http://schemas.microsoft.com/office/drawing/2010/main"/>
                      </a:ext>
                    </a:extLst>
                  </pic:spPr>
                </pic:pic>
              </a:graphicData>
            </a:graphic>
          </wp:inline>
        </w:drawing>
      </w:r>
    </w:p>
    <w:p w14:paraId="26E6C23B" w14:textId="77777777" w:rsidR="00705A62" w:rsidRDefault="00705A62">
      <w:pPr>
        <w:rPr>
          <w:rFonts w:ascii="Times New Roman" w:hAnsi="Times New Roman" w:cs="Times New Roman"/>
          <w:bCs/>
          <w:sz w:val="24"/>
          <w:szCs w:val="24"/>
        </w:rPr>
      </w:pPr>
      <w:r w:rsidRPr="00705A62">
        <w:rPr>
          <w:rFonts w:ascii="Times New Roman" w:hAnsi="Times New Roman" w:cs="Times New Roman"/>
          <w:bCs/>
          <w:noProof/>
          <w:sz w:val="24"/>
          <w:szCs w:val="24"/>
        </w:rPr>
        <w:drawing>
          <wp:inline distT="0" distB="0" distL="0" distR="0" wp14:anchorId="1C0E3428" wp14:editId="3F38655A">
            <wp:extent cx="2676554" cy="2628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526" t="16073" r="29670" b="5692"/>
                    <a:stretch/>
                  </pic:blipFill>
                  <pic:spPr bwMode="auto">
                    <a:xfrm>
                      <a:off x="0" y="0"/>
                      <a:ext cx="2686556" cy="2638724"/>
                    </a:xfrm>
                    <a:prstGeom prst="rect">
                      <a:avLst/>
                    </a:prstGeom>
                    <a:ln>
                      <a:noFill/>
                    </a:ln>
                    <a:extLst>
                      <a:ext uri="{53640926-AAD7-44D8-BBD7-CCE9431645EC}">
                        <a14:shadowObscured xmlns:a14="http://schemas.microsoft.com/office/drawing/2010/main"/>
                      </a:ext>
                    </a:extLst>
                  </pic:spPr>
                </pic:pic>
              </a:graphicData>
            </a:graphic>
          </wp:inline>
        </w:drawing>
      </w:r>
      <w:r w:rsidRPr="00705A62">
        <w:rPr>
          <w:rFonts w:ascii="Times New Roman" w:hAnsi="Times New Roman" w:cs="Times New Roman"/>
          <w:bCs/>
          <w:noProof/>
          <w:sz w:val="24"/>
          <w:szCs w:val="24"/>
        </w:rPr>
        <w:drawing>
          <wp:inline distT="0" distB="0" distL="0" distR="0" wp14:anchorId="1AE353B6" wp14:editId="2C6CFDE0">
            <wp:extent cx="2652855" cy="2606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260" t="15600" r="29537" b="5456"/>
                    <a:stretch/>
                  </pic:blipFill>
                  <pic:spPr bwMode="auto">
                    <a:xfrm>
                      <a:off x="0" y="0"/>
                      <a:ext cx="2662214" cy="2615233"/>
                    </a:xfrm>
                    <a:prstGeom prst="rect">
                      <a:avLst/>
                    </a:prstGeom>
                    <a:ln>
                      <a:noFill/>
                    </a:ln>
                    <a:extLst>
                      <a:ext uri="{53640926-AAD7-44D8-BBD7-CCE9431645EC}">
                        <a14:shadowObscured xmlns:a14="http://schemas.microsoft.com/office/drawing/2010/main"/>
                      </a:ext>
                    </a:extLst>
                  </pic:spPr>
                </pic:pic>
              </a:graphicData>
            </a:graphic>
          </wp:inline>
        </w:drawing>
      </w:r>
    </w:p>
    <w:p w14:paraId="167C63A6" w14:textId="12BD9448" w:rsidR="00A91BED" w:rsidRPr="00705A62" w:rsidRDefault="00705A62" w:rsidP="00771730">
      <w:pPr>
        <w:rPr>
          <w:rFonts w:ascii="Times New Roman" w:hAnsi="Times New Roman" w:cs="Times New Roman"/>
          <w:bCs/>
          <w:sz w:val="24"/>
          <w:szCs w:val="24"/>
        </w:rPr>
      </w:pPr>
      <w:r w:rsidRPr="00705A62">
        <w:rPr>
          <w:rFonts w:ascii="Times New Roman" w:hAnsi="Times New Roman" w:cs="Times New Roman"/>
          <w:bCs/>
          <w:noProof/>
          <w:sz w:val="24"/>
          <w:szCs w:val="24"/>
        </w:rPr>
        <w:drawing>
          <wp:inline distT="0" distB="0" distL="0" distR="0" wp14:anchorId="78028896" wp14:editId="10A6D15E">
            <wp:extent cx="2743200" cy="2740161"/>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62279" cy="2759219"/>
                    </a:xfrm>
                    <a:prstGeom prst="rect">
                      <a:avLst/>
                    </a:prstGeom>
                  </pic:spPr>
                </pic:pic>
              </a:graphicData>
            </a:graphic>
          </wp:inline>
        </w:drawing>
      </w:r>
    </w:p>
    <w:sectPr w:rsidR="00A91BED" w:rsidRPr="00705A62" w:rsidSect="00197FC2">
      <w:footerReference w:type="default" r:id="rId25"/>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CB27E" w14:textId="77777777" w:rsidR="003F2A0C" w:rsidRDefault="003F2A0C" w:rsidP="008D3C49">
      <w:pPr>
        <w:spacing w:after="0" w:line="240" w:lineRule="auto"/>
      </w:pPr>
      <w:r>
        <w:separator/>
      </w:r>
    </w:p>
  </w:endnote>
  <w:endnote w:type="continuationSeparator" w:id="0">
    <w:p w14:paraId="0C398608" w14:textId="77777777" w:rsidR="003F2A0C" w:rsidRDefault="003F2A0C" w:rsidP="008D3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795596"/>
      <w:docPartObj>
        <w:docPartGallery w:val="Page Numbers (Bottom of Page)"/>
        <w:docPartUnique/>
      </w:docPartObj>
    </w:sdtPr>
    <w:sdtEndPr>
      <w:rPr>
        <w:noProof/>
      </w:rPr>
    </w:sdtEndPr>
    <w:sdtContent>
      <w:p w14:paraId="5D90CB35" w14:textId="5B4E355F" w:rsidR="00197FC2" w:rsidRDefault="00197FC2">
        <w:pPr>
          <w:pStyle w:val="Footer"/>
          <w:jc w:val="right"/>
        </w:pPr>
        <w:r>
          <w:fldChar w:fldCharType="begin"/>
        </w:r>
        <w:r>
          <w:instrText xml:space="preserve"> PAGE   \* MERGEFORMAT </w:instrText>
        </w:r>
        <w:r>
          <w:fldChar w:fldCharType="separate"/>
        </w:r>
        <w:r w:rsidR="005A7E9D">
          <w:rPr>
            <w:noProof/>
          </w:rPr>
          <w:t>12</w:t>
        </w:r>
        <w:r>
          <w:rPr>
            <w:noProof/>
          </w:rPr>
          <w:fldChar w:fldCharType="end"/>
        </w:r>
      </w:p>
    </w:sdtContent>
  </w:sdt>
  <w:p w14:paraId="2F20FA7C" w14:textId="77777777" w:rsidR="00C54155" w:rsidRDefault="00C54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E1C77" w14:textId="77777777" w:rsidR="003F2A0C" w:rsidRDefault="003F2A0C" w:rsidP="008D3C49">
      <w:pPr>
        <w:spacing w:after="0" w:line="240" w:lineRule="auto"/>
      </w:pPr>
      <w:r>
        <w:separator/>
      </w:r>
    </w:p>
  </w:footnote>
  <w:footnote w:type="continuationSeparator" w:id="0">
    <w:p w14:paraId="08401220" w14:textId="77777777" w:rsidR="003F2A0C" w:rsidRDefault="003F2A0C" w:rsidP="008D3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C00D6"/>
    <w:multiLevelType w:val="hybridMultilevel"/>
    <w:tmpl w:val="98CE8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0175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007"/>
    <w:rsid w:val="00001611"/>
    <w:rsid w:val="00002A41"/>
    <w:rsid w:val="00003031"/>
    <w:rsid w:val="00013ADC"/>
    <w:rsid w:val="00023F62"/>
    <w:rsid w:val="00024578"/>
    <w:rsid w:val="0002475E"/>
    <w:rsid w:val="00024AF5"/>
    <w:rsid w:val="00046C02"/>
    <w:rsid w:val="00047BA9"/>
    <w:rsid w:val="00057FC0"/>
    <w:rsid w:val="00063FED"/>
    <w:rsid w:val="000656C2"/>
    <w:rsid w:val="0006747B"/>
    <w:rsid w:val="000873E8"/>
    <w:rsid w:val="00087734"/>
    <w:rsid w:val="000901E1"/>
    <w:rsid w:val="000901E9"/>
    <w:rsid w:val="0009529F"/>
    <w:rsid w:val="00095E6A"/>
    <w:rsid w:val="00097E25"/>
    <w:rsid w:val="000B20E1"/>
    <w:rsid w:val="000B4ED1"/>
    <w:rsid w:val="000C1817"/>
    <w:rsid w:val="000C4D53"/>
    <w:rsid w:val="000D016C"/>
    <w:rsid w:val="000D1A48"/>
    <w:rsid w:val="000D3569"/>
    <w:rsid w:val="000E2787"/>
    <w:rsid w:val="000E3F57"/>
    <w:rsid w:val="000F0242"/>
    <w:rsid w:val="00110B07"/>
    <w:rsid w:val="00114DBF"/>
    <w:rsid w:val="0011763F"/>
    <w:rsid w:val="00122B7A"/>
    <w:rsid w:val="001258A7"/>
    <w:rsid w:val="00131017"/>
    <w:rsid w:val="00137652"/>
    <w:rsid w:val="0014327F"/>
    <w:rsid w:val="00143A5D"/>
    <w:rsid w:val="00144EFC"/>
    <w:rsid w:val="00147A01"/>
    <w:rsid w:val="00151013"/>
    <w:rsid w:val="00155676"/>
    <w:rsid w:val="001804EF"/>
    <w:rsid w:val="001939FE"/>
    <w:rsid w:val="00194A96"/>
    <w:rsid w:val="00195656"/>
    <w:rsid w:val="00197FC2"/>
    <w:rsid w:val="001A2E08"/>
    <w:rsid w:val="001A585C"/>
    <w:rsid w:val="001B0941"/>
    <w:rsid w:val="001B0A01"/>
    <w:rsid w:val="001C20E4"/>
    <w:rsid w:val="001C2BC9"/>
    <w:rsid w:val="001D2C36"/>
    <w:rsid w:val="001D5328"/>
    <w:rsid w:val="001E7054"/>
    <w:rsid w:val="00227604"/>
    <w:rsid w:val="0025276C"/>
    <w:rsid w:val="00274919"/>
    <w:rsid w:val="00284547"/>
    <w:rsid w:val="00297FBC"/>
    <w:rsid w:val="002A44D5"/>
    <w:rsid w:val="002A567D"/>
    <w:rsid w:val="002A72E6"/>
    <w:rsid w:val="002A7C62"/>
    <w:rsid w:val="002B1FD8"/>
    <w:rsid w:val="002B370E"/>
    <w:rsid w:val="002C47B8"/>
    <w:rsid w:val="002D608F"/>
    <w:rsid w:val="002E371A"/>
    <w:rsid w:val="002E57F8"/>
    <w:rsid w:val="002F6EC8"/>
    <w:rsid w:val="00300A5F"/>
    <w:rsid w:val="003035EB"/>
    <w:rsid w:val="00323614"/>
    <w:rsid w:val="00324B0C"/>
    <w:rsid w:val="00332007"/>
    <w:rsid w:val="00343914"/>
    <w:rsid w:val="003506EE"/>
    <w:rsid w:val="0035439C"/>
    <w:rsid w:val="00363711"/>
    <w:rsid w:val="00374DF6"/>
    <w:rsid w:val="003839EF"/>
    <w:rsid w:val="00390784"/>
    <w:rsid w:val="003B7BF0"/>
    <w:rsid w:val="003D4209"/>
    <w:rsid w:val="003D4697"/>
    <w:rsid w:val="003D58E3"/>
    <w:rsid w:val="003D7182"/>
    <w:rsid w:val="003E2F4D"/>
    <w:rsid w:val="003F23B5"/>
    <w:rsid w:val="003F2A0C"/>
    <w:rsid w:val="00415EFA"/>
    <w:rsid w:val="00433A67"/>
    <w:rsid w:val="004641B4"/>
    <w:rsid w:val="00481D98"/>
    <w:rsid w:val="0048712F"/>
    <w:rsid w:val="00492F32"/>
    <w:rsid w:val="00494068"/>
    <w:rsid w:val="004C5685"/>
    <w:rsid w:val="004D16C8"/>
    <w:rsid w:val="004D35F3"/>
    <w:rsid w:val="004D4D58"/>
    <w:rsid w:val="004D769D"/>
    <w:rsid w:val="004E44D1"/>
    <w:rsid w:val="004E4655"/>
    <w:rsid w:val="004E79B6"/>
    <w:rsid w:val="004F4B7D"/>
    <w:rsid w:val="005059B1"/>
    <w:rsid w:val="005308D0"/>
    <w:rsid w:val="00530B55"/>
    <w:rsid w:val="00534FD5"/>
    <w:rsid w:val="00543E85"/>
    <w:rsid w:val="005547AD"/>
    <w:rsid w:val="00565E75"/>
    <w:rsid w:val="00581FA7"/>
    <w:rsid w:val="005A63C6"/>
    <w:rsid w:val="005A7E9D"/>
    <w:rsid w:val="005B057B"/>
    <w:rsid w:val="005D15B4"/>
    <w:rsid w:val="005D6330"/>
    <w:rsid w:val="005F2579"/>
    <w:rsid w:val="00607873"/>
    <w:rsid w:val="00616763"/>
    <w:rsid w:val="00623DE7"/>
    <w:rsid w:val="00635594"/>
    <w:rsid w:val="00646AEB"/>
    <w:rsid w:val="006507B7"/>
    <w:rsid w:val="00652DF3"/>
    <w:rsid w:val="00673A8E"/>
    <w:rsid w:val="00675434"/>
    <w:rsid w:val="006B2990"/>
    <w:rsid w:val="006B3E2E"/>
    <w:rsid w:val="006F15A4"/>
    <w:rsid w:val="00705A62"/>
    <w:rsid w:val="007126D7"/>
    <w:rsid w:val="0072214F"/>
    <w:rsid w:val="007246D7"/>
    <w:rsid w:val="0073477C"/>
    <w:rsid w:val="00740101"/>
    <w:rsid w:val="0074020C"/>
    <w:rsid w:val="00741089"/>
    <w:rsid w:val="00741EDE"/>
    <w:rsid w:val="00753165"/>
    <w:rsid w:val="00765A30"/>
    <w:rsid w:val="00771730"/>
    <w:rsid w:val="00776C17"/>
    <w:rsid w:val="00781CA4"/>
    <w:rsid w:val="00790D5A"/>
    <w:rsid w:val="00796E82"/>
    <w:rsid w:val="007A2174"/>
    <w:rsid w:val="007B4A16"/>
    <w:rsid w:val="007B76A7"/>
    <w:rsid w:val="007C74A2"/>
    <w:rsid w:val="007D06C9"/>
    <w:rsid w:val="007D4DD1"/>
    <w:rsid w:val="007E22E2"/>
    <w:rsid w:val="007F00FF"/>
    <w:rsid w:val="008023AA"/>
    <w:rsid w:val="00805C55"/>
    <w:rsid w:val="00807B37"/>
    <w:rsid w:val="008130B0"/>
    <w:rsid w:val="00814470"/>
    <w:rsid w:val="0081518A"/>
    <w:rsid w:val="008375F0"/>
    <w:rsid w:val="00846047"/>
    <w:rsid w:val="008464B6"/>
    <w:rsid w:val="00862D98"/>
    <w:rsid w:val="00877386"/>
    <w:rsid w:val="0088209D"/>
    <w:rsid w:val="0088437B"/>
    <w:rsid w:val="008C1720"/>
    <w:rsid w:val="008C2BA0"/>
    <w:rsid w:val="008D2EE9"/>
    <w:rsid w:val="008D3C49"/>
    <w:rsid w:val="008D53EA"/>
    <w:rsid w:val="008D610F"/>
    <w:rsid w:val="008E0933"/>
    <w:rsid w:val="00902458"/>
    <w:rsid w:val="009043D8"/>
    <w:rsid w:val="00906489"/>
    <w:rsid w:val="00913814"/>
    <w:rsid w:val="00927EB1"/>
    <w:rsid w:val="00932399"/>
    <w:rsid w:val="00943677"/>
    <w:rsid w:val="00951416"/>
    <w:rsid w:val="00954CEA"/>
    <w:rsid w:val="009577C6"/>
    <w:rsid w:val="00966CF4"/>
    <w:rsid w:val="00985CB4"/>
    <w:rsid w:val="009875F3"/>
    <w:rsid w:val="0099109F"/>
    <w:rsid w:val="00993B61"/>
    <w:rsid w:val="009959A2"/>
    <w:rsid w:val="009A584A"/>
    <w:rsid w:val="009B1971"/>
    <w:rsid w:val="009C1004"/>
    <w:rsid w:val="009D4274"/>
    <w:rsid w:val="009E4667"/>
    <w:rsid w:val="00A17042"/>
    <w:rsid w:val="00A21C63"/>
    <w:rsid w:val="00A74762"/>
    <w:rsid w:val="00A91BED"/>
    <w:rsid w:val="00AA36B2"/>
    <w:rsid w:val="00AB07C0"/>
    <w:rsid w:val="00AC5FF1"/>
    <w:rsid w:val="00AD5D01"/>
    <w:rsid w:val="00AE2754"/>
    <w:rsid w:val="00AE741E"/>
    <w:rsid w:val="00B07D96"/>
    <w:rsid w:val="00B134A5"/>
    <w:rsid w:val="00B13FFB"/>
    <w:rsid w:val="00B17374"/>
    <w:rsid w:val="00B1748A"/>
    <w:rsid w:val="00B203F5"/>
    <w:rsid w:val="00B206F2"/>
    <w:rsid w:val="00B20CC3"/>
    <w:rsid w:val="00B439BD"/>
    <w:rsid w:val="00B57164"/>
    <w:rsid w:val="00B65EF9"/>
    <w:rsid w:val="00B73C3C"/>
    <w:rsid w:val="00B75520"/>
    <w:rsid w:val="00B75DBC"/>
    <w:rsid w:val="00B8007A"/>
    <w:rsid w:val="00B80E2D"/>
    <w:rsid w:val="00B84699"/>
    <w:rsid w:val="00B90793"/>
    <w:rsid w:val="00B92759"/>
    <w:rsid w:val="00B9667F"/>
    <w:rsid w:val="00B97226"/>
    <w:rsid w:val="00BB2059"/>
    <w:rsid w:val="00BD1526"/>
    <w:rsid w:val="00BD238D"/>
    <w:rsid w:val="00BD6DA5"/>
    <w:rsid w:val="00BE186E"/>
    <w:rsid w:val="00BF0868"/>
    <w:rsid w:val="00BF59FB"/>
    <w:rsid w:val="00C103DC"/>
    <w:rsid w:val="00C11D92"/>
    <w:rsid w:val="00C12C99"/>
    <w:rsid w:val="00C20DD5"/>
    <w:rsid w:val="00C3336D"/>
    <w:rsid w:val="00C43BD3"/>
    <w:rsid w:val="00C54155"/>
    <w:rsid w:val="00C7268E"/>
    <w:rsid w:val="00C744E6"/>
    <w:rsid w:val="00C771AE"/>
    <w:rsid w:val="00C8491D"/>
    <w:rsid w:val="00C86438"/>
    <w:rsid w:val="00C869C9"/>
    <w:rsid w:val="00C921C5"/>
    <w:rsid w:val="00CA6DAF"/>
    <w:rsid w:val="00CB1C11"/>
    <w:rsid w:val="00CB7501"/>
    <w:rsid w:val="00CB7778"/>
    <w:rsid w:val="00CC1141"/>
    <w:rsid w:val="00CC299F"/>
    <w:rsid w:val="00CC75ED"/>
    <w:rsid w:val="00D14D88"/>
    <w:rsid w:val="00D1528A"/>
    <w:rsid w:val="00D17FA1"/>
    <w:rsid w:val="00D2467E"/>
    <w:rsid w:val="00D31F2C"/>
    <w:rsid w:val="00D377E4"/>
    <w:rsid w:val="00D37D3B"/>
    <w:rsid w:val="00D4797E"/>
    <w:rsid w:val="00D50006"/>
    <w:rsid w:val="00D620C3"/>
    <w:rsid w:val="00D75787"/>
    <w:rsid w:val="00D76206"/>
    <w:rsid w:val="00D81957"/>
    <w:rsid w:val="00D829FD"/>
    <w:rsid w:val="00D82DAC"/>
    <w:rsid w:val="00D858F3"/>
    <w:rsid w:val="00D87DBA"/>
    <w:rsid w:val="00D90D72"/>
    <w:rsid w:val="00D94BF0"/>
    <w:rsid w:val="00DB00FC"/>
    <w:rsid w:val="00DC56D2"/>
    <w:rsid w:val="00DD2428"/>
    <w:rsid w:val="00DD5BA5"/>
    <w:rsid w:val="00DD79A0"/>
    <w:rsid w:val="00DF2E4A"/>
    <w:rsid w:val="00E03280"/>
    <w:rsid w:val="00E04251"/>
    <w:rsid w:val="00E2127B"/>
    <w:rsid w:val="00E23905"/>
    <w:rsid w:val="00E2554D"/>
    <w:rsid w:val="00E305CC"/>
    <w:rsid w:val="00E3328E"/>
    <w:rsid w:val="00E339AD"/>
    <w:rsid w:val="00E37D8B"/>
    <w:rsid w:val="00E4329C"/>
    <w:rsid w:val="00E53612"/>
    <w:rsid w:val="00E5645F"/>
    <w:rsid w:val="00E62D37"/>
    <w:rsid w:val="00E70416"/>
    <w:rsid w:val="00E91F69"/>
    <w:rsid w:val="00EB349E"/>
    <w:rsid w:val="00EC0C5D"/>
    <w:rsid w:val="00EC24A7"/>
    <w:rsid w:val="00EC2E2C"/>
    <w:rsid w:val="00ED0C44"/>
    <w:rsid w:val="00ED3051"/>
    <w:rsid w:val="00EE0181"/>
    <w:rsid w:val="00EF7DF8"/>
    <w:rsid w:val="00F0732F"/>
    <w:rsid w:val="00F10A05"/>
    <w:rsid w:val="00F166A7"/>
    <w:rsid w:val="00F1726C"/>
    <w:rsid w:val="00F238DC"/>
    <w:rsid w:val="00F23CA9"/>
    <w:rsid w:val="00F27B92"/>
    <w:rsid w:val="00F30974"/>
    <w:rsid w:val="00F31C85"/>
    <w:rsid w:val="00F35E09"/>
    <w:rsid w:val="00F4348B"/>
    <w:rsid w:val="00F45DC0"/>
    <w:rsid w:val="00F51AD7"/>
    <w:rsid w:val="00F541E8"/>
    <w:rsid w:val="00F65833"/>
    <w:rsid w:val="00F82035"/>
    <w:rsid w:val="00F86991"/>
    <w:rsid w:val="00F97243"/>
    <w:rsid w:val="00F9749A"/>
    <w:rsid w:val="00FA6E92"/>
    <w:rsid w:val="00FA7861"/>
    <w:rsid w:val="00FB3979"/>
    <w:rsid w:val="00FB7AD6"/>
    <w:rsid w:val="00FC452F"/>
    <w:rsid w:val="00FC7C42"/>
    <w:rsid w:val="00FD25EA"/>
    <w:rsid w:val="00FD3E41"/>
    <w:rsid w:val="00FE2D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B3B5B3"/>
  <w15:docId w15:val="{560CDBED-A3FF-4AF1-A261-B11901FD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2007"/>
    <w:pPr>
      <w:spacing w:after="0" w:line="240" w:lineRule="auto"/>
    </w:pPr>
  </w:style>
  <w:style w:type="table" w:styleId="TableGrid">
    <w:name w:val="Table Grid"/>
    <w:basedOn w:val="TableNormal"/>
    <w:uiPriority w:val="59"/>
    <w:rsid w:val="00E33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5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656"/>
    <w:rPr>
      <w:rFonts w:ascii="Tahoma" w:hAnsi="Tahoma" w:cs="Tahoma"/>
      <w:sz w:val="16"/>
      <w:szCs w:val="16"/>
    </w:rPr>
  </w:style>
  <w:style w:type="character" w:styleId="CommentReference">
    <w:name w:val="annotation reference"/>
    <w:basedOn w:val="DefaultParagraphFont"/>
    <w:uiPriority w:val="99"/>
    <w:semiHidden/>
    <w:unhideWhenUsed/>
    <w:rsid w:val="00985CB4"/>
    <w:rPr>
      <w:sz w:val="16"/>
      <w:szCs w:val="16"/>
    </w:rPr>
  </w:style>
  <w:style w:type="paragraph" w:styleId="CommentText">
    <w:name w:val="annotation text"/>
    <w:basedOn w:val="Normal"/>
    <w:link w:val="CommentTextChar"/>
    <w:uiPriority w:val="99"/>
    <w:unhideWhenUsed/>
    <w:rsid w:val="00985CB4"/>
    <w:pPr>
      <w:spacing w:line="240" w:lineRule="auto"/>
    </w:pPr>
    <w:rPr>
      <w:sz w:val="20"/>
      <w:szCs w:val="20"/>
    </w:rPr>
  </w:style>
  <w:style w:type="character" w:customStyle="1" w:styleId="CommentTextChar">
    <w:name w:val="Comment Text Char"/>
    <w:basedOn w:val="DefaultParagraphFont"/>
    <w:link w:val="CommentText"/>
    <w:uiPriority w:val="99"/>
    <w:rsid w:val="00985CB4"/>
    <w:rPr>
      <w:sz w:val="20"/>
      <w:szCs w:val="20"/>
    </w:rPr>
  </w:style>
  <w:style w:type="paragraph" w:styleId="CommentSubject">
    <w:name w:val="annotation subject"/>
    <w:basedOn w:val="CommentText"/>
    <w:next w:val="CommentText"/>
    <w:link w:val="CommentSubjectChar"/>
    <w:uiPriority w:val="99"/>
    <w:semiHidden/>
    <w:unhideWhenUsed/>
    <w:rsid w:val="00985CB4"/>
    <w:rPr>
      <w:b/>
      <w:bCs/>
    </w:rPr>
  </w:style>
  <w:style w:type="character" w:customStyle="1" w:styleId="CommentSubjectChar">
    <w:name w:val="Comment Subject Char"/>
    <w:basedOn w:val="CommentTextChar"/>
    <w:link w:val="CommentSubject"/>
    <w:uiPriority w:val="99"/>
    <w:semiHidden/>
    <w:rsid w:val="00985CB4"/>
    <w:rPr>
      <w:b/>
      <w:bCs/>
      <w:sz w:val="20"/>
      <w:szCs w:val="20"/>
    </w:rPr>
  </w:style>
  <w:style w:type="character" w:styleId="Hyperlink">
    <w:name w:val="Hyperlink"/>
    <w:basedOn w:val="DefaultParagraphFont"/>
    <w:uiPriority w:val="99"/>
    <w:unhideWhenUsed/>
    <w:rsid w:val="005059B1"/>
    <w:rPr>
      <w:color w:val="0000FF" w:themeColor="hyperlink"/>
      <w:u w:val="single"/>
    </w:rPr>
  </w:style>
  <w:style w:type="character" w:customStyle="1" w:styleId="value">
    <w:name w:val="value"/>
    <w:basedOn w:val="DefaultParagraphFont"/>
    <w:rsid w:val="005059B1"/>
  </w:style>
  <w:style w:type="character" w:customStyle="1" w:styleId="Strong1">
    <w:name w:val="Strong1"/>
    <w:basedOn w:val="DefaultParagraphFont"/>
    <w:rsid w:val="005059B1"/>
  </w:style>
  <w:style w:type="paragraph" w:styleId="ListParagraph">
    <w:name w:val="List Paragraph"/>
    <w:basedOn w:val="Normal"/>
    <w:uiPriority w:val="34"/>
    <w:qFormat/>
    <w:rsid w:val="007E22E2"/>
    <w:pPr>
      <w:ind w:left="720"/>
      <w:contextualSpacing/>
    </w:pPr>
  </w:style>
  <w:style w:type="paragraph" w:styleId="FootnoteText">
    <w:name w:val="footnote text"/>
    <w:basedOn w:val="Normal"/>
    <w:link w:val="FootnoteTextChar"/>
    <w:uiPriority w:val="99"/>
    <w:semiHidden/>
    <w:unhideWhenUsed/>
    <w:rsid w:val="008D3C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C49"/>
    <w:rPr>
      <w:sz w:val="20"/>
      <w:szCs w:val="20"/>
    </w:rPr>
  </w:style>
  <w:style w:type="character" w:styleId="FootnoteReference">
    <w:name w:val="footnote reference"/>
    <w:basedOn w:val="DefaultParagraphFont"/>
    <w:uiPriority w:val="99"/>
    <w:semiHidden/>
    <w:unhideWhenUsed/>
    <w:rsid w:val="008D3C49"/>
    <w:rPr>
      <w:vertAlign w:val="superscript"/>
    </w:rPr>
  </w:style>
  <w:style w:type="paragraph" w:styleId="Header">
    <w:name w:val="header"/>
    <w:basedOn w:val="Normal"/>
    <w:link w:val="HeaderChar"/>
    <w:uiPriority w:val="99"/>
    <w:unhideWhenUsed/>
    <w:rsid w:val="005547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7AD"/>
  </w:style>
  <w:style w:type="paragraph" w:styleId="Footer">
    <w:name w:val="footer"/>
    <w:basedOn w:val="Normal"/>
    <w:link w:val="FooterChar"/>
    <w:uiPriority w:val="99"/>
    <w:unhideWhenUsed/>
    <w:rsid w:val="005547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7AD"/>
  </w:style>
  <w:style w:type="paragraph" w:styleId="NormalWeb">
    <w:name w:val="Normal (Web)"/>
    <w:basedOn w:val="Normal"/>
    <w:uiPriority w:val="99"/>
    <w:semiHidden/>
    <w:unhideWhenUsed/>
    <w:rsid w:val="008375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864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498843">
      <w:bodyDiv w:val="1"/>
      <w:marLeft w:val="0"/>
      <w:marRight w:val="0"/>
      <w:marTop w:val="0"/>
      <w:marBottom w:val="0"/>
      <w:divBdr>
        <w:top w:val="none" w:sz="0" w:space="0" w:color="auto"/>
        <w:left w:val="none" w:sz="0" w:space="0" w:color="auto"/>
        <w:bottom w:val="none" w:sz="0" w:space="0" w:color="auto"/>
        <w:right w:val="none" w:sz="0" w:space="0" w:color="auto"/>
      </w:divBdr>
    </w:div>
    <w:div w:id="172984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vassiliou@uea.ac.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tif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clinicaltrials.gov/ct2/show/NCT04482972" TargetMode="External"/><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6BA34-AB74-4933-995F-3120361E9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27684</Words>
  <Characters>157805</Characters>
  <Application>Microsoft Office Word</Application>
  <DocSecurity>4</DocSecurity>
  <Lines>1315</Lines>
  <Paragraphs>370</Paragraphs>
  <ScaleCrop>false</ScaleCrop>
  <HeadingPairs>
    <vt:vector size="2" baseType="variant">
      <vt:variant>
        <vt:lpstr>Title</vt:lpstr>
      </vt:variant>
      <vt:variant>
        <vt:i4>1</vt:i4>
      </vt:variant>
    </vt:vector>
  </HeadingPairs>
  <TitlesOfParts>
    <vt:vector size="1" baseType="lpstr">
      <vt:lpstr/>
    </vt:vector>
  </TitlesOfParts>
  <Company>NNUHFT</Company>
  <LinksUpToDate>false</LinksUpToDate>
  <CharactersWithSpaces>185119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Merinopoulos, Ioannis (NNUHFT)</dc:creator>
  <cp:lastModifiedBy>Constance Roberts-Croot (RIN - Staff)</cp:lastModifiedBy>
  <cp:revision>2</cp:revision>
  <dcterms:created xsi:type="dcterms:W3CDTF">2024-01-22T15:49:00Z</dcterms:created>
  <dcterms:modified xsi:type="dcterms:W3CDTF">2024-01-22T15:49:00Z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568af47a-b77e-38eb-bac0-9c84723f9832</vt:lpwstr>
  </property>
  <property fmtid="{D5CDD505-2E9C-101B-9397-08002B2CF9AE}" pid="4" name="Mendeley Citation Style_1">
    <vt:lpwstr>https://csl.mendeley.com/styles/57954141/vancouverWJC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http://www.zotero.org/styles/circulation</vt:lpwstr>
  </property>
  <property fmtid="{D5CDD505-2E9C-101B-9397-08002B2CF9AE}" pid="14" name="Mendeley Recent Style Name 4_1">
    <vt:lpwstr>Circulation</vt:lpwstr>
  </property>
  <property fmtid="{D5CDD505-2E9C-101B-9397-08002B2CF9AE}" pid="15" name="Mendeley Recent Style Id 5_1">
    <vt:lpwstr>http://csl.mendeley.com/styles/57954141/Circulationcarciovascularinterventions</vt:lpwstr>
  </property>
  <property fmtid="{D5CDD505-2E9C-101B-9397-08002B2CF9AE}" pid="16" name="Mendeley Recent Style Name 5_1">
    <vt:lpwstr>Circulation Journal - Ioannis Merinopoulos</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https://csl.mendeley.com/styles/57954141/vancouverWJC</vt:lpwstr>
  </property>
  <property fmtid="{D5CDD505-2E9C-101B-9397-08002B2CF9AE}" pid="24" name="Mendeley Recent Style Name 9_1">
    <vt:lpwstr>Vancouver - Ioannis Merinopoulos</vt:lpwstr>
  </property>
</Properties>
</file>