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34212" w14:textId="640F5B2A" w:rsidR="00992015" w:rsidRPr="000804FA" w:rsidRDefault="00D76618" w:rsidP="00D46188">
      <w:pPr>
        <w:spacing w:after="120" w:line="480" w:lineRule="auto"/>
        <w:contextualSpacing/>
        <w:rPr>
          <w:b/>
          <w:color w:val="000000" w:themeColor="text1"/>
          <w:lang w:val="en-CA"/>
        </w:rPr>
      </w:pPr>
      <w:r w:rsidRPr="000804FA">
        <w:rPr>
          <w:b/>
          <w:color w:val="000000" w:themeColor="text1"/>
          <w:lang w:val="en-CA"/>
        </w:rPr>
        <w:t>ACC/AHA</w:t>
      </w:r>
      <w:r w:rsidR="001A6BBD" w:rsidRPr="000804FA">
        <w:rPr>
          <w:b/>
          <w:color w:val="000000" w:themeColor="text1"/>
          <w:lang w:val="en-CA"/>
        </w:rPr>
        <w:t xml:space="preserve"> and</w:t>
      </w:r>
      <w:r w:rsidRPr="000804FA">
        <w:rPr>
          <w:b/>
          <w:color w:val="000000" w:themeColor="text1"/>
          <w:lang w:val="en-CA"/>
        </w:rPr>
        <w:t xml:space="preserve"> </w:t>
      </w:r>
      <w:r w:rsidR="007372E3" w:rsidRPr="000804FA">
        <w:rPr>
          <w:b/>
          <w:color w:val="000000" w:themeColor="text1"/>
          <w:lang w:val="en-CA"/>
        </w:rPr>
        <w:t>ESC/EACTS</w:t>
      </w:r>
      <w:r w:rsidR="001A6BBD" w:rsidRPr="000804FA">
        <w:rPr>
          <w:b/>
          <w:color w:val="000000" w:themeColor="text1"/>
          <w:lang w:val="en-CA"/>
        </w:rPr>
        <w:t xml:space="preserve"> </w:t>
      </w:r>
      <w:r w:rsidR="007372E3" w:rsidRPr="000804FA">
        <w:rPr>
          <w:b/>
          <w:color w:val="000000" w:themeColor="text1"/>
          <w:lang w:val="en-CA"/>
        </w:rPr>
        <w:t>Guidelines for the Management of Valvular Heart Disease</w:t>
      </w:r>
      <w:r w:rsidR="003B3DBB" w:rsidRPr="000804FA">
        <w:rPr>
          <w:b/>
          <w:color w:val="000000" w:themeColor="text1"/>
          <w:lang w:val="en-CA"/>
        </w:rPr>
        <w:t>s</w:t>
      </w:r>
      <w:r w:rsidR="002C615B" w:rsidRPr="000804FA">
        <w:rPr>
          <w:b/>
          <w:color w:val="000000" w:themeColor="text1"/>
          <w:lang w:val="en-CA"/>
        </w:rPr>
        <w:t xml:space="preserve"> – JACC </w:t>
      </w:r>
      <w:r w:rsidR="002C615B" w:rsidRPr="000804FA">
        <w:rPr>
          <w:rFonts w:eastAsiaTheme="minorHAnsi"/>
          <w:b/>
          <w:color w:val="000000" w:themeColor="text1"/>
          <w:lang w:val="en-US" w:eastAsia="en-US"/>
        </w:rPr>
        <w:t>Guideline Comparison</w:t>
      </w:r>
    </w:p>
    <w:p w14:paraId="406D4956" w14:textId="77777777" w:rsidR="00D95628" w:rsidRPr="000804FA" w:rsidRDefault="00D95628" w:rsidP="00D95628">
      <w:pPr>
        <w:spacing w:line="480" w:lineRule="auto"/>
        <w:contextualSpacing/>
        <w:rPr>
          <w:b/>
          <w:bCs/>
          <w:color w:val="000000" w:themeColor="text1"/>
          <w:lang w:val="en-US"/>
        </w:rPr>
      </w:pPr>
      <w:r w:rsidRPr="000804FA">
        <w:rPr>
          <w:b/>
          <w:bCs/>
          <w:color w:val="000000" w:themeColor="text1"/>
          <w:lang w:val="en-US"/>
        </w:rPr>
        <w:t xml:space="preserve">Brief title: </w:t>
      </w:r>
      <w:r w:rsidRPr="000804FA">
        <w:rPr>
          <w:color w:val="000000" w:themeColor="text1"/>
          <w:lang w:val="en-US"/>
        </w:rPr>
        <w:t>Guidelines for Valvular Heart Diseases</w:t>
      </w:r>
    </w:p>
    <w:p w14:paraId="0042825B" w14:textId="77777777" w:rsidR="00B449AF" w:rsidRPr="000804FA" w:rsidRDefault="00B449AF" w:rsidP="000804FA">
      <w:pPr>
        <w:spacing w:after="120" w:line="480" w:lineRule="auto"/>
        <w:contextualSpacing/>
        <w:rPr>
          <w:b/>
          <w:color w:val="000000" w:themeColor="text1"/>
          <w:lang w:val="en-CA"/>
        </w:rPr>
      </w:pPr>
    </w:p>
    <w:p w14:paraId="49CDDD67" w14:textId="6F6B9CE2" w:rsidR="009D359D" w:rsidRPr="000804FA" w:rsidRDefault="00184B8D" w:rsidP="00D95628">
      <w:pPr>
        <w:spacing w:after="160" w:line="480" w:lineRule="auto"/>
        <w:contextualSpacing/>
        <w:rPr>
          <w:color w:val="000000" w:themeColor="text1"/>
          <w:lang w:val="en-CA"/>
        </w:rPr>
      </w:pPr>
      <w:r w:rsidRPr="000804FA">
        <w:rPr>
          <w:bCs/>
          <w:color w:val="000000" w:themeColor="text1"/>
          <w:lang w:val="en-CA"/>
        </w:rPr>
        <w:t xml:space="preserve">Augustin </w:t>
      </w:r>
      <w:proofErr w:type="spellStart"/>
      <w:r w:rsidRPr="000804FA">
        <w:rPr>
          <w:bCs/>
          <w:color w:val="000000" w:themeColor="text1"/>
          <w:lang w:val="en-CA"/>
        </w:rPr>
        <w:t>Coisne</w:t>
      </w:r>
      <w:proofErr w:type="spellEnd"/>
      <w:r w:rsidRPr="000804FA">
        <w:rPr>
          <w:bCs/>
          <w:color w:val="000000" w:themeColor="text1"/>
          <w:lang w:val="en-CA"/>
        </w:rPr>
        <w:t xml:space="preserve">, MD, PhD </w:t>
      </w:r>
      <w:proofErr w:type="spellStart"/>
      <w:r w:rsidRPr="000804FA">
        <w:rPr>
          <w:bCs/>
          <w:color w:val="000000" w:themeColor="text1"/>
          <w:vertAlign w:val="superscript"/>
          <w:lang w:val="en-CA"/>
        </w:rPr>
        <w:t>a</w:t>
      </w:r>
      <w:r w:rsidR="00925AD5" w:rsidRPr="000804FA">
        <w:rPr>
          <w:bCs/>
          <w:color w:val="000000" w:themeColor="text1"/>
          <w:vertAlign w:val="superscript"/>
          <w:lang w:val="en-CA"/>
        </w:rPr>
        <w:t>,b</w:t>
      </w:r>
      <w:proofErr w:type="spellEnd"/>
      <w:r w:rsidRPr="000804FA">
        <w:rPr>
          <w:bCs/>
          <w:color w:val="000000" w:themeColor="text1"/>
          <w:lang w:val="en-CA"/>
        </w:rPr>
        <w:t xml:space="preserve">; Patrizio Lancellotti, MD, PhD </w:t>
      </w:r>
      <w:proofErr w:type="spellStart"/>
      <w:r w:rsidR="00925AD5" w:rsidRPr="000804FA">
        <w:rPr>
          <w:bCs/>
          <w:color w:val="000000" w:themeColor="text1"/>
          <w:vertAlign w:val="superscript"/>
          <w:lang w:val="en-CA"/>
        </w:rPr>
        <w:t>c,d</w:t>
      </w:r>
      <w:proofErr w:type="spellEnd"/>
      <w:r w:rsidRPr="000804FA">
        <w:rPr>
          <w:bCs/>
          <w:color w:val="000000" w:themeColor="text1"/>
          <w:lang w:val="en-CA"/>
        </w:rPr>
        <w:t xml:space="preserve">; Gilbert Habib, MD; PhD </w:t>
      </w:r>
      <w:r w:rsidR="00925AD5" w:rsidRPr="000804FA">
        <w:rPr>
          <w:bCs/>
          <w:color w:val="000000" w:themeColor="text1"/>
          <w:vertAlign w:val="superscript"/>
          <w:lang w:val="en-CA"/>
        </w:rPr>
        <w:t>e</w:t>
      </w:r>
      <w:r w:rsidRPr="000804FA">
        <w:rPr>
          <w:bCs/>
          <w:color w:val="000000" w:themeColor="text1"/>
          <w:lang w:val="en-CA"/>
        </w:rPr>
        <w:t xml:space="preserve">; Madalina </w:t>
      </w:r>
      <w:proofErr w:type="spellStart"/>
      <w:r w:rsidRPr="000804FA">
        <w:rPr>
          <w:bCs/>
          <w:color w:val="000000" w:themeColor="text1"/>
          <w:lang w:val="en-CA"/>
        </w:rPr>
        <w:t>Garbi</w:t>
      </w:r>
      <w:proofErr w:type="spellEnd"/>
      <w:r w:rsidRPr="000804FA">
        <w:rPr>
          <w:bCs/>
          <w:color w:val="000000" w:themeColor="text1"/>
          <w:lang w:val="en-CA"/>
        </w:rPr>
        <w:t>, MD</w:t>
      </w:r>
      <w:r w:rsidR="002A10F8" w:rsidRPr="000804FA">
        <w:rPr>
          <w:bCs/>
          <w:color w:val="000000" w:themeColor="text1"/>
          <w:lang w:val="en-CA"/>
        </w:rPr>
        <w:t xml:space="preserve"> </w:t>
      </w:r>
      <w:r w:rsidR="002A10F8" w:rsidRPr="000804FA">
        <w:rPr>
          <w:bCs/>
          <w:color w:val="000000" w:themeColor="text1"/>
          <w:vertAlign w:val="superscript"/>
          <w:lang w:val="en-CA"/>
        </w:rPr>
        <w:t>f</w:t>
      </w:r>
      <w:r w:rsidRPr="000804FA">
        <w:rPr>
          <w:bCs/>
          <w:color w:val="000000" w:themeColor="text1"/>
          <w:lang w:val="en-CA"/>
        </w:rPr>
        <w:t>; Jordi Sanchez Dhal, MD, PhD</w:t>
      </w:r>
      <w:r w:rsidR="00B665E5" w:rsidRPr="000804FA">
        <w:rPr>
          <w:bCs/>
          <w:color w:val="000000" w:themeColor="text1"/>
          <w:lang w:val="en-CA"/>
        </w:rPr>
        <w:t xml:space="preserve"> </w:t>
      </w:r>
      <w:r w:rsidR="002A10F8" w:rsidRPr="000804FA">
        <w:rPr>
          <w:bCs/>
          <w:color w:val="000000" w:themeColor="text1"/>
          <w:vertAlign w:val="superscript"/>
          <w:lang w:val="en-CA"/>
        </w:rPr>
        <w:t>g</w:t>
      </w:r>
      <w:r w:rsidRPr="000804FA">
        <w:rPr>
          <w:bCs/>
          <w:color w:val="000000" w:themeColor="text1"/>
          <w:lang w:val="en-CA"/>
        </w:rPr>
        <w:t xml:space="preserve">; Marco </w:t>
      </w:r>
      <w:proofErr w:type="spellStart"/>
      <w:r w:rsidRPr="000804FA">
        <w:rPr>
          <w:bCs/>
          <w:color w:val="000000" w:themeColor="text1"/>
          <w:lang w:val="en-CA"/>
        </w:rPr>
        <w:t>Barbanti</w:t>
      </w:r>
      <w:proofErr w:type="spellEnd"/>
      <w:r w:rsidRPr="000804FA">
        <w:rPr>
          <w:bCs/>
          <w:color w:val="000000" w:themeColor="text1"/>
          <w:lang w:val="en-CA"/>
        </w:rPr>
        <w:t>, MD</w:t>
      </w:r>
      <w:r w:rsidR="003C0459" w:rsidRPr="000804FA">
        <w:rPr>
          <w:bCs/>
          <w:color w:val="000000" w:themeColor="text1"/>
          <w:lang w:val="en-CA"/>
        </w:rPr>
        <w:t xml:space="preserve"> </w:t>
      </w:r>
      <w:r w:rsidR="002A10F8" w:rsidRPr="000804FA">
        <w:rPr>
          <w:bCs/>
          <w:color w:val="000000" w:themeColor="text1"/>
          <w:vertAlign w:val="superscript"/>
          <w:lang w:val="en-CA"/>
        </w:rPr>
        <w:t>h</w:t>
      </w:r>
      <w:r w:rsidRPr="000804FA">
        <w:rPr>
          <w:bCs/>
          <w:color w:val="000000" w:themeColor="text1"/>
          <w:lang w:val="en-CA"/>
        </w:rPr>
        <w:t xml:space="preserve">; Mani A </w:t>
      </w:r>
      <w:proofErr w:type="spellStart"/>
      <w:r w:rsidRPr="000804FA">
        <w:rPr>
          <w:bCs/>
          <w:color w:val="000000" w:themeColor="text1"/>
          <w:lang w:val="en-CA"/>
        </w:rPr>
        <w:t>Vannan</w:t>
      </w:r>
      <w:proofErr w:type="spellEnd"/>
      <w:r w:rsidR="00B665E5" w:rsidRPr="000804FA">
        <w:rPr>
          <w:bCs/>
          <w:color w:val="000000" w:themeColor="text1"/>
          <w:lang w:val="en-CA"/>
        </w:rPr>
        <w:t xml:space="preserve">, MD </w:t>
      </w:r>
      <w:proofErr w:type="spellStart"/>
      <w:r w:rsidR="002A10F8" w:rsidRPr="000804FA">
        <w:rPr>
          <w:bCs/>
          <w:color w:val="000000" w:themeColor="text1"/>
          <w:vertAlign w:val="superscript"/>
          <w:lang w:val="en-CA"/>
        </w:rPr>
        <w:t>i</w:t>
      </w:r>
      <w:proofErr w:type="spellEnd"/>
      <w:r w:rsidRPr="000804FA">
        <w:rPr>
          <w:bCs/>
          <w:color w:val="000000" w:themeColor="text1"/>
          <w:lang w:val="en-CA"/>
        </w:rPr>
        <w:t>; Vassilios S Vassiliou, MD</w:t>
      </w:r>
      <w:r w:rsidR="0086717F" w:rsidRPr="000804FA">
        <w:rPr>
          <w:bCs/>
          <w:color w:val="000000" w:themeColor="text1"/>
          <w:lang w:val="en-CA"/>
        </w:rPr>
        <w:t xml:space="preserve"> </w:t>
      </w:r>
      <w:r w:rsidR="002A10F8" w:rsidRPr="000804FA">
        <w:rPr>
          <w:bCs/>
          <w:color w:val="000000" w:themeColor="text1"/>
          <w:vertAlign w:val="superscript"/>
          <w:lang w:val="en-CA"/>
        </w:rPr>
        <w:t>j</w:t>
      </w:r>
      <w:r w:rsidRPr="000804FA">
        <w:rPr>
          <w:bCs/>
          <w:color w:val="000000" w:themeColor="text1"/>
          <w:lang w:val="en-CA"/>
        </w:rPr>
        <w:t>; Dariusz Dudek, MD</w:t>
      </w:r>
      <w:r w:rsidR="002A10F8" w:rsidRPr="000804FA">
        <w:rPr>
          <w:bCs/>
          <w:color w:val="000000" w:themeColor="text1"/>
          <w:lang w:val="en-CA"/>
        </w:rPr>
        <w:t xml:space="preserve"> </w:t>
      </w:r>
      <w:r w:rsidR="002A10F8" w:rsidRPr="000804FA">
        <w:rPr>
          <w:bCs/>
          <w:color w:val="000000" w:themeColor="text1"/>
          <w:vertAlign w:val="superscript"/>
          <w:lang w:val="en-CA"/>
        </w:rPr>
        <w:t>k</w:t>
      </w:r>
      <w:r w:rsidRPr="000804FA">
        <w:rPr>
          <w:bCs/>
          <w:color w:val="000000" w:themeColor="text1"/>
          <w:lang w:val="en-CA"/>
        </w:rPr>
        <w:t xml:space="preserve">; </w:t>
      </w:r>
      <w:r w:rsidRPr="000804FA">
        <w:rPr>
          <w:color w:val="000000" w:themeColor="text1"/>
          <w:lang w:val="en-CA"/>
        </w:rPr>
        <w:t xml:space="preserve">Ovidiu </w:t>
      </w:r>
      <w:proofErr w:type="spellStart"/>
      <w:r w:rsidRPr="000804FA">
        <w:rPr>
          <w:color w:val="000000" w:themeColor="text1"/>
          <w:lang w:val="en-CA"/>
        </w:rPr>
        <w:t>Chioncel</w:t>
      </w:r>
      <w:proofErr w:type="spellEnd"/>
      <w:r w:rsidRPr="000804FA">
        <w:rPr>
          <w:color w:val="000000" w:themeColor="text1"/>
          <w:lang w:val="en-CA"/>
        </w:rPr>
        <w:t>, MD</w:t>
      </w:r>
      <w:r w:rsidR="00925AD5" w:rsidRPr="000804FA">
        <w:rPr>
          <w:color w:val="000000" w:themeColor="text1"/>
          <w:lang w:val="en-CA"/>
        </w:rPr>
        <w:t xml:space="preserve"> </w:t>
      </w:r>
      <w:r w:rsidR="002A10F8" w:rsidRPr="000804FA">
        <w:rPr>
          <w:color w:val="000000" w:themeColor="text1"/>
          <w:vertAlign w:val="superscript"/>
          <w:lang w:val="en-CA"/>
        </w:rPr>
        <w:t>l</w:t>
      </w:r>
      <w:r w:rsidRPr="000804FA">
        <w:rPr>
          <w:color w:val="000000" w:themeColor="text1"/>
          <w:lang w:val="en-CA"/>
        </w:rPr>
        <w:t xml:space="preserve">; Johannes L </w:t>
      </w:r>
      <w:proofErr w:type="spellStart"/>
      <w:r w:rsidRPr="000804FA">
        <w:rPr>
          <w:color w:val="000000" w:themeColor="text1"/>
          <w:lang w:val="en-CA"/>
        </w:rPr>
        <w:t>Waltenberger</w:t>
      </w:r>
      <w:proofErr w:type="spellEnd"/>
      <w:r w:rsidRPr="000804FA">
        <w:rPr>
          <w:color w:val="000000" w:themeColor="text1"/>
          <w:lang w:val="en-CA"/>
        </w:rPr>
        <w:t>, MD</w:t>
      </w:r>
      <w:r w:rsidR="003C6596" w:rsidRPr="000804FA">
        <w:rPr>
          <w:color w:val="000000" w:themeColor="text1"/>
          <w:lang w:val="en-CA"/>
        </w:rPr>
        <w:t>, PhD</w:t>
      </w:r>
      <w:r w:rsidR="002A10F8" w:rsidRPr="000804FA">
        <w:rPr>
          <w:color w:val="000000" w:themeColor="text1"/>
          <w:lang w:val="en-CA"/>
        </w:rPr>
        <w:t xml:space="preserve"> </w:t>
      </w:r>
      <w:proofErr w:type="spellStart"/>
      <w:r w:rsidR="002A10F8" w:rsidRPr="000804FA">
        <w:rPr>
          <w:color w:val="000000" w:themeColor="text1"/>
          <w:vertAlign w:val="superscript"/>
          <w:lang w:val="en-CA"/>
        </w:rPr>
        <w:t>m</w:t>
      </w:r>
      <w:r w:rsidR="00E60315" w:rsidRPr="000804FA">
        <w:rPr>
          <w:color w:val="000000" w:themeColor="text1"/>
          <w:vertAlign w:val="superscript"/>
          <w:lang w:val="en-CA"/>
        </w:rPr>
        <w:t>,n</w:t>
      </w:r>
      <w:proofErr w:type="spellEnd"/>
      <w:r w:rsidRPr="000804FA">
        <w:rPr>
          <w:color w:val="000000" w:themeColor="text1"/>
          <w:lang w:val="en-CA"/>
        </w:rPr>
        <w:t>; Victoria L Johnson, MD</w:t>
      </w:r>
      <w:r w:rsidR="000952B4" w:rsidRPr="000804FA">
        <w:rPr>
          <w:color w:val="000000" w:themeColor="text1"/>
          <w:lang w:val="en-CA"/>
        </w:rPr>
        <w:t xml:space="preserve"> </w:t>
      </w:r>
      <w:r w:rsidR="0089335D" w:rsidRPr="000804FA">
        <w:rPr>
          <w:color w:val="000000" w:themeColor="text1"/>
          <w:vertAlign w:val="superscript"/>
          <w:lang w:val="en-CA"/>
        </w:rPr>
        <w:t>o</w:t>
      </w:r>
      <w:r w:rsidRPr="000804FA">
        <w:rPr>
          <w:color w:val="000000" w:themeColor="text1"/>
          <w:lang w:val="en-CA"/>
        </w:rPr>
        <w:t xml:space="preserve">; Ruggero De Paulis, MD </w:t>
      </w:r>
      <w:r w:rsidR="0089335D" w:rsidRPr="000804FA">
        <w:rPr>
          <w:bCs/>
          <w:color w:val="000000" w:themeColor="text1"/>
          <w:vertAlign w:val="superscript"/>
          <w:lang w:val="en-CA"/>
        </w:rPr>
        <w:t>p</w:t>
      </w:r>
      <w:r w:rsidRPr="000804FA">
        <w:rPr>
          <w:color w:val="000000" w:themeColor="text1"/>
          <w:lang w:val="en-CA"/>
        </w:rPr>
        <w:t xml:space="preserve">; Rodolfo </w:t>
      </w:r>
      <w:proofErr w:type="spellStart"/>
      <w:r w:rsidRPr="000804FA">
        <w:rPr>
          <w:color w:val="000000" w:themeColor="text1"/>
          <w:lang w:val="en-CA"/>
        </w:rPr>
        <w:t>Citro</w:t>
      </w:r>
      <w:proofErr w:type="spellEnd"/>
      <w:r w:rsidRPr="000804FA">
        <w:rPr>
          <w:color w:val="000000" w:themeColor="text1"/>
          <w:lang w:val="en-CA"/>
        </w:rPr>
        <w:t>, MD</w:t>
      </w:r>
      <w:r w:rsidR="00F63D70" w:rsidRPr="000804FA">
        <w:rPr>
          <w:color w:val="000000" w:themeColor="text1"/>
          <w:lang w:val="en-CA"/>
        </w:rPr>
        <w:t>, PhD</w:t>
      </w:r>
      <w:r w:rsidR="001B6359" w:rsidRPr="000804FA">
        <w:rPr>
          <w:color w:val="000000" w:themeColor="text1"/>
          <w:lang w:val="en-CA"/>
        </w:rPr>
        <w:t xml:space="preserve"> </w:t>
      </w:r>
      <w:proofErr w:type="spellStart"/>
      <w:r w:rsidR="0089335D" w:rsidRPr="000804FA">
        <w:rPr>
          <w:color w:val="000000" w:themeColor="text1"/>
          <w:vertAlign w:val="superscript"/>
          <w:lang w:val="en-CA"/>
        </w:rPr>
        <w:t>q</w:t>
      </w:r>
      <w:r w:rsidR="00C711C3" w:rsidRPr="000804FA">
        <w:rPr>
          <w:color w:val="000000" w:themeColor="text1"/>
          <w:vertAlign w:val="superscript"/>
          <w:lang w:val="en-CA"/>
        </w:rPr>
        <w:t>,r</w:t>
      </w:r>
      <w:proofErr w:type="spellEnd"/>
      <w:r w:rsidRPr="000804FA">
        <w:rPr>
          <w:color w:val="000000" w:themeColor="text1"/>
          <w:lang w:val="en-CA"/>
        </w:rPr>
        <w:t xml:space="preserve">; Philippe </w:t>
      </w:r>
      <w:proofErr w:type="spellStart"/>
      <w:r w:rsidRPr="000804FA">
        <w:rPr>
          <w:color w:val="000000" w:themeColor="text1"/>
          <w:lang w:val="en-CA"/>
        </w:rPr>
        <w:t>Pibarot</w:t>
      </w:r>
      <w:proofErr w:type="spellEnd"/>
      <w:r w:rsidRPr="000804FA">
        <w:rPr>
          <w:color w:val="000000" w:themeColor="text1"/>
          <w:lang w:val="en-CA"/>
        </w:rPr>
        <w:t>, DVM, PhD</w:t>
      </w:r>
      <w:r w:rsidR="001B6359" w:rsidRPr="000804FA">
        <w:rPr>
          <w:color w:val="000000" w:themeColor="text1"/>
          <w:lang w:val="en-CA"/>
        </w:rPr>
        <w:t xml:space="preserve"> </w:t>
      </w:r>
      <w:r w:rsidR="00C711C3" w:rsidRPr="000804FA">
        <w:rPr>
          <w:color w:val="000000" w:themeColor="text1"/>
          <w:vertAlign w:val="superscript"/>
          <w:lang w:val="en-CA"/>
        </w:rPr>
        <w:t xml:space="preserve">s, </w:t>
      </w:r>
      <w:r w:rsidR="000952B4" w:rsidRPr="000804FA">
        <w:rPr>
          <w:color w:val="000000" w:themeColor="text1"/>
          <w:lang w:val="en-CA"/>
        </w:rPr>
        <w:t xml:space="preserve">on behalf of the </w:t>
      </w:r>
      <w:proofErr w:type="spellStart"/>
      <w:r w:rsidR="00657C17" w:rsidRPr="000804FA">
        <w:rPr>
          <w:color w:val="000000" w:themeColor="text1"/>
          <w:lang w:val="en-CA"/>
        </w:rPr>
        <w:t>EuroValve</w:t>
      </w:r>
      <w:proofErr w:type="spellEnd"/>
      <w:r w:rsidR="00657C17" w:rsidRPr="000804FA">
        <w:rPr>
          <w:color w:val="000000" w:themeColor="text1"/>
          <w:lang w:val="en-CA"/>
        </w:rPr>
        <w:t xml:space="preserve"> C</w:t>
      </w:r>
      <w:r w:rsidR="00BC5762" w:rsidRPr="000804FA">
        <w:rPr>
          <w:color w:val="000000" w:themeColor="text1"/>
          <w:lang w:val="en-CA"/>
        </w:rPr>
        <w:t>onsortium</w:t>
      </w:r>
    </w:p>
    <w:p w14:paraId="4F385BFA" w14:textId="77777777" w:rsidR="006842A1" w:rsidRPr="000804FA" w:rsidRDefault="006842A1" w:rsidP="000804FA">
      <w:pPr>
        <w:spacing w:after="120" w:line="480" w:lineRule="auto"/>
        <w:contextualSpacing/>
        <w:rPr>
          <w:b/>
          <w:color w:val="000000" w:themeColor="text1"/>
          <w:lang w:val="en-CA"/>
        </w:rPr>
      </w:pPr>
    </w:p>
    <w:p w14:paraId="0A5D02E4" w14:textId="0FB761CE" w:rsidR="00925AD5" w:rsidRPr="000804FA" w:rsidRDefault="00925AD5" w:rsidP="000804FA">
      <w:pPr>
        <w:spacing w:line="480" w:lineRule="auto"/>
        <w:contextualSpacing/>
        <w:rPr>
          <w:color w:val="000000" w:themeColor="text1"/>
          <w:vertAlign w:val="superscript"/>
        </w:rPr>
      </w:pPr>
      <w:proofErr w:type="gramStart"/>
      <w:r w:rsidRPr="000804FA">
        <w:rPr>
          <w:color w:val="000000" w:themeColor="text1"/>
          <w:vertAlign w:val="superscript"/>
        </w:rPr>
        <w:t>a</w:t>
      </w:r>
      <w:proofErr w:type="gramEnd"/>
      <w:r w:rsidRPr="000804FA">
        <w:rPr>
          <w:color w:val="000000" w:themeColor="text1"/>
          <w:vertAlign w:val="superscript"/>
        </w:rPr>
        <w:t xml:space="preserve"> </w:t>
      </w:r>
      <w:r w:rsidRPr="000804FA">
        <w:rPr>
          <w:color w:val="000000" w:themeColor="text1"/>
        </w:rPr>
        <w:t>Univ. Lille, Inserm, CHU Lille, Institut Pasteur de Lille, U1011- EGID, F-59000 Lille, France</w:t>
      </w:r>
    </w:p>
    <w:p w14:paraId="28D6BD38" w14:textId="77777777" w:rsidR="00925AD5" w:rsidRPr="000804FA" w:rsidRDefault="00925AD5" w:rsidP="000804FA">
      <w:pPr>
        <w:spacing w:line="480" w:lineRule="auto"/>
        <w:contextualSpacing/>
        <w:rPr>
          <w:color w:val="000000" w:themeColor="text1"/>
          <w:vertAlign w:val="superscript"/>
          <w:lang w:val="en-GB"/>
        </w:rPr>
      </w:pPr>
      <w:r w:rsidRPr="000804FA">
        <w:rPr>
          <w:color w:val="000000" w:themeColor="text1"/>
          <w:shd w:val="clear" w:color="auto" w:fill="FFFFFF"/>
          <w:vertAlign w:val="superscript"/>
          <w:lang w:val="en-GB"/>
        </w:rPr>
        <w:t>b</w:t>
      </w:r>
      <w:r w:rsidRPr="000804FA">
        <w:rPr>
          <w:color w:val="000000" w:themeColor="text1"/>
          <w:shd w:val="clear" w:color="auto" w:fill="FFFFFF"/>
          <w:lang w:val="en-GB"/>
        </w:rPr>
        <w:t xml:space="preserve"> Cardiovascular Research Foundation, New York, USA</w:t>
      </w:r>
    </w:p>
    <w:p w14:paraId="1DC83688" w14:textId="18FC1FFD" w:rsidR="00925AD5" w:rsidRPr="000804FA" w:rsidRDefault="00925AD5" w:rsidP="000804FA">
      <w:pPr>
        <w:spacing w:line="480" w:lineRule="auto"/>
        <w:contextualSpacing/>
        <w:rPr>
          <w:color w:val="000000" w:themeColor="text1"/>
          <w:vertAlign w:val="superscript"/>
          <w:lang w:val="en-GB"/>
        </w:rPr>
      </w:pPr>
      <w:r w:rsidRPr="000804FA">
        <w:rPr>
          <w:color w:val="000000" w:themeColor="text1"/>
          <w:vertAlign w:val="superscript"/>
          <w:lang w:val="en-GB"/>
        </w:rPr>
        <w:t xml:space="preserve">c </w:t>
      </w:r>
      <w:r w:rsidRPr="000804FA">
        <w:rPr>
          <w:color w:val="000000" w:themeColor="text1"/>
          <w:shd w:val="clear" w:color="auto" w:fill="FFFFFF"/>
          <w:lang w:val="en-AU"/>
        </w:rPr>
        <w:t xml:space="preserve">University of Liège Hospital, GIGA Cardiovascular Sciences, Departments of Cardiology, Heart Valve Clinic, CHU </w:t>
      </w:r>
      <w:proofErr w:type="spellStart"/>
      <w:r w:rsidRPr="000804FA">
        <w:rPr>
          <w:color w:val="000000" w:themeColor="text1"/>
          <w:shd w:val="clear" w:color="auto" w:fill="FFFFFF"/>
          <w:lang w:val="en-AU"/>
        </w:rPr>
        <w:t>Sart</w:t>
      </w:r>
      <w:proofErr w:type="spellEnd"/>
      <w:r w:rsidRPr="000804FA">
        <w:rPr>
          <w:color w:val="000000" w:themeColor="text1"/>
          <w:shd w:val="clear" w:color="auto" w:fill="FFFFFF"/>
          <w:lang w:val="en-AU"/>
        </w:rPr>
        <w:t xml:space="preserve"> Tilman, Liège, Belgium</w:t>
      </w:r>
    </w:p>
    <w:p w14:paraId="28E64CA9" w14:textId="2C88FF58" w:rsidR="00184B8D" w:rsidRPr="000804FA" w:rsidRDefault="00925AD5" w:rsidP="000804FA">
      <w:pPr>
        <w:spacing w:line="480" w:lineRule="auto"/>
        <w:contextualSpacing/>
        <w:rPr>
          <w:color w:val="000000" w:themeColor="text1"/>
          <w:vertAlign w:val="superscript"/>
          <w:lang w:val="en-GB"/>
        </w:rPr>
      </w:pPr>
      <w:r w:rsidRPr="000804FA">
        <w:rPr>
          <w:color w:val="000000" w:themeColor="text1"/>
          <w:vertAlign w:val="superscript"/>
          <w:lang w:val="en-GB"/>
        </w:rPr>
        <w:t xml:space="preserve">d </w:t>
      </w:r>
      <w:r w:rsidRPr="000804FA">
        <w:rPr>
          <w:color w:val="000000" w:themeColor="text1"/>
          <w:lang w:val="en-AU"/>
        </w:rPr>
        <w:t>Gruppo Villa Maria Care and Research, Maria Cecilia Hospital, Cotignola, and Anthea Hospital, Bari, Italy</w:t>
      </w:r>
    </w:p>
    <w:p w14:paraId="4525A64A" w14:textId="69A27CC2" w:rsidR="00C650D6" w:rsidRPr="000804FA" w:rsidRDefault="00925AD5" w:rsidP="000804FA">
      <w:pPr>
        <w:spacing w:line="480" w:lineRule="auto"/>
        <w:contextualSpacing/>
        <w:jc w:val="both"/>
        <w:rPr>
          <w:color w:val="000000" w:themeColor="text1"/>
        </w:rPr>
      </w:pPr>
      <w:proofErr w:type="gramStart"/>
      <w:r w:rsidRPr="000804FA">
        <w:rPr>
          <w:color w:val="000000" w:themeColor="text1"/>
          <w:vertAlign w:val="superscript"/>
        </w:rPr>
        <w:t>e</w:t>
      </w:r>
      <w:proofErr w:type="gramEnd"/>
      <w:r w:rsidRPr="000804FA">
        <w:rPr>
          <w:color w:val="000000" w:themeColor="text1"/>
          <w:vertAlign w:val="superscript"/>
        </w:rPr>
        <w:t xml:space="preserve"> </w:t>
      </w:r>
      <w:r w:rsidR="00184B8D" w:rsidRPr="000804FA">
        <w:rPr>
          <w:color w:val="000000" w:themeColor="text1"/>
        </w:rPr>
        <w:t xml:space="preserve">APHM, La Timone Hospital, </w:t>
      </w:r>
      <w:proofErr w:type="spellStart"/>
      <w:r w:rsidR="00184B8D" w:rsidRPr="000804FA">
        <w:rPr>
          <w:color w:val="000000" w:themeColor="text1"/>
        </w:rPr>
        <w:t>Cardiology</w:t>
      </w:r>
      <w:proofErr w:type="spellEnd"/>
      <w:r w:rsidR="00184B8D" w:rsidRPr="000804FA">
        <w:rPr>
          <w:color w:val="000000" w:themeColor="text1"/>
        </w:rPr>
        <w:t xml:space="preserve"> </w:t>
      </w:r>
      <w:proofErr w:type="spellStart"/>
      <w:r w:rsidR="00184B8D" w:rsidRPr="000804FA">
        <w:rPr>
          <w:color w:val="000000" w:themeColor="text1"/>
        </w:rPr>
        <w:t>Department</w:t>
      </w:r>
      <w:proofErr w:type="spellEnd"/>
      <w:r w:rsidR="00184B8D" w:rsidRPr="000804FA">
        <w:rPr>
          <w:color w:val="000000" w:themeColor="text1"/>
        </w:rPr>
        <w:t xml:space="preserve">, Aix Marseille Univ, Marseille, </w:t>
      </w:r>
      <w:r w:rsidR="002A10F8" w:rsidRPr="000804FA">
        <w:rPr>
          <w:color w:val="000000" w:themeColor="text1"/>
        </w:rPr>
        <w:t>France</w:t>
      </w:r>
    </w:p>
    <w:p w14:paraId="4A2641E4" w14:textId="0D3FE0EA" w:rsidR="002A10F8" w:rsidRPr="000804FA" w:rsidRDefault="007D2705" w:rsidP="000804FA">
      <w:pPr>
        <w:spacing w:line="480" w:lineRule="auto"/>
        <w:contextualSpacing/>
        <w:rPr>
          <w:color w:val="000000" w:themeColor="text1"/>
          <w:lang w:val="en-US"/>
        </w:rPr>
      </w:pPr>
      <w:r w:rsidRPr="000804FA">
        <w:rPr>
          <w:color w:val="000000" w:themeColor="text1"/>
          <w:vertAlign w:val="superscript"/>
          <w:lang w:val="en-US"/>
        </w:rPr>
        <w:t>f</w:t>
      </w:r>
      <w:r w:rsidR="007D05AE" w:rsidRPr="000804FA">
        <w:rPr>
          <w:color w:val="000000" w:themeColor="text1"/>
          <w:vertAlign w:val="superscript"/>
          <w:lang w:val="en-US"/>
        </w:rPr>
        <w:t xml:space="preserve"> </w:t>
      </w:r>
      <w:r w:rsidR="007D05AE" w:rsidRPr="000804FA">
        <w:rPr>
          <w:color w:val="000000" w:themeColor="text1"/>
          <w:lang w:val="en-US"/>
        </w:rPr>
        <w:t>Royal Papworth Hospital, Cambridge University Health Partners, Cambridge Biomedical Campus, Cambridge, UK</w:t>
      </w:r>
    </w:p>
    <w:p w14:paraId="3BCB6A6C" w14:textId="1B940D13" w:rsidR="0086717F" w:rsidRPr="000804FA" w:rsidRDefault="00323827" w:rsidP="000804FA">
      <w:pPr>
        <w:pStyle w:val="NormalWeb"/>
        <w:spacing w:before="0" w:beforeAutospacing="0" w:after="0" w:afterAutospacing="0" w:line="480" w:lineRule="auto"/>
        <w:contextualSpacing/>
        <w:rPr>
          <w:color w:val="000000" w:themeColor="text1"/>
          <w:lang w:eastAsia="fr-FR"/>
        </w:rPr>
      </w:pPr>
      <w:r w:rsidRPr="000804FA">
        <w:rPr>
          <w:color w:val="000000" w:themeColor="text1"/>
          <w:vertAlign w:val="superscript"/>
        </w:rPr>
        <w:t>g</w:t>
      </w:r>
      <w:r w:rsidR="0086717F" w:rsidRPr="000804FA">
        <w:rPr>
          <w:color w:val="000000" w:themeColor="text1"/>
        </w:rPr>
        <w:t xml:space="preserve"> </w:t>
      </w:r>
      <w:r w:rsidR="0086717F" w:rsidRPr="000804FA">
        <w:rPr>
          <w:color w:val="000000" w:themeColor="text1"/>
          <w:lang w:eastAsia="fr-FR"/>
        </w:rPr>
        <w:t xml:space="preserve">Department of Cardiology, </w:t>
      </w:r>
      <w:r w:rsidR="0086717F" w:rsidRPr="000804FA">
        <w:rPr>
          <w:color w:val="000000" w:themeColor="text1"/>
        </w:rPr>
        <w:t>Odense University Hospital, Denmark</w:t>
      </w:r>
    </w:p>
    <w:p w14:paraId="4152E566" w14:textId="6A823C51" w:rsidR="00C650D6" w:rsidRPr="000804FA" w:rsidRDefault="00323827" w:rsidP="000804FA">
      <w:pPr>
        <w:spacing w:line="480" w:lineRule="auto"/>
        <w:contextualSpacing/>
        <w:rPr>
          <w:color w:val="000000" w:themeColor="text1"/>
          <w:lang w:val="en-US"/>
        </w:rPr>
      </w:pPr>
      <w:r w:rsidRPr="000804FA">
        <w:rPr>
          <w:color w:val="000000" w:themeColor="text1"/>
          <w:vertAlign w:val="superscript"/>
          <w:lang w:val="en-US"/>
        </w:rPr>
        <w:t>h</w:t>
      </w:r>
      <w:r w:rsidR="00C650D6" w:rsidRPr="000804FA">
        <w:rPr>
          <w:color w:val="000000" w:themeColor="text1"/>
          <w:lang w:val="en-US"/>
        </w:rPr>
        <w:t xml:space="preserve"> Division of Cardiology - A.O.U. </w:t>
      </w:r>
      <w:proofErr w:type="spellStart"/>
      <w:r w:rsidR="00C650D6" w:rsidRPr="000804FA">
        <w:rPr>
          <w:color w:val="000000" w:themeColor="text1"/>
          <w:lang w:val="en-US"/>
        </w:rPr>
        <w:t>Policlinico</w:t>
      </w:r>
      <w:proofErr w:type="spellEnd"/>
      <w:r w:rsidR="00C650D6" w:rsidRPr="000804FA">
        <w:rPr>
          <w:color w:val="000000" w:themeColor="text1"/>
          <w:lang w:val="en-US"/>
        </w:rPr>
        <w:t xml:space="preserve"> “G. Rodolico - San Marco” Catania, Italy</w:t>
      </w:r>
    </w:p>
    <w:p w14:paraId="1489DEF9" w14:textId="35E6A91D" w:rsidR="0086717F" w:rsidRPr="000804FA" w:rsidRDefault="00323827" w:rsidP="000804FA">
      <w:pPr>
        <w:spacing w:line="480" w:lineRule="auto"/>
        <w:contextualSpacing/>
        <w:rPr>
          <w:color w:val="000000" w:themeColor="text1"/>
          <w:lang w:val="en-US"/>
        </w:rPr>
      </w:pPr>
      <w:r w:rsidRPr="000804FA">
        <w:rPr>
          <w:color w:val="000000" w:themeColor="text1"/>
          <w:vertAlign w:val="superscript"/>
          <w:lang w:val="en-US"/>
        </w:rPr>
        <w:t>i</w:t>
      </w:r>
      <w:r w:rsidR="0086717F" w:rsidRPr="000804FA">
        <w:rPr>
          <w:color w:val="000000" w:themeColor="text1"/>
          <w:lang w:val="en-US"/>
        </w:rPr>
        <w:t xml:space="preserve"> Marcus Heart Valve Center, Piedmont Heart Institute, Atlanta, GA 30309, USA</w:t>
      </w:r>
    </w:p>
    <w:p w14:paraId="12F7A229" w14:textId="0785C9A1" w:rsidR="00C650D6" w:rsidRPr="000804FA" w:rsidRDefault="00323827" w:rsidP="000804FA">
      <w:pPr>
        <w:spacing w:line="480" w:lineRule="auto"/>
        <w:contextualSpacing/>
        <w:jc w:val="both"/>
        <w:rPr>
          <w:color w:val="000000" w:themeColor="text1"/>
          <w:lang w:val="en-US"/>
        </w:rPr>
      </w:pPr>
      <w:r w:rsidRPr="000804FA">
        <w:rPr>
          <w:color w:val="000000" w:themeColor="text1"/>
          <w:vertAlign w:val="superscript"/>
          <w:lang w:val="en-US"/>
        </w:rPr>
        <w:lastRenderedPageBreak/>
        <w:t>j</w:t>
      </w:r>
      <w:r w:rsidR="00C650D6" w:rsidRPr="000804FA">
        <w:rPr>
          <w:color w:val="000000" w:themeColor="text1"/>
          <w:lang w:val="en-US"/>
        </w:rPr>
        <w:t xml:space="preserve"> Department of Cardiology, Norwich Medical School, University of East Anglia &amp; Norfolk and Norwich University Hospital, Norwich, NR4 7UT, UK</w:t>
      </w:r>
    </w:p>
    <w:p w14:paraId="71FF6894" w14:textId="7135D957" w:rsidR="00E60315" w:rsidRPr="000804FA" w:rsidRDefault="0089335D" w:rsidP="000804FA">
      <w:pPr>
        <w:spacing w:line="480" w:lineRule="auto"/>
        <w:contextualSpacing/>
        <w:jc w:val="both"/>
        <w:rPr>
          <w:rFonts w:eastAsiaTheme="minorHAnsi"/>
          <w:color w:val="000000" w:themeColor="text1"/>
          <w:lang w:val="en-US" w:eastAsia="en-US"/>
        </w:rPr>
      </w:pPr>
      <w:r w:rsidRPr="000804FA">
        <w:rPr>
          <w:color w:val="000000" w:themeColor="text1"/>
          <w:vertAlign w:val="superscript"/>
          <w:lang w:val="en-US"/>
        </w:rPr>
        <w:t>k</w:t>
      </w:r>
      <w:r w:rsidR="00E60315" w:rsidRPr="000804FA">
        <w:rPr>
          <w:color w:val="000000" w:themeColor="text1"/>
          <w:lang w:val="en-US"/>
        </w:rPr>
        <w:t xml:space="preserve"> </w:t>
      </w:r>
      <w:r w:rsidR="00E60315" w:rsidRPr="000804FA">
        <w:rPr>
          <w:rFonts w:eastAsiaTheme="minorHAnsi"/>
          <w:color w:val="000000" w:themeColor="text1"/>
          <w:lang w:val="en-US" w:eastAsia="en-US"/>
        </w:rPr>
        <w:t xml:space="preserve">Institute of Cardiology, Jagiellonian University, </w:t>
      </w:r>
      <w:proofErr w:type="spellStart"/>
      <w:r w:rsidR="00E60315" w:rsidRPr="000804FA">
        <w:rPr>
          <w:rFonts w:eastAsiaTheme="minorHAnsi"/>
          <w:color w:val="000000" w:themeColor="text1"/>
          <w:lang w:val="en-US" w:eastAsia="en-US"/>
        </w:rPr>
        <w:t>Kopernika</w:t>
      </w:r>
      <w:proofErr w:type="spellEnd"/>
      <w:r w:rsidR="00E60315" w:rsidRPr="000804FA">
        <w:rPr>
          <w:rFonts w:eastAsiaTheme="minorHAnsi"/>
          <w:color w:val="000000" w:themeColor="text1"/>
          <w:lang w:val="en-US" w:eastAsia="en-US"/>
        </w:rPr>
        <w:t xml:space="preserve"> 17, Krakow, Poland</w:t>
      </w:r>
    </w:p>
    <w:p w14:paraId="2BBC50C4" w14:textId="0AB570CC" w:rsidR="0089335D" w:rsidRPr="000804FA" w:rsidRDefault="0089335D" w:rsidP="000804FA">
      <w:pPr>
        <w:spacing w:line="480" w:lineRule="auto"/>
        <w:contextualSpacing/>
        <w:rPr>
          <w:color w:val="000000" w:themeColor="text1"/>
          <w:lang w:val="en-US"/>
        </w:rPr>
      </w:pPr>
      <w:r w:rsidRPr="000804FA">
        <w:rPr>
          <w:color w:val="000000" w:themeColor="text1"/>
          <w:vertAlign w:val="superscript"/>
          <w:lang w:val="en-US"/>
        </w:rPr>
        <w:t>l</w:t>
      </w:r>
      <w:r w:rsidR="00925AD5" w:rsidRPr="000804FA">
        <w:rPr>
          <w:color w:val="000000" w:themeColor="text1"/>
          <w:lang w:val="en-US"/>
        </w:rPr>
        <w:t xml:space="preserve"> </w:t>
      </w:r>
      <w:r w:rsidR="001A46EA" w:rsidRPr="000804FA">
        <w:rPr>
          <w:color w:val="000000" w:themeColor="text1"/>
          <w:lang w:val="en-US"/>
        </w:rPr>
        <w:t xml:space="preserve">Emergency Institute for Cardiovascular </w:t>
      </w:r>
      <w:proofErr w:type="gramStart"/>
      <w:r w:rsidR="001A46EA" w:rsidRPr="000804FA">
        <w:rPr>
          <w:color w:val="000000" w:themeColor="text1"/>
          <w:lang w:val="en-US"/>
        </w:rPr>
        <w:t>Diseases ’</w:t>
      </w:r>
      <w:proofErr w:type="gramEnd"/>
      <w:r w:rsidR="001A46EA" w:rsidRPr="000804FA">
        <w:rPr>
          <w:color w:val="000000" w:themeColor="text1"/>
          <w:lang w:val="en-US"/>
        </w:rPr>
        <w:t>Prof. C.C. Iliescu’, Bucharest, Romania; University of Medicine Carol Davila, Bucharest, Romania.</w:t>
      </w:r>
    </w:p>
    <w:p w14:paraId="488ECA14" w14:textId="15F90F55" w:rsidR="0089335D" w:rsidRPr="000804FA" w:rsidRDefault="0089335D" w:rsidP="000804FA">
      <w:pPr>
        <w:spacing w:line="480" w:lineRule="auto"/>
        <w:contextualSpacing/>
        <w:rPr>
          <w:color w:val="000000" w:themeColor="text1"/>
          <w:lang w:val="en-US"/>
        </w:rPr>
      </w:pPr>
      <w:r w:rsidRPr="000804FA">
        <w:rPr>
          <w:color w:val="000000" w:themeColor="text1"/>
          <w:vertAlign w:val="superscript"/>
          <w:lang w:val="en-US"/>
        </w:rPr>
        <w:t>m</w:t>
      </w:r>
      <w:r w:rsidRPr="000804FA">
        <w:rPr>
          <w:color w:val="000000" w:themeColor="text1"/>
          <w:lang w:val="en-US"/>
        </w:rPr>
        <w:t xml:space="preserve"> </w:t>
      </w:r>
      <w:r w:rsidR="003C6596" w:rsidRPr="000804FA">
        <w:rPr>
          <w:color w:val="000000" w:themeColor="text1"/>
          <w:lang w:val="en-US"/>
        </w:rPr>
        <w:t>University of Muenster, Medical Faculty, Muenster, Germany</w:t>
      </w:r>
    </w:p>
    <w:p w14:paraId="0198F2E1" w14:textId="0E957B89" w:rsidR="0089335D" w:rsidRPr="000804FA" w:rsidRDefault="0089335D" w:rsidP="000804FA">
      <w:pPr>
        <w:spacing w:line="480" w:lineRule="auto"/>
        <w:contextualSpacing/>
        <w:rPr>
          <w:color w:val="000000" w:themeColor="text1"/>
          <w:lang w:val="en-US"/>
        </w:rPr>
      </w:pPr>
      <w:r w:rsidRPr="000804FA">
        <w:rPr>
          <w:color w:val="000000" w:themeColor="text1"/>
          <w:vertAlign w:val="superscript"/>
          <w:lang w:val="en-US"/>
        </w:rPr>
        <w:t>n</w:t>
      </w:r>
      <w:r w:rsidRPr="000804FA">
        <w:rPr>
          <w:color w:val="000000" w:themeColor="text1"/>
          <w:lang w:val="en-US"/>
        </w:rPr>
        <w:t xml:space="preserve"> </w:t>
      </w:r>
      <w:proofErr w:type="spellStart"/>
      <w:r w:rsidR="003C6596" w:rsidRPr="000804FA">
        <w:rPr>
          <w:color w:val="000000" w:themeColor="text1"/>
          <w:lang w:val="en-US"/>
        </w:rPr>
        <w:t>Hirslanden</w:t>
      </w:r>
      <w:proofErr w:type="spellEnd"/>
      <w:r w:rsidR="003C6596" w:rsidRPr="000804FA">
        <w:rPr>
          <w:color w:val="000000" w:themeColor="text1"/>
          <w:lang w:val="en-US"/>
        </w:rPr>
        <w:t xml:space="preserve"> Clinic in Park, Zurich, Switzerland</w:t>
      </w:r>
    </w:p>
    <w:p w14:paraId="6C025B43" w14:textId="0CFA851B" w:rsidR="000952B4" w:rsidRPr="000804FA" w:rsidRDefault="0089335D" w:rsidP="000804FA">
      <w:pPr>
        <w:spacing w:line="480" w:lineRule="auto"/>
        <w:contextualSpacing/>
        <w:rPr>
          <w:color w:val="000000" w:themeColor="text1"/>
          <w:lang w:val="en-US"/>
        </w:rPr>
      </w:pPr>
      <w:r w:rsidRPr="000804FA">
        <w:rPr>
          <w:color w:val="000000" w:themeColor="text1"/>
          <w:vertAlign w:val="superscript"/>
          <w:lang w:val="en-US"/>
        </w:rPr>
        <w:t>o</w:t>
      </w:r>
      <w:r w:rsidR="000952B4" w:rsidRPr="000804FA">
        <w:rPr>
          <w:color w:val="000000" w:themeColor="text1"/>
          <w:lang w:val="en-US"/>
        </w:rPr>
        <w:t xml:space="preserve"> Department of Cardiology, University Hospital Giessen, Germany </w:t>
      </w:r>
    </w:p>
    <w:p w14:paraId="30965C59" w14:textId="77777777" w:rsidR="00C711C3" w:rsidRPr="000804FA" w:rsidRDefault="0089335D" w:rsidP="000804FA">
      <w:pPr>
        <w:spacing w:line="480" w:lineRule="auto"/>
        <w:contextualSpacing/>
        <w:rPr>
          <w:color w:val="000000" w:themeColor="text1"/>
          <w:lang w:val="en-US"/>
        </w:rPr>
      </w:pPr>
      <w:r w:rsidRPr="000804FA">
        <w:rPr>
          <w:color w:val="000000" w:themeColor="text1"/>
          <w:vertAlign w:val="superscript"/>
          <w:lang w:val="en-US"/>
        </w:rPr>
        <w:t>p</w:t>
      </w:r>
      <w:r w:rsidR="003C0459" w:rsidRPr="000804FA">
        <w:rPr>
          <w:color w:val="000000" w:themeColor="text1"/>
          <w:lang w:val="en-US"/>
        </w:rPr>
        <w:t xml:space="preserve"> </w:t>
      </w:r>
      <w:r w:rsidR="00F63D70" w:rsidRPr="000804FA">
        <w:rPr>
          <w:color w:val="000000" w:themeColor="text1"/>
          <w:shd w:val="clear" w:color="auto" w:fill="FFFFFF"/>
          <w:lang w:val="en-US"/>
        </w:rPr>
        <w:t>Department of Cardiac Surgery, European Hospital, Rome, Italy.</w:t>
      </w:r>
    </w:p>
    <w:p w14:paraId="79E492A1" w14:textId="74D8582B" w:rsidR="00C711C3" w:rsidRPr="000804FA" w:rsidRDefault="00C711C3" w:rsidP="000804FA">
      <w:pPr>
        <w:spacing w:line="480" w:lineRule="auto"/>
        <w:contextualSpacing/>
        <w:rPr>
          <w:color w:val="000000" w:themeColor="text1"/>
          <w:lang w:val="en-US"/>
        </w:rPr>
      </w:pPr>
      <w:r w:rsidRPr="000804FA">
        <w:rPr>
          <w:color w:val="000000" w:themeColor="text1"/>
          <w:vertAlign w:val="superscript"/>
          <w:lang w:val="en-US"/>
        </w:rPr>
        <w:t>Q</w:t>
      </w:r>
      <w:r w:rsidRPr="000804FA">
        <w:rPr>
          <w:color w:val="000000" w:themeColor="text1"/>
          <w:lang w:val="en-US"/>
        </w:rPr>
        <w:t xml:space="preserve"> Cardio-Thoracic-</w:t>
      </w:r>
      <w:proofErr w:type="gramStart"/>
      <w:r w:rsidRPr="000804FA">
        <w:rPr>
          <w:color w:val="000000" w:themeColor="text1"/>
          <w:lang w:val="en-US"/>
        </w:rPr>
        <w:t>Vascular  Department</w:t>
      </w:r>
      <w:proofErr w:type="gramEnd"/>
      <w:r w:rsidRPr="000804FA">
        <w:rPr>
          <w:color w:val="000000" w:themeColor="text1"/>
          <w:lang w:val="en-US"/>
        </w:rPr>
        <w:t xml:space="preserve">, University Hospital "San Giovanni di Dio e </w:t>
      </w:r>
      <w:proofErr w:type="spellStart"/>
      <w:r w:rsidRPr="000804FA">
        <w:rPr>
          <w:color w:val="000000" w:themeColor="text1"/>
          <w:lang w:val="en-US"/>
        </w:rPr>
        <w:t>Ruggi</w:t>
      </w:r>
      <w:proofErr w:type="spellEnd"/>
      <w:r w:rsidRPr="000804FA">
        <w:rPr>
          <w:color w:val="000000" w:themeColor="text1"/>
          <w:lang w:val="en-US"/>
        </w:rPr>
        <w:t xml:space="preserve"> </w:t>
      </w:r>
      <w:proofErr w:type="spellStart"/>
      <w:r w:rsidRPr="000804FA">
        <w:rPr>
          <w:color w:val="000000" w:themeColor="text1"/>
          <w:lang w:val="en-US"/>
        </w:rPr>
        <w:t>d'Aragona</w:t>
      </w:r>
      <w:proofErr w:type="spellEnd"/>
      <w:r w:rsidRPr="000804FA">
        <w:rPr>
          <w:color w:val="000000" w:themeColor="text1"/>
          <w:lang w:val="en-US"/>
        </w:rPr>
        <w:t>", Salerno, Italy </w:t>
      </w:r>
      <w:r w:rsidRPr="000804FA">
        <w:rPr>
          <w:color w:val="000000" w:themeColor="text1"/>
          <w:lang w:val="en-US"/>
        </w:rPr>
        <w:br/>
      </w:r>
      <w:r w:rsidRPr="000804FA">
        <w:rPr>
          <w:color w:val="000000" w:themeColor="text1"/>
          <w:vertAlign w:val="superscript"/>
          <w:lang w:val="en-US"/>
        </w:rPr>
        <w:t>r</w:t>
      </w:r>
      <w:r w:rsidRPr="000804FA">
        <w:rPr>
          <w:color w:val="000000" w:themeColor="text1"/>
          <w:lang w:val="en-US"/>
        </w:rPr>
        <w:t xml:space="preserve"> Department of Vascular Physiopathology, IRCCS </w:t>
      </w:r>
      <w:proofErr w:type="spellStart"/>
      <w:r w:rsidRPr="000804FA">
        <w:rPr>
          <w:color w:val="000000" w:themeColor="text1"/>
          <w:lang w:val="en-US"/>
        </w:rPr>
        <w:t>Neuromed</w:t>
      </w:r>
      <w:proofErr w:type="spellEnd"/>
      <w:r w:rsidRPr="000804FA">
        <w:rPr>
          <w:color w:val="000000" w:themeColor="text1"/>
          <w:lang w:val="en-US"/>
        </w:rPr>
        <w:t xml:space="preserve">, </w:t>
      </w:r>
      <w:proofErr w:type="spellStart"/>
      <w:r w:rsidRPr="000804FA">
        <w:rPr>
          <w:color w:val="000000" w:themeColor="text1"/>
          <w:lang w:val="en-US"/>
        </w:rPr>
        <w:t>Pozzilli</w:t>
      </w:r>
      <w:proofErr w:type="spellEnd"/>
      <w:r w:rsidRPr="000804FA">
        <w:rPr>
          <w:color w:val="000000" w:themeColor="text1"/>
          <w:lang w:val="en-US"/>
        </w:rPr>
        <w:t>, Italy</w:t>
      </w:r>
    </w:p>
    <w:p w14:paraId="35936D54" w14:textId="144781CB" w:rsidR="001B6359" w:rsidRPr="000804FA" w:rsidRDefault="00C711C3" w:rsidP="000804FA">
      <w:pPr>
        <w:spacing w:line="480" w:lineRule="auto"/>
        <w:contextualSpacing/>
        <w:jc w:val="both"/>
        <w:rPr>
          <w:color w:val="000000" w:themeColor="text1"/>
          <w:lang w:val="en-US"/>
        </w:rPr>
      </w:pPr>
      <w:r w:rsidRPr="000804FA">
        <w:rPr>
          <w:color w:val="000000" w:themeColor="text1"/>
          <w:vertAlign w:val="superscript"/>
          <w:lang w:val="en-US"/>
        </w:rPr>
        <w:t>s</w:t>
      </w:r>
      <w:r w:rsidR="001B6359" w:rsidRPr="000804FA">
        <w:rPr>
          <w:color w:val="000000" w:themeColor="text1"/>
          <w:lang w:val="en-US"/>
        </w:rPr>
        <w:t xml:space="preserve"> Quebec Heart and Lung Institute, Laval University, Québec City, Quebec, Canada</w:t>
      </w:r>
    </w:p>
    <w:p w14:paraId="3F8E0A16" w14:textId="77777777" w:rsidR="00E242F6" w:rsidRPr="000804FA" w:rsidRDefault="00E242F6" w:rsidP="000804FA">
      <w:pPr>
        <w:spacing w:line="480" w:lineRule="auto"/>
        <w:contextualSpacing/>
        <w:jc w:val="both"/>
        <w:rPr>
          <w:b/>
          <w:bCs/>
          <w:color w:val="000000" w:themeColor="text1"/>
          <w:lang w:val="en-GB"/>
        </w:rPr>
      </w:pPr>
      <w:r w:rsidRPr="000804FA">
        <w:rPr>
          <w:b/>
          <w:bCs/>
          <w:color w:val="000000" w:themeColor="text1"/>
          <w:lang w:val="en-GB"/>
        </w:rPr>
        <w:t xml:space="preserve">Funding: </w:t>
      </w:r>
      <w:r w:rsidRPr="000804FA">
        <w:rPr>
          <w:color w:val="000000" w:themeColor="text1"/>
          <w:lang w:val="en-GB"/>
        </w:rPr>
        <w:t>none</w:t>
      </w:r>
    </w:p>
    <w:p w14:paraId="2BBF6403" w14:textId="17B0EBAC" w:rsidR="00184B8D" w:rsidRPr="000804FA" w:rsidRDefault="00E242F6" w:rsidP="000804FA">
      <w:pPr>
        <w:spacing w:after="120" w:line="480" w:lineRule="auto"/>
        <w:contextualSpacing/>
        <w:rPr>
          <w:b/>
          <w:bCs/>
          <w:color w:val="000000" w:themeColor="text1"/>
          <w:lang w:val="en-GB"/>
        </w:rPr>
      </w:pPr>
      <w:r w:rsidRPr="000804FA">
        <w:rPr>
          <w:b/>
          <w:bCs/>
          <w:color w:val="000000" w:themeColor="text1"/>
          <w:lang w:val="en-GB"/>
        </w:rPr>
        <w:t>Disclosures</w:t>
      </w:r>
      <w:r w:rsidR="00184B8D" w:rsidRPr="000804FA">
        <w:rPr>
          <w:b/>
          <w:bCs/>
          <w:color w:val="000000" w:themeColor="text1"/>
          <w:lang w:val="en-GB"/>
        </w:rPr>
        <w:t xml:space="preserve">: </w:t>
      </w:r>
    </w:p>
    <w:p w14:paraId="09BBE667" w14:textId="42C416B4" w:rsidR="00CA2BB3" w:rsidRPr="000804FA" w:rsidRDefault="00CA2BB3" w:rsidP="000804FA">
      <w:pPr>
        <w:spacing w:line="480" w:lineRule="auto"/>
        <w:contextualSpacing/>
        <w:jc w:val="both"/>
        <w:rPr>
          <w:color w:val="000000" w:themeColor="text1"/>
          <w:lang w:val="en-US"/>
        </w:rPr>
      </w:pPr>
      <w:r w:rsidRPr="000804FA">
        <w:rPr>
          <w:color w:val="000000" w:themeColor="text1"/>
          <w:lang w:val="en-US"/>
        </w:rPr>
        <w:t xml:space="preserve">Madalina </w:t>
      </w:r>
      <w:proofErr w:type="spellStart"/>
      <w:r w:rsidRPr="000804FA">
        <w:rPr>
          <w:color w:val="000000" w:themeColor="text1"/>
          <w:lang w:val="en-US"/>
        </w:rPr>
        <w:t>Garbi</w:t>
      </w:r>
      <w:proofErr w:type="spellEnd"/>
      <w:r w:rsidRPr="000804FA">
        <w:rPr>
          <w:color w:val="000000" w:themeColor="text1"/>
          <w:lang w:val="en-US"/>
        </w:rPr>
        <w:t xml:space="preserve"> </w:t>
      </w:r>
      <w:r w:rsidR="00F04BF1" w:rsidRPr="000804FA">
        <w:rPr>
          <w:color w:val="000000" w:themeColor="text1"/>
          <w:lang w:val="en-US"/>
        </w:rPr>
        <w:t>wa</w:t>
      </w:r>
      <w:r w:rsidRPr="000804FA">
        <w:rPr>
          <w:color w:val="000000" w:themeColor="text1"/>
          <w:lang w:val="en-US"/>
        </w:rPr>
        <w:t xml:space="preserve">s The NICE Topic Adviser for the NICE Guidelines on </w:t>
      </w:r>
      <w:r w:rsidR="001A1279" w:rsidRPr="000804FA">
        <w:rPr>
          <w:color w:val="000000" w:themeColor="text1"/>
          <w:lang w:val="en-US"/>
        </w:rPr>
        <w:t>heart valve disease presenting</w:t>
      </w:r>
      <w:r w:rsidRPr="000804FA">
        <w:rPr>
          <w:color w:val="000000" w:themeColor="text1"/>
          <w:lang w:val="en-US"/>
        </w:rPr>
        <w:t xml:space="preserve"> in adults: investigation and management. Jordi Dahl has received speaker fees from Edwards. </w:t>
      </w:r>
      <w:r w:rsidRPr="000804FA">
        <w:rPr>
          <w:color w:val="000000" w:themeColor="text1"/>
          <w:lang w:val="en-CA"/>
        </w:rPr>
        <w:t xml:space="preserve">Marco </w:t>
      </w:r>
      <w:proofErr w:type="spellStart"/>
      <w:r w:rsidRPr="000804FA">
        <w:rPr>
          <w:color w:val="000000" w:themeColor="text1"/>
          <w:lang w:val="en-CA"/>
        </w:rPr>
        <w:t>Barbanti</w:t>
      </w:r>
      <w:proofErr w:type="spellEnd"/>
      <w:r w:rsidRPr="000804FA">
        <w:rPr>
          <w:color w:val="000000" w:themeColor="text1"/>
          <w:lang w:val="en-CA"/>
        </w:rPr>
        <w:t xml:space="preserve"> has served as c</w:t>
      </w:r>
      <w:proofErr w:type="spellStart"/>
      <w:r w:rsidRPr="000804FA">
        <w:rPr>
          <w:color w:val="000000" w:themeColor="text1"/>
          <w:lang w:val="en-US"/>
        </w:rPr>
        <w:t>onsultant</w:t>
      </w:r>
      <w:proofErr w:type="spellEnd"/>
      <w:r w:rsidRPr="000804FA">
        <w:rPr>
          <w:color w:val="000000" w:themeColor="text1"/>
          <w:lang w:val="en-US"/>
        </w:rPr>
        <w:t xml:space="preserve"> for Edwards Lifesciences, </w:t>
      </w:r>
      <w:proofErr w:type="gramStart"/>
      <w:r w:rsidRPr="000804FA">
        <w:rPr>
          <w:color w:val="000000" w:themeColor="text1"/>
          <w:lang w:val="en-US"/>
        </w:rPr>
        <w:t>Medtronic</w:t>
      </w:r>
      <w:proofErr w:type="gramEnd"/>
      <w:r w:rsidRPr="000804FA">
        <w:rPr>
          <w:color w:val="000000" w:themeColor="text1"/>
          <w:lang w:val="en-US"/>
        </w:rPr>
        <w:t xml:space="preserve"> and Boston Scientifi</w:t>
      </w:r>
      <w:r w:rsidR="00F04BF1" w:rsidRPr="000804FA">
        <w:rPr>
          <w:color w:val="000000" w:themeColor="text1"/>
          <w:lang w:val="en-US"/>
        </w:rPr>
        <w:t xml:space="preserve">c. Mani Vannan has received Research grants and speaker’s honorarium (to Piedmont Heart Institute, not to self) from Abbott, </w:t>
      </w:r>
      <w:proofErr w:type="gramStart"/>
      <w:r w:rsidR="00F04BF1" w:rsidRPr="000804FA">
        <w:rPr>
          <w:color w:val="000000" w:themeColor="text1"/>
          <w:lang w:val="en-US"/>
        </w:rPr>
        <w:t>Medtronic</w:t>
      </w:r>
      <w:proofErr w:type="gramEnd"/>
      <w:r w:rsidR="00F04BF1" w:rsidRPr="000804FA">
        <w:rPr>
          <w:color w:val="000000" w:themeColor="text1"/>
          <w:lang w:val="en-US"/>
        </w:rPr>
        <w:t xml:space="preserve"> and Edwards Lifesciences. Vassilios S Vassiliou was an advisor for the NICE Guidelines on valvular heart disease (NG208) referred to in this manuscript.</w:t>
      </w:r>
      <w:r w:rsidR="0089335D" w:rsidRPr="000804FA">
        <w:rPr>
          <w:color w:val="000000" w:themeColor="text1"/>
          <w:lang w:val="en-GB"/>
        </w:rPr>
        <w:t xml:space="preserve"> Ruggero de Paulis has received </w:t>
      </w:r>
      <w:r w:rsidR="0089335D" w:rsidRPr="000804FA">
        <w:rPr>
          <w:color w:val="000000" w:themeColor="text1"/>
          <w:lang w:val="en-US"/>
        </w:rPr>
        <w:t>royalties from Edwards for a mitral ring and speaker fees from Edwards and Medtronic.</w:t>
      </w:r>
      <w:r w:rsidR="00F63D70" w:rsidRPr="000804FA">
        <w:rPr>
          <w:color w:val="000000" w:themeColor="text1"/>
          <w:lang w:val="en-US"/>
        </w:rPr>
        <w:t xml:space="preserve"> </w:t>
      </w:r>
      <w:r w:rsidRPr="000804FA">
        <w:rPr>
          <w:color w:val="000000" w:themeColor="text1"/>
          <w:lang w:val="en-GB"/>
        </w:rPr>
        <w:t>All other authors have reported that they have no relationships relevant to the contents of this paper to disclose.</w:t>
      </w:r>
    </w:p>
    <w:p w14:paraId="4462E056" w14:textId="77777777" w:rsidR="007D05AE" w:rsidRPr="000804FA" w:rsidRDefault="007D05AE" w:rsidP="000804FA">
      <w:pPr>
        <w:spacing w:line="480" w:lineRule="auto"/>
        <w:contextualSpacing/>
        <w:rPr>
          <w:color w:val="000000" w:themeColor="text1"/>
          <w:lang w:val="en-GB"/>
        </w:rPr>
      </w:pPr>
    </w:p>
    <w:p w14:paraId="021A856E" w14:textId="77777777" w:rsidR="00C2294B" w:rsidRPr="000804FA" w:rsidRDefault="00C2294B" w:rsidP="000804FA">
      <w:pPr>
        <w:spacing w:line="480" w:lineRule="auto"/>
        <w:contextualSpacing/>
        <w:rPr>
          <w:color w:val="000000" w:themeColor="text1"/>
          <w:lang w:val="en-US"/>
        </w:rPr>
      </w:pPr>
    </w:p>
    <w:p w14:paraId="3A1A8B75" w14:textId="0AE158DB" w:rsidR="00E242F6" w:rsidRPr="000804FA" w:rsidRDefault="00E242F6" w:rsidP="000804FA">
      <w:pPr>
        <w:spacing w:line="480" w:lineRule="auto"/>
        <w:contextualSpacing/>
        <w:rPr>
          <w:b/>
          <w:bCs/>
          <w:color w:val="000000" w:themeColor="text1"/>
          <w:lang w:val="en-GB"/>
        </w:rPr>
      </w:pPr>
      <w:r w:rsidRPr="000804FA">
        <w:rPr>
          <w:b/>
          <w:bCs/>
          <w:color w:val="000000" w:themeColor="text1"/>
          <w:u w:val="single"/>
          <w:lang w:val="en-GB"/>
        </w:rPr>
        <w:t>Address for correspondence</w:t>
      </w:r>
      <w:r w:rsidRPr="000804FA">
        <w:rPr>
          <w:b/>
          <w:bCs/>
          <w:color w:val="000000" w:themeColor="text1"/>
          <w:lang w:val="en-GB"/>
        </w:rPr>
        <w:t>:</w:t>
      </w:r>
    </w:p>
    <w:p w14:paraId="21D4595D" w14:textId="77777777" w:rsidR="00323827" w:rsidRPr="000804FA" w:rsidRDefault="00323827" w:rsidP="000804FA">
      <w:pPr>
        <w:tabs>
          <w:tab w:val="left" w:pos="1843"/>
          <w:tab w:val="left" w:pos="6096"/>
        </w:tabs>
        <w:spacing w:line="480" w:lineRule="auto"/>
        <w:contextualSpacing/>
        <w:jc w:val="both"/>
        <w:rPr>
          <w:color w:val="000000" w:themeColor="text1"/>
          <w:lang w:val="en-AU"/>
        </w:rPr>
      </w:pPr>
      <w:r w:rsidRPr="000804FA">
        <w:rPr>
          <w:color w:val="000000" w:themeColor="text1"/>
          <w:lang w:val="en-AU"/>
        </w:rPr>
        <w:t>Augustin Coisne, MD, PhD</w:t>
      </w:r>
    </w:p>
    <w:p w14:paraId="0B7A957C" w14:textId="4EF09D10" w:rsidR="0040308F" w:rsidRPr="000804FA" w:rsidRDefault="00323827" w:rsidP="000804FA">
      <w:pPr>
        <w:tabs>
          <w:tab w:val="left" w:pos="1843"/>
          <w:tab w:val="left" w:pos="6096"/>
        </w:tabs>
        <w:spacing w:line="480" w:lineRule="auto"/>
        <w:contextualSpacing/>
        <w:jc w:val="both"/>
        <w:rPr>
          <w:rFonts w:eastAsia="SimSun"/>
          <w:bCs/>
          <w:color w:val="000000" w:themeColor="text1"/>
          <w:lang w:val="en-US"/>
        </w:rPr>
      </w:pPr>
      <w:r w:rsidRPr="000804FA">
        <w:rPr>
          <w:rFonts w:eastAsia="SimSun"/>
          <w:bCs/>
          <w:color w:val="000000" w:themeColor="text1"/>
          <w:lang w:val="en-US"/>
        </w:rPr>
        <w:t>Lille University Hospital, Lille, France</w:t>
      </w:r>
    </w:p>
    <w:p w14:paraId="7FC64174" w14:textId="24DB2607" w:rsidR="00EC6938" w:rsidRPr="000804FA" w:rsidRDefault="00EC6938" w:rsidP="000804FA">
      <w:pPr>
        <w:tabs>
          <w:tab w:val="left" w:pos="1843"/>
          <w:tab w:val="left" w:pos="6096"/>
        </w:tabs>
        <w:spacing w:line="480" w:lineRule="auto"/>
        <w:contextualSpacing/>
        <w:jc w:val="both"/>
        <w:rPr>
          <w:rFonts w:eastAsia="SimSun"/>
          <w:bCs/>
          <w:color w:val="000000" w:themeColor="text1"/>
          <w:lang w:val="en-US"/>
        </w:rPr>
      </w:pPr>
      <w:r w:rsidRPr="000804FA">
        <w:rPr>
          <w:rFonts w:eastAsia="SimSun"/>
          <w:bCs/>
          <w:color w:val="000000" w:themeColor="text1"/>
          <w:lang w:val="en-US"/>
        </w:rPr>
        <w:t>Cardiovascular Research Foundation, New York, NY, USA</w:t>
      </w:r>
    </w:p>
    <w:p w14:paraId="24A4312B" w14:textId="77777777" w:rsidR="00323827" w:rsidRPr="000804FA" w:rsidRDefault="00323827" w:rsidP="000804FA">
      <w:pPr>
        <w:tabs>
          <w:tab w:val="left" w:pos="1843"/>
          <w:tab w:val="left" w:pos="6096"/>
        </w:tabs>
        <w:spacing w:line="480" w:lineRule="auto"/>
        <w:contextualSpacing/>
        <w:jc w:val="both"/>
        <w:rPr>
          <w:rStyle w:val="Hyperlink"/>
          <w:color w:val="000000" w:themeColor="text1"/>
        </w:rPr>
      </w:pPr>
      <w:proofErr w:type="gramStart"/>
      <w:r w:rsidRPr="000804FA">
        <w:rPr>
          <w:color w:val="000000" w:themeColor="text1"/>
        </w:rPr>
        <w:t>E-mail:</w:t>
      </w:r>
      <w:proofErr w:type="gramEnd"/>
      <w:r w:rsidRPr="000804FA">
        <w:rPr>
          <w:color w:val="000000" w:themeColor="text1"/>
        </w:rPr>
        <w:t xml:space="preserve"> acoisne@crf.org / augustincoisne@hotmail.com</w:t>
      </w:r>
    </w:p>
    <w:p w14:paraId="64BCCD3D" w14:textId="4503323D" w:rsidR="00E242F6" w:rsidRPr="000804FA" w:rsidRDefault="00323827" w:rsidP="000804FA">
      <w:pPr>
        <w:tabs>
          <w:tab w:val="left" w:pos="1843"/>
          <w:tab w:val="left" w:pos="6096"/>
        </w:tabs>
        <w:spacing w:line="480" w:lineRule="auto"/>
        <w:contextualSpacing/>
        <w:jc w:val="both"/>
        <w:rPr>
          <w:color w:val="000000" w:themeColor="text1"/>
          <w:lang w:val="en-GB"/>
        </w:rPr>
      </w:pPr>
      <w:r w:rsidRPr="000804FA">
        <w:rPr>
          <w:rStyle w:val="Hyperlink"/>
          <w:color w:val="000000" w:themeColor="text1"/>
          <w:u w:val="none"/>
          <w:lang w:val="en-GB"/>
        </w:rPr>
        <w:t xml:space="preserve">Fax: </w:t>
      </w:r>
      <w:r w:rsidR="00EC6938" w:rsidRPr="000804FA">
        <w:rPr>
          <w:rStyle w:val="Hyperlink"/>
          <w:color w:val="000000" w:themeColor="text1"/>
          <w:u w:val="none"/>
          <w:lang w:val="en-GB"/>
        </w:rPr>
        <w:t>+</w:t>
      </w:r>
      <w:r w:rsidR="00EC6938" w:rsidRPr="000804FA">
        <w:rPr>
          <w:color w:val="000000" w:themeColor="text1"/>
          <w:lang w:val="en-US"/>
        </w:rPr>
        <w:t>33.3.20.44.44.14</w:t>
      </w:r>
      <w:r w:rsidR="00EC6938" w:rsidRPr="000804FA">
        <w:rPr>
          <w:rStyle w:val="Hyperlink"/>
          <w:color w:val="000000" w:themeColor="text1"/>
          <w:u w:val="none"/>
          <w:lang w:val="en-US"/>
        </w:rPr>
        <w:t> </w:t>
      </w:r>
      <w:r w:rsidRPr="000804FA">
        <w:rPr>
          <w:rStyle w:val="Hyperlink"/>
          <w:color w:val="000000" w:themeColor="text1"/>
          <w:u w:val="none"/>
          <w:lang w:val="en-GB"/>
        </w:rPr>
        <w:t>/ Phone: +33603811698</w:t>
      </w:r>
      <w:r w:rsidR="00E242F6" w:rsidRPr="000804FA">
        <w:rPr>
          <w:b/>
          <w:bCs/>
          <w:color w:val="000000" w:themeColor="text1"/>
          <w:lang w:val="en-GB"/>
        </w:rPr>
        <w:br w:type="page"/>
      </w:r>
    </w:p>
    <w:p w14:paraId="5AAC9C63" w14:textId="63F40EB9" w:rsidR="006842A1" w:rsidRPr="000804FA" w:rsidRDefault="00D221DE" w:rsidP="000804FA">
      <w:pPr>
        <w:spacing w:after="120" w:line="480" w:lineRule="auto"/>
        <w:contextualSpacing/>
        <w:rPr>
          <w:b/>
          <w:color w:val="000000" w:themeColor="text1"/>
          <w:lang w:val="en-CA"/>
        </w:rPr>
      </w:pPr>
      <w:r w:rsidRPr="000804FA">
        <w:rPr>
          <w:b/>
          <w:color w:val="000000" w:themeColor="text1"/>
          <w:lang w:val="en-CA"/>
        </w:rPr>
        <w:lastRenderedPageBreak/>
        <w:t>ABSTRACT</w:t>
      </w:r>
    </w:p>
    <w:p w14:paraId="4BB478CB" w14:textId="7EA45C37" w:rsidR="001A1279" w:rsidRPr="000804FA" w:rsidRDefault="00285B4B" w:rsidP="000804FA">
      <w:pPr>
        <w:autoSpaceDE w:val="0"/>
        <w:autoSpaceDN w:val="0"/>
        <w:adjustRightInd w:val="0"/>
        <w:spacing w:after="120" w:line="480" w:lineRule="auto"/>
        <w:contextualSpacing/>
        <w:jc w:val="both"/>
        <w:rPr>
          <w:bCs/>
          <w:color w:val="000000" w:themeColor="text1"/>
          <w:lang w:val="en-CA"/>
        </w:rPr>
      </w:pPr>
      <w:r w:rsidRPr="000804FA">
        <w:rPr>
          <w:rFonts w:eastAsiaTheme="minorHAnsi"/>
          <w:color w:val="000000" w:themeColor="text1"/>
          <w:lang w:val="en-US" w:eastAsia="en-US"/>
        </w:rPr>
        <w:t>Valvular Heart Disease</w:t>
      </w:r>
      <w:r w:rsidR="00BE2F9A" w:rsidRPr="000804FA">
        <w:rPr>
          <w:rFonts w:eastAsiaTheme="minorHAnsi"/>
          <w:color w:val="000000" w:themeColor="text1"/>
          <w:lang w:val="en-US" w:eastAsia="en-US"/>
        </w:rPr>
        <w:t xml:space="preserve"> (VHD)</w:t>
      </w:r>
      <w:r w:rsidRPr="000804FA">
        <w:rPr>
          <w:rFonts w:eastAsiaTheme="minorHAnsi"/>
          <w:color w:val="000000" w:themeColor="text1"/>
          <w:lang w:val="en-US" w:eastAsia="en-US"/>
        </w:rPr>
        <w:t xml:space="preserve"> is common and poses important challenges from the standpoints of diagnosis and therapeutic management.</w:t>
      </w:r>
      <w:r w:rsidR="007D0F2A" w:rsidRPr="000804FA">
        <w:rPr>
          <w:rFonts w:eastAsiaTheme="minorHAnsi"/>
          <w:color w:val="000000" w:themeColor="text1"/>
          <w:lang w:val="en-US" w:eastAsia="en-US"/>
        </w:rPr>
        <w:t xml:space="preserve"> Clinical practice guidelines have been developed to </w:t>
      </w:r>
      <w:r w:rsidRPr="000804FA">
        <w:rPr>
          <w:rFonts w:eastAsiaTheme="minorHAnsi"/>
          <w:color w:val="000000" w:themeColor="text1"/>
          <w:lang w:val="en-US" w:eastAsia="en-US"/>
        </w:rPr>
        <w:t xml:space="preserve">help </w:t>
      </w:r>
      <w:r w:rsidR="000322DE" w:rsidRPr="000804FA">
        <w:rPr>
          <w:rFonts w:eastAsiaTheme="minorHAnsi"/>
          <w:color w:val="000000" w:themeColor="text1"/>
          <w:lang w:val="en-US" w:eastAsia="en-US"/>
        </w:rPr>
        <w:t>health</w:t>
      </w:r>
      <w:r w:rsidRPr="000804FA">
        <w:rPr>
          <w:rFonts w:eastAsiaTheme="minorHAnsi"/>
          <w:color w:val="000000" w:themeColor="text1"/>
          <w:lang w:val="en-US" w:eastAsia="en-US"/>
        </w:rPr>
        <w:t xml:space="preserve">care </w:t>
      </w:r>
      <w:r w:rsidR="000322DE" w:rsidRPr="000804FA">
        <w:rPr>
          <w:rFonts w:eastAsiaTheme="minorHAnsi"/>
          <w:color w:val="000000" w:themeColor="text1"/>
          <w:lang w:val="en-US" w:eastAsia="en-US"/>
        </w:rPr>
        <w:t xml:space="preserve">professionals </w:t>
      </w:r>
      <w:r w:rsidRPr="000804FA">
        <w:rPr>
          <w:rFonts w:eastAsiaTheme="minorHAnsi"/>
          <w:color w:val="000000" w:themeColor="text1"/>
          <w:lang w:val="en-US" w:eastAsia="en-US"/>
        </w:rPr>
        <w:t>to overcome these challenges and provide optimal management to patients with VHD</w:t>
      </w:r>
      <w:r w:rsidR="000322DE" w:rsidRPr="000804FA">
        <w:rPr>
          <w:rFonts w:eastAsiaTheme="minorHAnsi"/>
          <w:color w:val="000000" w:themeColor="text1"/>
          <w:lang w:val="en-US" w:eastAsia="en-US"/>
        </w:rPr>
        <w:t xml:space="preserve">. </w:t>
      </w:r>
      <w:r w:rsidR="001A1279" w:rsidRPr="000804FA">
        <w:rPr>
          <w:color w:val="000000" w:themeColor="text1"/>
          <w:shd w:val="clear" w:color="auto" w:fill="FFFFFF"/>
          <w:lang w:val="en-US"/>
        </w:rPr>
        <w:t xml:space="preserve">The </w:t>
      </w:r>
      <w:r w:rsidR="001A1279" w:rsidRPr="000804FA">
        <w:rPr>
          <w:rFonts w:eastAsiaTheme="minorHAnsi"/>
          <w:color w:val="000000" w:themeColor="text1"/>
          <w:lang w:val="en-US" w:eastAsia="en-US"/>
        </w:rPr>
        <w:t>American College of Cardiology in collaboration with the American Heart Association</w:t>
      </w:r>
      <w:r w:rsidR="001A6BBD" w:rsidRPr="000804FA">
        <w:rPr>
          <w:rFonts w:eastAsiaTheme="minorHAnsi"/>
          <w:color w:val="000000" w:themeColor="text1"/>
          <w:lang w:val="en-US" w:eastAsia="en-US"/>
        </w:rPr>
        <w:t xml:space="preserve"> and</w:t>
      </w:r>
      <w:r w:rsidR="001A1279" w:rsidRPr="000804FA">
        <w:rPr>
          <w:rFonts w:eastAsiaTheme="minorHAnsi"/>
          <w:color w:val="000000" w:themeColor="text1"/>
          <w:lang w:val="en-US" w:eastAsia="en-US"/>
        </w:rPr>
        <w:t xml:space="preserve"> t</w:t>
      </w:r>
      <w:r w:rsidR="007D0F2A" w:rsidRPr="000804FA">
        <w:rPr>
          <w:rFonts w:eastAsiaTheme="minorHAnsi"/>
          <w:color w:val="000000" w:themeColor="text1"/>
          <w:lang w:val="en-US" w:eastAsia="en-US"/>
        </w:rPr>
        <w:t>he European Society of Cardiology</w:t>
      </w:r>
      <w:r w:rsidR="001A1279" w:rsidRPr="000804FA">
        <w:rPr>
          <w:rFonts w:eastAsiaTheme="minorHAnsi"/>
          <w:color w:val="000000" w:themeColor="text1"/>
          <w:lang w:val="en-US" w:eastAsia="en-US"/>
        </w:rPr>
        <w:t xml:space="preserve"> </w:t>
      </w:r>
      <w:r w:rsidR="007D0F2A" w:rsidRPr="000804FA">
        <w:rPr>
          <w:rFonts w:eastAsiaTheme="minorHAnsi"/>
          <w:color w:val="000000" w:themeColor="text1"/>
          <w:lang w:val="en-US" w:eastAsia="en-US"/>
        </w:rPr>
        <w:t>in collaboration with the</w:t>
      </w:r>
      <w:r w:rsidR="007D0F2A" w:rsidRPr="000804FA">
        <w:rPr>
          <w:color w:val="000000" w:themeColor="text1"/>
          <w:shd w:val="clear" w:color="auto" w:fill="FFFFFF"/>
          <w:lang w:val="en-CA"/>
        </w:rPr>
        <w:t xml:space="preserve"> European Association for Cardio-Thoracic Surgery</w:t>
      </w:r>
      <w:r w:rsidR="001E32D4" w:rsidRPr="000804FA">
        <w:rPr>
          <w:color w:val="000000" w:themeColor="text1"/>
          <w:shd w:val="clear" w:color="auto" w:fill="FFFFFF"/>
          <w:lang w:val="en-CA"/>
        </w:rPr>
        <w:t xml:space="preserve"> recently</w:t>
      </w:r>
      <w:r w:rsidRPr="000804FA">
        <w:rPr>
          <w:rFonts w:eastAsiaTheme="minorHAnsi"/>
          <w:color w:val="000000" w:themeColor="text1"/>
          <w:lang w:val="en-US" w:eastAsia="en-US"/>
        </w:rPr>
        <w:t xml:space="preserve"> </w:t>
      </w:r>
      <w:r w:rsidR="007D0F2A" w:rsidRPr="000804FA">
        <w:rPr>
          <w:color w:val="000000" w:themeColor="text1"/>
          <w:lang w:val="en-CA"/>
        </w:rPr>
        <w:t xml:space="preserve">updated their guidelines on the management of </w:t>
      </w:r>
      <w:r w:rsidR="00C2294B" w:rsidRPr="000804FA">
        <w:rPr>
          <w:color w:val="000000" w:themeColor="text1"/>
          <w:lang w:val="en-CA"/>
        </w:rPr>
        <w:t>VHD</w:t>
      </w:r>
      <w:r w:rsidR="007D0F2A" w:rsidRPr="000804FA">
        <w:rPr>
          <w:color w:val="000000" w:themeColor="text1"/>
          <w:lang w:val="en-CA"/>
        </w:rPr>
        <w:t xml:space="preserve">. </w:t>
      </w:r>
      <w:r w:rsidR="001A1279" w:rsidRPr="000804FA">
        <w:rPr>
          <w:color w:val="000000" w:themeColor="text1"/>
          <w:lang w:val="en-CA"/>
        </w:rPr>
        <w:t>Although t</w:t>
      </w:r>
      <w:r w:rsidRPr="000804FA">
        <w:rPr>
          <w:color w:val="000000" w:themeColor="text1"/>
          <w:lang w:val="en-CA"/>
        </w:rPr>
        <w:t xml:space="preserve">hese </w:t>
      </w:r>
      <w:r w:rsidR="001A6BBD" w:rsidRPr="000804FA">
        <w:rPr>
          <w:color w:val="000000" w:themeColor="text1"/>
          <w:lang w:val="en-CA"/>
        </w:rPr>
        <w:t>2</w:t>
      </w:r>
      <w:r w:rsidRPr="000804FA">
        <w:rPr>
          <w:color w:val="000000" w:themeColor="text1"/>
          <w:lang w:val="en-CA"/>
        </w:rPr>
        <w:t xml:space="preserve"> sets </w:t>
      </w:r>
      <w:r w:rsidR="00C1701B" w:rsidRPr="000804FA">
        <w:rPr>
          <w:color w:val="000000" w:themeColor="text1"/>
          <w:lang w:val="en-CA"/>
        </w:rPr>
        <w:t>of</w:t>
      </w:r>
      <w:r w:rsidRPr="000804FA">
        <w:rPr>
          <w:color w:val="000000" w:themeColor="text1"/>
          <w:lang w:val="en-CA"/>
        </w:rPr>
        <w:t xml:space="preserve"> guidelines are </w:t>
      </w:r>
      <w:r w:rsidR="001A1279" w:rsidRPr="000804FA">
        <w:rPr>
          <w:color w:val="000000" w:themeColor="text1"/>
          <w:lang w:val="en-CA"/>
        </w:rPr>
        <w:t xml:space="preserve">generally </w:t>
      </w:r>
      <w:r w:rsidRPr="000804FA">
        <w:rPr>
          <w:color w:val="000000" w:themeColor="text1"/>
          <w:lang w:val="en-CA"/>
        </w:rPr>
        <w:t xml:space="preserve">concordant, there are some substantial differences between these guidelines, which may have significant implications for clinical practice. </w:t>
      </w:r>
      <w:r w:rsidR="00F31F45" w:rsidRPr="000804FA">
        <w:rPr>
          <w:color w:val="000000" w:themeColor="text1"/>
          <w:lang w:val="en-CA"/>
        </w:rPr>
        <w:t xml:space="preserve">This review article prepared on behalf of the </w:t>
      </w:r>
      <w:proofErr w:type="spellStart"/>
      <w:r w:rsidR="00992015" w:rsidRPr="000804FA">
        <w:rPr>
          <w:color w:val="000000" w:themeColor="text1"/>
          <w:lang w:val="en-CA"/>
        </w:rPr>
        <w:t>EuroValve</w:t>
      </w:r>
      <w:proofErr w:type="spellEnd"/>
      <w:r w:rsidR="00992015" w:rsidRPr="000804FA">
        <w:rPr>
          <w:color w:val="000000" w:themeColor="text1"/>
          <w:lang w:val="en-CA"/>
        </w:rPr>
        <w:t xml:space="preserve"> Consortium</w:t>
      </w:r>
      <w:r w:rsidR="00F31F45" w:rsidRPr="000804FA">
        <w:rPr>
          <w:color w:val="000000" w:themeColor="text1"/>
          <w:lang w:val="en-CA"/>
        </w:rPr>
        <w:t xml:space="preserve"> describes </w:t>
      </w:r>
      <w:r w:rsidR="007D0F2A" w:rsidRPr="000804FA">
        <w:rPr>
          <w:color w:val="000000" w:themeColor="text1"/>
          <w:lang w:val="en-CA"/>
        </w:rPr>
        <w:t xml:space="preserve">the </w:t>
      </w:r>
      <w:r w:rsidR="007D0F2A" w:rsidRPr="000804FA">
        <w:rPr>
          <w:bCs/>
          <w:color w:val="000000" w:themeColor="text1"/>
          <w:lang w:val="en-CA"/>
        </w:rPr>
        <w:t>consistencies</w:t>
      </w:r>
      <w:r w:rsidR="00BD0FE8" w:rsidRPr="000804FA">
        <w:rPr>
          <w:bCs/>
          <w:color w:val="000000" w:themeColor="text1"/>
          <w:lang w:val="en-CA"/>
        </w:rPr>
        <w:t xml:space="preserve"> and discrepancies between the </w:t>
      </w:r>
      <w:r w:rsidRPr="000804FA">
        <w:rPr>
          <w:bCs/>
          <w:color w:val="000000" w:themeColor="text1"/>
          <w:lang w:val="en-CA"/>
        </w:rPr>
        <w:t xml:space="preserve">guidelines </w:t>
      </w:r>
      <w:r w:rsidR="00BE2F9A" w:rsidRPr="000804FA">
        <w:rPr>
          <w:bCs/>
          <w:color w:val="000000" w:themeColor="text1"/>
          <w:lang w:val="en-CA"/>
        </w:rPr>
        <w:t>and</w:t>
      </w:r>
      <w:r w:rsidRPr="000804FA">
        <w:rPr>
          <w:bCs/>
          <w:color w:val="000000" w:themeColor="text1"/>
          <w:lang w:val="en-CA"/>
        </w:rPr>
        <w:t xml:space="preserve"> </w:t>
      </w:r>
      <w:r w:rsidR="00F31F45" w:rsidRPr="000804FA">
        <w:rPr>
          <w:bCs/>
          <w:color w:val="000000" w:themeColor="text1"/>
          <w:lang w:val="en-CA"/>
        </w:rPr>
        <w:t xml:space="preserve">highlights </w:t>
      </w:r>
      <w:r w:rsidRPr="000804FA">
        <w:rPr>
          <w:bCs/>
          <w:color w:val="000000" w:themeColor="text1"/>
          <w:lang w:val="en-CA"/>
        </w:rPr>
        <w:t>the</w:t>
      </w:r>
      <w:r w:rsidR="00BD0FE8" w:rsidRPr="000804FA">
        <w:rPr>
          <w:bCs/>
          <w:color w:val="000000" w:themeColor="text1"/>
          <w:lang w:val="en-CA"/>
        </w:rPr>
        <w:t xml:space="preserve"> gaps</w:t>
      </w:r>
      <w:r w:rsidRPr="000804FA">
        <w:rPr>
          <w:bCs/>
          <w:color w:val="000000" w:themeColor="text1"/>
          <w:lang w:val="en-CA"/>
        </w:rPr>
        <w:t xml:space="preserve"> in these guidelines</w:t>
      </w:r>
      <w:r w:rsidR="00BD0FE8" w:rsidRPr="000804FA">
        <w:rPr>
          <w:bCs/>
          <w:color w:val="000000" w:themeColor="text1"/>
          <w:lang w:val="en-CA"/>
        </w:rPr>
        <w:t xml:space="preserve"> and t</w:t>
      </w:r>
      <w:r w:rsidR="00F31F45" w:rsidRPr="000804FA">
        <w:rPr>
          <w:bCs/>
          <w:color w:val="000000" w:themeColor="text1"/>
          <w:lang w:val="en-CA"/>
        </w:rPr>
        <w:t>he future research perspectives to fill these gaps.</w:t>
      </w:r>
      <w:r w:rsidR="001A1279" w:rsidRPr="000804FA">
        <w:rPr>
          <w:bCs/>
          <w:color w:val="000000" w:themeColor="text1"/>
          <w:lang w:val="en-CA"/>
        </w:rPr>
        <w:br w:type="page"/>
      </w:r>
    </w:p>
    <w:p w14:paraId="57B18172" w14:textId="0C64AD39" w:rsidR="001A1279" w:rsidRPr="000804FA" w:rsidRDefault="00C2294B" w:rsidP="000804FA">
      <w:pPr>
        <w:spacing w:after="120" w:line="480" w:lineRule="auto"/>
        <w:contextualSpacing/>
        <w:rPr>
          <w:b/>
          <w:bCs/>
          <w:color w:val="000000" w:themeColor="text1"/>
          <w:lang w:val="en-CA"/>
        </w:rPr>
      </w:pPr>
      <w:r w:rsidRPr="000804FA">
        <w:rPr>
          <w:rFonts w:eastAsiaTheme="minorHAnsi"/>
          <w:b/>
          <w:bCs/>
          <w:color w:val="000000" w:themeColor="text1"/>
          <w:lang w:val="en-US" w:eastAsia="en-US"/>
        </w:rPr>
        <w:lastRenderedPageBreak/>
        <w:t>CONDENSED ABSTRACT</w:t>
      </w:r>
    </w:p>
    <w:p w14:paraId="54B4DF01" w14:textId="7057F481" w:rsidR="00451842" w:rsidRPr="000804FA" w:rsidRDefault="004F3EA9" w:rsidP="000804FA">
      <w:pPr>
        <w:autoSpaceDE w:val="0"/>
        <w:autoSpaceDN w:val="0"/>
        <w:adjustRightInd w:val="0"/>
        <w:spacing w:after="120" w:line="480" w:lineRule="auto"/>
        <w:contextualSpacing/>
        <w:jc w:val="both"/>
        <w:rPr>
          <w:rFonts w:eastAsiaTheme="minorHAnsi"/>
          <w:color w:val="000000" w:themeColor="text1"/>
          <w:lang w:val="en-US" w:eastAsia="en-US"/>
        </w:rPr>
      </w:pPr>
      <w:r w:rsidRPr="000804FA">
        <w:rPr>
          <w:color w:val="000000" w:themeColor="text1"/>
          <w:lang w:val="en-CA"/>
        </w:rPr>
        <w:t>The American (ACC/AHA)</w:t>
      </w:r>
      <w:r w:rsidR="001A6BBD" w:rsidRPr="000804FA">
        <w:rPr>
          <w:color w:val="000000" w:themeColor="text1"/>
          <w:lang w:val="en-CA"/>
        </w:rPr>
        <w:t xml:space="preserve"> and</w:t>
      </w:r>
      <w:r w:rsidRPr="000804FA">
        <w:rPr>
          <w:color w:val="000000" w:themeColor="text1"/>
          <w:lang w:val="en-CA"/>
        </w:rPr>
        <w:t xml:space="preserve"> European (ESC/EACTS)</w:t>
      </w:r>
      <w:r w:rsidR="005B1DE5" w:rsidRPr="000804FA">
        <w:rPr>
          <w:color w:val="000000" w:themeColor="text1"/>
          <w:lang w:val="en-CA"/>
        </w:rPr>
        <w:t xml:space="preserve"> </w:t>
      </w:r>
      <w:r w:rsidRPr="000804FA">
        <w:rPr>
          <w:color w:val="000000" w:themeColor="text1"/>
          <w:lang w:val="en-CA"/>
        </w:rPr>
        <w:t xml:space="preserve">guidelines on the management of valvular heart disease were updated </w:t>
      </w:r>
      <w:r w:rsidR="00CA0665" w:rsidRPr="000804FA">
        <w:rPr>
          <w:color w:val="000000" w:themeColor="text1"/>
          <w:lang w:val="en-CA"/>
        </w:rPr>
        <w:t>recently</w:t>
      </w:r>
      <w:r w:rsidRPr="000804FA">
        <w:rPr>
          <w:color w:val="000000" w:themeColor="text1"/>
          <w:lang w:val="en-CA"/>
        </w:rPr>
        <w:t>. Although,</w:t>
      </w:r>
      <w:r w:rsidR="00C2294B" w:rsidRPr="000804FA">
        <w:rPr>
          <w:color w:val="000000" w:themeColor="text1"/>
          <w:lang w:val="en-CA"/>
        </w:rPr>
        <w:t xml:space="preserve"> most of</w:t>
      </w:r>
      <w:r w:rsidRPr="000804FA">
        <w:rPr>
          <w:color w:val="000000" w:themeColor="text1"/>
          <w:lang w:val="en-CA"/>
        </w:rPr>
        <w:t xml:space="preserve"> the recommendations are consistent in guidelines, there are notable differences and discrepancies between these guidelines for some recommendations. The objective of this review written by representatives of the </w:t>
      </w:r>
      <w:proofErr w:type="spellStart"/>
      <w:r w:rsidRPr="000804FA">
        <w:rPr>
          <w:color w:val="000000" w:themeColor="text1"/>
          <w:lang w:val="en-CA"/>
        </w:rPr>
        <w:t>EuroValve</w:t>
      </w:r>
      <w:proofErr w:type="spellEnd"/>
      <w:r w:rsidRPr="000804FA">
        <w:rPr>
          <w:color w:val="000000" w:themeColor="text1"/>
          <w:lang w:val="en-CA"/>
        </w:rPr>
        <w:t xml:space="preserve"> Consortium is </w:t>
      </w:r>
      <w:r w:rsidR="005B1DE5" w:rsidRPr="000804FA">
        <w:rPr>
          <w:color w:val="000000" w:themeColor="text1"/>
          <w:lang w:val="en-CA"/>
        </w:rPr>
        <w:t xml:space="preserve">to </w:t>
      </w:r>
      <w:r w:rsidR="00451842" w:rsidRPr="000804FA">
        <w:rPr>
          <w:color w:val="000000" w:themeColor="text1"/>
          <w:lang w:val="en-CA"/>
        </w:rPr>
        <w:t xml:space="preserve">describe the </w:t>
      </w:r>
      <w:r w:rsidR="00451842" w:rsidRPr="000804FA">
        <w:rPr>
          <w:bCs/>
          <w:color w:val="000000" w:themeColor="text1"/>
          <w:lang w:val="en-CA"/>
        </w:rPr>
        <w:t xml:space="preserve">consistencies and discrepancies between the set of guidelines and </w:t>
      </w:r>
      <w:r w:rsidR="005B1DE5" w:rsidRPr="000804FA">
        <w:rPr>
          <w:bCs/>
          <w:color w:val="000000" w:themeColor="text1"/>
          <w:lang w:val="en-CA"/>
        </w:rPr>
        <w:t xml:space="preserve">to </w:t>
      </w:r>
      <w:r w:rsidR="00451842" w:rsidRPr="000804FA">
        <w:rPr>
          <w:bCs/>
          <w:color w:val="000000" w:themeColor="text1"/>
          <w:lang w:val="en-CA"/>
        </w:rPr>
        <w:t>highlight the gaps in these guidelines and the future research perspectives to fill these gaps</w:t>
      </w:r>
      <w:r w:rsidR="00451842" w:rsidRPr="000804FA">
        <w:rPr>
          <w:color w:val="000000" w:themeColor="text1"/>
          <w:shd w:val="clear" w:color="auto" w:fill="FFFFFF"/>
          <w:lang w:val="en-US"/>
        </w:rPr>
        <w:t>.</w:t>
      </w:r>
      <w:r w:rsidR="00451842" w:rsidRPr="000804FA">
        <w:rPr>
          <w:b/>
          <w:color w:val="000000" w:themeColor="text1"/>
          <w:lang w:val="en-CA"/>
        </w:rPr>
        <w:br w:type="page"/>
      </w:r>
    </w:p>
    <w:p w14:paraId="1D934789" w14:textId="5D8F1210" w:rsidR="00280171" w:rsidRPr="000804FA" w:rsidRDefault="00D221DE" w:rsidP="000804FA">
      <w:pPr>
        <w:spacing w:after="120" w:line="480" w:lineRule="auto"/>
        <w:contextualSpacing/>
        <w:rPr>
          <w:color w:val="000000" w:themeColor="text1"/>
          <w:lang w:val="en-CA"/>
        </w:rPr>
      </w:pPr>
      <w:r w:rsidRPr="000804FA">
        <w:rPr>
          <w:b/>
          <w:color w:val="000000" w:themeColor="text1"/>
          <w:lang w:val="en-CA"/>
        </w:rPr>
        <w:lastRenderedPageBreak/>
        <w:t>ABBREVIATIONS</w:t>
      </w:r>
    </w:p>
    <w:p w14:paraId="033645F7" w14:textId="37336846" w:rsidR="00280171" w:rsidRPr="000804FA" w:rsidRDefault="00280171" w:rsidP="000804FA">
      <w:pPr>
        <w:spacing w:line="480" w:lineRule="auto"/>
        <w:contextualSpacing/>
        <w:rPr>
          <w:color w:val="000000" w:themeColor="text1"/>
          <w:lang w:val="en-CA"/>
        </w:rPr>
      </w:pPr>
      <w:r w:rsidRPr="000804FA">
        <w:rPr>
          <w:color w:val="000000" w:themeColor="text1"/>
          <w:lang w:val="en-CA"/>
        </w:rPr>
        <w:t>ACC: American College of Cardiology</w:t>
      </w:r>
    </w:p>
    <w:p w14:paraId="7B6D4F2A" w14:textId="53E9FD60" w:rsidR="00280171" w:rsidRPr="000804FA" w:rsidRDefault="00280171" w:rsidP="000804FA">
      <w:pPr>
        <w:spacing w:line="480" w:lineRule="auto"/>
        <w:contextualSpacing/>
        <w:rPr>
          <w:color w:val="000000" w:themeColor="text1"/>
          <w:lang w:val="en-CA"/>
        </w:rPr>
      </w:pPr>
      <w:r w:rsidRPr="000804FA">
        <w:rPr>
          <w:color w:val="000000" w:themeColor="text1"/>
          <w:lang w:val="en-CA"/>
        </w:rPr>
        <w:t>AHA: American Heart Association</w:t>
      </w:r>
    </w:p>
    <w:p w14:paraId="52AA3B98" w14:textId="235ABADD" w:rsidR="00280171" w:rsidRPr="000804FA" w:rsidRDefault="00280171" w:rsidP="000804FA">
      <w:pPr>
        <w:spacing w:line="480" w:lineRule="auto"/>
        <w:contextualSpacing/>
        <w:rPr>
          <w:color w:val="000000" w:themeColor="text1"/>
          <w:lang w:val="en-CA"/>
        </w:rPr>
      </w:pPr>
      <w:r w:rsidRPr="000804FA">
        <w:rPr>
          <w:color w:val="000000" w:themeColor="text1"/>
          <w:lang w:val="en-CA"/>
        </w:rPr>
        <w:t>AS: Aortic Stenosis</w:t>
      </w:r>
    </w:p>
    <w:p w14:paraId="6ABF75BE" w14:textId="5BD12900" w:rsidR="00280171" w:rsidRPr="000804FA" w:rsidRDefault="00280171" w:rsidP="000804FA">
      <w:pPr>
        <w:spacing w:line="480" w:lineRule="auto"/>
        <w:contextualSpacing/>
        <w:rPr>
          <w:color w:val="000000" w:themeColor="text1"/>
          <w:lang w:val="en-CA"/>
        </w:rPr>
      </w:pPr>
      <w:r w:rsidRPr="000804FA">
        <w:rPr>
          <w:color w:val="000000" w:themeColor="text1"/>
          <w:lang w:val="en-CA"/>
        </w:rPr>
        <w:t>AR: Aortic Regurgitation</w:t>
      </w:r>
    </w:p>
    <w:p w14:paraId="021EC849" w14:textId="6F4136DB" w:rsidR="00280171" w:rsidRPr="000804FA" w:rsidRDefault="00280171" w:rsidP="000804FA">
      <w:pPr>
        <w:spacing w:line="480" w:lineRule="auto"/>
        <w:contextualSpacing/>
        <w:rPr>
          <w:color w:val="000000" w:themeColor="text1"/>
          <w:lang w:val="en-CA"/>
        </w:rPr>
      </w:pPr>
      <w:r w:rsidRPr="000804FA">
        <w:rPr>
          <w:color w:val="000000" w:themeColor="text1"/>
          <w:lang w:val="en-CA"/>
        </w:rPr>
        <w:t>AVR: Aortic Valve Replacement</w:t>
      </w:r>
    </w:p>
    <w:p w14:paraId="6633FE83" w14:textId="77777777" w:rsidR="00280171" w:rsidRPr="000804FA" w:rsidRDefault="00280171" w:rsidP="000804FA">
      <w:pPr>
        <w:spacing w:line="480" w:lineRule="auto"/>
        <w:contextualSpacing/>
        <w:rPr>
          <w:color w:val="000000" w:themeColor="text1"/>
          <w:lang w:val="en-CA"/>
        </w:rPr>
      </w:pPr>
      <w:r w:rsidRPr="000804FA">
        <w:rPr>
          <w:color w:val="000000" w:themeColor="text1"/>
          <w:lang w:val="en-CA"/>
        </w:rPr>
        <w:t xml:space="preserve">EACTS: </w:t>
      </w:r>
      <w:r w:rsidRPr="000804FA">
        <w:rPr>
          <w:color w:val="000000" w:themeColor="text1"/>
          <w:shd w:val="clear" w:color="auto" w:fill="FFFFFF"/>
          <w:lang w:val="en-CA"/>
        </w:rPr>
        <w:t>European Association for Cardio-Thoracic Surgery</w:t>
      </w:r>
    </w:p>
    <w:p w14:paraId="26CC31A0" w14:textId="56E4038F" w:rsidR="00280171" w:rsidRPr="000804FA" w:rsidRDefault="00280171" w:rsidP="000804FA">
      <w:pPr>
        <w:spacing w:line="480" w:lineRule="auto"/>
        <w:contextualSpacing/>
        <w:rPr>
          <w:color w:val="000000" w:themeColor="text1"/>
          <w:lang w:val="en-CA"/>
        </w:rPr>
      </w:pPr>
      <w:r w:rsidRPr="000804FA">
        <w:rPr>
          <w:color w:val="000000" w:themeColor="text1"/>
          <w:lang w:val="en-CA"/>
        </w:rPr>
        <w:t>ESC: European Society of Cardiology</w:t>
      </w:r>
    </w:p>
    <w:p w14:paraId="046966A9" w14:textId="7AE49F40" w:rsidR="00280171" w:rsidRPr="000804FA" w:rsidRDefault="00280171" w:rsidP="000804FA">
      <w:pPr>
        <w:spacing w:line="480" w:lineRule="auto"/>
        <w:contextualSpacing/>
        <w:rPr>
          <w:color w:val="000000" w:themeColor="text1"/>
          <w:lang w:val="en-CA"/>
        </w:rPr>
      </w:pPr>
      <w:r w:rsidRPr="000804FA">
        <w:rPr>
          <w:color w:val="000000" w:themeColor="text1"/>
          <w:lang w:val="en-CA"/>
        </w:rPr>
        <w:t>MR: Mitral Regurgitation</w:t>
      </w:r>
    </w:p>
    <w:p w14:paraId="2FBE585B" w14:textId="05D137BA" w:rsidR="006438C1" w:rsidRPr="000804FA" w:rsidRDefault="006438C1" w:rsidP="000804FA">
      <w:pPr>
        <w:spacing w:line="480" w:lineRule="auto"/>
        <w:contextualSpacing/>
        <w:rPr>
          <w:color w:val="000000" w:themeColor="text1"/>
          <w:lang w:val="en-CA"/>
        </w:rPr>
      </w:pPr>
      <w:r w:rsidRPr="000804FA">
        <w:rPr>
          <w:color w:val="000000" w:themeColor="text1"/>
          <w:lang w:val="en-CA"/>
        </w:rPr>
        <w:t>PMR: primary mitral regurgitation</w:t>
      </w:r>
    </w:p>
    <w:p w14:paraId="465390E5" w14:textId="713BC286" w:rsidR="006438C1" w:rsidRPr="000804FA" w:rsidRDefault="006438C1" w:rsidP="000804FA">
      <w:pPr>
        <w:spacing w:line="480" w:lineRule="auto"/>
        <w:contextualSpacing/>
        <w:rPr>
          <w:color w:val="000000" w:themeColor="text1"/>
          <w:lang w:val="en-CA"/>
        </w:rPr>
      </w:pPr>
      <w:r w:rsidRPr="000804FA">
        <w:rPr>
          <w:color w:val="000000" w:themeColor="text1"/>
          <w:lang w:val="en-CA"/>
        </w:rPr>
        <w:t>SMR: secondary mitral regurgitation</w:t>
      </w:r>
    </w:p>
    <w:p w14:paraId="5ED52E9F" w14:textId="07E879AB" w:rsidR="00280171" w:rsidRPr="000804FA" w:rsidRDefault="00280171" w:rsidP="000804FA">
      <w:pPr>
        <w:spacing w:line="480" w:lineRule="auto"/>
        <w:contextualSpacing/>
        <w:rPr>
          <w:color w:val="000000" w:themeColor="text1"/>
          <w:lang w:val="en-CA"/>
        </w:rPr>
      </w:pPr>
      <w:r w:rsidRPr="000804FA">
        <w:rPr>
          <w:color w:val="000000" w:themeColor="text1"/>
          <w:lang w:val="en-CA"/>
        </w:rPr>
        <w:t>MV: Mitral Valve</w:t>
      </w:r>
    </w:p>
    <w:p w14:paraId="7C904140" w14:textId="355F9D22" w:rsidR="00C81DE0" w:rsidRPr="000804FA" w:rsidRDefault="003B03BB" w:rsidP="000804FA">
      <w:pPr>
        <w:spacing w:line="480" w:lineRule="auto"/>
        <w:contextualSpacing/>
        <w:rPr>
          <w:color w:val="000000" w:themeColor="text1"/>
          <w:lang w:val="en-CA"/>
        </w:rPr>
      </w:pPr>
      <w:r w:rsidRPr="000804FA">
        <w:rPr>
          <w:color w:val="000000" w:themeColor="text1"/>
          <w:lang w:val="en-CA"/>
        </w:rPr>
        <w:t>TAVR</w:t>
      </w:r>
      <w:r w:rsidR="00C81DE0" w:rsidRPr="000804FA">
        <w:rPr>
          <w:color w:val="000000" w:themeColor="text1"/>
          <w:lang w:val="en-CA"/>
        </w:rPr>
        <w:t>: Transcatheter Aortic Valve Implantation</w:t>
      </w:r>
    </w:p>
    <w:p w14:paraId="230D08FD" w14:textId="7411205B" w:rsidR="00280171" w:rsidRPr="000804FA" w:rsidRDefault="00280171" w:rsidP="000804FA">
      <w:pPr>
        <w:spacing w:line="480" w:lineRule="auto"/>
        <w:contextualSpacing/>
        <w:rPr>
          <w:color w:val="000000" w:themeColor="text1"/>
          <w:lang w:val="en-CA"/>
        </w:rPr>
      </w:pPr>
      <w:r w:rsidRPr="000804FA">
        <w:rPr>
          <w:color w:val="000000" w:themeColor="text1"/>
          <w:lang w:val="en-CA"/>
        </w:rPr>
        <w:t>TR: Tricuspid Regurgitation</w:t>
      </w:r>
    </w:p>
    <w:p w14:paraId="4531AF66" w14:textId="6BB30094" w:rsidR="00E620DE" w:rsidRPr="000804FA" w:rsidRDefault="00280171" w:rsidP="000804FA">
      <w:pPr>
        <w:spacing w:line="480" w:lineRule="auto"/>
        <w:contextualSpacing/>
        <w:rPr>
          <w:color w:val="000000" w:themeColor="text1"/>
          <w:lang w:val="en-CA"/>
        </w:rPr>
      </w:pPr>
      <w:r w:rsidRPr="000804FA">
        <w:rPr>
          <w:color w:val="000000" w:themeColor="text1"/>
          <w:lang w:val="en-CA"/>
        </w:rPr>
        <w:t>TV: Tricuspid Valve</w:t>
      </w:r>
      <w:r w:rsidR="00E620DE" w:rsidRPr="000804FA">
        <w:rPr>
          <w:color w:val="000000" w:themeColor="text1"/>
          <w:lang w:val="en-CA"/>
        </w:rPr>
        <w:br w:type="page"/>
      </w:r>
    </w:p>
    <w:p w14:paraId="704127F0" w14:textId="77777777" w:rsidR="00E00F7E" w:rsidRPr="000804FA" w:rsidRDefault="00E00F7E" w:rsidP="000804FA">
      <w:pPr>
        <w:spacing w:after="120" w:line="480" w:lineRule="auto"/>
        <w:contextualSpacing/>
        <w:jc w:val="both"/>
        <w:rPr>
          <w:b/>
          <w:bCs/>
          <w:color w:val="000000" w:themeColor="text1"/>
          <w:lang w:val="en-CA"/>
        </w:rPr>
      </w:pPr>
      <w:r w:rsidRPr="000804FA">
        <w:rPr>
          <w:b/>
          <w:bCs/>
          <w:color w:val="000000" w:themeColor="text1"/>
          <w:lang w:val="en-CA"/>
        </w:rPr>
        <w:lastRenderedPageBreak/>
        <w:t>INTRODUCTION</w:t>
      </w:r>
    </w:p>
    <w:p w14:paraId="30E4A4F4" w14:textId="43F05727" w:rsidR="001A6BBD" w:rsidRPr="000804FA" w:rsidRDefault="001F6E1B" w:rsidP="000804FA">
      <w:pPr>
        <w:spacing w:after="120" w:line="480" w:lineRule="auto"/>
        <w:contextualSpacing/>
        <w:jc w:val="both"/>
        <w:rPr>
          <w:color w:val="000000" w:themeColor="text1"/>
          <w:lang w:val="en-CA"/>
        </w:rPr>
      </w:pPr>
      <w:r w:rsidRPr="000804FA">
        <w:rPr>
          <w:color w:val="000000" w:themeColor="text1"/>
          <w:lang w:val="en-CA"/>
        </w:rPr>
        <w:t>T</w:t>
      </w:r>
      <w:r w:rsidR="00E620DE" w:rsidRPr="000804FA">
        <w:rPr>
          <w:color w:val="000000" w:themeColor="text1"/>
          <w:lang w:val="en-CA"/>
        </w:rPr>
        <w:t xml:space="preserve">he </w:t>
      </w:r>
      <w:r w:rsidR="00D76618" w:rsidRPr="000804FA">
        <w:rPr>
          <w:color w:val="000000" w:themeColor="text1"/>
          <w:lang w:val="en-CA"/>
        </w:rPr>
        <w:t xml:space="preserve">American (ACC/AHA) </w:t>
      </w:r>
      <w:r w:rsidR="00D76618" w:rsidRPr="000804FA">
        <w:rPr>
          <w:color w:val="000000" w:themeColor="text1"/>
          <w:lang w:val="en-CA"/>
        </w:rPr>
        <w:fldChar w:fldCharType="begin"/>
      </w:r>
      <w:r w:rsidR="001A1279" w:rsidRPr="000804FA">
        <w:rPr>
          <w:color w:val="000000" w:themeColor="text1"/>
          <w:lang w:val="en-CA"/>
        </w:rPr>
        <w:instrText xml:space="preserve"> ADDIN ZOTERO_ITEM CSL_CITATION {"citationID":"69yas8WN","properties":{"formattedCitation":"(1)","plainCitation":"(1)","noteIndex":0},"citationItems":[{"id":333,"uris":["http://zotero.org/users/1298974/items/VRKG3IK6"],"itemData":{"id":333,"type":"article-journal","abstract":"AIM: This executive summary of the valvular heart disease guideline provides recommendations for clinicians to diagnose and manage valvular heart disease as well as supporting documentation to encourage their use.\nMETHODS: A comprehensive literature search was conducted from January 1, 2010, to March 1, 2020, encompassing studies, reviews, and other evidence conducted on human subjects that were published in English from PubMed, EMBASE, Cochrane, Agency for Healthcare Research and Quality Reports, and other selected database relevant to this guideline.\nSTRUCTURE: Many recommendations from the earlier valvular heart disease guidelines have been updated with new evidence and provides newer options for diagnosis and treatment of valvular heart disease. This summary includes only the recommendations from the full guideline which focus on diagnostic work-up, the timing and choice of surgical and catheter interventions, and recommendations for medical therapy. The reader is referred to the full guideline for graphical flow charts, text, and tables with additional details about the rationale for and implementation of each recommendation, and the evidence tables detailing the data considered in developing these guidelines.","container-title":"Journal of the American College of Cardiology","DOI":"10.1016/j.jacc.2020.11.035","ISSN":"1558-3597","issue":"4","journalAbbreviation":"J Am Coll Cardiol","language":"eng","note":"PMID: 33342587","page":"450-500","source":"PubMed","title":"2020 ACC/AHA Guideline for the Management of Patients With Valvular Heart Disease: Executive Summary: A Report of the American College of Cardiology/American Heart Association Joint Committee on Clinical Practice Guidelines","title-short":"2020 ACC/AHA Guideline for the Management of Patients With Valvular Heart Disease","volume":"77","author":[{"literal":"Writing Committee Members"},{"family":"Otto","given":"Catherine M."},{"family":"Nishimura","given":"Rick A."},{"family":"Bonow","given":"Robert O."},{"family":"Carabello","given":"Blase A."},{"family":"Erwin","given":"John P."},{"family":"Gentile","given":"Federico"},{"family":"Jneid","given":"Hani"},{"family":"Krieger","given":"Eric V."},{"family":"Mack","given":"Michael"},{"family":"McLeod","given":"Christopher"},{"family":"O'Gara","given":"Patrick T."},{"family":"Rigolin","given":"Vera H."},{"family":"Sundt","given":"Thoralf M."},{"family":"Thompson","given":"Annemarie"},{"family":"Toly","given":"Christopher"}],"issued":{"date-parts":[["2021",2,2]]}}}],"schema":"https://github.com/citation-style-language/schema/raw/master/csl-citation.json"} </w:instrText>
      </w:r>
      <w:r w:rsidR="00D76618" w:rsidRPr="000804FA">
        <w:rPr>
          <w:color w:val="000000" w:themeColor="text1"/>
          <w:lang w:val="en-CA"/>
        </w:rPr>
        <w:fldChar w:fldCharType="separate"/>
      </w:r>
      <w:r w:rsidR="001A1279" w:rsidRPr="000804FA">
        <w:rPr>
          <w:noProof/>
          <w:color w:val="000000" w:themeColor="text1"/>
          <w:lang w:val="en-CA"/>
        </w:rPr>
        <w:t>(1)</w:t>
      </w:r>
      <w:r w:rsidR="00D76618" w:rsidRPr="000804FA">
        <w:rPr>
          <w:color w:val="000000" w:themeColor="text1"/>
          <w:lang w:val="en-CA"/>
        </w:rPr>
        <w:fldChar w:fldCharType="end"/>
      </w:r>
      <w:r w:rsidR="001A1279" w:rsidRPr="000804FA">
        <w:rPr>
          <w:color w:val="000000" w:themeColor="text1"/>
          <w:lang w:val="en-CA"/>
        </w:rPr>
        <w:t xml:space="preserve"> </w:t>
      </w:r>
      <w:r w:rsidR="00D76618" w:rsidRPr="000804FA">
        <w:rPr>
          <w:color w:val="000000" w:themeColor="text1"/>
          <w:lang w:val="en-CA"/>
        </w:rPr>
        <w:t xml:space="preserve">and </w:t>
      </w:r>
      <w:r w:rsidR="00E620DE" w:rsidRPr="000804FA">
        <w:rPr>
          <w:color w:val="000000" w:themeColor="text1"/>
          <w:lang w:val="en-CA"/>
        </w:rPr>
        <w:t>European (ESC/EACTS)</w:t>
      </w:r>
      <w:r w:rsidR="00E00F7E" w:rsidRPr="000804FA">
        <w:rPr>
          <w:color w:val="000000" w:themeColor="text1"/>
          <w:lang w:val="en-CA"/>
        </w:rPr>
        <w:t xml:space="preserve"> </w:t>
      </w:r>
      <w:r w:rsidR="00E00F7E" w:rsidRPr="000804FA">
        <w:rPr>
          <w:color w:val="000000" w:themeColor="text1"/>
          <w:lang w:val="en-CA"/>
        </w:rPr>
        <w:fldChar w:fldCharType="begin"/>
      </w:r>
      <w:r w:rsidR="001A1279" w:rsidRPr="000804FA">
        <w:rPr>
          <w:color w:val="000000" w:themeColor="text1"/>
          <w:lang w:val="en-CA"/>
        </w:rPr>
        <w:instrText xml:space="preserve"> ADDIN ZOTERO_ITEM CSL_CITATION {"citationID":"yUW27mRa","properties":{"formattedCitation":"(2)","plainCitation":"(2)","noteIndex":0},"citationItems":[{"id":330,"uris":["http://zotero.org/users/1298974/items/ET2MZHE8"],"itemData":{"id":330,"type":"article-journal","container-title":"European Heart Journal","DOI":"10.1093/eurheartj/ehab395","ISSN":"1522-9645","issue":"7","journalAbbreviation":"Eur Heart J","language":"eng","note":"PMID: 34453165","page":"561-632","source":"PubMed","title":"2021 ESC/EACTS Guidelines for the management of valvular heart disease","volume":"43","author":[{"family":"Vahanian","given":"Alec"},{"family":"Beyersdorf","given":"Friedhelm"},{"family":"Praz","given":"Fabien"},{"family":"Milojevic","given":"Milan"},{"family":"Baldus","given":"Stephan"},{"family":"Bauersachs","given":"Johann"},{"family":"Capodanno","given":"Davide"},{"family":"Conradi","given":"Lenard"},{"family":"De Bonis","given":"Michele"},{"family":"De Paulis","given":"Ruggero"},{"family":"Delgado","given":"Victoria"},{"family":"Freemantle","given":"Nick"},{"family":"Gilard","given":"Martine"},{"family":"Haugaa","given":"Kristina H."},{"family":"Jeppsson","given":"Anders"},{"family":"Jüni","given":"Peter"},{"family":"Pierard","given":"Luc"},{"family":"Prendergast","given":"Bernard D."},{"family":"Sádaba","given":"J. Rafael"},{"family":"Tribouilloy","given":"Christophe"},{"family":"Wojakowski","given":"Wojtek"},{"literal":"ESC/EACTS Scientific Document Group"}],"issued":{"date-parts":[["2022",2,12]]}}}],"schema":"https://github.com/citation-style-language/schema/raw/master/csl-citation.json"} </w:instrText>
      </w:r>
      <w:r w:rsidR="00E00F7E" w:rsidRPr="000804FA">
        <w:rPr>
          <w:color w:val="000000" w:themeColor="text1"/>
          <w:lang w:val="en-CA"/>
        </w:rPr>
        <w:fldChar w:fldCharType="separate"/>
      </w:r>
      <w:r w:rsidR="001A1279" w:rsidRPr="000804FA">
        <w:rPr>
          <w:noProof/>
          <w:color w:val="000000" w:themeColor="text1"/>
          <w:lang w:val="en-CA"/>
        </w:rPr>
        <w:t>(2)</w:t>
      </w:r>
      <w:r w:rsidR="00E00F7E" w:rsidRPr="000804FA">
        <w:rPr>
          <w:color w:val="000000" w:themeColor="text1"/>
          <w:lang w:val="en-CA"/>
        </w:rPr>
        <w:fldChar w:fldCharType="end"/>
      </w:r>
      <w:r w:rsidR="007E06AE" w:rsidRPr="000804FA">
        <w:rPr>
          <w:color w:val="000000" w:themeColor="text1"/>
          <w:lang w:val="en-CA"/>
        </w:rPr>
        <w:t xml:space="preserve"> </w:t>
      </w:r>
      <w:r w:rsidR="00E620DE" w:rsidRPr="000804FA">
        <w:rPr>
          <w:color w:val="000000" w:themeColor="text1"/>
          <w:lang w:val="en-CA"/>
        </w:rPr>
        <w:t xml:space="preserve">guidelines on the management of valvular heart disease </w:t>
      </w:r>
      <w:r w:rsidRPr="000804FA">
        <w:rPr>
          <w:color w:val="000000" w:themeColor="text1"/>
          <w:lang w:val="en-CA"/>
        </w:rPr>
        <w:t>w</w:t>
      </w:r>
      <w:r w:rsidR="00204EE9" w:rsidRPr="000804FA">
        <w:rPr>
          <w:color w:val="000000" w:themeColor="text1"/>
          <w:lang w:val="en-CA"/>
        </w:rPr>
        <w:t>ere</w:t>
      </w:r>
      <w:r w:rsidRPr="000804FA">
        <w:rPr>
          <w:color w:val="000000" w:themeColor="text1"/>
          <w:lang w:val="en-CA"/>
        </w:rPr>
        <w:t xml:space="preserve"> update</w:t>
      </w:r>
      <w:r w:rsidR="00204EE9" w:rsidRPr="000804FA">
        <w:rPr>
          <w:color w:val="000000" w:themeColor="text1"/>
          <w:lang w:val="en-CA"/>
        </w:rPr>
        <w:t>d</w:t>
      </w:r>
      <w:r w:rsidRPr="000804FA">
        <w:rPr>
          <w:color w:val="000000" w:themeColor="text1"/>
          <w:lang w:val="en-CA"/>
        </w:rPr>
        <w:t xml:space="preserve"> </w:t>
      </w:r>
      <w:r w:rsidR="00CA0665" w:rsidRPr="000804FA">
        <w:rPr>
          <w:color w:val="000000" w:themeColor="text1"/>
          <w:lang w:val="en-CA"/>
        </w:rPr>
        <w:t>recently</w:t>
      </w:r>
      <w:r w:rsidR="00E620DE" w:rsidRPr="000804FA">
        <w:rPr>
          <w:color w:val="000000" w:themeColor="text1"/>
          <w:lang w:val="en-CA"/>
        </w:rPr>
        <w:t xml:space="preserve">. Although, </w:t>
      </w:r>
      <w:r w:rsidR="00AC20EA" w:rsidRPr="000804FA">
        <w:rPr>
          <w:color w:val="000000" w:themeColor="text1"/>
          <w:lang w:val="en-CA"/>
        </w:rPr>
        <w:t>most of</w:t>
      </w:r>
      <w:r w:rsidR="00C90CD7" w:rsidRPr="000804FA">
        <w:rPr>
          <w:color w:val="000000" w:themeColor="text1"/>
          <w:lang w:val="en-CA"/>
        </w:rPr>
        <w:t xml:space="preserve"> the </w:t>
      </w:r>
      <w:r w:rsidR="00E620DE" w:rsidRPr="000804FA">
        <w:rPr>
          <w:color w:val="000000" w:themeColor="text1"/>
          <w:lang w:val="en-CA"/>
        </w:rPr>
        <w:t xml:space="preserve">recommendations are consistent in both guidelines, there are </w:t>
      </w:r>
      <w:r w:rsidRPr="000804FA">
        <w:rPr>
          <w:color w:val="000000" w:themeColor="text1"/>
          <w:lang w:val="en-CA"/>
        </w:rPr>
        <w:t xml:space="preserve">notable </w:t>
      </w:r>
      <w:r w:rsidR="00DC0B37" w:rsidRPr="000804FA">
        <w:rPr>
          <w:color w:val="000000" w:themeColor="text1"/>
          <w:lang w:val="en-CA"/>
        </w:rPr>
        <w:t xml:space="preserve">differences and discrepancies </w:t>
      </w:r>
      <w:r w:rsidR="00A211CA" w:rsidRPr="000804FA">
        <w:rPr>
          <w:color w:val="000000" w:themeColor="text1"/>
          <w:lang w:val="en-CA"/>
        </w:rPr>
        <w:t>between</w:t>
      </w:r>
      <w:r w:rsidRPr="000804FA">
        <w:rPr>
          <w:color w:val="000000" w:themeColor="text1"/>
          <w:lang w:val="en-CA"/>
        </w:rPr>
        <w:t xml:space="preserve"> </w:t>
      </w:r>
      <w:r w:rsidR="00F31F45" w:rsidRPr="000804FA">
        <w:rPr>
          <w:color w:val="000000" w:themeColor="text1"/>
          <w:lang w:val="en-CA"/>
        </w:rPr>
        <w:t xml:space="preserve">these guidelines for </w:t>
      </w:r>
      <w:r w:rsidRPr="000804FA">
        <w:rPr>
          <w:color w:val="000000" w:themeColor="text1"/>
          <w:lang w:val="en-CA"/>
        </w:rPr>
        <w:t>some</w:t>
      </w:r>
      <w:r w:rsidR="00A211CA" w:rsidRPr="000804FA">
        <w:rPr>
          <w:color w:val="000000" w:themeColor="text1"/>
          <w:lang w:val="en-CA"/>
        </w:rPr>
        <w:t xml:space="preserve"> </w:t>
      </w:r>
      <w:r w:rsidR="00DC0B37" w:rsidRPr="000804FA">
        <w:rPr>
          <w:color w:val="000000" w:themeColor="text1"/>
          <w:lang w:val="en-CA"/>
        </w:rPr>
        <w:t xml:space="preserve">recommendations. </w:t>
      </w:r>
      <w:r w:rsidR="00E620DE" w:rsidRPr="000804FA">
        <w:rPr>
          <w:color w:val="000000" w:themeColor="text1"/>
          <w:lang w:val="en-CA"/>
        </w:rPr>
        <w:t xml:space="preserve">The objective of </w:t>
      </w:r>
      <w:r w:rsidR="00C90CD7" w:rsidRPr="000804FA">
        <w:rPr>
          <w:color w:val="000000" w:themeColor="text1"/>
          <w:lang w:val="en-CA"/>
        </w:rPr>
        <w:t>this</w:t>
      </w:r>
      <w:r w:rsidR="00E620DE" w:rsidRPr="000804FA">
        <w:rPr>
          <w:color w:val="000000" w:themeColor="text1"/>
          <w:lang w:val="en-CA"/>
        </w:rPr>
        <w:t xml:space="preserve"> review </w:t>
      </w:r>
      <w:r w:rsidR="00C90CD7" w:rsidRPr="000804FA">
        <w:rPr>
          <w:color w:val="000000" w:themeColor="text1"/>
          <w:lang w:val="en-CA"/>
        </w:rPr>
        <w:t xml:space="preserve">written by representatives of the </w:t>
      </w:r>
      <w:proofErr w:type="spellStart"/>
      <w:r w:rsidR="00D76618" w:rsidRPr="000804FA">
        <w:rPr>
          <w:color w:val="000000" w:themeColor="text1"/>
          <w:lang w:val="en-CA"/>
        </w:rPr>
        <w:t>EuroValve</w:t>
      </w:r>
      <w:proofErr w:type="spellEnd"/>
      <w:r w:rsidR="00D76618" w:rsidRPr="000804FA">
        <w:rPr>
          <w:color w:val="000000" w:themeColor="text1"/>
          <w:lang w:val="en-CA"/>
        </w:rPr>
        <w:t xml:space="preserve"> Consortium</w:t>
      </w:r>
      <w:r w:rsidR="00C90CD7" w:rsidRPr="000804FA">
        <w:rPr>
          <w:color w:val="000000" w:themeColor="text1"/>
          <w:lang w:val="en-CA"/>
        </w:rPr>
        <w:t xml:space="preserve"> is to present a compari</w:t>
      </w:r>
      <w:r w:rsidR="00204EE9" w:rsidRPr="000804FA">
        <w:rPr>
          <w:color w:val="000000" w:themeColor="text1"/>
          <w:lang w:val="en-CA"/>
        </w:rPr>
        <w:t>s</w:t>
      </w:r>
      <w:r w:rsidR="00C90CD7" w:rsidRPr="000804FA">
        <w:rPr>
          <w:color w:val="000000" w:themeColor="text1"/>
          <w:lang w:val="en-CA"/>
        </w:rPr>
        <w:t>on</w:t>
      </w:r>
      <w:r w:rsidR="00E620DE" w:rsidRPr="000804FA">
        <w:rPr>
          <w:color w:val="000000" w:themeColor="text1"/>
          <w:lang w:val="en-CA"/>
        </w:rPr>
        <w:t xml:space="preserve"> between the 2021 </w:t>
      </w:r>
      <w:r w:rsidR="00D76618" w:rsidRPr="000804FA">
        <w:rPr>
          <w:color w:val="000000" w:themeColor="text1"/>
          <w:lang w:val="en-CA"/>
        </w:rPr>
        <w:t xml:space="preserve">American and </w:t>
      </w:r>
      <w:r w:rsidR="00E620DE" w:rsidRPr="000804FA">
        <w:rPr>
          <w:color w:val="000000" w:themeColor="text1"/>
          <w:lang w:val="en-CA"/>
        </w:rPr>
        <w:t xml:space="preserve">European </w:t>
      </w:r>
      <w:r w:rsidR="00C90CD7" w:rsidRPr="000804FA">
        <w:rPr>
          <w:color w:val="000000" w:themeColor="text1"/>
          <w:lang w:val="en-CA"/>
        </w:rPr>
        <w:t>g</w:t>
      </w:r>
      <w:r w:rsidR="00E620DE" w:rsidRPr="000804FA">
        <w:rPr>
          <w:color w:val="000000" w:themeColor="text1"/>
          <w:lang w:val="en-CA"/>
        </w:rPr>
        <w:t xml:space="preserve">uidelines for the </w:t>
      </w:r>
      <w:r w:rsidR="008A7165" w:rsidRPr="000804FA">
        <w:rPr>
          <w:color w:val="000000" w:themeColor="text1"/>
          <w:lang w:val="en-CA"/>
        </w:rPr>
        <w:t>m</w:t>
      </w:r>
      <w:r w:rsidR="00E620DE" w:rsidRPr="000804FA">
        <w:rPr>
          <w:color w:val="000000" w:themeColor="text1"/>
          <w:lang w:val="en-CA"/>
        </w:rPr>
        <w:t>anagement of valvular heart disease. The specific aims of this</w:t>
      </w:r>
      <w:r w:rsidR="00F44003" w:rsidRPr="000804FA">
        <w:rPr>
          <w:color w:val="000000" w:themeColor="text1"/>
          <w:lang w:val="en-CA"/>
        </w:rPr>
        <w:t xml:space="preserve"> review</w:t>
      </w:r>
      <w:r w:rsidR="00E620DE" w:rsidRPr="000804FA">
        <w:rPr>
          <w:color w:val="000000" w:themeColor="text1"/>
          <w:lang w:val="en-CA"/>
        </w:rPr>
        <w:t xml:space="preserve"> article are</w:t>
      </w:r>
      <w:r w:rsidR="00D76618" w:rsidRPr="000804FA">
        <w:rPr>
          <w:color w:val="000000" w:themeColor="text1"/>
          <w:lang w:val="en-CA"/>
        </w:rPr>
        <w:t>:</w:t>
      </w:r>
      <w:r w:rsidR="00E620DE" w:rsidRPr="000804FA">
        <w:rPr>
          <w:color w:val="000000" w:themeColor="text1"/>
          <w:lang w:val="en-CA"/>
        </w:rPr>
        <w:t xml:space="preserve"> i) To describe the recommendations that are consistent between the </w:t>
      </w:r>
      <w:r w:rsidRPr="000804FA">
        <w:rPr>
          <w:color w:val="000000" w:themeColor="text1"/>
          <w:lang w:val="en-CA"/>
        </w:rPr>
        <w:t>two</w:t>
      </w:r>
      <w:r w:rsidR="00E620DE" w:rsidRPr="000804FA">
        <w:rPr>
          <w:color w:val="000000" w:themeColor="text1"/>
          <w:lang w:val="en-CA"/>
        </w:rPr>
        <w:t xml:space="preserve"> guidelines</w:t>
      </w:r>
      <w:r w:rsidR="008730FE" w:rsidRPr="000804FA">
        <w:rPr>
          <w:color w:val="000000" w:themeColor="text1"/>
          <w:lang w:val="en-CA"/>
        </w:rPr>
        <w:t>,</w:t>
      </w:r>
      <w:r w:rsidR="00E620DE" w:rsidRPr="000804FA">
        <w:rPr>
          <w:color w:val="000000" w:themeColor="text1"/>
          <w:lang w:val="en-CA"/>
        </w:rPr>
        <w:t xml:space="preserve"> ii) To </w:t>
      </w:r>
      <w:r w:rsidR="00A02DF2" w:rsidRPr="000804FA">
        <w:rPr>
          <w:color w:val="000000" w:themeColor="text1"/>
          <w:lang w:val="en-CA"/>
        </w:rPr>
        <w:t xml:space="preserve">highlight </w:t>
      </w:r>
      <w:r w:rsidR="00E620DE" w:rsidRPr="000804FA">
        <w:rPr>
          <w:color w:val="000000" w:themeColor="text1"/>
          <w:lang w:val="en-CA"/>
        </w:rPr>
        <w:t xml:space="preserve">the recommendations that are different or discrepant between the </w:t>
      </w:r>
      <w:r w:rsidRPr="000804FA">
        <w:rPr>
          <w:color w:val="000000" w:themeColor="text1"/>
          <w:lang w:val="en-CA"/>
        </w:rPr>
        <w:t>two</w:t>
      </w:r>
      <w:r w:rsidR="00E620DE" w:rsidRPr="000804FA">
        <w:rPr>
          <w:color w:val="000000" w:themeColor="text1"/>
          <w:lang w:val="en-CA"/>
        </w:rPr>
        <w:t xml:space="preserve"> guidelines</w:t>
      </w:r>
      <w:r w:rsidRPr="000804FA">
        <w:rPr>
          <w:color w:val="000000" w:themeColor="text1"/>
          <w:lang w:val="en-CA"/>
        </w:rPr>
        <w:t>,</w:t>
      </w:r>
      <w:r w:rsidR="00E620DE" w:rsidRPr="000804FA">
        <w:rPr>
          <w:color w:val="000000" w:themeColor="text1"/>
          <w:lang w:val="en-CA"/>
        </w:rPr>
        <w:t xml:space="preserve"> and </w:t>
      </w:r>
      <w:r w:rsidR="00A02DF2" w:rsidRPr="000804FA">
        <w:rPr>
          <w:color w:val="000000" w:themeColor="text1"/>
          <w:lang w:val="en-CA"/>
        </w:rPr>
        <w:t>to describe</w:t>
      </w:r>
      <w:r w:rsidR="00E620DE" w:rsidRPr="000804FA">
        <w:rPr>
          <w:color w:val="000000" w:themeColor="text1"/>
          <w:lang w:val="en-CA"/>
        </w:rPr>
        <w:t xml:space="preserve"> the potential reasons for these differences discrepancies as well as the</w:t>
      </w:r>
      <w:r w:rsidR="00F31F45" w:rsidRPr="000804FA">
        <w:rPr>
          <w:color w:val="000000" w:themeColor="text1"/>
          <w:lang w:val="en-CA"/>
        </w:rPr>
        <w:t>ir</w:t>
      </w:r>
      <w:r w:rsidR="00E620DE" w:rsidRPr="000804FA">
        <w:rPr>
          <w:color w:val="000000" w:themeColor="text1"/>
          <w:lang w:val="en-CA"/>
        </w:rPr>
        <w:t xml:space="preserve"> clinical implications</w:t>
      </w:r>
      <w:r w:rsidR="008730FE" w:rsidRPr="000804FA">
        <w:rPr>
          <w:color w:val="000000" w:themeColor="text1"/>
          <w:lang w:val="en-CA"/>
        </w:rPr>
        <w:t>,</w:t>
      </w:r>
      <w:r w:rsidR="00E620DE" w:rsidRPr="000804FA">
        <w:rPr>
          <w:color w:val="000000" w:themeColor="text1"/>
          <w:lang w:val="en-CA"/>
        </w:rPr>
        <w:t xml:space="preserve"> iii) To identify the gaps in these guidelines in order to provide a roadmap for future position statements or future research.</w:t>
      </w:r>
      <w:r w:rsidR="00C90CD7" w:rsidRPr="000804FA">
        <w:rPr>
          <w:color w:val="000000" w:themeColor="text1"/>
          <w:lang w:val="en-CA"/>
        </w:rPr>
        <w:t xml:space="preserve"> </w:t>
      </w:r>
      <w:r w:rsidR="001A6BBD" w:rsidRPr="000804FA">
        <w:rPr>
          <w:b/>
          <w:color w:val="000000" w:themeColor="text1"/>
          <w:lang w:val="en-CA"/>
        </w:rPr>
        <w:br w:type="page"/>
      </w:r>
    </w:p>
    <w:p w14:paraId="3203A5CC" w14:textId="1AA46C8A" w:rsidR="00C53C37" w:rsidRPr="000804FA" w:rsidRDefault="00C53C37" w:rsidP="000804FA">
      <w:pPr>
        <w:spacing w:after="120" w:line="480" w:lineRule="auto"/>
        <w:contextualSpacing/>
        <w:jc w:val="both"/>
        <w:rPr>
          <w:color w:val="000000" w:themeColor="text1"/>
          <w:lang w:val="en-CA"/>
        </w:rPr>
      </w:pPr>
      <w:r w:rsidRPr="000804FA">
        <w:rPr>
          <w:b/>
          <w:color w:val="000000" w:themeColor="text1"/>
          <w:lang w:val="en-CA"/>
        </w:rPr>
        <w:lastRenderedPageBreak/>
        <w:t>1- AORTIC STENOSIS</w:t>
      </w:r>
    </w:p>
    <w:p w14:paraId="50FC5BC0" w14:textId="3427AD57" w:rsidR="00C53C37" w:rsidRPr="000804FA" w:rsidRDefault="00E620DE" w:rsidP="000804FA">
      <w:pPr>
        <w:pStyle w:val="ListParagraph"/>
        <w:numPr>
          <w:ilvl w:val="1"/>
          <w:numId w:val="1"/>
        </w:numPr>
        <w:spacing w:after="120" w:line="480" w:lineRule="auto"/>
        <w:jc w:val="both"/>
        <w:rPr>
          <w:rFonts w:ascii="Times New Roman" w:hAnsi="Times New Roman" w:cs="Times New Roman"/>
          <w:b/>
          <w:color w:val="000000" w:themeColor="text1"/>
          <w:sz w:val="24"/>
          <w:szCs w:val="24"/>
          <w:lang w:val="en-CA"/>
        </w:rPr>
      </w:pPr>
      <w:r w:rsidRPr="000804FA">
        <w:rPr>
          <w:rFonts w:ascii="Times New Roman" w:hAnsi="Times New Roman" w:cs="Times New Roman"/>
          <w:b/>
          <w:color w:val="000000" w:themeColor="text1"/>
          <w:sz w:val="24"/>
          <w:szCs w:val="24"/>
          <w:lang w:val="en-CA"/>
        </w:rPr>
        <w:t xml:space="preserve"> </w:t>
      </w:r>
      <w:r w:rsidR="00C53C37" w:rsidRPr="000804FA">
        <w:rPr>
          <w:rFonts w:ascii="Times New Roman" w:hAnsi="Times New Roman" w:cs="Times New Roman"/>
          <w:b/>
          <w:color w:val="000000" w:themeColor="text1"/>
          <w:sz w:val="24"/>
          <w:szCs w:val="24"/>
          <w:lang w:val="en-CA"/>
        </w:rPr>
        <w:t>Consistencies between guidelines</w:t>
      </w:r>
    </w:p>
    <w:p w14:paraId="707F506A" w14:textId="4C35D12B" w:rsidR="00C53C37" w:rsidRPr="000804FA" w:rsidRDefault="00E031A3" w:rsidP="000804FA">
      <w:pPr>
        <w:spacing w:after="120" w:line="480" w:lineRule="auto"/>
        <w:ind w:firstLine="360"/>
        <w:contextualSpacing/>
        <w:jc w:val="both"/>
        <w:rPr>
          <w:color w:val="000000" w:themeColor="text1"/>
          <w:lang w:val="en-CA"/>
        </w:rPr>
      </w:pPr>
      <w:r w:rsidRPr="000804FA">
        <w:rPr>
          <w:color w:val="000000" w:themeColor="text1"/>
          <w:lang w:val="en-CA"/>
        </w:rPr>
        <w:t>Overall</w:t>
      </w:r>
      <w:r w:rsidR="00C53C37" w:rsidRPr="000804FA">
        <w:rPr>
          <w:color w:val="000000" w:themeColor="text1"/>
          <w:lang w:val="en-CA"/>
        </w:rPr>
        <w:t>, the definition of severe aortic stenosis (AS)</w:t>
      </w:r>
      <w:r w:rsidR="00FC7432" w:rsidRPr="000804FA">
        <w:rPr>
          <w:color w:val="000000" w:themeColor="text1"/>
          <w:lang w:val="en-CA"/>
        </w:rPr>
        <w:t xml:space="preserve"> </w:t>
      </w:r>
      <w:r w:rsidR="00A02DF2" w:rsidRPr="000804FA">
        <w:rPr>
          <w:color w:val="000000" w:themeColor="text1"/>
          <w:lang w:val="en-CA"/>
        </w:rPr>
        <w:t>is</w:t>
      </w:r>
      <w:r w:rsidR="00C53C37" w:rsidRPr="000804FA">
        <w:rPr>
          <w:color w:val="000000" w:themeColor="text1"/>
          <w:lang w:val="en-CA"/>
        </w:rPr>
        <w:t xml:space="preserve"> consistent </w:t>
      </w:r>
      <w:r w:rsidR="00AC0CA3" w:rsidRPr="000804FA">
        <w:rPr>
          <w:color w:val="000000" w:themeColor="text1"/>
          <w:lang w:val="en-CA"/>
        </w:rPr>
        <w:t>among</w:t>
      </w:r>
      <w:r w:rsidR="00A02DF2" w:rsidRPr="000804FA">
        <w:rPr>
          <w:color w:val="000000" w:themeColor="text1"/>
          <w:lang w:val="en-CA"/>
        </w:rPr>
        <w:t xml:space="preserve"> the</w:t>
      </w:r>
      <w:r w:rsidR="00C53C37" w:rsidRPr="000804FA">
        <w:rPr>
          <w:color w:val="000000" w:themeColor="text1"/>
          <w:lang w:val="en-CA"/>
        </w:rPr>
        <w:t xml:space="preserve"> guideline</w:t>
      </w:r>
      <w:r w:rsidR="00AC0CA3" w:rsidRPr="000804FA">
        <w:rPr>
          <w:color w:val="000000" w:themeColor="text1"/>
          <w:lang w:val="en-CA"/>
        </w:rPr>
        <w:t>s</w:t>
      </w:r>
      <w:r w:rsidR="00985A3D" w:rsidRPr="000804FA">
        <w:rPr>
          <w:color w:val="000000" w:themeColor="text1"/>
          <w:lang w:val="en-CA"/>
        </w:rPr>
        <w:t xml:space="preserve"> </w:t>
      </w:r>
      <w:r w:rsidR="001A7BC5" w:rsidRPr="000804FA">
        <w:rPr>
          <w:b/>
          <w:i/>
          <w:color w:val="000000" w:themeColor="text1"/>
          <w:lang w:val="en-CA"/>
        </w:rPr>
        <w:t>(Table 1)</w:t>
      </w:r>
      <w:r w:rsidR="00C53C37" w:rsidRPr="000804FA">
        <w:rPr>
          <w:color w:val="000000" w:themeColor="text1"/>
          <w:lang w:val="en-CA"/>
        </w:rPr>
        <w:t xml:space="preserve">. </w:t>
      </w:r>
      <w:r w:rsidR="00A02DF2" w:rsidRPr="000804FA">
        <w:rPr>
          <w:color w:val="000000" w:themeColor="text1"/>
          <w:lang w:val="en-CA"/>
        </w:rPr>
        <w:t xml:space="preserve">There is agreement that </w:t>
      </w:r>
      <w:r w:rsidR="00C53C37" w:rsidRPr="000804FA">
        <w:rPr>
          <w:color w:val="000000" w:themeColor="text1"/>
          <w:lang w:val="en-CA"/>
        </w:rPr>
        <w:t>besides the classic high-gradient AS (</w:t>
      </w:r>
      <w:r w:rsidR="00FC7432" w:rsidRPr="000804FA">
        <w:rPr>
          <w:color w:val="000000" w:themeColor="text1"/>
          <w:lang w:val="en-CA"/>
        </w:rPr>
        <w:t>p</w:t>
      </w:r>
      <w:r w:rsidR="0021129B" w:rsidRPr="000804FA">
        <w:rPr>
          <w:color w:val="000000" w:themeColor="text1"/>
          <w:lang w:val="en-CA"/>
        </w:rPr>
        <w:t>eak aortic jet velocity</w:t>
      </w:r>
      <w:r w:rsidR="00E30335" w:rsidRPr="000804FA">
        <w:rPr>
          <w:color w:val="000000" w:themeColor="text1"/>
          <w:lang w:val="en-CA"/>
        </w:rPr>
        <w:t xml:space="preserve"> ≥</w:t>
      </w:r>
      <w:r w:rsidR="00C53C37" w:rsidRPr="000804FA">
        <w:rPr>
          <w:color w:val="000000" w:themeColor="text1"/>
          <w:lang w:val="en-CA"/>
        </w:rPr>
        <w:t xml:space="preserve">4m/s), AS may also be severe when </w:t>
      </w:r>
      <w:r w:rsidR="001A7BC5" w:rsidRPr="000804FA">
        <w:rPr>
          <w:color w:val="000000" w:themeColor="text1"/>
          <w:lang w:val="en-CA"/>
        </w:rPr>
        <w:t>peak velocity or mean gradient</w:t>
      </w:r>
      <w:r w:rsidR="00C53C37" w:rsidRPr="000804FA">
        <w:rPr>
          <w:color w:val="000000" w:themeColor="text1"/>
          <w:lang w:val="en-CA"/>
        </w:rPr>
        <w:t xml:space="preserve"> are low</w:t>
      </w:r>
      <w:r w:rsidR="001A7BC5" w:rsidRPr="000804FA">
        <w:rPr>
          <w:color w:val="000000" w:themeColor="text1"/>
          <w:lang w:val="en-CA"/>
        </w:rPr>
        <w:t xml:space="preserve"> (&lt;4m/s or &lt;40mmHg)</w:t>
      </w:r>
      <w:r w:rsidR="00C53C37" w:rsidRPr="000804FA">
        <w:rPr>
          <w:color w:val="000000" w:themeColor="text1"/>
          <w:lang w:val="en-CA"/>
        </w:rPr>
        <w:t xml:space="preserve">. </w:t>
      </w:r>
      <w:r w:rsidR="001A7BC5" w:rsidRPr="000804FA">
        <w:rPr>
          <w:color w:val="000000" w:themeColor="text1"/>
          <w:lang w:val="en-CA"/>
        </w:rPr>
        <w:t xml:space="preserve">In patients with low-gradient AS presenting with reduced </w:t>
      </w:r>
      <w:r w:rsidR="009D6C24" w:rsidRPr="000804FA">
        <w:rPr>
          <w:color w:val="000000" w:themeColor="text1"/>
          <w:lang w:val="en-CA"/>
        </w:rPr>
        <w:t>left vent</w:t>
      </w:r>
      <w:r w:rsidR="0068773C" w:rsidRPr="000804FA">
        <w:rPr>
          <w:color w:val="000000" w:themeColor="text1"/>
          <w:lang w:val="en-CA"/>
        </w:rPr>
        <w:t>ricular ejection fraction</w:t>
      </w:r>
      <w:r w:rsidR="00C53C37" w:rsidRPr="000804FA">
        <w:rPr>
          <w:color w:val="000000" w:themeColor="text1"/>
          <w:lang w:val="en-CA"/>
        </w:rPr>
        <w:t xml:space="preserve"> </w:t>
      </w:r>
      <w:r w:rsidR="0068773C" w:rsidRPr="000804FA">
        <w:rPr>
          <w:color w:val="000000" w:themeColor="text1"/>
          <w:lang w:val="en-CA"/>
        </w:rPr>
        <w:t>(</w:t>
      </w:r>
      <w:r w:rsidR="00C53C37" w:rsidRPr="000804FA">
        <w:rPr>
          <w:color w:val="000000" w:themeColor="text1"/>
          <w:lang w:val="en-CA"/>
        </w:rPr>
        <w:t>LVEF</w:t>
      </w:r>
      <w:r w:rsidR="0068773C" w:rsidRPr="000804FA">
        <w:rPr>
          <w:color w:val="000000" w:themeColor="text1"/>
          <w:lang w:val="en-CA"/>
        </w:rPr>
        <w:t>)</w:t>
      </w:r>
      <w:r w:rsidR="0096110C" w:rsidRPr="000804FA">
        <w:rPr>
          <w:color w:val="000000" w:themeColor="text1"/>
          <w:lang w:val="en-CA"/>
        </w:rPr>
        <w:t xml:space="preserve"> ≤</w:t>
      </w:r>
      <w:r w:rsidR="00C53C37" w:rsidRPr="000804FA">
        <w:rPr>
          <w:color w:val="000000" w:themeColor="text1"/>
          <w:lang w:val="en-CA"/>
        </w:rPr>
        <w:t>50% (classical low-flow low-gradient AS)</w:t>
      </w:r>
      <w:r w:rsidR="00E30335" w:rsidRPr="000804FA">
        <w:rPr>
          <w:color w:val="000000" w:themeColor="text1"/>
          <w:lang w:val="en-CA"/>
        </w:rPr>
        <w:t>,</w:t>
      </w:r>
      <w:r w:rsidR="00C53C37" w:rsidRPr="000804FA">
        <w:rPr>
          <w:color w:val="000000" w:themeColor="text1"/>
          <w:lang w:val="en-CA"/>
        </w:rPr>
        <w:t xml:space="preserve"> the use of dobutamine stress</w:t>
      </w:r>
      <w:r w:rsidR="001A7BC5" w:rsidRPr="000804FA">
        <w:rPr>
          <w:color w:val="000000" w:themeColor="text1"/>
          <w:lang w:val="en-CA"/>
        </w:rPr>
        <w:t xml:space="preserve"> echocardiography</w:t>
      </w:r>
      <w:r w:rsidR="00C53C37" w:rsidRPr="000804FA">
        <w:rPr>
          <w:color w:val="000000" w:themeColor="text1"/>
          <w:lang w:val="en-CA"/>
        </w:rPr>
        <w:t xml:space="preserve"> and</w:t>
      </w:r>
      <w:r w:rsidR="001A7BC5" w:rsidRPr="000804FA">
        <w:rPr>
          <w:color w:val="000000" w:themeColor="text1"/>
          <w:lang w:val="en-CA"/>
        </w:rPr>
        <w:t>/or</w:t>
      </w:r>
      <w:r w:rsidR="00C53C37" w:rsidRPr="000804FA">
        <w:rPr>
          <w:color w:val="000000" w:themeColor="text1"/>
          <w:lang w:val="en-CA"/>
        </w:rPr>
        <w:t xml:space="preserve"> non-contrast CT </w:t>
      </w:r>
      <w:r w:rsidR="007E06AE" w:rsidRPr="000804FA">
        <w:rPr>
          <w:color w:val="000000" w:themeColor="text1"/>
          <w:lang w:val="en-CA"/>
        </w:rPr>
        <w:t>aortic valve calcium scoring</w:t>
      </w:r>
      <w:r w:rsidR="00C53C37" w:rsidRPr="000804FA">
        <w:rPr>
          <w:color w:val="000000" w:themeColor="text1"/>
          <w:lang w:val="en-CA"/>
        </w:rPr>
        <w:t xml:space="preserve"> is recommended, while the latter </w:t>
      </w:r>
      <w:r w:rsidR="007039A0" w:rsidRPr="000804FA">
        <w:rPr>
          <w:color w:val="000000" w:themeColor="text1"/>
          <w:lang w:val="en-CA"/>
        </w:rPr>
        <w:t xml:space="preserve">is </w:t>
      </w:r>
      <w:r w:rsidR="00C53C37" w:rsidRPr="000804FA">
        <w:rPr>
          <w:color w:val="000000" w:themeColor="text1"/>
          <w:lang w:val="en-CA"/>
        </w:rPr>
        <w:t xml:space="preserve">also recommended when LVEF&gt;50% if </w:t>
      </w:r>
      <w:r w:rsidR="0021129B" w:rsidRPr="000804FA">
        <w:rPr>
          <w:color w:val="000000" w:themeColor="text1"/>
          <w:lang w:val="en-CA"/>
        </w:rPr>
        <w:t xml:space="preserve">aortic valve area </w:t>
      </w:r>
      <w:r w:rsidR="00C53C37" w:rsidRPr="000804FA">
        <w:rPr>
          <w:color w:val="000000" w:themeColor="text1"/>
          <w:lang w:val="en-CA"/>
        </w:rPr>
        <w:t>&lt;1.0cm</w:t>
      </w:r>
      <w:r w:rsidR="00C53C37" w:rsidRPr="000804FA">
        <w:rPr>
          <w:color w:val="000000" w:themeColor="text1"/>
          <w:vertAlign w:val="superscript"/>
          <w:lang w:val="en-CA"/>
        </w:rPr>
        <w:t>2</w:t>
      </w:r>
      <w:r w:rsidR="00C53C37" w:rsidRPr="000804FA">
        <w:rPr>
          <w:color w:val="000000" w:themeColor="text1"/>
          <w:lang w:val="en-CA"/>
        </w:rPr>
        <w:t xml:space="preserve"> and stroke volume</w:t>
      </w:r>
      <w:r w:rsidR="001A7BC5" w:rsidRPr="000804FA">
        <w:rPr>
          <w:color w:val="000000" w:themeColor="text1"/>
          <w:lang w:val="en-CA"/>
        </w:rPr>
        <w:t xml:space="preserve"> index</w:t>
      </w:r>
      <w:r w:rsidR="00C53C37" w:rsidRPr="000804FA">
        <w:rPr>
          <w:color w:val="000000" w:themeColor="text1"/>
          <w:lang w:val="en-CA"/>
        </w:rPr>
        <w:t xml:space="preserve"> is reduced</w:t>
      </w:r>
      <w:r w:rsidR="001A7BC5" w:rsidRPr="000804FA">
        <w:rPr>
          <w:color w:val="000000" w:themeColor="text1"/>
          <w:lang w:val="en-CA"/>
        </w:rPr>
        <w:t xml:space="preserve"> (&lt;35ml/m</w:t>
      </w:r>
      <w:r w:rsidR="001A7BC5" w:rsidRPr="000804FA">
        <w:rPr>
          <w:color w:val="000000" w:themeColor="text1"/>
          <w:vertAlign w:val="superscript"/>
          <w:lang w:val="en-CA"/>
        </w:rPr>
        <w:t>2</w:t>
      </w:r>
      <w:r w:rsidR="001A7BC5" w:rsidRPr="000804FA">
        <w:rPr>
          <w:color w:val="000000" w:themeColor="text1"/>
          <w:lang w:val="en-CA"/>
        </w:rPr>
        <w:t xml:space="preserve">) </w:t>
      </w:r>
      <w:r w:rsidR="00C53C37" w:rsidRPr="000804FA">
        <w:rPr>
          <w:color w:val="000000" w:themeColor="text1"/>
          <w:lang w:val="en-CA"/>
        </w:rPr>
        <w:t xml:space="preserve">(paradoxical low-flow low-gradient AS). According to both </w:t>
      </w:r>
      <w:r w:rsidR="00D76618" w:rsidRPr="000804FA">
        <w:rPr>
          <w:color w:val="000000" w:themeColor="text1"/>
          <w:lang w:val="en-CA"/>
        </w:rPr>
        <w:t xml:space="preserve">American and </w:t>
      </w:r>
      <w:r w:rsidR="009F323F" w:rsidRPr="000804FA">
        <w:rPr>
          <w:color w:val="000000" w:themeColor="text1"/>
          <w:lang w:val="en-CA"/>
        </w:rPr>
        <w:t>Europ</w:t>
      </w:r>
      <w:r w:rsidR="007E06AE" w:rsidRPr="000804FA">
        <w:rPr>
          <w:color w:val="000000" w:themeColor="text1"/>
          <w:lang w:val="en-CA"/>
        </w:rPr>
        <w:t>e</w:t>
      </w:r>
      <w:r w:rsidR="009F323F" w:rsidRPr="000804FA">
        <w:rPr>
          <w:color w:val="000000" w:themeColor="text1"/>
          <w:lang w:val="en-CA"/>
        </w:rPr>
        <w:t xml:space="preserve">an </w:t>
      </w:r>
      <w:r w:rsidR="00C53C37" w:rsidRPr="000804FA">
        <w:rPr>
          <w:color w:val="000000" w:themeColor="text1"/>
          <w:lang w:val="en-CA"/>
        </w:rPr>
        <w:t xml:space="preserve">guidelines, the severity of paradoxical low-flow low-gradient AS should be assessed using an integrative approach </w:t>
      </w:r>
      <w:r w:rsidR="001A7BC5" w:rsidRPr="000804FA">
        <w:rPr>
          <w:color w:val="000000" w:themeColor="text1"/>
          <w:lang w:val="en-CA"/>
        </w:rPr>
        <w:t>including</w:t>
      </w:r>
      <w:r w:rsidR="00C53C37" w:rsidRPr="000804FA">
        <w:rPr>
          <w:color w:val="000000" w:themeColor="text1"/>
          <w:lang w:val="en-CA"/>
        </w:rPr>
        <w:t xml:space="preserve"> echocardiographic, CT </w:t>
      </w:r>
      <w:r w:rsidR="007E06AE" w:rsidRPr="000804FA">
        <w:rPr>
          <w:color w:val="000000" w:themeColor="text1"/>
          <w:lang w:val="en-CA"/>
        </w:rPr>
        <w:t xml:space="preserve">aortic valve calcium score, </w:t>
      </w:r>
      <w:r w:rsidR="00C53C37" w:rsidRPr="000804FA">
        <w:rPr>
          <w:color w:val="000000" w:themeColor="text1"/>
          <w:lang w:val="en-CA"/>
        </w:rPr>
        <w:t>and clinical variables.</w:t>
      </w:r>
      <w:r w:rsidR="00103B71" w:rsidRPr="000804FA">
        <w:rPr>
          <w:color w:val="000000" w:themeColor="text1"/>
          <w:lang w:val="en-CA"/>
        </w:rPr>
        <w:t xml:space="preserve"> </w:t>
      </w:r>
    </w:p>
    <w:p w14:paraId="411F9FAD" w14:textId="38DD9605" w:rsidR="004E268C" w:rsidRPr="000804FA" w:rsidRDefault="00C53C37" w:rsidP="000804FA">
      <w:pPr>
        <w:spacing w:after="120" w:line="480" w:lineRule="auto"/>
        <w:ind w:firstLine="360"/>
        <w:contextualSpacing/>
        <w:jc w:val="both"/>
        <w:rPr>
          <w:color w:val="000000" w:themeColor="text1"/>
          <w:lang w:val="en-CA"/>
        </w:rPr>
      </w:pPr>
      <w:r w:rsidRPr="000804FA">
        <w:rPr>
          <w:color w:val="000000" w:themeColor="text1"/>
          <w:lang w:val="en-CA"/>
        </w:rPr>
        <w:t>Furthermore, there is a</w:t>
      </w:r>
      <w:r w:rsidR="001A7BC5" w:rsidRPr="000804FA">
        <w:rPr>
          <w:color w:val="000000" w:themeColor="text1"/>
          <w:lang w:val="en-CA"/>
        </w:rPr>
        <w:t>n</w:t>
      </w:r>
      <w:r w:rsidRPr="000804FA">
        <w:rPr>
          <w:color w:val="000000" w:themeColor="text1"/>
          <w:lang w:val="en-CA"/>
        </w:rPr>
        <w:t xml:space="preserve"> </w:t>
      </w:r>
      <w:r w:rsidR="001A7BC5" w:rsidRPr="000804FA">
        <w:rPr>
          <w:color w:val="000000" w:themeColor="text1"/>
          <w:lang w:val="en-CA"/>
        </w:rPr>
        <w:t>ample</w:t>
      </w:r>
      <w:r w:rsidRPr="000804FA">
        <w:rPr>
          <w:color w:val="000000" w:themeColor="text1"/>
          <w:lang w:val="en-CA"/>
        </w:rPr>
        <w:t xml:space="preserve"> concordance between </w:t>
      </w:r>
      <w:r w:rsidR="00D76618" w:rsidRPr="000804FA">
        <w:rPr>
          <w:color w:val="000000" w:themeColor="text1"/>
          <w:lang w:val="en-CA"/>
        </w:rPr>
        <w:t>American</w:t>
      </w:r>
      <w:r w:rsidR="001A6BBD" w:rsidRPr="000804FA">
        <w:rPr>
          <w:color w:val="000000" w:themeColor="text1"/>
          <w:lang w:val="en-CA"/>
        </w:rPr>
        <w:t xml:space="preserve"> and</w:t>
      </w:r>
      <w:r w:rsidR="00D76618" w:rsidRPr="000804FA">
        <w:rPr>
          <w:color w:val="000000" w:themeColor="text1"/>
          <w:lang w:val="en-CA"/>
        </w:rPr>
        <w:t xml:space="preserve"> </w:t>
      </w:r>
      <w:r w:rsidR="00C2294B" w:rsidRPr="000804FA">
        <w:rPr>
          <w:color w:val="000000" w:themeColor="text1"/>
          <w:lang w:val="en-CA"/>
        </w:rPr>
        <w:t>European</w:t>
      </w:r>
      <w:r w:rsidR="001A6BBD" w:rsidRPr="000804FA">
        <w:rPr>
          <w:color w:val="000000" w:themeColor="text1"/>
          <w:lang w:val="en-CA"/>
        </w:rPr>
        <w:t xml:space="preserve"> </w:t>
      </w:r>
      <w:r w:rsidRPr="000804FA">
        <w:rPr>
          <w:color w:val="000000" w:themeColor="text1"/>
          <w:lang w:val="en-CA"/>
        </w:rPr>
        <w:t>guidelines in the timing of aortic valve replacement</w:t>
      </w:r>
      <w:r w:rsidR="00E30335" w:rsidRPr="000804FA">
        <w:rPr>
          <w:color w:val="000000" w:themeColor="text1"/>
          <w:lang w:val="en-CA"/>
        </w:rPr>
        <w:t xml:space="preserve"> (AVR)</w:t>
      </w:r>
      <w:r w:rsidR="00587BF8" w:rsidRPr="000804FA">
        <w:rPr>
          <w:color w:val="000000" w:themeColor="text1"/>
          <w:lang w:val="en-CA"/>
        </w:rPr>
        <w:t xml:space="preserve"> </w:t>
      </w:r>
      <w:r w:rsidR="00587BF8" w:rsidRPr="000804FA">
        <w:rPr>
          <w:b/>
          <w:color w:val="000000" w:themeColor="text1"/>
          <w:lang w:val="en-CA"/>
        </w:rPr>
        <w:t>(</w:t>
      </w:r>
      <w:r w:rsidR="00587BF8" w:rsidRPr="000804FA">
        <w:rPr>
          <w:b/>
          <w:i/>
          <w:iCs/>
          <w:color w:val="000000" w:themeColor="text1"/>
          <w:lang w:val="en-CA"/>
        </w:rPr>
        <w:t>Table 1</w:t>
      </w:r>
      <w:r w:rsidR="00587BF8" w:rsidRPr="000804FA">
        <w:rPr>
          <w:b/>
          <w:color w:val="000000" w:themeColor="text1"/>
          <w:lang w:val="en-CA"/>
        </w:rPr>
        <w:t>)</w:t>
      </w:r>
      <w:r w:rsidR="00F3203F" w:rsidRPr="000804FA">
        <w:rPr>
          <w:color w:val="000000" w:themeColor="text1"/>
          <w:lang w:val="en-CA"/>
        </w:rPr>
        <w:t>. Both</w:t>
      </w:r>
      <w:r w:rsidRPr="000804FA">
        <w:rPr>
          <w:color w:val="000000" w:themeColor="text1"/>
          <w:lang w:val="en-CA"/>
        </w:rPr>
        <w:t xml:space="preserve"> </w:t>
      </w:r>
      <w:r w:rsidR="001A7BC5" w:rsidRPr="000804FA">
        <w:rPr>
          <w:color w:val="000000" w:themeColor="text1"/>
          <w:lang w:val="en-CA"/>
        </w:rPr>
        <w:t xml:space="preserve">guidelines </w:t>
      </w:r>
      <w:r w:rsidRPr="000804FA">
        <w:rPr>
          <w:color w:val="000000" w:themeColor="text1"/>
          <w:lang w:val="en-CA"/>
        </w:rPr>
        <w:t xml:space="preserve">recommend intervention in </w:t>
      </w:r>
      <w:r w:rsidR="001A7BC5" w:rsidRPr="000804FA">
        <w:rPr>
          <w:color w:val="000000" w:themeColor="text1"/>
          <w:lang w:val="en-CA"/>
        </w:rPr>
        <w:t xml:space="preserve">presence of </w:t>
      </w:r>
      <w:r w:rsidRPr="000804FA">
        <w:rPr>
          <w:color w:val="000000" w:themeColor="text1"/>
          <w:lang w:val="en-CA"/>
        </w:rPr>
        <w:t>symptoms</w:t>
      </w:r>
      <w:r w:rsidR="001A7BC5" w:rsidRPr="000804FA">
        <w:rPr>
          <w:color w:val="000000" w:themeColor="text1"/>
          <w:lang w:val="en-CA"/>
        </w:rPr>
        <w:t xml:space="preserve"> </w:t>
      </w:r>
      <w:r w:rsidR="00BE2F9A" w:rsidRPr="000804FA">
        <w:rPr>
          <w:color w:val="000000" w:themeColor="text1"/>
          <w:lang w:val="en-CA"/>
        </w:rPr>
        <w:t>documented by</w:t>
      </w:r>
      <w:r w:rsidRPr="000804FA">
        <w:rPr>
          <w:color w:val="000000" w:themeColor="text1"/>
          <w:lang w:val="en-CA"/>
        </w:rPr>
        <w:t xml:space="preserve"> history or exercise</w:t>
      </w:r>
      <w:r w:rsidR="001A7BC5" w:rsidRPr="000804FA">
        <w:rPr>
          <w:color w:val="000000" w:themeColor="text1"/>
          <w:lang w:val="en-CA"/>
        </w:rPr>
        <w:t xml:space="preserve"> stress test</w:t>
      </w:r>
      <w:r w:rsidRPr="000804FA">
        <w:rPr>
          <w:color w:val="000000" w:themeColor="text1"/>
          <w:lang w:val="en-CA"/>
        </w:rPr>
        <w:t>, very severe AS</w:t>
      </w:r>
      <w:r w:rsidR="00E30335" w:rsidRPr="000804FA">
        <w:rPr>
          <w:color w:val="000000" w:themeColor="text1"/>
          <w:lang w:val="en-CA"/>
        </w:rPr>
        <w:t xml:space="preserve"> (</w:t>
      </w:r>
      <w:r w:rsidR="00421A76" w:rsidRPr="000804FA">
        <w:rPr>
          <w:color w:val="000000" w:themeColor="text1"/>
          <w:lang w:val="en-CA"/>
        </w:rPr>
        <w:t>p</w:t>
      </w:r>
      <w:r w:rsidR="0021129B" w:rsidRPr="000804FA">
        <w:rPr>
          <w:color w:val="000000" w:themeColor="text1"/>
          <w:lang w:val="en-CA"/>
        </w:rPr>
        <w:t>eak aortic jet velocity</w:t>
      </w:r>
      <w:r w:rsidR="00E30335" w:rsidRPr="000804FA">
        <w:rPr>
          <w:color w:val="000000" w:themeColor="text1"/>
          <w:lang w:val="en-CA"/>
        </w:rPr>
        <w:t xml:space="preserve"> ≥5m/s)</w:t>
      </w:r>
      <w:r w:rsidRPr="000804FA">
        <w:rPr>
          <w:color w:val="000000" w:themeColor="text1"/>
          <w:lang w:val="en-CA"/>
        </w:rPr>
        <w:t xml:space="preserve">, reduced </w:t>
      </w:r>
      <w:r w:rsidR="00421A76" w:rsidRPr="000804FA">
        <w:rPr>
          <w:color w:val="000000" w:themeColor="text1"/>
          <w:lang w:val="en-CA"/>
        </w:rPr>
        <w:t>left ventricular (</w:t>
      </w:r>
      <w:r w:rsidRPr="000804FA">
        <w:rPr>
          <w:color w:val="000000" w:themeColor="text1"/>
          <w:lang w:val="en-CA"/>
        </w:rPr>
        <w:t>LV</w:t>
      </w:r>
      <w:r w:rsidR="00421A76" w:rsidRPr="000804FA">
        <w:rPr>
          <w:color w:val="000000" w:themeColor="text1"/>
          <w:lang w:val="en-CA"/>
        </w:rPr>
        <w:t>)</w:t>
      </w:r>
      <w:r w:rsidRPr="000804FA">
        <w:rPr>
          <w:color w:val="000000" w:themeColor="text1"/>
          <w:lang w:val="en-CA"/>
        </w:rPr>
        <w:t xml:space="preserve"> function, or elevated brain natriuretic peptides. In addition, American and European guidelines both recommend </w:t>
      </w:r>
      <w:r w:rsidR="0096110C" w:rsidRPr="000804FA">
        <w:rPr>
          <w:color w:val="000000" w:themeColor="text1"/>
          <w:lang w:val="en-CA"/>
        </w:rPr>
        <w:t>AVR</w:t>
      </w:r>
      <w:r w:rsidRPr="000804FA">
        <w:rPr>
          <w:color w:val="000000" w:themeColor="text1"/>
          <w:lang w:val="en-CA"/>
        </w:rPr>
        <w:t xml:space="preserve"> in asymptomatic patients if undergoing other cardiac surgery when AS is severe (class I) </w:t>
      </w:r>
      <w:r w:rsidR="001A7BC5" w:rsidRPr="000804FA">
        <w:rPr>
          <w:color w:val="000000" w:themeColor="text1"/>
          <w:lang w:val="en-CA"/>
        </w:rPr>
        <w:t>or</w:t>
      </w:r>
      <w:r w:rsidRPr="000804FA">
        <w:rPr>
          <w:color w:val="000000" w:themeColor="text1"/>
          <w:lang w:val="en-CA"/>
        </w:rPr>
        <w:t xml:space="preserve"> moderate (class </w:t>
      </w:r>
      <w:proofErr w:type="spellStart"/>
      <w:r w:rsidRPr="000804FA">
        <w:rPr>
          <w:color w:val="000000" w:themeColor="text1"/>
          <w:lang w:val="en-CA"/>
        </w:rPr>
        <w:t>IIa</w:t>
      </w:r>
      <w:proofErr w:type="spellEnd"/>
      <w:r w:rsidRPr="000804FA">
        <w:rPr>
          <w:color w:val="000000" w:themeColor="text1"/>
          <w:lang w:val="en-CA"/>
        </w:rPr>
        <w:t xml:space="preserve">), </w:t>
      </w:r>
      <w:r w:rsidR="001A7BC5" w:rsidRPr="000804FA">
        <w:rPr>
          <w:color w:val="000000" w:themeColor="text1"/>
          <w:lang w:val="en-CA"/>
        </w:rPr>
        <w:t>or</w:t>
      </w:r>
      <w:r w:rsidRPr="000804FA">
        <w:rPr>
          <w:color w:val="000000" w:themeColor="text1"/>
          <w:lang w:val="en-CA"/>
        </w:rPr>
        <w:t xml:space="preserve"> if AS is rapidly progressing defined as a progression rate exceeding 0.3 m/s</w:t>
      </w:r>
      <w:r w:rsidR="008154D6" w:rsidRPr="000804FA">
        <w:rPr>
          <w:color w:val="000000" w:themeColor="text1"/>
          <w:lang w:val="en-CA"/>
        </w:rPr>
        <w:t>/</w:t>
      </w:r>
      <w:r w:rsidRPr="000804FA">
        <w:rPr>
          <w:color w:val="000000" w:themeColor="text1"/>
          <w:lang w:val="en-CA"/>
        </w:rPr>
        <w:t>year.</w:t>
      </w:r>
      <w:r w:rsidR="001A6BBD" w:rsidRPr="000804FA">
        <w:rPr>
          <w:color w:val="000000" w:themeColor="text1"/>
          <w:lang w:val="en-CA"/>
        </w:rPr>
        <w:t xml:space="preserve"> Finally, the American and European guidelines recommend surgery (class </w:t>
      </w:r>
      <w:proofErr w:type="spellStart"/>
      <w:r w:rsidR="001A6BBD" w:rsidRPr="000804FA">
        <w:rPr>
          <w:color w:val="000000" w:themeColor="text1"/>
          <w:lang w:val="en-CA"/>
        </w:rPr>
        <w:t>IIa</w:t>
      </w:r>
      <w:proofErr w:type="spellEnd"/>
      <w:r w:rsidR="001A6BBD" w:rsidRPr="000804FA">
        <w:rPr>
          <w:color w:val="000000" w:themeColor="text1"/>
          <w:lang w:val="en-CA"/>
        </w:rPr>
        <w:t>) if natriuretic peptides are increased by 3-fold versus age and sex predicted upper normal limit</w:t>
      </w:r>
      <w:r w:rsidR="00AE64B5" w:rsidRPr="000804FA">
        <w:rPr>
          <w:color w:val="000000" w:themeColor="text1"/>
          <w:lang w:val="en-CA"/>
        </w:rPr>
        <w:t>.</w:t>
      </w:r>
    </w:p>
    <w:p w14:paraId="734F913A" w14:textId="6D10DB94" w:rsidR="00C53C37" w:rsidRPr="000804FA" w:rsidRDefault="0021129B" w:rsidP="000804FA">
      <w:pPr>
        <w:pStyle w:val="ListParagraph"/>
        <w:numPr>
          <w:ilvl w:val="1"/>
          <w:numId w:val="1"/>
        </w:numPr>
        <w:spacing w:after="120" w:line="480" w:lineRule="auto"/>
        <w:jc w:val="both"/>
        <w:rPr>
          <w:rFonts w:ascii="Times New Roman" w:hAnsi="Times New Roman" w:cs="Times New Roman"/>
          <w:b/>
          <w:color w:val="000000" w:themeColor="text1"/>
          <w:sz w:val="24"/>
          <w:szCs w:val="24"/>
          <w:lang w:val="en-CA"/>
        </w:rPr>
      </w:pPr>
      <w:r w:rsidRPr="000804FA">
        <w:rPr>
          <w:rFonts w:ascii="Times New Roman" w:hAnsi="Times New Roman" w:cs="Times New Roman"/>
          <w:b/>
          <w:color w:val="000000" w:themeColor="text1"/>
          <w:sz w:val="24"/>
          <w:szCs w:val="24"/>
          <w:lang w:val="en-CA"/>
        </w:rPr>
        <w:t xml:space="preserve"> </w:t>
      </w:r>
      <w:r w:rsidR="00C53C37" w:rsidRPr="000804FA">
        <w:rPr>
          <w:rFonts w:ascii="Times New Roman" w:hAnsi="Times New Roman" w:cs="Times New Roman"/>
          <w:b/>
          <w:color w:val="000000" w:themeColor="text1"/>
          <w:sz w:val="24"/>
          <w:szCs w:val="24"/>
          <w:lang w:val="en-CA"/>
        </w:rPr>
        <w:t xml:space="preserve">Discrepancies between guidelines </w:t>
      </w:r>
    </w:p>
    <w:p w14:paraId="1CC52338" w14:textId="793E06E6" w:rsidR="00C53C37" w:rsidRPr="000804FA" w:rsidRDefault="00BF182D" w:rsidP="000804FA">
      <w:pPr>
        <w:spacing w:after="120" w:line="480" w:lineRule="auto"/>
        <w:ind w:firstLine="360"/>
        <w:contextualSpacing/>
        <w:jc w:val="both"/>
        <w:rPr>
          <w:color w:val="000000" w:themeColor="text1"/>
          <w:lang w:val="en-CA"/>
        </w:rPr>
      </w:pPr>
      <w:r w:rsidRPr="000804FA">
        <w:rPr>
          <w:color w:val="000000" w:themeColor="text1"/>
          <w:lang w:val="en-CA"/>
        </w:rPr>
        <w:lastRenderedPageBreak/>
        <w:t xml:space="preserve">Although the </w:t>
      </w:r>
      <w:r w:rsidR="00C53C37" w:rsidRPr="000804FA">
        <w:rPr>
          <w:color w:val="000000" w:themeColor="text1"/>
          <w:lang w:val="en-CA"/>
        </w:rPr>
        <w:t xml:space="preserve">guidelines agree </w:t>
      </w:r>
      <w:r w:rsidRPr="000804FA">
        <w:rPr>
          <w:color w:val="000000" w:themeColor="text1"/>
          <w:lang w:val="en-CA"/>
        </w:rPr>
        <w:t xml:space="preserve">on </w:t>
      </w:r>
      <w:r w:rsidR="00C53C37" w:rsidRPr="000804FA">
        <w:rPr>
          <w:color w:val="000000" w:themeColor="text1"/>
          <w:lang w:val="en-CA"/>
        </w:rPr>
        <w:t xml:space="preserve">recommending </w:t>
      </w:r>
      <w:r w:rsidR="00CB7E91" w:rsidRPr="000804FA">
        <w:rPr>
          <w:color w:val="000000" w:themeColor="text1"/>
          <w:lang w:val="en-CA"/>
        </w:rPr>
        <w:t xml:space="preserve">intervention in </w:t>
      </w:r>
      <w:r w:rsidR="00C53C37" w:rsidRPr="000804FA">
        <w:rPr>
          <w:color w:val="000000" w:themeColor="text1"/>
          <w:lang w:val="en-CA"/>
        </w:rPr>
        <w:t xml:space="preserve">asymptomatic patients with severe AS surgery based on exercise test findings, brain natriuretic peptide levels </w:t>
      </w:r>
      <w:r w:rsidR="00CB7E91" w:rsidRPr="000804FA">
        <w:rPr>
          <w:color w:val="000000" w:themeColor="text1"/>
          <w:lang w:val="en-CA"/>
        </w:rPr>
        <w:t>and/or decline in</w:t>
      </w:r>
      <w:r w:rsidR="00C53C37" w:rsidRPr="000804FA">
        <w:rPr>
          <w:color w:val="000000" w:themeColor="text1"/>
          <w:lang w:val="en-CA"/>
        </w:rPr>
        <w:t xml:space="preserve"> LV function, different thresholds have been proposed</w:t>
      </w:r>
      <w:r w:rsidR="00C2294B" w:rsidRPr="000804FA">
        <w:rPr>
          <w:color w:val="000000" w:themeColor="text1"/>
          <w:lang w:val="en-CA"/>
        </w:rPr>
        <w:t xml:space="preserve"> (</w:t>
      </w:r>
      <w:r w:rsidR="00C2294B" w:rsidRPr="000804FA">
        <w:rPr>
          <w:b/>
          <w:bCs/>
          <w:i/>
          <w:iCs/>
          <w:color w:val="000000" w:themeColor="text1"/>
          <w:lang w:val="en-CA"/>
        </w:rPr>
        <w:t>Table 1</w:t>
      </w:r>
      <w:r w:rsidR="00C2294B" w:rsidRPr="000804FA">
        <w:rPr>
          <w:color w:val="000000" w:themeColor="text1"/>
          <w:lang w:val="en-CA"/>
        </w:rPr>
        <w:t>)</w:t>
      </w:r>
      <w:r w:rsidR="00C53C37" w:rsidRPr="000804FA">
        <w:rPr>
          <w:color w:val="000000" w:themeColor="text1"/>
          <w:lang w:val="en-CA"/>
        </w:rPr>
        <w:t xml:space="preserve">. The European guidelines recommend surgery (class </w:t>
      </w:r>
      <w:proofErr w:type="spellStart"/>
      <w:r w:rsidR="00C53C37" w:rsidRPr="000804FA">
        <w:rPr>
          <w:color w:val="000000" w:themeColor="text1"/>
          <w:lang w:val="en-CA"/>
        </w:rPr>
        <w:t>IIa</w:t>
      </w:r>
      <w:proofErr w:type="spellEnd"/>
      <w:r w:rsidR="00C53C37" w:rsidRPr="000804FA">
        <w:rPr>
          <w:color w:val="000000" w:themeColor="text1"/>
          <w:lang w:val="en-CA"/>
        </w:rPr>
        <w:t>) when systolic blood pressure falls</w:t>
      </w:r>
      <w:r w:rsidRPr="000804FA">
        <w:rPr>
          <w:color w:val="000000" w:themeColor="text1"/>
          <w:lang w:val="en-CA"/>
        </w:rPr>
        <w:t xml:space="preserve"> by</w:t>
      </w:r>
      <w:r w:rsidR="000052CA" w:rsidRPr="000804FA">
        <w:rPr>
          <w:color w:val="000000" w:themeColor="text1"/>
          <w:lang w:val="en-CA"/>
        </w:rPr>
        <w:t xml:space="preserve"> more than </w:t>
      </w:r>
      <w:r w:rsidR="00C53C37" w:rsidRPr="000804FA">
        <w:rPr>
          <w:color w:val="000000" w:themeColor="text1"/>
          <w:lang w:val="en-CA"/>
        </w:rPr>
        <w:t xml:space="preserve">20mmHg during exercise, while the American guidelines </w:t>
      </w:r>
      <w:r w:rsidR="00A02DF2" w:rsidRPr="000804FA">
        <w:rPr>
          <w:color w:val="000000" w:themeColor="text1"/>
          <w:lang w:val="en-CA"/>
        </w:rPr>
        <w:t>recommend AVR</w:t>
      </w:r>
      <w:r w:rsidR="00C53C37" w:rsidRPr="000804FA">
        <w:rPr>
          <w:color w:val="000000" w:themeColor="text1"/>
          <w:lang w:val="en-CA"/>
        </w:rPr>
        <w:t xml:space="preserve"> when it falls</w:t>
      </w:r>
      <w:r w:rsidRPr="000804FA">
        <w:rPr>
          <w:color w:val="000000" w:themeColor="text1"/>
          <w:lang w:val="en-CA"/>
        </w:rPr>
        <w:t xml:space="preserve"> by</w:t>
      </w:r>
      <w:r w:rsidR="00C53C37" w:rsidRPr="000804FA">
        <w:rPr>
          <w:color w:val="000000" w:themeColor="text1"/>
          <w:lang w:val="en-CA"/>
        </w:rPr>
        <w:t xml:space="preserve"> more than 10mmHg. </w:t>
      </w:r>
    </w:p>
    <w:p w14:paraId="584700BB" w14:textId="2D9DABF0" w:rsidR="000104D4" w:rsidRPr="000804FA" w:rsidRDefault="00C53C37" w:rsidP="000804FA">
      <w:pPr>
        <w:spacing w:after="120" w:line="480" w:lineRule="auto"/>
        <w:ind w:firstLine="360"/>
        <w:contextualSpacing/>
        <w:jc w:val="both"/>
        <w:rPr>
          <w:color w:val="000000" w:themeColor="text1"/>
          <w:lang w:val="en-US"/>
        </w:rPr>
      </w:pPr>
      <w:r w:rsidRPr="000804FA">
        <w:rPr>
          <w:color w:val="000000" w:themeColor="text1"/>
          <w:lang w:val="en-CA"/>
        </w:rPr>
        <w:t xml:space="preserve">The use of natriuretic peptides also </w:t>
      </w:r>
      <w:r w:rsidR="002F2BEA" w:rsidRPr="000804FA">
        <w:rPr>
          <w:color w:val="000000" w:themeColor="text1"/>
          <w:lang w:val="en-CA"/>
        </w:rPr>
        <w:t>differs</w:t>
      </w:r>
      <w:r w:rsidRPr="000804FA">
        <w:rPr>
          <w:color w:val="000000" w:themeColor="text1"/>
          <w:lang w:val="en-CA"/>
        </w:rPr>
        <w:t xml:space="preserve"> between guidelines, as American</w:t>
      </w:r>
      <w:r w:rsidR="001A6BBD" w:rsidRPr="000804FA">
        <w:rPr>
          <w:color w:val="000000" w:themeColor="text1"/>
          <w:lang w:val="en-CA"/>
        </w:rPr>
        <w:t xml:space="preserve"> </w:t>
      </w:r>
      <w:r w:rsidRPr="000804FA">
        <w:rPr>
          <w:color w:val="000000" w:themeColor="text1"/>
          <w:lang w:val="en-CA"/>
        </w:rPr>
        <w:t>guidelines propose th</w:t>
      </w:r>
      <w:r w:rsidR="00CB7E91" w:rsidRPr="000804FA">
        <w:rPr>
          <w:color w:val="000000" w:themeColor="text1"/>
          <w:lang w:val="en-CA"/>
        </w:rPr>
        <w:t>e use of both BNP and NT-</w:t>
      </w:r>
      <w:proofErr w:type="spellStart"/>
      <w:r w:rsidR="00CB7E91" w:rsidRPr="000804FA">
        <w:rPr>
          <w:color w:val="000000" w:themeColor="text1"/>
          <w:lang w:val="en-CA"/>
        </w:rPr>
        <w:t>proBNP</w:t>
      </w:r>
      <w:proofErr w:type="spellEnd"/>
      <w:r w:rsidR="00CB7E91" w:rsidRPr="000804FA">
        <w:rPr>
          <w:color w:val="000000" w:themeColor="text1"/>
          <w:lang w:val="en-CA"/>
        </w:rPr>
        <w:t xml:space="preserve">, </w:t>
      </w:r>
      <w:r w:rsidRPr="000804FA">
        <w:rPr>
          <w:color w:val="000000" w:themeColor="text1"/>
          <w:lang w:val="en-CA"/>
        </w:rPr>
        <w:t xml:space="preserve">while the European only recommend the use of BNP. </w:t>
      </w:r>
      <w:r w:rsidR="00CB7E91" w:rsidRPr="000804FA">
        <w:rPr>
          <w:color w:val="000000" w:themeColor="text1"/>
          <w:lang w:val="en-CA"/>
        </w:rPr>
        <w:t xml:space="preserve">While </w:t>
      </w:r>
      <w:r w:rsidR="007E250D" w:rsidRPr="000804FA">
        <w:rPr>
          <w:color w:val="000000" w:themeColor="text1"/>
          <w:lang w:val="en-CA"/>
        </w:rPr>
        <w:t xml:space="preserve">both </w:t>
      </w:r>
      <w:r w:rsidR="00D76618" w:rsidRPr="000804FA">
        <w:rPr>
          <w:color w:val="000000" w:themeColor="text1"/>
          <w:lang w:val="en-CA"/>
        </w:rPr>
        <w:t xml:space="preserve">American and </w:t>
      </w:r>
      <w:r w:rsidR="007E250D" w:rsidRPr="000804FA">
        <w:rPr>
          <w:color w:val="000000" w:themeColor="text1"/>
          <w:lang w:val="en-CA"/>
        </w:rPr>
        <w:t xml:space="preserve">European guidelines </w:t>
      </w:r>
      <w:r w:rsidRPr="000804FA">
        <w:rPr>
          <w:color w:val="000000" w:themeColor="text1"/>
          <w:lang w:val="en-CA"/>
        </w:rPr>
        <w:t xml:space="preserve">concur that LVEF&lt;50% is a class I indication for intervention, the novel recommendation of intervening based on “subclinical LV dysfunction” </w:t>
      </w:r>
      <w:r w:rsidR="00B36BDD" w:rsidRPr="000804FA">
        <w:rPr>
          <w:color w:val="000000" w:themeColor="text1"/>
          <w:lang w:val="en-CA"/>
        </w:rPr>
        <w:t xml:space="preserve">is different </w:t>
      </w:r>
      <w:r w:rsidR="007E250D" w:rsidRPr="000804FA">
        <w:rPr>
          <w:color w:val="000000" w:themeColor="text1"/>
          <w:lang w:val="en-CA"/>
        </w:rPr>
        <w:t xml:space="preserve">between </w:t>
      </w:r>
      <w:r w:rsidR="002F2BEA" w:rsidRPr="000804FA">
        <w:rPr>
          <w:color w:val="000000" w:themeColor="text1"/>
          <w:lang w:val="en-CA"/>
        </w:rPr>
        <w:t>guidelines</w:t>
      </w:r>
      <w:r w:rsidR="00BE2F9A" w:rsidRPr="000804FA">
        <w:rPr>
          <w:color w:val="000000" w:themeColor="text1"/>
          <w:lang w:val="en-CA"/>
        </w:rPr>
        <w:t xml:space="preserve"> (</w:t>
      </w:r>
      <w:r w:rsidR="00BE2F9A" w:rsidRPr="000804FA">
        <w:rPr>
          <w:b/>
          <w:bCs/>
          <w:i/>
          <w:iCs/>
          <w:color w:val="000000" w:themeColor="text1"/>
          <w:lang w:val="en-CA"/>
        </w:rPr>
        <w:t>Figure 1</w:t>
      </w:r>
      <w:r w:rsidR="00BE2F9A" w:rsidRPr="000804FA">
        <w:rPr>
          <w:color w:val="000000" w:themeColor="text1"/>
          <w:lang w:val="en-CA"/>
        </w:rPr>
        <w:t>)</w:t>
      </w:r>
      <w:r w:rsidR="002F2BEA" w:rsidRPr="000804FA">
        <w:rPr>
          <w:color w:val="000000" w:themeColor="text1"/>
          <w:lang w:val="en-CA"/>
        </w:rPr>
        <w:t>.</w:t>
      </w:r>
      <w:r w:rsidRPr="000804FA">
        <w:rPr>
          <w:color w:val="000000" w:themeColor="text1"/>
          <w:lang w:val="en-CA"/>
        </w:rPr>
        <w:t xml:space="preserve"> The European guidelines </w:t>
      </w:r>
      <w:r w:rsidR="0021129B" w:rsidRPr="000804FA">
        <w:rPr>
          <w:color w:val="000000" w:themeColor="text1"/>
          <w:lang w:val="en-CA"/>
        </w:rPr>
        <w:t>propose</w:t>
      </w:r>
      <w:r w:rsidRPr="000804FA">
        <w:rPr>
          <w:color w:val="000000" w:themeColor="text1"/>
          <w:lang w:val="en-CA"/>
        </w:rPr>
        <w:t xml:space="preserve"> a class </w:t>
      </w:r>
      <w:proofErr w:type="spellStart"/>
      <w:r w:rsidRPr="000804FA">
        <w:rPr>
          <w:color w:val="000000" w:themeColor="text1"/>
          <w:lang w:val="en-CA"/>
        </w:rPr>
        <w:t>IIa</w:t>
      </w:r>
      <w:proofErr w:type="spellEnd"/>
      <w:r w:rsidRPr="000804FA">
        <w:rPr>
          <w:color w:val="000000" w:themeColor="text1"/>
          <w:lang w:val="en-CA"/>
        </w:rPr>
        <w:t xml:space="preserve"> indication for intervention when LVEF&lt;55%, while the American guidelines </w:t>
      </w:r>
      <w:r w:rsidR="0021129B" w:rsidRPr="000804FA">
        <w:rPr>
          <w:color w:val="000000" w:themeColor="text1"/>
          <w:lang w:val="en-CA"/>
        </w:rPr>
        <w:t>propose</w:t>
      </w:r>
      <w:r w:rsidRPr="000804FA">
        <w:rPr>
          <w:color w:val="000000" w:themeColor="text1"/>
          <w:lang w:val="en-CA"/>
        </w:rPr>
        <w:t xml:space="preserve"> this indication when LVEF&lt;60%.</w:t>
      </w:r>
      <w:r w:rsidR="000104D4" w:rsidRPr="000804FA">
        <w:rPr>
          <w:color w:val="000000" w:themeColor="text1"/>
          <w:lang w:val="en-CA"/>
        </w:rPr>
        <w:t xml:space="preserve"> </w:t>
      </w:r>
    </w:p>
    <w:p w14:paraId="7DBFB30B" w14:textId="4D030DB6" w:rsidR="004E268C" w:rsidRPr="000804FA" w:rsidRDefault="0021129B" w:rsidP="000804FA">
      <w:pPr>
        <w:autoSpaceDE w:val="0"/>
        <w:autoSpaceDN w:val="0"/>
        <w:adjustRightInd w:val="0"/>
        <w:spacing w:after="120" w:line="480" w:lineRule="auto"/>
        <w:ind w:firstLine="360"/>
        <w:contextualSpacing/>
        <w:jc w:val="both"/>
        <w:rPr>
          <w:rFonts w:eastAsiaTheme="minorHAnsi"/>
          <w:color w:val="000000" w:themeColor="text1"/>
          <w:lang w:val="en-US" w:eastAsia="en-US"/>
        </w:rPr>
      </w:pPr>
      <w:r w:rsidRPr="000804FA">
        <w:rPr>
          <w:color w:val="000000" w:themeColor="text1"/>
          <w:lang w:val="en-CA"/>
        </w:rPr>
        <w:t xml:space="preserve">For patients with paradoxical (preserved LVEF) low-flow, low-gradient severe AS, both guidelines recommend AVR but as class I in </w:t>
      </w:r>
      <w:r w:rsidR="00B36BDD" w:rsidRPr="000804FA">
        <w:rPr>
          <w:color w:val="000000" w:themeColor="text1"/>
          <w:lang w:val="en-CA"/>
        </w:rPr>
        <w:t xml:space="preserve">the </w:t>
      </w:r>
      <w:r w:rsidRPr="000804FA">
        <w:rPr>
          <w:color w:val="000000" w:themeColor="text1"/>
          <w:lang w:val="en-CA"/>
        </w:rPr>
        <w:t>American guidelines v</w:t>
      </w:r>
      <w:r w:rsidR="00B36BDD" w:rsidRPr="000804FA">
        <w:rPr>
          <w:color w:val="000000" w:themeColor="text1"/>
          <w:lang w:val="en-CA"/>
        </w:rPr>
        <w:t>ersus</w:t>
      </w:r>
      <w:r w:rsidRPr="000804FA">
        <w:rPr>
          <w:color w:val="000000" w:themeColor="text1"/>
          <w:lang w:val="en-CA"/>
        </w:rPr>
        <w:t xml:space="preserve"> </w:t>
      </w:r>
      <w:proofErr w:type="spellStart"/>
      <w:r w:rsidR="005D7A17" w:rsidRPr="000804FA">
        <w:rPr>
          <w:color w:val="000000" w:themeColor="text1"/>
          <w:lang w:val="en-CA"/>
        </w:rPr>
        <w:t>IIa</w:t>
      </w:r>
      <w:proofErr w:type="spellEnd"/>
      <w:r w:rsidR="005D7A17" w:rsidRPr="000804FA">
        <w:rPr>
          <w:color w:val="000000" w:themeColor="text1"/>
          <w:lang w:val="en-CA"/>
        </w:rPr>
        <w:t xml:space="preserve"> in </w:t>
      </w:r>
      <w:r w:rsidR="00D4092E" w:rsidRPr="000804FA">
        <w:rPr>
          <w:color w:val="000000" w:themeColor="text1"/>
          <w:lang w:val="en-CA"/>
        </w:rPr>
        <w:t xml:space="preserve">the </w:t>
      </w:r>
      <w:r w:rsidR="005D7A17" w:rsidRPr="000804FA">
        <w:rPr>
          <w:color w:val="000000" w:themeColor="text1"/>
          <w:lang w:val="en-CA"/>
        </w:rPr>
        <w:t>European guidelines</w:t>
      </w:r>
      <w:r w:rsidR="00587BF8" w:rsidRPr="000804FA">
        <w:rPr>
          <w:color w:val="000000" w:themeColor="text1"/>
          <w:lang w:val="en-CA"/>
        </w:rPr>
        <w:t xml:space="preserve"> </w:t>
      </w:r>
      <w:r w:rsidR="00587BF8" w:rsidRPr="000804FA">
        <w:rPr>
          <w:b/>
          <w:i/>
          <w:color w:val="000000" w:themeColor="text1"/>
          <w:lang w:val="en-CA"/>
        </w:rPr>
        <w:t>(Table 1)</w:t>
      </w:r>
      <w:r w:rsidR="005D7A17" w:rsidRPr="000804FA">
        <w:rPr>
          <w:color w:val="000000" w:themeColor="text1"/>
          <w:lang w:val="en-CA"/>
        </w:rPr>
        <w:t>.</w:t>
      </w:r>
      <w:r w:rsidR="006B763C" w:rsidRPr="000804FA">
        <w:rPr>
          <w:color w:val="000000" w:themeColor="text1"/>
          <w:lang w:val="en-CA"/>
        </w:rPr>
        <w:t xml:space="preserve"> </w:t>
      </w:r>
      <w:r w:rsidR="00D4092E" w:rsidRPr="000804FA">
        <w:rPr>
          <w:color w:val="000000" w:themeColor="text1"/>
          <w:lang w:val="en-CA"/>
        </w:rPr>
        <w:t>The most notable differences are in the</w:t>
      </w:r>
      <w:r w:rsidR="00C53C37" w:rsidRPr="000804FA">
        <w:rPr>
          <w:color w:val="000000" w:themeColor="text1"/>
          <w:lang w:val="en-CA"/>
        </w:rPr>
        <w:t xml:space="preserve"> </w:t>
      </w:r>
      <w:r w:rsidR="00D4092E" w:rsidRPr="000804FA">
        <w:rPr>
          <w:color w:val="000000" w:themeColor="text1"/>
          <w:lang w:val="en-CA"/>
        </w:rPr>
        <w:t>recommendation</w:t>
      </w:r>
      <w:r w:rsidR="007F103F" w:rsidRPr="000804FA">
        <w:rPr>
          <w:color w:val="000000" w:themeColor="text1"/>
          <w:lang w:val="en-CA"/>
        </w:rPr>
        <w:t>s</w:t>
      </w:r>
      <w:r w:rsidR="00D4092E" w:rsidRPr="000804FA">
        <w:rPr>
          <w:color w:val="000000" w:themeColor="text1"/>
          <w:lang w:val="en-CA"/>
        </w:rPr>
        <w:t xml:space="preserve"> for</w:t>
      </w:r>
      <w:r w:rsidR="00C53C37" w:rsidRPr="000804FA">
        <w:rPr>
          <w:color w:val="000000" w:themeColor="text1"/>
          <w:lang w:val="en-CA"/>
        </w:rPr>
        <w:t xml:space="preserve"> </w:t>
      </w:r>
      <w:r w:rsidR="0068773C" w:rsidRPr="000804FA">
        <w:rPr>
          <w:color w:val="000000" w:themeColor="text1"/>
          <w:lang w:val="en-CA"/>
        </w:rPr>
        <w:t xml:space="preserve">transcatheter </w:t>
      </w:r>
      <w:r w:rsidR="008C04D8" w:rsidRPr="000804FA">
        <w:rPr>
          <w:color w:val="000000" w:themeColor="text1"/>
          <w:lang w:val="en-CA"/>
        </w:rPr>
        <w:t xml:space="preserve">aortic valve </w:t>
      </w:r>
      <w:r w:rsidR="007039A0" w:rsidRPr="000804FA">
        <w:rPr>
          <w:color w:val="000000" w:themeColor="text1"/>
          <w:lang w:val="en-CA"/>
        </w:rPr>
        <w:t xml:space="preserve">replacement </w:t>
      </w:r>
      <w:r w:rsidR="0068773C" w:rsidRPr="000804FA">
        <w:rPr>
          <w:color w:val="000000" w:themeColor="text1"/>
          <w:lang w:val="en-CA"/>
        </w:rPr>
        <w:t>(</w:t>
      </w:r>
      <w:r w:rsidR="008C04D8" w:rsidRPr="000804FA">
        <w:rPr>
          <w:color w:val="000000" w:themeColor="text1"/>
          <w:lang w:val="en-CA"/>
        </w:rPr>
        <w:t>TAV</w:t>
      </w:r>
      <w:r w:rsidR="007039A0" w:rsidRPr="000804FA">
        <w:rPr>
          <w:color w:val="000000" w:themeColor="text1"/>
          <w:lang w:val="en-CA"/>
        </w:rPr>
        <w:t>R</w:t>
      </w:r>
      <w:r w:rsidR="0068773C" w:rsidRPr="000804FA">
        <w:rPr>
          <w:color w:val="000000" w:themeColor="text1"/>
          <w:lang w:val="en-CA"/>
        </w:rPr>
        <w:t>)</w:t>
      </w:r>
      <w:r w:rsidR="00C53C37" w:rsidRPr="000804FA">
        <w:rPr>
          <w:color w:val="000000" w:themeColor="text1"/>
          <w:lang w:val="en-CA"/>
        </w:rPr>
        <w:t xml:space="preserve"> in patients with AS. </w:t>
      </w:r>
      <w:r w:rsidR="009B0FA8" w:rsidRPr="000804FA">
        <w:rPr>
          <w:color w:val="000000" w:themeColor="text1"/>
          <w:lang w:val="en-CA"/>
        </w:rPr>
        <w:t>B</w:t>
      </w:r>
      <w:r w:rsidR="00C53C37" w:rsidRPr="000804FA">
        <w:rPr>
          <w:color w:val="000000" w:themeColor="text1"/>
          <w:lang w:val="en-CA"/>
        </w:rPr>
        <w:t>oth American and European guidelines recommend stratifying patients into three groups</w:t>
      </w:r>
      <w:r w:rsidR="008730FE" w:rsidRPr="000804FA">
        <w:rPr>
          <w:color w:val="000000" w:themeColor="text1"/>
          <w:lang w:val="en-CA"/>
        </w:rPr>
        <w:t>:</w:t>
      </w:r>
      <w:r w:rsidR="00C53C37" w:rsidRPr="000804FA">
        <w:rPr>
          <w:color w:val="000000" w:themeColor="text1"/>
          <w:lang w:val="en-CA"/>
        </w:rPr>
        <w:t xml:space="preserve"> one suitable for </w:t>
      </w:r>
      <w:r w:rsidR="008C04D8" w:rsidRPr="000804FA">
        <w:rPr>
          <w:color w:val="000000" w:themeColor="text1"/>
          <w:lang w:val="en-CA"/>
        </w:rPr>
        <w:t>TAV</w:t>
      </w:r>
      <w:r w:rsidR="007039A0" w:rsidRPr="000804FA">
        <w:rPr>
          <w:color w:val="000000" w:themeColor="text1"/>
          <w:lang w:val="en-CA"/>
        </w:rPr>
        <w:t>R</w:t>
      </w:r>
      <w:r w:rsidR="00C53C37" w:rsidRPr="000804FA">
        <w:rPr>
          <w:color w:val="000000" w:themeColor="text1"/>
          <w:lang w:val="en-CA"/>
        </w:rPr>
        <w:t xml:space="preserve">, a second suitable for </w:t>
      </w:r>
      <w:r w:rsidR="0068773C" w:rsidRPr="000804FA">
        <w:rPr>
          <w:color w:val="000000" w:themeColor="text1"/>
          <w:lang w:val="en-CA"/>
        </w:rPr>
        <w:t xml:space="preserve">surgical </w:t>
      </w:r>
      <w:r w:rsidR="00C53C37" w:rsidRPr="000804FA">
        <w:rPr>
          <w:color w:val="000000" w:themeColor="text1"/>
          <w:lang w:val="en-CA"/>
        </w:rPr>
        <w:t>AVR</w:t>
      </w:r>
      <w:r w:rsidR="0068773C" w:rsidRPr="000804FA">
        <w:rPr>
          <w:color w:val="000000" w:themeColor="text1"/>
          <w:lang w:val="en-CA"/>
        </w:rPr>
        <w:t xml:space="preserve"> (SAVR)</w:t>
      </w:r>
      <w:r w:rsidR="00C53C37" w:rsidRPr="000804FA">
        <w:rPr>
          <w:color w:val="000000" w:themeColor="text1"/>
          <w:lang w:val="en-CA"/>
        </w:rPr>
        <w:t xml:space="preserve"> and</w:t>
      </w:r>
      <w:r w:rsidR="00CB7E91" w:rsidRPr="000804FA">
        <w:rPr>
          <w:color w:val="000000" w:themeColor="text1"/>
          <w:lang w:val="en-CA"/>
        </w:rPr>
        <w:t xml:space="preserve"> a third</w:t>
      </w:r>
      <w:r w:rsidR="00C53C37" w:rsidRPr="000804FA">
        <w:rPr>
          <w:color w:val="000000" w:themeColor="text1"/>
          <w:lang w:val="en-CA"/>
        </w:rPr>
        <w:t xml:space="preserve"> group in between where the choice between </w:t>
      </w:r>
      <w:r w:rsidR="008C04D8" w:rsidRPr="000804FA">
        <w:rPr>
          <w:color w:val="000000" w:themeColor="text1"/>
          <w:lang w:val="en-CA"/>
        </w:rPr>
        <w:t>TAV</w:t>
      </w:r>
      <w:r w:rsidR="007039A0" w:rsidRPr="000804FA">
        <w:rPr>
          <w:color w:val="000000" w:themeColor="text1"/>
          <w:lang w:val="en-CA"/>
        </w:rPr>
        <w:t>R</w:t>
      </w:r>
      <w:r w:rsidR="00C53C37" w:rsidRPr="000804FA">
        <w:rPr>
          <w:color w:val="000000" w:themeColor="text1"/>
          <w:lang w:val="en-CA"/>
        </w:rPr>
        <w:t xml:space="preserve"> and SAVR should be based on shared decision-making using an individual</w:t>
      </w:r>
      <w:r w:rsidR="00CB7E91" w:rsidRPr="000804FA">
        <w:rPr>
          <w:color w:val="000000" w:themeColor="text1"/>
          <w:lang w:val="en-CA"/>
        </w:rPr>
        <w:t>ized</w:t>
      </w:r>
      <w:r w:rsidR="00C53C37" w:rsidRPr="000804FA">
        <w:rPr>
          <w:color w:val="000000" w:themeColor="text1"/>
          <w:lang w:val="en-CA"/>
        </w:rPr>
        <w:t xml:space="preserve"> approach</w:t>
      </w:r>
      <w:r w:rsidR="00BE2F9A" w:rsidRPr="000804FA">
        <w:rPr>
          <w:color w:val="000000" w:themeColor="text1"/>
          <w:lang w:val="en-CA"/>
        </w:rPr>
        <w:t xml:space="preserve"> (</w:t>
      </w:r>
      <w:r w:rsidR="00BE2F9A" w:rsidRPr="000804FA">
        <w:rPr>
          <w:b/>
          <w:bCs/>
          <w:i/>
          <w:iCs/>
          <w:color w:val="000000" w:themeColor="text1"/>
          <w:lang w:val="en-CA"/>
        </w:rPr>
        <w:t>Figure 2</w:t>
      </w:r>
      <w:r w:rsidR="00BE2F9A" w:rsidRPr="000804FA">
        <w:rPr>
          <w:color w:val="000000" w:themeColor="text1"/>
          <w:lang w:val="en-CA"/>
        </w:rPr>
        <w:t>)</w:t>
      </w:r>
      <w:r w:rsidR="00C53C37" w:rsidRPr="000804FA">
        <w:rPr>
          <w:color w:val="000000" w:themeColor="text1"/>
          <w:lang w:val="en-CA"/>
        </w:rPr>
        <w:t xml:space="preserve">. </w:t>
      </w:r>
      <w:r w:rsidR="00CB7E91" w:rsidRPr="000804FA">
        <w:rPr>
          <w:color w:val="000000" w:themeColor="text1"/>
          <w:lang w:val="en-CA"/>
        </w:rPr>
        <w:t>However, the</w:t>
      </w:r>
      <w:r w:rsidR="00C53C37" w:rsidRPr="000804FA">
        <w:rPr>
          <w:color w:val="000000" w:themeColor="text1"/>
          <w:lang w:val="en-CA"/>
        </w:rPr>
        <w:t xml:space="preserve"> American g</w:t>
      </w:r>
      <w:r w:rsidRPr="000804FA">
        <w:rPr>
          <w:color w:val="000000" w:themeColor="text1"/>
          <w:lang w:val="en-CA"/>
        </w:rPr>
        <w:t xml:space="preserve">uidelines </w:t>
      </w:r>
      <w:r w:rsidR="00CB7E91" w:rsidRPr="000804FA">
        <w:rPr>
          <w:color w:val="000000" w:themeColor="text1"/>
          <w:lang w:val="en-CA"/>
        </w:rPr>
        <w:t xml:space="preserve">consider only </w:t>
      </w:r>
      <w:r w:rsidRPr="000804FA">
        <w:rPr>
          <w:color w:val="000000" w:themeColor="text1"/>
          <w:lang w:val="en-CA"/>
        </w:rPr>
        <w:t>patients &lt;</w:t>
      </w:r>
      <w:r w:rsidR="00C53C37" w:rsidRPr="000804FA">
        <w:rPr>
          <w:color w:val="000000" w:themeColor="text1"/>
          <w:lang w:val="en-CA"/>
        </w:rPr>
        <w:t>65</w:t>
      </w:r>
      <w:r w:rsidR="00103B71" w:rsidRPr="000804FA">
        <w:rPr>
          <w:color w:val="000000" w:themeColor="text1"/>
          <w:lang w:val="en-CA"/>
        </w:rPr>
        <w:t xml:space="preserve"> </w:t>
      </w:r>
      <w:r w:rsidR="00C53C37" w:rsidRPr="000804FA">
        <w:rPr>
          <w:color w:val="000000" w:themeColor="text1"/>
          <w:lang w:val="en-CA"/>
        </w:rPr>
        <w:t>years</w:t>
      </w:r>
      <w:r w:rsidRPr="000804FA">
        <w:rPr>
          <w:color w:val="000000" w:themeColor="text1"/>
          <w:lang w:val="en-CA"/>
        </w:rPr>
        <w:t xml:space="preserve"> old</w:t>
      </w:r>
      <w:r w:rsidR="00C53C37" w:rsidRPr="000804FA">
        <w:rPr>
          <w:color w:val="000000" w:themeColor="text1"/>
          <w:lang w:val="en-CA"/>
        </w:rPr>
        <w:t xml:space="preserve"> with life expectancy exceeding 20 years to be strict SAVR candidates, in contrast to</w:t>
      </w:r>
      <w:r w:rsidR="00103B71" w:rsidRPr="000804FA">
        <w:rPr>
          <w:color w:val="000000" w:themeColor="text1"/>
          <w:lang w:val="en-CA"/>
        </w:rPr>
        <w:t xml:space="preserve"> with</w:t>
      </w:r>
      <w:r w:rsidR="00CD78A1" w:rsidRPr="000804FA">
        <w:rPr>
          <w:color w:val="000000" w:themeColor="text1"/>
          <w:lang w:val="en-CA"/>
        </w:rPr>
        <w:t xml:space="preserve"> the</w:t>
      </w:r>
      <w:r w:rsidR="00103B71" w:rsidRPr="000804FA">
        <w:rPr>
          <w:color w:val="000000" w:themeColor="text1"/>
          <w:lang w:val="en-CA"/>
        </w:rPr>
        <w:t xml:space="preserve"> European guidelines</w:t>
      </w:r>
      <w:r w:rsidRPr="000804FA">
        <w:rPr>
          <w:color w:val="000000" w:themeColor="text1"/>
          <w:lang w:val="en-CA"/>
        </w:rPr>
        <w:t>,</w:t>
      </w:r>
      <w:r w:rsidR="00103B71" w:rsidRPr="000804FA">
        <w:rPr>
          <w:color w:val="000000" w:themeColor="text1"/>
          <w:lang w:val="en-CA"/>
        </w:rPr>
        <w:t xml:space="preserve"> which recommend SAVR for</w:t>
      </w:r>
      <w:r w:rsidR="00C53C37" w:rsidRPr="000804FA">
        <w:rPr>
          <w:color w:val="000000" w:themeColor="text1"/>
          <w:lang w:val="en-CA"/>
        </w:rPr>
        <w:t xml:space="preserve"> patients &lt;75 years</w:t>
      </w:r>
      <w:r w:rsidRPr="000804FA">
        <w:rPr>
          <w:color w:val="000000" w:themeColor="text1"/>
          <w:lang w:val="en-CA"/>
        </w:rPr>
        <w:t xml:space="preserve"> old</w:t>
      </w:r>
      <w:r w:rsidR="00C53C37" w:rsidRPr="000804FA">
        <w:rPr>
          <w:color w:val="000000" w:themeColor="text1"/>
          <w:lang w:val="en-CA"/>
        </w:rPr>
        <w:t xml:space="preserve"> with </w:t>
      </w:r>
      <w:proofErr w:type="gramStart"/>
      <w:r w:rsidR="00C53C37" w:rsidRPr="000804FA">
        <w:rPr>
          <w:color w:val="000000" w:themeColor="text1"/>
          <w:lang w:val="en-CA"/>
        </w:rPr>
        <w:t>a</w:t>
      </w:r>
      <w:proofErr w:type="gramEnd"/>
      <w:r w:rsidR="00C53C37" w:rsidRPr="000804FA">
        <w:rPr>
          <w:color w:val="000000" w:themeColor="text1"/>
          <w:lang w:val="en-CA"/>
        </w:rPr>
        <w:t xml:space="preserve"> STS-PROM/</w:t>
      </w:r>
      <w:r w:rsidR="00CB7E91" w:rsidRPr="000804FA">
        <w:rPr>
          <w:color w:val="000000" w:themeColor="text1"/>
          <w:lang w:val="en-CA"/>
        </w:rPr>
        <w:t xml:space="preserve"> </w:t>
      </w:r>
      <w:proofErr w:type="spellStart"/>
      <w:r w:rsidR="00CB7E91" w:rsidRPr="000804FA">
        <w:rPr>
          <w:color w:val="000000" w:themeColor="text1"/>
          <w:lang w:val="en-CA"/>
        </w:rPr>
        <w:t>EuroSCORE</w:t>
      </w:r>
      <w:proofErr w:type="spellEnd"/>
      <w:r w:rsidR="00C53C37" w:rsidRPr="000804FA">
        <w:rPr>
          <w:color w:val="000000" w:themeColor="text1"/>
          <w:lang w:val="en-CA"/>
        </w:rPr>
        <w:t xml:space="preserve"> &lt;4 or operable patients if femoral </w:t>
      </w:r>
      <w:r w:rsidR="003B03BB" w:rsidRPr="000804FA">
        <w:rPr>
          <w:color w:val="000000" w:themeColor="text1"/>
          <w:lang w:val="en-CA"/>
        </w:rPr>
        <w:t>TAVR</w:t>
      </w:r>
      <w:r w:rsidR="00C53C37" w:rsidRPr="000804FA">
        <w:rPr>
          <w:color w:val="000000" w:themeColor="text1"/>
          <w:lang w:val="en-CA"/>
        </w:rPr>
        <w:t xml:space="preserve"> was not possible. Candidates for </w:t>
      </w:r>
      <w:r w:rsidR="003B03BB" w:rsidRPr="000804FA">
        <w:rPr>
          <w:color w:val="000000" w:themeColor="text1"/>
          <w:lang w:val="en-CA"/>
        </w:rPr>
        <w:t>TAVR</w:t>
      </w:r>
      <w:r w:rsidR="00C53C37" w:rsidRPr="000804FA">
        <w:rPr>
          <w:color w:val="000000" w:themeColor="text1"/>
          <w:lang w:val="en-CA"/>
        </w:rPr>
        <w:t xml:space="preserve"> should be, those older than 75 years or with high-risk</w:t>
      </w:r>
      <w:r w:rsidR="00E444D5" w:rsidRPr="000804FA">
        <w:rPr>
          <w:color w:val="000000" w:themeColor="text1"/>
          <w:lang w:val="en-CA"/>
        </w:rPr>
        <w:t xml:space="preserve"> (STS-Prom/</w:t>
      </w:r>
      <w:proofErr w:type="spellStart"/>
      <w:r w:rsidR="00E444D5" w:rsidRPr="000804FA">
        <w:rPr>
          <w:color w:val="000000" w:themeColor="text1"/>
          <w:lang w:val="en-CA"/>
        </w:rPr>
        <w:t>EuroS</w:t>
      </w:r>
      <w:r w:rsidR="00CB7E91" w:rsidRPr="000804FA">
        <w:rPr>
          <w:color w:val="000000" w:themeColor="text1"/>
          <w:lang w:val="en-CA"/>
        </w:rPr>
        <w:t>CORE</w:t>
      </w:r>
      <w:proofErr w:type="spellEnd"/>
      <w:r w:rsidR="00E444D5" w:rsidRPr="000804FA">
        <w:rPr>
          <w:color w:val="000000" w:themeColor="text1"/>
          <w:lang w:val="en-CA"/>
        </w:rPr>
        <w:t xml:space="preserve"> &gt;8) in the </w:t>
      </w:r>
      <w:r w:rsidR="00E444D5" w:rsidRPr="000804FA">
        <w:rPr>
          <w:color w:val="000000" w:themeColor="text1"/>
          <w:lang w:val="en-CA"/>
        </w:rPr>
        <w:lastRenderedPageBreak/>
        <w:t>European guidelines</w:t>
      </w:r>
      <w:r w:rsidR="00C53C37" w:rsidRPr="000804FA">
        <w:rPr>
          <w:color w:val="000000" w:themeColor="text1"/>
          <w:lang w:val="en-CA"/>
        </w:rPr>
        <w:t>, or those older than 80 years or with life expectancy</w:t>
      </w:r>
      <w:r w:rsidR="00E444D5" w:rsidRPr="000804FA">
        <w:rPr>
          <w:color w:val="000000" w:themeColor="text1"/>
          <w:lang w:val="en-CA"/>
        </w:rPr>
        <w:t xml:space="preserve"> </w:t>
      </w:r>
      <w:r w:rsidR="00CB7E91" w:rsidRPr="000804FA">
        <w:rPr>
          <w:color w:val="000000" w:themeColor="text1"/>
          <w:lang w:val="en-CA"/>
        </w:rPr>
        <w:t>&lt;</w:t>
      </w:r>
      <w:r w:rsidR="00C53C37" w:rsidRPr="000804FA">
        <w:rPr>
          <w:color w:val="000000" w:themeColor="text1"/>
          <w:lang w:val="en-CA"/>
        </w:rPr>
        <w:t xml:space="preserve">10 years </w:t>
      </w:r>
      <w:r w:rsidR="00E444D5" w:rsidRPr="000804FA">
        <w:rPr>
          <w:color w:val="000000" w:themeColor="text1"/>
          <w:lang w:val="en-CA"/>
        </w:rPr>
        <w:t>in the</w:t>
      </w:r>
      <w:r w:rsidR="00C53C37" w:rsidRPr="000804FA">
        <w:rPr>
          <w:color w:val="000000" w:themeColor="text1"/>
          <w:lang w:val="en-CA"/>
        </w:rPr>
        <w:t xml:space="preserve"> American guideline</w:t>
      </w:r>
      <w:r w:rsidRPr="000804FA">
        <w:rPr>
          <w:color w:val="000000" w:themeColor="text1"/>
          <w:lang w:val="en-CA"/>
        </w:rPr>
        <w:t>s</w:t>
      </w:r>
      <w:r w:rsidR="00E444D5" w:rsidRPr="000804FA">
        <w:rPr>
          <w:color w:val="000000" w:themeColor="text1"/>
          <w:lang w:val="en-CA"/>
        </w:rPr>
        <w:t>.</w:t>
      </w:r>
      <w:r w:rsidRPr="000804FA">
        <w:rPr>
          <w:color w:val="000000" w:themeColor="text1"/>
          <w:lang w:val="en-CA"/>
        </w:rPr>
        <w:t xml:space="preserve"> </w:t>
      </w:r>
      <w:r w:rsidR="00C53C37" w:rsidRPr="000804FA">
        <w:rPr>
          <w:color w:val="000000" w:themeColor="text1"/>
          <w:lang w:val="en-CA"/>
        </w:rPr>
        <w:t>Finally, the American guidelines</w:t>
      </w:r>
      <w:r w:rsidR="00C86E12" w:rsidRPr="000804FA">
        <w:rPr>
          <w:color w:val="000000" w:themeColor="text1"/>
          <w:lang w:val="en-CA"/>
        </w:rPr>
        <w:t xml:space="preserve"> </w:t>
      </w:r>
      <w:r w:rsidR="004E268C" w:rsidRPr="000804FA">
        <w:rPr>
          <w:color w:val="000000" w:themeColor="text1"/>
          <w:lang w:val="en-CA"/>
        </w:rPr>
        <w:t xml:space="preserve">clearly </w:t>
      </w:r>
      <w:r w:rsidR="00C86E12" w:rsidRPr="000804FA">
        <w:rPr>
          <w:color w:val="000000" w:themeColor="text1"/>
          <w:lang w:val="en-CA"/>
        </w:rPr>
        <w:t>underline</w:t>
      </w:r>
      <w:r w:rsidR="004E268C" w:rsidRPr="000804FA">
        <w:rPr>
          <w:color w:val="000000" w:themeColor="text1"/>
          <w:lang w:val="en-CA"/>
        </w:rPr>
        <w:t xml:space="preserve"> </w:t>
      </w:r>
      <w:r w:rsidR="00C86E12" w:rsidRPr="000804FA">
        <w:rPr>
          <w:color w:val="000000" w:themeColor="text1"/>
          <w:lang w:val="en-CA"/>
        </w:rPr>
        <w:t xml:space="preserve">that </w:t>
      </w:r>
      <w:r w:rsidR="00C86E12" w:rsidRPr="000804FA">
        <w:rPr>
          <w:rFonts w:eastAsiaTheme="minorHAnsi"/>
          <w:color w:val="000000" w:themeColor="text1"/>
          <w:lang w:val="en-US" w:eastAsia="en-US"/>
        </w:rPr>
        <w:t>the choice of prosthetic valve should be based on a shared decision-making process</w:t>
      </w:r>
      <w:r w:rsidR="00C86E12" w:rsidRPr="000804FA">
        <w:rPr>
          <w:color w:val="000000" w:themeColor="text1"/>
          <w:lang w:val="en-US"/>
        </w:rPr>
        <w:t xml:space="preserve"> (class I)</w:t>
      </w:r>
      <w:r w:rsidR="004E268C" w:rsidRPr="000804FA">
        <w:rPr>
          <w:color w:val="000000" w:themeColor="text1"/>
          <w:lang w:val="en-CA"/>
        </w:rPr>
        <w:t xml:space="preserve"> and </w:t>
      </w:r>
      <w:r w:rsidR="00C53C37" w:rsidRPr="000804FA">
        <w:rPr>
          <w:color w:val="000000" w:themeColor="text1"/>
          <w:lang w:val="en-CA"/>
        </w:rPr>
        <w:t xml:space="preserve">give a class IIb indication for the treatment with RAAS blockade in patients undergoing </w:t>
      </w:r>
      <w:r w:rsidR="003B03BB" w:rsidRPr="000804FA">
        <w:rPr>
          <w:color w:val="000000" w:themeColor="text1"/>
          <w:lang w:val="en-CA"/>
        </w:rPr>
        <w:t>TAVR</w:t>
      </w:r>
      <w:r w:rsidR="004E268C" w:rsidRPr="000804FA">
        <w:rPr>
          <w:color w:val="000000" w:themeColor="text1"/>
          <w:lang w:val="en-CA"/>
        </w:rPr>
        <w:t>.</w:t>
      </w:r>
    </w:p>
    <w:p w14:paraId="581E73D2" w14:textId="1CFED446" w:rsidR="004E268C" w:rsidRPr="000804FA" w:rsidRDefault="00CB7E91" w:rsidP="000804FA">
      <w:pPr>
        <w:pStyle w:val="ListParagraph"/>
        <w:numPr>
          <w:ilvl w:val="1"/>
          <w:numId w:val="1"/>
        </w:numPr>
        <w:spacing w:after="120" w:line="480" w:lineRule="auto"/>
        <w:jc w:val="both"/>
        <w:rPr>
          <w:rFonts w:ascii="Times New Roman" w:hAnsi="Times New Roman" w:cs="Times New Roman"/>
          <w:b/>
          <w:color w:val="000000" w:themeColor="text1"/>
          <w:sz w:val="24"/>
          <w:szCs w:val="24"/>
          <w:lang w:val="en-CA"/>
        </w:rPr>
      </w:pPr>
      <w:r w:rsidRPr="000804FA">
        <w:rPr>
          <w:rFonts w:ascii="Times New Roman" w:hAnsi="Times New Roman" w:cs="Times New Roman"/>
          <w:b/>
          <w:color w:val="000000" w:themeColor="text1"/>
          <w:sz w:val="24"/>
          <w:szCs w:val="24"/>
          <w:lang w:val="en-CA"/>
        </w:rPr>
        <w:t xml:space="preserve"> </w:t>
      </w:r>
      <w:r w:rsidR="005D7A17" w:rsidRPr="000804FA">
        <w:rPr>
          <w:rFonts w:ascii="Times New Roman" w:hAnsi="Times New Roman" w:cs="Times New Roman"/>
          <w:b/>
          <w:color w:val="000000" w:themeColor="text1"/>
          <w:sz w:val="24"/>
          <w:szCs w:val="24"/>
          <w:lang w:val="en-CA"/>
        </w:rPr>
        <w:t xml:space="preserve">Knowledge </w:t>
      </w:r>
      <w:r w:rsidR="00C53C37" w:rsidRPr="000804FA">
        <w:rPr>
          <w:rFonts w:ascii="Times New Roman" w:hAnsi="Times New Roman" w:cs="Times New Roman"/>
          <w:b/>
          <w:color w:val="000000" w:themeColor="text1"/>
          <w:sz w:val="24"/>
          <w:szCs w:val="24"/>
          <w:lang w:val="en-CA"/>
        </w:rPr>
        <w:t>Gaps</w:t>
      </w:r>
      <w:r w:rsidR="005D7A17" w:rsidRPr="000804FA">
        <w:rPr>
          <w:rFonts w:ascii="Times New Roman" w:hAnsi="Times New Roman" w:cs="Times New Roman"/>
          <w:b/>
          <w:color w:val="000000" w:themeColor="text1"/>
          <w:sz w:val="24"/>
          <w:szCs w:val="24"/>
          <w:lang w:val="en-CA"/>
        </w:rPr>
        <w:t xml:space="preserve"> and Future</w:t>
      </w:r>
      <w:r w:rsidR="0064464C" w:rsidRPr="000804FA">
        <w:rPr>
          <w:rFonts w:ascii="Times New Roman" w:hAnsi="Times New Roman" w:cs="Times New Roman"/>
          <w:b/>
          <w:color w:val="000000" w:themeColor="text1"/>
          <w:sz w:val="24"/>
          <w:szCs w:val="24"/>
          <w:lang w:val="en-CA"/>
        </w:rPr>
        <w:t xml:space="preserve"> Perspec</w:t>
      </w:r>
      <w:r w:rsidR="005D7A17" w:rsidRPr="000804FA">
        <w:rPr>
          <w:rFonts w:ascii="Times New Roman" w:hAnsi="Times New Roman" w:cs="Times New Roman"/>
          <w:b/>
          <w:color w:val="000000" w:themeColor="text1"/>
          <w:sz w:val="24"/>
          <w:szCs w:val="24"/>
          <w:lang w:val="en-CA"/>
        </w:rPr>
        <w:t>tives</w:t>
      </w:r>
    </w:p>
    <w:p w14:paraId="56B33395" w14:textId="22A021F5" w:rsidR="000052CA" w:rsidRPr="000804FA" w:rsidRDefault="005D7A17" w:rsidP="000804FA">
      <w:pPr>
        <w:spacing w:line="480" w:lineRule="auto"/>
        <w:ind w:firstLine="360"/>
        <w:contextualSpacing/>
        <w:jc w:val="both"/>
        <w:rPr>
          <w:color w:val="000000" w:themeColor="text1"/>
          <w:lang w:val="en-CA"/>
        </w:rPr>
      </w:pPr>
      <w:r w:rsidRPr="000804FA">
        <w:rPr>
          <w:color w:val="000000" w:themeColor="text1"/>
          <w:lang w:val="en-CA"/>
        </w:rPr>
        <w:t>The most important knowledge gaps and future perspectives relate to the management and</w:t>
      </w:r>
      <w:r w:rsidR="00620CA7" w:rsidRPr="000804FA">
        <w:rPr>
          <w:color w:val="000000" w:themeColor="text1"/>
          <w:lang w:val="en-CA"/>
        </w:rPr>
        <w:t xml:space="preserve"> </w:t>
      </w:r>
      <w:r w:rsidRPr="000804FA">
        <w:rPr>
          <w:color w:val="000000" w:themeColor="text1"/>
          <w:lang w:val="en-CA"/>
        </w:rPr>
        <w:t>the recommendations for AVR in asymptomatic severe AS</w:t>
      </w:r>
      <w:r w:rsidR="005E5D91" w:rsidRPr="000804FA">
        <w:rPr>
          <w:color w:val="000000" w:themeColor="text1"/>
          <w:lang w:val="en-CA"/>
        </w:rPr>
        <w:t>,</w:t>
      </w:r>
      <w:r w:rsidRPr="000804FA">
        <w:rPr>
          <w:color w:val="000000" w:themeColor="text1"/>
          <w:lang w:val="en-CA"/>
        </w:rPr>
        <w:t xml:space="preserve"> as well as in moderate AS with heart failure. Several randomized clinical trials are indeed ongoing to assess the timing of AVR in asymptomatic severe AS and</w:t>
      </w:r>
      <w:r w:rsidR="006B763C" w:rsidRPr="000804FA">
        <w:rPr>
          <w:color w:val="000000" w:themeColor="text1"/>
          <w:lang w:val="en-CA"/>
        </w:rPr>
        <w:t xml:space="preserve"> in symptomatic </w:t>
      </w:r>
      <w:r w:rsidRPr="000804FA">
        <w:rPr>
          <w:color w:val="000000" w:themeColor="text1"/>
          <w:lang w:val="en-CA"/>
        </w:rPr>
        <w:t>moderate AS</w:t>
      </w:r>
      <w:r w:rsidR="008744CB" w:rsidRPr="000804FA">
        <w:rPr>
          <w:color w:val="000000" w:themeColor="text1"/>
          <w:lang w:val="en-CA"/>
        </w:rPr>
        <w:t>.</w:t>
      </w:r>
      <w:r w:rsidR="006B763C" w:rsidRPr="000804FA">
        <w:rPr>
          <w:color w:val="000000" w:themeColor="text1"/>
          <w:lang w:val="en-CA"/>
        </w:rPr>
        <w:t xml:space="preserve"> </w:t>
      </w:r>
      <w:r w:rsidR="008744CB" w:rsidRPr="000804FA">
        <w:rPr>
          <w:color w:val="000000" w:themeColor="text1"/>
          <w:lang w:val="en-CA"/>
        </w:rPr>
        <w:t>T</w:t>
      </w:r>
      <w:r w:rsidRPr="000804FA">
        <w:rPr>
          <w:color w:val="000000" w:themeColor="text1"/>
          <w:lang w:val="en-CA"/>
        </w:rPr>
        <w:t xml:space="preserve">he results of these trials may </w:t>
      </w:r>
      <w:r w:rsidR="006B763C" w:rsidRPr="000804FA">
        <w:rPr>
          <w:color w:val="000000" w:themeColor="text1"/>
          <w:lang w:val="en-CA"/>
        </w:rPr>
        <w:t>determine a further paradigm shift in the treatment of patients with AS</w:t>
      </w:r>
      <w:r w:rsidRPr="000804FA">
        <w:rPr>
          <w:color w:val="000000" w:themeColor="text1"/>
          <w:lang w:val="en-CA"/>
        </w:rPr>
        <w:t xml:space="preserve">. </w:t>
      </w:r>
      <w:r w:rsidR="008744CB" w:rsidRPr="000804FA">
        <w:rPr>
          <w:color w:val="000000" w:themeColor="text1"/>
          <w:lang w:val="en-CA"/>
        </w:rPr>
        <w:t>Additionally,</w:t>
      </w:r>
      <w:r w:rsidR="00E5291F" w:rsidRPr="000804FA">
        <w:rPr>
          <w:color w:val="000000" w:themeColor="text1"/>
          <w:lang w:val="en-CA"/>
        </w:rPr>
        <w:t xml:space="preserve"> the guidelines should consider the role of global LV longitudinal strain measured by speckle trac</w:t>
      </w:r>
      <w:r w:rsidR="008A7165" w:rsidRPr="000804FA">
        <w:rPr>
          <w:color w:val="000000" w:themeColor="text1"/>
          <w:lang w:val="en-CA"/>
        </w:rPr>
        <w:t>k</w:t>
      </w:r>
      <w:r w:rsidR="00E5291F" w:rsidRPr="000804FA">
        <w:rPr>
          <w:color w:val="000000" w:themeColor="text1"/>
          <w:lang w:val="en-CA"/>
        </w:rPr>
        <w:t xml:space="preserve">ing, the </w:t>
      </w:r>
      <w:r w:rsidR="00A211CA" w:rsidRPr="000804FA">
        <w:rPr>
          <w:color w:val="000000" w:themeColor="text1"/>
          <w:lang w:val="en-CA"/>
        </w:rPr>
        <w:t xml:space="preserve">presence and </w:t>
      </w:r>
      <w:r w:rsidR="00E5291F" w:rsidRPr="000804FA">
        <w:rPr>
          <w:color w:val="000000" w:themeColor="text1"/>
          <w:lang w:val="en-CA"/>
        </w:rPr>
        <w:t>extent of LV myocardial fibrosis measured by cardiac magnetic resonance imaging, and the recently proposed multi-parameter cardiac damage staging</w:t>
      </w:r>
      <w:r w:rsidR="00085C67" w:rsidRPr="000804FA">
        <w:rPr>
          <w:color w:val="000000" w:themeColor="text1"/>
          <w:lang w:val="en-CA"/>
        </w:rPr>
        <w:t xml:space="preserve"> to</w:t>
      </w:r>
      <w:r w:rsidR="006B763C" w:rsidRPr="000804FA">
        <w:rPr>
          <w:color w:val="000000" w:themeColor="text1"/>
          <w:lang w:val="en-CA"/>
        </w:rPr>
        <w:t xml:space="preserve"> </w:t>
      </w:r>
      <w:r w:rsidR="00085C67" w:rsidRPr="000804FA">
        <w:rPr>
          <w:color w:val="000000" w:themeColor="text1"/>
          <w:lang w:val="en-CA"/>
        </w:rPr>
        <w:t>i</w:t>
      </w:r>
      <w:r w:rsidR="00E5291F" w:rsidRPr="000804FA">
        <w:rPr>
          <w:color w:val="000000" w:themeColor="text1"/>
          <w:lang w:val="en-CA"/>
        </w:rPr>
        <w:t>dentify the asymptomatic patients with severe AS who may benefit from an early intervention</w:t>
      </w:r>
      <w:r w:rsidR="00E00F7E" w:rsidRPr="000804FA">
        <w:rPr>
          <w:color w:val="000000" w:themeColor="text1"/>
          <w:lang w:val="en-CA"/>
        </w:rPr>
        <w:t xml:space="preserve"> </w:t>
      </w:r>
      <w:r w:rsidR="00E00F7E" w:rsidRPr="000804FA">
        <w:rPr>
          <w:color w:val="000000" w:themeColor="text1"/>
          <w:lang w:val="en-CA"/>
        </w:rPr>
        <w:fldChar w:fldCharType="begin"/>
      </w:r>
      <w:r w:rsidR="00D00075" w:rsidRPr="000804FA">
        <w:rPr>
          <w:color w:val="000000" w:themeColor="text1"/>
          <w:lang w:val="en-CA"/>
        </w:rPr>
        <w:instrText xml:space="preserve"> ADDIN ZOTERO_ITEM CSL_CITATION {"citationID":"oa1owgPm","properties":{"formattedCitation":"(3)","plainCitation":"(3)","noteIndex":0},"citationItems":[{"id":389,"uris":["http://zotero.org/users/1298974/items/FYDL7STC"],"itemData":{"id":389,"type":"article-journal","abstract":"BACKGROUND: The optimal timing of intervention in patients with asymptomatic severe aortic stenosis (AS) remains controversial.\nOBJECTIVES: This multicenter study sought to test and validate the prognostic value of the staging of cardiac damage in patients with asymptomatic moderate to severe AS.\nMETHODS: This study retrospectively analyzed the clinical, Doppler echocardiographic, and outcome data that were prospectively collected in 735 asymptomatic patients (71 ± 14 years of age; 60% men) with at least moderate AS (aortic valve area &lt;1.5 cm2) and preserved left ventricular ejection fraction (≥50%) followed in the heart valve clinics of 4 high-volume centers. Patients were classified according to the following staging classification: no cardiac damage associated with the valve stenosis (Stage 0), left ventricular damage (Stage 1), left atrial or mitral valve damage (Stage 2), pulmonary vasculature or tricuspid valve damage (Stage 3), or right ventricular damage or subclinical heart failure (Stage 4). The primary endpoint was all-cause mortality.\nRESULTS: At baseline, 89 (12%) patients were classified in Stage 0, 200 (27%) in Stage 1, 341 (46%) in Stage 2, and 105 (14%) in Stage 3 or 4. Median follow-up was 2.6 years (interquartile range: 1.1 to 5.2 years). There was a stepwise increase in mortality rates according to staging: 13% in Stage 0, 25% in Stage 1, 44% in Stage 2, and 58% in Stages 3 to 4 (p &lt; 0.0001). The staging was significantly associated with excess mortality in multivariable analysis adjusted for aortic valve replacement as a time-dependent variable (hazard ratio: 1.31 per each increase in stage; 95% CI: 1.06 to 1.61; p = 0.01), and showed incremental value to several clinical variables (net reclassification index = 0.34; p = 0.003).\nCONCLUSIONS: The new staging system characterizing the extra-aortic valve cardiac damage provides incremental prognostic value in patients with asymptomatic moderate to severe AS. This staging classification may be helpful to identify asymptomatic AS patients who may benefit from elective aortic valve replacement.","container-title":"Journal of the American College of Cardiology","DOI":"10.1016/j.jacc.2019.04.065","ISSN":"1558-3597","issue":"4","journalAbbreviation":"J Am Coll Cardiol","language":"eng","note":"PMID: 31345430","page":"550-563","source":"PubMed","title":"Staging Cardiac Damage in Patients With Asymptomatic Aortic Valve Stenosis","volume":"74","author":[{"family":"Tastet","given":"Lionel"},{"family":"Tribouilloy","given":"Christophe"},{"family":"Maréchaux","given":"Sylvestre"},{"family":"Vollema","given":"E. Mara"},{"family":"Delgado","given":"Victoria"},{"family":"Salaun","given":"Erwan"},{"family":"Shen","given":"Mylène"},{"family":"Capoulade","given":"Romain"},{"family":"Clavel","given":"Marie-Annick"},{"family":"Arsenault","given":"Marie"},{"family":"Bédard","given":"Élisabeth"},{"family":"Bernier","given":"Mathieu"},{"family":"Beaudoin","given":"Jonathan"},{"family":"Narula","given":"Jagat"},{"family":"Lancellotti","given":"Patrizio"},{"family":"Bax","given":"Jeroen J."},{"family":"Généreux","given":"Philippe"},{"family":"Pibarot","given":"Philippe"}],"issued":{"date-parts":[["2019",7,30]]}}}],"schema":"https://github.com/citation-style-language/schema/raw/master/csl-citation.json"} </w:instrText>
      </w:r>
      <w:r w:rsidR="00E00F7E" w:rsidRPr="000804FA">
        <w:rPr>
          <w:color w:val="000000" w:themeColor="text1"/>
          <w:lang w:val="en-CA"/>
        </w:rPr>
        <w:fldChar w:fldCharType="separate"/>
      </w:r>
      <w:r w:rsidR="00D00075" w:rsidRPr="000804FA">
        <w:rPr>
          <w:noProof/>
          <w:color w:val="000000" w:themeColor="text1"/>
          <w:lang w:val="en-CA"/>
        </w:rPr>
        <w:t>(3)</w:t>
      </w:r>
      <w:r w:rsidR="00E00F7E" w:rsidRPr="000804FA">
        <w:rPr>
          <w:color w:val="000000" w:themeColor="text1"/>
          <w:lang w:val="en-CA"/>
        </w:rPr>
        <w:fldChar w:fldCharType="end"/>
      </w:r>
      <w:r w:rsidR="00673EB6" w:rsidRPr="000804FA">
        <w:rPr>
          <w:color w:val="000000" w:themeColor="text1"/>
          <w:lang w:val="en-CA"/>
        </w:rPr>
        <w:t xml:space="preserve">. </w:t>
      </w:r>
      <w:r w:rsidR="00AE64B5" w:rsidRPr="000804FA">
        <w:rPr>
          <w:color w:val="000000" w:themeColor="text1"/>
          <w:lang w:val="en-GB"/>
        </w:rPr>
        <w:t>The role of blood biomarkers in assessing the severity of VHD and related cardiac damage or predicting the risk of progression and the occurrence of adverse events in patients with VHD before and after AVR should be explored</w:t>
      </w:r>
      <w:r w:rsidR="00AE64B5" w:rsidRPr="000804FA">
        <w:rPr>
          <w:i/>
          <w:iCs/>
          <w:color w:val="000000" w:themeColor="text1"/>
          <w:lang w:val="en-GB"/>
        </w:rPr>
        <w:t xml:space="preserve">. </w:t>
      </w:r>
      <w:r w:rsidR="008744CB" w:rsidRPr="000804FA">
        <w:rPr>
          <w:color w:val="000000" w:themeColor="text1"/>
          <w:lang w:val="en-CA"/>
        </w:rPr>
        <w:t>Machine-learning based identification of phenotypes</w:t>
      </w:r>
      <w:r w:rsidR="003B5E65" w:rsidRPr="000804FA">
        <w:rPr>
          <w:color w:val="000000" w:themeColor="text1"/>
          <w:lang w:val="en-CA"/>
        </w:rPr>
        <w:t xml:space="preserve">, based on clinical and imaging variables, is also an emerging </w:t>
      </w:r>
      <w:r w:rsidR="00CB7E91" w:rsidRPr="000804FA">
        <w:rPr>
          <w:color w:val="000000" w:themeColor="text1"/>
          <w:lang w:val="en-CA"/>
        </w:rPr>
        <w:t>tool that</w:t>
      </w:r>
      <w:r w:rsidR="003B5E65" w:rsidRPr="000804FA">
        <w:rPr>
          <w:color w:val="000000" w:themeColor="text1"/>
          <w:lang w:val="en-CA"/>
        </w:rPr>
        <w:t xml:space="preserve"> may aid in risk-</w:t>
      </w:r>
      <w:r w:rsidR="00CB7E91" w:rsidRPr="000804FA">
        <w:rPr>
          <w:color w:val="000000" w:themeColor="text1"/>
          <w:lang w:val="en-CA"/>
        </w:rPr>
        <w:t>stratification</w:t>
      </w:r>
      <w:r w:rsidR="003B5E65" w:rsidRPr="000804FA">
        <w:rPr>
          <w:color w:val="000000" w:themeColor="text1"/>
          <w:lang w:val="en-CA"/>
        </w:rPr>
        <w:t xml:space="preserve">, </w:t>
      </w:r>
      <w:r w:rsidR="00CB7E91" w:rsidRPr="000804FA">
        <w:rPr>
          <w:color w:val="000000" w:themeColor="text1"/>
          <w:lang w:val="en-CA"/>
        </w:rPr>
        <w:t xml:space="preserve">optimization of the </w:t>
      </w:r>
      <w:r w:rsidR="003B5E65" w:rsidRPr="000804FA">
        <w:rPr>
          <w:color w:val="000000" w:themeColor="text1"/>
          <w:lang w:val="en-CA"/>
        </w:rPr>
        <w:t xml:space="preserve">timing of </w:t>
      </w:r>
      <w:r w:rsidR="00126B9F" w:rsidRPr="000804FA">
        <w:rPr>
          <w:color w:val="000000" w:themeColor="text1"/>
          <w:lang w:val="en-CA"/>
        </w:rPr>
        <w:t>intervention,</w:t>
      </w:r>
      <w:r w:rsidR="003B5E65" w:rsidRPr="000804FA">
        <w:rPr>
          <w:color w:val="000000" w:themeColor="text1"/>
          <w:lang w:val="en-CA"/>
        </w:rPr>
        <w:t xml:space="preserve"> and </w:t>
      </w:r>
      <w:r w:rsidR="00CB7E91" w:rsidRPr="000804FA">
        <w:rPr>
          <w:color w:val="000000" w:themeColor="text1"/>
          <w:lang w:val="en-CA"/>
        </w:rPr>
        <w:t>even in prediction of</w:t>
      </w:r>
      <w:r w:rsidR="003B5E65" w:rsidRPr="000804FA">
        <w:rPr>
          <w:color w:val="000000" w:themeColor="text1"/>
          <w:lang w:val="en-CA"/>
        </w:rPr>
        <w:t xml:space="preserve"> futility of AVR</w:t>
      </w:r>
      <w:r w:rsidR="005B383C" w:rsidRPr="000804FA">
        <w:rPr>
          <w:color w:val="000000" w:themeColor="text1"/>
          <w:lang w:val="en-CA"/>
        </w:rPr>
        <w:t xml:space="preserve"> </w:t>
      </w:r>
      <w:r w:rsidR="005B383C" w:rsidRPr="000804FA">
        <w:rPr>
          <w:color w:val="000000" w:themeColor="text1"/>
          <w:lang w:val="en-CA"/>
        </w:rPr>
        <w:fldChar w:fldCharType="begin"/>
      </w:r>
      <w:r w:rsidR="00D00075" w:rsidRPr="000804FA">
        <w:rPr>
          <w:color w:val="000000" w:themeColor="text1"/>
          <w:lang w:val="en-CA"/>
        </w:rPr>
        <w:instrText xml:space="preserve"> ADDIN ZOTERO_ITEM CSL_CITATION {"citationID":"rQG2XKEz","properties":{"formattedCitation":"(4,5)","plainCitation":"(4,5)","noteIndex":0},"citationItems":[{"id":397,"uris":["http://zotero.org/users/1298974/items/C6ZESN7S"],"itemData":{"id":397,"type":"article-journal","abstract":"OBJECTIVES: The aim of this retrospective analysis was to categorize patients with severe aortic stenosis (AS) according to clinical presentation by applying unsupervised machine learning.\nBACKGROUND: Patients with severe AS present with heterogeneous clinical phenotypes, depending on disease progression and comorbidities.\nMETHODS: Unsupervised agglomerative clustering was applied to preprocedural data from echocardiography and right heart catheterization from 366 consecutively enrolled patients undergoing transcatheter aortic valve replacement for severe AS.\nRESULTS: Cluster analysis revealed 4 distinct phenotypes. Patients in cluster 1 (n = 164 [44.8%]), serving as a reference, presented with regular cardiac function and without pulmonary hypertension (PH). Accordingly, estimated 2-year survival was 90.6% (95% CI: 85.8%-95.6%). Clusters 2 (n = 66 [18.0%]) and 4 (n = 91 [24.9%]) both comprised patients with postcapillary PH. Yet patients in cluster 2 with preserved left and right ventricular structure and function showed a similar survival as those in cluster 1 (2-year survival 85.8%; 95% CI: 76.9%-95.6%), whereas patients in cluster 4 with dilatation of all heart chambers and a high prevalence of mitral and tricuspid regurgitation (12.5% and 14.8%, respectively) died more often (2-year survival 74.9% [95% CI: 65.9%-85.2%]; HR for 2-year mortality: 2.8 [95% CI: 1.4-5.5]). Patients in cluster 3, the smallest (n = 45 [12.3%]), displayed the most extensive disease characteristics (ie, left and right heart dysfunction together with combined pre- and postcapillary PH), and 2-year survival was accordingly reduced (77.3% [95% CI: 65.2%-91.6%]; HR for 2-year mortality: 2.6 [95% CI: 1.1-6.2]).\nCONCLUSIONS: Unsupervised machine learning aids in capturing complex clinical presentations as observed in patients with severe AS. Importantly, structural alterations in left and right heart morphology, possibly due to genetic predisposition, constitute an equally sensitive indicator of poor prognosis compared with high-grade PH.","container-title":"JACC. Cardiovascular interventions","DOI":"10.1016/j.jcin.2021.08.034","ISSN":"1876-7605","issue":"19","journalAbbreviation":"JACC Cardiovasc Interv","language":"eng","note":"PMID: 34620391","page":"2127-2140","source":"PubMed","title":"Subphenotyping of Patients With Aortic Stenosis by Unsupervised Agglomerative Clustering of Echocardiographic and Hemodynamic Data","volume":"14","author":[{"family":"Lachmann","given":"Mark"},{"family":"Rippen","given":"Elena"},{"family":"Schuster","given":"Tibor"},{"family":"Xhepa","given":"Erion"},{"family":"Scheidt","given":"Moritz","non-dropping-particle":"von"},{"family":"Pellegrini","given":"Costanza"},{"family":"Trenkwalder","given":"Teresa"},{"family":"Rheude","given":"Tobias"},{"family":"Stundl","given":"Anja"},{"family":"Thalmann","given":"Ruth"},{"family":"Harmsen","given":"Gerhard"},{"family":"Yuasa","given":"Shinsuke"},{"family":"Schunkert","given":"Heribert"},{"family":"Kastrati","given":"Adnan"},{"family":"Laugwitz","given":"Karl-Ludwig"},{"family":"Kupatt","given":"Christian"},{"family":"Joner","given":"Michael"}],"issued":{"date-parts":[["2021",10,11]]}}},{"id":395,"uris":["http://zotero.org/users/1298974/items/LRHM79E9"],"itemData":{"id":395,"type":"article-journal","abstract":"BACKGROUND: The impact of aortic valve replacement (AVR) on progression/regression of extra-valvular cardiac damage and its association with subsequent prognosis is unknown.\nOBJECTIVES: To describe evolution of cardiac damage post-AVR and its association with outcomes.\nMETHODS: Patients undergoing transcatheter or surgical AVR from the PARTNER 2 and 3 trials were pooled and classified by cardiac damage stage at baseline and 1-year (Stage 0, no damage; Stage 1, left ventricular damage; Stage 2, left atrial or mitral valve damage; Stage 3, pulmonary vasculature or tricuspid valve damage; Stage 4, right ventricular damage). Proportional hazards models determined association between change in cardiac damage post-AVR and 2-year outcomes.\nRESULTS: Among 1974 patients, 121 (6.1%) were Stage 0, 287 (14.5%) Stage 1, 1014 (51.4%) Stage 2, 412 (20.9%) Stage 3, and 140 (7.1%) Stage 4 pre-AVR. Two-year mortality was associated with extent of cardiac damage at baseline and 1-year. Compared with baseline, cardiac damage improved in </w:instrText>
      </w:r>
      <w:r w:rsidR="00D00075" w:rsidRPr="000804FA">
        <w:rPr>
          <w:rFonts w:ascii="Cambria Math" w:hAnsi="Cambria Math" w:cs="Cambria Math"/>
          <w:color w:val="000000" w:themeColor="text1"/>
          <w:lang w:val="en-CA"/>
        </w:rPr>
        <w:instrText>∼</w:instrText>
      </w:r>
      <w:r w:rsidR="00D00075" w:rsidRPr="000804FA">
        <w:rPr>
          <w:color w:val="000000" w:themeColor="text1"/>
          <w:lang w:val="en-CA"/>
        </w:rPr>
        <w:instrText xml:space="preserve">15%, remained unchanged in </w:instrText>
      </w:r>
      <w:r w:rsidR="00D00075" w:rsidRPr="000804FA">
        <w:rPr>
          <w:rFonts w:ascii="Cambria Math" w:hAnsi="Cambria Math" w:cs="Cambria Math"/>
          <w:color w:val="000000" w:themeColor="text1"/>
          <w:lang w:val="en-CA"/>
        </w:rPr>
        <w:instrText>∼</w:instrText>
      </w:r>
      <w:r w:rsidR="00D00075" w:rsidRPr="000804FA">
        <w:rPr>
          <w:color w:val="000000" w:themeColor="text1"/>
          <w:lang w:val="en-CA"/>
        </w:rPr>
        <w:instrText xml:space="preserve">60%, and worsened in </w:instrText>
      </w:r>
      <w:r w:rsidR="00D00075" w:rsidRPr="000804FA">
        <w:rPr>
          <w:rFonts w:ascii="Cambria Math" w:hAnsi="Cambria Math" w:cs="Cambria Math"/>
          <w:color w:val="000000" w:themeColor="text1"/>
          <w:lang w:val="en-CA"/>
        </w:rPr>
        <w:instrText>∼</w:instrText>
      </w:r>
      <w:r w:rsidR="00D00075" w:rsidRPr="000804FA">
        <w:rPr>
          <w:color w:val="000000" w:themeColor="text1"/>
          <w:lang w:val="en-CA"/>
        </w:rPr>
        <w:instrText xml:space="preserve">25% of patients at 1-year. One-year change in cardiac damage stage was independently associated with mortality (adjHR for improvement=0.49; no change=1.0; worsening=1.95; p=0.023) and composite of death or heart failure hospitalization (adjHR for improvement=0.60; no change=1.0; worsening=2.25; p&lt;0.001) at 2 years.\nCONCLUSION: In patients undergoing AVR, extent of extravalvular cardiac damage at baseline and its change at 1-year have important prognostic implications. These findings suggest that earlier detection of AS and intervention prior to development of irreversible cardiac damage may improve global cardiac function and prognosis.","container-title":"Journal of the American College of Cardiology","DOI":"10.1016/j.jacc.2022.05.006","ISSN":"1558-3597","journalAbbreviation":"J Am Coll Cardiol","language":"eng","note":"PMID: 35595203","page":"S0735-1097(22)04979-8","source":"PubMed","title":"Evolution and Prognostic Impact of Cardiac Damage After Aortic Valve Replacement","author":[{"family":"Généreux","given":"Philippe"},{"family":"Pibarot","given":"Philippe"},{"family":"Redfors","given":"Björn"},{"family":"Bax","given":"Jeroen J."},{"family":"Zhao","given":"Yanglu"},{"family":"Makkar","given":"Raj R."},{"family":"Kapadia","given":"Samir"},{"family":"Thourani","given":"Vinod H."},{"family":"Mack","given":"Michael J."},{"family":"Nazif","given":"Tamim M."},{"family":"Lindman","given":"Brian R."},{"family":"Babaliaros","given":"Vasilis"},{"family":"Vincent","given":"Flavien"},{"family":"Russo","given":"Mark"},{"family":"McCabe","given":"James M."},{"family":"Gillam","given":"Linda D."},{"family":"Alu","given":"Maria C."},{"family":"Hahn","given":"Rebecca T."},{"family":"Webb","given":"John G."},{"family":"Leon","given":"Martin B."},{"family":"Cohen","given":"David J."}],"issued":{"date-parts":[["2022",5,14]]}}}],"schema":"https://github.com/citation-style-language/schema/raw/master/csl-citation.json"} </w:instrText>
      </w:r>
      <w:r w:rsidR="005B383C" w:rsidRPr="000804FA">
        <w:rPr>
          <w:color w:val="000000" w:themeColor="text1"/>
          <w:lang w:val="en-CA"/>
        </w:rPr>
        <w:fldChar w:fldCharType="separate"/>
      </w:r>
      <w:r w:rsidR="00D00075" w:rsidRPr="000804FA">
        <w:rPr>
          <w:noProof/>
          <w:color w:val="000000" w:themeColor="text1"/>
          <w:lang w:val="en-CA"/>
        </w:rPr>
        <w:t>(4,5)</w:t>
      </w:r>
      <w:r w:rsidR="005B383C" w:rsidRPr="000804FA">
        <w:rPr>
          <w:color w:val="000000" w:themeColor="text1"/>
          <w:lang w:val="en-CA"/>
        </w:rPr>
        <w:fldChar w:fldCharType="end"/>
      </w:r>
      <w:r w:rsidR="005B383C" w:rsidRPr="000804FA">
        <w:rPr>
          <w:color w:val="000000" w:themeColor="text1"/>
          <w:lang w:val="en-CA"/>
        </w:rPr>
        <w:t>.</w:t>
      </w:r>
      <w:r w:rsidR="008154D6" w:rsidRPr="000804FA">
        <w:rPr>
          <w:color w:val="000000" w:themeColor="text1"/>
          <w:lang w:val="en-CA"/>
        </w:rPr>
        <w:t xml:space="preserve"> </w:t>
      </w:r>
      <w:r w:rsidR="008B1051" w:rsidRPr="000804FA">
        <w:rPr>
          <w:color w:val="000000" w:themeColor="text1"/>
          <w:lang w:val="en-CA"/>
        </w:rPr>
        <w:t xml:space="preserve">Finally, more data and recommendations for the selection of </w:t>
      </w:r>
      <w:r w:rsidR="003B03BB" w:rsidRPr="000804FA">
        <w:rPr>
          <w:color w:val="000000" w:themeColor="text1"/>
          <w:lang w:val="en-CA"/>
        </w:rPr>
        <w:t>TAVR</w:t>
      </w:r>
      <w:r w:rsidR="008B1051" w:rsidRPr="000804FA">
        <w:rPr>
          <w:color w:val="000000" w:themeColor="text1"/>
          <w:lang w:val="en-CA"/>
        </w:rPr>
        <w:t xml:space="preserve"> versus SAVR in patients with bicuspid aortic valve disease</w:t>
      </w:r>
      <w:r w:rsidR="00AC20EA" w:rsidRPr="000804FA">
        <w:rPr>
          <w:color w:val="000000" w:themeColor="text1"/>
          <w:lang w:val="en-CA"/>
        </w:rPr>
        <w:t xml:space="preserve"> are needed</w:t>
      </w:r>
      <w:r w:rsidR="008B1051" w:rsidRPr="000804FA">
        <w:rPr>
          <w:color w:val="000000" w:themeColor="text1"/>
          <w:lang w:val="en-CA"/>
        </w:rPr>
        <w:t>.</w:t>
      </w:r>
    </w:p>
    <w:p w14:paraId="5112198E" w14:textId="77777777" w:rsidR="00794A72" w:rsidRPr="000804FA" w:rsidRDefault="00794A72" w:rsidP="000804FA">
      <w:pPr>
        <w:spacing w:line="480" w:lineRule="auto"/>
        <w:contextualSpacing/>
        <w:jc w:val="both"/>
        <w:rPr>
          <w:color w:val="000000" w:themeColor="text1"/>
          <w:lang w:val="en-CA"/>
        </w:rPr>
      </w:pPr>
    </w:p>
    <w:p w14:paraId="4E91BF51" w14:textId="01E4CD63" w:rsidR="00185651" w:rsidRPr="000804FA" w:rsidRDefault="00185651" w:rsidP="000804FA">
      <w:pPr>
        <w:pStyle w:val="ListParagraph"/>
        <w:numPr>
          <w:ilvl w:val="0"/>
          <w:numId w:val="1"/>
        </w:numPr>
        <w:spacing w:after="120" w:line="480" w:lineRule="auto"/>
        <w:jc w:val="both"/>
        <w:rPr>
          <w:rFonts w:ascii="Times New Roman" w:hAnsi="Times New Roman" w:cs="Times New Roman"/>
          <w:b/>
          <w:color w:val="000000" w:themeColor="text1"/>
          <w:sz w:val="24"/>
          <w:szCs w:val="24"/>
          <w:lang w:val="en-GB"/>
        </w:rPr>
      </w:pPr>
      <w:r w:rsidRPr="000804FA">
        <w:rPr>
          <w:rFonts w:ascii="Times New Roman" w:hAnsi="Times New Roman" w:cs="Times New Roman"/>
          <w:b/>
          <w:color w:val="000000" w:themeColor="text1"/>
          <w:sz w:val="24"/>
          <w:szCs w:val="24"/>
          <w:lang w:val="en-CA"/>
        </w:rPr>
        <w:t>CHRONIC AORTIC REGURGITATION</w:t>
      </w:r>
      <w:r w:rsidR="00103B71" w:rsidRPr="000804FA">
        <w:rPr>
          <w:rFonts w:ascii="Times New Roman" w:hAnsi="Times New Roman" w:cs="Times New Roman"/>
          <w:b/>
          <w:color w:val="000000" w:themeColor="text1"/>
          <w:sz w:val="24"/>
          <w:szCs w:val="24"/>
          <w:lang w:val="en-CA"/>
        </w:rPr>
        <w:t xml:space="preserve"> </w:t>
      </w:r>
    </w:p>
    <w:p w14:paraId="486573D2" w14:textId="73D0FDC6" w:rsidR="00185651" w:rsidRPr="000804FA" w:rsidRDefault="00185651" w:rsidP="000804FA">
      <w:pPr>
        <w:pStyle w:val="ListParagraph"/>
        <w:numPr>
          <w:ilvl w:val="1"/>
          <w:numId w:val="2"/>
        </w:numPr>
        <w:spacing w:after="120" w:line="480" w:lineRule="auto"/>
        <w:jc w:val="both"/>
        <w:rPr>
          <w:rFonts w:ascii="Times New Roman" w:hAnsi="Times New Roman" w:cs="Times New Roman"/>
          <w:b/>
          <w:bCs/>
          <w:color w:val="000000" w:themeColor="text1"/>
          <w:sz w:val="24"/>
          <w:szCs w:val="24"/>
          <w:lang w:val="en-CA"/>
        </w:rPr>
      </w:pPr>
      <w:r w:rsidRPr="000804FA">
        <w:rPr>
          <w:rFonts w:ascii="Times New Roman" w:hAnsi="Times New Roman" w:cs="Times New Roman"/>
          <w:b/>
          <w:bCs/>
          <w:color w:val="000000" w:themeColor="text1"/>
          <w:sz w:val="24"/>
          <w:szCs w:val="24"/>
          <w:lang w:val="en-CA"/>
        </w:rPr>
        <w:t xml:space="preserve"> Co</w:t>
      </w:r>
      <w:r w:rsidR="004B22FA" w:rsidRPr="000804FA">
        <w:rPr>
          <w:rFonts w:ascii="Times New Roman" w:hAnsi="Times New Roman" w:cs="Times New Roman"/>
          <w:b/>
          <w:bCs/>
          <w:color w:val="000000" w:themeColor="text1"/>
          <w:sz w:val="24"/>
          <w:szCs w:val="24"/>
          <w:lang w:val="en-CA"/>
        </w:rPr>
        <w:t>nsistencies between guidelines</w:t>
      </w:r>
    </w:p>
    <w:p w14:paraId="31900BE7" w14:textId="77777777" w:rsidR="00957D1F" w:rsidRPr="000804FA" w:rsidRDefault="00052B7D" w:rsidP="000804FA">
      <w:pPr>
        <w:spacing w:line="480" w:lineRule="auto"/>
        <w:contextualSpacing/>
        <w:jc w:val="both"/>
        <w:rPr>
          <w:color w:val="000000" w:themeColor="text1"/>
          <w:lang w:val="en-CA"/>
        </w:rPr>
      </w:pPr>
      <w:r w:rsidRPr="000804FA">
        <w:rPr>
          <w:color w:val="000000" w:themeColor="text1"/>
          <w:lang w:val="en-CA"/>
        </w:rPr>
        <w:lastRenderedPageBreak/>
        <w:t xml:space="preserve">There </w:t>
      </w:r>
      <w:r w:rsidR="00AC20EA" w:rsidRPr="000804FA">
        <w:rPr>
          <w:color w:val="000000" w:themeColor="text1"/>
          <w:lang w:val="en-CA"/>
        </w:rPr>
        <w:t>is</w:t>
      </w:r>
      <w:r w:rsidRPr="000804FA">
        <w:rPr>
          <w:color w:val="000000" w:themeColor="text1"/>
          <w:lang w:val="en-CA"/>
        </w:rPr>
        <w:t xml:space="preserve"> good </w:t>
      </w:r>
      <w:r w:rsidR="00185651" w:rsidRPr="000804FA">
        <w:rPr>
          <w:color w:val="000000" w:themeColor="text1"/>
          <w:lang w:val="en-CA"/>
        </w:rPr>
        <w:t>agreement between</w:t>
      </w:r>
      <w:r w:rsidRPr="000804FA">
        <w:rPr>
          <w:color w:val="000000" w:themeColor="text1"/>
          <w:lang w:val="en-CA"/>
        </w:rPr>
        <w:t xml:space="preserve"> </w:t>
      </w:r>
      <w:r w:rsidR="00185651" w:rsidRPr="000804FA">
        <w:rPr>
          <w:color w:val="000000" w:themeColor="text1"/>
          <w:lang w:val="en-CA"/>
        </w:rPr>
        <w:t>guidelines in recommending surgery for</w:t>
      </w:r>
      <w:r w:rsidR="006B763C" w:rsidRPr="000804FA">
        <w:rPr>
          <w:color w:val="000000" w:themeColor="text1"/>
          <w:lang w:val="en-CA"/>
        </w:rPr>
        <w:t xml:space="preserve"> </w:t>
      </w:r>
      <w:r w:rsidR="00185651" w:rsidRPr="000804FA">
        <w:rPr>
          <w:color w:val="000000" w:themeColor="text1"/>
          <w:lang w:val="en-CA"/>
        </w:rPr>
        <w:t>symptomatic patient</w:t>
      </w:r>
      <w:r w:rsidR="006B763C" w:rsidRPr="000804FA">
        <w:rPr>
          <w:color w:val="000000" w:themeColor="text1"/>
          <w:lang w:val="en-CA"/>
        </w:rPr>
        <w:t>s</w:t>
      </w:r>
      <w:r w:rsidR="00185651" w:rsidRPr="000804FA">
        <w:rPr>
          <w:color w:val="000000" w:themeColor="text1"/>
          <w:lang w:val="en-CA"/>
        </w:rPr>
        <w:t xml:space="preserve"> with severe aortic regurgitation (AR)) and for asymptomatic</w:t>
      </w:r>
      <w:r w:rsidR="006B763C" w:rsidRPr="000804FA">
        <w:rPr>
          <w:color w:val="000000" w:themeColor="text1"/>
          <w:lang w:val="en-CA"/>
        </w:rPr>
        <w:t xml:space="preserve"> patients with severe</w:t>
      </w:r>
      <w:r w:rsidR="00185651" w:rsidRPr="000804FA">
        <w:rPr>
          <w:color w:val="000000" w:themeColor="text1"/>
          <w:lang w:val="en-CA"/>
        </w:rPr>
        <w:t xml:space="preserve"> AR</w:t>
      </w:r>
      <w:r w:rsidR="006B763C" w:rsidRPr="000804FA">
        <w:rPr>
          <w:color w:val="000000" w:themeColor="text1"/>
          <w:lang w:val="en-CA"/>
        </w:rPr>
        <w:t xml:space="preserve"> with signs of LV overload, or in patients requiring</w:t>
      </w:r>
      <w:r w:rsidR="00185651" w:rsidRPr="000804FA">
        <w:rPr>
          <w:color w:val="000000" w:themeColor="text1"/>
          <w:lang w:val="en-CA"/>
        </w:rPr>
        <w:t xml:space="preserve"> cardiac surgery for another condition </w:t>
      </w:r>
      <w:r w:rsidR="00CB7E91" w:rsidRPr="000804FA">
        <w:rPr>
          <w:b/>
          <w:i/>
          <w:color w:val="000000" w:themeColor="text1"/>
          <w:lang w:val="en-CA"/>
        </w:rPr>
        <w:t>(Table 2)</w:t>
      </w:r>
      <w:r w:rsidR="00185651" w:rsidRPr="000804FA">
        <w:rPr>
          <w:color w:val="000000" w:themeColor="text1"/>
          <w:lang w:val="en-CA"/>
        </w:rPr>
        <w:t>.</w:t>
      </w:r>
      <w:r w:rsidR="0064464C" w:rsidRPr="000804FA">
        <w:rPr>
          <w:color w:val="000000" w:themeColor="text1"/>
          <w:lang w:val="en-CA"/>
        </w:rPr>
        <w:t xml:space="preserve"> </w:t>
      </w:r>
      <w:r w:rsidR="00957D1F" w:rsidRPr="000804FA">
        <w:rPr>
          <w:color w:val="000000" w:themeColor="text1"/>
          <w:lang w:val="en-CA"/>
        </w:rPr>
        <w:t>There is an agreement for left ventricular end-systolic diameter (LVESD) &gt;50mm in both guidelines, and for indexed LVESD of &gt;25mm/m</w:t>
      </w:r>
      <w:r w:rsidR="00957D1F" w:rsidRPr="000804FA">
        <w:rPr>
          <w:color w:val="000000" w:themeColor="text1"/>
          <w:vertAlign w:val="superscript"/>
          <w:lang w:val="en-CA"/>
        </w:rPr>
        <w:t>2</w:t>
      </w:r>
      <w:r w:rsidR="00957D1F" w:rsidRPr="000804FA">
        <w:rPr>
          <w:color w:val="000000" w:themeColor="text1"/>
          <w:lang w:val="en-CA"/>
        </w:rPr>
        <w:t xml:space="preserve"> in American and European guidelines. In addition, </w:t>
      </w:r>
      <w:r w:rsidR="00957D1F" w:rsidRPr="000804FA">
        <w:rPr>
          <w:color w:val="000000" w:themeColor="text1"/>
          <w:lang w:val="en-US"/>
        </w:rPr>
        <w:t xml:space="preserve">the </w:t>
      </w:r>
      <w:r w:rsidR="00957D1F" w:rsidRPr="000804FA">
        <w:rPr>
          <w:color w:val="000000" w:themeColor="text1"/>
          <w:lang w:val="en-CA"/>
        </w:rPr>
        <w:t xml:space="preserve">European guidelines suggest that surgery may be considered in asymptomatic patients with an indexed LVESD &gt;20mm/m² if surgery is at low risk. </w:t>
      </w:r>
    </w:p>
    <w:p w14:paraId="1A054BBB" w14:textId="7E25593B" w:rsidR="00185651" w:rsidRPr="000804FA" w:rsidRDefault="00185651" w:rsidP="000804FA">
      <w:pPr>
        <w:spacing w:after="120" w:line="480" w:lineRule="auto"/>
        <w:ind w:firstLine="360"/>
        <w:contextualSpacing/>
        <w:jc w:val="both"/>
        <w:rPr>
          <w:color w:val="000000" w:themeColor="text1"/>
          <w:lang w:val="en-CA"/>
        </w:rPr>
      </w:pPr>
    </w:p>
    <w:p w14:paraId="58370200" w14:textId="5581272F" w:rsidR="00185651" w:rsidRPr="000804FA" w:rsidRDefault="00185651" w:rsidP="000804FA">
      <w:pPr>
        <w:pStyle w:val="ListParagraph"/>
        <w:numPr>
          <w:ilvl w:val="1"/>
          <w:numId w:val="2"/>
        </w:numPr>
        <w:spacing w:after="0" w:line="480" w:lineRule="auto"/>
        <w:jc w:val="both"/>
        <w:rPr>
          <w:rFonts w:ascii="Times New Roman" w:hAnsi="Times New Roman" w:cs="Times New Roman"/>
          <w:b/>
          <w:bCs/>
          <w:color w:val="000000" w:themeColor="text1"/>
          <w:sz w:val="24"/>
          <w:szCs w:val="24"/>
          <w:lang w:val="en-CA"/>
        </w:rPr>
      </w:pPr>
      <w:r w:rsidRPr="000804FA">
        <w:rPr>
          <w:rFonts w:ascii="Times New Roman" w:hAnsi="Times New Roman" w:cs="Times New Roman"/>
          <w:b/>
          <w:bCs/>
          <w:color w:val="000000" w:themeColor="text1"/>
          <w:sz w:val="24"/>
          <w:szCs w:val="24"/>
          <w:lang w:val="en-CA"/>
        </w:rPr>
        <w:t xml:space="preserve"> Discrepancies between guidelines </w:t>
      </w:r>
    </w:p>
    <w:p w14:paraId="5C88DE31" w14:textId="3987E247" w:rsidR="00F54657" w:rsidRPr="000804FA" w:rsidRDefault="00185651" w:rsidP="000804FA">
      <w:pPr>
        <w:spacing w:line="480" w:lineRule="auto"/>
        <w:ind w:firstLine="360"/>
        <w:contextualSpacing/>
        <w:jc w:val="both"/>
        <w:rPr>
          <w:color w:val="000000" w:themeColor="text1"/>
          <w:lang w:val="en-CA"/>
        </w:rPr>
      </w:pPr>
      <w:r w:rsidRPr="000804FA">
        <w:rPr>
          <w:color w:val="000000" w:themeColor="text1"/>
          <w:lang w:val="en-CA"/>
        </w:rPr>
        <w:t>Minor differences exist in the</w:t>
      </w:r>
      <w:r w:rsidR="00A70E24" w:rsidRPr="000804FA">
        <w:rPr>
          <w:color w:val="000000" w:themeColor="text1"/>
          <w:lang w:val="en-CA"/>
        </w:rPr>
        <w:t xml:space="preserve"> recommendation</w:t>
      </w:r>
      <w:r w:rsidR="002B5C7A" w:rsidRPr="000804FA">
        <w:rPr>
          <w:color w:val="000000" w:themeColor="text1"/>
          <w:lang w:val="en-CA"/>
        </w:rPr>
        <w:t>s</w:t>
      </w:r>
      <w:r w:rsidR="00A70E24" w:rsidRPr="000804FA">
        <w:rPr>
          <w:color w:val="000000" w:themeColor="text1"/>
          <w:lang w:val="en-CA"/>
        </w:rPr>
        <w:t xml:space="preserve"> for the</w:t>
      </w:r>
      <w:r w:rsidRPr="000804FA">
        <w:rPr>
          <w:color w:val="000000" w:themeColor="text1"/>
          <w:lang w:val="en-CA"/>
        </w:rPr>
        <w:t xml:space="preserve"> management of asymptomatic patient</w:t>
      </w:r>
      <w:r w:rsidR="00CD78A1" w:rsidRPr="000804FA">
        <w:rPr>
          <w:color w:val="000000" w:themeColor="text1"/>
          <w:lang w:val="en-US"/>
        </w:rPr>
        <w:t>s</w:t>
      </w:r>
      <w:r w:rsidRPr="000804FA">
        <w:rPr>
          <w:color w:val="000000" w:themeColor="text1"/>
          <w:lang w:val="en-CA"/>
        </w:rPr>
        <w:t xml:space="preserve"> with severe AR</w:t>
      </w:r>
      <w:r w:rsidR="00247818" w:rsidRPr="000804FA">
        <w:rPr>
          <w:color w:val="000000" w:themeColor="text1"/>
          <w:lang w:val="en-CA"/>
        </w:rPr>
        <w:t xml:space="preserve"> </w:t>
      </w:r>
      <w:r w:rsidR="00247818" w:rsidRPr="000804FA">
        <w:rPr>
          <w:b/>
          <w:i/>
          <w:color w:val="000000" w:themeColor="text1"/>
          <w:lang w:val="en-CA"/>
        </w:rPr>
        <w:t>(Table 2)</w:t>
      </w:r>
      <w:r w:rsidRPr="000804FA">
        <w:rPr>
          <w:color w:val="000000" w:themeColor="text1"/>
          <w:lang w:val="en-CA"/>
        </w:rPr>
        <w:t xml:space="preserve">. </w:t>
      </w:r>
      <w:r w:rsidR="00F3203F" w:rsidRPr="000804FA">
        <w:rPr>
          <w:color w:val="000000" w:themeColor="text1"/>
          <w:lang w:val="en-US"/>
        </w:rPr>
        <w:t>While both</w:t>
      </w:r>
      <w:r w:rsidR="00DD2784" w:rsidRPr="000804FA">
        <w:rPr>
          <w:color w:val="000000" w:themeColor="text1"/>
          <w:lang w:val="en-US"/>
        </w:rPr>
        <w:t xml:space="preserve"> guidelines agree that patients with LVEF&lt;50% should be referred for surgery (class I), the American guidelines extend this indication to patients with LVEF between 50</w:t>
      </w:r>
      <w:r w:rsidR="00A211CA" w:rsidRPr="000804FA">
        <w:rPr>
          <w:color w:val="000000" w:themeColor="text1"/>
          <w:lang w:val="en-US"/>
        </w:rPr>
        <w:t>%</w:t>
      </w:r>
      <w:r w:rsidR="00DD2784" w:rsidRPr="000804FA">
        <w:rPr>
          <w:color w:val="000000" w:themeColor="text1"/>
          <w:lang w:val="en-US"/>
        </w:rPr>
        <w:t xml:space="preserve"> and 55%. In contrast the E</w:t>
      </w:r>
      <w:r w:rsidR="00033708" w:rsidRPr="000804FA">
        <w:rPr>
          <w:color w:val="000000" w:themeColor="text1"/>
          <w:lang w:val="en-US"/>
        </w:rPr>
        <w:t>uropean</w:t>
      </w:r>
      <w:r w:rsidR="00DD2784" w:rsidRPr="000804FA">
        <w:rPr>
          <w:color w:val="000000" w:themeColor="text1"/>
          <w:lang w:val="en-US"/>
        </w:rPr>
        <w:t xml:space="preserve"> guidelines propose that surgery only may be considered in this subgroup</w:t>
      </w:r>
      <w:r w:rsidR="00473FF6" w:rsidRPr="000804FA">
        <w:rPr>
          <w:color w:val="000000" w:themeColor="text1"/>
          <w:lang w:val="en-CA"/>
        </w:rPr>
        <w:t xml:space="preserve"> (class IIb)</w:t>
      </w:r>
      <w:r w:rsidRPr="000804FA">
        <w:rPr>
          <w:color w:val="000000" w:themeColor="text1"/>
          <w:lang w:val="en-CA"/>
        </w:rPr>
        <w:t>.</w:t>
      </w:r>
      <w:r w:rsidR="0064464C" w:rsidRPr="000804FA">
        <w:rPr>
          <w:color w:val="000000" w:themeColor="text1"/>
          <w:lang w:val="en-CA"/>
        </w:rPr>
        <w:t xml:space="preserve"> </w:t>
      </w:r>
    </w:p>
    <w:p w14:paraId="5205379B" w14:textId="254BE670" w:rsidR="00185651" w:rsidRPr="000804FA" w:rsidRDefault="0064464C" w:rsidP="000804FA">
      <w:pPr>
        <w:spacing w:line="480" w:lineRule="auto"/>
        <w:ind w:firstLine="708"/>
        <w:contextualSpacing/>
        <w:jc w:val="both"/>
        <w:rPr>
          <w:color w:val="000000" w:themeColor="text1"/>
          <w:lang w:val="en-CA"/>
        </w:rPr>
      </w:pPr>
      <w:r w:rsidRPr="000804FA">
        <w:rPr>
          <w:color w:val="000000" w:themeColor="text1"/>
          <w:lang w:val="en-CA"/>
        </w:rPr>
        <w:t xml:space="preserve">For </w:t>
      </w:r>
      <w:r w:rsidR="00185651" w:rsidRPr="000804FA">
        <w:rPr>
          <w:color w:val="000000" w:themeColor="text1"/>
          <w:lang w:val="en-CA"/>
        </w:rPr>
        <w:t>patient</w:t>
      </w:r>
      <w:r w:rsidRPr="000804FA">
        <w:rPr>
          <w:color w:val="000000" w:themeColor="text1"/>
          <w:lang w:val="en-CA"/>
        </w:rPr>
        <w:t>s</w:t>
      </w:r>
      <w:r w:rsidR="00185651" w:rsidRPr="000804FA">
        <w:rPr>
          <w:color w:val="000000" w:themeColor="text1"/>
          <w:lang w:val="en-CA"/>
        </w:rPr>
        <w:t xml:space="preserve"> with moderate AR undergoing cardiac surgery for another reason</w:t>
      </w:r>
      <w:r w:rsidRPr="000804FA">
        <w:rPr>
          <w:color w:val="000000" w:themeColor="text1"/>
          <w:lang w:val="en-CA"/>
        </w:rPr>
        <w:t xml:space="preserve">, </w:t>
      </w:r>
      <w:r w:rsidR="009F323F" w:rsidRPr="000804FA">
        <w:rPr>
          <w:color w:val="000000" w:themeColor="text1"/>
          <w:lang w:val="en-CA"/>
        </w:rPr>
        <w:t>American</w:t>
      </w:r>
      <w:r w:rsidR="00185651" w:rsidRPr="000804FA">
        <w:rPr>
          <w:color w:val="000000" w:themeColor="text1"/>
          <w:lang w:val="en-CA"/>
        </w:rPr>
        <w:t xml:space="preserve"> guidelines </w:t>
      </w:r>
      <w:r w:rsidRPr="000804FA">
        <w:rPr>
          <w:color w:val="000000" w:themeColor="text1"/>
          <w:lang w:val="en-CA"/>
        </w:rPr>
        <w:t xml:space="preserve">recommend </w:t>
      </w:r>
      <w:r w:rsidR="00AC02F8" w:rsidRPr="000804FA">
        <w:rPr>
          <w:color w:val="000000" w:themeColor="text1"/>
          <w:lang w:val="en-CA"/>
        </w:rPr>
        <w:t>surgery</w:t>
      </w:r>
      <w:r w:rsidRPr="000804FA">
        <w:rPr>
          <w:color w:val="000000" w:themeColor="text1"/>
          <w:lang w:val="en-CA"/>
        </w:rPr>
        <w:t xml:space="preserve"> (class </w:t>
      </w:r>
      <w:proofErr w:type="spellStart"/>
      <w:r w:rsidRPr="000804FA">
        <w:rPr>
          <w:color w:val="000000" w:themeColor="text1"/>
          <w:lang w:val="en-CA"/>
        </w:rPr>
        <w:t>IIa</w:t>
      </w:r>
      <w:proofErr w:type="spellEnd"/>
      <w:r w:rsidR="002C7846" w:rsidRPr="000804FA">
        <w:rPr>
          <w:color w:val="000000" w:themeColor="text1"/>
          <w:lang w:val="en-CA"/>
        </w:rPr>
        <w:t>)</w:t>
      </w:r>
      <w:r w:rsidRPr="000804FA">
        <w:rPr>
          <w:color w:val="000000" w:themeColor="text1"/>
          <w:lang w:val="en-CA"/>
        </w:rPr>
        <w:t>,</w:t>
      </w:r>
      <w:r w:rsidR="002C7846" w:rsidRPr="000804FA">
        <w:rPr>
          <w:color w:val="000000" w:themeColor="text1"/>
          <w:lang w:val="en-CA"/>
        </w:rPr>
        <w:t xml:space="preserve"> whe</w:t>
      </w:r>
      <w:r w:rsidRPr="000804FA">
        <w:rPr>
          <w:color w:val="000000" w:themeColor="text1"/>
          <w:lang w:val="en-CA"/>
        </w:rPr>
        <w:t>reas</w:t>
      </w:r>
      <w:r w:rsidR="00185651" w:rsidRPr="000804FA">
        <w:rPr>
          <w:color w:val="000000" w:themeColor="text1"/>
          <w:lang w:val="en-CA"/>
        </w:rPr>
        <w:t xml:space="preserve"> E</w:t>
      </w:r>
      <w:r w:rsidR="00033708" w:rsidRPr="000804FA">
        <w:rPr>
          <w:color w:val="000000" w:themeColor="text1"/>
          <w:lang w:val="en-CA"/>
        </w:rPr>
        <w:t>uropean</w:t>
      </w:r>
      <w:r w:rsidR="00185651" w:rsidRPr="000804FA">
        <w:rPr>
          <w:color w:val="000000" w:themeColor="text1"/>
          <w:lang w:val="en-CA"/>
        </w:rPr>
        <w:t xml:space="preserve"> guidelines </w:t>
      </w:r>
      <w:r w:rsidR="00BD2978" w:rsidRPr="000804FA">
        <w:rPr>
          <w:color w:val="000000" w:themeColor="text1"/>
          <w:lang w:val="en-CA"/>
        </w:rPr>
        <w:t xml:space="preserve">recommend </w:t>
      </w:r>
      <w:r w:rsidR="00247818" w:rsidRPr="000804FA">
        <w:rPr>
          <w:color w:val="000000" w:themeColor="text1"/>
          <w:lang w:val="en-CA"/>
        </w:rPr>
        <w:t>Heart Team discussion</w:t>
      </w:r>
      <w:r w:rsidR="00185651" w:rsidRPr="000804FA">
        <w:rPr>
          <w:color w:val="000000" w:themeColor="text1"/>
          <w:lang w:val="en-CA"/>
        </w:rPr>
        <w:t xml:space="preserve"> </w:t>
      </w:r>
      <w:r w:rsidR="00282F12" w:rsidRPr="000804FA">
        <w:rPr>
          <w:b/>
          <w:i/>
          <w:color w:val="000000" w:themeColor="text1"/>
          <w:lang w:val="en-CA"/>
        </w:rPr>
        <w:t>(Table 2)</w:t>
      </w:r>
      <w:r w:rsidR="006A61B8" w:rsidRPr="000804FA">
        <w:rPr>
          <w:color w:val="000000" w:themeColor="text1"/>
          <w:lang w:val="en-CA"/>
        </w:rPr>
        <w:t xml:space="preserve">. </w:t>
      </w:r>
      <w:r w:rsidR="007637F0" w:rsidRPr="000804FA">
        <w:rPr>
          <w:color w:val="000000" w:themeColor="text1"/>
          <w:lang w:val="en-CA"/>
        </w:rPr>
        <w:t>American</w:t>
      </w:r>
      <w:r w:rsidR="00185651" w:rsidRPr="000804FA">
        <w:rPr>
          <w:color w:val="000000" w:themeColor="text1"/>
          <w:lang w:val="en-CA"/>
        </w:rPr>
        <w:t xml:space="preserve"> guidelines </w:t>
      </w:r>
      <w:r w:rsidR="00AC02F8" w:rsidRPr="000804FA">
        <w:rPr>
          <w:color w:val="000000" w:themeColor="text1"/>
          <w:lang w:val="en-CA"/>
        </w:rPr>
        <w:t xml:space="preserve">recommend surgery (class IIb) for asymptomatic patients with severe AR who </w:t>
      </w:r>
      <w:r w:rsidR="00616885" w:rsidRPr="000804FA">
        <w:rPr>
          <w:color w:val="000000" w:themeColor="text1"/>
          <w:lang w:val="en-US"/>
        </w:rPr>
        <w:t xml:space="preserve">demonstrate </w:t>
      </w:r>
      <w:r w:rsidR="00185651" w:rsidRPr="000804FA">
        <w:rPr>
          <w:color w:val="000000" w:themeColor="text1"/>
          <w:lang w:val="en-CA"/>
        </w:rPr>
        <w:t xml:space="preserve">a progressive decline in LVEF in three serial echocardiograms studies. This is not considered in </w:t>
      </w:r>
      <w:r w:rsidR="007637F0" w:rsidRPr="000804FA">
        <w:rPr>
          <w:color w:val="000000" w:themeColor="text1"/>
          <w:lang w:val="en-CA"/>
        </w:rPr>
        <w:t>Europe</w:t>
      </w:r>
      <w:r w:rsidR="00724B7F" w:rsidRPr="000804FA">
        <w:rPr>
          <w:color w:val="000000" w:themeColor="text1"/>
          <w:lang w:val="en-CA"/>
        </w:rPr>
        <w:t>a</w:t>
      </w:r>
      <w:r w:rsidR="007637F0" w:rsidRPr="000804FA">
        <w:rPr>
          <w:color w:val="000000" w:themeColor="text1"/>
          <w:lang w:val="en-CA"/>
        </w:rPr>
        <w:t>n</w:t>
      </w:r>
      <w:r w:rsidR="00185651" w:rsidRPr="000804FA">
        <w:rPr>
          <w:color w:val="000000" w:themeColor="text1"/>
          <w:lang w:val="en-CA"/>
        </w:rPr>
        <w:t xml:space="preserve"> guidelines. </w:t>
      </w:r>
    </w:p>
    <w:p w14:paraId="37F3AE45" w14:textId="7F7CD71C" w:rsidR="00185651" w:rsidRPr="000804FA" w:rsidRDefault="00185651" w:rsidP="000804FA">
      <w:pPr>
        <w:spacing w:line="480" w:lineRule="auto"/>
        <w:ind w:firstLine="360"/>
        <w:contextualSpacing/>
        <w:jc w:val="both"/>
        <w:rPr>
          <w:color w:val="000000" w:themeColor="text1"/>
          <w:lang w:val="en-CA"/>
        </w:rPr>
      </w:pPr>
      <w:r w:rsidRPr="000804FA">
        <w:rPr>
          <w:color w:val="000000" w:themeColor="text1"/>
          <w:lang w:val="en-CA"/>
        </w:rPr>
        <w:t xml:space="preserve">Finally, the </w:t>
      </w:r>
      <w:r w:rsidR="007637F0" w:rsidRPr="000804FA">
        <w:rPr>
          <w:color w:val="000000" w:themeColor="text1"/>
          <w:lang w:val="en-CA"/>
        </w:rPr>
        <w:t>Europe</w:t>
      </w:r>
      <w:r w:rsidR="006A61B8" w:rsidRPr="000804FA">
        <w:rPr>
          <w:color w:val="000000" w:themeColor="text1"/>
          <w:lang w:val="en-CA"/>
        </w:rPr>
        <w:t>a</w:t>
      </w:r>
      <w:r w:rsidR="007637F0" w:rsidRPr="000804FA">
        <w:rPr>
          <w:color w:val="000000" w:themeColor="text1"/>
          <w:lang w:val="en-CA"/>
        </w:rPr>
        <w:t>n</w:t>
      </w:r>
      <w:r w:rsidRPr="000804FA">
        <w:rPr>
          <w:color w:val="000000" w:themeColor="text1"/>
          <w:lang w:val="en-CA"/>
        </w:rPr>
        <w:t xml:space="preserve"> </w:t>
      </w:r>
      <w:r w:rsidR="007637F0" w:rsidRPr="000804FA">
        <w:rPr>
          <w:color w:val="000000" w:themeColor="text1"/>
          <w:lang w:val="en-CA"/>
        </w:rPr>
        <w:t xml:space="preserve">guidelines </w:t>
      </w:r>
      <w:r w:rsidRPr="000804FA">
        <w:rPr>
          <w:color w:val="000000" w:themeColor="text1"/>
          <w:lang w:val="en-CA"/>
        </w:rPr>
        <w:t xml:space="preserve">discuss whether aortic valve repair should be offered, limiting the indication to selected patients in experienced </w:t>
      </w:r>
      <w:r w:rsidR="006716D0" w:rsidRPr="000804FA">
        <w:rPr>
          <w:color w:val="000000" w:themeColor="text1"/>
          <w:lang w:val="en-CA"/>
        </w:rPr>
        <w:t>centers</w:t>
      </w:r>
      <w:r w:rsidRPr="000804FA">
        <w:rPr>
          <w:color w:val="000000" w:themeColor="text1"/>
          <w:lang w:val="en-CA"/>
        </w:rPr>
        <w:t xml:space="preserve">. This </w:t>
      </w:r>
      <w:r w:rsidR="00AC02F8" w:rsidRPr="000804FA">
        <w:rPr>
          <w:color w:val="000000" w:themeColor="text1"/>
          <w:lang w:val="en-CA"/>
        </w:rPr>
        <w:t xml:space="preserve">aspect </w:t>
      </w:r>
      <w:r w:rsidRPr="000804FA">
        <w:rPr>
          <w:color w:val="000000" w:themeColor="text1"/>
          <w:lang w:val="en-CA"/>
        </w:rPr>
        <w:t xml:space="preserve">is not </w:t>
      </w:r>
      <w:r w:rsidR="00AC02F8" w:rsidRPr="000804FA">
        <w:rPr>
          <w:color w:val="000000" w:themeColor="text1"/>
          <w:lang w:val="en-CA"/>
        </w:rPr>
        <w:t xml:space="preserve">addressed </w:t>
      </w:r>
      <w:r w:rsidRPr="000804FA">
        <w:rPr>
          <w:color w:val="000000" w:themeColor="text1"/>
          <w:lang w:val="en-CA"/>
        </w:rPr>
        <w:t xml:space="preserve">in </w:t>
      </w:r>
      <w:r w:rsidR="00AC02F8" w:rsidRPr="000804FA">
        <w:rPr>
          <w:color w:val="000000" w:themeColor="text1"/>
          <w:lang w:val="en-CA"/>
        </w:rPr>
        <w:t xml:space="preserve">the </w:t>
      </w:r>
      <w:r w:rsidR="007637F0" w:rsidRPr="000804FA">
        <w:rPr>
          <w:color w:val="000000" w:themeColor="text1"/>
          <w:lang w:val="en-CA"/>
        </w:rPr>
        <w:t>American</w:t>
      </w:r>
      <w:r w:rsidRPr="000804FA">
        <w:rPr>
          <w:color w:val="000000" w:themeColor="text1"/>
          <w:lang w:val="en-CA"/>
        </w:rPr>
        <w:t xml:space="preserve"> guidelines. </w:t>
      </w:r>
      <w:r w:rsidR="006A61B8" w:rsidRPr="000804FA">
        <w:rPr>
          <w:color w:val="000000" w:themeColor="text1"/>
          <w:lang w:val="en-CA"/>
        </w:rPr>
        <w:t>American guidelines do not recommend (C</w:t>
      </w:r>
      <w:r w:rsidR="00FF0F39" w:rsidRPr="000804FA">
        <w:rPr>
          <w:color w:val="000000" w:themeColor="text1"/>
          <w:lang w:val="en-CA"/>
        </w:rPr>
        <w:t>lass III</w:t>
      </w:r>
      <w:r w:rsidR="006A61B8" w:rsidRPr="000804FA">
        <w:rPr>
          <w:color w:val="000000" w:themeColor="text1"/>
          <w:lang w:val="en-CA"/>
        </w:rPr>
        <w:t xml:space="preserve">) </w:t>
      </w:r>
      <w:r w:rsidR="003B03BB" w:rsidRPr="000804FA">
        <w:rPr>
          <w:color w:val="000000" w:themeColor="text1"/>
          <w:lang w:val="en-CA"/>
        </w:rPr>
        <w:t>TAVR</w:t>
      </w:r>
      <w:r w:rsidR="006A61B8" w:rsidRPr="000804FA">
        <w:rPr>
          <w:color w:val="000000" w:themeColor="text1"/>
          <w:lang w:val="en-CA"/>
        </w:rPr>
        <w:t xml:space="preserve"> in</w:t>
      </w:r>
      <w:r w:rsidRPr="000804FA">
        <w:rPr>
          <w:color w:val="000000" w:themeColor="text1"/>
          <w:lang w:val="en-CA"/>
        </w:rPr>
        <w:t xml:space="preserve"> patients </w:t>
      </w:r>
      <w:r w:rsidR="006A61B8" w:rsidRPr="000804FA">
        <w:rPr>
          <w:color w:val="000000" w:themeColor="text1"/>
          <w:lang w:val="en-CA"/>
        </w:rPr>
        <w:t>with isolated AR who are</w:t>
      </w:r>
      <w:r w:rsidR="007B70FD" w:rsidRPr="000804FA">
        <w:rPr>
          <w:color w:val="000000" w:themeColor="text1"/>
          <w:lang w:val="en-CA"/>
        </w:rPr>
        <w:t xml:space="preserve"> at</w:t>
      </w:r>
      <w:r w:rsidR="006A61B8" w:rsidRPr="000804FA">
        <w:rPr>
          <w:color w:val="000000" w:themeColor="text1"/>
          <w:lang w:val="en-CA"/>
        </w:rPr>
        <w:t xml:space="preserve"> </w:t>
      </w:r>
      <w:r w:rsidR="007B70FD" w:rsidRPr="000804FA">
        <w:rPr>
          <w:color w:val="000000" w:themeColor="text1"/>
          <w:lang w:val="en-CA"/>
        </w:rPr>
        <w:t xml:space="preserve">low </w:t>
      </w:r>
      <w:r w:rsidR="006A61B8" w:rsidRPr="000804FA">
        <w:rPr>
          <w:color w:val="000000" w:themeColor="text1"/>
          <w:lang w:val="en-CA"/>
        </w:rPr>
        <w:t>surgical</w:t>
      </w:r>
      <w:r w:rsidR="007B70FD" w:rsidRPr="000804FA">
        <w:rPr>
          <w:color w:val="000000" w:themeColor="text1"/>
          <w:lang w:val="en-CA"/>
        </w:rPr>
        <w:t xml:space="preserve"> risk</w:t>
      </w:r>
      <w:r w:rsidR="006A61B8" w:rsidRPr="000804FA">
        <w:rPr>
          <w:color w:val="000000" w:themeColor="text1"/>
          <w:lang w:val="en-CA"/>
        </w:rPr>
        <w:t>.</w:t>
      </w:r>
    </w:p>
    <w:p w14:paraId="4410C204" w14:textId="40EFA862" w:rsidR="002C7846" w:rsidRPr="000804FA" w:rsidRDefault="002C7846" w:rsidP="000804FA">
      <w:pPr>
        <w:pStyle w:val="ListParagraph"/>
        <w:numPr>
          <w:ilvl w:val="1"/>
          <w:numId w:val="1"/>
        </w:numPr>
        <w:spacing w:after="120" w:line="480" w:lineRule="auto"/>
        <w:jc w:val="both"/>
        <w:rPr>
          <w:rFonts w:ascii="Times New Roman" w:hAnsi="Times New Roman" w:cs="Times New Roman"/>
          <w:b/>
          <w:color w:val="000000" w:themeColor="text1"/>
          <w:sz w:val="24"/>
          <w:szCs w:val="24"/>
          <w:lang w:val="en-CA"/>
        </w:rPr>
      </w:pPr>
      <w:r w:rsidRPr="000804FA">
        <w:rPr>
          <w:rFonts w:ascii="Times New Roman" w:hAnsi="Times New Roman" w:cs="Times New Roman"/>
          <w:b/>
          <w:color w:val="000000" w:themeColor="text1"/>
          <w:sz w:val="24"/>
          <w:szCs w:val="24"/>
          <w:lang w:val="en-CA"/>
        </w:rPr>
        <w:t>Knowledge Gaps and Future Perspectives</w:t>
      </w:r>
    </w:p>
    <w:p w14:paraId="5BD7B829" w14:textId="2939452E" w:rsidR="00201AD3" w:rsidRPr="000804FA" w:rsidRDefault="00201AD3" w:rsidP="000804FA">
      <w:pPr>
        <w:spacing w:line="480" w:lineRule="auto"/>
        <w:ind w:firstLine="360"/>
        <w:contextualSpacing/>
        <w:jc w:val="both"/>
        <w:rPr>
          <w:color w:val="000000" w:themeColor="text1"/>
          <w:lang w:val="en-GB"/>
        </w:rPr>
      </w:pPr>
      <w:r w:rsidRPr="000804FA">
        <w:rPr>
          <w:color w:val="000000" w:themeColor="text1"/>
          <w:lang w:val="en-GB"/>
        </w:rPr>
        <w:lastRenderedPageBreak/>
        <w:t>The role of advanced echocardiographic modalities (3D, speckle tracking, and of cardiac magnetic resonance</w:t>
      </w:r>
      <w:r w:rsidR="005F3D15" w:rsidRPr="000804FA">
        <w:rPr>
          <w:color w:val="000000" w:themeColor="text1"/>
          <w:lang w:val="en-GB"/>
        </w:rPr>
        <w:t xml:space="preserve"> </w:t>
      </w:r>
      <w:r w:rsidR="005F3D15" w:rsidRPr="000804FA">
        <w:rPr>
          <w:color w:val="000000" w:themeColor="text1"/>
          <w:lang w:val="en-GB"/>
        </w:rPr>
        <w:fldChar w:fldCharType="begin"/>
      </w:r>
      <w:r w:rsidR="00D00075" w:rsidRPr="000804FA">
        <w:rPr>
          <w:color w:val="000000" w:themeColor="text1"/>
          <w:lang w:val="en-GB"/>
        </w:rPr>
        <w:instrText xml:space="preserve"> ADDIN ZOTERO_ITEM CSL_CITATION {"citationID":"TrNsmOw7","properties":{"formattedCitation":"(6)","plainCitation":"(6)","noteIndex":0},"citationItems":[{"id":420,"uris":["http://zotero.org/users/1298974/items/XVSSE6UQ"],"itemData":{"id":420,"type":"article-journal","abstract":"Importance: Chronic aortic regurgitation (AR) causes left ventricular (LV) volume overload, which results in progressive LV remodeling negatively affecting outcomes. Whether cardiac magnetic resonance (CMR) volumetric quantification can provide incremental risk stratification over standard clinical and echocardiographic evaluation in patients with chronic moderate or severe AR is unknown.\nObjective: To compare LV remodeling measurements by CMR and echocardiography between patients with and without heart failure symptoms and to verify the association of remodeling measurements of patients with chronic moderate or severe AR but no or minimal symptoms with clinical outcomes receiving medical management.\nDesign, Setting, and Participants: This multicenter retrospective cohort study included consecutive patients with at least moderate chronic native AR evaluated by 2-dimensional transthoracic echocardiography and CMR examination within 90 days from each other between January 2012 and February 2020 at Allina Health System. Data were analyzed from June 2021 to January 2022.\nExposures: Clinical evaluation and risk stratification by CMR.\nMain Outcomes and Measures: The end point was a composite of death, heart failure hospitalization, or progression of New York Heart Association functional class while receiving medical management, censoring patients at the time of aortic valve replacement (when performed) or at the end of follow-up.\nResults: Of the 178 included patients, 119 (66.9%) were male, 158 (88.8%) presented with no or minimal symptoms (New York Heart Association class I or II), and the median (IQR) age was 58 (44-69) years. Compared with patients with no or minimal symptoms, symptomatic patients had greater LV end-systolic volume index (LVESVi) by CMR (median [IQR], 66 [46-85] mL/m2 vs 42 [30-58] mL/m2; P &lt; .001), while there were no significant differences by echocardiography (LVESVi: median [IQR], 38 [30-58] mL/m2 vs 27 [20-42] mL/m2; P = .07; LV end-systolic diameter index: median [IQR], 21 [17-25] mm/m2 vs 18 [15-22] mm/m2; P = .17). During the median (IQR) follow-up of 3.3 (1.6-5.8) years, 50 patients with no or minimal symptoms receiving medical management developed the composite end point, which, in multivariate analysis adjusted for age and EuroSCORE II, was independently associated with LVESVi of 45 mL/m2 or greater and aortic regurgitant fraction of 32% or greater, the latter adding incremental prognostic value to CMR volumetric assessment.\nConclusions and Relevance: In patients with chronic moderate or severe AR, patients presenting with heart failure symptoms have greater LVESVi by CMR than those with no or minimal symptoms. In patients with no or minimal symptoms, CMR quantification of LVESVi and AR severity may identify those at risk of death or incident heart failure and therefore should be considered in the clinical evaluation and decision-making of these patients.","container-title":"JAMA cardiology","DOI":"10.1001/jamacardio.2022.2108","ISSN":"2380-6591","journalAbbreviation":"JAMA Cardiol","language":"eng","note":"PMID: 35857306","source":"PubMed","title":"Association of Left Ventricular Remodeling Assessment by Cardiac Magnetic Resonance With Outcomes in Patients With Chronic Aortic Regurgitation","author":[{"family":"Hashimoto","given":"Go"},{"family":"Enriquez-Sarano","given":"Maurice"},{"family":"Stanberry","given":"Larissa I."},{"family":"Oh","given":"Felix"},{"family":"Wang","given":"Matthew"},{"family":"Acosta","given":"Keith"},{"family":"Sato","given":"Hirotomo"},{"family":"Lopes","given":"Bernardo B. C."},{"family":"Fukui","given":"Miho"},{"family":"Garcia","given":"Santiago"},{"family":"Goessl","given":"Mario"},{"family":"Sorajja","given":"Paul"},{"family":"Bapat","given":"Vinayak N."},{"family":"Lesser","given":"John"},{"family":"Cavalcante","given":"João L."}],"issued":{"date-parts":[["2022",7,20]]}}}],"schema":"https://github.com/citation-style-language/schema/raw/master/csl-citation.json"} </w:instrText>
      </w:r>
      <w:r w:rsidR="005F3D15" w:rsidRPr="000804FA">
        <w:rPr>
          <w:color w:val="000000" w:themeColor="text1"/>
          <w:lang w:val="en-GB"/>
        </w:rPr>
        <w:fldChar w:fldCharType="separate"/>
      </w:r>
      <w:r w:rsidR="00D00075" w:rsidRPr="000804FA">
        <w:rPr>
          <w:noProof/>
          <w:color w:val="000000" w:themeColor="text1"/>
          <w:lang w:val="en-GB"/>
        </w:rPr>
        <w:t>(6)</w:t>
      </w:r>
      <w:r w:rsidR="005F3D15" w:rsidRPr="000804FA">
        <w:rPr>
          <w:color w:val="000000" w:themeColor="text1"/>
          <w:lang w:val="en-GB"/>
        </w:rPr>
        <w:fldChar w:fldCharType="end"/>
      </w:r>
      <w:r w:rsidRPr="000804FA">
        <w:rPr>
          <w:color w:val="000000" w:themeColor="text1"/>
          <w:lang w:val="en-GB"/>
        </w:rPr>
        <w:t>)</w:t>
      </w:r>
      <w:r w:rsidR="005F3D15" w:rsidRPr="000804FA">
        <w:rPr>
          <w:color w:val="000000" w:themeColor="text1"/>
          <w:lang w:val="en-GB"/>
        </w:rPr>
        <w:t xml:space="preserve"> </w:t>
      </w:r>
      <w:r w:rsidRPr="000804FA">
        <w:rPr>
          <w:color w:val="000000" w:themeColor="text1"/>
          <w:lang w:val="en-GB"/>
        </w:rPr>
        <w:t>for assessing myocardial remodeling and for risk stratification of patients with AR is poorly described in the guidelines as we</w:t>
      </w:r>
      <w:r w:rsidR="005F3D15" w:rsidRPr="000804FA">
        <w:rPr>
          <w:color w:val="000000" w:themeColor="text1"/>
          <w:lang w:val="en-GB"/>
        </w:rPr>
        <w:t>ll as the place of exercise testing.</w:t>
      </w:r>
      <w:r w:rsidR="00247818" w:rsidRPr="000804FA">
        <w:rPr>
          <w:color w:val="000000" w:themeColor="text1"/>
          <w:lang w:val="en-GB"/>
        </w:rPr>
        <w:t xml:space="preserve"> The role and indication of surgical aortic valve repair or </w:t>
      </w:r>
      <w:r w:rsidR="003B03BB" w:rsidRPr="000804FA">
        <w:rPr>
          <w:color w:val="000000" w:themeColor="text1"/>
          <w:lang w:val="en-GB"/>
        </w:rPr>
        <w:t>TAVR</w:t>
      </w:r>
      <w:r w:rsidR="00247818" w:rsidRPr="000804FA">
        <w:rPr>
          <w:color w:val="000000" w:themeColor="text1"/>
          <w:lang w:val="en-GB"/>
        </w:rPr>
        <w:t xml:space="preserve"> versus surgical aortic valve replacement needs to be better documented. </w:t>
      </w:r>
      <w:r w:rsidR="00A70B7E" w:rsidRPr="000804FA">
        <w:rPr>
          <w:iCs/>
          <w:color w:val="000000" w:themeColor="text1"/>
          <w:lang w:val="en-GB"/>
        </w:rPr>
        <w:t>There is also a growing momentum towards assessment of LV volumes in this VHD, especially using cardiac MRI. The latter is also of interest for accurately assessing regurgitant volume, regurgitant fraction as well as interstitial myocardial content and fibrosis and should therefore be increasingly used in the future for the evaluation of patients with AR, which combines an increase in preload and afterload</w:t>
      </w:r>
      <w:r w:rsidR="00A70B7E" w:rsidRPr="000804FA">
        <w:rPr>
          <w:color w:val="000000" w:themeColor="text1"/>
          <w:lang w:val="en-GB"/>
        </w:rPr>
        <w:t>.</w:t>
      </w:r>
    </w:p>
    <w:p w14:paraId="723BEAFA" w14:textId="77777777" w:rsidR="006B1807" w:rsidRPr="000804FA" w:rsidRDefault="006B1807" w:rsidP="000804FA">
      <w:pPr>
        <w:spacing w:after="120" w:line="480" w:lineRule="auto"/>
        <w:contextualSpacing/>
        <w:jc w:val="both"/>
        <w:rPr>
          <w:color w:val="000000" w:themeColor="text1"/>
          <w:lang w:val="en-CA"/>
        </w:rPr>
      </w:pPr>
    </w:p>
    <w:p w14:paraId="28AC11D0" w14:textId="62E09B9E" w:rsidR="006B1807" w:rsidRPr="000804FA" w:rsidRDefault="006B1807" w:rsidP="000804FA">
      <w:pPr>
        <w:pStyle w:val="ListParagraph"/>
        <w:numPr>
          <w:ilvl w:val="0"/>
          <w:numId w:val="2"/>
        </w:numPr>
        <w:spacing w:after="120" w:line="480" w:lineRule="auto"/>
        <w:jc w:val="both"/>
        <w:rPr>
          <w:rFonts w:ascii="Times New Roman" w:eastAsia="Times New Roman" w:hAnsi="Times New Roman" w:cs="Times New Roman"/>
          <w:b/>
          <w:bCs/>
          <w:color w:val="000000" w:themeColor="text1"/>
          <w:sz w:val="24"/>
          <w:szCs w:val="24"/>
          <w:lang w:eastAsia="de-DE"/>
        </w:rPr>
      </w:pPr>
      <w:r w:rsidRPr="000804FA">
        <w:rPr>
          <w:rFonts w:ascii="Times New Roman" w:eastAsia="Times New Roman" w:hAnsi="Times New Roman" w:cs="Times New Roman"/>
          <w:b/>
          <w:bCs/>
          <w:color w:val="000000" w:themeColor="text1"/>
          <w:sz w:val="24"/>
          <w:szCs w:val="24"/>
          <w:lang w:val="en-CA" w:eastAsia="de-DE"/>
        </w:rPr>
        <w:t>MITRAL STENOSIS</w:t>
      </w:r>
    </w:p>
    <w:p w14:paraId="2F23F1D5" w14:textId="03C066B6" w:rsidR="006B1807" w:rsidRPr="000804FA" w:rsidRDefault="006B1807" w:rsidP="000804FA">
      <w:pPr>
        <w:spacing w:after="120" w:line="480" w:lineRule="auto"/>
        <w:contextualSpacing/>
        <w:jc w:val="both"/>
        <w:rPr>
          <w:b/>
          <w:bCs/>
          <w:color w:val="000000" w:themeColor="text1"/>
        </w:rPr>
      </w:pPr>
      <w:r w:rsidRPr="000804FA">
        <w:rPr>
          <w:b/>
          <w:bCs/>
          <w:color w:val="000000" w:themeColor="text1"/>
        </w:rPr>
        <w:t xml:space="preserve">3.1 </w:t>
      </w:r>
      <w:proofErr w:type="spellStart"/>
      <w:r w:rsidRPr="000804FA">
        <w:rPr>
          <w:b/>
          <w:bCs/>
          <w:color w:val="000000" w:themeColor="text1"/>
        </w:rPr>
        <w:t>Consistencies</w:t>
      </w:r>
      <w:proofErr w:type="spellEnd"/>
      <w:r w:rsidRPr="000804FA">
        <w:rPr>
          <w:b/>
          <w:bCs/>
          <w:color w:val="000000" w:themeColor="text1"/>
        </w:rPr>
        <w:t xml:space="preserve"> </w:t>
      </w:r>
      <w:proofErr w:type="spellStart"/>
      <w:r w:rsidRPr="000804FA">
        <w:rPr>
          <w:b/>
          <w:bCs/>
          <w:color w:val="000000" w:themeColor="text1"/>
        </w:rPr>
        <w:t>between</w:t>
      </w:r>
      <w:proofErr w:type="spellEnd"/>
      <w:r w:rsidRPr="000804FA">
        <w:rPr>
          <w:b/>
          <w:bCs/>
          <w:color w:val="000000" w:themeColor="text1"/>
        </w:rPr>
        <w:t xml:space="preserve"> guidelines. </w:t>
      </w:r>
    </w:p>
    <w:p w14:paraId="1101475B" w14:textId="3352FFF6" w:rsidR="006B1807" w:rsidRPr="000804FA" w:rsidRDefault="00F3203F" w:rsidP="000804FA">
      <w:pPr>
        <w:spacing w:after="120" w:line="480" w:lineRule="auto"/>
        <w:ind w:firstLine="708"/>
        <w:contextualSpacing/>
        <w:jc w:val="both"/>
        <w:rPr>
          <w:color w:val="000000" w:themeColor="text1"/>
          <w:lang w:val="en-CA"/>
        </w:rPr>
      </w:pPr>
      <w:r w:rsidRPr="000804FA">
        <w:rPr>
          <w:color w:val="000000" w:themeColor="text1"/>
          <w:lang w:val="en-CA"/>
        </w:rPr>
        <w:t xml:space="preserve">Both </w:t>
      </w:r>
      <w:r w:rsidR="006B1807" w:rsidRPr="000804FA">
        <w:rPr>
          <w:color w:val="000000" w:themeColor="text1"/>
          <w:lang w:val="en-CA"/>
        </w:rPr>
        <w:t>guidelines</w:t>
      </w:r>
      <w:r w:rsidR="008C6C8F" w:rsidRPr="000804FA">
        <w:rPr>
          <w:color w:val="000000" w:themeColor="text1"/>
          <w:lang w:val="en-CA"/>
        </w:rPr>
        <w:t xml:space="preserve"> </w:t>
      </w:r>
      <w:r w:rsidR="006B1807" w:rsidRPr="000804FA">
        <w:rPr>
          <w:color w:val="000000" w:themeColor="text1"/>
          <w:lang w:val="en-CA"/>
        </w:rPr>
        <w:t xml:space="preserve">agree in recommending percutaneous mitral commissurotomy (PMC) in patients with symptomatic severe </w:t>
      </w:r>
      <w:r w:rsidR="00900441" w:rsidRPr="000804FA">
        <w:rPr>
          <w:color w:val="000000" w:themeColor="text1"/>
          <w:lang w:val="en-CA"/>
        </w:rPr>
        <w:t>mitral stenosis (</w:t>
      </w:r>
      <w:r w:rsidR="00413525" w:rsidRPr="000804FA">
        <w:rPr>
          <w:color w:val="000000" w:themeColor="text1"/>
          <w:lang w:val="en-CA"/>
        </w:rPr>
        <w:t>MS</w:t>
      </w:r>
      <w:r w:rsidR="00900441" w:rsidRPr="000804FA">
        <w:rPr>
          <w:color w:val="000000" w:themeColor="text1"/>
          <w:lang w:val="en-CA"/>
        </w:rPr>
        <w:t>)</w:t>
      </w:r>
      <w:r w:rsidR="006B1807" w:rsidRPr="000804FA">
        <w:rPr>
          <w:color w:val="000000" w:themeColor="text1"/>
          <w:lang w:val="en-CA"/>
        </w:rPr>
        <w:t xml:space="preserve"> and favorable anatomy with high level of evidence.</w:t>
      </w:r>
      <w:r w:rsidRPr="000804FA">
        <w:rPr>
          <w:color w:val="000000" w:themeColor="text1"/>
          <w:lang w:val="en-CA"/>
        </w:rPr>
        <w:t xml:space="preserve"> </w:t>
      </w:r>
      <w:r w:rsidRPr="000804FA">
        <w:rPr>
          <w:iCs/>
          <w:color w:val="000000" w:themeColor="text1"/>
          <w:lang w:val="en-CA"/>
        </w:rPr>
        <w:t xml:space="preserve">Additionally, </w:t>
      </w:r>
      <w:r w:rsidR="00BA37FB" w:rsidRPr="000804FA">
        <w:rPr>
          <w:iCs/>
          <w:color w:val="000000" w:themeColor="text1"/>
          <w:lang w:val="en-CA"/>
        </w:rPr>
        <w:t>the guidelines</w:t>
      </w:r>
      <w:r w:rsidRPr="000804FA">
        <w:rPr>
          <w:iCs/>
          <w:color w:val="000000" w:themeColor="text1"/>
          <w:lang w:val="en-CA"/>
        </w:rPr>
        <w:t xml:space="preserve"> suggest considering PMC in asymptomatic patients with favorable anatomy and elevated pulmonary pressures (SPAP &gt;50mmHg at rest) (class </w:t>
      </w:r>
      <w:proofErr w:type="spellStart"/>
      <w:r w:rsidRPr="000804FA">
        <w:rPr>
          <w:iCs/>
          <w:color w:val="000000" w:themeColor="text1"/>
          <w:lang w:val="en-CA"/>
        </w:rPr>
        <w:t>IIa</w:t>
      </w:r>
      <w:proofErr w:type="spellEnd"/>
      <w:r w:rsidRPr="000804FA">
        <w:rPr>
          <w:iCs/>
          <w:color w:val="000000" w:themeColor="text1"/>
          <w:lang w:val="en-CA"/>
        </w:rPr>
        <w:t>).</w:t>
      </w:r>
      <w:r w:rsidRPr="000804FA">
        <w:rPr>
          <w:i/>
          <w:iCs/>
          <w:color w:val="000000" w:themeColor="text1"/>
          <w:lang w:val="en-CA"/>
        </w:rPr>
        <w:t xml:space="preserve"> </w:t>
      </w:r>
      <w:r w:rsidR="006B1807" w:rsidRPr="000804FA">
        <w:rPr>
          <w:color w:val="000000" w:themeColor="text1"/>
          <w:lang w:val="en-CA"/>
        </w:rPr>
        <w:t xml:space="preserve">Likewise, there is consensus with strong evidence to perform mitral valve surgery in severe </w:t>
      </w:r>
      <w:r w:rsidR="00413525" w:rsidRPr="000804FA">
        <w:rPr>
          <w:color w:val="000000" w:themeColor="text1"/>
          <w:lang w:val="en-CA"/>
        </w:rPr>
        <w:t>MS</w:t>
      </w:r>
      <w:r w:rsidR="006B1807" w:rsidRPr="000804FA">
        <w:rPr>
          <w:color w:val="000000" w:themeColor="text1"/>
          <w:lang w:val="en-CA"/>
        </w:rPr>
        <w:t xml:space="preserve"> if PMC is not suitable due to anatomical reasons</w:t>
      </w:r>
      <w:r w:rsidR="00534D1C" w:rsidRPr="000804FA">
        <w:rPr>
          <w:color w:val="000000" w:themeColor="text1"/>
          <w:lang w:val="en-CA"/>
        </w:rPr>
        <w:t>.</w:t>
      </w:r>
      <w:r w:rsidR="006B1807" w:rsidRPr="000804FA">
        <w:rPr>
          <w:color w:val="000000" w:themeColor="text1"/>
          <w:lang w:val="en-CA"/>
        </w:rPr>
        <w:t xml:space="preserve"> </w:t>
      </w:r>
      <w:r w:rsidR="00AE64B5" w:rsidRPr="000804FA">
        <w:rPr>
          <w:color w:val="000000" w:themeColor="text1"/>
          <w:lang w:val="en-CA"/>
        </w:rPr>
        <w:t>Regarding medical therapy, American and European guidelines recommend a beta-blocker or Ivabradine to achieve reduced heart rate in patients with sinus rhythm.</w:t>
      </w:r>
      <w:r w:rsidRPr="000804FA">
        <w:rPr>
          <w:color w:val="000000" w:themeColor="text1"/>
          <w:lang w:val="en-CA"/>
        </w:rPr>
        <w:t xml:space="preserve"> </w:t>
      </w:r>
    </w:p>
    <w:p w14:paraId="791B32C4" w14:textId="1AA02D5D" w:rsidR="006B1807" w:rsidRPr="000804FA" w:rsidRDefault="006B1807" w:rsidP="000804FA">
      <w:pPr>
        <w:spacing w:after="120" w:line="480" w:lineRule="auto"/>
        <w:contextualSpacing/>
        <w:jc w:val="both"/>
        <w:rPr>
          <w:b/>
          <w:bCs/>
          <w:color w:val="000000" w:themeColor="text1"/>
          <w:lang w:val="en-CA" w:eastAsia="de-DE"/>
        </w:rPr>
      </w:pPr>
      <w:r w:rsidRPr="000804FA">
        <w:rPr>
          <w:b/>
          <w:bCs/>
          <w:color w:val="000000" w:themeColor="text1"/>
          <w:lang w:val="en-CA" w:eastAsia="de-DE"/>
        </w:rPr>
        <w:t>3.2. Di</w:t>
      </w:r>
      <w:r w:rsidR="00247818" w:rsidRPr="000804FA">
        <w:rPr>
          <w:b/>
          <w:bCs/>
          <w:color w:val="000000" w:themeColor="text1"/>
          <w:lang w:val="en-CA" w:eastAsia="de-DE"/>
        </w:rPr>
        <w:t>screpancies between guidelines</w:t>
      </w:r>
    </w:p>
    <w:p w14:paraId="237778B3" w14:textId="752A93B0" w:rsidR="006B1807" w:rsidRPr="000804FA" w:rsidRDefault="00033708" w:rsidP="000804FA">
      <w:pPr>
        <w:spacing w:after="120" w:line="480" w:lineRule="auto"/>
        <w:ind w:firstLine="708"/>
        <w:contextualSpacing/>
        <w:jc w:val="both"/>
        <w:rPr>
          <w:color w:val="000000" w:themeColor="text1"/>
          <w:lang w:val="en-CA"/>
        </w:rPr>
      </w:pPr>
      <w:r w:rsidRPr="000804FA">
        <w:rPr>
          <w:color w:val="000000" w:themeColor="text1"/>
          <w:lang w:val="en-CA"/>
        </w:rPr>
        <w:t xml:space="preserve">While </w:t>
      </w:r>
      <w:r w:rsidR="00413525" w:rsidRPr="000804FA">
        <w:rPr>
          <w:color w:val="000000" w:themeColor="text1"/>
          <w:lang w:val="en-CA"/>
        </w:rPr>
        <w:t>European</w:t>
      </w:r>
      <w:r w:rsidR="006B1807" w:rsidRPr="000804FA">
        <w:rPr>
          <w:color w:val="000000" w:themeColor="text1"/>
          <w:lang w:val="en-CA"/>
        </w:rPr>
        <w:t xml:space="preserve"> guidelines emphasize the need for regular follow-up, </w:t>
      </w:r>
      <w:r w:rsidR="00413525" w:rsidRPr="000804FA">
        <w:rPr>
          <w:color w:val="000000" w:themeColor="text1"/>
          <w:lang w:val="en-CA"/>
        </w:rPr>
        <w:t>American</w:t>
      </w:r>
      <w:r w:rsidR="006B1807" w:rsidRPr="000804FA">
        <w:rPr>
          <w:color w:val="000000" w:themeColor="text1"/>
          <w:lang w:val="en-CA"/>
        </w:rPr>
        <w:t xml:space="preserve"> guidelines recommend PMC in a comprehensive valve center depending on functional status with class </w:t>
      </w:r>
      <w:proofErr w:type="spellStart"/>
      <w:r w:rsidR="006B1807" w:rsidRPr="000804FA">
        <w:rPr>
          <w:color w:val="000000" w:themeColor="text1"/>
          <w:lang w:val="en-CA"/>
        </w:rPr>
        <w:t>IIa</w:t>
      </w:r>
      <w:proofErr w:type="spellEnd"/>
      <w:r w:rsidR="006B1807" w:rsidRPr="000804FA">
        <w:rPr>
          <w:color w:val="000000" w:themeColor="text1"/>
          <w:lang w:val="en-CA"/>
        </w:rPr>
        <w:t xml:space="preserve">/IIb recommendation. </w:t>
      </w:r>
    </w:p>
    <w:p w14:paraId="2C1A4D6B" w14:textId="5F088E06" w:rsidR="006B1807" w:rsidRPr="000804FA" w:rsidRDefault="006B1807" w:rsidP="000804FA">
      <w:pPr>
        <w:spacing w:after="120" w:line="480" w:lineRule="auto"/>
        <w:ind w:firstLine="708"/>
        <w:contextualSpacing/>
        <w:jc w:val="both"/>
        <w:rPr>
          <w:color w:val="000000" w:themeColor="text1"/>
          <w:lang w:val="en-CA"/>
        </w:rPr>
      </w:pPr>
      <w:r w:rsidRPr="000804FA">
        <w:rPr>
          <w:color w:val="000000" w:themeColor="text1"/>
          <w:lang w:val="en-CA"/>
        </w:rPr>
        <w:lastRenderedPageBreak/>
        <w:t xml:space="preserve">Only the </w:t>
      </w:r>
      <w:r w:rsidR="009B7FB7" w:rsidRPr="000804FA">
        <w:rPr>
          <w:color w:val="000000" w:themeColor="text1"/>
          <w:lang w:val="en-CA"/>
        </w:rPr>
        <w:t>American</w:t>
      </w:r>
      <w:r w:rsidRPr="000804FA">
        <w:rPr>
          <w:color w:val="000000" w:themeColor="text1"/>
          <w:lang w:val="en-CA"/>
        </w:rPr>
        <w:t xml:space="preserve"> guidelines </w:t>
      </w:r>
      <w:r w:rsidR="00282F12" w:rsidRPr="000804FA">
        <w:rPr>
          <w:color w:val="000000" w:themeColor="text1"/>
          <w:lang w:val="en-CA"/>
        </w:rPr>
        <w:t>recommend</w:t>
      </w:r>
      <w:r w:rsidRPr="000804FA">
        <w:rPr>
          <w:color w:val="000000" w:themeColor="text1"/>
          <w:lang w:val="en-CA"/>
        </w:rPr>
        <w:t xml:space="preserve"> PMC being performed in a comprehensive valve center. Further</w:t>
      </w:r>
      <w:r w:rsidR="00616885" w:rsidRPr="000804FA">
        <w:rPr>
          <w:color w:val="000000" w:themeColor="text1"/>
          <w:lang w:val="en-US"/>
        </w:rPr>
        <w:t>more</w:t>
      </w:r>
      <w:r w:rsidRPr="000804FA">
        <w:rPr>
          <w:color w:val="000000" w:themeColor="text1"/>
          <w:lang w:val="en-CA"/>
        </w:rPr>
        <w:t>, minor differences exist in</w:t>
      </w:r>
      <w:r w:rsidR="00616885" w:rsidRPr="000804FA">
        <w:rPr>
          <w:color w:val="000000" w:themeColor="text1"/>
          <w:lang w:val="en-US"/>
        </w:rPr>
        <w:t xml:space="preserve"> the</w:t>
      </w:r>
      <w:r w:rsidRPr="000804FA">
        <w:rPr>
          <w:color w:val="000000" w:themeColor="text1"/>
          <w:lang w:val="en-CA"/>
        </w:rPr>
        <w:t xml:space="preserve"> assessment of </w:t>
      </w:r>
      <w:r w:rsidR="009B7FB7" w:rsidRPr="000804FA">
        <w:rPr>
          <w:color w:val="000000" w:themeColor="text1"/>
          <w:lang w:val="en-CA"/>
        </w:rPr>
        <w:t>MS</w:t>
      </w:r>
      <w:r w:rsidR="00616885" w:rsidRPr="000804FA">
        <w:rPr>
          <w:color w:val="000000" w:themeColor="text1"/>
          <w:lang w:val="en-US"/>
        </w:rPr>
        <w:t xml:space="preserve"> severity</w:t>
      </w:r>
      <w:r w:rsidRPr="000804FA">
        <w:rPr>
          <w:color w:val="000000" w:themeColor="text1"/>
          <w:lang w:val="en-CA"/>
        </w:rPr>
        <w:t xml:space="preserve">. Only </w:t>
      </w:r>
      <w:r w:rsidR="009B7FB7" w:rsidRPr="000804FA">
        <w:rPr>
          <w:color w:val="000000" w:themeColor="text1"/>
          <w:lang w:val="en-CA"/>
        </w:rPr>
        <w:t>American</w:t>
      </w:r>
      <w:r w:rsidRPr="000804FA">
        <w:rPr>
          <w:color w:val="000000" w:themeColor="text1"/>
          <w:lang w:val="en-CA"/>
        </w:rPr>
        <w:t xml:space="preserve"> guidelines highlight invasive hemodynamic assessment during cardiac </w:t>
      </w:r>
      <w:r w:rsidR="00034C76" w:rsidRPr="000804FA">
        <w:rPr>
          <w:color w:val="000000" w:themeColor="text1"/>
          <w:lang w:val="en-CA"/>
        </w:rPr>
        <w:t>catheterization</w:t>
      </w:r>
      <w:r w:rsidRPr="000804FA">
        <w:rPr>
          <w:color w:val="000000" w:themeColor="text1"/>
          <w:lang w:val="en-CA"/>
        </w:rPr>
        <w:t xml:space="preserve"> if </w:t>
      </w:r>
      <w:r w:rsidR="00EF5289" w:rsidRPr="000804FA">
        <w:rPr>
          <w:color w:val="000000" w:themeColor="text1"/>
          <w:lang w:val="en-CA"/>
        </w:rPr>
        <w:t xml:space="preserve">there is </w:t>
      </w:r>
      <w:r w:rsidR="00730094" w:rsidRPr="000804FA">
        <w:rPr>
          <w:color w:val="000000" w:themeColor="text1"/>
          <w:lang w:val="en-CA"/>
        </w:rPr>
        <w:t>discrepancy between the</w:t>
      </w:r>
      <w:r w:rsidR="00EF5289" w:rsidRPr="000804FA">
        <w:rPr>
          <w:color w:val="000000" w:themeColor="text1"/>
          <w:lang w:val="en-CA"/>
        </w:rPr>
        <w:t xml:space="preserve"> </w:t>
      </w:r>
      <w:r w:rsidRPr="000804FA">
        <w:rPr>
          <w:color w:val="000000" w:themeColor="text1"/>
          <w:lang w:val="en-CA"/>
        </w:rPr>
        <w:t>symptom</w:t>
      </w:r>
      <w:r w:rsidR="00EF5289" w:rsidRPr="000804FA">
        <w:rPr>
          <w:color w:val="000000" w:themeColor="text1"/>
          <w:lang w:val="en-CA"/>
        </w:rPr>
        <w:t>s</w:t>
      </w:r>
      <w:r w:rsidRPr="000804FA">
        <w:rPr>
          <w:color w:val="000000" w:themeColor="text1"/>
          <w:lang w:val="en-CA"/>
        </w:rPr>
        <w:t xml:space="preserve"> </w:t>
      </w:r>
      <w:r w:rsidR="00730094" w:rsidRPr="000804FA">
        <w:rPr>
          <w:color w:val="000000" w:themeColor="text1"/>
          <w:lang w:val="en-CA"/>
        </w:rPr>
        <w:t xml:space="preserve">and the </w:t>
      </w:r>
      <w:r w:rsidRPr="000804FA">
        <w:rPr>
          <w:color w:val="000000" w:themeColor="text1"/>
          <w:lang w:val="en-CA"/>
        </w:rPr>
        <w:t>severity</w:t>
      </w:r>
      <w:r w:rsidR="00730094" w:rsidRPr="000804FA">
        <w:rPr>
          <w:color w:val="000000" w:themeColor="text1"/>
          <w:lang w:val="en-CA"/>
        </w:rPr>
        <w:t xml:space="preserve"> of MS assessed by</w:t>
      </w:r>
      <w:r w:rsidRPr="000804FA">
        <w:rPr>
          <w:color w:val="000000" w:themeColor="text1"/>
          <w:lang w:val="en-CA"/>
        </w:rPr>
        <w:t xml:space="preserve"> </w:t>
      </w:r>
      <w:r w:rsidR="0068773C" w:rsidRPr="000804FA">
        <w:rPr>
          <w:color w:val="000000" w:themeColor="text1"/>
          <w:lang w:val="en-CA"/>
        </w:rPr>
        <w:t>tran</w:t>
      </w:r>
      <w:r w:rsidR="00534D1C" w:rsidRPr="000804FA">
        <w:rPr>
          <w:color w:val="000000" w:themeColor="text1"/>
          <w:lang w:val="en-CA"/>
        </w:rPr>
        <w:t>s</w:t>
      </w:r>
      <w:r w:rsidR="0068773C" w:rsidRPr="000804FA">
        <w:rPr>
          <w:color w:val="000000" w:themeColor="text1"/>
          <w:lang w:val="en-CA"/>
        </w:rPr>
        <w:t>thoracic echocardiography</w:t>
      </w:r>
      <w:r w:rsidRPr="000804FA">
        <w:rPr>
          <w:color w:val="000000" w:themeColor="text1"/>
          <w:lang w:val="en-CA"/>
        </w:rPr>
        <w:t xml:space="preserve">. </w:t>
      </w:r>
    </w:p>
    <w:p w14:paraId="0818B966" w14:textId="1843D5B3" w:rsidR="006B1807" w:rsidRPr="000804FA" w:rsidRDefault="006B1807" w:rsidP="000804FA">
      <w:pPr>
        <w:spacing w:after="120" w:line="480" w:lineRule="auto"/>
        <w:contextualSpacing/>
        <w:jc w:val="both"/>
        <w:rPr>
          <w:b/>
          <w:bCs/>
          <w:color w:val="000000" w:themeColor="text1"/>
          <w:lang w:val="en-CA"/>
        </w:rPr>
      </w:pPr>
      <w:r w:rsidRPr="000804FA">
        <w:rPr>
          <w:b/>
          <w:bCs/>
          <w:color w:val="000000" w:themeColor="text1"/>
          <w:lang w:val="en-CA"/>
        </w:rPr>
        <w:t xml:space="preserve">3.3. </w:t>
      </w:r>
      <w:r w:rsidR="00F44003" w:rsidRPr="000804FA">
        <w:rPr>
          <w:b/>
          <w:bCs/>
          <w:color w:val="000000" w:themeColor="text1"/>
          <w:lang w:val="en-CA"/>
        </w:rPr>
        <w:t>Knowledge g</w:t>
      </w:r>
      <w:r w:rsidRPr="000804FA">
        <w:rPr>
          <w:b/>
          <w:bCs/>
          <w:color w:val="000000" w:themeColor="text1"/>
          <w:lang w:val="en-CA"/>
        </w:rPr>
        <w:t xml:space="preserve">aps </w:t>
      </w:r>
      <w:r w:rsidR="00F44003" w:rsidRPr="000804FA">
        <w:rPr>
          <w:b/>
          <w:bCs/>
          <w:color w:val="000000" w:themeColor="text1"/>
          <w:lang w:val="en-CA"/>
        </w:rPr>
        <w:t>and future perspectives</w:t>
      </w:r>
    </w:p>
    <w:p w14:paraId="0008F99A" w14:textId="67BAA40F" w:rsidR="001A5801" w:rsidRPr="000804FA" w:rsidRDefault="00FF0F39" w:rsidP="000804FA">
      <w:pPr>
        <w:spacing w:after="120" w:line="480" w:lineRule="auto"/>
        <w:ind w:firstLine="360"/>
        <w:contextualSpacing/>
        <w:jc w:val="both"/>
        <w:rPr>
          <w:color w:val="000000" w:themeColor="text1"/>
          <w:lang w:val="en-CA"/>
        </w:rPr>
      </w:pPr>
      <w:r w:rsidRPr="000804FA">
        <w:rPr>
          <w:color w:val="000000" w:themeColor="text1"/>
          <w:lang w:val="en-CA"/>
        </w:rPr>
        <w:t>There is</w:t>
      </w:r>
      <w:r w:rsidR="00573E75" w:rsidRPr="000804FA">
        <w:rPr>
          <w:color w:val="000000" w:themeColor="text1"/>
          <w:lang w:val="en-CA"/>
        </w:rPr>
        <w:t xml:space="preserve"> a</w:t>
      </w:r>
      <w:r w:rsidRPr="000804FA">
        <w:rPr>
          <w:color w:val="000000" w:themeColor="text1"/>
          <w:lang w:val="en-CA"/>
        </w:rPr>
        <w:t xml:space="preserve"> gap in the guidelines</w:t>
      </w:r>
      <w:r w:rsidR="006B1807" w:rsidRPr="000804FA">
        <w:rPr>
          <w:color w:val="000000" w:themeColor="text1"/>
          <w:lang w:val="en-CA"/>
        </w:rPr>
        <w:t xml:space="preserve"> </w:t>
      </w:r>
      <w:r w:rsidRPr="000804FA">
        <w:rPr>
          <w:color w:val="000000" w:themeColor="text1"/>
          <w:lang w:val="en-CA"/>
        </w:rPr>
        <w:t xml:space="preserve">regarding </w:t>
      </w:r>
      <w:r w:rsidR="006B1807" w:rsidRPr="000804FA">
        <w:rPr>
          <w:color w:val="000000" w:themeColor="text1"/>
          <w:lang w:val="en-CA"/>
        </w:rPr>
        <w:t>the applicability of</w:t>
      </w:r>
      <w:r w:rsidR="00437F7E" w:rsidRPr="000804FA">
        <w:rPr>
          <w:color w:val="000000" w:themeColor="text1"/>
          <w:lang w:val="en-CA"/>
        </w:rPr>
        <w:t xml:space="preserve"> novel oral anticoagulant </w:t>
      </w:r>
      <w:r w:rsidR="006B1807" w:rsidRPr="000804FA">
        <w:rPr>
          <w:color w:val="000000" w:themeColor="text1"/>
          <w:lang w:val="en-CA"/>
        </w:rPr>
        <w:t xml:space="preserve">in patients with severe mitral stenosis. </w:t>
      </w:r>
      <w:r w:rsidR="00B65EE7" w:rsidRPr="000804FA">
        <w:rPr>
          <w:color w:val="000000" w:themeColor="text1"/>
          <w:lang w:val="en-CA"/>
        </w:rPr>
        <w:t>The recent results of the INVICTUS VKA trial showing that treatment with vitamin K antagonists resulted in a lower rate of composite cardiovascular events or death compared to treatment with rivaroxaban, may help fill this gap</w:t>
      </w:r>
      <w:r w:rsidR="001A5801" w:rsidRPr="000804FA">
        <w:rPr>
          <w:color w:val="000000" w:themeColor="text1"/>
          <w:lang w:val="en-CA"/>
        </w:rPr>
        <w:t xml:space="preserve"> </w:t>
      </w:r>
      <w:r w:rsidR="001A5801" w:rsidRPr="000804FA">
        <w:rPr>
          <w:color w:val="000000" w:themeColor="text1"/>
          <w:lang w:val="en-CA"/>
        </w:rPr>
        <w:fldChar w:fldCharType="begin"/>
      </w:r>
      <w:r w:rsidR="00D00075" w:rsidRPr="000804FA">
        <w:rPr>
          <w:color w:val="000000" w:themeColor="text1"/>
          <w:lang w:val="en-CA"/>
        </w:rPr>
        <w:instrText xml:space="preserve"> ADDIN ZOTERO_ITEM CSL_CITATION {"citationID":"E3dtf9xz","properties":{"formattedCitation":"(7)","plainCitation":"(7)","noteIndex":0},"citationItems":[{"id":427,"uris":["http://zotero.org/users/1298974/items/V96DP3HC"],"itemData":{"id":427,"type":"article-journal","abstract":"BACKGROUND: Testing of factor Xa inhibitors for the prevention of cardiovascular events in patients with rheumatic heart disease-associated atrial fibrillation has been limited.\nMETHODS: We enrolled patients with atrial fibrillation and echocardiographically documented rheumatic heart disease who had any of the following: a CHA2DS2VASc score of at least 2 (on a scale from 0 to 9, with higher scores indicating a higher risk of stroke), a mitral-valve area of no more than 2 cm2, left atrial spontaneous echo contrast, or left atrial thrombus. Patients were randomly assigned to receive standard doses of rivaroxaban or dose-adjusted vitamin K antagonist. The primary efficacy outcome was a composite of stroke, systemic embolism, myocardial infarction, or death from vascular (cardiac or noncardiac) or unknown causes. We hypothesized that rivaroxaban therapy would be noninferior to vitamin K antagonist therapy. The primary safety outcome was major bleeding according to the International Society of Thrombosis and Hemostasis.\nRESULTS: Of 4565 enrolled patients, 4531 were included in the final analysis. The mean age of the patients was 50.5 years, and 72.3% were women. Permanent discontinuation of trial medication was more common with rivaroxaban than with vitamin K antagonist therapy at all visits. In the intention-to-treat analysis, 560 patients in the rivaroxaban group and 446 in the vitamin K antagonist group had a primary-outcome event. Survival curves were nonproportional. The restricted mean survival time was 1599 days in the rivaroxaban group and 1675 days in the vitamin K antagonist group (difference, -76 days; 95% confidence interval [CI], -121 to -31; P&lt;0.001). A higher incidence of death occurred in the rivaroxaban group than in the vitamin K antagonist group (restricted mean survival time, 1608 days vs. 1680 days; difference, -72 days; 95% CI, -117 to -28). No significant between-group difference in the rate of major bleeding was noted.\nCONCLUSIONS: Among patients with rheumatic heart disease-associated atrial fibrillation, vitamin K antagonist therapy led to a lower rate of a composite of cardiovascular events or death than rivaroxaban therapy, without a higher rate of bleeding. (Funded by Bayer; INVICTUS ClinicalTrials.gov number, NCT02832544.).","container-title":"The New England Journal of Medicine","DOI":"10.1056/NEJMoa2209051","ISSN":"1533-4406","journalAbbreviation":"N Engl J Med","language":"eng","note":"PMID: 36036525","source":"PubMed","title":"Rivaroxaban in Rheumatic Heart Disease-Associated Atrial Fibrillation","author":[{"family":"Connolly","given":"Stuart J."},{"family":"Karthikeyan","given":"Ganesan"},{"family":"Ntsekhe","given":"Mpiko"},{"family":"Haileamlak","given":"Abraham"},{"family":"El Sayed","given":"Ahmed"},{"family":"El Ghamrawy","given":"Alaa"},{"family":"Damasceno","given":"Albertino"},{"family":"Avezum","given":"Alvaro"},{"family":"Dans","given":"Antonio M. L."},{"family":"Gitura","given":"Bernard"},{"family":"Hu","given":"Dayi"},{"family":"Kamanzi","given":"Emmanuel R."},{"family":"Maklady","given":"Fathi"},{"family":"Fana","given":"Golden"},{"family":"Gonzalez-Hermosillo","given":"J. Antonio"},{"family":"Musuku","given":"John"},{"family":"Kazmi","given":"Khawar"},{"family":"Zühlke","given":"Liesl"},{"family":"Gondwe","given":"Lillian"},{"family":"Ma","given":"Changsheng"},{"family":"Paniagua","given":"Maria"},{"family":"Ogah","given":"Okechukwu S."},{"family":"Molefe-Baikai","given":"Onkabetse J."},{"family":"Lwabi","given":"Peter"},{"family":"Chillo","given":"Pilly"},{"family":"Sharma","given":"Sanjib K."},{"family":"Cabral","given":"Tantchou T. J."},{"family":"Tarhuni","given":"Wadea M."},{"family":"Benz","given":"Alexander"},{"family":"Eikels","given":"Martin","non-dropping-particle":"van"},{"family":"Krol","given":"Amy"},{"family":"Pattath","given":"Divya"},{"family":"Balasubramanian","given":"Kumar"},{"family":"Rangarajan","given":"Sumathy"},{"family":"Ramasundarahettige","given":"Chinthanie"},{"family":"Mayosi","given":"Bongani"},{"family":"Yusuf","given":"Salim"},{"literal":"INVICTUS Investigators"}],"issued":{"date-parts":[["2022",8,28]]}}}],"schema":"https://github.com/citation-style-language/schema/raw/master/csl-citation.json"} </w:instrText>
      </w:r>
      <w:r w:rsidR="001A5801" w:rsidRPr="000804FA">
        <w:rPr>
          <w:color w:val="000000" w:themeColor="text1"/>
          <w:lang w:val="en-CA"/>
        </w:rPr>
        <w:fldChar w:fldCharType="separate"/>
      </w:r>
      <w:r w:rsidR="00D00075" w:rsidRPr="000804FA">
        <w:rPr>
          <w:noProof/>
          <w:color w:val="000000" w:themeColor="text1"/>
          <w:lang w:val="en-CA"/>
        </w:rPr>
        <w:t>(7)</w:t>
      </w:r>
      <w:r w:rsidR="001A5801" w:rsidRPr="000804FA">
        <w:rPr>
          <w:color w:val="000000" w:themeColor="text1"/>
          <w:lang w:val="en-CA"/>
        </w:rPr>
        <w:fldChar w:fldCharType="end"/>
      </w:r>
      <w:r w:rsidR="00B65EE7" w:rsidRPr="000804FA">
        <w:rPr>
          <w:color w:val="000000" w:themeColor="text1"/>
          <w:lang w:val="en-CA"/>
        </w:rPr>
        <w:t>.</w:t>
      </w:r>
      <w:r w:rsidR="006B1807" w:rsidRPr="000804FA">
        <w:rPr>
          <w:color w:val="000000" w:themeColor="text1"/>
          <w:lang w:val="en-CA"/>
        </w:rPr>
        <w:t xml:space="preserve"> </w:t>
      </w:r>
      <w:r w:rsidR="001E32D4" w:rsidRPr="000804FA">
        <w:rPr>
          <w:iCs/>
          <w:color w:val="000000" w:themeColor="text1"/>
          <w:lang w:val="en-CA"/>
        </w:rPr>
        <w:t>Finally, there is a gap in both guidelines regarding MS related to mitral annulus calcification and future studies should explore the utility of multimodality imaging in assessing MS etiology and severity, stratifying the risk as well as considering new therapeutic options, particularly percutaneous, for this frail population with high surgical risk.</w:t>
      </w:r>
    </w:p>
    <w:p w14:paraId="520A5460" w14:textId="77777777" w:rsidR="00BC5762" w:rsidRPr="000804FA" w:rsidRDefault="00BC5762" w:rsidP="000804FA">
      <w:pPr>
        <w:spacing w:after="120" w:line="480" w:lineRule="auto"/>
        <w:contextualSpacing/>
        <w:jc w:val="both"/>
        <w:rPr>
          <w:color w:val="000000" w:themeColor="text1"/>
          <w:lang w:val="en-CA"/>
        </w:rPr>
      </w:pPr>
    </w:p>
    <w:p w14:paraId="6BB9FACC" w14:textId="562AB6FB" w:rsidR="00B81C51" w:rsidRPr="000804FA" w:rsidRDefault="00185651" w:rsidP="000804FA">
      <w:pPr>
        <w:pStyle w:val="ListParagraph"/>
        <w:numPr>
          <w:ilvl w:val="0"/>
          <w:numId w:val="2"/>
        </w:numPr>
        <w:spacing w:after="120" w:line="480" w:lineRule="auto"/>
        <w:jc w:val="both"/>
        <w:rPr>
          <w:rFonts w:ascii="Times New Roman" w:hAnsi="Times New Roman" w:cs="Times New Roman"/>
          <w:b/>
          <w:color w:val="000000" w:themeColor="text1"/>
          <w:sz w:val="24"/>
          <w:szCs w:val="24"/>
          <w:lang w:val="en-CA"/>
        </w:rPr>
      </w:pPr>
      <w:r w:rsidRPr="000804FA">
        <w:rPr>
          <w:rFonts w:ascii="Times New Roman" w:hAnsi="Times New Roman" w:cs="Times New Roman"/>
          <w:b/>
          <w:color w:val="000000" w:themeColor="text1"/>
          <w:sz w:val="24"/>
          <w:szCs w:val="24"/>
          <w:lang w:val="en-CA"/>
        </w:rPr>
        <w:t>CHR</w:t>
      </w:r>
      <w:r w:rsidR="00F44003" w:rsidRPr="000804FA">
        <w:rPr>
          <w:rFonts w:ascii="Times New Roman" w:hAnsi="Times New Roman" w:cs="Times New Roman"/>
          <w:b/>
          <w:color w:val="000000" w:themeColor="text1"/>
          <w:sz w:val="24"/>
          <w:szCs w:val="24"/>
          <w:lang w:val="en-CA"/>
        </w:rPr>
        <w:t>ONIC MITRAL REGURGITATION</w:t>
      </w:r>
    </w:p>
    <w:p w14:paraId="20E92115" w14:textId="464ED09D" w:rsidR="00185651" w:rsidRPr="000804FA" w:rsidRDefault="00185651" w:rsidP="000804FA">
      <w:pPr>
        <w:pStyle w:val="ListParagraph"/>
        <w:numPr>
          <w:ilvl w:val="1"/>
          <w:numId w:val="2"/>
        </w:numPr>
        <w:spacing w:after="120" w:line="480" w:lineRule="auto"/>
        <w:jc w:val="both"/>
        <w:rPr>
          <w:rFonts w:ascii="Times New Roman" w:hAnsi="Times New Roman" w:cs="Times New Roman"/>
          <w:b/>
          <w:bCs/>
          <w:color w:val="000000" w:themeColor="text1"/>
          <w:sz w:val="24"/>
          <w:szCs w:val="24"/>
          <w:lang w:val="en-CA"/>
        </w:rPr>
      </w:pPr>
      <w:r w:rsidRPr="000804FA">
        <w:rPr>
          <w:rFonts w:ascii="Times New Roman" w:hAnsi="Times New Roman" w:cs="Times New Roman"/>
          <w:b/>
          <w:bCs/>
          <w:color w:val="000000" w:themeColor="text1"/>
          <w:sz w:val="24"/>
          <w:szCs w:val="24"/>
          <w:lang w:val="en-CA"/>
        </w:rPr>
        <w:t xml:space="preserve"> Consistencies between guidelines  </w:t>
      </w:r>
    </w:p>
    <w:p w14:paraId="2AA6F580" w14:textId="5A42BE74" w:rsidR="00185651" w:rsidRPr="000804FA" w:rsidRDefault="00185651" w:rsidP="000804FA">
      <w:pPr>
        <w:spacing w:after="120" w:line="480" w:lineRule="auto"/>
        <w:contextualSpacing/>
        <w:jc w:val="both"/>
        <w:rPr>
          <w:b/>
          <w:bCs/>
          <w:i/>
          <w:iCs/>
          <w:color w:val="000000" w:themeColor="text1"/>
          <w:lang w:val="en-CA"/>
        </w:rPr>
      </w:pPr>
      <w:r w:rsidRPr="000804FA">
        <w:rPr>
          <w:b/>
          <w:bCs/>
          <w:i/>
          <w:iCs/>
          <w:color w:val="000000" w:themeColor="text1"/>
          <w:lang w:val="en-CA"/>
        </w:rPr>
        <w:t>Primary Mitral Regurgitation (PMR</w:t>
      </w:r>
      <w:r w:rsidRPr="000804FA">
        <w:rPr>
          <w:color w:val="000000" w:themeColor="text1"/>
          <w:lang w:val="en-CA"/>
        </w:rPr>
        <w:t>)</w:t>
      </w:r>
      <w:r w:rsidR="00FF0F39" w:rsidRPr="000804FA">
        <w:rPr>
          <w:color w:val="000000" w:themeColor="text1"/>
          <w:lang w:val="en-CA"/>
        </w:rPr>
        <w:t xml:space="preserve"> </w:t>
      </w:r>
    </w:p>
    <w:p w14:paraId="6225054B" w14:textId="29392BF6" w:rsidR="00185651" w:rsidRPr="000804FA" w:rsidRDefault="00185651" w:rsidP="000804FA">
      <w:pPr>
        <w:spacing w:after="120" w:line="480" w:lineRule="auto"/>
        <w:ind w:firstLine="708"/>
        <w:contextualSpacing/>
        <w:jc w:val="both"/>
        <w:rPr>
          <w:color w:val="000000" w:themeColor="text1"/>
          <w:lang w:val="en-CA"/>
        </w:rPr>
      </w:pPr>
      <w:r w:rsidRPr="000804FA">
        <w:rPr>
          <w:color w:val="000000" w:themeColor="text1"/>
          <w:lang w:val="en-CA"/>
        </w:rPr>
        <w:t xml:space="preserve">The </w:t>
      </w:r>
      <w:r w:rsidR="00D76618" w:rsidRPr="000804FA">
        <w:rPr>
          <w:color w:val="000000" w:themeColor="text1"/>
          <w:lang w:val="en-CA"/>
        </w:rPr>
        <w:t xml:space="preserve">American and </w:t>
      </w:r>
      <w:r w:rsidR="00EA1362" w:rsidRPr="000804FA">
        <w:rPr>
          <w:color w:val="000000" w:themeColor="text1"/>
          <w:lang w:val="en-CA"/>
        </w:rPr>
        <w:t xml:space="preserve">European </w:t>
      </w:r>
      <w:r w:rsidRPr="000804FA">
        <w:rPr>
          <w:color w:val="000000" w:themeColor="text1"/>
          <w:lang w:val="en-CA"/>
        </w:rPr>
        <w:t>guidelines consider the same threshold to define LV dysfunction (LVEF&lt;60%</w:t>
      </w:r>
      <w:r w:rsidR="00904273" w:rsidRPr="000804FA">
        <w:rPr>
          <w:color w:val="000000" w:themeColor="text1"/>
          <w:lang w:val="en-CA"/>
        </w:rPr>
        <w:t xml:space="preserve"> and/</w:t>
      </w:r>
      <w:r w:rsidR="002D1E9D" w:rsidRPr="000804FA">
        <w:rPr>
          <w:color w:val="000000" w:themeColor="text1"/>
          <w:lang w:val="en-CA"/>
        </w:rPr>
        <w:t>or</w:t>
      </w:r>
      <w:r w:rsidRPr="000804FA">
        <w:rPr>
          <w:color w:val="000000" w:themeColor="text1"/>
          <w:lang w:val="en-CA"/>
        </w:rPr>
        <w:t xml:space="preserve"> LVESD&gt;40mm) in patients with PMR. </w:t>
      </w:r>
      <w:r w:rsidR="00676A6B" w:rsidRPr="000804FA">
        <w:rPr>
          <w:color w:val="000000" w:themeColor="text1"/>
          <w:lang w:val="en-CA"/>
        </w:rPr>
        <w:t>There is s</w:t>
      </w:r>
      <w:r w:rsidRPr="000804FA">
        <w:rPr>
          <w:color w:val="000000" w:themeColor="text1"/>
          <w:lang w:val="en-CA"/>
        </w:rPr>
        <w:t>ubstantial agreement</w:t>
      </w:r>
      <w:r w:rsidR="00FF1E06" w:rsidRPr="000804FA">
        <w:rPr>
          <w:color w:val="000000" w:themeColor="text1"/>
          <w:lang w:val="en-CA"/>
        </w:rPr>
        <w:t xml:space="preserve"> in between guidelines</w:t>
      </w:r>
      <w:r w:rsidRPr="000804FA">
        <w:rPr>
          <w:color w:val="000000" w:themeColor="text1"/>
          <w:lang w:val="en-CA"/>
        </w:rPr>
        <w:t xml:space="preserve"> </w:t>
      </w:r>
      <w:r w:rsidR="00676A6B" w:rsidRPr="000804FA">
        <w:rPr>
          <w:color w:val="000000" w:themeColor="text1"/>
          <w:lang w:val="en-CA"/>
        </w:rPr>
        <w:t>for</w:t>
      </w:r>
      <w:r w:rsidRPr="000804FA">
        <w:rPr>
          <w:color w:val="000000" w:themeColor="text1"/>
          <w:lang w:val="en-CA"/>
        </w:rPr>
        <w:t xml:space="preserve"> </w:t>
      </w:r>
      <w:r w:rsidR="00EA1362" w:rsidRPr="000804FA">
        <w:rPr>
          <w:color w:val="000000" w:themeColor="text1"/>
          <w:lang w:val="en-CA"/>
        </w:rPr>
        <w:t>mitral valve (MV)</w:t>
      </w:r>
      <w:r w:rsidRPr="000804FA">
        <w:rPr>
          <w:color w:val="000000" w:themeColor="text1"/>
          <w:lang w:val="en-CA"/>
        </w:rPr>
        <w:t xml:space="preserve"> surgery in symptomatic patients with severe PMR irrespective of LV function </w:t>
      </w:r>
      <w:r w:rsidR="00FF1E06" w:rsidRPr="000804FA">
        <w:rPr>
          <w:color w:val="000000" w:themeColor="text1"/>
          <w:lang w:val="en-CA"/>
        </w:rPr>
        <w:t>(class I recommendation in the</w:t>
      </w:r>
      <w:r w:rsidR="00D76618" w:rsidRPr="000804FA">
        <w:rPr>
          <w:color w:val="000000" w:themeColor="text1"/>
          <w:lang w:val="en-CA"/>
        </w:rPr>
        <w:t xml:space="preserve"> American and </w:t>
      </w:r>
      <w:r w:rsidR="00FF1E06" w:rsidRPr="000804FA">
        <w:rPr>
          <w:color w:val="000000" w:themeColor="text1"/>
          <w:lang w:val="en-CA"/>
        </w:rPr>
        <w:t>European guidelines). I</w:t>
      </w:r>
      <w:r w:rsidRPr="000804FA">
        <w:rPr>
          <w:color w:val="000000" w:themeColor="text1"/>
          <w:lang w:val="en-CA"/>
        </w:rPr>
        <w:t>n</w:t>
      </w:r>
      <w:r w:rsidR="00FF1E06" w:rsidRPr="000804FA">
        <w:rPr>
          <w:color w:val="000000" w:themeColor="text1"/>
          <w:lang w:val="en-CA"/>
        </w:rPr>
        <w:t xml:space="preserve"> </w:t>
      </w:r>
      <w:r w:rsidRPr="000804FA">
        <w:rPr>
          <w:color w:val="000000" w:themeColor="text1"/>
          <w:lang w:val="en-CA"/>
        </w:rPr>
        <w:t>asymptomatic</w:t>
      </w:r>
      <w:r w:rsidR="00FF1E06" w:rsidRPr="000804FA">
        <w:rPr>
          <w:color w:val="000000" w:themeColor="text1"/>
          <w:lang w:val="en-CA"/>
        </w:rPr>
        <w:t xml:space="preserve"> patients</w:t>
      </w:r>
      <w:r w:rsidRPr="000804FA">
        <w:rPr>
          <w:color w:val="000000" w:themeColor="text1"/>
          <w:lang w:val="en-CA"/>
        </w:rPr>
        <w:t xml:space="preserve"> with LV dysfunction</w:t>
      </w:r>
      <w:r w:rsidR="00421659" w:rsidRPr="000804FA">
        <w:rPr>
          <w:color w:val="000000" w:themeColor="text1"/>
          <w:lang w:val="en-CA"/>
        </w:rPr>
        <w:t xml:space="preserve">, </w:t>
      </w:r>
      <w:r w:rsidR="00FF1E06" w:rsidRPr="000804FA">
        <w:rPr>
          <w:color w:val="000000" w:themeColor="text1"/>
          <w:lang w:val="en-CA"/>
        </w:rPr>
        <w:t xml:space="preserve">defined as described above, </w:t>
      </w:r>
      <w:r w:rsidR="00AE64B5" w:rsidRPr="000804FA">
        <w:rPr>
          <w:color w:val="000000" w:themeColor="text1"/>
          <w:lang w:val="en-CA"/>
        </w:rPr>
        <w:t>both</w:t>
      </w:r>
      <w:r w:rsidR="00FF1E06" w:rsidRPr="000804FA">
        <w:rPr>
          <w:color w:val="000000" w:themeColor="text1"/>
          <w:lang w:val="en-CA"/>
        </w:rPr>
        <w:t xml:space="preserve"> guidelines recommend surgery</w:t>
      </w:r>
      <w:r w:rsidR="00C911D9" w:rsidRPr="000804FA">
        <w:rPr>
          <w:color w:val="000000" w:themeColor="text1"/>
          <w:lang w:val="en-CA"/>
        </w:rPr>
        <w:t xml:space="preserve"> (class I recommendation in the American and European guidelines)</w:t>
      </w:r>
      <w:r w:rsidR="00247818" w:rsidRPr="000804FA">
        <w:rPr>
          <w:color w:val="000000" w:themeColor="text1"/>
          <w:lang w:val="en-CA"/>
        </w:rPr>
        <w:t xml:space="preserve"> </w:t>
      </w:r>
      <w:r w:rsidR="00F44003" w:rsidRPr="000804FA">
        <w:rPr>
          <w:b/>
          <w:i/>
          <w:color w:val="000000" w:themeColor="text1"/>
          <w:lang w:val="en-CA"/>
        </w:rPr>
        <w:t>(Table </w:t>
      </w:r>
      <w:r w:rsidR="00247818" w:rsidRPr="000804FA">
        <w:rPr>
          <w:b/>
          <w:i/>
          <w:color w:val="000000" w:themeColor="text1"/>
          <w:lang w:val="en-CA"/>
        </w:rPr>
        <w:t>3)</w:t>
      </w:r>
      <w:r w:rsidRPr="000804FA">
        <w:rPr>
          <w:color w:val="000000" w:themeColor="text1"/>
          <w:lang w:val="en-CA"/>
        </w:rPr>
        <w:t xml:space="preserve">. The preference for MV repair over MV replacement is clearly </w:t>
      </w:r>
      <w:r w:rsidRPr="000804FA">
        <w:rPr>
          <w:color w:val="000000" w:themeColor="text1"/>
          <w:lang w:val="en-CA"/>
        </w:rPr>
        <w:lastRenderedPageBreak/>
        <w:t xml:space="preserve">stated </w:t>
      </w:r>
      <w:r w:rsidR="00EC514A" w:rsidRPr="000804FA">
        <w:rPr>
          <w:color w:val="000000" w:themeColor="text1"/>
          <w:lang w:val="en-CA"/>
        </w:rPr>
        <w:t>in</w:t>
      </w:r>
      <w:r w:rsidRPr="000804FA">
        <w:rPr>
          <w:color w:val="000000" w:themeColor="text1"/>
          <w:lang w:val="en-CA"/>
        </w:rPr>
        <w:t xml:space="preserve"> </w:t>
      </w:r>
      <w:r w:rsidR="00C911D9" w:rsidRPr="000804FA">
        <w:rPr>
          <w:color w:val="000000" w:themeColor="text1"/>
          <w:lang w:val="en-CA"/>
        </w:rPr>
        <w:t>both</w:t>
      </w:r>
      <w:r w:rsidRPr="000804FA">
        <w:rPr>
          <w:color w:val="000000" w:themeColor="text1"/>
          <w:lang w:val="en-CA"/>
        </w:rPr>
        <w:t xml:space="preserve"> </w:t>
      </w:r>
      <w:r w:rsidR="009D526C" w:rsidRPr="000804FA">
        <w:rPr>
          <w:color w:val="000000" w:themeColor="text1"/>
          <w:lang w:val="en-CA"/>
        </w:rPr>
        <w:t>g</w:t>
      </w:r>
      <w:r w:rsidRPr="000804FA">
        <w:rPr>
          <w:color w:val="000000" w:themeColor="text1"/>
          <w:lang w:val="en-CA"/>
        </w:rPr>
        <w:t xml:space="preserve">uidelines. Although with the same level of evidence, but </w:t>
      </w:r>
      <w:r w:rsidR="00CA2607" w:rsidRPr="000804FA">
        <w:rPr>
          <w:color w:val="000000" w:themeColor="text1"/>
          <w:lang w:val="en-CA"/>
        </w:rPr>
        <w:t xml:space="preserve">with </w:t>
      </w:r>
      <w:r w:rsidRPr="000804FA">
        <w:rPr>
          <w:color w:val="000000" w:themeColor="text1"/>
          <w:lang w:val="en-CA"/>
        </w:rPr>
        <w:t xml:space="preserve">different class of recommendation, the </w:t>
      </w:r>
      <w:r w:rsidR="009D526C" w:rsidRPr="000804FA">
        <w:rPr>
          <w:color w:val="000000" w:themeColor="text1"/>
          <w:lang w:val="en-CA"/>
        </w:rPr>
        <w:t>European and American g</w:t>
      </w:r>
      <w:r w:rsidRPr="000804FA">
        <w:rPr>
          <w:color w:val="000000" w:themeColor="text1"/>
          <w:lang w:val="en-CA"/>
        </w:rPr>
        <w:t xml:space="preserve">uidelines </w:t>
      </w:r>
      <w:r w:rsidR="00B0136B" w:rsidRPr="000804FA">
        <w:rPr>
          <w:color w:val="000000" w:themeColor="text1"/>
          <w:lang w:val="en-CA"/>
        </w:rPr>
        <w:t>indicate that</w:t>
      </w:r>
      <w:r w:rsidR="00FF0F39" w:rsidRPr="000804FA">
        <w:rPr>
          <w:color w:val="000000" w:themeColor="text1"/>
          <w:lang w:val="en-CA"/>
        </w:rPr>
        <w:t xml:space="preserve"> transcatheter edge-to-edge repair</w:t>
      </w:r>
      <w:r w:rsidRPr="000804FA">
        <w:rPr>
          <w:color w:val="000000" w:themeColor="text1"/>
          <w:lang w:val="en-CA"/>
        </w:rPr>
        <w:t xml:space="preserve"> </w:t>
      </w:r>
      <w:r w:rsidR="00FF0F39" w:rsidRPr="000804FA">
        <w:rPr>
          <w:color w:val="000000" w:themeColor="text1"/>
          <w:lang w:val="en-CA"/>
        </w:rPr>
        <w:t>(</w:t>
      </w:r>
      <w:r w:rsidRPr="000804FA">
        <w:rPr>
          <w:color w:val="000000" w:themeColor="text1"/>
          <w:lang w:val="en-CA"/>
        </w:rPr>
        <w:t>TEER</w:t>
      </w:r>
      <w:r w:rsidR="00FF0F39" w:rsidRPr="000804FA">
        <w:rPr>
          <w:color w:val="000000" w:themeColor="text1"/>
          <w:lang w:val="en-CA"/>
        </w:rPr>
        <w:t>)</w:t>
      </w:r>
      <w:r w:rsidRPr="000804FA">
        <w:rPr>
          <w:color w:val="000000" w:themeColor="text1"/>
          <w:lang w:val="en-CA"/>
        </w:rPr>
        <w:t xml:space="preserve"> may be considered as an alternative to MV surgery only in patients with </w:t>
      </w:r>
      <w:r w:rsidR="00F77B2B" w:rsidRPr="000804FA">
        <w:rPr>
          <w:color w:val="000000" w:themeColor="text1"/>
          <w:lang w:val="en-CA"/>
        </w:rPr>
        <w:t xml:space="preserve">symptomatic </w:t>
      </w:r>
      <w:r w:rsidRPr="000804FA">
        <w:rPr>
          <w:color w:val="000000" w:themeColor="text1"/>
          <w:lang w:val="en-CA"/>
        </w:rPr>
        <w:t>severe</w:t>
      </w:r>
      <w:r w:rsidR="00B0136B" w:rsidRPr="000804FA">
        <w:rPr>
          <w:color w:val="000000" w:themeColor="text1"/>
          <w:lang w:val="en-CA"/>
        </w:rPr>
        <w:t xml:space="preserve"> </w:t>
      </w:r>
      <w:r w:rsidRPr="000804FA">
        <w:rPr>
          <w:color w:val="000000" w:themeColor="text1"/>
          <w:lang w:val="en-CA"/>
        </w:rPr>
        <w:t xml:space="preserve">PMR and LV </w:t>
      </w:r>
      <w:r w:rsidR="00034C76" w:rsidRPr="000804FA">
        <w:rPr>
          <w:color w:val="000000" w:themeColor="text1"/>
          <w:lang w:val="en-CA"/>
        </w:rPr>
        <w:t>dysfunction and</w:t>
      </w:r>
      <w:r w:rsidRPr="000804FA">
        <w:rPr>
          <w:color w:val="000000" w:themeColor="text1"/>
          <w:lang w:val="en-CA"/>
        </w:rPr>
        <w:t xml:space="preserve"> considered</w:t>
      </w:r>
      <w:r w:rsidR="00245859" w:rsidRPr="000804FA">
        <w:rPr>
          <w:color w:val="000000" w:themeColor="text1"/>
          <w:lang w:val="en-CA"/>
        </w:rPr>
        <w:t xml:space="preserve"> to be</w:t>
      </w:r>
      <w:r w:rsidRPr="000804FA">
        <w:rPr>
          <w:color w:val="000000" w:themeColor="text1"/>
          <w:lang w:val="en-CA"/>
        </w:rPr>
        <w:t xml:space="preserve"> at high/prohibitive risk for surgery </w:t>
      </w:r>
      <w:r w:rsidR="00245859" w:rsidRPr="000804FA">
        <w:rPr>
          <w:color w:val="000000" w:themeColor="text1"/>
          <w:lang w:val="en-CA"/>
        </w:rPr>
        <w:t>by the</w:t>
      </w:r>
      <w:r w:rsidR="00496378" w:rsidRPr="000804FA">
        <w:rPr>
          <w:color w:val="000000" w:themeColor="text1"/>
          <w:lang w:val="en-CA"/>
        </w:rPr>
        <w:t xml:space="preserve"> </w:t>
      </w:r>
      <w:r w:rsidRPr="000804FA">
        <w:rPr>
          <w:color w:val="000000" w:themeColor="text1"/>
          <w:lang w:val="en-CA"/>
        </w:rPr>
        <w:t>Heart Team</w:t>
      </w:r>
      <w:r w:rsidR="00EC514A" w:rsidRPr="000804FA">
        <w:rPr>
          <w:color w:val="000000" w:themeColor="text1"/>
          <w:lang w:val="en-CA"/>
        </w:rPr>
        <w:t xml:space="preserve"> </w:t>
      </w:r>
      <w:r w:rsidR="00EC514A" w:rsidRPr="000804FA">
        <w:rPr>
          <w:b/>
          <w:i/>
          <w:color w:val="000000" w:themeColor="text1"/>
          <w:lang w:val="en-CA"/>
        </w:rPr>
        <w:t>(Table 3)</w:t>
      </w:r>
      <w:r w:rsidRPr="000804FA">
        <w:rPr>
          <w:color w:val="000000" w:themeColor="text1"/>
          <w:lang w:val="en-CA"/>
        </w:rPr>
        <w:t xml:space="preserve">. </w:t>
      </w:r>
    </w:p>
    <w:p w14:paraId="37BA7F81" w14:textId="77777777" w:rsidR="00F44003" w:rsidRPr="000804FA" w:rsidRDefault="00F44003" w:rsidP="000804FA">
      <w:pPr>
        <w:spacing w:after="120" w:line="480" w:lineRule="auto"/>
        <w:contextualSpacing/>
        <w:jc w:val="both"/>
        <w:rPr>
          <w:b/>
          <w:bCs/>
          <w:i/>
          <w:iCs/>
          <w:color w:val="000000" w:themeColor="text1"/>
          <w:lang w:val="en-CA"/>
        </w:rPr>
      </w:pPr>
    </w:p>
    <w:p w14:paraId="4148E743" w14:textId="30152F0B" w:rsidR="00185651" w:rsidRPr="000804FA" w:rsidRDefault="00185651" w:rsidP="000804FA">
      <w:pPr>
        <w:spacing w:after="120" w:line="480" w:lineRule="auto"/>
        <w:contextualSpacing/>
        <w:jc w:val="both"/>
        <w:rPr>
          <w:b/>
          <w:bCs/>
          <w:i/>
          <w:iCs/>
          <w:color w:val="000000" w:themeColor="text1"/>
          <w:lang w:val="en-CA"/>
        </w:rPr>
      </w:pPr>
      <w:r w:rsidRPr="000804FA">
        <w:rPr>
          <w:b/>
          <w:bCs/>
          <w:i/>
          <w:iCs/>
          <w:color w:val="000000" w:themeColor="text1"/>
          <w:lang w:val="en-CA"/>
        </w:rPr>
        <w:t>Secondary Mitral Regurgitation (SMR)</w:t>
      </w:r>
    </w:p>
    <w:p w14:paraId="44CE775A" w14:textId="2BD70657" w:rsidR="00185651" w:rsidRPr="000804FA" w:rsidRDefault="00C911D9" w:rsidP="000804FA">
      <w:pPr>
        <w:spacing w:after="120" w:line="480" w:lineRule="auto"/>
        <w:ind w:firstLine="708"/>
        <w:contextualSpacing/>
        <w:jc w:val="both"/>
        <w:rPr>
          <w:color w:val="000000" w:themeColor="text1"/>
          <w:lang w:val="en-CA"/>
        </w:rPr>
      </w:pPr>
      <w:r w:rsidRPr="000804FA">
        <w:rPr>
          <w:color w:val="000000" w:themeColor="text1"/>
          <w:lang w:val="en-CA"/>
        </w:rPr>
        <w:t xml:space="preserve">Both </w:t>
      </w:r>
      <w:r w:rsidR="009D526C" w:rsidRPr="000804FA">
        <w:rPr>
          <w:color w:val="000000" w:themeColor="text1"/>
          <w:lang w:val="en-CA"/>
        </w:rPr>
        <w:t>g</w:t>
      </w:r>
      <w:r w:rsidR="00185651" w:rsidRPr="000804FA">
        <w:rPr>
          <w:color w:val="000000" w:themeColor="text1"/>
          <w:lang w:val="en-CA"/>
        </w:rPr>
        <w:t>uidelines agree that the best therapy for chronic SMR is not clear because MR is only one component of the disease, restoration of mitral valve competence is not curative, and because of limited evidence that MV interventions improve survival in patients with severe SMR</w:t>
      </w:r>
      <w:r w:rsidR="00EC514A" w:rsidRPr="000804FA">
        <w:rPr>
          <w:color w:val="000000" w:themeColor="text1"/>
          <w:lang w:val="en-CA"/>
        </w:rPr>
        <w:t xml:space="preserve"> </w:t>
      </w:r>
      <w:r w:rsidR="00EC514A" w:rsidRPr="000804FA">
        <w:rPr>
          <w:b/>
          <w:bCs/>
          <w:i/>
          <w:iCs/>
          <w:color w:val="000000" w:themeColor="text1"/>
          <w:lang w:val="en-CA"/>
        </w:rPr>
        <w:t>(Table 4)</w:t>
      </w:r>
      <w:r w:rsidR="00185651" w:rsidRPr="000804FA">
        <w:rPr>
          <w:color w:val="000000" w:themeColor="text1"/>
          <w:lang w:val="en-CA"/>
        </w:rPr>
        <w:t>. All therapeutic decision</w:t>
      </w:r>
      <w:r w:rsidR="00573E75" w:rsidRPr="000804FA">
        <w:rPr>
          <w:color w:val="000000" w:themeColor="text1"/>
          <w:lang w:val="en-CA"/>
        </w:rPr>
        <w:t>s</w:t>
      </w:r>
      <w:r w:rsidR="00185651" w:rsidRPr="000804FA">
        <w:rPr>
          <w:color w:val="000000" w:themeColor="text1"/>
          <w:lang w:val="en-CA"/>
        </w:rPr>
        <w:t xml:space="preserve"> should be taken </w:t>
      </w:r>
      <w:r w:rsidR="00AA0C6E" w:rsidRPr="000804FA">
        <w:rPr>
          <w:color w:val="000000" w:themeColor="text1"/>
          <w:lang w:val="en-CA"/>
        </w:rPr>
        <w:t xml:space="preserve">by the </w:t>
      </w:r>
      <w:r w:rsidR="00185651" w:rsidRPr="000804FA">
        <w:rPr>
          <w:color w:val="000000" w:themeColor="text1"/>
          <w:lang w:val="en-CA"/>
        </w:rPr>
        <w:t>Heart Team.</w:t>
      </w:r>
      <w:r w:rsidR="009D526C" w:rsidRPr="000804FA">
        <w:rPr>
          <w:color w:val="000000" w:themeColor="text1"/>
          <w:lang w:val="en-CA"/>
        </w:rPr>
        <w:t xml:space="preserve"> </w:t>
      </w:r>
      <w:r w:rsidR="003F5402" w:rsidRPr="000804FA">
        <w:rPr>
          <w:color w:val="000000" w:themeColor="text1"/>
          <w:lang w:val="en-CA"/>
        </w:rPr>
        <w:t xml:space="preserve">MV </w:t>
      </w:r>
      <w:r w:rsidR="00185651" w:rsidRPr="000804FA">
        <w:rPr>
          <w:color w:val="000000" w:themeColor="text1"/>
          <w:lang w:val="en-CA"/>
        </w:rPr>
        <w:t>surgery/intervention is recommended only in patients with severe SMR who remain symptomatic despite</w:t>
      </w:r>
      <w:r w:rsidR="005800BD" w:rsidRPr="000804FA">
        <w:rPr>
          <w:color w:val="000000" w:themeColor="text1"/>
          <w:lang w:val="en-CA"/>
        </w:rPr>
        <w:t xml:space="preserve"> guideline-directed medical therapy</w:t>
      </w:r>
      <w:r w:rsidR="00185651" w:rsidRPr="000804FA">
        <w:rPr>
          <w:color w:val="000000" w:themeColor="text1"/>
          <w:lang w:val="en-CA"/>
        </w:rPr>
        <w:t xml:space="preserve"> </w:t>
      </w:r>
      <w:r w:rsidR="005800BD" w:rsidRPr="000804FA">
        <w:rPr>
          <w:color w:val="000000" w:themeColor="text1"/>
          <w:lang w:val="en-CA"/>
        </w:rPr>
        <w:t>(</w:t>
      </w:r>
      <w:r w:rsidR="00185651" w:rsidRPr="000804FA">
        <w:rPr>
          <w:color w:val="000000" w:themeColor="text1"/>
          <w:lang w:val="en-CA"/>
        </w:rPr>
        <w:t>GDMT</w:t>
      </w:r>
      <w:r w:rsidR="005800BD" w:rsidRPr="000804FA">
        <w:rPr>
          <w:color w:val="000000" w:themeColor="text1"/>
          <w:lang w:val="en-CA"/>
        </w:rPr>
        <w:t>)</w:t>
      </w:r>
      <w:r w:rsidR="00185651" w:rsidRPr="000804FA">
        <w:rPr>
          <w:color w:val="000000" w:themeColor="text1"/>
          <w:lang w:val="en-CA"/>
        </w:rPr>
        <w:t xml:space="preserve"> (including CRT, if indicated</w:t>
      </w:r>
      <w:r w:rsidR="00D76618" w:rsidRPr="000804FA">
        <w:rPr>
          <w:color w:val="000000" w:themeColor="text1"/>
          <w:lang w:val="en-CA"/>
        </w:rPr>
        <w:t xml:space="preserve">, class I-C in American guidelines and </w:t>
      </w:r>
      <w:r w:rsidR="0073492F" w:rsidRPr="000804FA">
        <w:rPr>
          <w:color w:val="000000" w:themeColor="text1"/>
          <w:lang w:val="en-CA"/>
        </w:rPr>
        <w:t xml:space="preserve">class </w:t>
      </w:r>
      <w:r w:rsidR="00185651" w:rsidRPr="000804FA">
        <w:rPr>
          <w:color w:val="000000" w:themeColor="text1"/>
          <w:lang w:val="en-CA"/>
        </w:rPr>
        <w:t>I</w:t>
      </w:r>
      <w:r w:rsidR="0073492F" w:rsidRPr="000804FA">
        <w:rPr>
          <w:color w:val="000000" w:themeColor="text1"/>
          <w:lang w:val="en-CA"/>
        </w:rPr>
        <w:t>-</w:t>
      </w:r>
      <w:r w:rsidR="00185651" w:rsidRPr="000804FA">
        <w:rPr>
          <w:color w:val="000000" w:themeColor="text1"/>
          <w:lang w:val="en-CA"/>
        </w:rPr>
        <w:t>B</w:t>
      </w:r>
      <w:r w:rsidR="0073492F" w:rsidRPr="000804FA">
        <w:rPr>
          <w:color w:val="000000" w:themeColor="text1"/>
          <w:lang w:val="en-CA"/>
        </w:rPr>
        <w:t xml:space="preserve"> in </w:t>
      </w:r>
      <w:r w:rsidR="009D526C" w:rsidRPr="000804FA">
        <w:rPr>
          <w:color w:val="000000" w:themeColor="text1"/>
          <w:lang w:val="en-CA"/>
        </w:rPr>
        <w:t>European</w:t>
      </w:r>
      <w:r w:rsidR="00185651" w:rsidRPr="000804FA">
        <w:rPr>
          <w:color w:val="000000" w:themeColor="text1"/>
          <w:lang w:val="en-CA"/>
        </w:rPr>
        <w:t xml:space="preserve"> guidelines). </w:t>
      </w:r>
    </w:p>
    <w:p w14:paraId="10DA1967" w14:textId="768DBA61" w:rsidR="00185651" w:rsidRPr="000804FA" w:rsidRDefault="00496378" w:rsidP="000804FA">
      <w:pPr>
        <w:spacing w:after="120" w:line="480" w:lineRule="auto"/>
        <w:ind w:firstLine="360"/>
        <w:contextualSpacing/>
        <w:jc w:val="both"/>
        <w:rPr>
          <w:color w:val="000000" w:themeColor="text1"/>
          <w:lang w:val="en-CA"/>
        </w:rPr>
      </w:pPr>
      <w:r w:rsidRPr="000804FA">
        <w:rPr>
          <w:color w:val="000000" w:themeColor="text1"/>
          <w:lang w:val="en-CA"/>
        </w:rPr>
        <w:t>T</w:t>
      </w:r>
      <w:r w:rsidR="00185651" w:rsidRPr="000804FA">
        <w:rPr>
          <w:color w:val="000000" w:themeColor="text1"/>
          <w:lang w:val="en-CA"/>
        </w:rPr>
        <w:t xml:space="preserve">he </w:t>
      </w:r>
      <w:r w:rsidR="006E0798" w:rsidRPr="000804FA">
        <w:rPr>
          <w:color w:val="000000" w:themeColor="text1"/>
          <w:lang w:val="en-US"/>
        </w:rPr>
        <w:t>t</w:t>
      </w:r>
      <w:r w:rsidR="00C911D9" w:rsidRPr="000804FA">
        <w:rPr>
          <w:color w:val="000000" w:themeColor="text1"/>
          <w:lang w:val="en-US"/>
        </w:rPr>
        <w:t>wo</w:t>
      </w:r>
      <w:r w:rsidR="006E0798" w:rsidRPr="000804FA">
        <w:rPr>
          <w:color w:val="000000" w:themeColor="text1"/>
          <w:lang w:val="en-US"/>
        </w:rPr>
        <w:t xml:space="preserve"> </w:t>
      </w:r>
      <w:r w:rsidR="00185651" w:rsidRPr="000804FA">
        <w:rPr>
          <w:color w:val="000000" w:themeColor="text1"/>
          <w:lang w:val="en-CA"/>
        </w:rPr>
        <w:t xml:space="preserve">guidelines </w:t>
      </w:r>
      <w:r w:rsidR="005800BD" w:rsidRPr="000804FA">
        <w:rPr>
          <w:color w:val="000000" w:themeColor="text1"/>
          <w:lang w:val="en-CA"/>
        </w:rPr>
        <w:t>propose</w:t>
      </w:r>
      <w:r w:rsidR="00185651" w:rsidRPr="000804FA">
        <w:rPr>
          <w:color w:val="000000" w:themeColor="text1"/>
          <w:lang w:val="en-CA"/>
        </w:rPr>
        <w:t xml:space="preserve"> that MV surgery may be considered in patients with severe SMR regardless of the level of LV dysfunction or mechanism of SMR (</w:t>
      </w:r>
      <w:r w:rsidR="00EC514A" w:rsidRPr="000804FA">
        <w:rPr>
          <w:color w:val="000000" w:themeColor="text1"/>
          <w:lang w:val="en-CA"/>
        </w:rPr>
        <w:t xml:space="preserve">i.e. </w:t>
      </w:r>
      <w:r w:rsidR="00185651" w:rsidRPr="000804FA">
        <w:rPr>
          <w:color w:val="000000" w:themeColor="text1"/>
          <w:lang w:val="en-CA"/>
        </w:rPr>
        <w:t xml:space="preserve">ventricular or annular dilation) </w:t>
      </w:r>
      <w:r w:rsidR="005800BD" w:rsidRPr="000804FA">
        <w:rPr>
          <w:color w:val="000000" w:themeColor="text1"/>
          <w:lang w:val="en-CA"/>
        </w:rPr>
        <w:t xml:space="preserve">if </w:t>
      </w:r>
      <w:r w:rsidR="00185651" w:rsidRPr="000804FA">
        <w:rPr>
          <w:color w:val="000000" w:themeColor="text1"/>
          <w:lang w:val="en-CA"/>
        </w:rPr>
        <w:t xml:space="preserve">still symptomatic after </w:t>
      </w:r>
      <w:r w:rsidR="00FF0F39" w:rsidRPr="000804FA">
        <w:rPr>
          <w:color w:val="000000" w:themeColor="text1"/>
          <w:lang w:val="en-CA"/>
        </w:rPr>
        <w:t>GDMT</w:t>
      </w:r>
      <w:r w:rsidR="00185651" w:rsidRPr="000804FA">
        <w:rPr>
          <w:color w:val="000000" w:themeColor="text1"/>
          <w:lang w:val="en-CA"/>
        </w:rPr>
        <w:t xml:space="preserve"> and at low risk for surgery (</w:t>
      </w:r>
      <w:r w:rsidR="0073492F" w:rsidRPr="000804FA">
        <w:rPr>
          <w:color w:val="000000" w:themeColor="text1"/>
          <w:lang w:val="en-CA"/>
        </w:rPr>
        <w:t xml:space="preserve">class </w:t>
      </w:r>
      <w:r w:rsidR="00185651" w:rsidRPr="000804FA">
        <w:rPr>
          <w:color w:val="000000" w:themeColor="text1"/>
          <w:lang w:val="en-CA"/>
        </w:rPr>
        <w:t>IIb), while TEER should be considered in severe SMR patients with appropriate anatomy and fulfilling COAPT criteria who a</w:t>
      </w:r>
      <w:r w:rsidR="00FF0F39" w:rsidRPr="000804FA">
        <w:rPr>
          <w:color w:val="000000" w:themeColor="text1"/>
          <w:lang w:val="en-CA"/>
        </w:rPr>
        <w:t>re still symptomatic after GDMT</w:t>
      </w:r>
      <w:r w:rsidR="00185651" w:rsidRPr="000804FA">
        <w:rPr>
          <w:color w:val="000000" w:themeColor="text1"/>
          <w:lang w:val="en-CA"/>
        </w:rPr>
        <w:t xml:space="preserve"> </w:t>
      </w:r>
      <w:r w:rsidR="00421659" w:rsidRPr="000804FA">
        <w:rPr>
          <w:color w:val="000000" w:themeColor="text1"/>
          <w:lang w:val="en-CA"/>
        </w:rPr>
        <w:t xml:space="preserve">(class </w:t>
      </w:r>
      <w:proofErr w:type="spellStart"/>
      <w:r w:rsidR="00421659" w:rsidRPr="000804FA">
        <w:rPr>
          <w:color w:val="000000" w:themeColor="text1"/>
          <w:lang w:val="en-CA"/>
        </w:rPr>
        <w:t>IIa</w:t>
      </w:r>
      <w:proofErr w:type="spellEnd"/>
      <w:r w:rsidR="00421659" w:rsidRPr="000804FA">
        <w:rPr>
          <w:color w:val="000000" w:themeColor="text1"/>
          <w:lang w:val="en-CA"/>
        </w:rPr>
        <w:t>-B in the</w:t>
      </w:r>
      <w:r w:rsidR="00D76618" w:rsidRPr="000804FA">
        <w:rPr>
          <w:color w:val="000000" w:themeColor="text1"/>
          <w:lang w:val="en-CA"/>
        </w:rPr>
        <w:t xml:space="preserve"> American and </w:t>
      </w:r>
      <w:r w:rsidR="00421659" w:rsidRPr="000804FA">
        <w:rPr>
          <w:color w:val="000000" w:themeColor="text1"/>
          <w:lang w:val="en-CA"/>
        </w:rPr>
        <w:t xml:space="preserve">European guidelines </w:t>
      </w:r>
      <w:r w:rsidR="00EC514A" w:rsidRPr="000804FA">
        <w:rPr>
          <w:b/>
          <w:bCs/>
          <w:i/>
          <w:iCs/>
          <w:color w:val="000000" w:themeColor="text1"/>
          <w:lang w:val="en-CA"/>
        </w:rPr>
        <w:t>(Table 4)</w:t>
      </w:r>
      <w:r w:rsidR="0017554E" w:rsidRPr="000804FA">
        <w:rPr>
          <w:color w:val="000000" w:themeColor="text1"/>
          <w:lang w:val="en-CA"/>
        </w:rPr>
        <w:t>.</w:t>
      </w:r>
    </w:p>
    <w:p w14:paraId="1A0D50B3" w14:textId="4460BABF" w:rsidR="00185651" w:rsidRPr="000804FA" w:rsidRDefault="00185651" w:rsidP="000804FA">
      <w:pPr>
        <w:pStyle w:val="ListParagraph"/>
        <w:numPr>
          <w:ilvl w:val="1"/>
          <w:numId w:val="2"/>
        </w:numPr>
        <w:spacing w:before="240" w:after="120" w:line="480" w:lineRule="auto"/>
        <w:jc w:val="both"/>
        <w:rPr>
          <w:rFonts w:ascii="Times New Roman" w:hAnsi="Times New Roman" w:cs="Times New Roman"/>
          <w:b/>
          <w:bCs/>
          <w:color w:val="000000" w:themeColor="text1"/>
          <w:sz w:val="24"/>
          <w:szCs w:val="24"/>
          <w:lang w:val="en-CA"/>
        </w:rPr>
      </w:pPr>
      <w:r w:rsidRPr="000804FA">
        <w:rPr>
          <w:rFonts w:ascii="Times New Roman" w:hAnsi="Times New Roman" w:cs="Times New Roman"/>
          <w:b/>
          <w:bCs/>
          <w:color w:val="000000" w:themeColor="text1"/>
          <w:sz w:val="24"/>
          <w:szCs w:val="24"/>
          <w:lang w:val="en-CA"/>
        </w:rPr>
        <w:t xml:space="preserve"> Discrepancies between guidelines </w:t>
      </w:r>
    </w:p>
    <w:p w14:paraId="011A8EA4" w14:textId="77777777" w:rsidR="009D526C" w:rsidRPr="000804FA" w:rsidRDefault="009D526C" w:rsidP="000804FA">
      <w:pPr>
        <w:spacing w:after="120" w:line="480" w:lineRule="auto"/>
        <w:contextualSpacing/>
        <w:jc w:val="both"/>
        <w:rPr>
          <w:b/>
          <w:bCs/>
          <w:i/>
          <w:iCs/>
          <w:color w:val="000000" w:themeColor="text1"/>
        </w:rPr>
      </w:pPr>
      <w:proofErr w:type="spellStart"/>
      <w:r w:rsidRPr="000804FA">
        <w:rPr>
          <w:b/>
          <w:bCs/>
          <w:i/>
          <w:iCs/>
          <w:color w:val="000000" w:themeColor="text1"/>
        </w:rPr>
        <w:t>Primary</w:t>
      </w:r>
      <w:proofErr w:type="spellEnd"/>
      <w:r w:rsidRPr="000804FA">
        <w:rPr>
          <w:b/>
          <w:bCs/>
          <w:i/>
          <w:iCs/>
          <w:color w:val="000000" w:themeColor="text1"/>
        </w:rPr>
        <w:t xml:space="preserve"> Mitral </w:t>
      </w:r>
      <w:proofErr w:type="spellStart"/>
      <w:r w:rsidRPr="000804FA">
        <w:rPr>
          <w:b/>
          <w:bCs/>
          <w:i/>
          <w:iCs/>
          <w:color w:val="000000" w:themeColor="text1"/>
        </w:rPr>
        <w:t>Regurgitation</w:t>
      </w:r>
      <w:proofErr w:type="spellEnd"/>
      <w:r w:rsidRPr="000804FA">
        <w:rPr>
          <w:b/>
          <w:bCs/>
          <w:i/>
          <w:iCs/>
          <w:color w:val="000000" w:themeColor="text1"/>
        </w:rPr>
        <w:t xml:space="preserve"> (PMR</w:t>
      </w:r>
      <w:r w:rsidRPr="000804FA">
        <w:rPr>
          <w:color w:val="000000" w:themeColor="text1"/>
        </w:rPr>
        <w:t>)</w:t>
      </w:r>
    </w:p>
    <w:p w14:paraId="4E5F6A7C" w14:textId="07BBE6BD" w:rsidR="00185651" w:rsidRPr="000804FA" w:rsidRDefault="00185651" w:rsidP="000804FA">
      <w:pPr>
        <w:spacing w:after="120" w:line="480" w:lineRule="auto"/>
        <w:ind w:firstLine="708"/>
        <w:contextualSpacing/>
        <w:jc w:val="both"/>
        <w:rPr>
          <w:color w:val="000000" w:themeColor="text1"/>
          <w:lang w:val="en-CA"/>
        </w:rPr>
      </w:pPr>
      <w:r w:rsidRPr="000804FA">
        <w:rPr>
          <w:color w:val="000000" w:themeColor="text1"/>
          <w:lang w:val="en-CA"/>
        </w:rPr>
        <w:t xml:space="preserve">Distinct </w:t>
      </w:r>
      <w:r w:rsidR="009D526C" w:rsidRPr="000804FA">
        <w:rPr>
          <w:color w:val="000000" w:themeColor="text1"/>
          <w:lang w:val="en-CA"/>
        </w:rPr>
        <w:t>from</w:t>
      </w:r>
      <w:r w:rsidRPr="000804FA">
        <w:rPr>
          <w:color w:val="000000" w:themeColor="text1"/>
          <w:lang w:val="en-CA"/>
        </w:rPr>
        <w:t xml:space="preserve"> the </w:t>
      </w:r>
      <w:r w:rsidR="009D526C" w:rsidRPr="000804FA">
        <w:rPr>
          <w:color w:val="000000" w:themeColor="text1"/>
          <w:lang w:val="en-CA"/>
        </w:rPr>
        <w:t xml:space="preserve">European </w:t>
      </w:r>
      <w:r w:rsidR="002F2A4C" w:rsidRPr="000804FA">
        <w:rPr>
          <w:color w:val="000000" w:themeColor="text1"/>
          <w:lang w:val="en-CA"/>
        </w:rPr>
        <w:t>guidelines, the</w:t>
      </w:r>
      <w:r w:rsidRPr="000804FA">
        <w:rPr>
          <w:color w:val="000000" w:themeColor="text1"/>
          <w:lang w:val="en-CA"/>
        </w:rPr>
        <w:t xml:space="preserve"> </w:t>
      </w:r>
      <w:r w:rsidR="009D526C" w:rsidRPr="000804FA">
        <w:rPr>
          <w:color w:val="000000" w:themeColor="text1"/>
          <w:lang w:val="en-CA"/>
        </w:rPr>
        <w:t>American</w:t>
      </w:r>
      <w:r w:rsidRPr="000804FA">
        <w:rPr>
          <w:color w:val="000000" w:themeColor="text1"/>
          <w:lang w:val="en-CA"/>
        </w:rPr>
        <w:t xml:space="preserve"> </w:t>
      </w:r>
      <w:r w:rsidR="00E15D07" w:rsidRPr="000804FA">
        <w:rPr>
          <w:color w:val="000000" w:themeColor="text1"/>
          <w:lang w:val="en-CA"/>
        </w:rPr>
        <w:t>g</w:t>
      </w:r>
      <w:r w:rsidRPr="000804FA">
        <w:rPr>
          <w:color w:val="000000" w:themeColor="text1"/>
          <w:lang w:val="en-CA"/>
        </w:rPr>
        <w:t>uidelines provide specific recommendation for the type of MV surgery</w:t>
      </w:r>
      <w:r w:rsidR="00302074" w:rsidRPr="000804FA">
        <w:rPr>
          <w:color w:val="000000" w:themeColor="text1"/>
          <w:lang w:val="en-CA"/>
        </w:rPr>
        <w:t>:</w:t>
      </w:r>
      <w:r w:rsidRPr="000804FA">
        <w:rPr>
          <w:color w:val="000000" w:themeColor="text1"/>
          <w:lang w:val="en-CA"/>
        </w:rPr>
        <w:t xml:space="preserve"> MV repair is recommended in preference to </w:t>
      </w:r>
      <w:r w:rsidR="00E37BB5" w:rsidRPr="000804FA">
        <w:rPr>
          <w:color w:val="000000" w:themeColor="text1"/>
          <w:lang w:val="en-CA"/>
        </w:rPr>
        <w:t>MV</w:t>
      </w:r>
      <w:r w:rsidRPr="000804FA">
        <w:rPr>
          <w:color w:val="000000" w:themeColor="text1"/>
          <w:lang w:val="en-CA"/>
        </w:rPr>
        <w:t xml:space="preserve"> replacement in degenerative disease </w:t>
      </w:r>
      <w:r w:rsidR="00C47C85" w:rsidRPr="000804FA">
        <w:rPr>
          <w:color w:val="000000" w:themeColor="text1"/>
          <w:lang w:val="en-CA"/>
        </w:rPr>
        <w:t xml:space="preserve">if a successful and durable repair is possible </w:t>
      </w:r>
      <w:r w:rsidRPr="000804FA">
        <w:rPr>
          <w:color w:val="000000" w:themeColor="text1"/>
          <w:lang w:val="en-CA"/>
        </w:rPr>
        <w:t>(</w:t>
      </w:r>
      <w:r w:rsidR="0073492F" w:rsidRPr="000804FA">
        <w:rPr>
          <w:color w:val="000000" w:themeColor="text1"/>
          <w:lang w:val="en-CA"/>
        </w:rPr>
        <w:t xml:space="preserve">class </w:t>
      </w:r>
      <w:r w:rsidRPr="000804FA">
        <w:rPr>
          <w:color w:val="000000" w:themeColor="text1"/>
          <w:lang w:val="en-CA"/>
        </w:rPr>
        <w:t>I</w:t>
      </w:r>
      <w:r w:rsidR="0073492F" w:rsidRPr="000804FA">
        <w:rPr>
          <w:color w:val="000000" w:themeColor="text1"/>
          <w:lang w:val="en-CA"/>
        </w:rPr>
        <w:t>-</w:t>
      </w:r>
      <w:r w:rsidRPr="000804FA">
        <w:rPr>
          <w:color w:val="000000" w:themeColor="text1"/>
          <w:lang w:val="en-CA"/>
        </w:rPr>
        <w:t>B)</w:t>
      </w:r>
      <w:r w:rsidR="00E37BB5" w:rsidRPr="000804FA">
        <w:rPr>
          <w:color w:val="000000" w:themeColor="text1"/>
          <w:lang w:val="en-CA"/>
        </w:rPr>
        <w:t xml:space="preserve"> </w:t>
      </w:r>
      <w:r w:rsidR="00E37BB5" w:rsidRPr="000804FA">
        <w:rPr>
          <w:color w:val="000000" w:themeColor="text1"/>
          <w:lang w:val="en-CA"/>
        </w:rPr>
        <w:lastRenderedPageBreak/>
        <w:t xml:space="preserve">whereas </w:t>
      </w:r>
      <w:r w:rsidRPr="000804FA">
        <w:rPr>
          <w:color w:val="000000" w:themeColor="text1"/>
          <w:lang w:val="en-CA"/>
        </w:rPr>
        <w:t xml:space="preserve">MV replacement </w:t>
      </w:r>
      <w:r w:rsidR="00E37BB5" w:rsidRPr="000804FA">
        <w:rPr>
          <w:color w:val="000000" w:themeColor="text1"/>
          <w:lang w:val="en-CA"/>
        </w:rPr>
        <w:t>should not be considered unless MV</w:t>
      </w:r>
      <w:r w:rsidR="00E37BB5" w:rsidRPr="000804FA">
        <w:rPr>
          <w:color w:val="000000" w:themeColor="text1"/>
          <w:lang w:val="en-US"/>
        </w:rPr>
        <w:t xml:space="preserve"> repair has been</w:t>
      </w:r>
      <w:r w:rsidR="00E37BB5" w:rsidRPr="000804FA">
        <w:rPr>
          <w:color w:val="000000" w:themeColor="text1"/>
          <w:lang w:val="en-CA"/>
        </w:rPr>
        <w:t xml:space="preserve"> primarily</w:t>
      </w:r>
      <w:r w:rsidR="00E37BB5" w:rsidRPr="000804FA">
        <w:rPr>
          <w:color w:val="000000" w:themeColor="text1"/>
          <w:lang w:val="en-US"/>
        </w:rPr>
        <w:t xml:space="preserve"> attempted</w:t>
      </w:r>
      <w:r w:rsidR="00E37BB5" w:rsidRPr="000804FA">
        <w:rPr>
          <w:color w:val="000000" w:themeColor="text1"/>
          <w:lang w:val="en-CA"/>
        </w:rPr>
        <w:t xml:space="preserve"> </w:t>
      </w:r>
      <w:r w:rsidRPr="000804FA">
        <w:rPr>
          <w:color w:val="000000" w:themeColor="text1"/>
          <w:lang w:val="en-CA"/>
        </w:rPr>
        <w:t>(</w:t>
      </w:r>
      <w:r w:rsidR="0073492F" w:rsidRPr="000804FA">
        <w:rPr>
          <w:color w:val="000000" w:themeColor="text1"/>
          <w:lang w:val="en-CA"/>
        </w:rPr>
        <w:t xml:space="preserve">class </w:t>
      </w:r>
      <w:r w:rsidRPr="000804FA">
        <w:rPr>
          <w:color w:val="000000" w:themeColor="text1"/>
          <w:lang w:val="en-CA"/>
        </w:rPr>
        <w:t>III</w:t>
      </w:r>
      <w:r w:rsidR="0073492F" w:rsidRPr="000804FA">
        <w:rPr>
          <w:color w:val="000000" w:themeColor="text1"/>
          <w:lang w:val="en-CA"/>
        </w:rPr>
        <w:t>-</w:t>
      </w:r>
      <w:r w:rsidR="00716EEB" w:rsidRPr="000804FA">
        <w:rPr>
          <w:color w:val="000000" w:themeColor="text1"/>
          <w:lang w:val="en-CA"/>
        </w:rPr>
        <w:t>B)</w:t>
      </w:r>
      <w:r w:rsidR="00EC514A" w:rsidRPr="000804FA">
        <w:rPr>
          <w:color w:val="000000" w:themeColor="text1"/>
          <w:lang w:val="en-CA"/>
        </w:rPr>
        <w:t xml:space="preserve"> </w:t>
      </w:r>
      <w:r w:rsidR="00EC514A" w:rsidRPr="000804FA">
        <w:rPr>
          <w:b/>
          <w:bCs/>
          <w:i/>
          <w:iCs/>
          <w:color w:val="000000" w:themeColor="text1"/>
          <w:lang w:val="en-CA"/>
        </w:rPr>
        <w:t>(Table 3)</w:t>
      </w:r>
      <w:r w:rsidR="00421659" w:rsidRPr="000804FA">
        <w:rPr>
          <w:color w:val="000000" w:themeColor="text1"/>
          <w:lang w:val="en-CA"/>
        </w:rPr>
        <w:t xml:space="preserve">. </w:t>
      </w:r>
      <w:r w:rsidR="00F60296" w:rsidRPr="000804FA">
        <w:rPr>
          <w:color w:val="000000" w:themeColor="text1"/>
          <w:lang w:val="en-CA"/>
        </w:rPr>
        <w:t xml:space="preserve">A successful and durable MV repair is defined only in the American guidelines. </w:t>
      </w:r>
      <w:r w:rsidRPr="000804FA">
        <w:rPr>
          <w:color w:val="000000" w:themeColor="text1"/>
          <w:lang w:val="en-CA"/>
        </w:rPr>
        <w:t xml:space="preserve">MV repair may also be considered in rheumatic </w:t>
      </w:r>
      <w:r w:rsidRPr="000804FA">
        <w:rPr>
          <w:color w:val="000000" w:themeColor="text1"/>
          <w:lang w:val="en-GB"/>
        </w:rPr>
        <w:t>etiology</w:t>
      </w:r>
      <w:r w:rsidRPr="000804FA">
        <w:rPr>
          <w:color w:val="000000" w:themeColor="text1"/>
          <w:lang w:val="en-CA"/>
        </w:rPr>
        <w:t xml:space="preserve"> when procedure is performed by experienced surgical team in</w:t>
      </w:r>
      <w:r w:rsidR="009D526C" w:rsidRPr="000804FA">
        <w:rPr>
          <w:color w:val="000000" w:themeColor="text1"/>
          <w:lang w:val="en-CA"/>
        </w:rPr>
        <w:t xml:space="preserve"> a</w:t>
      </w:r>
      <w:r w:rsidRPr="000804FA">
        <w:rPr>
          <w:color w:val="000000" w:themeColor="text1"/>
          <w:lang w:val="en-CA"/>
        </w:rPr>
        <w:t xml:space="preserve"> Valve Center (</w:t>
      </w:r>
      <w:r w:rsidR="0073492F" w:rsidRPr="000804FA">
        <w:rPr>
          <w:color w:val="000000" w:themeColor="text1"/>
          <w:lang w:val="en-CA"/>
        </w:rPr>
        <w:t xml:space="preserve">class </w:t>
      </w:r>
      <w:r w:rsidRPr="000804FA">
        <w:rPr>
          <w:color w:val="000000" w:themeColor="text1"/>
          <w:lang w:val="en-CA"/>
        </w:rPr>
        <w:t>IIb</w:t>
      </w:r>
      <w:r w:rsidR="0073492F" w:rsidRPr="000804FA">
        <w:rPr>
          <w:color w:val="000000" w:themeColor="text1"/>
          <w:lang w:val="en-CA"/>
        </w:rPr>
        <w:t>-</w:t>
      </w:r>
      <w:r w:rsidRPr="000804FA">
        <w:rPr>
          <w:color w:val="000000" w:themeColor="text1"/>
          <w:lang w:val="en-CA"/>
        </w:rPr>
        <w:t xml:space="preserve">B). </w:t>
      </w:r>
    </w:p>
    <w:p w14:paraId="4374F589" w14:textId="00E26BFA" w:rsidR="00C911D9" w:rsidRPr="000804FA" w:rsidRDefault="00185651" w:rsidP="000804FA">
      <w:pPr>
        <w:autoSpaceDE w:val="0"/>
        <w:autoSpaceDN w:val="0"/>
        <w:adjustRightInd w:val="0"/>
        <w:spacing w:after="240" w:line="480" w:lineRule="auto"/>
        <w:ind w:firstLine="708"/>
        <w:contextualSpacing/>
        <w:jc w:val="both"/>
        <w:rPr>
          <w:rFonts w:eastAsiaTheme="minorHAnsi"/>
          <w:color w:val="000000" w:themeColor="text1"/>
          <w:lang w:val="en-US" w:eastAsia="en-US"/>
        </w:rPr>
      </w:pPr>
      <w:r w:rsidRPr="000804FA">
        <w:rPr>
          <w:color w:val="000000" w:themeColor="text1"/>
          <w:lang w:val="en-CA"/>
        </w:rPr>
        <w:t xml:space="preserve">Although, both </w:t>
      </w:r>
      <w:r w:rsidR="00D76618" w:rsidRPr="000804FA">
        <w:rPr>
          <w:color w:val="000000" w:themeColor="text1"/>
          <w:lang w:val="en-CA"/>
        </w:rPr>
        <w:t xml:space="preserve">American and </w:t>
      </w:r>
      <w:r w:rsidRPr="000804FA">
        <w:rPr>
          <w:color w:val="000000" w:themeColor="text1"/>
          <w:lang w:val="en-CA"/>
        </w:rPr>
        <w:t>E</w:t>
      </w:r>
      <w:r w:rsidR="009D526C" w:rsidRPr="000804FA">
        <w:rPr>
          <w:color w:val="000000" w:themeColor="text1"/>
          <w:lang w:val="en-CA"/>
        </w:rPr>
        <w:t>uropean</w:t>
      </w:r>
      <w:r w:rsidRPr="000804FA">
        <w:rPr>
          <w:color w:val="000000" w:themeColor="text1"/>
          <w:lang w:val="en-CA"/>
        </w:rPr>
        <w:t xml:space="preserve"> </w:t>
      </w:r>
      <w:r w:rsidR="009D526C" w:rsidRPr="000804FA">
        <w:rPr>
          <w:color w:val="000000" w:themeColor="text1"/>
          <w:lang w:val="en-CA"/>
        </w:rPr>
        <w:t>g</w:t>
      </w:r>
      <w:r w:rsidRPr="000804FA">
        <w:rPr>
          <w:color w:val="000000" w:themeColor="text1"/>
          <w:lang w:val="en-CA"/>
        </w:rPr>
        <w:t xml:space="preserve">uidelines agree that symptoms do not always coincide with LV dysfunction, other associated triggers for intervention or imaging </w:t>
      </w:r>
      <w:r w:rsidR="005A4C24" w:rsidRPr="000804FA">
        <w:rPr>
          <w:color w:val="000000" w:themeColor="text1"/>
          <w:lang w:val="en-CA"/>
        </w:rPr>
        <w:t>follow-up</w:t>
      </w:r>
      <w:r w:rsidRPr="000804FA">
        <w:rPr>
          <w:color w:val="000000" w:themeColor="text1"/>
          <w:lang w:val="en-CA"/>
        </w:rPr>
        <w:t xml:space="preserve"> are necessary to plan surgery before severe LV dysfunction occurrence</w:t>
      </w:r>
      <w:r w:rsidR="00EC514A" w:rsidRPr="000804FA">
        <w:rPr>
          <w:color w:val="000000" w:themeColor="text1"/>
          <w:lang w:val="en-CA"/>
        </w:rPr>
        <w:t xml:space="preserve"> </w:t>
      </w:r>
      <w:r w:rsidR="00EC514A" w:rsidRPr="000804FA">
        <w:rPr>
          <w:b/>
          <w:bCs/>
          <w:i/>
          <w:iCs/>
          <w:color w:val="000000" w:themeColor="text1"/>
          <w:lang w:val="en-CA"/>
        </w:rPr>
        <w:t>(Table 3)</w:t>
      </w:r>
      <w:r w:rsidRPr="000804FA">
        <w:rPr>
          <w:color w:val="000000" w:themeColor="text1"/>
          <w:lang w:val="en-CA"/>
        </w:rPr>
        <w:t>. For asym</w:t>
      </w:r>
      <w:r w:rsidR="00E906A8" w:rsidRPr="000804FA">
        <w:rPr>
          <w:color w:val="000000" w:themeColor="text1"/>
          <w:lang w:val="en-CA"/>
        </w:rPr>
        <w:t>p</w:t>
      </w:r>
      <w:r w:rsidRPr="000804FA">
        <w:rPr>
          <w:color w:val="000000" w:themeColor="text1"/>
          <w:lang w:val="en-CA"/>
        </w:rPr>
        <w:t>tomatic patients</w:t>
      </w:r>
      <w:r w:rsidR="00716EEB" w:rsidRPr="000804FA">
        <w:rPr>
          <w:color w:val="000000" w:themeColor="text1"/>
          <w:lang w:val="en-CA"/>
        </w:rPr>
        <w:t xml:space="preserve"> with severe primary MR</w:t>
      </w:r>
      <w:r w:rsidRPr="000804FA">
        <w:rPr>
          <w:color w:val="000000" w:themeColor="text1"/>
          <w:lang w:val="en-CA"/>
        </w:rPr>
        <w:t xml:space="preserve"> without LV dysfunction, the two </w:t>
      </w:r>
      <w:r w:rsidR="005A4C24" w:rsidRPr="000804FA">
        <w:rPr>
          <w:color w:val="000000" w:themeColor="text1"/>
          <w:lang w:val="en-CA"/>
        </w:rPr>
        <w:t>gu</w:t>
      </w:r>
      <w:r w:rsidRPr="000804FA">
        <w:rPr>
          <w:color w:val="000000" w:themeColor="text1"/>
          <w:lang w:val="en-CA"/>
        </w:rPr>
        <w:t>idelines have different thresholds for surgery, with slightly different classes of recommendations</w:t>
      </w:r>
      <w:r w:rsidR="00BE2F9A" w:rsidRPr="000804FA">
        <w:rPr>
          <w:color w:val="000000" w:themeColor="text1"/>
          <w:lang w:val="en-CA"/>
        </w:rPr>
        <w:t xml:space="preserve"> (</w:t>
      </w:r>
      <w:r w:rsidR="00BE2F9A" w:rsidRPr="000804FA">
        <w:rPr>
          <w:b/>
          <w:bCs/>
          <w:i/>
          <w:iCs/>
          <w:color w:val="000000" w:themeColor="text1"/>
          <w:lang w:val="en-CA"/>
        </w:rPr>
        <w:t>Figure 3</w:t>
      </w:r>
      <w:r w:rsidR="00BE2F9A" w:rsidRPr="000804FA">
        <w:rPr>
          <w:color w:val="000000" w:themeColor="text1"/>
          <w:lang w:val="en-CA"/>
        </w:rPr>
        <w:t>)</w:t>
      </w:r>
      <w:r w:rsidRPr="000804FA">
        <w:rPr>
          <w:color w:val="000000" w:themeColor="text1"/>
          <w:lang w:val="en-CA"/>
        </w:rPr>
        <w:t xml:space="preserve">. </w:t>
      </w:r>
      <w:r w:rsidR="00282D09" w:rsidRPr="000804FA">
        <w:rPr>
          <w:color w:val="000000" w:themeColor="text1"/>
          <w:lang w:val="en-US"/>
        </w:rPr>
        <w:t>F</w:t>
      </w:r>
      <w:r w:rsidR="004B1626" w:rsidRPr="000804FA">
        <w:rPr>
          <w:color w:val="000000" w:themeColor="text1"/>
          <w:lang w:val="en-US"/>
        </w:rPr>
        <w:t>or t</w:t>
      </w:r>
      <w:r w:rsidR="004B1626" w:rsidRPr="000804FA">
        <w:rPr>
          <w:color w:val="000000" w:themeColor="text1"/>
          <w:lang w:val="en-CA"/>
        </w:rPr>
        <w:t>he American guidelines</w:t>
      </w:r>
      <w:r w:rsidR="004B1626" w:rsidRPr="000804FA">
        <w:rPr>
          <w:color w:val="000000" w:themeColor="text1"/>
          <w:lang w:val="en-US"/>
        </w:rPr>
        <w:t>,</w:t>
      </w:r>
      <w:r w:rsidR="004B1626" w:rsidRPr="000804FA">
        <w:rPr>
          <w:color w:val="000000" w:themeColor="text1"/>
          <w:lang w:val="en-CA"/>
        </w:rPr>
        <w:t xml:space="preserve"> </w:t>
      </w:r>
      <w:r w:rsidR="004B1626" w:rsidRPr="000804FA">
        <w:rPr>
          <w:rFonts w:eastAsiaTheme="minorHAnsi"/>
          <w:color w:val="000000" w:themeColor="text1"/>
          <w:lang w:val="en-US" w:eastAsia="en-US"/>
        </w:rPr>
        <w:t>mitral valve repair is reasonable when the likelihood of a successful and durable repair without residual MR is &gt;95% with an expected mortality rate of &lt;1%, when it can be performed at a Primary or Comprehensive Valve Center</w:t>
      </w:r>
      <w:r w:rsidR="004B1626" w:rsidRPr="000804FA">
        <w:rPr>
          <w:color w:val="000000" w:themeColor="text1"/>
          <w:lang w:val="en-US"/>
        </w:rPr>
        <w:t xml:space="preserve"> (class </w:t>
      </w:r>
      <w:proofErr w:type="spellStart"/>
      <w:r w:rsidR="004B1626" w:rsidRPr="000804FA">
        <w:rPr>
          <w:color w:val="000000" w:themeColor="text1"/>
          <w:lang w:val="en-US"/>
        </w:rPr>
        <w:t>IIa</w:t>
      </w:r>
      <w:proofErr w:type="spellEnd"/>
      <w:r w:rsidR="004B1626" w:rsidRPr="000804FA">
        <w:rPr>
          <w:color w:val="000000" w:themeColor="text1"/>
          <w:lang w:val="en-US"/>
        </w:rPr>
        <w:t>-B)</w:t>
      </w:r>
      <w:r w:rsidR="00282D09" w:rsidRPr="000804FA">
        <w:rPr>
          <w:color w:val="000000" w:themeColor="text1"/>
          <w:lang w:val="en-US"/>
        </w:rPr>
        <w:t xml:space="preserve"> or in case of</w:t>
      </w:r>
      <w:r w:rsidR="00282D09" w:rsidRPr="000804FA">
        <w:rPr>
          <w:color w:val="000000" w:themeColor="text1"/>
          <w:lang w:val="en-CA"/>
        </w:rPr>
        <w:t xml:space="preserve"> progressive increase in LV size or decrease in LVEF on &gt;3 serial follow-up studies</w:t>
      </w:r>
      <w:r w:rsidR="00282D09" w:rsidRPr="000804FA">
        <w:rPr>
          <w:color w:val="000000" w:themeColor="text1"/>
          <w:lang w:val="en-US"/>
        </w:rPr>
        <w:t xml:space="preserve"> </w:t>
      </w:r>
      <w:r w:rsidR="00282D09" w:rsidRPr="000804FA">
        <w:rPr>
          <w:color w:val="000000" w:themeColor="text1"/>
          <w:lang w:val="en-CA"/>
        </w:rPr>
        <w:t>(class IIb-C),</w:t>
      </w:r>
      <w:r w:rsidR="004B1626" w:rsidRPr="000804FA">
        <w:rPr>
          <w:color w:val="000000" w:themeColor="text1"/>
          <w:lang w:val="en-US"/>
        </w:rPr>
        <w:t xml:space="preserve"> </w:t>
      </w:r>
      <w:r w:rsidR="00282D09" w:rsidRPr="000804FA">
        <w:rPr>
          <w:color w:val="000000" w:themeColor="text1"/>
          <w:lang w:val="en-US"/>
        </w:rPr>
        <w:t xml:space="preserve">while </w:t>
      </w:r>
      <w:r w:rsidR="004B1626" w:rsidRPr="000804FA">
        <w:rPr>
          <w:color w:val="000000" w:themeColor="text1"/>
          <w:lang w:val="en-US"/>
        </w:rPr>
        <w:t xml:space="preserve">for the European guidelines </w:t>
      </w:r>
      <w:r w:rsidR="004B1626" w:rsidRPr="000804FA">
        <w:rPr>
          <w:rFonts w:eastAsiaTheme="minorHAnsi"/>
          <w:color w:val="000000" w:themeColor="text1"/>
          <w:lang w:val="en-US" w:eastAsia="en-US"/>
        </w:rPr>
        <w:t>watchful waiting is a safe strategy</w:t>
      </w:r>
      <w:r w:rsidR="00282D09" w:rsidRPr="000804FA">
        <w:rPr>
          <w:rFonts w:eastAsiaTheme="minorHAnsi"/>
          <w:color w:val="000000" w:themeColor="text1"/>
          <w:lang w:val="en-US" w:eastAsia="en-US"/>
        </w:rPr>
        <w:t xml:space="preserve"> except in</w:t>
      </w:r>
      <w:r w:rsidR="00282D09" w:rsidRPr="000804FA">
        <w:rPr>
          <w:color w:val="000000" w:themeColor="text1"/>
          <w:lang w:val="en-US"/>
        </w:rPr>
        <w:t xml:space="preserve"> the</w:t>
      </w:r>
      <w:r w:rsidR="00716EEB" w:rsidRPr="000804FA">
        <w:rPr>
          <w:color w:val="000000" w:themeColor="text1"/>
          <w:lang w:val="en-CA"/>
        </w:rPr>
        <w:t xml:space="preserve"> presence of atrial fibrillation </w:t>
      </w:r>
      <w:r w:rsidRPr="000804FA">
        <w:rPr>
          <w:color w:val="000000" w:themeColor="text1"/>
          <w:lang w:val="en-CA"/>
        </w:rPr>
        <w:t xml:space="preserve">or </w:t>
      </w:r>
      <w:r w:rsidR="00716EEB" w:rsidRPr="000804FA">
        <w:rPr>
          <w:color w:val="000000" w:themeColor="text1"/>
          <w:lang w:val="en-CA"/>
        </w:rPr>
        <w:t xml:space="preserve">systolic pulmonary arterial pressure </w:t>
      </w:r>
      <w:r w:rsidRPr="000804FA">
        <w:rPr>
          <w:color w:val="000000" w:themeColor="text1"/>
          <w:lang w:val="en-CA"/>
        </w:rPr>
        <w:t>&gt;50mmHg (</w:t>
      </w:r>
      <w:r w:rsidR="0073492F" w:rsidRPr="000804FA">
        <w:rPr>
          <w:color w:val="000000" w:themeColor="text1"/>
          <w:lang w:val="en-CA"/>
        </w:rPr>
        <w:t xml:space="preserve">class </w:t>
      </w:r>
      <w:proofErr w:type="spellStart"/>
      <w:r w:rsidRPr="000804FA">
        <w:rPr>
          <w:color w:val="000000" w:themeColor="text1"/>
          <w:lang w:val="en-CA"/>
        </w:rPr>
        <w:t>IIa</w:t>
      </w:r>
      <w:proofErr w:type="spellEnd"/>
      <w:r w:rsidR="0073492F" w:rsidRPr="000804FA">
        <w:rPr>
          <w:color w:val="000000" w:themeColor="text1"/>
          <w:lang w:val="en-CA"/>
        </w:rPr>
        <w:t>-</w:t>
      </w:r>
      <w:r w:rsidRPr="000804FA">
        <w:rPr>
          <w:color w:val="000000" w:themeColor="text1"/>
          <w:lang w:val="en-CA"/>
        </w:rPr>
        <w:t>B).</w:t>
      </w:r>
      <w:r w:rsidR="009C5E6C" w:rsidRPr="000804FA">
        <w:rPr>
          <w:color w:val="000000" w:themeColor="text1"/>
          <w:lang w:val="en-CA"/>
        </w:rPr>
        <w:t xml:space="preserve"> </w:t>
      </w:r>
    </w:p>
    <w:p w14:paraId="62659D8F" w14:textId="296DF112" w:rsidR="005A4C24" w:rsidRPr="000804FA" w:rsidRDefault="005A4C24" w:rsidP="000804FA">
      <w:pPr>
        <w:spacing w:after="120" w:line="480" w:lineRule="auto"/>
        <w:contextualSpacing/>
        <w:jc w:val="both"/>
        <w:rPr>
          <w:b/>
          <w:bCs/>
          <w:i/>
          <w:iCs/>
          <w:color w:val="000000" w:themeColor="text1"/>
          <w:lang w:val="en-CA"/>
        </w:rPr>
      </w:pPr>
      <w:r w:rsidRPr="000804FA">
        <w:rPr>
          <w:b/>
          <w:bCs/>
          <w:i/>
          <w:iCs/>
          <w:color w:val="000000" w:themeColor="text1"/>
          <w:lang w:val="en-CA"/>
        </w:rPr>
        <w:t>Secondary Mitral Regurgitation (SMR)</w:t>
      </w:r>
    </w:p>
    <w:p w14:paraId="6F83620A" w14:textId="042B9D43" w:rsidR="00185651" w:rsidRPr="000804FA" w:rsidRDefault="00185651" w:rsidP="000804FA">
      <w:pPr>
        <w:spacing w:after="120" w:line="480" w:lineRule="auto"/>
        <w:ind w:firstLine="708"/>
        <w:contextualSpacing/>
        <w:jc w:val="both"/>
        <w:rPr>
          <w:color w:val="000000" w:themeColor="text1"/>
          <w:lang w:val="en-CA"/>
        </w:rPr>
      </w:pPr>
      <w:r w:rsidRPr="000804FA">
        <w:rPr>
          <w:color w:val="000000" w:themeColor="text1"/>
          <w:lang w:val="en-CA"/>
        </w:rPr>
        <w:t xml:space="preserve">In patients with severe symptomatic SMR, MV surgery is </w:t>
      </w:r>
      <w:r w:rsidR="00140479" w:rsidRPr="000804FA">
        <w:rPr>
          <w:color w:val="000000" w:themeColor="text1"/>
          <w:lang w:val="en-CA"/>
        </w:rPr>
        <w:t xml:space="preserve">recommended, albeit at different </w:t>
      </w:r>
      <w:r w:rsidR="000E67F9" w:rsidRPr="000804FA">
        <w:rPr>
          <w:color w:val="000000" w:themeColor="text1"/>
          <w:lang w:val="en-CA"/>
        </w:rPr>
        <w:t>class</w:t>
      </w:r>
      <w:r w:rsidR="00140479" w:rsidRPr="000804FA">
        <w:rPr>
          <w:color w:val="000000" w:themeColor="text1"/>
          <w:lang w:val="en-CA"/>
        </w:rPr>
        <w:t>,</w:t>
      </w:r>
      <w:r w:rsidRPr="000804FA">
        <w:rPr>
          <w:color w:val="000000" w:themeColor="text1"/>
          <w:lang w:val="en-CA"/>
        </w:rPr>
        <w:t xml:space="preserve"> in </w:t>
      </w:r>
      <w:r w:rsidR="000E67F9" w:rsidRPr="000804FA">
        <w:rPr>
          <w:color w:val="000000" w:themeColor="text1"/>
          <w:lang w:val="en-CA"/>
        </w:rPr>
        <w:t xml:space="preserve">the American and the European </w:t>
      </w:r>
      <w:r w:rsidRPr="000804FA">
        <w:rPr>
          <w:color w:val="000000" w:themeColor="text1"/>
          <w:lang w:val="en-CA"/>
        </w:rPr>
        <w:t>guidelines (</w:t>
      </w:r>
      <w:r w:rsidR="0073492F" w:rsidRPr="000804FA">
        <w:rPr>
          <w:color w:val="000000" w:themeColor="text1"/>
          <w:lang w:val="en-CA"/>
        </w:rPr>
        <w:t xml:space="preserve">class </w:t>
      </w:r>
      <w:proofErr w:type="spellStart"/>
      <w:r w:rsidRPr="000804FA">
        <w:rPr>
          <w:color w:val="000000" w:themeColor="text1"/>
          <w:lang w:val="en-CA"/>
        </w:rPr>
        <w:t>IIa</w:t>
      </w:r>
      <w:proofErr w:type="spellEnd"/>
      <w:r w:rsidR="0073492F" w:rsidRPr="000804FA">
        <w:rPr>
          <w:color w:val="000000" w:themeColor="text1"/>
          <w:lang w:val="en-CA"/>
        </w:rPr>
        <w:t>-</w:t>
      </w:r>
      <w:r w:rsidRPr="000804FA">
        <w:rPr>
          <w:color w:val="000000" w:themeColor="text1"/>
          <w:lang w:val="en-CA"/>
        </w:rPr>
        <w:t xml:space="preserve">B in the </w:t>
      </w:r>
      <w:r w:rsidR="005A4C24" w:rsidRPr="000804FA">
        <w:rPr>
          <w:color w:val="000000" w:themeColor="text1"/>
          <w:lang w:val="en-CA"/>
        </w:rPr>
        <w:t>American</w:t>
      </w:r>
      <w:r w:rsidRPr="000804FA">
        <w:rPr>
          <w:color w:val="000000" w:themeColor="text1"/>
          <w:lang w:val="en-CA"/>
        </w:rPr>
        <w:t xml:space="preserve"> guidelines and I/B in the </w:t>
      </w:r>
      <w:r w:rsidR="005A4C24" w:rsidRPr="000804FA">
        <w:rPr>
          <w:color w:val="000000" w:themeColor="text1"/>
          <w:lang w:val="en-CA"/>
        </w:rPr>
        <w:t>European</w:t>
      </w:r>
      <w:r w:rsidRPr="000804FA">
        <w:rPr>
          <w:color w:val="000000" w:themeColor="text1"/>
          <w:lang w:val="en-CA"/>
        </w:rPr>
        <w:t xml:space="preserve"> </w:t>
      </w:r>
      <w:r w:rsidR="005A4C24" w:rsidRPr="000804FA">
        <w:rPr>
          <w:color w:val="000000" w:themeColor="text1"/>
          <w:lang w:val="en-CA"/>
        </w:rPr>
        <w:t>g</w:t>
      </w:r>
      <w:r w:rsidRPr="000804FA">
        <w:rPr>
          <w:color w:val="000000" w:themeColor="text1"/>
          <w:lang w:val="en-CA"/>
        </w:rPr>
        <w:t xml:space="preserve">uidelines) at the time of CABG </w:t>
      </w:r>
      <w:r w:rsidR="00716EEB" w:rsidRPr="000804FA">
        <w:rPr>
          <w:color w:val="000000" w:themeColor="text1"/>
          <w:lang w:val="en-CA"/>
        </w:rPr>
        <w:t>for the</w:t>
      </w:r>
      <w:r w:rsidRPr="000804FA">
        <w:rPr>
          <w:color w:val="000000" w:themeColor="text1"/>
          <w:lang w:val="en-CA"/>
        </w:rPr>
        <w:t xml:space="preserve"> treatment of myocardial ischemia</w:t>
      </w:r>
      <w:r w:rsidR="00A51527" w:rsidRPr="000804FA">
        <w:rPr>
          <w:color w:val="000000" w:themeColor="text1"/>
          <w:lang w:val="en-CA"/>
        </w:rPr>
        <w:t xml:space="preserve"> </w:t>
      </w:r>
      <w:r w:rsidR="00A51527" w:rsidRPr="000804FA">
        <w:rPr>
          <w:b/>
          <w:bCs/>
          <w:i/>
          <w:iCs/>
          <w:color w:val="000000" w:themeColor="text1"/>
          <w:lang w:val="en-CA"/>
        </w:rPr>
        <w:t xml:space="preserve">(Table </w:t>
      </w:r>
      <w:r w:rsidR="0031101E" w:rsidRPr="000804FA">
        <w:rPr>
          <w:b/>
          <w:bCs/>
          <w:i/>
          <w:iCs/>
          <w:color w:val="000000" w:themeColor="text1"/>
          <w:lang w:val="en-CA"/>
        </w:rPr>
        <w:t>3</w:t>
      </w:r>
      <w:r w:rsidR="00BE2F9A" w:rsidRPr="000804FA">
        <w:rPr>
          <w:b/>
          <w:bCs/>
          <w:i/>
          <w:iCs/>
          <w:color w:val="000000" w:themeColor="text1"/>
          <w:lang w:val="en-CA"/>
        </w:rPr>
        <w:t>, Figure 4</w:t>
      </w:r>
      <w:r w:rsidR="00A51527" w:rsidRPr="000804FA">
        <w:rPr>
          <w:b/>
          <w:bCs/>
          <w:i/>
          <w:iCs/>
          <w:color w:val="000000" w:themeColor="text1"/>
          <w:lang w:val="en-CA"/>
        </w:rPr>
        <w:t>)</w:t>
      </w:r>
      <w:r w:rsidRPr="000804FA">
        <w:rPr>
          <w:color w:val="000000" w:themeColor="text1"/>
          <w:lang w:val="en-CA"/>
        </w:rPr>
        <w:t xml:space="preserve">. </w:t>
      </w:r>
      <w:r w:rsidR="00A51527" w:rsidRPr="000804FA">
        <w:rPr>
          <w:color w:val="000000" w:themeColor="text1"/>
          <w:lang w:val="en-CA"/>
        </w:rPr>
        <w:t xml:space="preserve">For </w:t>
      </w:r>
      <w:r w:rsidRPr="000804FA">
        <w:rPr>
          <w:color w:val="000000" w:themeColor="text1"/>
          <w:lang w:val="en-CA"/>
        </w:rPr>
        <w:t xml:space="preserve">patients with </w:t>
      </w:r>
      <w:r w:rsidR="00716EEB" w:rsidRPr="000804FA">
        <w:rPr>
          <w:color w:val="000000" w:themeColor="text1"/>
          <w:lang w:val="en-CA"/>
        </w:rPr>
        <w:t>coronary artery disease</w:t>
      </w:r>
      <w:r w:rsidRPr="000804FA">
        <w:rPr>
          <w:color w:val="000000" w:themeColor="text1"/>
          <w:lang w:val="en-CA"/>
        </w:rPr>
        <w:t xml:space="preserve"> and LV dysfunction the </w:t>
      </w:r>
      <w:r w:rsidR="005A4C24" w:rsidRPr="000804FA">
        <w:rPr>
          <w:color w:val="000000" w:themeColor="text1"/>
          <w:lang w:val="en-CA"/>
        </w:rPr>
        <w:t>American</w:t>
      </w:r>
      <w:r w:rsidRPr="000804FA">
        <w:rPr>
          <w:color w:val="000000" w:themeColor="text1"/>
          <w:lang w:val="en-CA"/>
        </w:rPr>
        <w:t xml:space="preserve"> </w:t>
      </w:r>
      <w:r w:rsidR="005A4C24" w:rsidRPr="000804FA">
        <w:rPr>
          <w:color w:val="000000" w:themeColor="text1"/>
          <w:lang w:val="en-CA"/>
        </w:rPr>
        <w:t>g</w:t>
      </w:r>
      <w:r w:rsidRPr="000804FA">
        <w:rPr>
          <w:color w:val="000000" w:themeColor="text1"/>
          <w:lang w:val="en-CA"/>
        </w:rPr>
        <w:t>uidelines recommend chordal-sparing MV replacement over MV repair (</w:t>
      </w:r>
      <w:r w:rsidR="0073492F" w:rsidRPr="000804FA">
        <w:rPr>
          <w:color w:val="000000" w:themeColor="text1"/>
          <w:lang w:val="en-CA"/>
        </w:rPr>
        <w:t xml:space="preserve">class </w:t>
      </w:r>
      <w:r w:rsidRPr="000804FA">
        <w:rPr>
          <w:color w:val="000000" w:themeColor="text1"/>
          <w:lang w:val="en-CA"/>
        </w:rPr>
        <w:t>IIb</w:t>
      </w:r>
      <w:r w:rsidR="0073492F" w:rsidRPr="000804FA">
        <w:rPr>
          <w:color w:val="000000" w:themeColor="text1"/>
          <w:lang w:val="en-CA"/>
        </w:rPr>
        <w:t>-</w:t>
      </w:r>
      <w:r w:rsidRPr="000804FA">
        <w:rPr>
          <w:color w:val="000000" w:themeColor="text1"/>
          <w:lang w:val="en-CA"/>
        </w:rPr>
        <w:t xml:space="preserve">B). Only the </w:t>
      </w:r>
      <w:r w:rsidR="005A4C24" w:rsidRPr="000804FA">
        <w:rPr>
          <w:color w:val="000000" w:themeColor="text1"/>
          <w:lang w:val="en-CA"/>
        </w:rPr>
        <w:t>European g</w:t>
      </w:r>
      <w:r w:rsidR="00716EEB" w:rsidRPr="000804FA">
        <w:rPr>
          <w:color w:val="000000" w:themeColor="text1"/>
          <w:lang w:val="en-CA"/>
        </w:rPr>
        <w:t>uidelines mention</w:t>
      </w:r>
      <w:r w:rsidRPr="000804FA">
        <w:rPr>
          <w:color w:val="000000" w:themeColor="text1"/>
          <w:lang w:val="en-CA"/>
        </w:rPr>
        <w:t xml:space="preserve"> that MV </w:t>
      </w:r>
      <w:r w:rsidR="00716EEB" w:rsidRPr="000804FA">
        <w:rPr>
          <w:color w:val="000000" w:themeColor="text1"/>
          <w:lang w:val="en-CA"/>
        </w:rPr>
        <w:t>repair restores valve competency</w:t>
      </w:r>
      <w:r w:rsidRPr="000804FA">
        <w:rPr>
          <w:color w:val="000000" w:themeColor="text1"/>
          <w:lang w:val="en-CA"/>
        </w:rPr>
        <w:t xml:space="preserve">, improves symptoms, and results in reverse LV remodelling while MV </w:t>
      </w:r>
      <w:r w:rsidRPr="000804FA">
        <w:rPr>
          <w:color w:val="000000" w:themeColor="text1"/>
          <w:lang w:val="en-CA"/>
        </w:rPr>
        <w:lastRenderedPageBreak/>
        <w:t>replacement avoids recurrence of MR, without expressing any specific recommendation over the preference between repair and replaceme</w:t>
      </w:r>
      <w:r w:rsidR="00716EEB" w:rsidRPr="000804FA">
        <w:rPr>
          <w:color w:val="000000" w:themeColor="text1"/>
          <w:lang w:val="en-CA"/>
        </w:rPr>
        <w:t xml:space="preserve">nt. </w:t>
      </w:r>
    </w:p>
    <w:p w14:paraId="1E5500BD" w14:textId="3018FEE9" w:rsidR="00185651" w:rsidRPr="000804FA" w:rsidRDefault="00185651" w:rsidP="000804FA">
      <w:pPr>
        <w:spacing w:after="120" w:line="480" w:lineRule="auto"/>
        <w:ind w:firstLine="708"/>
        <w:contextualSpacing/>
        <w:jc w:val="both"/>
        <w:rPr>
          <w:color w:val="000000" w:themeColor="text1"/>
          <w:lang w:val="en-CA"/>
        </w:rPr>
      </w:pPr>
      <w:r w:rsidRPr="000804FA">
        <w:rPr>
          <w:color w:val="000000" w:themeColor="text1"/>
          <w:lang w:val="en-CA"/>
        </w:rPr>
        <w:t xml:space="preserve">Regarding TEER, there are several differences between </w:t>
      </w:r>
      <w:r w:rsidR="000E67F9" w:rsidRPr="000804FA">
        <w:rPr>
          <w:color w:val="000000" w:themeColor="text1"/>
          <w:lang w:val="en-CA"/>
        </w:rPr>
        <w:t xml:space="preserve">the </w:t>
      </w:r>
      <w:r w:rsidRPr="000804FA">
        <w:rPr>
          <w:color w:val="000000" w:themeColor="text1"/>
          <w:lang w:val="en-CA"/>
        </w:rPr>
        <w:t>guidelines</w:t>
      </w:r>
      <w:r w:rsidR="00A51527" w:rsidRPr="000804FA">
        <w:rPr>
          <w:color w:val="000000" w:themeColor="text1"/>
          <w:lang w:val="en-CA"/>
        </w:rPr>
        <w:t xml:space="preserve"> </w:t>
      </w:r>
      <w:r w:rsidR="00A51527" w:rsidRPr="000804FA">
        <w:rPr>
          <w:b/>
          <w:bCs/>
          <w:i/>
          <w:iCs/>
          <w:color w:val="000000" w:themeColor="text1"/>
          <w:lang w:val="en-CA"/>
        </w:rPr>
        <w:t xml:space="preserve">(Table </w:t>
      </w:r>
      <w:r w:rsidR="0031101E" w:rsidRPr="000804FA">
        <w:rPr>
          <w:b/>
          <w:bCs/>
          <w:i/>
          <w:iCs/>
          <w:color w:val="000000" w:themeColor="text1"/>
          <w:lang w:val="en-CA"/>
        </w:rPr>
        <w:t>3</w:t>
      </w:r>
      <w:r w:rsidR="00A51527" w:rsidRPr="000804FA">
        <w:rPr>
          <w:b/>
          <w:bCs/>
          <w:i/>
          <w:iCs/>
          <w:color w:val="000000" w:themeColor="text1"/>
          <w:lang w:val="en-CA"/>
        </w:rPr>
        <w:t>)</w:t>
      </w:r>
      <w:r w:rsidR="00A51527" w:rsidRPr="000804FA">
        <w:rPr>
          <w:color w:val="000000" w:themeColor="text1"/>
          <w:lang w:val="en-CA"/>
        </w:rPr>
        <w:t>.</w:t>
      </w:r>
      <w:r w:rsidRPr="000804FA">
        <w:rPr>
          <w:color w:val="000000" w:themeColor="text1"/>
          <w:lang w:val="en-CA"/>
        </w:rPr>
        <w:t xml:space="preserve"> </w:t>
      </w:r>
      <w:r w:rsidR="009B25AF" w:rsidRPr="000804FA">
        <w:rPr>
          <w:color w:val="000000" w:themeColor="text1"/>
          <w:lang w:val="en-CA"/>
        </w:rPr>
        <w:t>T</w:t>
      </w:r>
      <w:r w:rsidRPr="000804FA">
        <w:rPr>
          <w:color w:val="000000" w:themeColor="text1"/>
          <w:lang w:val="en-CA"/>
        </w:rPr>
        <w:t xml:space="preserve">he </w:t>
      </w:r>
      <w:r w:rsidR="005A4C24" w:rsidRPr="000804FA">
        <w:rPr>
          <w:color w:val="000000" w:themeColor="text1"/>
          <w:lang w:val="en-CA"/>
        </w:rPr>
        <w:t>European</w:t>
      </w:r>
      <w:r w:rsidRPr="000804FA">
        <w:rPr>
          <w:color w:val="000000" w:themeColor="text1"/>
          <w:lang w:val="en-CA"/>
        </w:rPr>
        <w:t xml:space="preserve"> guidelines recommend TEER only in patients who are not eligible/appropriate for MV surgery (either for isolated SMR- </w:t>
      </w:r>
      <w:r w:rsidR="0073492F" w:rsidRPr="000804FA">
        <w:rPr>
          <w:color w:val="000000" w:themeColor="text1"/>
          <w:lang w:val="en-CA"/>
        </w:rPr>
        <w:t xml:space="preserve">class </w:t>
      </w:r>
      <w:proofErr w:type="spellStart"/>
      <w:r w:rsidRPr="000804FA">
        <w:rPr>
          <w:color w:val="000000" w:themeColor="text1"/>
          <w:lang w:val="en-CA"/>
        </w:rPr>
        <w:t>IIa</w:t>
      </w:r>
      <w:proofErr w:type="spellEnd"/>
      <w:r w:rsidR="0073492F" w:rsidRPr="000804FA">
        <w:rPr>
          <w:color w:val="000000" w:themeColor="text1"/>
          <w:lang w:val="en-CA"/>
        </w:rPr>
        <w:t>-</w:t>
      </w:r>
      <w:r w:rsidRPr="000804FA">
        <w:rPr>
          <w:color w:val="000000" w:themeColor="text1"/>
          <w:lang w:val="en-CA"/>
        </w:rPr>
        <w:t>B or when TE</w:t>
      </w:r>
      <w:r w:rsidR="001C4D58" w:rsidRPr="000804FA">
        <w:rPr>
          <w:color w:val="000000" w:themeColor="text1"/>
          <w:lang w:val="en-CA"/>
        </w:rPr>
        <w:t>ER is planned in addition of percutaneous coronary intervention</w:t>
      </w:r>
      <w:r w:rsidRPr="000804FA">
        <w:rPr>
          <w:color w:val="000000" w:themeColor="text1"/>
          <w:lang w:val="en-CA"/>
        </w:rPr>
        <w:t xml:space="preserve"> or </w:t>
      </w:r>
      <w:r w:rsidR="003B03BB" w:rsidRPr="000804FA">
        <w:rPr>
          <w:color w:val="000000" w:themeColor="text1"/>
          <w:lang w:val="en-CA"/>
        </w:rPr>
        <w:t>TAVR</w:t>
      </w:r>
      <w:r w:rsidRPr="000804FA">
        <w:rPr>
          <w:color w:val="000000" w:themeColor="text1"/>
          <w:lang w:val="en-CA"/>
        </w:rPr>
        <w:t>-</w:t>
      </w:r>
      <w:r w:rsidR="0073492F" w:rsidRPr="000804FA">
        <w:rPr>
          <w:color w:val="000000" w:themeColor="text1"/>
          <w:lang w:val="en-CA"/>
        </w:rPr>
        <w:t xml:space="preserve"> class </w:t>
      </w:r>
      <w:proofErr w:type="spellStart"/>
      <w:r w:rsidRPr="000804FA">
        <w:rPr>
          <w:color w:val="000000" w:themeColor="text1"/>
          <w:lang w:val="en-CA"/>
        </w:rPr>
        <w:t>IIa</w:t>
      </w:r>
      <w:proofErr w:type="spellEnd"/>
      <w:r w:rsidR="0073492F" w:rsidRPr="000804FA">
        <w:rPr>
          <w:color w:val="000000" w:themeColor="text1"/>
          <w:lang w:val="en-CA"/>
        </w:rPr>
        <w:t>-</w:t>
      </w:r>
      <w:r w:rsidRPr="000804FA">
        <w:rPr>
          <w:color w:val="000000" w:themeColor="text1"/>
          <w:lang w:val="en-CA"/>
        </w:rPr>
        <w:t>C), while the</w:t>
      </w:r>
      <w:r w:rsidR="005A4C24" w:rsidRPr="000804FA">
        <w:rPr>
          <w:color w:val="000000" w:themeColor="text1"/>
          <w:lang w:val="en-CA"/>
        </w:rPr>
        <w:t xml:space="preserve"> American</w:t>
      </w:r>
      <w:r w:rsidRPr="000804FA">
        <w:rPr>
          <w:color w:val="000000" w:themeColor="text1"/>
          <w:lang w:val="en-CA"/>
        </w:rPr>
        <w:t xml:space="preserve"> guide</w:t>
      </w:r>
      <w:r w:rsidR="001C4D58" w:rsidRPr="000804FA">
        <w:rPr>
          <w:color w:val="000000" w:themeColor="text1"/>
          <w:lang w:val="en-CA"/>
        </w:rPr>
        <w:t>lines recommend TEER exclusivel</w:t>
      </w:r>
      <w:r w:rsidRPr="000804FA">
        <w:rPr>
          <w:color w:val="000000" w:themeColor="text1"/>
          <w:lang w:val="en-CA"/>
        </w:rPr>
        <w:t xml:space="preserve">y </w:t>
      </w:r>
      <w:proofErr w:type="gramStart"/>
      <w:r w:rsidRPr="000804FA">
        <w:rPr>
          <w:color w:val="000000" w:themeColor="text1"/>
          <w:lang w:val="en-CA"/>
        </w:rPr>
        <w:t>on the basis of</w:t>
      </w:r>
      <w:proofErr w:type="gramEnd"/>
      <w:r w:rsidRPr="000804FA">
        <w:rPr>
          <w:color w:val="000000" w:themeColor="text1"/>
          <w:lang w:val="en-CA"/>
        </w:rPr>
        <w:t xml:space="preserve"> an appropriate anatomy and the COAPT criteria, not taking into consideration eligibility for surgery. Furthermore, the </w:t>
      </w:r>
      <w:r w:rsidR="005A4C24" w:rsidRPr="000804FA">
        <w:rPr>
          <w:color w:val="000000" w:themeColor="text1"/>
          <w:lang w:val="en-CA"/>
        </w:rPr>
        <w:t>European g</w:t>
      </w:r>
      <w:r w:rsidRPr="000804FA">
        <w:rPr>
          <w:color w:val="000000" w:themeColor="text1"/>
          <w:lang w:val="en-CA"/>
        </w:rPr>
        <w:t xml:space="preserve">uidelines consider TEER, or other </w:t>
      </w:r>
      <w:r w:rsidR="001C4D58" w:rsidRPr="000804FA">
        <w:rPr>
          <w:color w:val="000000" w:themeColor="text1"/>
          <w:lang w:val="en-CA"/>
        </w:rPr>
        <w:t>transcatheter mitral valve intervention</w:t>
      </w:r>
      <w:r w:rsidRPr="000804FA">
        <w:rPr>
          <w:color w:val="000000" w:themeColor="text1"/>
          <w:lang w:val="en-CA"/>
        </w:rPr>
        <w:t xml:space="preserve">, as part of the Heart Team decision process for advanced </w:t>
      </w:r>
      <w:r w:rsidR="001C4D58" w:rsidRPr="000804FA">
        <w:rPr>
          <w:color w:val="000000" w:themeColor="text1"/>
          <w:lang w:val="en-CA"/>
        </w:rPr>
        <w:t>heart failure</w:t>
      </w:r>
      <w:r w:rsidRPr="000804FA">
        <w:rPr>
          <w:color w:val="000000" w:themeColor="text1"/>
          <w:lang w:val="en-CA"/>
        </w:rPr>
        <w:t xml:space="preserve"> therapies, even in patients not fulfilling the COAPT criteria (</w:t>
      </w:r>
      <w:r w:rsidR="0073492F" w:rsidRPr="000804FA">
        <w:rPr>
          <w:color w:val="000000" w:themeColor="text1"/>
          <w:lang w:val="en-CA"/>
        </w:rPr>
        <w:t xml:space="preserve">class </w:t>
      </w:r>
      <w:r w:rsidRPr="000804FA">
        <w:rPr>
          <w:color w:val="000000" w:themeColor="text1"/>
          <w:lang w:val="en-CA"/>
        </w:rPr>
        <w:t>IIb</w:t>
      </w:r>
      <w:r w:rsidR="0073492F" w:rsidRPr="000804FA">
        <w:rPr>
          <w:color w:val="000000" w:themeColor="text1"/>
          <w:lang w:val="en-CA"/>
        </w:rPr>
        <w:t>-</w:t>
      </w:r>
      <w:r w:rsidRPr="000804FA">
        <w:rPr>
          <w:color w:val="000000" w:themeColor="text1"/>
          <w:lang w:val="en-CA"/>
        </w:rPr>
        <w:t>C).</w:t>
      </w:r>
    </w:p>
    <w:p w14:paraId="6C8AF8DA" w14:textId="6C70E46C" w:rsidR="00185651" w:rsidRPr="000804FA" w:rsidRDefault="00185651" w:rsidP="000804FA">
      <w:pPr>
        <w:spacing w:after="120" w:line="480" w:lineRule="auto"/>
        <w:ind w:firstLine="360"/>
        <w:contextualSpacing/>
        <w:jc w:val="both"/>
        <w:rPr>
          <w:color w:val="000000" w:themeColor="text1"/>
          <w:lang w:val="en-CA"/>
        </w:rPr>
      </w:pPr>
      <w:r w:rsidRPr="000804FA">
        <w:rPr>
          <w:color w:val="000000" w:themeColor="text1"/>
          <w:lang w:val="en-CA"/>
        </w:rPr>
        <w:t xml:space="preserve">Finally, the associated risk of intervention and futility are precisely defined in the </w:t>
      </w:r>
      <w:r w:rsidR="005A4C24" w:rsidRPr="000804FA">
        <w:rPr>
          <w:color w:val="000000" w:themeColor="text1"/>
          <w:lang w:val="en-CA"/>
        </w:rPr>
        <w:t>American</w:t>
      </w:r>
      <w:r w:rsidRPr="000804FA">
        <w:rPr>
          <w:color w:val="000000" w:themeColor="text1"/>
          <w:lang w:val="en-CA"/>
        </w:rPr>
        <w:t xml:space="preserve"> guidelines, while no grading is provided by the </w:t>
      </w:r>
      <w:r w:rsidR="005A4C24" w:rsidRPr="000804FA">
        <w:rPr>
          <w:color w:val="000000" w:themeColor="text1"/>
          <w:lang w:val="en-CA"/>
        </w:rPr>
        <w:t>European</w:t>
      </w:r>
      <w:r w:rsidRPr="000804FA">
        <w:rPr>
          <w:color w:val="000000" w:themeColor="text1"/>
          <w:lang w:val="en-CA"/>
        </w:rPr>
        <w:t xml:space="preserve"> guidelines</w:t>
      </w:r>
      <w:r w:rsidR="00A51527" w:rsidRPr="000804FA">
        <w:rPr>
          <w:color w:val="000000" w:themeColor="text1"/>
          <w:lang w:val="en-CA"/>
        </w:rPr>
        <w:t xml:space="preserve"> </w:t>
      </w:r>
      <w:r w:rsidR="00A51527" w:rsidRPr="000804FA">
        <w:rPr>
          <w:b/>
          <w:bCs/>
          <w:i/>
          <w:iCs/>
          <w:color w:val="000000" w:themeColor="text1"/>
          <w:lang w:val="en-CA"/>
        </w:rPr>
        <w:t>(Table 4)</w:t>
      </w:r>
      <w:r w:rsidR="005E3639" w:rsidRPr="000804FA">
        <w:rPr>
          <w:color w:val="000000" w:themeColor="text1"/>
          <w:lang w:val="en-CA"/>
        </w:rPr>
        <w:t>. The latter</w:t>
      </w:r>
      <w:r w:rsidR="00136425" w:rsidRPr="000804FA">
        <w:rPr>
          <w:color w:val="000000" w:themeColor="text1"/>
          <w:lang w:val="en-CA"/>
        </w:rPr>
        <w:t xml:space="preserve"> recommends</w:t>
      </w:r>
      <w:r w:rsidR="00A51527" w:rsidRPr="000804FA">
        <w:rPr>
          <w:color w:val="000000" w:themeColor="text1"/>
          <w:lang w:val="en-CA"/>
        </w:rPr>
        <w:t xml:space="preserve"> </w:t>
      </w:r>
      <w:r w:rsidR="00136425" w:rsidRPr="000804FA">
        <w:rPr>
          <w:color w:val="000000" w:themeColor="text1"/>
          <w:lang w:val="en-CA"/>
        </w:rPr>
        <w:t>consideration</w:t>
      </w:r>
      <w:r w:rsidR="003D5F0E" w:rsidRPr="000804FA">
        <w:rPr>
          <w:color w:val="000000" w:themeColor="text1"/>
          <w:lang w:val="en-CA"/>
        </w:rPr>
        <w:t xml:space="preserve"> of</w:t>
      </w:r>
      <w:r w:rsidRPr="000804FA">
        <w:rPr>
          <w:color w:val="000000" w:themeColor="text1"/>
          <w:lang w:val="en-CA"/>
        </w:rPr>
        <w:t xml:space="preserve"> surgery based on </w:t>
      </w:r>
      <w:r w:rsidR="003D5F0E" w:rsidRPr="000804FA">
        <w:rPr>
          <w:color w:val="000000" w:themeColor="text1"/>
          <w:lang w:val="en-CA"/>
        </w:rPr>
        <w:t xml:space="preserve">multiple </w:t>
      </w:r>
      <w:r w:rsidR="001C4D58" w:rsidRPr="000804FA">
        <w:rPr>
          <w:color w:val="000000" w:themeColor="text1"/>
          <w:lang w:val="en-CA"/>
        </w:rPr>
        <w:t>criteria</w:t>
      </w:r>
      <w:r w:rsidRPr="000804FA">
        <w:rPr>
          <w:color w:val="000000" w:themeColor="text1"/>
          <w:lang w:val="en-CA"/>
        </w:rPr>
        <w:t>, including LVEF (</w:t>
      </w:r>
      <w:r w:rsidR="001C4D58" w:rsidRPr="000804FA">
        <w:rPr>
          <w:color w:val="000000" w:themeColor="text1"/>
          <w:lang w:val="en-CA"/>
        </w:rPr>
        <w:t>&lt;</w:t>
      </w:r>
      <w:r w:rsidRPr="000804FA">
        <w:rPr>
          <w:color w:val="000000" w:themeColor="text1"/>
          <w:lang w:val="en-CA"/>
        </w:rPr>
        <w:t>15%</w:t>
      </w:r>
      <w:r w:rsidR="001C4D58" w:rsidRPr="000804FA">
        <w:rPr>
          <w:color w:val="000000" w:themeColor="text1"/>
          <w:lang w:val="en-CA"/>
        </w:rPr>
        <w:t>:</w:t>
      </w:r>
      <w:r w:rsidRPr="000804FA">
        <w:rPr>
          <w:color w:val="000000" w:themeColor="text1"/>
          <w:lang w:val="en-CA"/>
        </w:rPr>
        <w:t xml:space="preserve"> any intervention is futile), predicted surgical risk, amount of myocardial viability, coronary anatomy/ target vessels, type of concomitant procedure needed, TEER eligibility, likelihood of durable surgical repair, need of surgical mitral replacement, and the local expertise.</w:t>
      </w:r>
      <w:r w:rsidR="0017554E" w:rsidRPr="000804FA">
        <w:rPr>
          <w:color w:val="000000" w:themeColor="text1"/>
          <w:lang w:val="en-CA"/>
        </w:rPr>
        <w:t xml:space="preserve"> </w:t>
      </w:r>
    </w:p>
    <w:p w14:paraId="2A79ABCC" w14:textId="2DA60BAC" w:rsidR="00185651" w:rsidRPr="000804FA" w:rsidRDefault="00F44003" w:rsidP="000804FA">
      <w:pPr>
        <w:pStyle w:val="ListParagraph"/>
        <w:numPr>
          <w:ilvl w:val="1"/>
          <w:numId w:val="2"/>
        </w:numPr>
        <w:spacing w:after="120" w:line="480" w:lineRule="auto"/>
        <w:jc w:val="both"/>
        <w:rPr>
          <w:rFonts w:ascii="Times New Roman" w:hAnsi="Times New Roman" w:cs="Times New Roman"/>
          <w:b/>
          <w:bCs/>
          <w:color w:val="000000" w:themeColor="text1"/>
          <w:sz w:val="24"/>
          <w:szCs w:val="24"/>
          <w:lang w:val="en-CA"/>
        </w:rPr>
      </w:pPr>
      <w:r w:rsidRPr="000804FA">
        <w:rPr>
          <w:rFonts w:ascii="Times New Roman" w:hAnsi="Times New Roman" w:cs="Times New Roman"/>
          <w:b/>
          <w:bCs/>
          <w:color w:val="000000" w:themeColor="text1"/>
          <w:sz w:val="24"/>
          <w:szCs w:val="24"/>
          <w:lang w:val="en-CA"/>
        </w:rPr>
        <w:t xml:space="preserve"> Knowledge g</w:t>
      </w:r>
      <w:r w:rsidR="00185651" w:rsidRPr="000804FA">
        <w:rPr>
          <w:rFonts w:ascii="Times New Roman" w:hAnsi="Times New Roman" w:cs="Times New Roman"/>
          <w:b/>
          <w:bCs/>
          <w:color w:val="000000" w:themeColor="text1"/>
          <w:sz w:val="24"/>
          <w:szCs w:val="24"/>
          <w:lang w:val="en-CA"/>
        </w:rPr>
        <w:t xml:space="preserve">aps </w:t>
      </w:r>
      <w:r w:rsidRPr="000804FA">
        <w:rPr>
          <w:rFonts w:ascii="Times New Roman" w:hAnsi="Times New Roman" w:cs="Times New Roman"/>
          <w:b/>
          <w:bCs/>
          <w:color w:val="000000" w:themeColor="text1"/>
          <w:sz w:val="24"/>
          <w:szCs w:val="24"/>
          <w:lang w:val="en-CA"/>
        </w:rPr>
        <w:t>and future perspectives</w:t>
      </w:r>
    </w:p>
    <w:p w14:paraId="18C07A78" w14:textId="15687C54" w:rsidR="00185651" w:rsidRPr="000804FA" w:rsidRDefault="00185651" w:rsidP="000804FA">
      <w:pPr>
        <w:spacing w:after="120" w:line="480" w:lineRule="auto"/>
        <w:ind w:firstLine="360"/>
        <w:contextualSpacing/>
        <w:jc w:val="both"/>
        <w:rPr>
          <w:color w:val="000000" w:themeColor="text1"/>
          <w:lang w:val="en-GB"/>
        </w:rPr>
      </w:pPr>
      <w:r w:rsidRPr="000804FA">
        <w:rPr>
          <w:color w:val="000000" w:themeColor="text1"/>
          <w:lang w:val="en-GB"/>
        </w:rPr>
        <w:t>The role of advanced echo</w:t>
      </w:r>
      <w:r w:rsidR="001C4D58" w:rsidRPr="000804FA">
        <w:rPr>
          <w:color w:val="000000" w:themeColor="text1"/>
          <w:lang w:val="en-GB"/>
        </w:rPr>
        <w:t>cardiographic modalities</w:t>
      </w:r>
      <w:r w:rsidRPr="000804FA">
        <w:rPr>
          <w:color w:val="000000" w:themeColor="text1"/>
          <w:lang w:val="en-GB"/>
        </w:rPr>
        <w:t xml:space="preserve"> </w:t>
      </w:r>
      <w:r w:rsidR="001C4D58" w:rsidRPr="000804FA">
        <w:rPr>
          <w:color w:val="000000" w:themeColor="text1"/>
          <w:lang w:val="en-GB"/>
        </w:rPr>
        <w:t xml:space="preserve">(3D, </w:t>
      </w:r>
      <w:r w:rsidRPr="000804FA">
        <w:rPr>
          <w:color w:val="000000" w:themeColor="text1"/>
          <w:lang w:val="en-GB"/>
        </w:rPr>
        <w:t xml:space="preserve">speckle tracking, and </w:t>
      </w:r>
      <w:r w:rsidR="001C4D58" w:rsidRPr="000804FA">
        <w:rPr>
          <w:color w:val="000000" w:themeColor="text1"/>
          <w:lang w:val="en-GB"/>
        </w:rPr>
        <w:t xml:space="preserve">of cardiac magnetic resonance imaging </w:t>
      </w:r>
      <w:r w:rsidRPr="000804FA">
        <w:rPr>
          <w:color w:val="000000" w:themeColor="text1"/>
          <w:lang w:val="en-GB"/>
        </w:rPr>
        <w:t>in the management of both primary and secondary MR is poorly described and therapeutic decisions are still based on planar measurements</w:t>
      </w:r>
      <w:r w:rsidR="003D5F0E" w:rsidRPr="000804FA">
        <w:rPr>
          <w:color w:val="000000" w:themeColor="text1"/>
          <w:lang w:val="en-GB"/>
        </w:rPr>
        <w:t xml:space="preserve"> (</w:t>
      </w:r>
      <w:r w:rsidR="00A872AD" w:rsidRPr="000804FA">
        <w:rPr>
          <w:color w:val="000000" w:themeColor="text1"/>
          <w:lang w:val="en-GB"/>
        </w:rPr>
        <w:t xml:space="preserve">LV </w:t>
      </w:r>
      <w:r w:rsidR="003D5F0E" w:rsidRPr="000804FA">
        <w:rPr>
          <w:color w:val="000000" w:themeColor="text1"/>
          <w:lang w:val="en-GB"/>
        </w:rPr>
        <w:t>dimensions</w:t>
      </w:r>
      <w:r w:rsidR="00A872AD" w:rsidRPr="000804FA">
        <w:rPr>
          <w:color w:val="000000" w:themeColor="text1"/>
          <w:lang w:val="en-GB"/>
        </w:rPr>
        <w:t xml:space="preserve"> rather than volumes)</w:t>
      </w:r>
      <w:r w:rsidRPr="000804FA">
        <w:rPr>
          <w:color w:val="000000" w:themeColor="text1"/>
          <w:lang w:val="en-GB"/>
        </w:rPr>
        <w:t xml:space="preserve"> or estimation of pulmonary pressure. One major limitation </w:t>
      </w:r>
      <w:r w:rsidR="00566BF4" w:rsidRPr="000804FA">
        <w:rPr>
          <w:color w:val="000000" w:themeColor="text1"/>
          <w:lang w:val="en-GB"/>
        </w:rPr>
        <w:t>in</w:t>
      </w:r>
      <w:r w:rsidRPr="000804FA">
        <w:rPr>
          <w:color w:val="000000" w:themeColor="text1"/>
          <w:lang w:val="en-GB"/>
        </w:rPr>
        <w:t xml:space="preserve"> all</w:t>
      </w:r>
      <w:r w:rsidR="00566BF4" w:rsidRPr="000804FA">
        <w:rPr>
          <w:color w:val="000000" w:themeColor="text1"/>
          <w:lang w:val="en-GB"/>
        </w:rPr>
        <w:t xml:space="preserve"> the guidelines</w:t>
      </w:r>
      <w:r w:rsidRPr="000804FA">
        <w:rPr>
          <w:color w:val="000000" w:themeColor="text1"/>
          <w:lang w:val="en-GB"/>
        </w:rPr>
        <w:t xml:space="preserve"> is the absence of any data about management of severe MR in the setting of acute </w:t>
      </w:r>
      <w:r w:rsidR="001C4D58" w:rsidRPr="000804FA">
        <w:rPr>
          <w:color w:val="000000" w:themeColor="text1"/>
          <w:lang w:val="en-GB"/>
        </w:rPr>
        <w:t xml:space="preserve">heart failure </w:t>
      </w:r>
      <w:r w:rsidRPr="000804FA">
        <w:rPr>
          <w:color w:val="000000" w:themeColor="text1"/>
          <w:lang w:val="en-GB"/>
        </w:rPr>
        <w:t>and wh</w:t>
      </w:r>
      <w:r w:rsidR="00933A42" w:rsidRPr="000804FA">
        <w:rPr>
          <w:color w:val="000000" w:themeColor="text1"/>
          <w:lang w:val="en-GB"/>
        </w:rPr>
        <w:t>at</w:t>
      </w:r>
      <w:r w:rsidRPr="000804FA">
        <w:rPr>
          <w:color w:val="000000" w:themeColor="text1"/>
          <w:lang w:val="en-GB"/>
        </w:rPr>
        <w:t xml:space="preserve"> is the optimal timing</w:t>
      </w:r>
      <w:r w:rsidR="00933A42" w:rsidRPr="000804FA">
        <w:rPr>
          <w:color w:val="000000" w:themeColor="text1"/>
          <w:lang w:val="en-GB"/>
        </w:rPr>
        <w:t xml:space="preserve"> of intervention for severe MR</w:t>
      </w:r>
      <w:r w:rsidRPr="000804FA">
        <w:rPr>
          <w:color w:val="000000" w:themeColor="text1"/>
          <w:lang w:val="en-GB"/>
        </w:rPr>
        <w:t xml:space="preserve"> after</w:t>
      </w:r>
      <w:r w:rsidR="00933A42" w:rsidRPr="000804FA">
        <w:rPr>
          <w:color w:val="000000" w:themeColor="text1"/>
          <w:lang w:val="en-GB"/>
        </w:rPr>
        <w:t xml:space="preserve"> an epis</w:t>
      </w:r>
      <w:r w:rsidR="00581834" w:rsidRPr="000804FA">
        <w:rPr>
          <w:color w:val="000000" w:themeColor="text1"/>
          <w:lang w:val="en-GB"/>
        </w:rPr>
        <w:t>ode of</w:t>
      </w:r>
      <w:r w:rsidRPr="000804FA">
        <w:rPr>
          <w:color w:val="000000" w:themeColor="text1"/>
          <w:lang w:val="en-GB"/>
        </w:rPr>
        <w:t xml:space="preserve"> decompensation</w:t>
      </w:r>
      <w:r w:rsidR="00581834" w:rsidRPr="000804FA">
        <w:rPr>
          <w:color w:val="000000" w:themeColor="text1"/>
          <w:lang w:val="en-GB"/>
        </w:rPr>
        <w:t>.</w:t>
      </w:r>
      <w:r w:rsidRPr="000804FA">
        <w:rPr>
          <w:color w:val="000000" w:themeColor="text1"/>
          <w:lang w:val="en-GB"/>
        </w:rPr>
        <w:t xml:space="preserve"> There are not sufficient data to guide the procedure related risk, for both MV </w:t>
      </w:r>
      <w:r w:rsidRPr="000804FA">
        <w:rPr>
          <w:color w:val="000000" w:themeColor="text1"/>
          <w:lang w:val="en-GB"/>
        </w:rPr>
        <w:lastRenderedPageBreak/>
        <w:t xml:space="preserve">surgery and TEER, and simply adapting the model from </w:t>
      </w:r>
      <w:r w:rsidR="00BE2F9A" w:rsidRPr="000804FA">
        <w:rPr>
          <w:color w:val="000000" w:themeColor="text1"/>
          <w:lang w:val="en-GB"/>
        </w:rPr>
        <w:t>AS</w:t>
      </w:r>
      <w:r w:rsidRPr="000804FA">
        <w:rPr>
          <w:color w:val="000000" w:themeColor="text1"/>
          <w:lang w:val="en-GB"/>
        </w:rPr>
        <w:t xml:space="preserve"> in a population with MR may </w:t>
      </w:r>
      <w:r w:rsidR="00002CC4" w:rsidRPr="000804FA">
        <w:rPr>
          <w:color w:val="000000" w:themeColor="text1"/>
          <w:lang w:val="en-GB"/>
        </w:rPr>
        <w:t>lead to</w:t>
      </w:r>
      <w:r w:rsidRPr="000804FA">
        <w:rPr>
          <w:color w:val="000000" w:themeColor="text1"/>
          <w:lang w:val="en-GB"/>
        </w:rPr>
        <w:t xml:space="preserve"> errors. </w:t>
      </w:r>
    </w:p>
    <w:p w14:paraId="2B26FA67" w14:textId="592B9342" w:rsidR="00185651" w:rsidRPr="000804FA" w:rsidRDefault="00185651" w:rsidP="000804FA">
      <w:pPr>
        <w:spacing w:after="120" w:line="480" w:lineRule="auto"/>
        <w:ind w:firstLine="360"/>
        <w:contextualSpacing/>
        <w:jc w:val="both"/>
        <w:rPr>
          <w:color w:val="000000" w:themeColor="text1"/>
          <w:lang w:val="en-GB"/>
        </w:rPr>
      </w:pPr>
      <w:r w:rsidRPr="000804FA">
        <w:rPr>
          <w:color w:val="000000" w:themeColor="text1"/>
          <w:lang w:val="en-GB"/>
        </w:rPr>
        <w:t xml:space="preserve">For asymptomatic patients with severe PMR </w:t>
      </w:r>
      <w:r w:rsidR="00D37576" w:rsidRPr="000804FA">
        <w:rPr>
          <w:color w:val="000000" w:themeColor="text1"/>
          <w:lang w:val="en-GB"/>
        </w:rPr>
        <w:t>without LV dysfunction, the timing</w:t>
      </w:r>
      <w:r w:rsidRPr="000804FA">
        <w:rPr>
          <w:color w:val="000000" w:themeColor="text1"/>
          <w:lang w:val="en-GB"/>
        </w:rPr>
        <w:t xml:space="preserve"> of intervention </w:t>
      </w:r>
      <w:r w:rsidR="00D37576" w:rsidRPr="000804FA">
        <w:rPr>
          <w:color w:val="000000" w:themeColor="text1"/>
          <w:lang w:val="en-GB"/>
        </w:rPr>
        <w:t>remains uncle</w:t>
      </w:r>
      <w:r w:rsidR="008408A8" w:rsidRPr="000804FA">
        <w:rPr>
          <w:color w:val="000000" w:themeColor="text1"/>
          <w:lang w:val="en-GB"/>
        </w:rPr>
        <w:t>a</w:t>
      </w:r>
      <w:r w:rsidR="00D37576" w:rsidRPr="000804FA">
        <w:rPr>
          <w:color w:val="000000" w:themeColor="text1"/>
          <w:lang w:val="en-GB"/>
        </w:rPr>
        <w:t>r and debat</w:t>
      </w:r>
      <w:r w:rsidR="006D5E26" w:rsidRPr="000804FA">
        <w:rPr>
          <w:color w:val="000000" w:themeColor="text1"/>
          <w:lang w:val="en-GB"/>
        </w:rPr>
        <w:t>able</w:t>
      </w:r>
      <w:r w:rsidR="00D37576" w:rsidRPr="000804FA">
        <w:rPr>
          <w:color w:val="000000" w:themeColor="text1"/>
          <w:lang w:val="en-GB"/>
        </w:rPr>
        <w:t>. Also, the timing</w:t>
      </w:r>
      <w:r w:rsidRPr="000804FA">
        <w:rPr>
          <w:color w:val="000000" w:themeColor="text1"/>
          <w:lang w:val="en-GB"/>
        </w:rPr>
        <w:t xml:space="preserve"> and indication </w:t>
      </w:r>
      <w:r w:rsidR="00434CFE" w:rsidRPr="000804FA">
        <w:rPr>
          <w:color w:val="000000" w:themeColor="text1"/>
          <w:lang w:val="en-GB"/>
        </w:rPr>
        <w:t>for</w:t>
      </w:r>
      <w:r w:rsidRPr="000804FA">
        <w:rPr>
          <w:color w:val="000000" w:themeColor="text1"/>
          <w:lang w:val="en-GB"/>
        </w:rPr>
        <w:t xml:space="preserve"> surgery </w:t>
      </w:r>
      <w:r w:rsidR="00434CFE" w:rsidRPr="000804FA">
        <w:rPr>
          <w:color w:val="000000" w:themeColor="text1"/>
          <w:lang w:val="en-GB"/>
        </w:rPr>
        <w:t xml:space="preserve">in </w:t>
      </w:r>
      <w:r w:rsidRPr="000804FA">
        <w:rPr>
          <w:color w:val="000000" w:themeColor="text1"/>
          <w:lang w:val="en-GB"/>
        </w:rPr>
        <w:t xml:space="preserve">patients with moderate to severe PMR who are candidates for other major cardiac surgery are not uniformly described. </w:t>
      </w:r>
    </w:p>
    <w:p w14:paraId="685D3C4D" w14:textId="0C6478DD" w:rsidR="00B81C51" w:rsidRPr="000804FA" w:rsidRDefault="009F6C6E" w:rsidP="000804FA">
      <w:pPr>
        <w:spacing w:after="120" w:line="480" w:lineRule="auto"/>
        <w:ind w:firstLine="360"/>
        <w:contextualSpacing/>
        <w:jc w:val="both"/>
        <w:rPr>
          <w:color w:val="000000" w:themeColor="text1"/>
          <w:lang w:val="en-GB"/>
        </w:rPr>
      </w:pPr>
      <w:r w:rsidRPr="000804FA">
        <w:rPr>
          <w:color w:val="000000" w:themeColor="text1"/>
          <w:lang w:val="en-GB"/>
        </w:rPr>
        <w:t>A</w:t>
      </w:r>
      <w:r w:rsidR="00185651" w:rsidRPr="000804FA">
        <w:rPr>
          <w:color w:val="000000" w:themeColor="text1"/>
          <w:lang w:val="en-GB"/>
        </w:rPr>
        <w:t xml:space="preserve">lthough the quantitative criteria </w:t>
      </w:r>
      <w:r w:rsidRPr="000804FA">
        <w:rPr>
          <w:color w:val="000000" w:themeColor="text1"/>
          <w:lang w:val="en-GB"/>
        </w:rPr>
        <w:t xml:space="preserve">for defining severe MR </w:t>
      </w:r>
      <w:r w:rsidR="00185651" w:rsidRPr="000804FA">
        <w:rPr>
          <w:color w:val="000000" w:themeColor="text1"/>
          <w:lang w:val="en-GB"/>
        </w:rPr>
        <w:t>are the same for PMR</w:t>
      </w:r>
      <w:r w:rsidRPr="000804FA">
        <w:rPr>
          <w:color w:val="000000" w:themeColor="text1"/>
          <w:lang w:val="en-GB"/>
        </w:rPr>
        <w:t xml:space="preserve"> and SMR</w:t>
      </w:r>
      <w:r w:rsidR="00D37576" w:rsidRPr="000804FA">
        <w:rPr>
          <w:color w:val="000000" w:themeColor="text1"/>
          <w:lang w:val="en-GB"/>
        </w:rPr>
        <w:t xml:space="preserve"> in the guidelines</w:t>
      </w:r>
      <w:r w:rsidR="00185651" w:rsidRPr="000804FA">
        <w:rPr>
          <w:color w:val="000000" w:themeColor="text1"/>
          <w:lang w:val="en-GB"/>
        </w:rPr>
        <w:t xml:space="preserve">, lower thresholds </w:t>
      </w:r>
      <w:r w:rsidR="00D3705B" w:rsidRPr="000804FA">
        <w:rPr>
          <w:color w:val="000000" w:themeColor="text1"/>
          <w:lang w:val="en-GB"/>
        </w:rPr>
        <w:t xml:space="preserve">should be explored </w:t>
      </w:r>
      <w:r w:rsidR="00D37576" w:rsidRPr="000804FA">
        <w:rPr>
          <w:color w:val="000000" w:themeColor="text1"/>
          <w:lang w:val="en-GB"/>
        </w:rPr>
        <w:t>to identify patients with clinically sign</w:t>
      </w:r>
      <w:r w:rsidR="008408A8" w:rsidRPr="000804FA">
        <w:rPr>
          <w:color w:val="000000" w:themeColor="text1"/>
          <w:lang w:val="en-GB"/>
        </w:rPr>
        <w:t>i</w:t>
      </w:r>
      <w:r w:rsidR="00D37576" w:rsidRPr="000804FA">
        <w:rPr>
          <w:color w:val="000000" w:themeColor="text1"/>
          <w:lang w:val="en-GB"/>
        </w:rPr>
        <w:t xml:space="preserve">ficant SMR who may require intervention. </w:t>
      </w:r>
    </w:p>
    <w:p w14:paraId="4CF70A88" w14:textId="4A31FDD4" w:rsidR="00D64B73" w:rsidRPr="000804FA" w:rsidRDefault="00D37576" w:rsidP="000804FA">
      <w:pPr>
        <w:spacing w:after="120" w:line="480" w:lineRule="auto"/>
        <w:ind w:firstLine="360"/>
        <w:contextualSpacing/>
        <w:jc w:val="both"/>
        <w:rPr>
          <w:color w:val="000000" w:themeColor="text1"/>
          <w:lang w:val="en-GB"/>
        </w:rPr>
      </w:pPr>
      <w:r w:rsidRPr="000804FA">
        <w:rPr>
          <w:color w:val="000000" w:themeColor="text1"/>
          <w:lang w:val="en-GB"/>
        </w:rPr>
        <w:t xml:space="preserve">The </w:t>
      </w:r>
      <w:r w:rsidR="00185651" w:rsidRPr="000804FA">
        <w:rPr>
          <w:color w:val="000000" w:themeColor="text1"/>
          <w:lang w:val="en-GB"/>
        </w:rPr>
        <w:t xml:space="preserve">potential impact </w:t>
      </w:r>
      <w:r w:rsidRPr="000804FA">
        <w:rPr>
          <w:color w:val="000000" w:themeColor="text1"/>
          <w:lang w:val="en-GB"/>
        </w:rPr>
        <w:t xml:space="preserve">of TEER </w:t>
      </w:r>
      <w:r w:rsidR="00185651" w:rsidRPr="000804FA">
        <w:rPr>
          <w:color w:val="000000" w:themeColor="text1"/>
          <w:lang w:val="en-GB"/>
        </w:rPr>
        <w:t>on LV reverse remodel</w:t>
      </w:r>
      <w:r w:rsidR="008408A8" w:rsidRPr="000804FA">
        <w:rPr>
          <w:color w:val="000000" w:themeColor="text1"/>
          <w:lang w:val="en-GB"/>
        </w:rPr>
        <w:t>l</w:t>
      </w:r>
      <w:r w:rsidR="00185651" w:rsidRPr="000804FA">
        <w:rPr>
          <w:color w:val="000000" w:themeColor="text1"/>
          <w:lang w:val="en-GB"/>
        </w:rPr>
        <w:t xml:space="preserve">ing and long-term </w:t>
      </w:r>
      <w:r w:rsidR="00A51527" w:rsidRPr="000804FA">
        <w:rPr>
          <w:color w:val="000000" w:themeColor="text1"/>
          <w:lang w:val="en-GB"/>
        </w:rPr>
        <w:t>outcomes</w:t>
      </w:r>
      <w:r w:rsidR="00185651" w:rsidRPr="000804FA">
        <w:rPr>
          <w:color w:val="000000" w:themeColor="text1"/>
          <w:lang w:val="en-GB"/>
        </w:rPr>
        <w:t xml:space="preserve"> should be better documented. The role of newer transcatheter treatment options, </w:t>
      </w:r>
      <w:r w:rsidR="00AA09D0" w:rsidRPr="000804FA">
        <w:rPr>
          <w:color w:val="000000" w:themeColor="text1"/>
          <w:lang w:val="en-GB"/>
        </w:rPr>
        <w:t>su</w:t>
      </w:r>
      <w:r w:rsidR="00186710" w:rsidRPr="000804FA">
        <w:rPr>
          <w:color w:val="000000" w:themeColor="text1"/>
          <w:lang w:val="en-GB"/>
        </w:rPr>
        <w:t xml:space="preserve">ch as </w:t>
      </w:r>
      <w:r w:rsidR="009F6C6E" w:rsidRPr="000804FA">
        <w:rPr>
          <w:color w:val="000000" w:themeColor="text1"/>
          <w:lang w:val="en-GB"/>
        </w:rPr>
        <w:t>transcatheter mitral valve replacement</w:t>
      </w:r>
      <w:r w:rsidR="00185651" w:rsidRPr="000804FA">
        <w:rPr>
          <w:color w:val="000000" w:themeColor="text1"/>
          <w:lang w:val="en-GB"/>
        </w:rPr>
        <w:t>, are not considered in the current guidelines.</w:t>
      </w:r>
      <w:r w:rsidR="00186710" w:rsidRPr="000804FA">
        <w:rPr>
          <w:color w:val="000000" w:themeColor="text1"/>
          <w:lang w:val="en-GB"/>
        </w:rPr>
        <w:t xml:space="preserve"> Lastly,</w:t>
      </w:r>
      <w:r w:rsidR="002A4256" w:rsidRPr="000804FA">
        <w:rPr>
          <w:color w:val="000000" w:themeColor="text1"/>
          <w:lang w:val="en-GB"/>
        </w:rPr>
        <w:t xml:space="preserve"> disease staging and phenotype clustering </w:t>
      </w:r>
      <w:r w:rsidR="00CF4DD8" w:rsidRPr="000804FA">
        <w:rPr>
          <w:color w:val="000000" w:themeColor="text1"/>
          <w:lang w:val="en-GB"/>
        </w:rPr>
        <w:t>approached for PMR and SMR are novel approaches which may further refine clinical decision-making</w:t>
      </w:r>
      <w:r w:rsidR="004D6250" w:rsidRPr="000804FA">
        <w:rPr>
          <w:color w:val="000000" w:themeColor="text1"/>
          <w:lang w:val="en-GB"/>
        </w:rPr>
        <w:t>.</w:t>
      </w:r>
      <w:r w:rsidR="007748B5" w:rsidRPr="000804FA">
        <w:rPr>
          <w:color w:val="000000" w:themeColor="text1"/>
          <w:lang w:val="en-GB"/>
        </w:rPr>
        <w:t xml:space="preserve"> </w:t>
      </w:r>
      <w:r w:rsidR="007748B5" w:rsidRPr="000804FA">
        <w:rPr>
          <w:color w:val="000000" w:themeColor="text1"/>
          <w:lang w:val="en-GB"/>
        </w:rPr>
        <w:fldChar w:fldCharType="begin"/>
      </w:r>
      <w:r w:rsidR="00D00075" w:rsidRPr="000804FA">
        <w:rPr>
          <w:color w:val="000000" w:themeColor="text1"/>
          <w:lang w:val="en-GB"/>
        </w:rPr>
        <w:instrText xml:space="preserve"> ADDIN ZOTERO_ITEM CSL_CITATION {"citationID":"Xu7Xp4pa","properties":{"formattedCitation":"(8,9)","plainCitation":"(8,9)","noteIndex":0},"citationItems":[{"id":407,"uris":["http://zotero.org/users/1298974/items/5YQMU56V"],"itemData":{"id":407,"type":"article-journal","abstract":"OBJECTIVES: The aim of this study was to develop a machine learning (ML)-based risk stratification tool for 1-year mortality in transcatheter mitral valve repair (TMVR) patients incorporating metabolic and hemodynamic parameters.\nBACKGROUND: The lack of appropriate, well-validated, and specific means to risk-stratify patients with mitral regurgitation complicates the evaluation of prognostic benefits of TMVR in clinical trials and practice.\nMETHODS: A total of 1,009 TMVR patients from 3 university hospitals within the Heart Failure Network Rhineland were included; 1 hospital (n = 317) served as external validation. The primary endpoint was all-cause 1-year mortality. Model performance was assessed using receiver-operating characteristic curve analysis. In the derivation cohort, different ML algorithms were tested using 5-fold cross-validation. The final model, called MITRALITY (transcatheter mitral valve repair mortality prediction system) was tested in the validation cohort with respect to existing clinical scores.\nRESULTS: Extreme gradient boosting was selected for the MITRALITY score, using only 6 baseline clinical features for prediction (in order of predictive importance): urea, hemoglobin, N-terminal pro-brain natriuretic peptide, mean arterial pressure, body mass index, and creatinine. In the external validation cohort, the MITRALITY score's area under the curve was 0.783 (95% CI: 0.716-0.849), while existing scores yielded areas under the curve of 0.721 (95% CI: 0.63-0.811) and 0.657 (95% CI: 0.536-0.778) at best.\nCONCLUSIONS: The MITRALITY score is a novel, internally and externally validated ML-based tool for risk stratification of patients prior to TMVR, potentially serving future clinical trials and daily clinical practice.","container-title":"JACC. Cardiovascular interventions","DOI":"10.1016/j.jcin.2021.06.039","ISSN":"1876-7605","issue":"18","journalAbbreviation":"JACC Cardiovasc Interv","language":"eng","note":"PMID: 34556277","page":"2027-2036","source":"PubMed","title":"Machine Learning Identifies Clinical Parameters to Predict Mortality in Patients Undergoing Transcatheter Mitral Valve Repair","volume":"14","author":[{"family":"Zweck","given":"Elric"},{"family":"Spieker","given":"Maximilian"},{"family":"Horn","given":"Patrick"},{"family":"Iliadis","given":"Christos"},{"family":"Metze","given":"Clemens"},{"family":"Kavsur","given":"Refik"},{"family":"Tiyerili","given":"Vedat"},{"family":"Nickenig","given":"Georg"},{"family":"Baldus","given":"Stephan"},{"family":"Kelm","given":"Malte"},{"family":"Becher","given":"Marc Ulrich"},{"family":"Pfister","given":"Roman"},{"family":"Westenfeld","given":"Ralf"}],"issued":{"date-parts":[["2021",9,27]]}}},{"id":276,"uris":["http://zotero.org/users/1298974/items/5EDCY4IS"],"itemData":{"id":276,"type":"article-journal","abstract":"OBJECTIVES: The aim of this work was to identify the key morphological and functional features in secondary mitral regurgitation (sMR) and their prognostic impact on outcome.\nBACKGROUND: Secondary sMR in patients with heart failure and reduced ejection fraction typically results from distortion of the underlying cardiac architecture. The morphological components which may account for the clinical impact of sMR have not been systematically assessed or correlated with clinical outcomes.\nMETHODS: Morphomic and functional network profiling were performed on a cohort of patients with stable heart failure optimized on guideline-based medical therapy. Principal component (PC) analysis and subsequent cluster analysis were used to condense the morphomic and functional data first into PCs with varimax rotation (PCVmax) and second into homogeneous clusters. Clusters and PCs were tested for their correlations with clinical outcomes.\nRESULTS: Morphomic and functional data from 383 patients were profiled and subsequently condensed into PCs. PCVmax 1 describes high loadings of left atrial morphological information, and PCVmax 2 describes high loadings of left ventricular (LV) topology. Based on these components, 4 homogeneous clusters were derived. sMR was most prominent in clusters 3 and 4, with the morphological difference being left ventricular size (median end-diastolic volume 188 mL [interquartile range: 160 mL-224 mL] vs 315 mL [264 mL-408 mL]; P &lt; 0.001). Clusters were associated with mortality (P &lt; 0.001), but sMR remained independently associated with mortality after adjusting for the clusters (adjusted HR: 1.42; 95% CI: 1.14-1.77; P &lt; 0.01). The detrimental association of sMR with mortality was mainly driven by cluster 3 (HR: 2.18; 95% CI: 1.32-3.60; P = 0.002), the \"small LV cavity\" phenotype.\nCONCLUSIONS: These results challenge the current perceptions that sMR in heart failure with reduced ejection fraction results exclusively from global or local LV remodeling and are suggestive of a potential role of the left atrial component. The association of sMR with mortality cannot be purely attributed to cardiac morphology alone, supporting other complementary key aspects of mitral valve closure consistent with the force balance theory. Unsupervised clustering supports the association of sMR with mortality predominantly driven by the small LV cavity phenotype, as previously suggested by a conceptional framework and termed disproportionate sMR.","container-title":"JACC. Cardiovascular imaging","DOI":"10.1016/j.jcmg.2021.05.020","ISSN":"1876-7591","issue":"12","journalAbbreviation":"JACC Cardiovasc Imaging","language":"eng","note":"PMID: 34274262","page":"2288-2300","source":"PubMed","title":"Principal Morphomic and Functional Components of Secondary Mitral Regurgitation","volume":"14","author":[{"family":"Bartko","given":"Philipp E."},{"family":"Heitzinger","given":"Gregor"},{"family":"Spinka","given":"Georg"},{"family":"Pavo","given":"Noemi"},{"family":"Prausmüller","given":"Suriya"},{"family":"Kastl","given":"Stefan"},{"family":"Winter","given":"Max-Paul"},{"family":"Arfsten","given":"Henrike"},{"family":"Tan","given":"Timothy C."},{"family":"Gebhard","given":"Catherine"},{"family":"Mascherbauer","given":"Julia"},{"family":"Hengstenberg","given":"Christian"},{"family":"Strunk","given":"Guido"},{"family":"Hülsmann","given":"Martin"},{"family":"Goliasch","given":"Georg"}],"issued":{"date-parts":[["2021",12]]}}}],"schema":"https://github.com/citation-style-language/schema/raw/master/csl-citation.json"} </w:instrText>
      </w:r>
      <w:r w:rsidR="007748B5" w:rsidRPr="000804FA">
        <w:rPr>
          <w:color w:val="000000" w:themeColor="text1"/>
          <w:lang w:val="en-GB"/>
        </w:rPr>
        <w:fldChar w:fldCharType="separate"/>
      </w:r>
      <w:r w:rsidR="00D00075" w:rsidRPr="000804FA">
        <w:rPr>
          <w:color w:val="000000" w:themeColor="text1"/>
        </w:rPr>
        <w:t>(8,9)</w:t>
      </w:r>
      <w:r w:rsidR="007748B5" w:rsidRPr="000804FA">
        <w:rPr>
          <w:color w:val="000000" w:themeColor="text1"/>
          <w:lang w:val="en-GB"/>
        </w:rPr>
        <w:fldChar w:fldCharType="end"/>
      </w:r>
      <w:r w:rsidR="001E32D4" w:rsidRPr="000804FA">
        <w:rPr>
          <w:color w:val="000000" w:themeColor="text1"/>
          <w:lang w:val="en-GB"/>
        </w:rPr>
        <w:t xml:space="preserve">. </w:t>
      </w:r>
    </w:p>
    <w:p w14:paraId="14C1D4F4" w14:textId="05A81B20" w:rsidR="001E32D4" w:rsidRPr="000804FA" w:rsidRDefault="001E32D4" w:rsidP="000804FA">
      <w:pPr>
        <w:spacing w:after="120" w:line="480" w:lineRule="auto"/>
        <w:ind w:firstLine="360"/>
        <w:contextualSpacing/>
        <w:jc w:val="both"/>
        <w:rPr>
          <w:color w:val="000000" w:themeColor="text1"/>
          <w:lang w:val="en-GB"/>
        </w:rPr>
      </w:pPr>
      <w:r w:rsidRPr="000804FA">
        <w:rPr>
          <w:iCs/>
          <w:color w:val="000000" w:themeColor="text1"/>
          <w:lang w:val="en-GB"/>
        </w:rPr>
        <w:t xml:space="preserve">Further studies should also explore the </w:t>
      </w:r>
      <w:r w:rsidRPr="000804FA">
        <w:rPr>
          <w:iCs/>
          <w:color w:val="000000" w:themeColor="text1"/>
          <w:shd w:val="clear" w:color="auto" w:fill="FFFFFF"/>
          <w:lang w:val="en-US"/>
        </w:rPr>
        <w:t>characteristics,</w:t>
      </w:r>
      <w:r w:rsidRPr="000804FA">
        <w:rPr>
          <w:iCs/>
          <w:color w:val="000000" w:themeColor="text1"/>
          <w:lang w:val="en-GB"/>
        </w:rPr>
        <w:t xml:space="preserve"> clinical significance, and potential therapeutic options of atrial SMR.</w:t>
      </w:r>
    </w:p>
    <w:p w14:paraId="2D34D530" w14:textId="77777777" w:rsidR="00D64B73" w:rsidRPr="000804FA" w:rsidRDefault="00D64B73" w:rsidP="000804FA">
      <w:pPr>
        <w:spacing w:after="120" w:line="480" w:lineRule="auto"/>
        <w:contextualSpacing/>
        <w:rPr>
          <w:b/>
          <w:color w:val="000000" w:themeColor="text1"/>
          <w:lang w:val="en-CA"/>
        </w:rPr>
      </w:pPr>
    </w:p>
    <w:p w14:paraId="12631CBE" w14:textId="770152D1" w:rsidR="00D64B73" w:rsidRPr="000804FA" w:rsidRDefault="00A51527" w:rsidP="000804FA">
      <w:pPr>
        <w:spacing w:line="480" w:lineRule="auto"/>
        <w:contextualSpacing/>
        <w:rPr>
          <w:b/>
          <w:bCs/>
          <w:color w:val="000000" w:themeColor="text1"/>
          <w:lang w:val="en-US"/>
        </w:rPr>
      </w:pPr>
      <w:r w:rsidRPr="000804FA">
        <w:rPr>
          <w:b/>
          <w:bCs/>
          <w:color w:val="000000" w:themeColor="text1"/>
          <w:lang w:val="en-CA"/>
        </w:rPr>
        <w:t>5- TRICUSPID REGURGITATION</w:t>
      </w:r>
    </w:p>
    <w:p w14:paraId="7F526EF9" w14:textId="4DFA4082" w:rsidR="00D64B73" w:rsidRPr="000804FA" w:rsidRDefault="00D64B73" w:rsidP="000804FA">
      <w:pPr>
        <w:spacing w:line="480" w:lineRule="auto"/>
        <w:contextualSpacing/>
        <w:jc w:val="both"/>
        <w:rPr>
          <w:b/>
          <w:bCs/>
          <w:color w:val="000000" w:themeColor="text1"/>
          <w:lang w:val="en-CA"/>
        </w:rPr>
      </w:pPr>
      <w:r w:rsidRPr="000804FA">
        <w:rPr>
          <w:b/>
          <w:bCs/>
          <w:color w:val="000000" w:themeColor="text1"/>
          <w:lang w:val="en-CA"/>
        </w:rPr>
        <w:t>5.1</w:t>
      </w:r>
      <w:r w:rsidR="0017554E" w:rsidRPr="000804FA">
        <w:rPr>
          <w:b/>
          <w:bCs/>
          <w:color w:val="000000" w:themeColor="text1"/>
          <w:lang w:val="en-CA"/>
        </w:rPr>
        <w:t>.</w:t>
      </w:r>
      <w:r w:rsidRPr="000804FA">
        <w:rPr>
          <w:b/>
          <w:bCs/>
          <w:color w:val="000000" w:themeColor="text1"/>
          <w:lang w:val="en-CA"/>
        </w:rPr>
        <w:t xml:space="preserve"> Consistencies between guidelines  </w:t>
      </w:r>
    </w:p>
    <w:p w14:paraId="07F8F054" w14:textId="19527278" w:rsidR="00513AAE" w:rsidRPr="000804FA" w:rsidRDefault="00D64B73" w:rsidP="000804FA">
      <w:pPr>
        <w:spacing w:line="480" w:lineRule="auto"/>
        <w:ind w:firstLine="708"/>
        <w:contextualSpacing/>
        <w:jc w:val="both"/>
        <w:rPr>
          <w:color w:val="000000" w:themeColor="text1"/>
          <w:lang w:val="en-US"/>
        </w:rPr>
      </w:pPr>
      <w:r w:rsidRPr="000804FA">
        <w:rPr>
          <w:color w:val="000000" w:themeColor="text1"/>
          <w:lang w:val="en-CA"/>
        </w:rPr>
        <w:t>In patients with significant</w:t>
      </w:r>
      <w:r w:rsidR="00D37576" w:rsidRPr="000804FA">
        <w:rPr>
          <w:color w:val="000000" w:themeColor="text1"/>
          <w:lang w:val="en-CA"/>
        </w:rPr>
        <w:t xml:space="preserve"> tricuspid regurgitation</w:t>
      </w:r>
      <w:r w:rsidRPr="000804FA">
        <w:rPr>
          <w:color w:val="000000" w:themeColor="text1"/>
          <w:lang w:val="en-CA"/>
        </w:rPr>
        <w:t xml:space="preserve"> </w:t>
      </w:r>
      <w:r w:rsidR="00513AAE" w:rsidRPr="000804FA">
        <w:rPr>
          <w:color w:val="000000" w:themeColor="text1"/>
          <w:lang w:val="en-US"/>
        </w:rPr>
        <w:t>(</w:t>
      </w:r>
      <w:r w:rsidRPr="000804FA">
        <w:rPr>
          <w:color w:val="000000" w:themeColor="text1"/>
          <w:lang w:val="en-CA"/>
        </w:rPr>
        <w:t>TR</w:t>
      </w:r>
      <w:r w:rsidR="00513AAE" w:rsidRPr="000804FA">
        <w:rPr>
          <w:color w:val="000000" w:themeColor="text1"/>
          <w:lang w:val="en-US"/>
        </w:rPr>
        <w:t>)</w:t>
      </w:r>
      <w:r w:rsidRPr="000804FA">
        <w:rPr>
          <w:color w:val="000000" w:themeColor="text1"/>
          <w:lang w:val="en-CA"/>
        </w:rPr>
        <w:t>, appropriate timing for intervention is important to prevent right ventricular (RV) dilatation and dysfunction with subsequent worsening and increased mortality</w:t>
      </w:r>
      <w:r w:rsidR="00052A33" w:rsidRPr="000804FA">
        <w:rPr>
          <w:color w:val="000000" w:themeColor="text1"/>
          <w:lang w:val="en-CA"/>
        </w:rPr>
        <w:t xml:space="preserve"> </w:t>
      </w:r>
      <w:r w:rsidR="00052A33" w:rsidRPr="000804FA">
        <w:rPr>
          <w:color w:val="000000" w:themeColor="text1"/>
        </w:rPr>
        <w:fldChar w:fldCharType="begin"/>
      </w:r>
      <w:r w:rsidR="00D00075" w:rsidRPr="000804FA">
        <w:rPr>
          <w:color w:val="000000" w:themeColor="text1"/>
          <w:lang w:val="en-CA"/>
        </w:rPr>
        <w:instrText xml:space="preserve"> ADDIN ZOTERO_ITEM CSL_CITATION {"citationID":"rxP3onQ7","properties":{"formattedCitation":"(10,11)","plainCitation":"(10,11)","noteIndex":0},"citationItems":[{"id":142,"uris":["http://zotero.org/users/1298974/items/KY6SVN3J"],"itemData":{"id":142,"type":"article-journal","abstract":"OBJECTIVES: This study sought to analyze patients with tricuspid regurgitation (TR) diagnosed in the community setting (Olmsted County) by Doppler echocardiography to define the prevalence, characteristics, and implications of clinically significant (greater or equal to moderate) TR.\nBACKGROUND: The prevalence, cause distribution, and significance of TR are mostly unknown.\nMETHODS: All adult residents of Olmsted County, Minnesota, who underwent clinically indicated Doppler echocardiography between 1990 and 2000 were evaluated for presence of greater or equal to moderate TR. The characteristics and outcome of TR carriers was then analyzed.\nRESULTS: During the study period, 417 community residents were diagnosed with greater or equal to moderate TR corresponding to an U.S. age- and sex-adjusted prevalence of 0.55% with 95% confidence interval (0.50 to 0.60). TR adjusted prevalence was higher in women (p &lt; 0.01) and strongly linked to age (p &lt; 0.0001). Isolated TR (without significant comorbidities, structural left valve disease, pulmonary hypertension, or overt cardiac cause) represented 8.1% of patients with greater or equal to moderate TR. Isolated TR adjusted for age, sex, ejection fraction, atrial fibrillation, and Charlson comorbidity index independently predicted higher mortality (adjusted risk ratio: 1.68; 95% confidence interval: 1.04 to 2.60; p = 0.03) for qualitative definition. Mortality in patients with greater or equal to moderate isolated TR was higher than in the matched cases with trivial TR (p = 0.0014; matching for age, sex, atrial fibrillation, ejection fraction, comorbidity index). Only 2.6% of patients ever had tricuspid valve surgery during follow-up.\nCONCLUSIONS: Clinically significant (greater or equal to moderate) TR is common in community residents diagnosed by Doppler echocardiography and increases with age. Isolated TR is associated with excess mortality, thus TR represents an important public health problem.","container-title":"JACC. Cardiovascular imaging","DOI":"10.1016/j.jcmg.2018.06.014","ISSN":"1876-7591","issue":"3","journalAbbreviation":"JACC Cardiovasc Imaging","language":"eng","note":"PMID: 30121261","page":"433-442","source":"PubMed","title":"Burden of Tricuspid Regurgitation in Patients Diagnosed in the Community Setting","volume":"12","author":[{"family":"Topilsky","given":"Yan"},{"family":"Maltais","given":"Simon"},{"family":"Medina Inojosa","given":"Jose"},{"family":"Oguz","given":"Didem"},{"family":"Michelena","given":"Hector"},{"family":"Maalouf","given":"Joseph"},{"family":"Mahoney","given":"Douglas W."},{"family":"Enriquez-Sarano","given":"Maurice"}],"issued":{"date-parts":[["2019",3]]}}},{"id":303,"uris":["http://zotero.org/users/1298974/items/MECULCA8"],"itemData":{"id":303,"type":"article-journal","abstract":"BACKGROUND: Functional tricuspid regurgitation (FTR) is common in heart failure with reduced ejection fraction and mostly consequent to pulmonary hypertension. However, the intrinsic clinical implications of FTR are not fully understood.\nMETHODS: The cohort of all Mayo Clinic patients from 2003 to 2011 diagnosed with heart failure stage B-C and ejection fraction&lt;50%, with FTR grading and systolic pulmonary artery pressure estimation by Doppler echocardiography was identified and outcomes were analyzed. Patients with pacemakers/defibrillators, organic valve disease, or previous valve surgery were excluded. The primary outcome measure was overall mortality (censored at implantation of a defibrillator, ventricular assist device, or cardiac transplantation), adjusting for clinical and echocardiographic associates with mortality and major comorbidities.\nRESULTS: Among 13 026 patients meeting inclusion criteria, FTR was detected in 88% (N=11 507: 33% trivial, 32% mild, 17% moderate, and 6% severe), aged 68±14 years, 35% women, ejection fraction 36±10%, systolic pulmonary artery pressure 41±14 mm Hg with 20% atrial fibrillation. Covariates independently associated with FTR included elevated systolic pulmonary artery pressure, older age, female sex, lower ejection fraction, mitral regurgitation, and atrial fibrillation (all P&lt;0.0001). FTR was independently associated with more dyspnea, impaired kidney function, and lower cardiac output ( P&lt;0.003 for all). For long-term outcome, higher FTR degree compared with trivial tricuspid regurgitation was independently associated with higher mortality (adjusted hazard ratios 1.09 [1.01-1.17] for mild FTR, 1.21 [1.11-1.33] for moderate FTR and 1.57 [1.39-1.78] for severe FTR); hence, 5-year survival was substantially lower with increasing severity of functional FTR, 68±1% for trivial FTR, 58±2% for mild FTR, 45±2% for moderate FTR, and 34±4% for severe FTR.\nCONCLUSIONS: In this large cohort of patients with heart failure with reduced ejection fraction, FTR was common and independently associated with pulmonary hypertension, atrial fibrillation, and more severe heart failure presentation. Long-term, higher FTR severity is associated with considerably worse survival, independently of baseline characteristics. Given these untoward outcomes associated with FTR in patients with heart failure with reduced ejection fraction, clinical trials should be directed at testing FTR treatment.","container-title":"Circulation","DOI":"10.1161/CIRCULATIONAHA.118.038946","ISSN":"1524-4539","issue":"3","journalAbbreviation":"Circulation","language":"eng","note":"PMID: 31117814","page":"196-206","source":"PubMed","title":"Excess Mortality Associated With Functional Tricuspid Regurgitation Complicating Heart Failure With Reduced Ejection Fraction","volume":"140","author":[{"family":"Benfari","given":"Giovanni"},{"family":"Antoine","given":"Clemence"},{"family":"Miller","given":"Wayne L."},{"family":"Thapa","given":"Prabin"},{"family":"Topilsky","given":"Yan"},{"family":"Rossi","given":"Andrea"},{"family":"Michelena","given":"Hector I."},{"family":"Pislaru","given":"Sorin"},{"family":"Enriquez-Sarano","given":"Maurice"}],"issued":{"date-parts":[["2019",7,16]]}}}],"schema":"https://github.com/citation-style-language/schema/raw/master/csl-citation.json"} </w:instrText>
      </w:r>
      <w:r w:rsidR="00052A33" w:rsidRPr="000804FA">
        <w:rPr>
          <w:color w:val="000000" w:themeColor="text1"/>
        </w:rPr>
        <w:fldChar w:fldCharType="separate"/>
      </w:r>
      <w:r w:rsidR="00D00075" w:rsidRPr="000804FA">
        <w:rPr>
          <w:color w:val="000000" w:themeColor="text1"/>
        </w:rPr>
        <w:t>(10,11)</w:t>
      </w:r>
      <w:r w:rsidR="00052A33" w:rsidRPr="000804FA">
        <w:rPr>
          <w:color w:val="000000" w:themeColor="text1"/>
        </w:rPr>
        <w:fldChar w:fldCharType="end"/>
      </w:r>
      <w:r w:rsidR="00251DD1" w:rsidRPr="000804FA">
        <w:rPr>
          <w:color w:val="000000" w:themeColor="text1"/>
          <w:lang w:val="en-CA"/>
        </w:rPr>
        <w:t xml:space="preserve">. </w:t>
      </w:r>
      <w:r w:rsidR="00513AAE" w:rsidRPr="000804FA">
        <w:rPr>
          <w:color w:val="000000" w:themeColor="text1"/>
          <w:lang w:val="en-US"/>
        </w:rPr>
        <w:t>Although with different levels of evidence [</w:t>
      </w:r>
      <w:r w:rsidR="00E915D2" w:rsidRPr="000804FA">
        <w:rPr>
          <w:color w:val="000000" w:themeColor="text1"/>
          <w:lang w:val="en-US"/>
        </w:rPr>
        <w:t xml:space="preserve">B-NR for both primary and secondary TR (ACC/AHA), </w:t>
      </w:r>
      <w:r w:rsidR="00513AAE" w:rsidRPr="000804FA">
        <w:rPr>
          <w:color w:val="000000" w:themeColor="text1"/>
          <w:lang w:val="en-US"/>
        </w:rPr>
        <w:t xml:space="preserve">C for primary TR and B for secondary TR (ESC/EACTS)], both the </w:t>
      </w:r>
      <w:r w:rsidR="00E915D2" w:rsidRPr="000804FA">
        <w:rPr>
          <w:color w:val="000000" w:themeColor="text1"/>
          <w:lang w:val="en-US"/>
        </w:rPr>
        <w:t xml:space="preserve">American and </w:t>
      </w:r>
      <w:r w:rsidR="00513AAE" w:rsidRPr="000804FA">
        <w:rPr>
          <w:color w:val="000000" w:themeColor="text1"/>
          <w:lang w:val="en-US"/>
        </w:rPr>
        <w:t>European guidelines recommend surgery in patients with severe TR undergoing left-sided valve surgery (class I)</w:t>
      </w:r>
      <w:r w:rsidR="00E027B2" w:rsidRPr="000804FA">
        <w:rPr>
          <w:color w:val="000000" w:themeColor="text1"/>
          <w:lang w:val="en-US"/>
        </w:rPr>
        <w:t xml:space="preserve"> (</w:t>
      </w:r>
      <w:r w:rsidR="00E027B2" w:rsidRPr="000804FA">
        <w:rPr>
          <w:b/>
          <w:bCs/>
          <w:i/>
          <w:iCs/>
          <w:color w:val="000000" w:themeColor="text1"/>
          <w:lang w:val="en-US"/>
        </w:rPr>
        <w:t xml:space="preserve">Figure 5 &amp; </w:t>
      </w:r>
      <w:r w:rsidR="00E027B2" w:rsidRPr="000804FA">
        <w:rPr>
          <w:b/>
          <w:bCs/>
          <w:i/>
          <w:iCs/>
          <w:color w:val="000000" w:themeColor="text1"/>
          <w:lang w:val="en-US"/>
        </w:rPr>
        <w:lastRenderedPageBreak/>
        <w:t>Figure 6</w:t>
      </w:r>
      <w:r w:rsidR="00E027B2" w:rsidRPr="000804FA">
        <w:rPr>
          <w:color w:val="000000" w:themeColor="text1"/>
          <w:lang w:val="en-US"/>
        </w:rPr>
        <w:t>)</w:t>
      </w:r>
      <w:r w:rsidR="00513AAE" w:rsidRPr="000804FA">
        <w:rPr>
          <w:color w:val="000000" w:themeColor="text1"/>
          <w:lang w:val="en-US"/>
        </w:rPr>
        <w:t xml:space="preserve">. </w:t>
      </w:r>
      <w:r w:rsidR="00E915D2" w:rsidRPr="000804FA">
        <w:rPr>
          <w:color w:val="000000" w:themeColor="text1"/>
          <w:lang w:val="en-US"/>
        </w:rPr>
        <w:t xml:space="preserve">American as well as </w:t>
      </w:r>
      <w:r w:rsidR="00513AAE" w:rsidRPr="000804FA">
        <w:rPr>
          <w:color w:val="000000" w:themeColor="text1"/>
          <w:lang w:val="en-US"/>
        </w:rPr>
        <w:t>European guidelines, recommend (</w:t>
      </w:r>
      <w:r w:rsidR="00E915D2" w:rsidRPr="000804FA">
        <w:rPr>
          <w:color w:val="000000" w:themeColor="text1"/>
          <w:lang w:val="en-US"/>
        </w:rPr>
        <w:t xml:space="preserve">B-NR for ACC/AHA guidelines and </w:t>
      </w:r>
      <w:r w:rsidR="00513AAE" w:rsidRPr="000804FA">
        <w:rPr>
          <w:color w:val="000000" w:themeColor="text1"/>
          <w:lang w:val="en-US"/>
        </w:rPr>
        <w:t xml:space="preserve">class </w:t>
      </w:r>
      <w:proofErr w:type="spellStart"/>
      <w:r w:rsidR="00513AAE" w:rsidRPr="000804FA">
        <w:rPr>
          <w:color w:val="000000" w:themeColor="text1"/>
          <w:lang w:val="en-US"/>
        </w:rPr>
        <w:t>IIa</w:t>
      </w:r>
      <w:proofErr w:type="spellEnd"/>
      <w:r w:rsidR="00513AAE" w:rsidRPr="000804FA">
        <w:rPr>
          <w:color w:val="000000" w:themeColor="text1"/>
          <w:lang w:val="en-US"/>
        </w:rPr>
        <w:t xml:space="preserve">, evidence B for ESC/EACTS guidelines) tricuspid valve (TV) surgery even in patients with </w:t>
      </w:r>
      <w:r w:rsidR="00434CFE" w:rsidRPr="000804FA">
        <w:rPr>
          <w:color w:val="000000" w:themeColor="text1"/>
          <w:lang w:val="en-US"/>
        </w:rPr>
        <w:t>only</w:t>
      </w:r>
      <w:r w:rsidR="00513AAE" w:rsidRPr="000804FA">
        <w:rPr>
          <w:color w:val="000000" w:themeColor="text1"/>
          <w:lang w:val="en-US"/>
        </w:rPr>
        <w:t xml:space="preserve"> mild-to-moderate secondary TR undergoing left-sided valve surgery in the presence of tricuspid annular dilatation or prior signs and symptoms of right-sided HF</w:t>
      </w:r>
      <w:r w:rsidR="00A51527" w:rsidRPr="000804FA">
        <w:rPr>
          <w:color w:val="000000" w:themeColor="text1"/>
          <w:lang w:val="en-US"/>
        </w:rPr>
        <w:t xml:space="preserve"> </w:t>
      </w:r>
      <w:r w:rsidR="00A51527" w:rsidRPr="000804FA">
        <w:rPr>
          <w:b/>
          <w:i/>
          <w:color w:val="000000" w:themeColor="text1"/>
          <w:lang w:val="en-US"/>
        </w:rPr>
        <w:t xml:space="preserve">(Table </w:t>
      </w:r>
      <w:r w:rsidR="0031101E" w:rsidRPr="000804FA">
        <w:rPr>
          <w:b/>
          <w:i/>
          <w:color w:val="000000" w:themeColor="text1"/>
          <w:lang w:val="en-US"/>
        </w:rPr>
        <w:t>4</w:t>
      </w:r>
      <w:r w:rsidR="00A51527" w:rsidRPr="000804FA">
        <w:rPr>
          <w:b/>
          <w:i/>
          <w:color w:val="000000" w:themeColor="text1"/>
          <w:lang w:val="en-US"/>
        </w:rPr>
        <w:t>)</w:t>
      </w:r>
      <w:r w:rsidR="00513AAE" w:rsidRPr="000804FA">
        <w:rPr>
          <w:color w:val="000000" w:themeColor="text1"/>
          <w:lang w:val="en-US"/>
        </w:rPr>
        <w:t xml:space="preserve">. </w:t>
      </w:r>
    </w:p>
    <w:p w14:paraId="76E0B2AB" w14:textId="1D10D2EA" w:rsidR="00D64B73" w:rsidRPr="000804FA" w:rsidRDefault="00D64B73" w:rsidP="000804FA">
      <w:pPr>
        <w:spacing w:line="480" w:lineRule="auto"/>
        <w:contextualSpacing/>
        <w:jc w:val="both"/>
        <w:rPr>
          <w:b/>
          <w:bCs/>
          <w:color w:val="000000" w:themeColor="text1"/>
          <w:lang w:val="en-CA"/>
        </w:rPr>
      </w:pPr>
      <w:r w:rsidRPr="000804FA">
        <w:rPr>
          <w:b/>
          <w:bCs/>
          <w:color w:val="000000" w:themeColor="text1"/>
          <w:lang w:val="en-CA"/>
        </w:rPr>
        <w:t>5.2</w:t>
      </w:r>
      <w:r w:rsidR="0017554E" w:rsidRPr="000804FA">
        <w:rPr>
          <w:b/>
          <w:bCs/>
          <w:color w:val="000000" w:themeColor="text1"/>
          <w:lang w:val="en-CA"/>
        </w:rPr>
        <w:t>.</w:t>
      </w:r>
      <w:r w:rsidRPr="000804FA">
        <w:rPr>
          <w:b/>
          <w:bCs/>
          <w:color w:val="000000" w:themeColor="text1"/>
          <w:lang w:val="en-CA"/>
        </w:rPr>
        <w:t xml:space="preserve"> Discrepancies between guidelines </w:t>
      </w:r>
    </w:p>
    <w:p w14:paraId="77CD8532" w14:textId="2AB532D2" w:rsidR="00F44003" w:rsidRPr="000804FA" w:rsidRDefault="00D64B73" w:rsidP="000804FA">
      <w:pPr>
        <w:spacing w:after="240" w:line="480" w:lineRule="auto"/>
        <w:ind w:firstLine="708"/>
        <w:contextualSpacing/>
        <w:jc w:val="both"/>
        <w:rPr>
          <w:color w:val="000000" w:themeColor="text1"/>
          <w:lang w:val="en-CA"/>
        </w:rPr>
      </w:pPr>
      <w:r w:rsidRPr="000804FA">
        <w:rPr>
          <w:color w:val="000000" w:themeColor="text1"/>
          <w:lang w:val="en-CA"/>
        </w:rPr>
        <w:t>With regard to assessment of severity of TR, the European guidelines include a central jet area of TR which is &gt;50% of right atrium, presence of a flail leaflet or abnormal TV morphology, a very large central jet or eccentric wall impinging jet, PISA radius &gt;9 mm, and an E-wave dominant (≥1 m/s) tricuspid inflow as additional markers of severe TR</w:t>
      </w:r>
      <w:r w:rsidR="00930145" w:rsidRPr="000804FA">
        <w:rPr>
          <w:color w:val="000000" w:themeColor="text1"/>
          <w:lang w:val="en-CA"/>
        </w:rPr>
        <w:t xml:space="preserve"> </w:t>
      </w:r>
      <w:r w:rsidR="00930145" w:rsidRPr="000804FA">
        <w:rPr>
          <w:b/>
          <w:i/>
          <w:color w:val="000000" w:themeColor="text1"/>
          <w:lang w:val="en-CA"/>
        </w:rPr>
        <w:t xml:space="preserve">(Table </w:t>
      </w:r>
      <w:r w:rsidR="0031101E" w:rsidRPr="000804FA">
        <w:rPr>
          <w:b/>
          <w:i/>
          <w:color w:val="000000" w:themeColor="text1"/>
          <w:lang w:val="en-CA"/>
        </w:rPr>
        <w:t>4</w:t>
      </w:r>
      <w:r w:rsidR="00930145" w:rsidRPr="000804FA">
        <w:rPr>
          <w:b/>
          <w:i/>
          <w:color w:val="000000" w:themeColor="text1"/>
          <w:lang w:val="en-CA"/>
        </w:rPr>
        <w:t>)</w:t>
      </w:r>
      <w:r w:rsidRPr="000804FA">
        <w:rPr>
          <w:b/>
          <w:i/>
          <w:color w:val="000000" w:themeColor="text1"/>
          <w:lang w:val="en-CA"/>
        </w:rPr>
        <w:t>.</w:t>
      </w:r>
      <w:r w:rsidRPr="000804FA">
        <w:rPr>
          <w:color w:val="000000" w:themeColor="text1"/>
          <w:lang w:val="en-CA"/>
        </w:rPr>
        <w:t xml:space="preserve"> The American guidelines do not recommend the use of these parameters in the assessment of the degree of TR. In the European guidelines the etiology of TV disease is specified as primary or secondary. In the American guidelines such differentiation is not emphasized, instead they </w:t>
      </w:r>
      <w:r w:rsidR="00B63A9B" w:rsidRPr="000804FA">
        <w:rPr>
          <w:color w:val="000000" w:themeColor="text1"/>
          <w:lang w:val="en-CA"/>
        </w:rPr>
        <w:t>propose</w:t>
      </w:r>
      <w:r w:rsidR="00586341" w:rsidRPr="000804FA">
        <w:rPr>
          <w:color w:val="000000" w:themeColor="text1"/>
          <w:lang w:val="en-CA"/>
        </w:rPr>
        <w:t xml:space="preserve"> </w:t>
      </w:r>
      <w:r w:rsidRPr="000804FA">
        <w:rPr>
          <w:color w:val="000000" w:themeColor="text1"/>
          <w:lang w:val="en-CA"/>
        </w:rPr>
        <w:t>staging TR</w:t>
      </w:r>
      <w:r w:rsidR="00846B41" w:rsidRPr="000804FA">
        <w:rPr>
          <w:color w:val="000000" w:themeColor="text1"/>
          <w:lang w:val="en-CA"/>
        </w:rPr>
        <w:t xml:space="preserve"> </w:t>
      </w:r>
      <w:r w:rsidRPr="000804FA">
        <w:rPr>
          <w:color w:val="000000" w:themeColor="text1"/>
          <w:lang w:val="en-CA"/>
        </w:rPr>
        <w:t xml:space="preserve">as </w:t>
      </w:r>
      <w:r w:rsidR="00816508" w:rsidRPr="000804FA">
        <w:rPr>
          <w:color w:val="000000" w:themeColor="text1"/>
          <w:lang w:val="en-US"/>
        </w:rPr>
        <w:t>a</w:t>
      </w:r>
      <w:r w:rsidRPr="000804FA">
        <w:rPr>
          <w:color w:val="000000" w:themeColor="text1"/>
          <w:lang w:val="en-CA"/>
        </w:rPr>
        <w:t xml:space="preserve">symptomatic, progressive, and symptomatic disease. The class of recommendation regarding surgery in patients with isolated severe symptomatic primary TR is lower in the American guidelines compared with </w:t>
      </w:r>
      <w:r w:rsidR="00487194" w:rsidRPr="000804FA">
        <w:rPr>
          <w:color w:val="000000" w:themeColor="text1"/>
          <w:lang w:val="en-CA"/>
        </w:rPr>
        <w:t xml:space="preserve">the </w:t>
      </w:r>
      <w:r w:rsidRPr="000804FA">
        <w:rPr>
          <w:color w:val="000000" w:themeColor="text1"/>
          <w:lang w:val="en-CA"/>
        </w:rPr>
        <w:t>European</w:t>
      </w:r>
      <w:r w:rsidR="00586341" w:rsidRPr="000804FA">
        <w:rPr>
          <w:color w:val="000000" w:themeColor="text1"/>
          <w:lang w:val="en-CA"/>
        </w:rPr>
        <w:t xml:space="preserve"> guidelines</w:t>
      </w:r>
      <w:r w:rsidRPr="000804FA">
        <w:rPr>
          <w:color w:val="000000" w:themeColor="text1"/>
          <w:lang w:val="en-CA"/>
        </w:rPr>
        <w:t xml:space="preserve"> (</w:t>
      </w:r>
      <w:r w:rsidR="0073492F" w:rsidRPr="000804FA">
        <w:rPr>
          <w:color w:val="000000" w:themeColor="text1"/>
          <w:lang w:val="en-CA"/>
        </w:rPr>
        <w:t xml:space="preserve">class </w:t>
      </w:r>
      <w:proofErr w:type="spellStart"/>
      <w:r w:rsidRPr="000804FA">
        <w:rPr>
          <w:color w:val="000000" w:themeColor="text1"/>
          <w:lang w:val="en-CA"/>
        </w:rPr>
        <w:t>IIa</w:t>
      </w:r>
      <w:proofErr w:type="spellEnd"/>
      <w:r w:rsidRPr="000804FA">
        <w:rPr>
          <w:color w:val="000000" w:themeColor="text1"/>
          <w:lang w:val="en-CA"/>
        </w:rPr>
        <w:t xml:space="preserve"> vs I). Likewise, in asymptomatic patients with severe primary TR and progressive RV dilatation or systolic dysfunction, isolated TV surgery is recommended by both </w:t>
      </w:r>
      <w:r w:rsidR="001126B2" w:rsidRPr="000804FA">
        <w:rPr>
          <w:color w:val="000000" w:themeColor="text1"/>
          <w:lang w:val="en-CA"/>
        </w:rPr>
        <w:t xml:space="preserve">the </w:t>
      </w:r>
      <w:r w:rsidR="00846B41" w:rsidRPr="000804FA">
        <w:rPr>
          <w:color w:val="000000" w:themeColor="text1"/>
          <w:lang w:val="en-CA"/>
        </w:rPr>
        <w:t>European</w:t>
      </w:r>
      <w:r w:rsidRPr="000804FA">
        <w:rPr>
          <w:color w:val="000000" w:themeColor="text1"/>
          <w:lang w:val="en-CA"/>
        </w:rPr>
        <w:t xml:space="preserve"> and </w:t>
      </w:r>
      <w:r w:rsidR="001126B2" w:rsidRPr="000804FA">
        <w:rPr>
          <w:color w:val="000000" w:themeColor="text1"/>
          <w:lang w:val="en-CA"/>
        </w:rPr>
        <w:t xml:space="preserve">the </w:t>
      </w:r>
      <w:r w:rsidR="00846B41" w:rsidRPr="000804FA">
        <w:rPr>
          <w:color w:val="000000" w:themeColor="text1"/>
          <w:lang w:val="en-CA"/>
        </w:rPr>
        <w:t>American</w:t>
      </w:r>
      <w:r w:rsidRPr="000804FA">
        <w:rPr>
          <w:color w:val="000000" w:themeColor="text1"/>
          <w:lang w:val="en-CA"/>
        </w:rPr>
        <w:t xml:space="preserve"> guidelines but with different COR: </w:t>
      </w:r>
      <w:proofErr w:type="spellStart"/>
      <w:r w:rsidRPr="000804FA">
        <w:rPr>
          <w:color w:val="000000" w:themeColor="text1"/>
          <w:lang w:val="en-CA"/>
        </w:rPr>
        <w:t>IIa</w:t>
      </w:r>
      <w:proofErr w:type="spellEnd"/>
      <w:r w:rsidRPr="000804FA">
        <w:rPr>
          <w:color w:val="000000" w:themeColor="text1"/>
          <w:lang w:val="en-CA"/>
        </w:rPr>
        <w:t xml:space="preserve"> versus IIb, respectively. </w:t>
      </w:r>
      <w:r w:rsidR="003445F7" w:rsidRPr="000804FA">
        <w:rPr>
          <w:color w:val="000000" w:themeColor="text1"/>
          <w:lang w:val="en-CA"/>
        </w:rPr>
        <w:t xml:space="preserve">The </w:t>
      </w:r>
      <w:r w:rsidRPr="000804FA">
        <w:rPr>
          <w:color w:val="000000" w:themeColor="text1"/>
          <w:lang w:val="en-CA"/>
        </w:rPr>
        <w:t>American guidelines weakly recommend (</w:t>
      </w:r>
      <w:r w:rsidR="0073492F" w:rsidRPr="000804FA">
        <w:rPr>
          <w:color w:val="000000" w:themeColor="text1"/>
          <w:lang w:val="en-CA"/>
        </w:rPr>
        <w:t xml:space="preserve">class </w:t>
      </w:r>
      <w:r w:rsidRPr="000804FA">
        <w:rPr>
          <w:color w:val="000000" w:themeColor="text1"/>
          <w:lang w:val="en-CA"/>
        </w:rPr>
        <w:t xml:space="preserve">IIb) isolated TV surgery in patients with symptomatic </w:t>
      </w:r>
      <w:r w:rsidR="00513AAE" w:rsidRPr="000804FA">
        <w:rPr>
          <w:color w:val="000000" w:themeColor="text1"/>
          <w:lang w:val="en-US"/>
        </w:rPr>
        <w:t xml:space="preserve">severe </w:t>
      </w:r>
      <w:r w:rsidRPr="000804FA">
        <w:rPr>
          <w:color w:val="000000" w:themeColor="text1"/>
          <w:lang w:val="en-CA"/>
        </w:rPr>
        <w:t xml:space="preserve">TR who have already undergone left-sided valve surgery </w:t>
      </w:r>
      <w:r w:rsidR="00513AAE" w:rsidRPr="000804FA">
        <w:rPr>
          <w:color w:val="000000" w:themeColor="text1"/>
          <w:lang w:val="en-US"/>
        </w:rPr>
        <w:t xml:space="preserve">in the absence of severe pulmonary hypertension or severe RV systolic dysfunction. On the other hand, according to European guidelines, TV surgery should be considered (class </w:t>
      </w:r>
      <w:proofErr w:type="spellStart"/>
      <w:r w:rsidR="00513AAE" w:rsidRPr="000804FA">
        <w:rPr>
          <w:color w:val="000000" w:themeColor="text1"/>
          <w:lang w:val="en-US"/>
        </w:rPr>
        <w:t>IIa</w:t>
      </w:r>
      <w:proofErr w:type="spellEnd"/>
      <w:r w:rsidR="00513AAE" w:rsidRPr="000804FA">
        <w:rPr>
          <w:color w:val="000000" w:themeColor="text1"/>
          <w:lang w:val="en-US"/>
        </w:rPr>
        <w:t xml:space="preserve">, evidence B) regardless </w:t>
      </w:r>
      <w:r w:rsidR="001B42A7" w:rsidRPr="000804FA">
        <w:rPr>
          <w:color w:val="000000" w:themeColor="text1"/>
          <w:lang w:val="en-US"/>
        </w:rPr>
        <w:t xml:space="preserve">of </w:t>
      </w:r>
      <w:r w:rsidR="00513AAE" w:rsidRPr="000804FA">
        <w:rPr>
          <w:color w:val="000000" w:themeColor="text1"/>
          <w:lang w:val="en-US"/>
        </w:rPr>
        <w:t xml:space="preserve">the history of left-sided valve surgery in patients with severe secondary tricuspid regurgitation who are symptomatic or have RV dilatation, in the absence of severe RV or LV dysfunction and </w:t>
      </w:r>
      <w:r w:rsidR="00513AAE" w:rsidRPr="000804FA">
        <w:rPr>
          <w:color w:val="000000" w:themeColor="text1"/>
          <w:lang w:val="en-US"/>
        </w:rPr>
        <w:lastRenderedPageBreak/>
        <w:t>severe pulmonary hypertension</w:t>
      </w:r>
      <w:r w:rsidRPr="000804FA">
        <w:rPr>
          <w:color w:val="000000" w:themeColor="text1"/>
          <w:lang w:val="en-CA"/>
        </w:rPr>
        <w:t xml:space="preserve">. </w:t>
      </w:r>
      <w:r w:rsidR="003445F7" w:rsidRPr="000804FA">
        <w:rPr>
          <w:color w:val="000000" w:themeColor="text1"/>
          <w:lang w:val="en-CA"/>
        </w:rPr>
        <w:t xml:space="preserve">The </w:t>
      </w:r>
      <w:r w:rsidRPr="000804FA">
        <w:rPr>
          <w:color w:val="000000" w:themeColor="text1"/>
          <w:lang w:val="en-CA"/>
        </w:rPr>
        <w:t xml:space="preserve">American guidelines specifically mention atrial functional TR in the setting of patients with permanent </w:t>
      </w:r>
      <w:r w:rsidR="0017554E" w:rsidRPr="000804FA">
        <w:rPr>
          <w:color w:val="000000" w:themeColor="text1"/>
          <w:lang w:val="en-CA"/>
        </w:rPr>
        <w:t>atrial fibrillation</w:t>
      </w:r>
      <w:r w:rsidRPr="000804FA">
        <w:rPr>
          <w:color w:val="000000" w:themeColor="text1"/>
          <w:lang w:val="en-CA"/>
        </w:rPr>
        <w:t xml:space="preserve"> and recommend (</w:t>
      </w:r>
      <w:r w:rsidR="0073492F" w:rsidRPr="000804FA">
        <w:rPr>
          <w:color w:val="000000" w:themeColor="text1"/>
          <w:lang w:val="en-CA"/>
        </w:rPr>
        <w:t xml:space="preserve">class </w:t>
      </w:r>
      <w:proofErr w:type="spellStart"/>
      <w:r w:rsidRPr="000804FA">
        <w:rPr>
          <w:color w:val="000000" w:themeColor="text1"/>
          <w:lang w:val="en-CA"/>
        </w:rPr>
        <w:t>IIa</w:t>
      </w:r>
      <w:proofErr w:type="spellEnd"/>
      <w:r w:rsidRPr="000804FA">
        <w:rPr>
          <w:color w:val="000000" w:themeColor="text1"/>
          <w:lang w:val="en-CA"/>
        </w:rPr>
        <w:t xml:space="preserve">) isolated TV surgery in patients with signs and symptoms of right-sided HF refractory to medical therapy. Similarly, severe isolated secondary TR due to annular dilation in the absence of pulmonary hypertension or left-sided disease is also a class </w:t>
      </w:r>
      <w:proofErr w:type="spellStart"/>
      <w:r w:rsidRPr="000804FA">
        <w:rPr>
          <w:color w:val="000000" w:themeColor="text1"/>
          <w:lang w:val="en-CA"/>
        </w:rPr>
        <w:t>IIa</w:t>
      </w:r>
      <w:proofErr w:type="spellEnd"/>
      <w:r w:rsidRPr="000804FA">
        <w:rPr>
          <w:color w:val="000000" w:themeColor="text1"/>
          <w:lang w:val="en-CA"/>
        </w:rPr>
        <w:t xml:space="preserve"> indication for TV surgery (</w:t>
      </w:r>
      <w:r w:rsidR="0073492F" w:rsidRPr="000804FA">
        <w:rPr>
          <w:color w:val="000000" w:themeColor="text1"/>
          <w:lang w:val="en-CA"/>
        </w:rPr>
        <w:t xml:space="preserve">class </w:t>
      </w:r>
      <w:proofErr w:type="spellStart"/>
      <w:r w:rsidRPr="000804FA">
        <w:rPr>
          <w:color w:val="000000" w:themeColor="text1"/>
          <w:lang w:val="en-CA"/>
        </w:rPr>
        <w:t>IIa</w:t>
      </w:r>
      <w:proofErr w:type="spellEnd"/>
      <w:r w:rsidRPr="000804FA">
        <w:rPr>
          <w:color w:val="000000" w:themeColor="text1"/>
          <w:lang w:val="en-CA"/>
        </w:rPr>
        <w:t>). There is no such specific recommendation in the European guidelines</w:t>
      </w:r>
      <w:r w:rsidR="00930145" w:rsidRPr="000804FA">
        <w:rPr>
          <w:color w:val="000000" w:themeColor="text1"/>
          <w:lang w:val="en-CA"/>
        </w:rPr>
        <w:t xml:space="preserve"> </w:t>
      </w:r>
      <w:r w:rsidR="00930145" w:rsidRPr="000804FA">
        <w:rPr>
          <w:b/>
          <w:i/>
          <w:color w:val="000000" w:themeColor="text1"/>
          <w:lang w:val="en-CA"/>
        </w:rPr>
        <w:t xml:space="preserve">(Table </w:t>
      </w:r>
      <w:r w:rsidR="0031101E" w:rsidRPr="000804FA">
        <w:rPr>
          <w:b/>
          <w:i/>
          <w:color w:val="000000" w:themeColor="text1"/>
          <w:lang w:val="en-CA"/>
        </w:rPr>
        <w:t>4</w:t>
      </w:r>
      <w:r w:rsidR="00930145" w:rsidRPr="000804FA">
        <w:rPr>
          <w:b/>
          <w:i/>
          <w:color w:val="000000" w:themeColor="text1"/>
          <w:lang w:val="en-CA"/>
        </w:rPr>
        <w:t>)</w:t>
      </w:r>
      <w:r w:rsidR="00846B41" w:rsidRPr="000804FA">
        <w:rPr>
          <w:color w:val="000000" w:themeColor="text1"/>
          <w:lang w:val="en-CA"/>
        </w:rPr>
        <w:t>.</w:t>
      </w:r>
      <w:r w:rsidRPr="000804FA">
        <w:rPr>
          <w:color w:val="000000" w:themeColor="text1"/>
          <w:lang w:val="en-CA"/>
        </w:rPr>
        <w:t xml:space="preserve"> The </w:t>
      </w:r>
      <w:r w:rsidR="00846B41" w:rsidRPr="000804FA">
        <w:rPr>
          <w:color w:val="000000" w:themeColor="text1"/>
          <w:lang w:val="en-CA"/>
        </w:rPr>
        <w:t>European</w:t>
      </w:r>
      <w:r w:rsidRPr="000804FA">
        <w:rPr>
          <w:color w:val="000000" w:themeColor="text1"/>
          <w:lang w:val="en-CA"/>
        </w:rPr>
        <w:t xml:space="preserve"> guidelines recommend (</w:t>
      </w:r>
      <w:r w:rsidR="0073492F" w:rsidRPr="000804FA">
        <w:rPr>
          <w:color w:val="000000" w:themeColor="text1"/>
          <w:lang w:val="en-CA"/>
        </w:rPr>
        <w:t xml:space="preserve">class </w:t>
      </w:r>
      <w:r w:rsidRPr="000804FA">
        <w:rPr>
          <w:color w:val="000000" w:themeColor="text1"/>
          <w:lang w:val="en-CA"/>
        </w:rPr>
        <w:t xml:space="preserve">IIb) transcatheter treatment of symptomatic secondary severe TR in anatomically eligible patients not amenable for surgery in whom improvement of quality of life or survival can be expected, especially at a Heart Valve Centre with expertise in such treatment. </w:t>
      </w:r>
      <w:r w:rsidR="009C5E6C" w:rsidRPr="000804FA">
        <w:rPr>
          <w:color w:val="000000" w:themeColor="text1"/>
          <w:lang w:val="en-CA"/>
        </w:rPr>
        <w:t xml:space="preserve">Noteworthy, the American guidelines do not include transcatheter therapy for TR. </w:t>
      </w:r>
    </w:p>
    <w:p w14:paraId="46DB69B1" w14:textId="1A8BB07B" w:rsidR="00D64B73" w:rsidRPr="000804FA" w:rsidRDefault="00D64B73" w:rsidP="000804FA">
      <w:pPr>
        <w:spacing w:line="480" w:lineRule="auto"/>
        <w:contextualSpacing/>
        <w:jc w:val="both"/>
        <w:rPr>
          <w:color w:val="000000" w:themeColor="text1"/>
          <w:lang w:val="en-CA"/>
        </w:rPr>
      </w:pPr>
      <w:r w:rsidRPr="000804FA">
        <w:rPr>
          <w:b/>
          <w:bCs/>
          <w:color w:val="000000" w:themeColor="text1"/>
          <w:lang w:val="en-CA"/>
        </w:rPr>
        <w:t>5.3</w:t>
      </w:r>
      <w:r w:rsidR="0017554E" w:rsidRPr="000804FA">
        <w:rPr>
          <w:b/>
          <w:bCs/>
          <w:color w:val="000000" w:themeColor="text1"/>
          <w:lang w:val="en-CA"/>
        </w:rPr>
        <w:t>.</w:t>
      </w:r>
      <w:r w:rsidR="00F44003" w:rsidRPr="000804FA">
        <w:rPr>
          <w:b/>
          <w:bCs/>
          <w:color w:val="000000" w:themeColor="text1"/>
          <w:lang w:val="en-CA"/>
        </w:rPr>
        <w:t xml:space="preserve"> Knowledge g</w:t>
      </w:r>
      <w:r w:rsidRPr="000804FA">
        <w:rPr>
          <w:b/>
          <w:bCs/>
          <w:color w:val="000000" w:themeColor="text1"/>
          <w:lang w:val="en-CA"/>
        </w:rPr>
        <w:t xml:space="preserve">aps </w:t>
      </w:r>
      <w:r w:rsidR="00F44003" w:rsidRPr="000804FA">
        <w:rPr>
          <w:b/>
          <w:bCs/>
          <w:color w:val="000000" w:themeColor="text1"/>
          <w:lang w:val="en-CA"/>
        </w:rPr>
        <w:t>and future perspectives</w:t>
      </w:r>
    </w:p>
    <w:p w14:paraId="59EA7A1A" w14:textId="73241052" w:rsidR="00867C04" w:rsidRPr="000804FA" w:rsidRDefault="00D64B73" w:rsidP="000804FA">
      <w:pPr>
        <w:spacing w:line="480" w:lineRule="auto"/>
        <w:ind w:firstLine="708"/>
        <w:contextualSpacing/>
        <w:jc w:val="both"/>
        <w:rPr>
          <w:color w:val="000000" w:themeColor="text1"/>
          <w:lang w:val="en-US"/>
        </w:rPr>
      </w:pPr>
      <w:r w:rsidRPr="000804FA">
        <w:rPr>
          <w:color w:val="000000" w:themeColor="text1"/>
          <w:lang w:val="en-CA"/>
        </w:rPr>
        <w:t xml:space="preserve">Several uncertainties and controversies persist in </w:t>
      </w:r>
      <w:r w:rsidR="009C5E6C" w:rsidRPr="000804FA">
        <w:rPr>
          <w:color w:val="000000" w:themeColor="text1"/>
          <w:lang w:val="en-CA"/>
        </w:rPr>
        <w:t xml:space="preserve">the </w:t>
      </w:r>
      <w:r w:rsidR="00E915D2" w:rsidRPr="000804FA">
        <w:rPr>
          <w:color w:val="000000" w:themeColor="text1"/>
          <w:lang w:val="en-CA"/>
        </w:rPr>
        <w:t xml:space="preserve">American and </w:t>
      </w:r>
      <w:r w:rsidR="009C5E6C" w:rsidRPr="000804FA">
        <w:rPr>
          <w:color w:val="000000" w:themeColor="text1"/>
          <w:lang w:val="en-CA"/>
        </w:rPr>
        <w:t xml:space="preserve">European </w:t>
      </w:r>
      <w:r w:rsidR="00E915D2" w:rsidRPr="000804FA">
        <w:rPr>
          <w:color w:val="000000" w:themeColor="text1"/>
          <w:lang w:val="en-CA"/>
        </w:rPr>
        <w:t>guidelines</w:t>
      </w:r>
      <w:r w:rsidRPr="000804FA">
        <w:rPr>
          <w:color w:val="000000" w:themeColor="text1"/>
          <w:lang w:val="en-CA"/>
        </w:rPr>
        <w:t xml:space="preserve"> concerning grading severity of TR and the optimal management of TR</w:t>
      </w:r>
      <w:r w:rsidR="00B9254C" w:rsidRPr="000804FA">
        <w:rPr>
          <w:color w:val="000000" w:themeColor="text1"/>
          <w:lang w:val="en-CA"/>
        </w:rPr>
        <w:t xml:space="preserve"> </w:t>
      </w:r>
      <w:r w:rsidR="00B9254C" w:rsidRPr="000804FA">
        <w:rPr>
          <w:color w:val="000000" w:themeColor="text1"/>
        </w:rPr>
        <w:fldChar w:fldCharType="begin"/>
      </w:r>
      <w:r w:rsidR="00D00075" w:rsidRPr="000804FA">
        <w:rPr>
          <w:color w:val="000000" w:themeColor="text1"/>
          <w:lang w:val="en-CA"/>
        </w:rPr>
        <w:instrText xml:space="preserve"> ADDIN ZOTERO_ITEM CSL_CITATION {"citationID":"eObVyruv","properties":{"formattedCitation":"(12,13)","plainCitation":"(12,13)","noteIndex":0},"citationItems":[{"id":310,"uris":["http://zotero.org/users/1298974/items/Q64CJCET"],"itemData":{"id":310,"type":"article-journal","abstract":"Tricuspid regurgitation (TR) is a frequent and complex problem, commonly combined with left-sided heart disease, such as mitral regurgitation. Significant TR is associated with increased mortality if left untreated or recurrent after therapy. Tricuspid regurgitation was historically often disregarded and remained undertreated. Surgery is currently the only Class I Guideline recommended therapy for TR, in the form of annuloplasty, leaflet repair, or valve replacement. As growing experience of transcatheter therapy in structural heart disease, many dedicated transcatheter tricuspid repair or replacement devices, which mimic well-established surgical techniques, are currently under development. Nevertheless, many aspects of TR are little understood, including the disease process, surgical or interventional risk stratification, and predictors of successful therapy. The optimal treatment timing and the choice of proper surgical or interventional technique for significant TR remain to be elucidated. In this context, we aim to highlight the current evidence, underline major controversial issues in this field and present a future roadmap for TR therapy.","container-title":"European Heart Journal","DOI":"10.1093/eurheartj/ehz614","ISSN":"1522-9645","issue":"20","journalAbbreviation":"Eur Heart J","language":"eng","note":"PMID: 31511897","page":"1932-1940","source":"PubMed","title":"Uncertainties and challenges in surgical and transcatheter tricuspid valve therapy: a state-of-the-art expert review","title-short":"Uncertainties and challenges in surgical and transcatheter tricuspid valve therapy","volume":"41","author":[{"family":"Chang","given":"Chun Chin"},{"family":"Veen","given":"Kevin M."},{"family":"Hahn","given":"Rebecca T."},{"family":"Bogers","given":"Ad J. J. C."},{"family":"Latib","given":"Azeem"},{"family":"Oei","given":"Frans B. S."},{"family":"Abdelghani","given":"Mohammad"},{"family":"Modolo","given":"Rodrigo"},{"family":"Ho","given":"Siew Yen"},{"family":"Abdel-Wahab","given":"Mohamed"},{"family":"Fattouch","given":"Khalil"},{"family":"Bosmans","given":"Johan"},{"family":"Caliskan","given":"Kadir"},{"family":"Taramasso","given":"Maurizio"},{"family":"Serruys","given":"Patrick W."},{"family":"Bax","given":"Jeroen J."},{"family":"Mieghem","given":"Nicolas M. D. A.","non-dropping-particle":"van"},{"family":"Takkenberg","given":"Johanna J. M."},{"family":"Lurz","given":"Philip"},{"family":"Modine","given":"Thomas"},{"family":"Soliman","given":"Osama"}],"issued":{"date-parts":[["2020",5,21]]}}},{"id":313,"uris":["http://zotero.org/users/1298974/items/A8A787HM"],"itemData":{"id":313,"type":"article-journal","abstract":"Tricuspid regurgitation (TR) is a highly prevalent valvular heart disease and is associated with an increased risk of cardiovascular events and death at long-term follow-up. Functional TR accounts for over 90% of TR and is mainly due to annular or right ventricular dilatation. Most often, TR is observed in patients with left-sided valvular heart disease (with or without previous surgical correction) and pulmonary hypertension. Isolated TR is less frequent, though burdened by high surgical mortality. This, together with an incomplete understanding of the disease, has brought to a significant undertreatment in spite of the growing evidence of the impact of severe TR on mortality. Moreover, uncertainties about the appropriate timing for intervention and the predictors of procedural success have contributed to limit TR treatment. Transcatheter tricuspid valve replacement or repair interventions represent novel and less invasive alternatives to surgery and have shown early promising results. The purpose of this review is to provide a complete and updated overview of TR pathology with a special focus on current percutaneous treatment options, future challenges and directions.","container-title":"European Journal of Heart Failure","DOI":"10.1002/ejhf.2398","ISSN":"1879-0844","issue":"3","journalAbbreviation":"Eur J Heart Fail","language":"eng","note":"PMID: 34894039","page":"442-454","source":"PubMed","title":"Challenges and future perspectives of transcatheter tricuspid valve interventions: adopt old strategies or adapt to new opportunities?","title-short":"Challenges and future perspectives of transcatheter tricuspid valve interventions","volume":"24","author":[{"family":"Russo","given":"Giulio"},{"family":"Taramasso","given":"Maurizio"},{"family":"Pedicino","given":"Daniela"},{"family":"Gennari","given":"Marco"},{"family":"Gavazzoni","given":"Mara"},{"family":"Pozzoli","given":"Alberto"},{"family":"Muraru","given":"Denisa"},{"family":"Badano","given":"Luigi P."},{"family":"Metra","given":"Marco"},{"family":"Maisano","given":"Francesco"}],"issued":{"date-parts":[["2022",3]]}}}],"schema":"https://github.com/citation-style-language/schema/raw/master/csl-citation.json"} </w:instrText>
      </w:r>
      <w:r w:rsidR="00B9254C" w:rsidRPr="000804FA">
        <w:rPr>
          <w:color w:val="000000" w:themeColor="text1"/>
        </w:rPr>
        <w:fldChar w:fldCharType="separate"/>
      </w:r>
      <w:r w:rsidR="00D00075" w:rsidRPr="000804FA">
        <w:rPr>
          <w:color w:val="000000" w:themeColor="text1"/>
          <w:lang w:val="en-CA"/>
        </w:rPr>
        <w:t>(12,13)</w:t>
      </w:r>
      <w:r w:rsidR="00B9254C" w:rsidRPr="000804FA">
        <w:rPr>
          <w:color w:val="000000" w:themeColor="text1"/>
        </w:rPr>
        <w:fldChar w:fldCharType="end"/>
      </w:r>
      <w:r w:rsidRPr="000804FA">
        <w:rPr>
          <w:color w:val="000000" w:themeColor="text1"/>
          <w:lang w:val="en-CA"/>
        </w:rPr>
        <w:t xml:space="preserve">. The </w:t>
      </w:r>
      <w:r w:rsidR="00E01FA4" w:rsidRPr="000804FA">
        <w:rPr>
          <w:color w:val="000000" w:themeColor="text1"/>
          <w:lang w:val="en-CA"/>
        </w:rPr>
        <w:t xml:space="preserve">optimal </w:t>
      </w:r>
      <w:r w:rsidRPr="000804FA">
        <w:rPr>
          <w:color w:val="000000" w:themeColor="text1"/>
          <w:lang w:val="en-CA"/>
        </w:rPr>
        <w:t xml:space="preserve">modalities and timing for TV surgery has yet to be fully clarified because severe RV dysfunction and/or dilatation may result in futile intervention. However, no specific values of echocardiographic parameters indicating severe impairment of RV function and dimension have been established to date, thus leading to medical therapy or transcatheter interventions as preferable treatments. Furthermore, optimal medical treatment has not yet been uniquely defined for right-sided HF. </w:t>
      </w:r>
      <w:r w:rsidR="004B726B" w:rsidRPr="000804FA">
        <w:rPr>
          <w:color w:val="000000" w:themeColor="text1"/>
          <w:lang w:val="en-CA"/>
        </w:rPr>
        <w:t>Although, e</w:t>
      </w:r>
      <w:r w:rsidRPr="000804FA">
        <w:rPr>
          <w:color w:val="000000" w:themeColor="text1"/>
          <w:lang w:val="en-CA"/>
        </w:rPr>
        <w:t xml:space="preserve">arly studies and registries have demonstrated feasibility, safety and efficacy of </w:t>
      </w:r>
      <w:r w:rsidR="0017554E" w:rsidRPr="000804FA">
        <w:rPr>
          <w:color w:val="000000" w:themeColor="text1"/>
          <w:lang w:val="en-CA"/>
        </w:rPr>
        <w:t>t</w:t>
      </w:r>
      <w:r w:rsidR="004B726B" w:rsidRPr="000804FA">
        <w:rPr>
          <w:color w:val="000000" w:themeColor="text1"/>
          <w:lang w:val="en-CA"/>
        </w:rPr>
        <w:t xml:space="preserve">ranscatheter tricuspid valve intervention </w:t>
      </w:r>
      <w:r w:rsidRPr="000804FA">
        <w:rPr>
          <w:color w:val="000000" w:themeColor="text1"/>
          <w:lang w:val="en-CA"/>
        </w:rPr>
        <w:t>with multiple devices</w:t>
      </w:r>
      <w:r w:rsidR="004B726B" w:rsidRPr="000804FA">
        <w:rPr>
          <w:color w:val="000000" w:themeColor="text1"/>
          <w:lang w:val="en-CA"/>
        </w:rPr>
        <w:t xml:space="preserve"> in patients with symptomatic secondary severe TR ineligible for surgery, </w:t>
      </w:r>
      <w:r w:rsidRPr="000804FA">
        <w:rPr>
          <w:color w:val="000000" w:themeColor="text1"/>
          <w:lang w:val="en-CA"/>
        </w:rPr>
        <w:t>data from randomized controlled trials are still lacking</w:t>
      </w:r>
      <w:r w:rsidR="008E67DA" w:rsidRPr="000804FA">
        <w:rPr>
          <w:color w:val="000000" w:themeColor="text1"/>
          <w:lang w:val="en-CA"/>
        </w:rPr>
        <w:t xml:space="preserve"> </w:t>
      </w:r>
      <w:r w:rsidR="008E67DA" w:rsidRPr="000804FA">
        <w:rPr>
          <w:color w:val="000000" w:themeColor="text1"/>
        </w:rPr>
        <w:fldChar w:fldCharType="begin"/>
      </w:r>
      <w:r w:rsidR="00D00075" w:rsidRPr="000804FA">
        <w:rPr>
          <w:color w:val="000000" w:themeColor="text1"/>
          <w:lang w:val="en-CA"/>
        </w:rPr>
        <w:instrText xml:space="preserve"> ADDIN ZOTERO_ITEM CSL_CITATION {"citationID":"TW7zuMo7","properties":{"formattedCitation":"(14\\uc0\\u8211{}16)","plainCitation":"(14–16)","noteIndex":0},"citationItems":[{"id":315,"uris":["http://zotero.org/users/1298974/items/LRMIGTI3"],"itemData":{"id":315,"type":"article-journal","abstract":"BACKGROUND: The SCOUT (Percutaneous Tricuspid Valve Annuloplasty System for Symptomatic Chronic Functional Tricuspid Regurgitation) trial is a prospective, single-arm, multicenter, early feasibility study of a novel transcatheter device to plicate the tricuspid annulus (TA) and reduce tricuspid regurgitation (TR).\nOBJECTIVES: This study tested the feasibility and safety of a novel transcatheter device and assessed its early performance and functional outcomes.\nMETHODS: Between November 2015 and June 2016, 15 patients with New York Heart Association (NYHA) functional class ≥II and moderate or greater functional TR were enrolled. Primary performance and safety endpoint outcomes were technically successful at 30 days with no reintervention. Echocardiographic measurements (TA diameter, effective regurgitant orifice area [EROA], left ventricular stroke volume [LVSV]) and quality-of-life (QoL) measurements (NYHA functional class, Minnesota Living with Heart Failure Questionnaire [MLHFQ], and 6-min walk test [6MWT]) were performed at baseline and 30 days.\nRESULTS: All patients (mean 73.2 ± 6.9 years of age, 87% female) underwent successful device implantation with no deaths, strokes, bleeding, tamponade, or valve reintervention. Technical success rate at 30 days was 80%, with 3 single-pledget annular detachments without reintervention. In the remaining 12 patients, there were significant reductions in TA (12.3 ± 3.1 cm2 to 11.3 ± 2.7 cm2, respectively; p = 0.019) and EROA (0.51 ± 0.18 cm2 vs. 0.32 ± 0.18 cm2, respectively; p = 0.020), with significant increase in LVSV (63.6 ± 17.9 ml vs. 71.5 ± 25.7 ml, respectively; p = 0.021). In the intention-to-treat cohort, there were significant improvements in NYHA functional class (≥1 class, p = 0.001), MLHFQ (47.4 ± 17.6 to 20.9 ± 14.8; p &lt; 0.001), and 6MWT (245.2 ± 110.1 to 298.0 m ± 107.6 m; p = 0.008).\nCONCLUSIONS: The 30-day results of the SCOUT trial confirmed the safety of the novel transcatheter device, which reduced TA and EROA, increased LVSV, and improved QoL. (Early Feasibility of the Mitralign Percutaneous Tricuspid Valve Annuloplasty System (PTVAS) Also Known as TriAlign [SCOUT]; NCT02574650.).","container-title":"Journal of the American College of Cardiology","DOI":"10.1016/j.jacc.2017.01.054","ISSN":"1558-3597","issue":"14","journalAbbreviation":"J Am Coll Cardiol","language":"eng","note":"PMID: 28385308","page":"1795-1806","source":"PubMed","title":"Early Feasibility Study of a Transcatheter Tricuspid Valve Annuloplasty: SCOUT Trial 30-Day Results","title-short":"Early Feasibility Study of a Transcatheter Tricuspid Valve Annuloplasty","volume":"69","author":[{"family":"Hahn","given":"Rebecca T."},{"family":"Meduri","given":"Christopher U."},{"family":"Davidson","given":"Charles J."},{"family":"Lim","given":"Scott"},{"family":"Nazif","given":"Tamim M."},{"family":"Ricciardi","given":"Mark J."},{"family":"Rajagopal","given":"Vivek"},{"family":"Ailawadi","given":"Gorav"},{"family":"Vannan","given":"Mani A."},{"family":"Thomas","given":"James D."},{"family":"Fowler","given":"Dale"},{"family":"Rich","given":"Stuart"},{"family":"Martin","given":"Randy"},{"family":"Ong","given":"Geraldine"},{"family":"Groothuis","given":"Adam"},{"family":"Kodali","given":"Susheel"}],"issued":{"date-parts":[["2017",4,11]]}}},{"id":317,"uris":["http://zotero.org/users/1298974/items/I5VI8ZFQ"],"itemData":{"id":317,"type":"article-journal","abstract":"BACKGROUND: Tricuspid regurgitation (TR) is a frequent disease with a progressive increase in mortality as disease severity increases. Transcatheter therapies for treatment of TR may offer a safe and effective alternative to surgery in this high-risk population.\nOBJECTIVES: The purpose of this report was to study the 1-year outcomes with the TriClip transcatheter tricuspid valve repair system, including repair durability, clinical benefit and safety.\nMETHODS: The TRILUMINATE trial (n = 85) is an international, prospective, single arm, multicenter study investigating safety and performance of the TriClip Tricuspid Valve Repair System in patients with moderate or greater TR. Echocardiographic assessment was performed by a core laboratory.\nRESULTS: At 1 year, TR was reduced to moderate or less in 71% of subjects compared with 8% at baseline (p &lt; 0.0001). Patients experienced significant clinical improvements in New York Heart Association (NYHA) functional class I/II (31% to 83%, p &lt; 0.0001), 6-minute walk test (272.3 ± 15.6 to 303.2 ± 15.6 meters, p = 0.0023) and Kansas City Cardiomyopathy Questionnaire (KCCQ) score (improvement of 20 ± 2.61 points, p &lt; 0.0001). Significant reverse right ventricular remodeling was observed in terms of size and function. The overall major adverse event rate and all-cause mortality were both 7.1% at 1 year.\nCONCLUSION: Transcatheter tricuspid valve repair using the TriClip device was found to be safe and effective in patients with moderate or greater TR. The repair itself was durable at reducing TR at 1 year and was associated with a sustained and marked clinical benefit with low mortality after 1 year in a fragile population that was at high surgical risk. (TRILUMINATE Study With Abbott Transcatheter Clip Repair System in Patients With Moderate or Greater TR; NCT03227757).","container-title":"Journal of the American College of Cardiology","DOI":"10.1016/j.jacc.2020.11.038","ISSN":"1558-3597","issue":"3","journalAbbreviation":"J Am Coll Cardiol","language":"eng","note":"PMID: 33478646","page":"229-239","source":"PubMed","title":"Transcatheter Edge-to-Edge Repair for Treatment of Tricuspid Regurgitation","volume":"77","author":[{"family":"Lurz","given":"Philipp"},{"family":"Stephan von Bardeleben","given":"Ralph"},{"family":"Weber","given":"Marcel"},{"family":"Sitges","given":"Marta"},{"family":"Sorajja","given":"Paul"},{"family":"Hausleiter","given":"Jörg"},{"family":"Denti","given":"Paolo"},{"family":"Trochu","given":"Jean-Noël"},{"family":"Nabauer","given":"Michael"},{"family":"Tang","given":"Gilbert H. L."},{"family":"Biaggi","given":"Patric"},{"family":"Ying","given":"Shih-Wa"},{"family":"Trusty","given":"Phillip M."},{"family":"Dahou","given":"Abdellaziz"},{"family":"Hahn","given":"Rebecca T."},{"family":"Nickenig","given":"Georg"},{"literal":"TRILUMINATE Investigators"}],"issued":{"date-parts":[["2021",1,26]]}}},{"id":321,"uris":["http://zotero.org/users/1298974/items/G2M3JTTM"],"itemData":{"id":321,"type":"article-journal","abstract":"BACKGROUND: Tricuspid regurgitation is associated with increased rates of heart failure (HF) and mortality. Transcatheter tricuspid valve interventions (TTVI) are promising, but the clinical benefit is unknown.\nOBJECTIVES: The purpose of this study was to investigate the potential benefit of TTVI over medical therapy in a propensity score matched population.\nMETHODS: The TriValve (Transcatheter Tricuspid Valve Therapies) registry collected 472 patients from 22 European and North American centers who underwent TTVI from 2016 to 2018. A control cohort formed by 2 large retrospective registries enrolling medically managed patients with ≥ moderate tricuspid regurgitation in Europe and North America (n = 1,179) were propensity score 1:1 matched (distance ± 0.2 SD) using age, EuroSCORE II, and systolic pulmonary artery pressure. Survival was tested with Cox regression analysis. Primary endpoint was 1-year mortality or HF rehospitalization or the composite.\nRESULTS: After matching, 268 adequately matched pairs of patients were identified. Compared with control subjects, TTVI patients had lower 1-year mortality (23 ± 3% vs. 36 ± 3%; p = 0.001), rehospitalization (26 ± 3% vs. 47 ± 3%; p &lt; 0.0001), and composite endpoint (32 ± 4% vs. 49 ± 3%; p = 0.0003). TTVI was associated with greater survival and freedom from HF rehospitalization (hazard ratio [HR]: 0.60; 95% confidence interval [CI]: 0.46 to 0.79; p = 0.003 unadjusted), which remained significant after adjusting for sex, New York Heart Association functional class, right ventricular dysfunction, and atrial fibrillation (HR: 0.39; 95% CI: 0.26 to 0.59; p &lt; 0.0001) and after further adjustment for mitral regurgitation and pacemaker/defibrillator (HR: 0.35; 95% CI: 0.23 to 0.54; p &lt; 0.0001).\nCONCLUSIONS: In this propensity-matched case-control study, TTVI is associated with greater survival and reduced HF rehospitalization compared with medical therapy alone. Randomized trials should be performed to confirm these results.","container-title":"Journal of the American College of Cardiology","DOI":"10.1016/j.jacc.2019.09.028","ISSN":"1558-3597","issue":"24","journalAbbreviation":"J Am Coll Cardiol","language":"eng","note":"PMID: 31568868","page":"2998-3008","source":"PubMed","title":"Transcatheter Versus Medical Treatment of Patients With Symptomatic Severe Tricuspid Regurgitation","volume":"74","author":[{"family":"Taramasso","given":"Maurizio"},{"family":"Benfari","given":"Giovanni"},{"family":"Bijl","given":"Pieter","non-dropping-particle":"van der"},{"family":"Alessandrini","given":"Hannes"},{"family":"Attinger-Toller","given":"Adrian"},{"family":"Biasco","given":"Luigi"},{"family":"Lurz","given":"Philipp"},{"family":"Braun","given":"Daniel"},{"family":"Brochet","given":"Eric"},{"family":"Connelly","given":"Kim A."},{"family":"Bruijn","given":"Sabine","non-dropping-particle":"de"},{"family":"Denti","given":"Paolo"},{"family":"Deuschl","given":"Florian"},{"family":"Estevez-Loureiro","given":"Rodrigo"},{"family":"Fam","given":"Neil"},{"family":"Frerker","given":"Christian"},{"family":"Gavazzoni","given":"Mara"},{"family":"Hausleiter","given":"Jörg"},{"family":"Ho","given":"Edwin"},{"family":"Juliard","given":"Jean-Michel"},{"family":"Kaple","given":"Ryan"},{"family":"Besler","given":"Christian"},{"family":"Kodali","given":"Susheel"},{"family":"Kreidel","given":"Felix"},{"family":"Kuck","given":"Karl-Heinz"},{"family":"Latib","given":"Azeem"},{"family":"Lauten","given":"Alexander"},{"family":"Monivas","given":"Vanessa"},{"family":"Mehr","given":"Michael"},{"family":"Muntané-Carol","given":"Guillem"},{"family":"Nazif","given":"Tamin"},{"family":"Nickening","given":"Georg"},{"family":"Pedrazzini","given":"Giovanni"},{"family":"Philippon","given":"François"},{"family":"Pozzoli","given":"Alberto"},{"family":"Praz","given":"Fabien"},{"family":"Puri","given":"Rishi"},{"family":"Rodés-Cabau","given":"Josep"},{"family":"Schäfer","given":"Ulrich"},{"family":"Schofer","given":"Joachim"},{"family":"Sievert","given":"Horst"},{"family":"Tang","given":"Gilbert H. L."},{"family":"Thiele","given":"Holger"},{"family":"Topilsky","given":"Yan"},{"family":"Rommel","given":"Karl-Philipp"},{"family":"Delgado","given":"Victoria"},{"family":"Vahanian","given":"Alec"},{"family":"Von Bardeleben","given":"Ralph Stephan"},{"family":"Webb","given":"John G."},{"family":"Weber","given":"Marcel"},{"family":"Windecker","given":"Stephan"},{"family":"Winkel","given":"Mirjam"},{"family":"Zuber","given":"Michel"},{"family":"Leon","given":"Martin B."},{"family":"Hahn","given":"Rebecca T."},{"family":"Bax","given":"Jeroen J."},{"family":"Enriquez-Sarano","given":"Maurice"},{"family":"Maisano","given":"Francesco"}],"issued":{"date-parts":[["2019",12,17]]}}}],"schema":"https://github.com/citation-style-language/schema/raw/master/csl-citation.json"} </w:instrText>
      </w:r>
      <w:r w:rsidR="008E67DA" w:rsidRPr="000804FA">
        <w:rPr>
          <w:color w:val="000000" w:themeColor="text1"/>
        </w:rPr>
        <w:fldChar w:fldCharType="separate"/>
      </w:r>
      <w:r w:rsidR="00D00075" w:rsidRPr="000804FA">
        <w:rPr>
          <w:color w:val="000000" w:themeColor="text1"/>
        </w:rPr>
        <w:t>(14–16)</w:t>
      </w:r>
      <w:r w:rsidR="008E67DA" w:rsidRPr="000804FA">
        <w:rPr>
          <w:color w:val="000000" w:themeColor="text1"/>
        </w:rPr>
        <w:fldChar w:fldCharType="end"/>
      </w:r>
      <w:r w:rsidRPr="000804FA">
        <w:rPr>
          <w:color w:val="000000" w:themeColor="text1"/>
          <w:lang w:val="en-CA"/>
        </w:rPr>
        <w:t>.</w:t>
      </w:r>
      <w:r w:rsidR="004B726B" w:rsidRPr="000804FA">
        <w:rPr>
          <w:color w:val="000000" w:themeColor="text1"/>
          <w:lang w:val="en-CA"/>
        </w:rPr>
        <w:t xml:space="preserve"> </w:t>
      </w:r>
      <w:r w:rsidRPr="000804FA">
        <w:rPr>
          <w:color w:val="000000" w:themeColor="text1"/>
          <w:lang w:val="en-CA"/>
        </w:rPr>
        <w:t>In addition, the characteristics of the patient who could best benefit from th</w:t>
      </w:r>
      <w:r w:rsidR="004B726B" w:rsidRPr="000804FA">
        <w:rPr>
          <w:color w:val="000000" w:themeColor="text1"/>
          <w:lang w:val="en-CA"/>
        </w:rPr>
        <w:t xml:space="preserve">ese </w:t>
      </w:r>
      <w:r w:rsidRPr="000804FA">
        <w:rPr>
          <w:color w:val="000000" w:themeColor="text1"/>
          <w:lang w:val="en-CA"/>
        </w:rPr>
        <w:t>procedure</w:t>
      </w:r>
      <w:r w:rsidR="004B726B" w:rsidRPr="000804FA">
        <w:rPr>
          <w:color w:val="000000" w:themeColor="text1"/>
          <w:lang w:val="en-CA"/>
        </w:rPr>
        <w:t>s</w:t>
      </w:r>
      <w:r w:rsidRPr="000804FA">
        <w:rPr>
          <w:color w:val="000000" w:themeColor="text1"/>
          <w:lang w:val="en-CA"/>
        </w:rPr>
        <w:t xml:space="preserve"> have not yet been clarified.</w:t>
      </w:r>
      <w:r w:rsidR="0073492F" w:rsidRPr="000804FA">
        <w:rPr>
          <w:color w:val="000000" w:themeColor="text1"/>
          <w:lang w:val="en-CA"/>
        </w:rPr>
        <w:t xml:space="preserve"> </w:t>
      </w:r>
      <w:r w:rsidR="001E32D4" w:rsidRPr="000804FA">
        <w:rPr>
          <w:iCs/>
          <w:color w:val="000000" w:themeColor="text1"/>
          <w:lang w:val="en-CA"/>
        </w:rPr>
        <w:t xml:space="preserve">There is also a need to investigate the usefulness of cardiac MRI in assessing TR severity, defining RV dysfunction, </w:t>
      </w:r>
      <w:r w:rsidR="001E32D4" w:rsidRPr="000804FA">
        <w:rPr>
          <w:iCs/>
          <w:color w:val="000000" w:themeColor="text1"/>
          <w:lang w:val="en-CA"/>
        </w:rPr>
        <w:lastRenderedPageBreak/>
        <w:t xml:space="preserve">and supporting decision making process for the selection of the most suitable therapy: medical, surgical, or transcatheter intervention. </w:t>
      </w:r>
      <w:r w:rsidRPr="000804FA">
        <w:rPr>
          <w:color w:val="000000" w:themeColor="text1"/>
          <w:lang w:val="en-CA"/>
        </w:rPr>
        <w:t xml:space="preserve">These persistent knowledge gaps make </w:t>
      </w:r>
      <w:r w:rsidR="0017554E" w:rsidRPr="000804FA">
        <w:rPr>
          <w:color w:val="000000" w:themeColor="text1"/>
          <w:lang w:val="en-CA"/>
        </w:rPr>
        <w:t>transcatheter tricuspid valve interventions</w:t>
      </w:r>
      <w:r w:rsidRPr="000804FA">
        <w:rPr>
          <w:color w:val="000000" w:themeColor="text1"/>
          <w:lang w:val="en-CA"/>
        </w:rPr>
        <w:t xml:space="preserve"> still poorly recommended in European guidelines and not present in American guidelines.</w:t>
      </w:r>
      <w:r w:rsidR="00482EDA" w:rsidRPr="000804FA">
        <w:rPr>
          <w:color w:val="000000" w:themeColor="text1"/>
          <w:lang w:val="en-CA"/>
        </w:rPr>
        <w:t xml:space="preserve"> </w:t>
      </w:r>
      <w:r w:rsidR="00280171" w:rsidRPr="000804FA">
        <w:rPr>
          <w:color w:val="000000" w:themeColor="text1"/>
          <w:lang w:val="en-CA"/>
        </w:rPr>
        <w:t>Like</w:t>
      </w:r>
      <w:r w:rsidR="00482EDA" w:rsidRPr="000804FA">
        <w:rPr>
          <w:color w:val="000000" w:themeColor="text1"/>
          <w:lang w:val="en-CA"/>
        </w:rPr>
        <w:t xml:space="preserve"> </w:t>
      </w:r>
      <w:r w:rsidR="00930145" w:rsidRPr="000804FA">
        <w:rPr>
          <w:color w:val="000000" w:themeColor="text1"/>
          <w:lang w:val="en-CA"/>
        </w:rPr>
        <w:t>AS</w:t>
      </w:r>
      <w:r w:rsidR="00867AB3" w:rsidRPr="000804FA">
        <w:rPr>
          <w:color w:val="000000" w:themeColor="text1"/>
          <w:lang w:val="en-CA"/>
        </w:rPr>
        <w:t xml:space="preserve"> and </w:t>
      </w:r>
      <w:r w:rsidR="00930145" w:rsidRPr="000804FA">
        <w:rPr>
          <w:color w:val="000000" w:themeColor="text1"/>
          <w:lang w:val="en-CA"/>
        </w:rPr>
        <w:t>MR</w:t>
      </w:r>
      <w:r w:rsidR="00867AB3" w:rsidRPr="000804FA">
        <w:rPr>
          <w:color w:val="000000" w:themeColor="text1"/>
          <w:lang w:val="en-CA"/>
        </w:rPr>
        <w:t xml:space="preserve">, there </w:t>
      </w:r>
      <w:r w:rsidR="00F10BD8" w:rsidRPr="000804FA">
        <w:rPr>
          <w:color w:val="000000" w:themeColor="text1"/>
          <w:lang w:val="en-CA"/>
        </w:rPr>
        <w:t>are various</w:t>
      </w:r>
      <w:r w:rsidR="00DE796D" w:rsidRPr="000804FA">
        <w:rPr>
          <w:color w:val="000000" w:themeColor="text1"/>
          <w:lang w:val="en-CA"/>
        </w:rPr>
        <w:t xml:space="preserve"> proposals for</w:t>
      </w:r>
      <w:r w:rsidR="00F10BD8" w:rsidRPr="000804FA">
        <w:rPr>
          <w:color w:val="000000" w:themeColor="text1"/>
          <w:lang w:val="en-CA"/>
        </w:rPr>
        <w:t xml:space="preserve"> risk scores, staging and </w:t>
      </w:r>
      <w:r w:rsidR="006C53C5" w:rsidRPr="000804FA">
        <w:rPr>
          <w:color w:val="000000" w:themeColor="text1"/>
          <w:lang w:val="en-CA"/>
        </w:rPr>
        <w:t xml:space="preserve">machine learning-based </w:t>
      </w:r>
      <w:proofErr w:type="spellStart"/>
      <w:r w:rsidR="006C53C5" w:rsidRPr="000804FA">
        <w:rPr>
          <w:color w:val="000000" w:themeColor="text1"/>
          <w:lang w:val="en-CA"/>
        </w:rPr>
        <w:t>phenogrouping</w:t>
      </w:r>
      <w:proofErr w:type="spellEnd"/>
      <w:r w:rsidR="006C53C5" w:rsidRPr="000804FA">
        <w:rPr>
          <w:color w:val="000000" w:themeColor="text1"/>
          <w:lang w:val="en-CA"/>
        </w:rPr>
        <w:t xml:space="preserve"> of patients with TR </w:t>
      </w:r>
      <w:r w:rsidR="00DE796D" w:rsidRPr="000804FA">
        <w:rPr>
          <w:color w:val="000000" w:themeColor="text1"/>
          <w:lang w:val="en-CA"/>
        </w:rPr>
        <w:t>are emerging and these may</w:t>
      </w:r>
      <w:r w:rsidR="0023160B" w:rsidRPr="000804FA">
        <w:rPr>
          <w:color w:val="000000" w:themeColor="text1"/>
          <w:lang w:val="en-CA"/>
        </w:rPr>
        <w:t xml:space="preserve"> yet improve the evidence-base for timely intervention for chronic TR</w:t>
      </w:r>
      <w:r w:rsidR="007E1373" w:rsidRPr="000804FA">
        <w:rPr>
          <w:color w:val="000000" w:themeColor="text1"/>
          <w:lang w:val="en-CA"/>
        </w:rPr>
        <w:t xml:space="preserve"> </w:t>
      </w:r>
      <w:r w:rsidR="007E1373" w:rsidRPr="000804FA">
        <w:rPr>
          <w:color w:val="000000" w:themeColor="text1"/>
        </w:rPr>
        <w:fldChar w:fldCharType="begin"/>
      </w:r>
      <w:r w:rsidR="00D00075" w:rsidRPr="000804FA">
        <w:rPr>
          <w:color w:val="000000" w:themeColor="text1"/>
          <w:lang w:val="en-CA"/>
        </w:rPr>
        <w:instrText xml:space="preserve"> ADDIN ZOTERO_ITEM CSL_CITATION {"citationID":"yTMlQZkj","properties":{"formattedCitation":"(17\\uc0\\u8211{}20)","plainCitation":"(17–20)","noteIndex":0},"citationItems":[{"id":411,"uris":["http://zotero.org/users/1298974/items/LKIT7PUB"],"itemData":{"id":411,"type":"article-journal","abstract":"AIMS: Isolated tricuspid valve surgery (ITVS) is considered to be a high-risk procedure, but in-hospital mortality is markedly variable. This study sought to develop a dedicated risk score model to predict the outcome of patients after ITVS for severe tricuspid regurgitation (TR).\nMETHODS AND RESULTS: All consecutive adult patients who underwent ITVS for severe non-congenital TR at 12 French centres between 2007 and 2017 were included. We identified 466 patients (60 ± 16 years, 49% female, functional TR in 49%). In-hospital mortality rate was 10%. We derived and internally validated a scoring system to predict in-hospital mortality using multivariable logistic regression and bootstrapping with 1000 re-samples. The final risk score ranged from 0 to 12 points and included eight parameters: age ≥70 years, New York Heart Association Class III-IV, right-sided heart failure signs, daily dose of furosemide ≥125 mg, glomerular filtration rate &lt;30 mL/min, elevated bilirubin, left ventricular ejection fraction &lt;60%, and moderate/severe right ventricular dysfunction. Tricuspid regurgitation mechanism was not an independent predictor of outcome. Observed and predicted in-hospital mortality rates increased from 0% to 60% and from 1% to 65%, respectively, as the score increased from 0 up to ≥9 points. Apparent and bias-corrected areas under the receiver operating characteristic curves were 0.81 and 0.75, respectively, much higher than the logistic EuroSCORE (0.67) or EuroSCORE II (0.63).\nCONCLUSION: We propose TRI-SCORE as a dedicated risk score model based on eight easy to ascertain parameters to inform patients and physicians regarding the risk of ITVS and guide the clinical decision-making process of patients with severe TR, especially as transcatheter therapies are emerging (www.tri-score.com).","container-title":"European Heart Journal","DOI":"10.1093/eurheartj/ehab679","ISSN":"1522-9645","issue":"7","journalAbbreviation":"Eur Heart J","language":"eng","note":"PMID: 34586392\nPMCID: PMC8843795","page":"654-662","source":"PubMed","title":"TRI-SCORE: a new risk score for in-hospital mortality prediction after isolated tricuspid valve surgery","title-short":"TRI-SCORE","volume":"43","author":[{"family":"Dreyfus","given":"Julien"},{"family":"Audureau","given":"Etienne"},{"family":"Bohbot","given":"Yohann"},{"family":"Coisne","given":"Augustin"},{"family":"Lavie-Badie","given":"Yoan"},{"family":"Bouchery","given":"Maxime"},{"family":"Flagiello","given":"Michele"},{"family":"Bazire","given":"Baptiste"},{"family":"Eggenspieler","given":"Florian"},{"family":"Viau","given":"Florence"},{"family":"Riant","given":"Elisabeth"},{"family":"Mbaki","given":"Yannick"},{"family":"Eyharts","given":"Damien"},{"family":"Senage","given":"Thomas"},{"family":"Modine","given":"Thomas"},{"family":"Nicol","given":"Martin"},{"family":"Doguet","given":"Fabien"},{"family":"Nguyen","given":"Virginia"},{"family":"Le Tourneau","given":"Thierry"},{"family":"Tribouilloy","given":"Christophe"},{"family":"Donal","given":"Erwan"},{"family":"Tomasi","given":"Jacques"},{"family":"Habib","given":"Gilbert"},{"family":"Selton-Suty","given":"Christine"},{"family":"Raffoul","given":"Richard"},{"family":"Iung","given":"Bernard"},{"family":"Obadia","given":"Jean-François"},{"family":"Messika-Zeitoun","given":"David"}],"issued":{"date-parts":[["2022",2,12]]}}},{"id":414,"uris":["http://zotero.org/users/1298974/items/FLKGAHZ4"],"itemData":{"id":414,"type":"article-journal","abstract":"OBJECTIVES: The authors report etiologies and outcomes and devise a risk model in a large contemporary cohort of patients with isolated tricuspid regurgitation (TR).\nBACKGROUND: Isolated TR is a challenging clinical entity with heterogeneous etiology and often poor outcomes, with a paucity of recent research regarding the epidemiology of isolated TR.\nMETHODS: Consecutive patients with isolated TR graded at least moderate to severe on echocardiography from January 2004 to December 2018 (n = 9,045, mean age 70.4 ± 15.4 years, 60.3% women) were studied. TR etiologies were individually adjudicated as secondary or primary, with subcategories. All-cause death during follow-up was the primary endpoint, with associations between etiology and outcomes analyzed and a risk model created.\nRESULTS: Primary and secondary TR etiologies were present in 470 (5.2%) and 8,575 (94.8%) patients, respectively. The main secondary etiologies were left heart disease in 4,664 (54.4%), atrial functional in 2,086 (24.3%), and pulmonary disease in 1,454 (17.0%), and the main primary etiologies were endocarditis in 222 (47.2%), degenerative or prolapse in 86 (18.3%), and prosthetic valve failure in 79 (16.8%). There were 3,987 deaths (44.0%) over a mean follow-up period of 2.6 ± 3.3 years. In unadjusted analyses, patients with secondary TR had worse survival than those with primary TR (HR: 1.56; 95% CI: 1.32-1.85), but this result was not statistically significant in multivariable analysis. The authors devised and internally validated a risk score for predicting 1-year mortality in these patients.\nCONCLUSIONS: Secondary TR constituted 95% of isolated significant TR and conferred worse survival than primary TR in unadjusted but not adjusted analyses. The present novel risk score stratifies the risk for 1-year death and may influence decision making for management in these high-risk patients.","container-title":"JACC. Cardiovascular imaging","DOI":"10.1016/j.jcmg.2021.10.015","ISSN":"1876-7591","issue":"5","journalAbbreviation":"JACC Cardiovasc Imaging","language":"eng","note":"PMID: 34922866","page":"731-744","source":"PubMed","title":"Contemporary Etiologies, Outcomes, and Novel Risk Score for Isolated Tricuspid Regurgitation","volume":"15","author":[{"family":"Wang","given":"Tom Kai Ming"},{"family":"Akyuz","given":"Kevser"},{"family":"Mentias","given":"Amgad"},{"family":"Kirincich","given":"Jason"},{"family":"Duran Crane","given":"Alejandro"},{"family":"Xu","given":"Samantha"},{"family":"Popovic","given":"Zoran B."},{"family":"Xu","given":"Bo"},{"family":"Gillinov","given":"A. Marc"},{"family":"Pettersson","given":"Gosta B."},{"family":"Griffin","given":"Brian P."},{"family":"Desai","given":"Milind Y."}],"issued":{"date-parts":[["2022",5]]}}},{"id":416,"uris":["http://zotero.org/users/1298974/items/8ANAHTH9"],"itemData":{"id":416,"type":"article-journal","abstract":"OBJECTIVES: This study evaluated the prognostic value of staging right heart failure in patients with significant tricuspid regurgitation (TR) undergoing tricuspid valve (TV) surgery.\nMETHODS: Patients with significant TR who underwent TV surgery were divided into 4 right heart failure stages according to the presence of right ventricular (RV) dysfunction and clinical signs of right heart failure: stage 1 was defined as no RV dysfunction and no signs of right heart failure; stage 2 indicated RV dysfunction without signs of right heart failure; stage 3 included RV dysfunction and signs of right heart failure; and stage 4 was defined as RV dysfunction and refractory signs of right heart failure at rest.\nRESULTS: A total of 278 patients [mean age 64 (12), 49% males] were included, of whom 34 (12%) patients were classified as stages 1 and 2, 141 (51%) as stage 3 and 103 (37%) as stage 4 right heart failure. The majority of patients (91%) had TV surgery concomitant to left-sided valve surgery or coronary artery bypass grafting and 95% underwent TV annuloplasty. Cumulative survival rates were 89%, 78% and 61% at 1 month, 1 year and 5 years, respectively. Stages 1 and 2 and stage 3 were independently associated with better survival compared to stage 4 (hazard ratio: 0.391 [95% confidence interval: 0.186-0.823] and 0.548 [95% confidence interval: 0.369-0.813], respectively).\nCONCLUSIONS: Patients with significant TR undergoing TV surgery and diagnosed without advanced right heart failure have better survival as compared to patients with right heart failure.","container-title":"European Journal of Cardio-Thoracic Surgery: Official Journal of the European Association for Cardio-Thoracic Surgery","DOI":"10.1093/ejcts/ezac290","ISSN":"1873-734X","issue":"2","journalAbbreviation":"Eur J Cardiothorac Surg","language":"eng","note":"PMID: 35511132","page":"ezac290","source":"PubMed","title":"Staging right heart failure in patients with tricuspid regurgitation undergoing tricuspid surgery","volume":"62","author":[{"family":"Galloo","given":"Xavier"},{"family":"Stassen","given":"Jan"},{"family":"Butcher","given":"Steele C."},{"family":"Meucci","given":"Maria Chiara"},{"family":"Dietz","given":"Marlieke F."},{"family":"Mertens","given":"Bart J. A."},{"family":"Prihadi","given":"Edgard A."},{"family":"Bijl","given":"Pieter","non-dropping-particle":"van der"},{"family":"Ajmone Marsan","given":"Nina"},{"family":"Braun","given":"Jerry"},{"family":"Bax","given":"Jeroen J."},{"family":"Delgado","given":"Victoria"}],"issued":{"date-parts":[["2022",7,11]]}}},{"id":418,"uris":["http://zotero.org/users/1298974/items/KPGGQMI4"],"itemData":{"id":418,"type":"article-journal","abstract":"BACKGROUND: Functional tricuspid regurgitation (FTR) is an independent risk factor for morbidity and mortality. New pathophysiological concepts but also new therapeutic options are justifying new knowledges for characterizing FTRs and their prognoses.\nAIM: To study echocardiographic criteria associated with prognosis in FTR-patients using a clustering method in two cohorts.\nMETHODS AND RESULTS: Two hundred forty-one patients with at least severe (≥grade 3) TR were enrolled: 92 in the retrospective cohort (mean age 77.9 ± 13 years) and 149 in the prospective validation cohort. Hierarchical clustering analysis was conducted. Four parameters explained the clustering categorization according to a multinomial regression (right ventricular (RV) end-diastolic mid-cavity diameter, RV free-wall strain, right atrial (RA) volume index, RA strain; p = 0.0039). Three clusters were identified in the retrospective cohort: Cluster 1 had better right ventricular, left ventricular, and right atrial function than Cluster 2 (reduced RV and RA strain despite similar sizes). Cluster 3 included patients with severely dilated heart chambers associated to RV and RA dysfunctions. When applying the model in the validation (external) cohort, the rate of the primary endpoint (hospitalization for heart failure and/or death from any cause) was lowest in Cluster 1 (30.8% versus 48% and 58.8% in Clusters 2 and 3, respectively; p &lt; 0.05).\nCONCLUSION: In FTR patients, different profiles of RV and RA remodeling are associated with different outcomes. Therefore, the diagnostic work-up in this clinical setting should include RV and RA characteristics. Under noninterventional management, the phenotype corresponding to preserved RV size and preserved RA and RV functions appears to have a better prognosis.","container-title":"International Journal of Cardiology","DOI":"10.1016/j.ijcard.2022.07.019","ISSN":"1874-1754","journalAbbreviation":"Int J Cardiol","language":"eng","note":"PMID: 35853500","page":"S0167-5273(22)01088-9","source":"PubMed","title":"Functional tricuspid regurgitation: A clustering analysis and prognostic validation of three echocardiographic phenotypes in an external cohort","title-short":"Functional tricuspid regurgitation","author":[{"family":"Vely","given":"Mathilde"},{"family":"L'official","given":"Guillaume"},{"family":"Galli","given":"Elena"},{"family":"Kosmala","given":"Wojciech"},{"family":"Guerin","given":"Anne"},{"family":"Chen","given":"Elisabeth"},{"family":"Sportouch","given":"Catherine"},{"family":"Dreyfus","given":"Julien"},{"family":"Oger","given":"Emmanuel"},{"family":"Donal","given":"Erwan"}],"issued":{"date-parts":[["2022",7,16]]}}}],"schema":"https://github.com/citation-style-language/schema/raw/master/csl-citation.json"} </w:instrText>
      </w:r>
      <w:r w:rsidR="007E1373" w:rsidRPr="000804FA">
        <w:rPr>
          <w:color w:val="000000" w:themeColor="text1"/>
        </w:rPr>
        <w:fldChar w:fldCharType="separate"/>
      </w:r>
      <w:r w:rsidR="00D00075" w:rsidRPr="000804FA">
        <w:rPr>
          <w:color w:val="000000" w:themeColor="text1"/>
        </w:rPr>
        <w:t>(17–20)</w:t>
      </w:r>
      <w:r w:rsidR="007E1373" w:rsidRPr="000804FA">
        <w:rPr>
          <w:color w:val="000000" w:themeColor="text1"/>
        </w:rPr>
        <w:fldChar w:fldCharType="end"/>
      </w:r>
      <w:r w:rsidR="00930145" w:rsidRPr="000804FA">
        <w:rPr>
          <w:color w:val="000000" w:themeColor="text1"/>
          <w:lang w:val="en-US"/>
        </w:rPr>
        <w:t>.</w:t>
      </w:r>
    </w:p>
    <w:p w14:paraId="30781BED" w14:textId="30894E44" w:rsidR="0059463C" w:rsidRPr="000804FA" w:rsidRDefault="0059463C" w:rsidP="000804FA">
      <w:pPr>
        <w:spacing w:line="480" w:lineRule="auto"/>
        <w:ind w:firstLine="708"/>
        <w:contextualSpacing/>
        <w:jc w:val="both"/>
        <w:rPr>
          <w:color w:val="000000" w:themeColor="text1"/>
          <w:lang w:val="en-US"/>
        </w:rPr>
      </w:pPr>
    </w:p>
    <w:p w14:paraId="1528F5D1" w14:textId="12DF5D00" w:rsidR="0059463C" w:rsidRPr="000804FA" w:rsidRDefault="0059463C" w:rsidP="000804FA">
      <w:pPr>
        <w:spacing w:after="120" w:line="480" w:lineRule="auto"/>
        <w:contextualSpacing/>
        <w:jc w:val="both"/>
        <w:rPr>
          <w:b/>
          <w:color w:val="000000" w:themeColor="text1"/>
          <w:lang w:val="en-CA"/>
        </w:rPr>
      </w:pPr>
      <w:r w:rsidRPr="000804FA">
        <w:rPr>
          <w:b/>
          <w:color w:val="000000" w:themeColor="text1"/>
          <w:lang w:val="en-CA"/>
        </w:rPr>
        <w:t>6- PROSTHETIC VALVES</w:t>
      </w:r>
    </w:p>
    <w:p w14:paraId="5F6B1310" w14:textId="6788B5DE" w:rsidR="0059463C" w:rsidRPr="000804FA" w:rsidRDefault="0059463C" w:rsidP="000804FA">
      <w:pPr>
        <w:spacing w:line="480" w:lineRule="auto"/>
        <w:contextualSpacing/>
        <w:jc w:val="both"/>
        <w:rPr>
          <w:color w:val="000000" w:themeColor="text1"/>
          <w:lang w:val="en-CA"/>
        </w:rPr>
      </w:pPr>
      <w:r w:rsidRPr="000804FA">
        <w:rPr>
          <w:color w:val="000000" w:themeColor="text1"/>
          <w:lang w:val="en-CA"/>
        </w:rPr>
        <w:t xml:space="preserve">The introduction of valve replacement surgery in the early 1960s has radically improved the outcome of patients with valvular heart disease </w:t>
      </w:r>
      <w:r w:rsidRPr="000804FA">
        <w:rPr>
          <w:color w:val="000000" w:themeColor="text1"/>
          <w:lang w:val="en-CA"/>
        </w:rPr>
        <w:fldChar w:fldCharType="begin"/>
      </w:r>
      <w:r w:rsidR="00D00075" w:rsidRPr="000804FA">
        <w:rPr>
          <w:color w:val="000000" w:themeColor="text1"/>
          <w:lang w:val="en-CA"/>
        </w:rPr>
        <w:instrText xml:space="preserve"> ADDIN ZOTERO_ITEM CSL_CITATION {"citationID":"r1YOUfFl","properties":{"formattedCitation":"(21)","plainCitation":"(21)","noteIndex":0},"citationItems":[{"id":278,"uris":["http://zotero.org/users/1298974/items/8YCH7KX6"],"itemData":{"id":278,"type":"article-journal","container-title":"Circulation","DOI":"10.1161/CIRCULATIONAHA.108.778886","ISSN":"1524-4539","issue":"7","journalAbbreviation":"Circulation","language":"eng","note":"PMID: 19237674","page":"1034-1048","source":"PubMed","title":"Prosthetic heart valves: selection of the optimal prosthesis and long-term management","title-short":"Prosthetic heart valves","volume":"119","author":[{"family":"Pibarot","given":"Philippe"},{"family":"Dumesnil","given":"Jean G."}],"issued":{"date-parts":[["2009",2,24]]}}}],"schema":"https://github.com/citation-style-language/schema/raw/master/csl-citation.json"} </w:instrText>
      </w:r>
      <w:r w:rsidRPr="000804FA">
        <w:rPr>
          <w:color w:val="000000" w:themeColor="text1"/>
          <w:lang w:val="en-CA"/>
        </w:rPr>
        <w:fldChar w:fldCharType="separate"/>
      </w:r>
      <w:r w:rsidR="00D00075" w:rsidRPr="000804FA">
        <w:rPr>
          <w:color w:val="000000" w:themeColor="text1"/>
          <w:lang w:val="en-CA"/>
        </w:rPr>
        <w:t>(21)</w:t>
      </w:r>
      <w:r w:rsidRPr="000804FA">
        <w:rPr>
          <w:color w:val="000000" w:themeColor="text1"/>
          <w:lang w:val="en-CA"/>
        </w:rPr>
        <w:fldChar w:fldCharType="end"/>
      </w:r>
      <w:r w:rsidRPr="000804FA">
        <w:rPr>
          <w:color w:val="000000" w:themeColor="text1"/>
          <w:lang w:val="en-CA"/>
        </w:rPr>
        <w:t xml:space="preserve">. Throughout all these years, prosthetic heart valves underwent remarkable improvements in their design and implantation techniques, which had positive effects in patients’ outcomes. Today there is a wide range of prostheses’ type available, each of them has its strengths and limitations. </w:t>
      </w:r>
      <w:proofErr w:type="gramStart"/>
      <w:r w:rsidRPr="000804FA">
        <w:rPr>
          <w:color w:val="000000" w:themeColor="text1"/>
          <w:lang w:val="en-CA"/>
        </w:rPr>
        <w:t>As a consequence</w:t>
      </w:r>
      <w:proofErr w:type="gramEnd"/>
      <w:r w:rsidRPr="000804FA">
        <w:rPr>
          <w:color w:val="000000" w:themeColor="text1"/>
          <w:lang w:val="en-CA"/>
        </w:rPr>
        <w:t xml:space="preserve">, there are many factors that play a role in valve selection, including the patient’s life expectancy, lifestyle, and environmental factors, bleeding and thromboembolic risks related to anticoagulation, potential for surgical or transcatheter reintervention, and patient preference. On the one hand, both the last European and American guidelines for the management of VHD incorporated specific paragraphs </w:t>
      </w:r>
      <w:r w:rsidRPr="000804FA">
        <w:rPr>
          <w:color w:val="000000" w:themeColor="text1"/>
          <w:lang w:val="en-CA"/>
        </w:rPr>
        <w:fldChar w:fldCharType="begin"/>
      </w:r>
      <w:r w:rsidR="00D00075" w:rsidRPr="000804FA">
        <w:rPr>
          <w:color w:val="000000" w:themeColor="text1"/>
          <w:lang w:val="en-CA"/>
        </w:rPr>
        <w:instrText xml:space="preserve"> ADDIN ZOTERO_ITEM CSL_CITATION {"citationID":"552p0LjF","properties":{"formattedCitation":"(1,2)","plainCitation":"(1,2)","noteIndex":0},"citationItems":[{"id":330,"uris":["http://zotero.org/users/1298974/items/ET2MZHE8"],"itemData":{"id":330,"type":"article-journal","container-title":"European Heart Journal","DOI":"10.1093/eurheartj/ehab395","ISSN":"1522-9645","issue":"7","journalAbbreviation":"Eur Heart J","language":"eng","note":"PMID: 34453165","page":"561-632","source":"PubMed","title":"2021 ESC/EACTS Guidelines for the management of valvular heart disease","volume":"43","author":[{"family":"Vahanian","given":"Alec"},{"family":"Beyersdorf","given":"Friedhelm"},{"family":"Praz","given":"Fabien"},{"family":"Milojevic","given":"Milan"},{"family":"Baldus","given":"Stephan"},{"family":"Bauersachs","given":"Johann"},{"family":"Capodanno","given":"Davide"},{"family":"Conradi","given":"Lenard"},{"family":"De Bonis","given":"Michele"},{"family":"De Paulis","given":"Ruggero"},{"family":"Delgado","given":"Victoria"},{"family":"Freemantle","given":"Nick"},{"family":"Gilard","given":"Martine"},{"family":"Haugaa","given":"Kristina H."},{"family":"Jeppsson","given":"Anders"},{"family":"Jüni","given":"Peter"},{"family":"Pierard","given":"Luc"},{"family":"Prendergast","given":"Bernard D."},{"family":"Sádaba","given":"J. Rafael"},{"family":"Tribouilloy","given":"Christophe"},{"family":"Wojakowski","given":"Wojtek"},{"literal":"ESC/EACTS Scientific Document Group"}],"issued":{"date-parts":[["2022",2,12]]}}},{"id":333,"uris":["http://zotero.org/users/1298974/items/VRKG3IK6"],"itemData":{"id":333,"type":"article-journal","abstract":"AIM: This executive summary of the valvular heart disease guideline provides recommendations for clinicians to diagnose and manage valvular heart disease as well as supporting documentation to encourage their use.\nMETHODS: A comprehensive literature search was conducted from January 1, 2010, to March 1, 2020, encompassing studies, reviews, and other evidence conducted on human subjects that were published in English from PubMed, EMBASE, Cochrane, Agency for Healthcare Research and Quality Reports, and other selected database relevant to this guideline.\nSTRUCTURE: Many recommendations from the earlier valvular heart disease guidelines have been updated with new evidence and provides newer options for diagnosis and treatment of valvular heart disease. This summary includes only the recommendations from the full guideline which focus on diagnostic work-up, the timing and choice of surgical and catheter interventions, and recommendations for medical therapy. The reader is referred to the full guideline for graphical flow charts, text, and tables with additional details about the rationale for and implementation of each recommendation, and the evidence tables detailing the data considered in developing these guidelines.","container-title":"Journal of the American College of Cardiology","DOI":"10.1016/j.jacc.2020.11.035","ISSN":"1558-3597","issue":"4","journalAbbreviation":"J Am Coll Cardiol","language":"eng","note":"PMID: 33342587","page":"450-500","source":"PubMed","title":"2020 ACC/AHA Guideline for the Management of Patients With Valvular Heart Disease: Executive Summary: A Report of the American College of Cardiology/American Heart Association Joint Committee on Clinical Practice Guidelines","title-short":"2020 ACC/AHA Guideline for the Management of Patients With Valvular Heart Disease","volume":"77","author":[{"literal":"Writing Committee Members"},{"family":"Otto","given":"Catherine M."},{"family":"Nishimura","given":"Rick A."},{"family":"Bonow","given":"Robert O."},{"family":"Carabello","given":"Blase A."},{"family":"Erwin","given":"John P."},{"family":"Gentile","given":"Federico"},{"family":"Jneid","given":"Hani"},{"family":"Krieger","given":"Eric V."},{"family":"Mack","given":"Michael"},{"family":"McLeod","given":"Christopher"},{"family":"O'Gara","given":"Patrick T."},{"family":"Rigolin","given":"Vera H."},{"family":"Sundt","given":"Thoralf M."},{"family":"Thompson","given":"Annemarie"},{"family":"Toly","given":"Christopher"}],"issued":{"date-parts":[["2021",2,2]]}}}],"schema":"https://github.com/citation-style-language/schema/raw/master/csl-citation.json"} </w:instrText>
      </w:r>
      <w:r w:rsidRPr="000804FA">
        <w:rPr>
          <w:color w:val="000000" w:themeColor="text1"/>
          <w:lang w:val="en-CA"/>
        </w:rPr>
        <w:fldChar w:fldCharType="separate"/>
      </w:r>
      <w:r w:rsidR="00D00075" w:rsidRPr="000804FA">
        <w:rPr>
          <w:color w:val="000000" w:themeColor="text1"/>
          <w:lang w:val="en-CA"/>
        </w:rPr>
        <w:t>(1,2)</w:t>
      </w:r>
      <w:r w:rsidRPr="000804FA">
        <w:rPr>
          <w:color w:val="000000" w:themeColor="text1"/>
          <w:lang w:val="en-CA"/>
        </w:rPr>
        <w:fldChar w:fldCharType="end"/>
      </w:r>
      <w:r w:rsidRPr="000804FA">
        <w:rPr>
          <w:color w:val="000000" w:themeColor="text1"/>
          <w:lang w:val="en-CA"/>
        </w:rPr>
        <w:t>, which help physicians to handle prosthetic valves-related issues.</w:t>
      </w:r>
    </w:p>
    <w:p w14:paraId="29C7393C" w14:textId="77777777" w:rsidR="0059463C" w:rsidRPr="000804FA" w:rsidRDefault="0059463C" w:rsidP="000804FA">
      <w:pPr>
        <w:spacing w:line="480" w:lineRule="auto"/>
        <w:contextualSpacing/>
        <w:jc w:val="both"/>
        <w:rPr>
          <w:color w:val="000000" w:themeColor="text1"/>
          <w:lang w:val="en-CA"/>
        </w:rPr>
      </w:pPr>
    </w:p>
    <w:p w14:paraId="5AEB8644" w14:textId="77777777" w:rsidR="0059463C" w:rsidRPr="000804FA" w:rsidRDefault="0059463C" w:rsidP="000804FA">
      <w:pPr>
        <w:pStyle w:val="ListParagraph"/>
        <w:numPr>
          <w:ilvl w:val="1"/>
          <w:numId w:val="7"/>
        </w:numPr>
        <w:spacing w:after="120" w:line="480" w:lineRule="auto"/>
        <w:jc w:val="both"/>
        <w:rPr>
          <w:rFonts w:ascii="Times New Roman" w:hAnsi="Times New Roman" w:cs="Times New Roman"/>
          <w:b/>
          <w:bCs/>
          <w:color w:val="000000" w:themeColor="text1"/>
          <w:sz w:val="24"/>
          <w:szCs w:val="24"/>
          <w:lang w:val="en-CA"/>
        </w:rPr>
      </w:pPr>
      <w:r w:rsidRPr="000804FA">
        <w:rPr>
          <w:rFonts w:ascii="Times New Roman" w:hAnsi="Times New Roman" w:cs="Times New Roman"/>
          <w:b/>
          <w:bCs/>
          <w:color w:val="000000" w:themeColor="text1"/>
          <w:sz w:val="24"/>
          <w:szCs w:val="24"/>
          <w:lang w:val="en-CA"/>
        </w:rPr>
        <w:t xml:space="preserve">Consistencies between European vs. American guidelines </w:t>
      </w:r>
    </w:p>
    <w:p w14:paraId="188AC5E2" w14:textId="77777777" w:rsidR="0059463C" w:rsidRPr="000804FA" w:rsidRDefault="0059463C" w:rsidP="000804FA">
      <w:pPr>
        <w:spacing w:line="480" w:lineRule="auto"/>
        <w:contextualSpacing/>
        <w:jc w:val="both"/>
        <w:rPr>
          <w:color w:val="000000" w:themeColor="text1"/>
          <w:lang w:val="en-CA"/>
        </w:rPr>
      </w:pPr>
      <w:r w:rsidRPr="000804FA">
        <w:rPr>
          <w:color w:val="000000" w:themeColor="text1"/>
          <w:lang w:val="en-CA"/>
        </w:rPr>
        <w:t xml:space="preserve">There are many consistencies between the two documents, mainly in their fundamentals. First, both guidelines recommend that the choice of prosthetic valve should be based on a shared decision-making process that accounts for the patient’s preferences and includes discussion of the indications for and risks of anticoagulant therapy (class I-C). Second, the patient's age and life expectancy, the presence of risk factors associated with accelerated valve deterioration, and </w:t>
      </w:r>
      <w:r w:rsidRPr="000804FA">
        <w:rPr>
          <w:color w:val="000000" w:themeColor="text1"/>
          <w:lang w:val="en-CA"/>
        </w:rPr>
        <w:lastRenderedPageBreak/>
        <w:t xml:space="preserve">the type of diseased valve (mitral vs. aortic) play an important role in choosing the type of prosthesis (mechanical vs. biological). Third, the importance that all patients with prosthetic valves require lifelong follow-up to detect deterioration in prosthetic function. Finally, </w:t>
      </w:r>
      <w:proofErr w:type="gramStart"/>
      <w:r w:rsidRPr="000804FA">
        <w:rPr>
          <w:color w:val="000000" w:themeColor="text1"/>
          <w:lang w:val="en-CA"/>
        </w:rPr>
        <w:t>European</w:t>
      </w:r>
      <w:proofErr w:type="gramEnd"/>
      <w:r w:rsidRPr="000804FA">
        <w:rPr>
          <w:color w:val="000000" w:themeColor="text1"/>
          <w:lang w:val="en-CA"/>
        </w:rPr>
        <w:t xml:space="preserve"> and American guidelines devoted large space to the management of prosthetic valve degeneration, providing comprehensive flow algorithms for its recognition, characterization and treatment.</w:t>
      </w:r>
    </w:p>
    <w:p w14:paraId="1ED62726" w14:textId="77777777" w:rsidR="0059463C" w:rsidRPr="000804FA" w:rsidRDefault="0059463C" w:rsidP="000804FA">
      <w:pPr>
        <w:spacing w:line="480" w:lineRule="auto"/>
        <w:contextualSpacing/>
        <w:jc w:val="both"/>
        <w:rPr>
          <w:color w:val="000000" w:themeColor="text1"/>
          <w:lang w:val="en-CA"/>
        </w:rPr>
      </w:pPr>
    </w:p>
    <w:p w14:paraId="18A8B18D" w14:textId="77777777" w:rsidR="0059463C" w:rsidRPr="000804FA" w:rsidRDefault="0059463C" w:rsidP="000804FA">
      <w:pPr>
        <w:pStyle w:val="ListParagraph"/>
        <w:numPr>
          <w:ilvl w:val="1"/>
          <w:numId w:val="7"/>
        </w:numPr>
        <w:spacing w:after="120" w:line="480" w:lineRule="auto"/>
        <w:jc w:val="both"/>
        <w:rPr>
          <w:rFonts w:ascii="Times New Roman" w:hAnsi="Times New Roman" w:cs="Times New Roman"/>
          <w:b/>
          <w:bCs/>
          <w:color w:val="000000" w:themeColor="text1"/>
          <w:sz w:val="24"/>
          <w:szCs w:val="24"/>
          <w:lang w:val="en-CA"/>
        </w:rPr>
      </w:pPr>
      <w:r w:rsidRPr="000804FA">
        <w:rPr>
          <w:rFonts w:ascii="Times New Roman" w:hAnsi="Times New Roman" w:cs="Times New Roman"/>
          <w:b/>
          <w:bCs/>
          <w:color w:val="000000" w:themeColor="text1"/>
          <w:sz w:val="24"/>
          <w:szCs w:val="24"/>
          <w:lang w:val="en-CA"/>
        </w:rPr>
        <w:t xml:space="preserve">Discrepancies between European vs. American guidelines </w:t>
      </w:r>
    </w:p>
    <w:p w14:paraId="1AB03269" w14:textId="77777777" w:rsidR="0059463C" w:rsidRPr="000804FA" w:rsidRDefault="0059463C" w:rsidP="000804FA">
      <w:pPr>
        <w:spacing w:line="480" w:lineRule="auto"/>
        <w:contextualSpacing/>
        <w:jc w:val="both"/>
        <w:rPr>
          <w:color w:val="000000" w:themeColor="text1"/>
          <w:lang w:val="en-CA"/>
        </w:rPr>
      </w:pPr>
      <w:r w:rsidRPr="000804FA">
        <w:rPr>
          <w:color w:val="000000" w:themeColor="text1"/>
          <w:lang w:val="en-US"/>
        </w:rPr>
        <w:t xml:space="preserve">Minor differences exist between </w:t>
      </w:r>
      <w:r w:rsidRPr="000804FA">
        <w:rPr>
          <w:color w:val="000000" w:themeColor="text1"/>
          <w:lang w:val="en-CA"/>
        </w:rPr>
        <w:t xml:space="preserve">European and the American guidelines. Different cut-offs for mechanical vs. biological prostheses are present in the two documents: On the one hand, European guidelines recommend that a mechanical prosthesis should be considered in patients aged &lt;60 years for prostheses in the aortic position and aged &lt;65 years for prostheses in the mitral position (class </w:t>
      </w:r>
      <w:proofErr w:type="spellStart"/>
      <w:r w:rsidRPr="000804FA">
        <w:rPr>
          <w:color w:val="000000" w:themeColor="text1"/>
          <w:lang w:val="en-CA"/>
        </w:rPr>
        <w:t>IIa</w:t>
      </w:r>
      <w:proofErr w:type="spellEnd"/>
      <w:r w:rsidRPr="000804FA">
        <w:rPr>
          <w:color w:val="000000" w:themeColor="text1"/>
          <w:lang w:val="en-CA"/>
        </w:rPr>
        <w:t xml:space="preserve">-B); on the other hand, the American guidelines cut-off for mechanical prosthesis was 65 years for both aortic and mitral valves (Class </w:t>
      </w:r>
      <w:proofErr w:type="spellStart"/>
      <w:r w:rsidRPr="000804FA">
        <w:rPr>
          <w:color w:val="000000" w:themeColor="text1"/>
          <w:lang w:val="en-CA"/>
        </w:rPr>
        <w:t>IIa</w:t>
      </w:r>
      <w:proofErr w:type="spellEnd"/>
      <w:r w:rsidRPr="000804FA">
        <w:rPr>
          <w:color w:val="000000" w:themeColor="text1"/>
          <w:lang w:val="en-CA"/>
        </w:rPr>
        <w:t>-B). In addition, in patients &lt;50 years of age who prefer a bioprosthetic aortic valve replacement and have appropriate anatomy, the American guidelines consider the replacement of the aortic valve by a pulmonic autograft (the Ross procedure) (class IIb-B).</w:t>
      </w:r>
    </w:p>
    <w:p w14:paraId="748AA4DB" w14:textId="15C1F0B4" w:rsidR="0059463C" w:rsidRPr="000804FA" w:rsidRDefault="0059463C" w:rsidP="000804FA">
      <w:pPr>
        <w:spacing w:line="480" w:lineRule="auto"/>
        <w:contextualSpacing/>
        <w:jc w:val="both"/>
        <w:rPr>
          <w:color w:val="000000" w:themeColor="text1"/>
          <w:lang w:val="en-CA"/>
        </w:rPr>
      </w:pPr>
      <w:r w:rsidRPr="000804FA">
        <w:rPr>
          <w:color w:val="000000" w:themeColor="text1"/>
          <w:lang w:val="en-CA"/>
        </w:rPr>
        <w:t xml:space="preserve">Regarding antithrombotic therapy after bioprosthesis implantation in patients with no baseline indications for oral anticoagulation (OAC), the European guidelines recommend vitamin K antagonist (VKA) for the first 3 months in those who had a bioprosthesis implanted in the mitral or tricuspid position (class </w:t>
      </w:r>
      <w:proofErr w:type="spellStart"/>
      <w:r w:rsidRPr="000804FA">
        <w:rPr>
          <w:color w:val="000000" w:themeColor="text1"/>
          <w:lang w:val="en-CA"/>
        </w:rPr>
        <w:t>IIa</w:t>
      </w:r>
      <w:proofErr w:type="spellEnd"/>
      <w:r w:rsidRPr="000804FA">
        <w:rPr>
          <w:color w:val="000000" w:themeColor="text1"/>
          <w:lang w:val="en-CA"/>
        </w:rPr>
        <w:t xml:space="preserve">-B), VKA or SAPT for the first 3 months in those who had a bioprosthesis implanted in the aortic position (class </w:t>
      </w:r>
      <w:proofErr w:type="spellStart"/>
      <w:r w:rsidRPr="000804FA">
        <w:rPr>
          <w:color w:val="000000" w:themeColor="text1"/>
          <w:lang w:val="en-CA"/>
        </w:rPr>
        <w:t>IIa</w:t>
      </w:r>
      <w:proofErr w:type="spellEnd"/>
      <w:r w:rsidRPr="000804FA">
        <w:rPr>
          <w:color w:val="000000" w:themeColor="text1"/>
          <w:lang w:val="en-CA"/>
        </w:rPr>
        <w:t xml:space="preserve">-B), and SAPT lifelong after transcatheter aortic valve implantation (class I-A). The American guidelines do not make differentiation between aortic or mitral/tricuspid </w:t>
      </w:r>
      <w:r w:rsidR="0049088F" w:rsidRPr="000804FA">
        <w:rPr>
          <w:color w:val="000000" w:themeColor="text1"/>
          <w:lang w:val="en-CA"/>
        </w:rPr>
        <w:t>bioprosthesis and</w:t>
      </w:r>
      <w:r w:rsidRPr="000804FA">
        <w:rPr>
          <w:color w:val="000000" w:themeColor="text1"/>
          <w:lang w:val="en-CA"/>
        </w:rPr>
        <w:t xml:space="preserve"> recommend VKA for the first 3-6 months after surgical </w:t>
      </w:r>
      <w:proofErr w:type="spellStart"/>
      <w:r w:rsidRPr="000804FA">
        <w:rPr>
          <w:color w:val="000000" w:themeColor="text1"/>
          <w:lang w:val="en-CA"/>
        </w:rPr>
        <w:t>bioprosthesis</w:t>
      </w:r>
      <w:proofErr w:type="spellEnd"/>
      <w:r w:rsidRPr="000804FA">
        <w:rPr>
          <w:color w:val="000000" w:themeColor="text1"/>
          <w:lang w:val="en-CA"/>
        </w:rPr>
        <w:t xml:space="preserve"> implantation (class </w:t>
      </w:r>
      <w:proofErr w:type="spellStart"/>
      <w:r w:rsidRPr="000804FA">
        <w:rPr>
          <w:color w:val="000000" w:themeColor="text1"/>
          <w:lang w:val="en-CA"/>
        </w:rPr>
        <w:t>IIa</w:t>
      </w:r>
      <w:proofErr w:type="spellEnd"/>
      <w:r w:rsidRPr="000804FA">
        <w:rPr>
          <w:color w:val="000000" w:themeColor="text1"/>
          <w:lang w:val="en-CA"/>
        </w:rPr>
        <w:t>-B) followed by ASA 75-</w:t>
      </w:r>
      <w:r w:rsidRPr="000804FA">
        <w:rPr>
          <w:color w:val="000000" w:themeColor="text1"/>
          <w:lang w:val="en-CA"/>
        </w:rPr>
        <w:lastRenderedPageBreak/>
        <w:t xml:space="preserve">100 mg daily lifelong (class </w:t>
      </w:r>
      <w:proofErr w:type="spellStart"/>
      <w:r w:rsidRPr="000804FA">
        <w:rPr>
          <w:color w:val="000000" w:themeColor="text1"/>
          <w:lang w:val="en-CA"/>
        </w:rPr>
        <w:t>IIa</w:t>
      </w:r>
      <w:proofErr w:type="spellEnd"/>
      <w:r w:rsidRPr="000804FA">
        <w:rPr>
          <w:color w:val="000000" w:themeColor="text1"/>
          <w:lang w:val="en-CA"/>
        </w:rPr>
        <w:t xml:space="preserve">-B). In TAVR recipients, it is recommended ASA 75-100 mg daily lifelong (class </w:t>
      </w:r>
      <w:proofErr w:type="spellStart"/>
      <w:r w:rsidRPr="000804FA">
        <w:rPr>
          <w:color w:val="000000" w:themeColor="text1"/>
          <w:lang w:val="en-CA"/>
        </w:rPr>
        <w:t>IIa</w:t>
      </w:r>
      <w:proofErr w:type="spellEnd"/>
      <w:r w:rsidRPr="000804FA">
        <w:rPr>
          <w:color w:val="000000" w:themeColor="text1"/>
          <w:lang w:val="en-CA"/>
        </w:rPr>
        <w:t>-B), with the possibility to prescribe dual antiplatelet therapy with ASA 75-100 mg daily and Clopidogrel 75 mg daily for 3-6 months, in patients at low bleeding risk (class IIb-B).</w:t>
      </w:r>
    </w:p>
    <w:p w14:paraId="05E3670A" w14:textId="3ECAE977" w:rsidR="0059463C" w:rsidRPr="000804FA" w:rsidRDefault="0059463C" w:rsidP="000804FA">
      <w:pPr>
        <w:spacing w:line="480" w:lineRule="auto"/>
        <w:contextualSpacing/>
        <w:jc w:val="both"/>
        <w:rPr>
          <w:color w:val="000000" w:themeColor="text1"/>
          <w:lang w:val="en-CA"/>
        </w:rPr>
      </w:pPr>
      <w:r w:rsidRPr="000804FA">
        <w:rPr>
          <w:color w:val="000000" w:themeColor="text1"/>
          <w:lang w:val="en-CA"/>
        </w:rPr>
        <w:t>In case of symptomatic left-sided mechanical valve thrombosis requiring urgent treatment, in the American guidelines surgery and systemic fibrinolysis had the same class of recommendation (class I-B), individualizing the management based on multiple clinical factors and local experience and expertise; in the European guidelines,</w:t>
      </w:r>
      <w:r w:rsidR="001E32D4" w:rsidRPr="000804FA">
        <w:rPr>
          <w:color w:val="000000" w:themeColor="text1"/>
          <w:lang w:val="en-CA"/>
        </w:rPr>
        <w:t xml:space="preserve"> urgent surgery is</w:t>
      </w:r>
      <w:r w:rsidRPr="000804FA">
        <w:rPr>
          <w:color w:val="000000" w:themeColor="text1"/>
          <w:lang w:val="en-CA"/>
        </w:rPr>
        <w:t xml:space="preserve"> preferred (class I-B) over fibrinolysis (class </w:t>
      </w:r>
      <w:proofErr w:type="spellStart"/>
      <w:r w:rsidRPr="000804FA">
        <w:rPr>
          <w:color w:val="000000" w:themeColor="text1"/>
          <w:lang w:val="en-CA"/>
        </w:rPr>
        <w:t>IIa</w:t>
      </w:r>
      <w:proofErr w:type="spellEnd"/>
      <w:r w:rsidRPr="000804FA">
        <w:rPr>
          <w:color w:val="000000" w:themeColor="text1"/>
          <w:lang w:val="en-CA"/>
        </w:rPr>
        <w:t>-B), which should be reserved in inoperable patients.</w:t>
      </w:r>
    </w:p>
    <w:p w14:paraId="7FF4994F" w14:textId="77777777" w:rsidR="0059463C" w:rsidRPr="000804FA" w:rsidRDefault="0059463C" w:rsidP="000804FA">
      <w:pPr>
        <w:spacing w:line="480" w:lineRule="auto"/>
        <w:contextualSpacing/>
        <w:jc w:val="both"/>
        <w:rPr>
          <w:color w:val="000000" w:themeColor="text1"/>
          <w:lang w:val="en-CA"/>
        </w:rPr>
      </w:pPr>
    </w:p>
    <w:p w14:paraId="65AA721E" w14:textId="77777777" w:rsidR="0059463C" w:rsidRPr="000804FA" w:rsidRDefault="0059463C" w:rsidP="000804FA">
      <w:pPr>
        <w:pStyle w:val="ListParagraph"/>
        <w:numPr>
          <w:ilvl w:val="1"/>
          <w:numId w:val="7"/>
        </w:numPr>
        <w:spacing w:after="120" w:line="480" w:lineRule="auto"/>
        <w:jc w:val="both"/>
        <w:rPr>
          <w:rFonts w:ascii="Times New Roman" w:hAnsi="Times New Roman" w:cs="Times New Roman"/>
          <w:b/>
          <w:bCs/>
          <w:color w:val="000000" w:themeColor="text1"/>
          <w:sz w:val="24"/>
          <w:szCs w:val="24"/>
          <w:lang w:val="en-CA"/>
        </w:rPr>
      </w:pPr>
      <w:r w:rsidRPr="000804FA">
        <w:rPr>
          <w:rFonts w:ascii="Times New Roman" w:hAnsi="Times New Roman" w:cs="Times New Roman"/>
          <w:b/>
          <w:bCs/>
          <w:color w:val="000000" w:themeColor="text1"/>
          <w:sz w:val="24"/>
          <w:szCs w:val="24"/>
          <w:lang w:val="en-CA"/>
        </w:rPr>
        <w:t xml:space="preserve">Gaps in European vs. American guidelines </w:t>
      </w:r>
    </w:p>
    <w:p w14:paraId="56E8E401" w14:textId="008C30BF" w:rsidR="0059463C" w:rsidRPr="000804FA" w:rsidRDefault="0059463C" w:rsidP="000804FA">
      <w:pPr>
        <w:spacing w:after="120" w:line="480" w:lineRule="auto"/>
        <w:contextualSpacing/>
        <w:jc w:val="both"/>
        <w:rPr>
          <w:color w:val="000000" w:themeColor="text1"/>
          <w:lang w:val="en-CA"/>
        </w:rPr>
      </w:pPr>
      <w:r w:rsidRPr="000804FA">
        <w:rPr>
          <w:color w:val="000000" w:themeColor="text1"/>
          <w:lang w:val="en-CA"/>
        </w:rPr>
        <w:t xml:space="preserve">Despite the detailed guidelines, gaps in evidence exist. The rapid technological advancements of both surgical and transcatheter devices do not allow to make definite recommendation regarding what type of bioprosthesis should be implanted. In fact, it is known that </w:t>
      </w:r>
      <w:proofErr w:type="gramStart"/>
      <w:r w:rsidRPr="000804FA">
        <w:rPr>
          <w:color w:val="000000" w:themeColor="text1"/>
          <w:lang w:val="en-CA"/>
        </w:rPr>
        <w:t>particular subsets</w:t>
      </w:r>
      <w:proofErr w:type="gramEnd"/>
      <w:r w:rsidRPr="000804FA">
        <w:rPr>
          <w:color w:val="000000" w:themeColor="text1"/>
          <w:lang w:val="en-CA"/>
        </w:rPr>
        <w:t xml:space="preserve"> of patients may benefit more from certain prosthetic valves to reduce the risk of patient-prosthesis mismatch, optimize potential valve-in-valve procedures in case of prosthetic degeneration. </w:t>
      </w:r>
    </w:p>
    <w:p w14:paraId="1D36D2AD" w14:textId="77777777" w:rsidR="0049088F" w:rsidRPr="000804FA" w:rsidRDefault="0049088F" w:rsidP="000804FA">
      <w:pPr>
        <w:spacing w:after="120" w:line="480" w:lineRule="auto"/>
        <w:contextualSpacing/>
        <w:jc w:val="both"/>
        <w:rPr>
          <w:color w:val="000000" w:themeColor="text1"/>
          <w:lang w:val="en-CA"/>
        </w:rPr>
      </w:pPr>
    </w:p>
    <w:p w14:paraId="6A21A6D4" w14:textId="77777777" w:rsidR="00B75DF2" w:rsidRPr="000804FA" w:rsidRDefault="00B75DF2" w:rsidP="000804FA">
      <w:pPr>
        <w:spacing w:after="120" w:line="480" w:lineRule="auto"/>
        <w:contextualSpacing/>
        <w:jc w:val="both"/>
        <w:rPr>
          <w:b/>
          <w:color w:val="000000" w:themeColor="text1"/>
          <w:lang w:val="en-CA"/>
        </w:rPr>
      </w:pPr>
    </w:p>
    <w:p w14:paraId="020E6EDF" w14:textId="23B176A7" w:rsidR="00867C04" w:rsidRPr="000804FA" w:rsidRDefault="00867C04" w:rsidP="000804FA">
      <w:pPr>
        <w:spacing w:after="120" w:line="480" w:lineRule="auto"/>
        <w:contextualSpacing/>
        <w:jc w:val="both"/>
        <w:rPr>
          <w:b/>
          <w:color w:val="000000" w:themeColor="text1"/>
          <w:lang w:val="en-CA"/>
        </w:rPr>
      </w:pPr>
      <w:r w:rsidRPr="000804FA">
        <w:rPr>
          <w:b/>
          <w:color w:val="000000" w:themeColor="text1"/>
          <w:lang w:val="en-CA"/>
        </w:rPr>
        <w:t>CONCLUSIONS AND NEXT STEPS</w:t>
      </w:r>
    </w:p>
    <w:p w14:paraId="3F6BC7CA" w14:textId="646BE1B5" w:rsidR="00C53C37" w:rsidRPr="00B449AF" w:rsidRDefault="00867C04" w:rsidP="000804FA">
      <w:pPr>
        <w:spacing w:after="120" w:line="480" w:lineRule="auto"/>
        <w:ind w:firstLine="708"/>
        <w:contextualSpacing/>
        <w:jc w:val="both"/>
        <w:rPr>
          <w:lang w:val="en-CA"/>
        </w:rPr>
      </w:pPr>
      <w:r w:rsidRPr="000804FA">
        <w:rPr>
          <w:lang w:val="en-CA"/>
        </w:rPr>
        <w:t xml:space="preserve">The </w:t>
      </w:r>
      <w:r w:rsidR="00E915D2" w:rsidRPr="000804FA">
        <w:rPr>
          <w:lang w:val="en-CA"/>
        </w:rPr>
        <w:t xml:space="preserve">American and </w:t>
      </w:r>
      <w:r w:rsidR="006C10B1" w:rsidRPr="000804FA">
        <w:rPr>
          <w:lang w:val="en-CA"/>
        </w:rPr>
        <w:t xml:space="preserve">European </w:t>
      </w:r>
      <w:r w:rsidRPr="000804FA">
        <w:rPr>
          <w:lang w:val="en-CA"/>
        </w:rPr>
        <w:t>guidelines are consistent for most recommendations but present some differences that are generally minor</w:t>
      </w:r>
      <w:r w:rsidR="00E027B2" w:rsidRPr="000804FA">
        <w:rPr>
          <w:lang w:val="en-CA"/>
        </w:rPr>
        <w:t xml:space="preserve"> (</w:t>
      </w:r>
      <w:r w:rsidR="00E027B2" w:rsidRPr="000804FA">
        <w:rPr>
          <w:b/>
          <w:bCs/>
          <w:i/>
          <w:iCs/>
          <w:lang w:val="en-CA"/>
        </w:rPr>
        <w:t>Central Illustration</w:t>
      </w:r>
      <w:r w:rsidR="00E027B2" w:rsidRPr="000804FA">
        <w:rPr>
          <w:lang w:val="en-CA"/>
        </w:rPr>
        <w:t>)</w:t>
      </w:r>
      <w:r w:rsidRPr="000804FA">
        <w:rPr>
          <w:lang w:val="en-CA"/>
        </w:rPr>
        <w:t xml:space="preserve">. These </w:t>
      </w:r>
      <w:r w:rsidR="00482EDA" w:rsidRPr="000804FA">
        <w:rPr>
          <w:lang w:val="en-CA"/>
        </w:rPr>
        <w:t>differences commonly</w:t>
      </w:r>
      <w:r w:rsidR="009C65D5" w:rsidRPr="000804FA">
        <w:rPr>
          <w:lang w:val="en-CA"/>
        </w:rPr>
        <w:t xml:space="preserve"> </w:t>
      </w:r>
      <w:r w:rsidRPr="000804FA">
        <w:rPr>
          <w:lang w:val="en-CA"/>
        </w:rPr>
        <w:t>occur in areas where the evidence is insufficient or conflicting</w:t>
      </w:r>
      <w:r w:rsidR="006C10B1" w:rsidRPr="000804FA">
        <w:rPr>
          <w:lang w:val="en-CA"/>
        </w:rPr>
        <w:t xml:space="preserve">, </w:t>
      </w:r>
      <w:r w:rsidR="009C65D5" w:rsidRPr="000804FA">
        <w:rPr>
          <w:lang w:val="en-CA"/>
        </w:rPr>
        <w:t>further</w:t>
      </w:r>
      <w:r w:rsidR="006C10B1" w:rsidRPr="000804FA">
        <w:rPr>
          <w:lang w:val="en-CA"/>
        </w:rPr>
        <w:t xml:space="preserve"> underlining the need for randomized controlled trials in these areas. Some of these differences and discrepancies between guidelines may translate into differences in the clinical management of </w:t>
      </w:r>
      <w:r w:rsidR="006C10B1" w:rsidRPr="000804FA">
        <w:rPr>
          <w:lang w:val="en-CA"/>
        </w:rPr>
        <w:lastRenderedPageBreak/>
        <w:t xml:space="preserve">the patients. </w:t>
      </w:r>
      <w:r w:rsidR="00A20051" w:rsidRPr="000804FA">
        <w:rPr>
          <w:lang w:val="en-CA"/>
        </w:rPr>
        <w:t>Another consideration</w:t>
      </w:r>
      <w:r w:rsidR="006F3CB7" w:rsidRPr="000804FA">
        <w:rPr>
          <w:lang w:val="en-CA"/>
        </w:rPr>
        <w:t xml:space="preserve"> for </w:t>
      </w:r>
      <w:r w:rsidR="00ED5BB8" w:rsidRPr="000804FA">
        <w:rPr>
          <w:lang w:val="en-CA"/>
        </w:rPr>
        <w:t xml:space="preserve">the </w:t>
      </w:r>
      <w:r w:rsidR="006F3CB7" w:rsidRPr="000804FA">
        <w:rPr>
          <w:lang w:val="en-CA"/>
        </w:rPr>
        <w:t>future</w:t>
      </w:r>
      <w:r w:rsidR="00ED5BB8" w:rsidRPr="000804FA">
        <w:rPr>
          <w:lang w:val="en-CA"/>
        </w:rPr>
        <w:t xml:space="preserve"> is to</w:t>
      </w:r>
      <w:r w:rsidR="000139AD" w:rsidRPr="000804FA">
        <w:rPr>
          <w:lang w:val="en-CA"/>
        </w:rPr>
        <w:t xml:space="preserve"> transition</w:t>
      </w:r>
      <w:r w:rsidR="00CB4968" w:rsidRPr="000804FA">
        <w:rPr>
          <w:lang w:val="en-CA"/>
        </w:rPr>
        <w:t xml:space="preserve"> from</w:t>
      </w:r>
      <w:r w:rsidR="000139AD" w:rsidRPr="000804FA">
        <w:rPr>
          <w:lang w:val="en-CA"/>
        </w:rPr>
        <w:t xml:space="preserve"> (or at least include) recommendations</w:t>
      </w:r>
      <w:r w:rsidR="00CB4968" w:rsidRPr="000804FA">
        <w:rPr>
          <w:lang w:val="en-CA"/>
        </w:rPr>
        <w:t xml:space="preserve"> rooted primarily on the severity of the valve lesion </w:t>
      </w:r>
      <w:r w:rsidR="00277820" w:rsidRPr="000804FA">
        <w:rPr>
          <w:lang w:val="en-CA"/>
        </w:rPr>
        <w:t>to staging or phenotyping the</w:t>
      </w:r>
      <w:r w:rsidR="00B9478B" w:rsidRPr="000804FA">
        <w:rPr>
          <w:lang w:val="en-CA"/>
        </w:rPr>
        <w:t xml:space="preserve"> </w:t>
      </w:r>
      <w:r w:rsidR="00277820" w:rsidRPr="000804FA">
        <w:rPr>
          <w:lang w:val="en-CA"/>
        </w:rPr>
        <w:t xml:space="preserve">disease </w:t>
      </w:r>
      <w:proofErr w:type="gramStart"/>
      <w:r w:rsidR="00277820" w:rsidRPr="000804FA">
        <w:rPr>
          <w:lang w:val="en-CA"/>
        </w:rPr>
        <w:t xml:space="preserve">in </w:t>
      </w:r>
      <w:r w:rsidR="00B9478B" w:rsidRPr="000804FA">
        <w:rPr>
          <w:lang w:val="en-CA"/>
        </w:rPr>
        <w:t>a given</w:t>
      </w:r>
      <w:proofErr w:type="gramEnd"/>
      <w:r w:rsidR="00B9478B" w:rsidRPr="000804FA">
        <w:rPr>
          <w:lang w:val="en-CA"/>
        </w:rPr>
        <w:t xml:space="preserve"> patient.</w:t>
      </w:r>
      <w:r w:rsidR="00CC316F" w:rsidRPr="000804FA">
        <w:rPr>
          <w:lang w:val="en-CA"/>
        </w:rPr>
        <w:t xml:space="preserve"> </w:t>
      </w:r>
      <w:r w:rsidR="006C10B1" w:rsidRPr="000804FA">
        <w:rPr>
          <w:lang w:val="en-CA"/>
        </w:rPr>
        <w:t>Given that the diagnostic and therapeutic modalities</w:t>
      </w:r>
      <w:r w:rsidR="0089237B" w:rsidRPr="000804FA">
        <w:rPr>
          <w:lang w:val="en-CA"/>
        </w:rPr>
        <w:t>, and evidence for</w:t>
      </w:r>
      <w:r w:rsidR="00AB70C6" w:rsidRPr="000804FA">
        <w:rPr>
          <w:lang w:val="en-CA"/>
        </w:rPr>
        <w:t xml:space="preserve"> </w:t>
      </w:r>
      <w:r w:rsidR="00227E3E" w:rsidRPr="000804FA">
        <w:rPr>
          <w:lang w:val="en-CA"/>
        </w:rPr>
        <w:t>intervention are</w:t>
      </w:r>
      <w:r w:rsidR="006C10B1" w:rsidRPr="000804FA">
        <w:rPr>
          <w:lang w:val="en-CA"/>
        </w:rPr>
        <w:t xml:space="preserve"> </w:t>
      </w:r>
      <w:r w:rsidR="00227E3E" w:rsidRPr="000804FA">
        <w:rPr>
          <w:lang w:val="en-CA"/>
        </w:rPr>
        <w:t>evolving rapidly</w:t>
      </w:r>
      <w:r w:rsidR="006C10B1" w:rsidRPr="000804FA">
        <w:rPr>
          <w:lang w:val="en-CA"/>
        </w:rPr>
        <w:t xml:space="preserve">, an update of the guidelines every 5 or 6 years is suboptimal. </w:t>
      </w:r>
      <w:r w:rsidR="00302F9C" w:rsidRPr="000804FA">
        <w:rPr>
          <w:lang w:val="en-CA"/>
        </w:rPr>
        <w:t>Thus</w:t>
      </w:r>
      <w:r w:rsidR="000433F1" w:rsidRPr="000804FA">
        <w:rPr>
          <w:lang w:val="en-CA"/>
        </w:rPr>
        <w:t>,</w:t>
      </w:r>
      <w:r w:rsidR="00EB1776" w:rsidRPr="000804FA">
        <w:rPr>
          <w:lang w:val="en-CA"/>
        </w:rPr>
        <w:t xml:space="preserve"> it may be</w:t>
      </w:r>
      <w:r w:rsidR="006C10B1" w:rsidRPr="000804FA">
        <w:rPr>
          <w:lang w:val="en-CA"/>
        </w:rPr>
        <w:t xml:space="preserve"> important to implement mechanisms </w:t>
      </w:r>
      <w:r w:rsidR="00EB1776" w:rsidRPr="000804FA">
        <w:rPr>
          <w:lang w:val="en-CA"/>
        </w:rPr>
        <w:t xml:space="preserve">which </w:t>
      </w:r>
      <w:r w:rsidR="00D34060" w:rsidRPr="000804FA">
        <w:rPr>
          <w:lang w:val="en-CA"/>
        </w:rPr>
        <w:t xml:space="preserve">facilitate timely updates </w:t>
      </w:r>
      <w:r w:rsidR="005869D0" w:rsidRPr="000804FA">
        <w:rPr>
          <w:lang w:val="en-CA"/>
        </w:rPr>
        <w:t>of</w:t>
      </w:r>
      <w:r w:rsidR="00D34060" w:rsidRPr="000804FA">
        <w:rPr>
          <w:lang w:val="en-CA"/>
        </w:rPr>
        <w:t xml:space="preserve"> the</w:t>
      </w:r>
      <w:r w:rsidR="006C10B1" w:rsidRPr="000804FA">
        <w:rPr>
          <w:lang w:val="en-CA"/>
        </w:rPr>
        <w:t xml:space="preserve"> guidelines</w:t>
      </w:r>
      <w:r w:rsidR="005869D0" w:rsidRPr="000804FA">
        <w:rPr>
          <w:lang w:val="en-CA"/>
        </w:rPr>
        <w:t xml:space="preserve"> to maximize the benefit to patients with </w:t>
      </w:r>
      <w:r w:rsidR="00AB70C6" w:rsidRPr="000804FA">
        <w:rPr>
          <w:lang w:val="en-CA"/>
        </w:rPr>
        <w:t>valvular heart disease</w:t>
      </w:r>
      <w:r w:rsidR="00D34060" w:rsidRPr="000804FA">
        <w:rPr>
          <w:lang w:val="en-CA"/>
        </w:rPr>
        <w:t>.</w:t>
      </w:r>
      <w:r w:rsidR="006C10B1">
        <w:rPr>
          <w:lang w:val="en-CA"/>
        </w:rPr>
        <w:t xml:space="preserve"> </w:t>
      </w:r>
      <w:r w:rsidR="00C53C37" w:rsidRPr="006842A1">
        <w:rPr>
          <w:b/>
          <w:lang w:val="en-CA"/>
        </w:rPr>
        <w:br w:type="page"/>
      </w:r>
    </w:p>
    <w:p w14:paraId="10EF2277" w14:textId="77777777" w:rsidR="00C53C37" w:rsidRPr="004B22FA" w:rsidRDefault="00C53C37" w:rsidP="00C53C37">
      <w:pPr>
        <w:rPr>
          <w:lang w:val="en-CA"/>
        </w:rPr>
        <w:sectPr w:rsidR="00C53C37" w:rsidRPr="004B22FA" w:rsidSect="00A90198">
          <w:footerReference w:type="even" r:id="rId8"/>
          <w:footerReference w:type="default" r:id="rId9"/>
          <w:pgSz w:w="11906" w:h="16838"/>
          <w:pgMar w:top="1440" w:right="1440" w:bottom="1440" w:left="1440" w:header="708" w:footer="708" w:gutter="0"/>
          <w:cols w:space="708"/>
          <w:docGrid w:linePitch="360"/>
        </w:sectPr>
      </w:pPr>
    </w:p>
    <w:p w14:paraId="30998AA0" w14:textId="59DC3C9F" w:rsidR="004D1A32" w:rsidRPr="000804FA" w:rsidRDefault="001D4EC7" w:rsidP="000804FA">
      <w:pPr>
        <w:spacing w:line="480" w:lineRule="auto"/>
        <w:contextualSpacing/>
        <w:rPr>
          <w:b/>
          <w:lang w:val="en-US"/>
        </w:rPr>
      </w:pPr>
      <w:r w:rsidRPr="000804FA">
        <w:rPr>
          <w:b/>
          <w:lang w:val="en-US"/>
        </w:rPr>
        <w:lastRenderedPageBreak/>
        <w:t>REFERENCES</w:t>
      </w:r>
    </w:p>
    <w:p w14:paraId="4B042F9D" w14:textId="60B398EF" w:rsidR="00D00075" w:rsidRPr="000804FA" w:rsidRDefault="004D1A32" w:rsidP="000804FA">
      <w:pPr>
        <w:widowControl w:val="0"/>
        <w:autoSpaceDE w:val="0"/>
        <w:autoSpaceDN w:val="0"/>
        <w:adjustRightInd w:val="0"/>
        <w:spacing w:line="480" w:lineRule="auto"/>
        <w:contextualSpacing/>
        <w:rPr>
          <w:lang w:val="en-US"/>
        </w:rPr>
      </w:pPr>
      <w:r w:rsidRPr="000804FA">
        <w:rPr>
          <w:b/>
          <w:bCs/>
        </w:rPr>
        <w:fldChar w:fldCharType="begin"/>
      </w:r>
      <w:r w:rsidR="00D00075" w:rsidRPr="000804FA">
        <w:rPr>
          <w:bCs/>
          <w:lang w:val="en-US"/>
        </w:rPr>
        <w:instrText xml:space="preserve"> ADDIN ZOTERO_BIBL {"uncited":[],"omitted":[],"custom":[]} CSL_BIBLIOGRAPHY </w:instrText>
      </w:r>
      <w:r w:rsidRPr="000804FA">
        <w:rPr>
          <w:b/>
          <w:bCs/>
        </w:rPr>
        <w:fldChar w:fldCharType="separate"/>
      </w:r>
      <w:r w:rsidR="00D00075" w:rsidRPr="000804FA">
        <w:rPr>
          <w:lang w:val="en-US"/>
        </w:rPr>
        <w:t>1.</w:t>
      </w:r>
      <w:r w:rsidR="00D00075" w:rsidRPr="000804FA">
        <w:rPr>
          <w:lang w:val="en-US"/>
        </w:rPr>
        <w:tab/>
        <w:t xml:space="preserve">Otto CM, Nishimura RA, Bonow RO, et al. 2020 ACC/AHA Guideline for the Management of Patients With Valvular Heart Disease: Executive Summary: A Report of the American College of Cardiology/American Heart Association Joint Committee on Clinical Practice Guidelines. J Am Coll Cardiol. 2021;77:450–500. </w:t>
      </w:r>
    </w:p>
    <w:p w14:paraId="7AA37D76" w14:textId="02DDC3E2" w:rsidR="00D00075" w:rsidRPr="000804FA" w:rsidRDefault="00D00075" w:rsidP="000804FA">
      <w:pPr>
        <w:widowControl w:val="0"/>
        <w:autoSpaceDE w:val="0"/>
        <w:autoSpaceDN w:val="0"/>
        <w:adjustRightInd w:val="0"/>
        <w:spacing w:line="480" w:lineRule="auto"/>
        <w:contextualSpacing/>
      </w:pPr>
      <w:r w:rsidRPr="000804FA">
        <w:rPr>
          <w:lang w:val="en-US"/>
        </w:rPr>
        <w:t>2.</w:t>
      </w:r>
      <w:r w:rsidRPr="000804FA">
        <w:rPr>
          <w:lang w:val="en-US"/>
        </w:rPr>
        <w:tab/>
        <w:t xml:space="preserve">Vahanian A, Beyersdorf F, Praz F, et al. 2021 ESC/EACTS Guidelines for the management of valvular heart disease. </w:t>
      </w:r>
      <w:r w:rsidRPr="000804FA">
        <w:t xml:space="preserve">Eur Heart J. 2022;43:561–632. </w:t>
      </w:r>
    </w:p>
    <w:p w14:paraId="6D11197E" w14:textId="0B6C6FA0" w:rsidR="00D00075" w:rsidRPr="000804FA" w:rsidRDefault="00D00075" w:rsidP="000804FA">
      <w:pPr>
        <w:widowControl w:val="0"/>
        <w:autoSpaceDE w:val="0"/>
        <w:autoSpaceDN w:val="0"/>
        <w:adjustRightInd w:val="0"/>
        <w:spacing w:line="480" w:lineRule="auto"/>
        <w:contextualSpacing/>
        <w:rPr>
          <w:lang w:val="en-US"/>
        </w:rPr>
      </w:pPr>
      <w:r w:rsidRPr="000804FA">
        <w:t>3.</w:t>
      </w:r>
      <w:r w:rsidRPr="000804FA">
        <w:tab/>
        <w:t xml:space="preserve">Tastet L, Tribouilloy C, Maréchaux S, et al. </w:t>
      </w:r>
      <w:r w:rsidRPr="000804FA">
        <w:rPr>
          <w:lang w:val="en-US"/>
        </w:rPr>
        <w:t xml:space="preserve">Staging Cardiac Damage in Patients With Asymptomatic Aortic Valve Stenosis. J Am Coll Cardiol. 2019;74(4):550–63. </w:t>
      </w:r>
    </w:p>
    <w:p w14:paraId="440BD9E7" w14:textId="2EBE102C" w:rsidR="00D00075" w:rsidRPr="000804FA" w:rsidRDefault="00D00075" w:rsidP="000804FA">
      <w:pPr>
        <w:widowControl w:val="0"/>
        <w:autoSpaceDE w:val="0"/>
        <w:autoSpaceDN w:val="0"/>
        <w:adjustRightInd w:val="0"/>
        <w:spacing w:line="480" w:lineRule="auto"/>
        <w:contextualSpacing/>
        <w:rPr>
          <w:lang w:val="en-US"/>
        </w:rPr>
      </w:pPr>
      <w:r w:rsidRPr="000804FA">
        <w:rPr>
          <w:lang w:val="en-US"/>
        </w:rPr>
        <w:t>4.</w:t>
      </w:r>
      <w:r w:rsidRPr="000804FA">
        <w:rPr>
          <w:lang w:val="en-US"/>
        </w:rPr>
        <w:tab/>
        <w:t xml:space="preserve">Lachmann M, Rippen E, Schuster T, et al. Subphenotyping of Patients With Aortic Stenosis by Unsupervised Agglomerative Clustering of Echocardiographic and Hemodynamic Data. JACC Cardiovasc Interv. 2021;14:2127–40. </w:t>
      </w:r>
    </w:p>
    <w:p w14:paraId="15B358C0" w14:textId="6418A0D0" w:rsidR="00D00075" w:rsidRPr="000804FA" w:rsidRDefault="00D00075" w:rsidP="000804FA">
      <w:pPr>
        <w:widowControl w:val="0"/>
        <w:autoSpaceDE w:val="0"/>
        <w:autoSpaceDN w:val="0"/>
        <w:adjustRightInd w:val="0"/>
        <w:spacing w:line="480" w:lineRule="auto"/>
        <w:contextualSpacing/>
        <w:rPr>
          <w:lang w:val="en-US"/>
        </w:rPr>
      </w:pPr>
      <w:r w:rsidRPr="000804FA">
        <w:rPr>
          <w:lang w:val="en-US"/>
        </w:rPr>
        <w:t>5.</w:t>
      </w:r>
      <w:r w:rsidRPr="000804FA">
        <w:rPr>
          <w:lang w:val="en-US"/>
        </w:rPr>
        <w:tab/>
        <w:t xml:space="preserve">Généreux P, Pibarot P, Redfors B, et al. Evolution and Prognostic Impact of Cardiac Damage After Aortic Valve Replacement. J Am Coll Cardiol. 2022;S0735-1097(22)04979-8. </w:t>
      </w:r>
    </w:p>
    <w:p w14:paraId="1C606B75" w14:textId="61FBF3D6" w:rsidR="00D00075" w:rsidRPr="000804FA" w:rsidRDefault="00D00075" w:rsidP="000804FA">
      <w:pPr>
        <w:widowControl w:val="0"/>
        <w:autoSpaceDE w:val="0"/>
        <w:autoSpaceDN w:val="0"/>
        <w:adjustRightInd w:val="0"/>
        <w:spacing w:line="480" w:lineRule="auto"/>
        <w:contextualSpacing/>
        <w:rPr>
          <w:lang w:val="en-US"/>
        </w:rPr>
      </w:pPr>
      <w:r w:rsidRPr="000804FA">
        <w:rPr>
          <w:lang w:val="en-US"/>
        </w:rPr>
        <w:t>6.</w:t>
      </w:r>
      <w:r w:rsidRPr="000804FA">
        <w:rPr>
          <w:lang w:val="en-US"/>
        </w:rPr>
        <w:tab/>
        <w:t>Hashimoto G, Enriquez-Sarano M, Stanberry LI, et al. Association of Left Ventricular Remodeling Assessment by Cardiac Magnetic Resonance With Outcomes in Patients With Chronic Aortic Regurgitation. JAMA Cardiol. 2022;</w:t>
      </w:r>
      <w:r w:rsidRPr="000804FA">
        <w:rPr>
          <w:color w:val="000000" w:themeColor="text1"/>
          <w:shd w:val="clear" w:color="auto" w:fill="FFFFFF"/>
        </w:rPr>
        <w:t>7:924-933</w:t>
      </w:r>
    </w:p>
    <w:p w14:paraId="3A0739B3" w14:textId="38BBBE8C" w:rsidR="00D00075" w:rsidRPr="000804FA" w:rsidRDefault="00D00075" w:rsidP="000804FA">
      <w:pPr>
        <w:widowControl w:val="0"/>
        <w:autoSpaceDE w:val="0"/>
        <w:autoSpaceDN w:val="0"/>
        <w:adjustRightInd w:val="0"/>
        <w:spacing w:line="480" w:lineRule="auto"/>
        <w:contextualSpacing/>
        <w:rPr>
          <w:lang w:val="en-US"/>
        </w:rPr>
      </w:pPr>
      <w:r w:rsidRPr="000804FA">
        <w:rPr>
          <w:lang w:val="en-US"/>
        </w:rPr>
        <w:t>7.</w:t>
      </w:r>
      <w:r w:rsidRPr="000804FA">
        <w:rPr>
          <w:lang w:val="en-US"/>
        </w:rPr>
        <w:tab/>
        <w:t>Connolly SJ, Karthikeyan G, Ntsekhe M, et al. Rivaroxaban in Rheumatic Heart Disease-Associated Atrial Fibrillation. N Engl J Med. 20</w:t>
      </w:r>
      <w:r w:rsidRPr="000804FA">
        <w:rPr>
          <w:color w:val="000000" w:themeColor="text1"/>
          <w:lang w:val="en-US"/>
        </w:rPr>
        <w:t xml:space="preserve">22; </w:t>
      </w:r>
      <w:r w:rsidR="00AD490E" w:rsidRPr="000804FA">
        <w:rPr>
          <w:color w:val="000000" w:themeColor="text1"/>
          <w:shd w:val="clear" w:color="auto" w:fill="FFFFFF"/>
          <w:lang w:val="en-US"/>
        </w:rPr>
        <w:t>387:978-988</w:t>
      </w:r>
    </w:p>
    <w:p w14:paraId="423D6BD5" w14:textId="07AA6BD9" w:rsidR="00D00075" w:rsidRPr="000804FA" w:rsidRDefault="00D00075" w:rsidP="000804FA">
      <w:pPr>
        <w:widowControl w:val="0"/>
        <w:autoSpaceDE w:val="0"/>
        <w:autoSpaceDN w:val="0"/>
        <w:adjustRightInd w:val="0"/>
        <w:spacing w:line="480" w:lineRule="auto"/>
        <w:contextualSpacing/>
        <w:rPr>
          <w:lang w:val="en-US"/>
        </w:rPr>
      </w:pPr>
      <w:r w:rsidRPr="000804FA">
        <w:rPr>
          <w:lang w:val="en-US"/>
        </w:rPr>
        <w:t>8.</w:t>
      </w:r>
      <w:r w:rsidRPr="000804FA">
        <w:rPr>
          <w:lang w:val="en-US"/>
        </w:rPr>
        <w:tab/>
        <w:t xml:space="preserve">Zweck E, Spieker M, Horn P, et al. Machine Learning Identifies Clinical Parameters to Predict Mortality in Patients Undergoing Transcatheter Mitral Valve Repair. JACC Cardiovasc Interv. 2021;14:2027–36. </w:t>
      </w:r>
    </w:p>
    <w:p w14:paraId="495EA21F" w14:textId="290688F7" w:rsidR="00D00075" w:rsidRPr="000804FA" w:rsidRDefault="00D00075" w:rsidP="000804FA">
      <w:pPr>
        <w:widowControl w:val="0"/>
        <w:autoSpaceDE w:val="0"/>
        <w:autoSpaceDN w:val="0"/>
        <w:adjustRightInd w:val="0"/>
        <w:spacing w:line="480" w:lineRule="auto"/>
        <w:contextualSpacing/>
      </w:pPr>
      <w:r w:rsidRPr="000804FA">
        <w:rPr>
          <w:lang w:val="en-US"/>
        </w:rPr>
        <w:t>9.</w:t>
      </w:r>
      <w:r w:rsidRPr="000804FA">
        <w:rPr>
          <w:lang w:val="en-US"/>
        </w:rPr>
        <w:tab/>
        <w:t xml:space="preserve">Bartko PE, Heitzinger G, Spinka G, et al. Principal Morphomic and Functional Components of Secondary Mitral Regurgitation. JACC Cardiovasc Imaging. </w:t>
      </w:r>
      <w:r w:rsidRPr="000804FA">
        <w:t xml:space="preserve">2021;14:2288–300. </w:t>
      </w:r>
    </w:p>
    <w:p w14:paraId="4E7E4DA3" w14:textId="3899865E" w:rsidR="00D00075" w:rsidRPr="000804FA" w:rsidRDefault="00D00075" w:rsidP="000804FA">
      <w:pPr>
        <w:widowControl w:val="0"/>
        <w:autoSpaceDE w:val="0"/>
        <w:autoSpaceDN w:val="0"/>
        <w:adjustRightInd w:val="0"/>
        <w:spacing w:line="480" w:lineRule="auto"/>
        <w:contextualSpacing/>
        <w:rPr>
          <w:lang w:val="en-US"/>
        </w:rPr>
      </w:pPr>
      <w:r w:rsidRPr="000804FA">
        <w:lastRenderedPageBreak/>
        <w:t>10.</w:t>
      </w:r>
      <w:r w:rsidRPr="000804FA">
        <w:tab/>
        <w:t xml:space="preserve">Topilsky Y, Maltais S, Medina Inojosa J, et al. </w:t>
      </w:r>
      <w:r w:rsidRPr="000804FA">
        <w:rPr>
          <w:lang w:val="en-US"/>
        </w:rPr>
        <w:t xml:space="preserve">Burden of Tricuspid Regurgitation in Patients Diagnosed in the Community Setting. JACC Cardiovasc Imaging. 2019;12:433–42. </w:t>
      </w:r>
    </w:p>
    <w:p w14:paraId="5E753FE7" w14:textId="56AE4905" w:rsidR="00D00075" w:rsidRPr="000804FA" w:rsidRDefault="00D00075" w:rsidP="000804FA">
      <w:pPr>
        <w:widowControl w:val="0"/>
        <w:autoSpaceDE w:val="0"/>
        <w:autoSpaceDN w:val="0"/>
        <w:adjustRightInd w:val="0"/>
        <w:spacing w:line="480" w:lineRule="auto"/>
        <w:contextualSpacing/>
        <w:rPr>
          <w:lang w:val="en-US"/>
        </w:rPr>
      </w:pPr>
      <w:r w:rsidRPr="000804FA">
        <w:rPr>
          <w:lang w:val="en-US"/>
        </w:rPr>
        <w:t>11.</w:t>
      </w:r>
      <w:r w:rsidRPr="000804FA">
        <w:rPr>
          <w:lang w:val="en-US"/>
        </w:rPr>
        <w:tab/>
        <w:t xml:space="preserve">Benfari G, Antoine C, Miller WL, et al. Excess Mortality Associated With Functional Tricuspid Regurgitation Complicating Heart Failure With Reduced Ejection Fraction. Circulation. 2019;140:196–206. </w:t>
      </w:r>
    </w:p>
    <w:p w14:paraId="53216B04" w14:textId="1173F92A" w:rsidR="00D00075" w:rsidRPr="000804FA" w:rsidRDefault="00D00075" w:rsidP="000804FA">
      <w:pPr>
        <w:widowControl w:val="0"/>
        <w:autoSpaceDE w:val="0"/>
        <w:autoSpaceDN w:val="0"/>
        <w:adjustRightInd w:val="0"/>
        <w:spacing w:line="480" w:lineRule="auto"/>
        <w:contextualSpacing/>
        <w:rPr>
          <w:lang w:val="en-US"/>
        </w:rPr>
      </w:pPr>
      <w:r w:rsidRPr="000804FA">
        <w:rPr>
          <w:lang w:val="en-US"/>
        </w:rPr>
        <w:t>12.</w:t>
      </w:r>
      <w:r w:rsidRPr="000804FA">
        <w:rPr>
          <w:lang w:val="en-US"/>
        </w:rPr>
        <w:tab/>
        <w:t xml:space="preserve">Chang CC, Veen KM, Hahn RT, et al. Uncertainties and challenges in surgical and transcatheter tricuspid valve therapy: a state-of-the-art expert review. Eur Heart J. 2020;41:1932–40. </w:t>
      </w:r>
    </w:p>
    <w:p w14:paraId="44135A16" w14:textId="5F0BD053" w:rsidR="00D00075" w:rsidRPr="000804FA" w:rsidRDefault="00D00075" w:rsidP="000804FA">
      <w:pPr>
        <w:widowControl w:val="0"/>
        <w:autoSpaceDE w:val="0"/>
        <w:autoSpaceDN w:val="0"/>
        <w:adjustRightInd w:val="0"/>
        <w:spacing w:line="480" w:lineRule="auto"/>
        <w:contextualSpacing/>
        <w:rPr>
          <w:lang w:val="en-US"/>
        </w:rPr>
      </w:pPr>
      <w:r w:rsidRPr="000804FA">
        <w:rPr>
          <w:lang w:val="en-US"/>
        </w:rPr>
        <w:t>13.</w:t>
      </w:r>
      <w:r w:rsidRPr="000804FA">
        <w:rPr>
          <w:lang w:val="en-US"/>
        </w:rPr>
        <w:tab/>
        <w:t>Russo G, Taramasso M, Pedicino D,</w:t>
      </w:r>
      <w:r w:rsidR="00AD490E" w:rsidRPr="000804FA">
        <w:rPr>
          <w:lang w:val="en-US"/>
        </w:rPr>
        <w:t xml:space="preserve"> </w:t>
      </w:r>
      <w:r w:rsidRPr="000804FA">
        <w:rPr>
          <w:lang w:val="en-US"/>
        </w:rPr>
        <w:t xml:space="preserve">et al. Challenges and future perspectives of transcatheter tricuspid valve interventions: adopt old strategies or adapt to new opportunities? Eur J Heart Fail. 2022;24:442–54. </w:t>
      </w:r>
    </w:p>
    <w:p w14:paraId="3573CB78" w14:textId="51A7BFF6" w:rsidR="00D00075" w:rsidRPr="000804FA" w:rsidRDefault="00D00075" w:rsidP="000804FA">
      <w:pPr>
        <w:widowControl w:val="0"/>
        <w:autoSpaceDE w:val="0"/>
        <w:autoSpaceDN w:val="0"/>
        <w:adjustRightInd w:val="0"/>
        <w:spacing w:line="480" w:lineRule="auto"/>
        <w:contextualSpacing/>
        <w:rPr>
          <w:lang w:val="en-US"/>
        </w:rPr>
      </w:pPr>
      <w:r w:rsidRPr="000804FA">
        <w:rPr>
          <w:lang w:val="en-US"/>
        </w:rPr>
        <w:t>14.</w:t>
      </w:r>
      <w:r w:rsidRPr="000804FA">
        <w:rPr>
          <w:lang w:val="en-US"/>
        </w:rPr>
        <w:tab/>
        <w:t xml:space="preserve">Hahn RT, Meduri CU, Davidson CJ, et al. Early Feasibility Study of a Transcatheter Tricuspid Valve Annuloplasty: SCOUT Trial 30-Day Results. J Am Coll Cardiol. 2017;69:1795–806. </w:t>
      </w:r>
    </w:p>
    <w:p w14:paraId="36518D64" w14:textId="6D1C43AD" w:rsidR="00D00075" w:rsidRPr="000804FA" w:rsidRDefault="00D00075" w:rsidP="000804FA">
      <w:pPr>
        <w:widowControl w:val="0"/>
        <w:autoSpaceDE w:val="0"/>
        <w:autoSpaceDN w:val="0"/>
        <w:adjustRightInd w:val="0"/>
        <w:spacing w:line="480" w:lineRule="auto"/>
        <w:contextualSpacing/>
        <w:rPr>
          <w:lang w:val="en-US"/>
        </w:rPr>
      </w:pPr>
      <w:r w:rsidRPr="000804FA">
        <w:rPr>
          <w:lang w:val="en-US"/>
        </w:rPr>
        <w:t>15.</w:t>
      </w:r>
      <w:r w:rsidRPr="000804FA">
        <w:rPr>
          <w:lang w:val="en-US"/>
        </w:rPr>
        <w:tab/>
        <w:t xml:space="preserve">Lurz P, Stephan von Bardeleben R, Weber M, et al. Transcatheter Edge-to-Edge Repair for Treatment of Tricuspid Regurgitation. J Am Coll Cardiol. 2021;77:229–39. </w:t>
      </w:r>
    </w:p>
    <w:p w14:paraId="71AA0426" w14:textId="382789E4" w:rsidR="00D00075" w:rsidRPr="000804FA" w:rsidRDefault="00D00075" w:rsidP="000804FA">
      <w:pPr>
        <w:widowControl w:val="0"/>
        <w:autoSpaceDE w:val="0"/>
        <w:autoSpaceDN w:val="0"/>
        <w:adjustRightInd w:val="0"/>
        <w:spacing w:line="480" w:lineRule="auto"/>
        <w:contextualSpacing/>
        <w:rPr>
          <w:lang w:val="en-US"/>
        </w:rPr>
      </w:pPr>
      <w:r w:rsidRPr="000804FA">
        <w:rPr>
          <w:lang w:val="en-US"/>
        </w:rPr>
        <w:t>16.</w:t>
      </w:r>
      <w:r w:rsidRPr="000804FA">
        <w:rPr>
          <w:lang w:val="en-US"/>
        </w:rPr>
        <w:tab/>
        <w:t xml:space="preserve">Taramasso M, Benfari G, van der Bijl P, et al. Transcatheter Versus Medical Treatment of Patients With Symptomatic Severe Tricuspid Regurgitation. J Am Coll Cardiol. 2019;74:2998–3008. </w:t>
      </w:r>
    </w:p>
    <w:p w14:paraId="226E294E" w14:textId="70067C58" w:rsidR="00D00075" w:rsidRPr="000804FA" w:rsidRDefault="00D00075" w:rsidP="000804FA">
      <w:pPr>
        <w:widowControl w:val="0"/>
        <w:autoSpaceDE w:val="0"/>
        <w:autoSpaceDN w:val="0"/>
        <w:adjustRightInd w:val="0"/>
        <w:spacing w:line="480" w:lineRule="auto"/>
        <w:contextualSpacing/>
        <w:rPr>
          <w:lang w:val="en-US"/>
        </w:rPr>
      </w:pPr>
      <w:r w:rsidRPr="000804FA">
        <w:rPr>
          <w:lang w:val="en-US"/>
        </w:rPr>
        <w:t>17.</w:t>
      </w:r>
      <w:r w:rsidRPr="000804FA">
        <w:rPr>
          <w:lang w:val="en-US"/>
        </w:rPr>
        <w:tab/>
        <w:t xml:space="preserve">Dreyfus J, Audureau E, Bohbot Y, et al. TRI-SCORE: a new risk score for in-hospital mortality prediction after isolated tricuspid valve surgery. Eur Heart J. 2022;43:654–62. </w:t>
      </w:r>
    </w:p>
    <w:p w14:paraId="773366C8" w14:textId="627AA242" w:rsidR="00D00075" w:rsidRPr="000804FA" w:rsidRDefault="00D00075" w:rsidP="000804FA">
      <w:pPr>
        <w:widowControl w:val="0"/>
        <w:autoSpaceDE w:val="0"/>
        <w:autoSpaceDN w:val="0"/>
        <w:adjustRightInd w:val="0"/>
        <w:spacing w:line="480" w:lineRule="auto"/>
        <w:contextualSpacing/>
        <w:rPr>
          <w:lang w:val="en-US"/>
        </w:rPr>
      </w:pPr>
      <w:r w:rsidRPr="000804FA">
        <w:rPr>
          <w:lang w:val="en-US"/>
        </w:rPr>
        <w:t>18.</w:t>
      </w:r>
      <w:r w:rsidRPr="000804FA">
        <w:rPr>
          <w:lang w:val="en-US"/>
        </w:rPr>
        <w:tab/>
        <w:t xml:space="preserve">Wang TKM, Akyuz K, Mentias A, et al. Contemporary Etiologies, Outcomes, and Novel Risk Score for Isolated Tricuspid Regurgitation. JACC Cardiovasc Imaging. 2022;15:731–44. </w:t>
      </w:r>
    </w:p>
    <w:p w14:paraId="09FAF182" w14:textId="0B8AC857" w:rsidR="00D00075" w:rsidRPr="000804FA" w:rsidRDefault="00D00075" w:rsidP="000804FA">
      <w:pPr>
        <w:widowControl w:val="0"/>
        <w:autoSpaceDE w:val="0"/>
        <w:autoSpaceDN w:val="0"/>
        <w:adjustRightInd w:val="0"/>
        <w:spacing w:line="480" w:lineRule="auto"/>
        <w:contextualSpacing/>
        <w:rPr>
          <w:lang w:val="en-US"/>
        </w:rPr>
      </w:pPr>
      <w:r w:rsidRPr="000804FA">
        <w:rPr>
          <w:lang w:val="en-US"/>
        </w:rPr>
        <w:lastRenderedPageBreak/>
        <w:t>19.</w:t>
      </w:r>
      <w:r w:rsidRPr="000804FA">
        <w:rPr>
          <w:lang w:val="en-US"/>
        </w:rPr>
        <w:tab/>
        <w:t xml:space="preserve">Galloo X, Stassen J, Butcher SC, et al. Staging right heart failure in patients with tricuspid regurgitation undergoing tricuspid surgery. Eur J Cardio-Thorac Surg. 2022;62(2):ezac290. </w:t>
      </w:r>
    </w:p>
    <w:p w14:paraId="7B0FBC99" w14:textId="6F4C19E6" w:rsidR="00D00075" w:rsidRPr="000804FA" w:rsidRDefault="00D00075" w:rsidP="000804FA">
      <w:pPr>
        <w:widowControl w:val="0"/>
        <w:autoSpaceDE w:val="0"/>
        <w:autoSpaceDN w:val="0"/>
        <w:adjustRightInd w:val="0"/>
        <w:spacing w:line="480" w:lineRule="auto"/>
        <w:contextualSpacing/>
        <w:rPr>
          <w:lang w:val="en-US"/>
        </w:rPr>
      </w:pPr>
      <w:r w:rsidRPr="000804FA">
        <w:rPr>
          <w:lang w:val="en-US"/>
        </w:rPr>
        <w:t>20.</w:t>
      </w:r>
      <w:r w:rsidRPr="000804FA">
        <w:rPr>
          <w:lang w:val="en-US"/>
        </w:rPr>
        <w:tab/>
        <w:t xml:space="preserve">Vely M, L’official G, Galli E, et al. Functional tricuspid regurgitation: A clustering analysis and prognostic validation of three echocardiographic phenotypes in an external cohort. Int J Cardiol. 2022;S0167-5273(22)01088-9. </w:t>
      </w:r>
    </w:p>
    <w:p w14:paraId="25C33883" w14:textId="16463BA9" w:rsidR="00D00075" w:rsidRPr="000804FA" w:rsidRDefault="00D00075" w:rsidP="000804FA">
      <w:pPr>
        <w:widowControl w:val="0"/>
        <w:autoSpaceDE w:val="0"/>
        <w:autoSpaceDN w:val="0"/>
        <w:adjustRightInd w:val="0"/>
        <w:spacing w:line="480" w:lineRule="auto"/>
        <w:contextualSpacing/>
      </w:pPr>
      <w:r w:rsidRPr="000804FA">
        <w:rPr>
          <w:lang w:val="en-US"/>
        </w:rPr>
        <w:t>21.</w:t>
      </w:r>
      <w:r w:rsidRPr="000804FA">
        <w:rPr>
          <w:lang w:val="en-US"/>
        </w:rPr>
        <w:tab/>
        <w:t xml:space="preserve">Pibarot P, Dumesnil JG. Prosthetic heart valves: selection of the optimal prosthesis and long-term management. </w:t>
      </w:r>
      <w:r w:rsidRPr="000804FA">
        <w:t xml:space="preserve">Circulation. 2009;119:1034–48. </w:t>
      </w:r>
    </w:p>
    <w:p w14:paraId="688A73F1" w14:textId="10AFC011" w:rsidR="004D1A32" w:rsidRDefault="004D1A32" w:rsidP="000804FA">
      <w:pPr>
        <w:spacing w:after="120" w:line="480" w:lineRule="auto"/>
        <w:contextualSpacing/>
        <w:jc w:val="both"/>
        <w:rPr>
          <w:b/>
          <w:lang w:val="en-CA"/>
        </w:rPr>
      </w:pPr>
      <w:r w:rsidRPr="000804FA">
        <w:rPr>
          <w:bCs/>
          <w:lang w:val="en-CA"/>
        </w:rPr>
        <w:fldChar w:fldCharType="end"/>
      </w:r>
    </w:p>
    <w:p w14:paraId="1A635F03" w14:textId="77777777" w:rsidR="0074589F" w:rsidRDefault="0074589F">
      <w:pPr>
        <w:spacing w:after="160" w:line="259" w:lineRule="auto"/>
        <w:rPr>
          <w:b/>
          <w:lang w:val="en-CA"/>
        </w:rPr>
      </w:pPr>
      <w:r>
        <w:rPr>
          <w:b/>
          <w:lang w:val="en-CA"/>
        </w:rPr>
        <w:br w:type="page"/>
      </w:r>
    </w:p>
    <w:p w14:paraId="4E108ABE" w14:textId="05F17007" w:rsidR="001D4EC7" w:rsidRDefault="001D4EC7" w:rsidP="0049088F">
      <w:pPr>
        <w:spacing w:after="160" w:line="259" w:lineRule="auto"/>
        <w:rPr>
          <w:b/>
          <w:lang w:val="en-CA"/>
        </w:rPr>
      </w:pPr>
      <w:r w:rsidRPr="001D4EC7">
        <w:rPr>
          <w:b/>
          <w:lang w:val="en-CA"/>
        </w:rPr>
        <w:lastRenderedPageBreak/>
        <w:t>FIGURE</w:t>
      </w:r>
      <w:r w:rsidR="0074589F">
        <w:rPr>
          <w:b/>
          <w:lang w:val="en-CA"/>
        </w:rPr>
        <w:t xml:space="preserve"> </w:t>
      </w:r>
      <w:r w:rsidRPr="001D4EC7">
        <w:rPr>
          <w:b/>
          <w:lang w:val="en-CA"/>
        </w:rPr>
        <w:t>LEGEND</w:t>
      </w:r>
      <w:r w:rsidR="0074589F">
        <w:rPr>
          <w:b/>
          <w:lang w:val="en-CA"/>
        </w:rPr>
        <w:t>S</w:t>
      </w:r>
    </w:p>
    <w:p w14:paraId="4031C8B8" w14:textId="0B09A991" w:rsidR="00D52517" w:rsidRDefault="00D52517" w:rsidP="00BE2F9A">
      <w:pPr>
        <w:spacing w:line="480" w:lineRule="auto"/>
        <w:jc w:val="both"/>
        <w:rPr>
          <w:b/>
          <w:lang w:val="en-CA"/>
        </w:rPr>
      </w:pPr>
    </w:p>
    <w:p w14:paraId="75015F52" w14:textId="0F228FDA" w:rsidR="00D52517" w:rsidRDefault="00D52517" w:rsidP="00964FF4">
      <w:pPr>
        <w:spacing w:after="120" w:line="480" w:lineRule="auto"/>
        <w:jc w:val="both"/>
        <w:rPr>
          <w:b/>
          <w:bCs/>
          <w:lang w:val="en-US"/>
        </w:rPr>
      </w:pPr>
      <w:r>
        <w:rPr>
          <w:b/>
          <w:bCs/>
          <w:lang w:val="en-US"/>
        </w:rPr>
        <w:t xml:space="preserve">Figure </w:t>
      </w:r>
      <w:r w:rsidR="000263E4">
        <w:rPr>
          <w:b/>
          <w:bCs/>
          <w:lang w:val="en-US"/>
        </w:rPr>
        <w:t>1</w:t>
      </w:r>
      <w:r w:rsidRPr="004B22FA">
        <w:rPr>
          <w:b/>
          <w:bCs/>
          <w:lang w:val="en-CA"/>
        </w:rPr>
        <w:t xml:space="preserve">. Management of patients with severe </w:t>
      </w:r>
      <w:r>
        <w:rPr>
          <w:b/>
          <w:bCs/>
          <w:lang w:val="en-US"/>
        </w:rPr>
        <w:t>aortic stenosis</w:t>
      </w:r>
    </w:p>
    <w:p w14:paraId="71F8B5F4" w14:textId="3A4EE475" w:rsidR="00964FF4" w:rsidRPr="00BE2F9A" w:rsidRDefault="00BE2F9A" w:rsidP="00964FF4">
      <w:pPr>
        <w:spacing w:after="120" w:line="480" w:lineRule="auto"/>
        <w:jc w:val="both"/>
        <w:rPr>
          <w:lang w:val="en-US"/>
        </w:rPr>
      </w:pPr>
      <w:r>
        <w:rPr>
          <w:lang w:val="en-US"/>
        </w:rPr>
        <w:t xml:space="preserve">Management of patients with severe aortic stenosis based on symptoms and echocardiography according to </w:t>
      </w:r>
      <w:r w:rsidR="00E915D2">
        <w:rPr>
          <w:lang w:val="en-US"/>
        </w:rPr>
        <w:t xml:space="preserve">American and </w:t>
      </w:r>
      <w:r>
        <w:rPr>
          <w:lang w:val="en-US"/>
        </w:rPr>
        <w:t xml:space="preserve">European guidelines. </w:t>
      </w:r>
    </w:p>
    <w:p w14:paraId="32E174B8" w14:textId="77777777" w:rsidR="00BB3271" w:rsidRDefault="00BB3271" w:rsidP="00964FF4">
      <w:pPr>
        <w:spacing w:after="120" w:line="480" w:lineRule="auto"/>
        <w:jc w:val="both"/>
        <w:rPr>
          <w:b/>
          <w:bCs/>
          <w:lang w:val="en-CA"/>
        </w:rPr>
      </w:pPr>
    </w:p>
    <w:p w14:paraId="2E185718" w14:textId="57675980" w:rsidR="000263E4" w:rsidRDefault="000263E4" w:rsidP="00964FF4">
      <w:pPr>
        <w:spacing w:after="120" w:line="480" w:lineRule="auto"/>
        <w:jc w:val="both"/>
        <w:rPr>
          <w:rFonts w:eastAsiaTheme="minorHAnsi"/>
          <w:b/>
          <w:bCs/>
          <w:lang w:val="en-US" w:eastAsia="en-US"/>
        </w:rPr>
      </w:pPr>
      <w:r w:rsidRPr="004B22FA">
        <w:rPr>
          <w:b/>
          <w:bCs/>
          <w:lang w:val="en-CA"/>
        </w:rPr>
        <w:t>F</w:t>
      </w:r>
      <w:proofErr w:type="spellStart"/>
      <w:r>
        <w:rPr>
          <w:b/>
          <w:bCs/>
          <w:lang w:val="en-US"/>
        </w:rPr>
        <w:t>igure</w:t>
      </w:r>
      <w:proofErr w:type="spellEnd"/>
      <w:r w:rsidRPr="004B22FA">
        <w:rPr>
          <w:b/>
          <w:bCs/>
          <w:lang w:val="en-CA"/>
        </w:rPr>
        <w:t xml:space="preserve"> </w:t>
      </w:r>
      <w:r>
        <w:rPr>
          <w:b/>
          <w:bCs/>
          <w:lang w:val="en-US"/>
        </w:rPr>
        <w:t>2</w:t>
      </w:r>
      <w:r w:rsidRPr="004B22FA">
        <w:rPr>
          <w:b/>
          <w:bCs/>
          <w:lang w:val="en-CA"/>
        </w:rPr>
        <w:t xml:space="preserve">. </w:t>
      </w:r>
      <w:r w:rsidRPr="00D52517">
        <w:rPr>
          <w:b/>
          <w:bCs/>
          <w:lang w:val="en-US"/>
        </w:rPr>
        <w:t xml:space="preserve">Mode of intervention </w:t>
      </w:r>
      <w:r w:rsidRPr="00D52517">
        <w:rPr>
          <w:rFonts w:eastAsiaTheme="minorHAnsi"/>
          <w:b/>
          <w:bCs/>
          <w:lang w:val="en-US" w:eastAsia="en-US"/>
        </w:rPr>
        <w:t xml:space="preserve">when AVR is </w:t>
      </w:r>
      <w:r>
        <w:rPr>
          <w:rFonts w:eastAsiaTheme="minorHAnsi"/>
          <w:b/>
          <w:bCs/>
          <w:lang w:val="en-US" w:eastAsia="en-US"/>
        </w:rPr>
        <w:t>i</w:t>
      </w:r>
      <w:r w:rsidRPr="00D52517">
        <w:rPr>
          <w:rFonts w:eastAsiaTheme="minorHAnsi"/>
          <w:b/>
          <w:bCs/>
          <w:lang w:val="en-US" w:eastAsia="en-US"/>
        </w:rPr>
        <w:t>ndicated for</w:t>
      </w:r>
      <w:r>
        <w:rPr>
          <w:rFonts w:eastAsiaTheme="minorHAnsi"/>
          <w:b/>
          <w:bCs/>
          <w:lang w:val="en-US" w:eastAsia="en-US"/>
        </w:rPr>
        <w:t xml:space="preserve"> aortic </w:t>
      </w:r>
      <w:proofErr w:type="gramStart"/>
      <w:r>
        <w:rPr>
          <w:rFonts w:eastAsiaTheme="minorHAnsi"/>
          <w:b/>
          <w:bCs/>
          <w:lang w:val="en-US" w:eastAsia="en-US"/>
        </w:rPr>
        <w:t>stenosis</w:t>
      </w:r>
      <w:proofErr w:type="gramEnd"/>
    </w:p>
    <w:p w14:paraId="0499A187" w14:textId="2B8D8DDB" w:rsidR="00BE2F9A" w:rsidRDefault="00BE2F9A" w:rsidP="00964FF4">
      <w:pPr>
        <w:spacing w:after="120" w:line="480" w:lineRule="auto"/>
        <w:jc w:val="both"/>
        <w:rPr>
          <w:lang w:val="en-US"/>
        </w:rPr>
      </w:pPr>
      <w:r>
        <w:rPr>
          <w:lang w:val="en-US"/>
        </w:rPr>
        <w:t>Mode of intervention for aortic stenosis according to</w:t>
      </w:r>
      <w:r w:rsidR="00E915D2">
        <w:rPr>
          <w:lang w:val="en-US"/>
        </w:rPr>
        <w:t xml:space="preserve"> American and</w:t>
      </w:r>
      <w:r>
        <w:rPr>
          <w:lang w:val="en-US"/>
        </w:rPr>
        <w:t xml:space="preserve"> European guidelines. </w:t>
      </w:r>
    </w:p>
    <w:p w14:paraId="61E0598F" w14:textId="77777777" w:rsidR="00BB3271" w:rsidRDefault="00BB3271" w:rsidP="00964FF4">
      <w:pPr>
        <w:spacing w:after="120" w:line="480" w:lineRule="auto"/>
        <w:jc w:val="both"/>
        <w:rPr>
          <w:b/>
          <w:bCs/>
          <w:lang w:val="en-CA"/>
        </w:rPr>
      </w:pPr>
    </w:p>
    <w:p w14:paraId="13C33C16" w14:textId="7B896B25" w:rsidR="000263E4" w:rsidRDefault="000263E4" w:rsidP="00964FF4">
      <w:pPr>
        <w:spacing w:after="120" w:line="480" w:lineRule="auto"/>
        <w:jc w:val="both"/>
        <w:rPr>
          <w:b/>
          <w:bCs/>
          <w:lang w:val="en-CA"/>
        </w:rPr>
      </w:pPr>
      <w:r w:rsidRPr="004B22FA">
        <w:rPr>
          <w:b/>
          <w:bCs/>
          <w:lang w:val="en-CA"/>
        </w:rPr>
        <w:t xml:space="preserve">Figure </w:t>
      </w:r>
      <w:r>
        <w:rPr>
          <w:b/>
          <w:bCs/>
          <w:lang w:val="en-US"/>
        </w:rPr>
        <w:t>3</w:t>
      </w:r>
      <w:r w:rsidRPr="004B22FA">
        <w:rPr>
          <w:b/>
          <w:bCs/>
          <w:lang w:val="en-CA"/>
        </w:rPr>
        <w:t>. Management of patients with severe primary mitral regurgitation</w:t>
      </w:r>
    </w:p>
    <w:p w14:paraId="0DE5981A" w14:textId="3C88ACAD" w:rsidR="00BE2F9A" w:rsidRPr="00BE2F9A" w:rsidRDefault="00BE2F9A" w:rsidP="00964FF4">
      <w:pPr>
        <w:spacing w:after="120" w:line="480" w:lineRule="auto"/>
        <w:jc w:val="both"/>
        <w:rPr>
          <w:lang w:val="en-CA"/>
        </w:rPr>
      </w:pPr>
      <w:r w:rsidRPr="00BE2F9A">
        <w:rPr>
          <w:lang w:val="en-CA"/>
        </w:rPr>
        <w:t xml:space="preserve">Management of patient with severe primary mitral regurgitation </w:t>
      </w:r>
      <w:r w:rsidR="008F68AC">
        <w:rPr>
          <w:lang w:val="en-CA"/>
        </w:rPr>
        <w:t>according to</w:t>
      </w:r>
      <w:r w:rsidRPr="00BE2F9A">
        <w:rPr>
          <w:lang w:val="en-CA"/>
        </w:rPr>
        <w:t xml:space="preserve"> the existence of symptoms and/or LV dysfunction.</w:t>
      </w:r>
      <w:r>
        <w:rPr>
          <w:lang w:val="en-CA"/>
        </w:rPr>
        <w:t xml:space="preserve"> </w:t>
      </w:r>
    </w:p>
    <w:p w14:paraId="247665C1" w14:textId="77777777" w:rsidR="00BB3271" w:rsidRDefault="00BB3271" w:rsidP="00964FF4">
      <w:pPr>
        <w:spacing w:after="120" w:line="480" w:lineRule="auto"/>
        <w:jc w:val="both"/>
        <w:rPr>
          <w:b/>
          <w:bCs/>
          <w:lang w:val="en-CA"/>
        </w:rPr>
      </w:pPr>
    </w:p>
    <w:p w14:paraId="7C6867B4" w14:textId="0631181B" w:rsidR="000263E4" w:rsidRPr="004B22FA" w:rsidRDefault="000263E4" w:rsidP="00964FF4">
      <w:pPr>
        <w:spacing w:after="120" w:line="480" w:lineRule="auto"/>
        <w:jc w:val="both"/>
        <w:rPr>
          <w:b/>
          <w:bCs/>
          <w:lang w:val="en-CA"/>
        </w:rPr>
      </w:pPr>
      <w:r w:rsidRPr="004B22FA">
        <w:rPr>
          <w:b/>
          <w:bCs/>
          <w:lang w:val="en-CA"/>
        </w:rPr>
        <w:t xml:space="preserve">Figure </w:t>
      </w:r>
      <w:r>
        <w:rPr>
          <w:b/>
          <w:bCs/>
          <w:lang w:val="en-US"/>
        </w:rPr>
        <w:t>4</w:t>
      </w:r>
      <w:r w:rsidRPr="004B22FA">
        <w:rPr>
          <w:b/>
          <w:bCs/>
          <w:lang w:val="en-CA"/>
        </w:rPr>
        <w:t>. Management of patients with severe secondary mitral regurgitation</w:t>
      </w:r>
    </w:p>
    <w:p w14:paraId="76C4D193" w14:textId="5F865334" w:rsidR="00BE2F9A" w:rsidRDefault="00BE2F9A" w:rsidP="00964FF4">
      <w:pPr>
        <w:spacing w:after="120" w:line="480" w:lineRule="auto"/>
        <w:jc w:val="both"/>
        <w:rPr>
          <w:lang w:val="en-CA"/>
        </w:rPr>
      </w:pPr>
      <w:r w:rsidRPr="00BE2F9A">
        <w:rPr>
          <w:lang w:val="en-CA"/>
        </w:rPr>
        <w:t xml:space="preserve">Management of patient with severe primary </w:t>
      </w:r>
      <w:r w:rsidR="00964FF4">
        <w:rPr>
          <w:lang w:val="en-CA"/>
        </w:rPr>
        <w:t xml:space="preserve">secondary </w:t>
      </w:r>
      <w:r w:rsidRPr="00BE2F9A">
        <w:rPr>
          <w:lang w:val="en-CA"/>
        </w:rPr>
        <w:t xml:space="preserve">regurgitation </w:t>
      </w:r>
      <w:r w:rsidR="008F68AC">
        <w:rPr>
          <w:lang w:val="en-CA"/>
        </w:rPr>
        <w:t>according to</w:t>
      </w:r>
      <w:r>
        <w:rPr>
          <w:lang w:val="en-CA"/>
        </w:rPr>
        <w:t xml:space="preserve"> the need for other cardiac surgery, the existence of symptoms and</w:t>
      </w:r>
      <w:r w:rsidRPr="00BE2F9A">
        <w:rPr>
          <w:lang w:val="en-CA"/>
        </w:rPr>
        <w:t xml:space="preserve"> the </w:t>
      </w:r>
      <w:r>
        <w:rPr>
          <w:lang w:val="en-CA"/>
        </w:rPr>
        <w:t xml:space="preserve">surgical risk. </w:t>
      </w:r>
    </w:p>
    <w:p w14:paraId="04CBDC9D" w14:textId="77777777" w:rsidR="00BB3271" w:rsidRDefault="00BB3271" w:rsidP="00964FF4">
      <w:pPr>
        <w:spacing w:after="120" w:line="480" w:lineRule="auto"/>
        <w:jc w:val="both"/>
        <w:rPr>
          <w:b/>
          <w:bCs/>
          <w:lang w:val="en-CA"/>
        </w:rPr>
      </w:pPr>
    </w:p>
    <w:p w14:paraId="5731D4CE" w14:textId="16F9B61B" w:rsidR="00964FF4" w:rsidRDefault="00794A72" w:rsidP="00964FF4">
      <w:pPr>
        <w:spacing w:after="120" w:line="480" w:lineRule="auto"/>
        <w:jc w:val="both"/>
        <w:rPr>
          <w:lang w:val="en-CA"/>
        </w:rPr>
      </w:pPr>
      <w:r w:rsidRPr="00964FF4">
        <w:rPr>
          <w:b/>
          <w:bCs/>
          <w:lang w:val="en-CA"/>
        </w:rPr>
        <w:t xml:space="preserve">Figure </w:t>
      </w:r>
      <w:r w:rsidRPr="00964FF4">
        <w:rPr>
          <w:b/>
          <w:bCs/>
          <w:lang w:val="en-US"/>
        </w:rPr>
        <w:t>5</w:t>
      </w:r>
      <w:r w:rsidRPr="00964FF4">
        <w:rPr>
          <w:b/>
          <w:bCs/>
          <w:lang w:val="en-CA"/>
        </w:rPr>
        <w:t xml:space="preserve">. Management of patients with severe </w:t>
      </w:r>
      <w:r w:rsidRPr="00964FF4">
        <w:rPr>
          <w:b/>
          <w:bCs/>
          <w:lang w:val="en-US"/>
        </w:rPr>
        <w:t>primary tricuspid regurgitation</w:t>
      </w:r>
    </w:p>
    <w:p w14:paraId="5A3FA749" w14:textId="5D78E69F" w:rsidR="00964FF4" w:rsidRPr="00964FF4" w:rsidRDefault="00964FF4" w:rsidP="00964FF4">
      <w:pPr>
        <w:spacing w:after="120" w:line="480" w:lineRule="auto"/>
        <w:jc w:val="both"/>
        <w:rPr>
          <w:lang w:val="en-CA"/>
        </w:rPr>
      </w:pPr>
      <w:r w:rsidRPr="00964FF4">
        <w:rPr>
          <w:lang w:val="en-CA"/>
        </w:rPr>
        <w:t xml:space="preserve">Management of patient with severe primary tricuspid regurgitation </w:t>
      </w:r>
      <w:r w:rsidR="008F68AC">
        <w:rPr>
          <w:lang w:val="en-CA"/>
        </w:rPr>
        <w:t xml:space="preserve">according to </w:t>
      </w:r>
      <w:r w:rsidRPr="00964FF4">
        <w:rPr>
          <w:lang w:val="en-CA"/>
        </w:rPr>
        <w:t xml:space="preserve">the need for other left-side cardiac surgery and the existence of symptoms. </w:t>
      </w:r>
    </w:p>
    <w:p w14:paraId="29F94B30" w14:textId="77777777" w:rsidR="00BB3271" w:rsidRDefault="00BB3271" w:rsidP="008F68AC">
      <w:pPr>
        <w:spacing w:after="120" w:line="480" w:lineRule="auto"/>
        <w:jc w:val="both"/>
        <w:rPr>
          <w:b/>
          <w:bCs/>
          <w:lang w:val="en-CA"/>
        </w:rPr>
      </w:pPr>
    </w:p>
    <w:p w14:paraId="3A36A8D0" w14:textId="77777777" w:rsidR="00BB3271" w:rsidRDefault="00BB3271" w:rsidP="008F68AC">
      <w:pPr>
        <w:spacing w:after="120" w:line="480" w:lineRule="auto"/>
        <w:jc w:val="both"/>
        <w:rPr>
          <w:b/>
          <w:bCs/>
          <w:lang w:val="en-CA"/>
        </w:rPr>
      </w:pPr>
    </w:p>
    <w:p w14:paraId="32569B50" w14:textId="5EE60ABC" w:rsidR="00BE2F9A" w:rsidRDefault="00794A72" w:rsidP="008F68AC">
      <w:pPr>
        <w:spacing w:after="120" w:line="480" w:lineRule="auto"/>
        <w:jc w:val="both"/>
        <w:rPr>
          <w:b/>
          <w:bCs/>
          <w:lang w:val="en-US"/>
        </w:rPr>
      </w:pPr>
      <w:r w:rsidRPr="004B22FA">
        <w:rPr>
          <w:b/>
          <w:bCs/>
          <w:lang w:val="en-CA"/>
        </w:rPr>
        <w:lastRenderedPageBreak/>
        <w:t xml:space="preserve">Figure </w:t>
      </w:r>
      <w:r>
        <w:rPr>
          <w:b/>
          <w:bCs/>
          <w:lang w:val="en-US"/>
        </w:rPr>
        <w:t>6</w:t>
      </w:r>
      <w:r w:rsidRPr="004B22FA">
        <w:rPr>
          <w:b/>
          <w:bCs/>
          <w:lang w:val="en-CA"/>
        </w:rPr>
        <w:t xml:space="preserve">. Management of patients with severe </w:t>
      </w:r>
      <w:r>
        <w:rPr>
          <w:b/>
          <w:bCs/>
          <w:lang w:val="en-US"/>
        </w:rPr>
        <w:t>secondary tricuspid regurgitation</w:t>
      </w:r>
    </w:p>
    <w:p w14:paraId="0A72875D" w14:textId="4C6B7D54" w:rsidR="008F68AC" w:rsidRPr="008F68AC" w:rsidRDefault="008F68AC" w:rsidP="008F68AC">
      <w:pPr>
        <w:spacing w:after="120" w:line="480" w:lineRule="auto"/>
        <w:jc w:val="both"/>
        <w:rPr>
          <w:lang w:val="en-CA"/>
        </w:rPr>
      </w:pPr>
      <w:r w:rsidRPr="008F68AC">
        <w:rPr>
          <w:lang w:val="en-CA"/>
        </w:rPr>
        <w:t>Management of patient with severe secondary tricuspid regurgitation according to the need for other left-side cardiac surgery and the existence of symptoms.</w:t>
      </w:r>
    </w:p>
    <w:p w14:paraId="6BCB1070" w14:textId="77777777" w:rsidR="00BB3271" w:rsidRDefault="00BB3271" w:rsidP="008F68AC">
      <w:pPr>
        <w:spacing w:after="120" w:line="480" w:lineRule="auto"/>
        <w:jc w:val="both"/>
        <w:rPr>
          <w:b/>
          <w:bCs/>
          <w:lang w:val="en-US"/>
        </w:rPr>
      </w:pPr>
    </w:p>
    <w:p w14:paraId="662832FE" w14:textId="0DA6932E" w:rsidR="00425C1F" w:rsidRPr="00842F6A" w:rsidRDefault="00BC5762" w:rsidP="008F68AC">
      <w:pPr>
        <w:spacing w:after="120" w:line="480" w:lineRule="auto"/>
        <w:jc w:val="both"/>
        <w:rPr>
          <w:b/>
          <w:bCs/>
          <w:lang w:val="en-US"/>
        </w:rPr>
      </w:pPr>
      <w:r>
        <w:rPr>
          <w:b/>
          <w:bCs/>
          <w:lang w:val="en-US"/>
        </w:rPr>
        <w:t>Central Illustration</w:t>
      </w:r>
      <w:r w:rsidR="008F68AC">
        <w:rPr>
          <w:b/>
          <w:bCs/>
          <w:lang w:val="en-US"/>
        </w:rPr>
        <w:t xml:space="preserve">. </w:t>
      </w:r>
      <w:r w:rsidR="0049088F">
        <w:rPr>
          <w:b/>
          <w:bCs/>
          <w:lang w:val="en-US"/>
        </w:rPr>
        <w:t>Comparison between guidelines in the management of valvular heart disease.</w:t>
      </w:r>
    </w:p>
    <w:p w14:paraId="252E4DB9" w14:textId="77777777" w:rsidR="000263E4" w:rsidRPr="004B22FA" w:rsidRDefault="000263E4" w:rsidP="000263E4">
      <w:pPr>
        <w:spacing w:line="480" w:lineRule="auto"/>
        <w:jc w:val="both"/>
        <w:rPr>
          <w:b/>
          <w:bCs/>
          <w:lang w:val="en-CA"/>
        </w:rPr>
      </w:pPr>
    </w:p>
    <w:p w14:paraId="6E57FC81" w14:textId="0F4C2984" w:rsidR="001D4EC7" w:rsidRDefault="001D4EC7" w:rsidP="0024724A">
      <w:pPr>
        <w:rPr>
          <w:b/>
          <w:lang w:val="en-CA"/>
        </w:rPr>
        <w:sectPr w:rsidR="001D4EC7" w:rsidSect="00A90198">
          <w:pgSz w:w="11906" w:h="16838"/>
          <w:pgMar w:top="1440" w:right="1440" w:bottom="1440" w:left="1440" w:header="709" w:footer="709" w:gutter="0"/>
          <w:cols w:space="708"/>
          <w:docGrid w:linePitch="360"/>
        </w:sectPr>
      </w:pPr>
    </w:p>
    <w:p w14:paraId="36E7BAD3" w14:textId="20DA3F87" w:rsidR="00A552B5" w:rsidRPr="008309AF" w:rsidRDefault="00A552B5" w:rsidP="0024724A">
      <w:pPr>
        <w:rPr>
          <w:b/>
          <w:lang w:val="en-CA"/>
        </w:rPr>
      </w:pPr>
      <w:r w:rsidRPr="008309AF">
        <w:rPr>
          <w:b/>
          <w:lang w:val="en-CA"/>
        </w:rPr>
        <w:lastRenderedPageBreak/>
        <w:t>TABLE 1</w:t>
      </w:r>
      <w:r w:rsidR="008309AF">
        <w:rPr>
          <w:b/>
          <w:lang w:val="en-CA"/>
        </w:rPr>
        <w:t>.</w:t>
      </w:r>
      <w:r w:rsidRPr="008309AF">
        <w:rPr>
          <w:b/>
          <w:lang w:val="en-CA"/>
        </w:rPr>
        <w:t xml:space="preserve"> </w:t>
      </w:r>
      <w:r w:rsidR="008309AF" w:rsidRPr="008309AF">
        <w:rPr>
          <w:rFonts w:eastAsiaTheme="minorHAnsi"/>
          <w:b/>
          <w:lang w:val="en-US" w:eastAsia="en-US"/>
        </w:rPr>
        <w:t xml:space="preserve">Selected </w:t>
      </w:r>
      <w:r w:rsidR="000A56C3">
        <w:rPr>
          <w:rFonts w:eastAsiaTheme="minorHAnsi"/>
          <w:b/>
          <w:lang w:val="en-US" w:eastAsia="en-US"/>
        </w:rPr>
        <w:t>r</w:t>
      </w:r>
      <w:r w:rsidR="008309AF" w:rsidRPr="008309AF">
        <w:rPr>
          <w:rFonts w:eastAsiaTheme="minorHAnsi"/>
          <w:b/>
          <w:lang w:val="en-US" w:eastAsia="en-US"/>
        </w:rPr>
        <w:t xml:space="preserve">ecommendations on </w:t>
      </w:r>
      <w:r w:rsidR="000A56C3">
        <w:rPr>
          <w:rFonts w:eastAsiaTheme="minorHAnsi"/>
          <w:b/>
          <w:lang w:val="en-US" w:eastAsia="en-US"/>
        </w:rPr>
        <w:t>m</w:t>
      </w:r>
      <w:r w:rsidR="008309AF" w:rsidRPr="008309AF">
        <w:rPr>
          <w:rFonts w:eastAsiaTheme="minorHAnsi"/>
          <w:b/>
          <w:lang w:val="en-US" w:eastAsia="en-US"/>
        </w:rPr>
        <w:t xml:space="preserve">anagement </w:t>
      </w:r>
      <w:r w:rsidR="002E59D0" w:rsidRPr="008309AF">
        <w:rPr>
          <w:b/>
          <w:lang w:val="en-CA"/>
        </w:rPr>
        <w:t>of Aortic Stenosis</w:t>
      </w:r>
    </w:p>
    <w:p w14:paraId="76D87D04" w14:textId="05F0059B" w:rsidR="000B2F5E" w:rsidRDefault="000B2F5E" w:rsidP="0024724A">
      <w:pPr>
        <w:rPr>
          <w:b/>
          <w:lang w:val="en-CA"/>
        </w:rPr>
      </w:pPr>
    </w:p>
    <w:tbl>
      <w:tblPr>
        <w:tblStyle w:val="TableGrid"/>
        <w:tblW w:w="14845" w:type="dxa"/>
        <w:jc w:val="center"/>
        <w:tblLook w:val="04A0" w:firstRow="1" w:lastRow="0" w:firstColumn="1" w:lastColumn="0" w:noHBand="0" w:noVBand="1"/>
      </w:tblPr>
      <w:tblGrid>
        <w:gridCol w:w="6385"/>
        <w:gridCol w:w="4230"/>
        <w:gridCol w:w="4230"/>
      </w:tblGrid>
      <w:tr w:rsidR="00C861F1" w:rsidRPr="00C861F1" w14:paraId="78EDEC5A" w14:textId="77777777" w:rsidTr="00C861F1">
        <w:trPr>
          <w:trHeight w:val="512"/>
          <w:jc w:val="center"/>
        </w:trPr>
        <w:tc>
          <w:tcPr>
            <w:tcW w:w="6385" w:type="dxa"/>
            <w:tcBorders>
              <w:top w:val="single" w:sz="4" w:space="0" w:color="auto"/>
              <w:left w:val="single" w:sz="4" w:space="0" w:color="auto"/>
              <w:bottom w:val="nil"/>
              <w:right w:val="nil"/>
            </w:tcBorders>
            <w:shd w:val="clear" w:color="auto" w:fill="auto"/>
            <w:vAlign w:val="center"/>
          </w:tcPr>
          <w:p w14:paraId="6F0D95DB" w14:textId="77777777" w:rsidR="001E27A0" w:rsidRPr="00C861F1" w:rsidRDefault="001E27A0" w:rsidP="0003657F">
            <w:pPr>
              <w:contextualSpacing/>
              <w:jc w:val="center"/>
              <w:rPr>
                <w:b/>
                <w:bCs/>
              </w:rPr>
            </w:pPr>
            <w:proofErr w:type="spellStart"/>
            <w:r w:rsidRPr="00C861F1">
              <w:rPr>
                <w:b/>
                <w:bCs/>
              </w:rPr>
              <w:t>Recommendation</w:t>
            </w:r>
            <w:proofErr w:type="spellEnd"/>
          </w:p>
        </w:tc>
        <w:tc>
          <w:tcPr>
            <w:tcW w:w="4230" w:type="dxa"/>
            <w:tcBorders>
              <w:top w:val="single" w:sz="4" w:space="0" w:color="auto"/>
              <w:left w:val="nil"/>
              <w:bottom w:val="nil"/>
              <w:right w:val="nil"/>
            </w:tcBorders>
            <w:vAlign w:val="center"/>
          </w:tcPr>
          <w:p w14:paraId="773AE412" w14:textId="77777777" w:rsidR="001E27A0" w:rsidRPr="00C861F1" w:rsidRDefault="001E27A0" w:rsidP="0003657F">
            <w:pPr>
              <w:contextualSpacing/>
              <w:jc w:val="center"/>
              <w:rPr>
                <w:b/>
                <w:bCs/>
                <w:lang w:val="en-US"/>
              </w:rPr>
            </w:pPr>
            <w:r w:rsidRPr="00C861F1">
              <w:rPr>
                <w:b/>
                <w:bCs/>
                <w:lang w:val="en-US"/>
              </w:rPr>
              <w:t xml:space="preserve">American </w:t>
            </w:r>
          </w:p>
        </w:tc>
        <w:tc>
          <w:tcPr>
            <w:tcW w:w="4230" w:type="dxa"/>
            <w:tcBorders>
              <w:top w:val="single" w:sz="4" w:space="0" w:color="auto"/>
              <w:left w:val="nil"/>
              <w:bottom w:val="nil"/>
              <w:right w:val="single" w:sz="4" w:space="0" w:color="auto"/>
            </w:tcBorders>
            <w:vAlign w:val="center"/>
          </w:tcPr>
          <w:p w14:paraId="294C8DF0" w14:textId="77777777" w:rsidR="001E27A0" w:rsidRPr="00C861F1" w:rsidRDefault="001E27A0" w:rsidP="0003657F">
            <w:pPr>
              <w:contextualSpacing/>
              <w:jc w:val="center"/>
              <w:rPr>
                <w:b/>
                <w:bCs/>
              </w:rPr>
            </w:pPr>
            <w:r w:rsidRPr="00C861F1">
              <w:rPr>
                <w:b/>
                <w:bCs/>
                <w:lang w:val="en-US"/>
              </w:rPr>
              <w:t>European</w:t>
            </w:r>
          </w:p>
        </w:tc>
      </w:tr>
      <w:tr w:rsidR="00C861F1" w:rsidRPr="00C861F1" w14:paraId="28D2FD13" w14:textId="77777777" w:rsidTr="00C861F1">
        <w:trPr>
          <w:trHeight w:val="256"/>
          <w:jc w:val="center"/>
        </w:trPr>
        <w:tc>
          <w:tcPr>
            <w:tcW w:w="6385" w:type="dxa"/>
            <w:tcBorders>
              <w:top w:val="nil"/>
              <w:left w:val="single" w:sz="4" w:space="0" w:color="auto"/>
              <w:bottom w:val="nil"/>
              <w:right w:val="nil"/>
            </w:tcBorders>
            <w:shd w:val="clear" w:color="auto" w:fill="D9E2F3" w:themeFill="accent5" w:themeFillTint="33"/>
          </w:tcPr>
          <w:p w14:paraId="5A91336D" w14:textId="77777777" w:rsidR="001E27A0" w:rsidRPr="00C861F1" w:rsidRDefault="001E27A0" w:rsidP="0003657F">
            <w:pPr>
              <w:pStyle w:val="NormalWeb"/>
              <w:snapToGrid w:val="0"/>
              <w:spacing w:before="0" w:beforeAutospacing="0" w:after="0" w:afterAutospacing="0"/>
              <w:contextualSpacing/>
              <w:jc w:val="both"/>
              <w:rPr>
                <w:bCs/>
              </w:rPr>
            </w:pPr>
            <w:r w:rsidRPr="00C861F1">
              <w:rPr>
                <w:bCs/>
              </w:rPr>
              <w:t>Symptoms and:</w:t>
            </w:r>
          </w:p>
        </w:tc>
        <w:tc>
          <w:tcPr>
            <w:tcW w:w="4230" w:type="dxa"/>
            <w:tcBorders>
              <w:top w:val="nil"/>
              <w:left w:val="nil"/>
              <w:bottom w:val="nil"/>
              <w:right w:val="nil"/>
            </w:tcBorders>
            <w:shd w:val="clear" w:color="auto" w:fill="auto"/>
          </w:tcPr>
          <w:p w14:paraId="0F6ECAD2" w14:textId="77777777" w:rsidR="001E27A0" w:rsidRPr="00C861F1" w:rsidRDefault="001E27A0" w:rsidP="0003657F">
            <w:pPr>
              <w:pStyle w:val="NormalWeb"/>
              <w:snapToGrid w:val="0"/>
              <w:spacing w:before="0" w:beforeAutospacing="0" w:after="0" w:afterAutospacing="0"/>
              <w:contextualSpacing/>
              <w:jc w:val="center"/>
              <w:rPr>
                <w:bCs/>
              </w:rPr>
            </w:pPr>
          </w:p>
        </w:tc>
        <w:tc>
          <w:tcPr>
            <w:tcW w:w="4230" w:type="dxa"/>
            <w:tcBorders>
              <w:top w:val="nil"/>
              <w:left w:val="nil"/>
              <w:bottom w:val="nil"/>
              <w:right w:val="single" w:sz="4" w:space="0" w:color="auto"/>
            </w:tcBorders>
            <w:shd w:val="clear" w:color="auto" w:fill="auto"/>
          </w:tcPr>
          <w:p w14:paraId="2867952F" w14:textId="77777777" w:rsidR="001E27A0" w:rsidRPr="00C861F1" w:rsidRDefault="001E27A0" w:rsidP="0003657F">
            <w:pPr>
              <w:pStyle w:val="NormalWeb"/>
              <w:snapToGrid w:val="0"/>
              <w:spacing w:before="0" w:beforeAutospacing="0" w:after="0" w:afterAutospacing="0"/>
              <w:contextualSpacing/>
              <w:jc w:val="center"/>
              <w:rPr>
                <w:bCs/>
              </w:rPr>
            </w:pPr>
          </w:p>
        </w:tc>
      </w:tr>
      <w:tr w:rsidR="000A56C3" w:rsidRPr="00C861F1" w14:paraId="701A0331" w14:textId="77777777" w:rsidTr="00C861F1">
        <w:trPr>
          <w:trHeight w:val="263"/>
          <w:jc w:val="center"/>
        </w:trPr>
        <w:tc>
          <w:tcPr>
            <w:tcW w:w="6385" w:type="dxa"/>
            <w:tcBorders>
              <w:top w:val="nil"/>
              <w:left w:val="single" w:sz="4" w:space="0" w:color="auto"/>
              <w:bottom w:val="nil"/>
              <w:right w:val="nil"/>
            </w:tcBorders>
            <w:shd w:val="clear" w:color="auto" w:fill="D9E2F3" w:themeFill="accent5" w:themeFillTint="33"/>
          </w:tcPr>
          <w:p w14:paraId="414382F1" w14:textId="77777777" w:rsidR="001E27A0" w:rsidRPr="00C861F1" w:rsidRDefault="001E27A0" w:rsidP="0003657F">
            <w:pPr>
              <w:jc w:val="both"/>
              <w:rPr>
                <w:bCs/>
                <w:lang w:val="en-CA"/>
              </w:rPr>
            </w:pPr>
            <w:r w:rsidRPr="00C861F1">
              <w:rPr>
                <w:bCs/>
                <w:lang w:val="en-CA"/>
              </w:rPr>
              <w:t xml:space="preserve">     </w:t>
            </w:r>
            <w:proofErr w:type="gramStart"/>
            <w:r w:rsidRPr="00C861F1">
              <w:rPr>
                <w:bCs/>
                <w:lang w:val="en-CA"/>
              </w:rPr>
              <w:t>high-gradient</w:t>
            </w:r>
            <w:proofErr w:type="gramEnd"/>
          </w:p>
        </w:tc>
        <w:tc>
          <w:tcPr>
            <w:tcW w:w="4230" w:type="dxa"/>
            <w:tcBorders>
              <w:top w:val="nil"/>
              <w:left w:val="nil"/>
              <w:bottom w:val="nil"/>
              <w:right w:val="nil"/>
            </w:tcBorders>
            <w:shd w:val="clear" w:color="auto" w:fill="92D050"/>
          </w:tcPr>
          <w:p w14:paraId="56032480" w14:textId="77777777" w:rsidR="001E27A0" w:rsidRPr="00C861F1" w:rsidRDefault="001E27A0" w:rsidP="0003657F">
            <w:pPr>
              <w:pStyle w:val="NormalWeb"/>
              <w:snapToGrid w:val="0"/>
              <w:spacing w:before="0" w:beforeAutospacing="0" w:after="0" w:afterAutospacing="0"/>
              <w:contextualSpacing/>
              <w:jc w:val="center"/>
              <w:rPr>
                <w:b/>
              </w:rPr>
            </w:pPr>
            <w:r w:rsidRPr="00C861F1">
              <w:rPr>
                <w:b/>
              </w:rPr>
              <w:t>I-A</w:t>
            </w:r>
          </w:p>
        </w:tc>
        <w:tc>
          <w:tcPr>
            <w:tcW w:w="4230" w:type="dxa"/>
            <w:tcBorders>
              <w:top w:val="nil"/>
              <w:left w:val="nil"/>
              <w:bottom w:val="nil"/>
              <w:right w:val="single" w:sz="4" w:space="0" w:color="auto"/>
            </w:tcBorders>
            <w:shd w:val="clear" w:color="auto" w:fill="92D050"/>
          </w:tcPr>
          <w:p w14:paraId="519C313E" w14:textId="77777777" w:rsidR="001E27A0" w:rsidRPr="00C861F1" w:rsidRDefault="001E27A0" w:rsidP="0003657F">
            <w:pPr>
              <w:pStyle w:val="NormalWeb"/>
              <w:snapToGrid w:val="0"/>
              <w:spacing w:before="0" w:beforeAutospacing="0" w:after="0" w:afterAutospacing="0"/>
              <w:contextualSpacing/>
              <w:jc w:val="center"/>
              <w:rPr>
                <w:b/>
              </w:rPr>
            </w:pPr>
            <w:r w:rsidRPr="00C861F1">
              <w:rPr>
                <w:b/>
              </w:rPr>
              <w:t>I-B</w:t>
            </w:r>
          </w:p>
        </w:tc>
      </w:tr>
      <w:tr w:rsidR="001E27A0" w:rsidRPr="00C861F1" w14:paraId="51470098" w14:textId="77777777" w:rsidTr="00C861F1">
        <w:trPr>
          <w:trHeight w:val="263"/>
          <w:jc w:val="center"/>
        </w:trPr>
        <w:tc>
          <w:tcPr>
            <w:tcW w:w="6385" w:type="dxa"/>
            <w:tcBorders>
              <w:top w:val="nil"/>
              <w:left w:val="single" w:sz="4" w:space="0" w:color="auto"/>
              <w:bottom w:val="nil"/>
              <w:right w:val="nil"/>
            </w:tcBorders>
            <w:shd w:val="clear" w:color="auto" w:fill="D9E2F3" w:themeFill="accent5" w:themeFillTint="33"/>
          </w:tcPr>
          <w:p w14:paraId="30F96FAE" w14:textId="77777777" w:rsidR="001E27A0" w:rsidRPr="00C861F1" w:rsidRDefault="001E27A0" w:rsidP="0003657F">
            <w:pPr>
              <w:jc w:val="both"/>
              <w:rPr>
                <w:bCs/>
                <w:lang w:val="en-US"/>
              </w:rPr>
            </w:pPr>
            <w:r w:rsidRPr="00C861F1">
              <w:rPr>
                <w:bCs/>
                <w:lang w:val="en-US"/>
              </w:rPr>
              <w:t xml:space="preserve">     LFLG, LVEF &lt;50% and flow reserve</w:t>
            </w:r>
          </w:p>
        </w:tc>
        <w:tc>
          <w:tcPr>
            <w:tcW w:w="4230" w:type="dxa"/>
            <w:tcBorders>
              <w:top w:val="nil"/>
              <w:left w:val="nil"/>
              <w:bottom w:val="nil"/>
              <w:right w:val="nil"/>
            </w:tcBorders>
            <w:shd w:val="clear" w:color="auto" w:fill="92D050"/>
          </w:tcPr>
          <w:p w14:paraId="6C3E29DE" w14:textId="77777777" w:rsidR="001E27A0" w:rsidRPr="00C861F1" w:rsidRDefault="001E27A0" w:rsidP="0003657F">
            <w:pPr>
              <w:pStyle w:val="NormalWeb"/>
              <w:snapToGrid w:val="0"/>
              <w:spacing w:before="0" w:beforeAutospacing="0" w:after="0" w:afterAutospacing="0"/>
              <w:contextualSpacing/>
              <w:jc w:val="center"/>
              <w:rPr>
                <w:b/>
              </w:rPr>
            </w:pPr>
            <w:r w:rsidRPr="00C861F1">
              <w:rPr>
                <w:b/>
              </w:rPr>
              <w:t>I-B</w:t>
            </w:r>
          </w:p>
        </w:tc>
        <w:tc>
          <w:tcPr>
            <w:tcW w:w="4230" w:type="dxa"/>
            <w:tcBorders>
              <w:top w:val="nil"/>
              <w:left w:val="nil"/>
              <w:bottom w:val="nil"/>
              <w:right w:val="single" w:sz="4" w:space="0" w:color="auto"/>
            </w:tcBorders>
            <w:shd w:val="clear" w:color="auto" w:fill="92D050"/>
          </w:tcPr>
          <w:p w14:paraId="27D92AAD" w14:textId="77777777" w:rsidR="001E27A0" w:rsidRPr="00C861F1" w:rsidRDefault="001E27A0" w:rsidP="0003657F">
            <w:pPr>
              <w:pStyle w:val="NormalWeb"/>
              <w:snapToGrid w:val="0"/>
              <w:spacing w:before="0" w:beforeAutospacing="0" w:after="0" w:afterAutospacing="0"/>
              <w:contextualSpacing/>
              <w:jc w:val="center"/>
              <w:rPr>
                <w:b/>
              </w:rPr>
            </w:pPr>
            <w:r w:rsidRPr="00C861F1">
              <w:rPr>
                <w:b/>
              </w:rPr>
              <w:t>I-B</w:t>
            </w:r>
          </w:p>
        </w:tc>
      </w:tr>
      <w:tr w:rsidR="001E27A0" w:rsidRPr="00C861F1" w14:paraId="31F65A89" w14:textId="77777777" w:rsidTr="00C861F1">
        <w:trPr>
          <w:trHeight w:val="263"/>
          <w:jc w:val="center"/>
        </w:trPr>
        <w:tc>
          <w:tcPr>
            <w:tcW w:w="6385" w:type="dxa"/>
            <w:tcBorders>
              <w:top w:val="nil"/>
              <w:left w:val="single" w:sz="4" w:space="0" w:color="auto"/>
              <w:bottom w:val="nil"/>
              <w:right w:val="nil"/>
            </w:tcBorders>
            <w:shd w:val="clear" w:color="auto" w:fill="D9E2F3" w:themeFill="accent5" w:themeFillTint="33"/>
          </w:tcPr>
          <w:p w14:paraId="2BEEA794" w14:textId="77777777" w:rsidR="001E27A0" w:rsidRPr="00C861F1" w:rsidRDefault="001E27A0" w:rsidP="0003657F">
            <w:pPr>
              <w:jc w:val="both"/>
              <w:rPr>
                <w:bCs/>
                <w:lang w:val="en-US"/>
              </w:rPr>
            </w:pPr>
            <w:r w:rsidRPr="00C861F1">
              <w:rPr>
                <w:bCs/>
                <w:lang w:val="en-US"/>
              </w:rPr>
              <w:t xml:space="preserve">     LFLG, LVEF &lt;50% and no flow reserve</w:t>
            </w:r>
          </w:p>
        </w:tc>
        <w:tc>
          <w:tcPr>
            <w:tcW w:w="4230" w:type="dxa"/>
            <w:tcBorders>
              <w:top w:val="nil"/>
              <w:left w:val="nil"/>
              <w:bottom w:val="nil"/>
              <w:right w:val="nil"/>
            </w:tcBorders>
            <w:shd w:val="clear" w:color="auto" w:fill="92D050"/>
          </w:tcPr>
          <w:p w14:paraId="7D9FA2DE" w14:textId="77777777" w:rsidR="001E27A0" w:rsidRPr="00C861F1" w:rsidRDefault="001E27A0" w:rsidP="0003657F">
            <w:pPr>
              <w:pStyle w:val="NormalWeb"/>
              <w:snapToGrid w:val="0"/>
              <w:spacing w:before="0" w:beforeAutospacing="0" w:after="0" w:afterAutospacing="0"/>
              <w:contextualSpacing/>
              <w:jc w:val="center"/>
              <w:rPr>
                <w:b/>
              </w:rPr>
            </w:pPr>
            <w:r w:rsidRPr="00C861F1">
              <w:rPr>
                <w:b/>
              </w:rPr>
              <w:t>I-B</w:t>
            </w:r>
          </w:p>
        </w:tc>
        <w:tc>
          <w:tcPr>
            <w:tcW w:w="4230" w:type="dxa"/>
            <w:tcBorders>
              <w:top w:val="nil"/>
              <w:left w:val="nil"/>
              <w:bottom w:val="nil"/>
              <w:right w:val="single" w:sz="4" w:space="0" w:color="auto"/>
            </w:tcBorders>
            <w:shd w:val="clear" w:color="auto" w:fill="FFFF00"/>
          </w:tcPr>
          <w:p w14:paraId="70381123" w14:textId="77777777" w:rsidR="001E27A0" w:rsidRPr="00C861F1" w:rsidRDefault="001E27A0" w:rsidP="0003657F">
            <w:pPr>
              <w:pStyle w:val="NormalWeb"/>
              <w:snapToGrid w:val="0"/>
              <w:spacing w:before="0" w:beforeAutospacing="0" w:after="0" w:afterAutospacing="0"/>
              <w:contextualSpacing/>
              <w:jc w:val="center"/>
              <w:rPr>
                <w:b/>
              </w:rPr>
            </w:pPr>
            <w:proofErr w:type="spellStart"/>
            <w:r w:rsidRPr="00C861F1">
              <w:rPr>
                <w:b/>
              </w:rPr>
              <w:t>IIa</w:t>
            </w:r>
            <w:proofErr w:type="spellEnd"/>
            <w:r w:rsidRPr="00C861F1">
              <w:rPr>
                <w:b/>
              </w:rPr>
              <w:t>-C</w:t>
            </w:r>
          </w:p>
        </w:tc>
      </w:tr>
      <w:tr w:rsidR="001E27A0" w:rsidRPr="00C861F1" w14:paraId="0C571927" w14:textId="77777777" w:rsidTr="00C861F1">
        <w:trPr>
          <w:trHeight w:val="263"/>
          <w:jc w:val="center"/>
        </w:trPr>
        <w:tc>
          <w:tcPr>
            <w:tcW w:w="6385" w:type="dxa"/>
            <w:tcBorders>
              <w:top w:val="nil"/>
              <w:left w:val="single" w:sz="4" w:space="0" w:color="auto"/>
              <w:bottom w:val="nil"/>
              <w:right w:val="nil"/>
            </w:tcBorders>
            <w:shd w:val="clear" w:color="auto" w:fill="D9E2F3" w:themeFill="accent5" w:themeFillTint="33"/>
          </w:tcPr>
          <w:p w14:paraId="52FC061F" w14:textId="77777777" w:rsidR="001E27A0" w:rsidRPr="00C861F1" w:rsidRDefault="001E27A0" w:rsidP="0003657F">
            <w:pPr>
              <w:jc w:val="both"/>
              <w:rPr>
                <w:bCs/>
                <w:lang w:val="en-US"/>
              </w:rPr>
            </w:pPr>
            <w:r w:rsidRPr="00C861F1">
              <w:rPr>
                <w:bCs/>
                <w:lang w:val="en-US"/>
              </w:rPr>
              <w:t xml:space="preserve">     LFLG, LVEF ≥50% </w:t>
            </w:r>
          </w:p>
        </w:tc>
        <w:tc>
          <w:tcPr>
            <w:tcW w:w="4230" w:type="dxa"/>
            <w:tcBorders>
              <w:top w:val="nil"/>
              <w:left w:val="nil"/>
              <w:bottom w:val="nil"/>
              <w:right w:val="nil"/>
            </w:tcBorders>
            <w:shd w:val="clear" w:color="auto" w:fill="92D050"/>
          </w:tcPr>
          <w:p w14:paraId="2983B0A0" w14:textId="77777777" w:rsidR="001E27A0" w:rsidRPr="00C861F1" w:rsidRDefault="001E27A0" w:rsidP="0003657F">
            <w:pPr>
              <w:pStyle w:val="NormalWeb"/>
              <w:snapToGrid w:val="0"/>
              <w:spacing w:before="0" w:beforeAutospacing="0" w:after="0" w:afterAutospacing="0"/>
              <w:contextualSpacing/>
              <w:jc w:val="center"/>
              <w:rPr>
                <w:b/>
              </w:rPr>
            </w:pPr>
            <w:r w:rsidRPr="00C861F1">
              <w:rPr>
                <w:b/>
              </w:rPr>
              <w:t>I-B</w:t>
            </w:r>
          </w:p>
        </w:tc>
        <w:tc>
          <w:tcPr>
            <w:tcW w:w="4230" w:type="dxa"/>
            <w:tcBorders>
              <w:top w:val="nil"/>
              <w:left w:val="nil"/>
              <w:bottom w:val="nil"/>
              <w:right w:val="single" w:sz="4" w:space="0" w:color="auto"/>
            </w:tcBorders>
            <w:shd w:val="clear" w:color="auto" w:fill="FFFF00"/>
          </w:tcPr>
          <w:p w14:paraId="3C1BAA0A" w14:textId="77777777" w:rsidR="001E27A0" w:rsidRPr="00C861F1" w:rsidRDefault="001E27A0" w:rsidP="0003657F">
            <w:pPr>
              <w:pStyle w:val="NormalWeb"/>
              <w:snapToGrid w:val="0"/>
              <w:spacing w:before="0" w:beforeAutospacing="0" w:after="0" w:afterAutospacing="0"/>
              <w:contextualSpacing/>
              <w:jc w:val="center"/>
              <w:rPr>
                <w:b/>
              </w:rPr>
            </w:pPr>
            <w:proofErr w:type="spellStart"/>
            <w:r w:rsidRPr="00C861F1">
              <w:rPr>
                <w:b/>
              </w:rPr>
              <w:t>IIa</w:t>
            </w:r>
            <w:proofErr w:type="spellEnd"/>
            <w:r w:rsidRPr="00C861F1">
              <w:rPr>
                <w:b/>
              </w:rPr>
              <w:t>-C</w:t>
            </w:r>
          </w:p>
        </w:tc>
      </w:tr>
      <w:tr w:rsidR="001E27A0" w:rsidRPr="00C861F1" w14:paraId="75A5570B" w14:textId="77777777" w:rsidTr="00C861F1">
        <w:trPr>
          <w:trHeight w:val="256"/>
          <w:jc w:val="center"/>
        </w:trPr>
        <w:tc>
          <w:tcPr>
            <w:tcW w:w="6385" w:type="dxa"/>
            <w:tcBorders>
              <w:top w:val="nil"/>
              <w:left w:val="single" w:sz="4" w:space="0" w:color="auto"/>
              <w:bottom w:val="nil"/>
              <w:right w:val="nil"/>
            </w:tcBorders>
            <w:shd w:val="clear" w:color="auto" w:fill="auto"/>
          </w:tcPr>
          <w:p w14:paraId="046CA6A4" w14:textId="77777777" w:rsidR="001E27A0" w:rsidRPr="00C861F1" w:rsidRDefault="001E27A0" w:rsidP="0003657F">
            <w:pPr>
              <w:pStyle w:val="NormalWeb"/>
              <w:spacing w:before="0" w:beforeAutospacing="0" w:after="0" w:afterAutospacing="0"/>
              <w:contextualSpacing/>
              <w:jc w:val="both"/>
              <w:rPr>
                <w:lang w:val="en-CA"/>
              </w:rPr>
            </w:pPr>
            <w:r w:rsidRPr="00C861F1">
              <w:rPr>
                <w:lang w:val="en-CA"/>
              </w:rPr>
              <w:t>No symptoms and:</w:t>
            </w:r>
          </w:p>
        </w:tc>
        <w:tc>
          <w:tcPr>
            <w:tcW w:w="4230" w:type="dxa"/>
            <w:tcBorders>
              <w:top w:val="nil"/>
              <w:left w:val="nil"/>
              <w:bottom w:val="nil"/>
              <w:right w:val="nil"/>
            </w:tcBorders>
            <w:shd w:val="clear" w:color="auto" w:fill="auto"/>
          </w:tcPr>
          <w:p w14:paraId="5741A144" w14:textId="77777777" w:rsidR="001E27A0" w:rsidRPr="00C861F1" w:rsidRDefault="001E27A0" w:rsidP="0003657F">
            <w:pPr>
              <w:pStyle w:val="NormalWeb"/>
              <w:snapToGrid w:val="0"/>
              <w:spacing w:before="0" w:beforeAutospacing="0" w:after="0" w:afterAutospacing="0"/>
              <w:contextualSpacing/>
              <w:jc w:val="center"/>
              <w:rPr>
                <w:bCs/>
              </w:rPr>
            </w:pPr>
          </w:p>
        </w:tc>
        <w:tc>
          <w:tcPr>
            <w:tcW w:w="4230" w:type="dxa"/>
            <w:tcBorders>
              <w:top w:val="nil"/>
              <w:left w:val="nil"/>
              <w:bottom w:val="nil"/>
              <w:right w:val="single" w:sz="4" w:space="0" w:color="auto"/>
            </w:tcBorders>
            <w:shd w:val="clear" w:color="auto" w:fill="auto"/>
          </w:tcPr>
          <w:p w14:paraId="0BD496AE" w14:textId="77777777" w:rsidR="001E27A0" w:rsidRPr="00C861F1" w:rsidRDefault="001E27A0" w:rsidP="0003657F">
            <w:pPr>
              <w:pStyle w:val="NormalWeb"/>
              <w:snapToGrid w:val="0"/>
              <w:spacing w:before="0" w:beforeAutospacing="0" w:after="0" w:afterAutospacing="0"/>
              <w:contextualSpacing/>
              <w:jc w:val="center"/>
              <w:rPr>
                <w:bCs/>
              </w:rPr>
            </w:pPr>
          </w:p>
        </w:tc>
      </w:tr>
      <w:tr w:rsidR="001E27A0" w:rsidRPr="00C861F1" w14:paraId="5F18B9D4" w14:textId="77777777" w:rsidTr="00C861F1">
        <w:trPr>
          <w:trHeight w:val="256"/>
          <w:jc w:val="center"/>
        </w:trPr>
        <w:tc>
          <w:tcPr>
            <w:tcW w:w="6385" w:type="dxa"/>
            <w:tcBorders>
              <w:top w:val="nil"/>
              <w:left w:val="single" w:sz="4" w:space="0" w:color="auto"/>
              <w:bottom w:val="nil"/>
              <w:right w:val="nil"/>
            </w:tcBorders>
            <w:shd w:val="clear" w:color="auto" w:fill="auto"/>
          </w:tcPr>
          <w:p w14:paraId="630925EC" w14:textId="77777777" w:rsidR="001E27A0" w:rsidRPr="00C861F1" w:rsidRDefault="001E27A0" w:rsidP="0003657F">
            <w:pPr>
              <w:pStyle w:val="NormalWeb"/>
              <w:spacing w:before="0" w:beforeAutospacing="0" w:after="0" w:afterAutospacing="0"/>
              <w:contextualSpacing/>
              <w:jc w:val="both"/>
              <w:rPr>
                <w:lang w:val="en-CA"/>
              </w:rPr>
            </w:pPr>
            <w:r w:rsidRPr="00C861F1">
              <w:rPr>
                <w:bCs/>
                <w:lang w:val="en-CA"/>
              </w:rPr>
              <w:t xml:space="preserve">     LVEF &lt;50%</w:t>
            </w:r>
          </w:p>
        </w:tc>
        <w:tc>
          <w:tcPr>
            <w:tcW w:w="4230" w:type="dxa"/>
            <w:tcBorders>
              <w:top w:val="nil"/>
              <w:left w:val="nil"/>
              <w:bottom w:val="nil"/>
              <w:right w:val="nil"/>
            </w:tcBorders>
            <w:shd w:val="clear" w:color="auto" w:fill="92D050"/>
          </w:tcPr>
          <w:p w14:paraId="7100C259" w14:textId="77777777" w:rsidR="001E27A0" w:rsidRPr="00C861F1" w:rsidRDefault="001E27A0" w:rsidP="0003657F">
            <w:pPr>
              <w:pStyle w:val="NormalWeb"/>
              <w:snapToGrid w:val="0"/>
              <w:spacing w:before="0" w:beforeAutospacing="0" w:after="0" w:afterAutospacing="0"/>
              <w:contextualSpacing/>
              <w:jc w:val="center"/>
              <w:rPr>
                <w:b/>
              </w:rPr>
            </w:pPr>
            <w:r w:rsidRPr="00C861F1">
              <w:rPr>
                <w:b/>
              </w:rPr>
              <w:t>I-B</w:t>
            </w:r>
          </w:p>
        </w:tc>
        <w:tc>
          <w:tcPr>
            <w:tcW w:w="4230" w:type="dxa"/>
            <w:tcBorders>
              <w:top w:val="nil"/>
              <w:left w:val="nil"/>
              <w:bottom w:val="nil"/>
              <w:right w:val="single" w:sz="4" w:space="0" w:color="auto"/>
            </w:tcBorders>
            <w:shd w:val="clear" w:color="auto" w:fill="92D050"/>
          </w:tcPr>
          <w:p w14:paraId="452CB496" w14:textId="77777777" w:rsidR="001E27A0" w:rsidRPr="00C861F1" w:rsidRDefault="001E27A0" w:rsidP="0003657F">
            <w:pPr>
              <w:pStyle w:val="NormalWeb"/>
              <w:snapToGrid w:val="0"/>
              <w:spacing w:before="0" w:beforeAutospacing="0" w:after="0" w:afterAutospacing="0"/>
              <w:contextualSpacing/>
              <w:jc w:val="center"/>
              <w:rPr>
                <w:b/>
              </w:rPr>
            </w:pPr>
            <w:r w:rsidRPr="00C861F1">
              <w:rPr>
                <w:b/>
              </w:rPr>
              <w:t>I-B</w:t>
            </w:r>
          </w:p>
        </w:tc>
      </w:tr>
      <w:tr w:rsidR="001E27A0" w:rsidRPr="00C861F1" w14:paraId="675DD278" w14:textId="77777777" w:rsidTr="00C861F1">
        <w:trPr>
          <w:trHeight w:val="256"/>
          <w:jc w:val="center"/>
        </w:trPr>
        <w:tc>
          <w:tcPr>
            <w:tcW w:w="6385" w:type="dxa"/>
            <w:tcBorders>
              <w:top w:val="nil"/>
              <w:left w:val="single" w:sz="4" w:space="0" w:color="auto"/>
              <w:bottom w:val="nil"/>
              <w:right w:val="nil"/>
            </w:tcBorders>
            <w:shd w:val="clear" w:color="auto" w:fill="auto"/>
          </w:tcPr>
          <w:p w14:paraId="529DE3F7" w14:textId="77777777" w:rsidR="001E27A0" w:rsidRPr="00C861F1" w:rsidRDefault="001E27A0" w:rsidP="0003657F">
            <w:pPr>
              <w:pStyle w:val="NormalWeb"/>
              <w:spacing w:before="0" w:beforeAutospacing="0" w:after="0" w:afterAutospacing="0"/>
              <w:contextualSpacing/>
              <w:jc w:val="both"/>
              <w:rPr>
                <w:bCs/>
              </w:rPr>
            </w:pPr>
            <w:r w:rsidRPr="00C861F1">
              <w:rPr>
                <w:bCs/>
              </w:rPr>
              <w:t xml:space="preserve">     LVEF </w:t>
            </w:r>
            <w:r w:rsidRPr="00C861F1">
              <w:rPr>
                <w:bCs/>
                <w:lang w:val="en-CA"/>
              </w:rPr>
              <w:t>&lt;55%</w:t>
            </w:r>
          </w:p>
        </w:tc>
        <w:tc>
          <w:tcPr>
            <w:tcW w:w="4230" w:type="dxa"/>
            <w:tcBorders>
              <w:top w:val="nil"/>
              <w:left w:val="nil"/>
              <w:bottom w:val="nil"/>
              <w:right w:val="nil"/>
            </w:tcBorders>
            <w:shd w:val="clear" w:color="auto" w:fill="auto"/>
          </w:tcPr>
          <w:p w14:paraId="0E3F4E6E" w14:textId="77777777" w:rsidR="001E27A0" w:rsidRPr="00C861F1" w:rsidRDefault="001E27A0" w:rsidP="0003657F">
            <w:pPr>
              <w:pStyle w:val="NormalWeb"/>
              <w:snapToGrid w:val="0"/>
              <w:spacing w:before="0" w:beforeAutospacing="0" w:after="0" w:afterAutospacing="0"/>
              <w:contextualSpacing/>
              <w:jc w:val="center"/>
              <w:rPr>
                <w:b/>
              </w:rPr>
            </w:pPr>
          </w:p>
        </w:tc>
        <w:tc>
          <w:tcPr>
            <w:tcW w:w="4230" w:type="dxa"/>
            <w:tcBorders>
              <w:top w:val="nil"/>
              <w:left w:val="nil"/>
              <w:bottom w:val="nil"/>
              <w:right w:val="single" w:sz="4" w:space="0" w:color="auto"/>
            </w:tcBorders>
            <w:shd w:val="clear" w:color="auto" w:fill="FFFF00"/>
          </w:tcPr>
          <w:p w14:paraId="2DB08151" w14:textId="77777777" w:rsidR="001E27A0" w:rsidRPr="00C861F1" w:rsidRDefault="001E27A0" w:rsidP="0003657F">
            <w:pPr>
              <w:pStyle w:val="NormalWeb"/>
              <w:snapToGrid w:val="0"/>
              <w:spacing w:before="0" w:beforeAutospacing="0" w:after="0" w:afterAutospacing="0"/>
              <w:contextualSpacing/>
              <w:jc w:val="center"/>
              <w:rPr>
                <w:bCs/>
              </w:rPr>
            </w:pPr>
            <w:proofErr w:type="spellStart"/>
            <w:r w:rsidRPr="00C861F1">
              <w:rPr>
                <w:b/>
              </w:rPr>
              <w:t>IIa</w:t>
            </w:r>
            <w:proofErr w:type="spellEnd"/>
            <w:r w:rsidRPr="00C861F1">
              <w:rPr>
                <w:b/>
              </w:rPr>
              <w:t>-B</w:t>
            </w:r>
          </w:p>
        </w:tc>
      </w:tr>
      <w:tr w:rsidR="000A56C3" w:rsidRPr="00C861F1" w14:paraId="5FED5DD6" w14:textId="77777777" w:rsidTr="00C861F1">
        <w:trPr>
          <w:trHeight w:val="256"/>
          <w:jc w:val="center"/>
        </w:trPr>
        <w:tc>
          <w:tcPr>
            <w:tcW w:w="6385" w:type="dxa"/>
            <w:tcBorders>
              <w:top w:val="nil"/>
              <w:left w:val="single" w:sz="4" w:space="0" w:color="auto"/>
              <w:bottom w:val="nil"/>
              <w:right w:val="nil"/>
            </w:tcBorders>
            <w:shd w:val="clear" w:color="auto" w:fill="auto"/>
          </w:tcPr>
          <w:p w14:paraId="156041D4" w14:textId="77777777" w:rsidR="001E27A0" w:rsidRPr="00C861F1" w:rsidRDefault="001E27A0" w:rsidP="0003657F">
            <w:pPr>
              <w:pStyle w:val="NormalWeb"/>
              <w:spacing w:before="0" w:beforeAutospacing="0" w:after="0" w:afterAutospacing="0"/>
              <w:contextualSpacing/>
              <w:jc w:val="both"/>
              <w:rPr>
                <w:bCs/>
              </w:rPr>
            </w:pPr>
            <w:r w:rsidRPr="00C861F1">
              <w:rPr>
                <w:bCs/>
              </w:rPr>
              <w:t xml:space="preserve">     LVEF </w:t>
            </w:r>
            <w:r w:rsidRPr="00C861F1">
              <w:rPr>
                <w:bCs/>
                <w:lang w:val="en-CA"/>
              </w:rPr>
              <w:t>&lt;60%</w:t>
            </w:r>
          </w:p>
        </w:tc>
        <w:tc>
          <w:tcPr>
            <w:tcW w:w="4230" w:type="dxa"/>
            <w:tcBorders>
              <w:top w:val="nil"/>
              <w:left w:val="nil"/>
              <w:bottom w:val="nil"/>
              <w:right w:val="nil"/>
            </w:tcBorders>
            <w:shd w:val="clear" w:color="auto" w:fill="FFC000"/>
          </w:tcPr>
          <w:p w14:paraId="28CA1BA3" w14:textId="77777777" w:rsidR="001E27A0" w:rsidRPr="00C861F1" w:rsidRDefault="001E27A0" w:rsidP="0003657F">
            <w:pPr>
              <w:pStyle w:val="NormalWeb"/>
              <w:snapToGrid w:val="0"/>
              <w:spacing w:before="0" w:beforeAutospacing="0" w:after="0" w:afterAutospacing="0"/>
              <w:contextualSpacing/>
              <w:jc w:val="center"/>
              <w:rPr>
                <w:b/>
              </w:rPr>
            </w:pPr>
            <w:r w:rsidRPr="00C861F1">
              <w:rPr>
                <w:b/>
              </w:rPr>
              <w:t xml:space="preserve">IIb-B </w:t>
            </w:r>
            <w:r w:rsidRPr="00C861F1">
              <w:rPr>
                <w:bCs/>
              </w:rPr>
              <w:t>(3 serial imaging)</w:t>
            </w:r>
          </w:p>
        </w:tc>
        <w:tc>
          <w:tcPr>
            <w:tcW w:w="4230" w:type="dxa"/>
            <w:tcBorders>
              <w:top w:val="nil"/>
              <w:left w:val="nil"/>
              <w:bottom w:val="nil"/>
              <w:right w:val="single" w:sz="4" w:space="0" w:color="auto"/>
            </w:tcBorders>
            <w:shd w:val="clear" w:color="auto" w:fill="auto"/>
          </w:tcPr>
          <w:p w14:paraId="6C9309D7" w14:textId="77777777" w:rsidR="001E27A0" w:rsidRPr="00C861F1" w:rsidRDefault="001E27A0" w:rsidP="0003657F">
            <w:pPr>
              <w:pStyle w:val="NormalWeb"/>
              <w:snapToGrid w:val="0"/>
              <w:spacing w:before="0" w:beforeAutospacing="0" w:after="0" w:afterAutospacing="0"/>
              <w:contextualSpacing/>
              <w:jc w:val="center"/>
              <w:rPr>
                <w:bCs/>
              </w:rPr>
            </w:pPr>
          </w:p>
        </w:tc>
      </w:tr>
      <w:tr w:rsidR="001E27A0" w:rsidRPr="00C861F1" w14:paraId="5B6D5E6B" w14:textId="77777777" w:rsidTr="00C861F1">
        <w:trPr>
          <w:trHeight w:val="256"/>
          <w:jc w:val="center"/>
        </w:trPr>
        <w:tc>
          <w:tcPr>
            <w:tcW w:w="6385" w:type="dxa"/>
            <w:tcBorders>
              <w:top w:val="nil"/>
              <w:left w:val="single" w:sz="4" w:space="0" w:color="auto"/>
              <w:bottom w:val="nil"/>
              <w:right w:val="nil"/>
            </w:tcBorders>
            <w:shd w:val="clear" w:color="auto" w:fill="D9E2F3" w:themeFill="accent5" w:themeFillTint="33"/>
          </w:tcPr>
          <w:p w14:paraId="3035C7C4" w14:textId="77777777" w:rsidR="001E27A0" w:rsidRPr="00C861F1" w:rsidRDefault="001E27A0" w:rsidP="0003657F">
            <w:pPr>
              <w:pStyle w:val="NormalWeb"/>
              <w:spacing w:before="0" w:beforeAutospacing="0" w:after="0" w:afterAutospacing="0"/>
              <w:contextualSpacing/>
              <w:jc w:val="both"/>
              <w:rPr>
                <w:lang w:val="en-CA"/>
              </w:rPr>
            </w:pPr>
            <w:r w:rsidRPr="00C861F1">
              <w:rPr>
                <w:lang w:val="en-CA"/>
              </w:rPr>
              <w:t>Symptoms on exercise test</w:t>
            </w:r>
          </w:p>
        </w:tc>
        <w:tc>
          <w:tcPr>
            <w:tcW w:w="4230" w:type="dxa"/>
            <w:tcBorders>
              <w:top w:val="nil"/>
              <w:left w:val="nil"/>
              <w:bottom w:val="nil"/>
              <w:right w:val="nil"/>
            </w:tcBorders>
            <w:shd w:val="clear" w:color="auto" w:fill="92D050"/>
          </w:tcPr>
          <w:p w14:paraId="1A3D68B2" w14:textId="77777777" w:rsidR="001E27A0" w:rsidRPr="00C861F1" w:rsidRDefault="001E27A0" w:rsidP="0003657F">
            <w:pPr>
              <w:pStyle w:val="NormalWeb"/>
              <w:snapToGrid w:val="0"/>
              <w:spacing w:before="0" w:beforeAutospacing="0" w:after="0" w:afterAutospacing="0"/>
              <w:contextualSpacing/>
              <w:jc w:val="center"/>
              <w:rPr>
                <w:b/>
              </w:rPr>
            </w:pPr>
            <w:r w:rsidRPr="00C861F1">
              <w:rPr>
                <w:b/>
              </w:rPr>
              <w:t>I-B</w:t>
            </w:r>
          </w:p>
        </w:tc>
        <w:tc>
          <w:tcPr>
            <w:tcW w:w="4230" w:type="dxa"/>
            <w:tcBorders>
              <w:top w:val="nil"/>
              <w:left w:val="nil"/>
              <w:bottom w:val="nil"/>
              <w:right w:val="single" w:sz="4" w:space="0" w:color="auto"/>
            </w:tcBorders>
            <w:shd w:val="clear" w:color="auto" w:fill="92D050"/>
          </w:tcPr>
          <w:p w14:paraId="40E63ADF" w14:textId="77777777" w:rsidR="001E27A0" w:rsidRPr="00C861F1" w:rsidRDefault="001E27A0" w:rsidP="0003657F">
            <w:pPr>
              <w:pStyle w:val="NormalWeb"/>
              <w:snapToGrid w:val="0"/>
              <w:spacing w:before="0" w:beforeAutospacing="0" w:after="0" w:afterAutospacing="0"/>
              <w:contextualSpacing/>
              <w:jc w:val="center"/>
              <w:rPr>
                <w:b/>
              </w:rPr>
            </w:pPr>
            <w:r w:rsidRPr="00C861F1">
              <w:rPr>
                <w:b/>
              </w:rPr>
              <w:t>I-B</w:t>
            </w:r>
          </w:p>
        </w:tc>
      </w:tr>
      <w:tr w:rsidR="001E27A0" w:rsidRPr="00C861F1" w14:paraId="183EE4F2" w14:textId="77777777" w:rsidTr="00C861F1">
        <w:trPr>
          <w:trHeight w:val="256"/>
          <w:jc w:val="center"/>
        </w:trPr>
        <w:tc>
          <w:tcPr>
            <w:tcW w:w="6385" w:type="dxa"/>
            <w:tcBorders>
              <w:top w:val="nil"/>
              <w:left w:val="single" w:sz="4" w:space="0" w:color="auto"/>
              <w:bottom w:val="nil"/>
              <w:right w:val="nil"/>
            </w:tcBorders>
            <w:shd w:val="clear" w:color="auto" w:fill="auto"/>
          </w:tcPr>
          <w:p w14:paraId="0DCC0DCF" w14:textId="77777777" w:rsidR="001E27A0" w:rsidRPr="00C861F1" w:rsidRDefault="001E27A0" w:rsidP="0003657F">
            <w:pPr>
              <w:pStyle w:val="NormalWeb"/>
              <w:spacing w:before="0" w:beforeAutospacing="0" w:after="0" w:afterAutospacing="0"/>
              <w:contextualSpacing/>
              <w:jc w:val="both"/>
              <w:rPr>
                <w:lang w:val="en-CA"/>
              </w:rPr>
            </w:pPr>
            <w:r w:rsidRPr="00C861F1">
              <w:rPr>
                <w:lang w:val="en-CA"/>
              </w:rPr>
              <w:t>Fall in SBP on exercise test</w:t>
            </w:r>
          </w:p>
        </w:tc>
        <w:tc>
          <w:tcPr>
            <w:tcW w:w="4230" w:type="dxa"/>
            <w:tcBorders>
              <w:top w:val="nil"/>
              <w:left w:val="nil"/>
              <w:bottom w:val="nil"/>
              <w:right w:val="nil"/>
            </w:tcBorders>
            <w:shd w:val="clear" w:color="auto" w:fill="FFFF00"/>
          </w:tcPr>
          <w:p w14:paraId="683A76FE" w14:textId="77777777" w:rsidR="001E27A0" w:rsidRPr="00C861F1" w:rsidRDefault="001E27A0" w:rsidP="0003657F">
            <w:pPr>
              <w:pStyle w:val="NormalWeb"/>
              <w:snapToGrid w:val="0"/>
              <w:spacing w:before="0" w:beforeAutospacing="0" w:after="0" w:afterAutospacing="0"/>
              <w:contextualSpacing/>
              <w:jc w:val="center"/>
              <w:rPr>
                <w:b/>
              </w:rPr>
            </w:pPr>
            <w:proofErr w:type="spellStart"/>
            <w:r w:rsidRPr="00C861F1">
              <w:rPr>
                <w:b/>
              </w:rPr>
              <w:t>IIa</w:t>
            </w:r>
            <w:proofErr w:type="spellEnd"/>
            <w:r w:rsidRPr="00C861F1">
              <w:rPr>
                <w:b/>
              </w:rPr>
              <w:t xml:space="preserve">-B </w:t>
            </w:r>
            <w:r w:rsidRPr="00C861F1">
              <w:rPr>
                <w:bCs/>
              </w:rPr>
              <w:t>(10mmHg)</w:t>
            </w:r>
          </w:p>
        </w:tc>
        <w:tc>
          <w:tcPr>
            <w:tcW w:w="4230" w:type="dxa"/>
            <w:tcBorders>
              <w:top w:val="nil"/>
              <w:left w:val="nil"/>
              <w:bottom w:val="nil"/>
              <w:right w:val="single" w:sz="4" w:space="0" w:color="auto"/>
            </w:tcBorders>
            <w:shd w:val="clear" w:color="auto" w:fill="FFFF00"/>
          </w:tcPr>
          <w:p w14:paraId="25F3E257" w14:textId="77777777" w:rsidR="001E27A0" w:rsidRPr="00C861F1" w:rsidRDefault="001E27A0" w:rsidP="0003657F">
            <w:pPr>
              <w:pStyle w:val="NormalWeb"/>
              <w:snapToGrid w:val="0"/>
              <w:spacing w:before="0" w:beforeAutospacing="0" w:after="0" w:afterAutospacing="0"/>
              <w:contextualSpacing/>
              <w:jc w:val="center"/>
              <w:rPr>
                <w:b/>
              </w:rPr>
            </w:pPr>
            <w:proofErr w:type="spellStart"/>
            <w:r w:rsidRPr="00C861F1">
              <w:rPr>
                <w:b/>
              </w:rPr>
              <w:t>IIa</w:t>
            </w:r>
            <w:proofErr w:type="spellEnd"/>
            <w:r w:rsidRPr="00C861F1">
              <w:rPr>
                <w:b/>
              </w:rPr>
              <w:t xml:space="preserve">-B </w:t>
            </w:r>
            <w:r w:rsidRPr="00C861F1">
              <w:rPr>
                <w:bCs/>
              </w:rPr>
              <w:t>(20mmHg)</w:t>
            </w:r>
          </w:p>
        </w:tc>
      </w:tr>
      <w:tr w:rsidR="001E27A0" w:rsidRPr="00C861F1" w14:paraId="6386FD1B" w14:textId="77777777" w:rsidTr="00C861F1">
        <w:trPr>
          <w:trHeight w:val="256"/>
          <w:jc w:val="center"/>
        </w:trPr>
        <w:tc>
          <w:tcPr>
            <w:tcW w:w="6385" w:type="dxa"/>
            <w:tcBorders>
              <w:top w:val="nil"/>
              <w:left w:val="single" w:sz="4" w:space="0" w:color="auto"/>
              <w:bottom w:val="nil"/>
              <w:right w:val="nil"/>
            </w:tcBorders>
            <w:shd w:val="clear" w:color="auto" w:fill="D9E2F3" w:themeFill="accent5" w:themeFillTint="33"/>
          </w:tcPr>
          <w:p w14:paraId="3FE1DA60" w14:textId="77777777" w:rsidR="001E27A0" w:rsidRPr="00C861F1" w:rsidRDefault="001E27A0" w:rsidP="0003657F">
            <w:pPr>
              <w:pStyle w:val="NormalWeb"/>
              <w:spacing w:before="0" w:beforeAutospacing="0" w:after="0" w:afterAutospacing="0"/>
              <w:contextualSpacing/>
              <w:jc w:val="both"/>
              <w:rPr>
                <w:lang w:val="en-CA"/>
              </w:rPr>
            </w:pPr>
            <w:r w:rsidRPr="00C861F1">
              <w:rPr>
                <w:lang w:val="en-CA"/>
              </w:rPr>
              <w:t>Very severe AS (Vmax ≥5m/s) and low risk</w:t>
            </w:r>
          </w:p>
        </w:tc>
        <w:tc>
          <w:tcPr>
            <w:tcW w:w="4230" w:type="dxa"/>
            <w:tcBorders>
              <w:top w:val="nil"/>
              <w:left w:val="nil"/>
              <w:bottom w:val="nil"/>
              <w:right w:val="nil"/>
            </w:tcBorders>
            <w:shd w:val="clear" w:color="auto" w:fill="FFFF00"/>
          </w:tcPr>
          <w:p w14:paraId="56837322" w14:textId="77777777" w:rsidR="001E27A0" w:rsidRPr="00C861F1" w:rsidRDefault="001E27A0" w:rsidP="0003657F">
            <w:pPr>
              <w:pStyle w:val="NormalWeb"/>
              <w:snapToGrid w:val="0"/>
              <w:spacing w:before="0" w:beforeAutospacing="0" w:after="0" w:afterAutospacing="0"/>
              <w:contextualSpacing/>
              <w:jc w:val="center"/>
              <w:rPr>
                <w:bCs/>
              </w:rPr>
            </w:pPr>
            <w:proofErr w:type="spellStart"/>
            <w:r w:rsidRPr="00C861F1">
              <w:rPr>
                <w:b/>
              </w:rPr>
              <w:t>IIa</w:t>
            </w:r>
            <w:proofErr w:type="spellEnd"/>
            <w:r w:rsidRPr="00C861F1">
              <w:rPr>
                <w:b/>
              </w:rPr>
              <w:t>-B</w:t>
            </w:r>
          </w:p>
        </w:tc>
        <w:tc>
          <w:tcPr>
            <w:tcW w:w="4230" w:type="dxa"/>
            <w:tcBorders>
              <w:top w:val="nil"/>
              <w:left w:val="nil"/>
              <w:bottom w:val="nil"/>
              <w:right w:val="single" w:sz="4" w:space="0" w:color="auto"/>
            </w:tcBorders>
            <w:shd w:val="clear" w:color="auto" w:fill="FFFF00"/>
          </w:tcPr>
          <w:p w14:paraId="0BE4CC87" w14:textId="77777777" w:rsidR="001E27A0" w:rsidRPr="00C861F1" w:rsidRDefault="001E27A0" w:rsidP="0003657F">
            <w:pPr>
              <w:pStyle w:val="NormalWeb"/>
              <w:snapToGrid w:val="0"/>
              <w:spacing w:before="0" w:beforeAutospacing="0" w:after="0" w:afterAutospacing="0"/>
              <w:contextualSpacing/>
              <w:jc w:val="center"/>
              <w:rPr>
                <w:bCs/>
              </w:rPr>
            </w:pPr>
            <w:proofErr w:type="spellStart"/>
            <w:r w:rsidRPr="00C861F1">
              <w:rPr>
                <w:b/>
              </w:rPr>
              <w:t>IIa</w:t>
            </w:r>
            <w:proofErr w:type="spellEnd"/>
            <w:r w:rsidRPr="00C861F1">
              <w:rPr>
                <w:b/>
              </w:rPr>
              <w:t>-B</w:t>
            </w:r>
          </w:p>
        </w:tc>
      </w:tr>
      <w:tr w:rsidR="001E27A0" w:rsidRPr="00D00075" w14:paraId="1F78D13B" w14:textId="77777777" w:rsidTr="00C861F1">
        <w:trPr>
          <w:trHeight w:val="256"/>
          <w:jc w:val="center"/>
        </w:trPr>
        <w:tc>
          <w:tcPr>
            <w:tcW w:w="6385" w:type="dxa"/>
            <w:tcBorders>
              <w:top w:val="nil"/>
              <w:left w:val="single" w:sz="4" w:space="0" w:color="auto"/>
              <w:bottom w:val="nil"/>
              <w:right w:val="nil"/>
            </w:tcBorders>
            <w:shd w:val="clear" w:color="auto" w:fill="auto"/>
          </w:tcPr>
          <w:p w14:paraId="4CA8D923" w14:textId="77777777" w:rsidR="001E27A0" w:rsidRPr="00C861F1" w:rsidRDefault="001E27A0" w:rsidP="0003657F">
            <w:pPr>
              <w:pStyle w:val="NormalWeb"/>
              <w:spacing w:before="0" w:beforeAutospacing="0" w:after="0" w:afterAutospacing="0"/>
              <w:contextualSpacing/>
              <w:jc w:val="both"/>
              <w:rPr>
                <w:lang w:val="en-CA"/>
              </w:rPr>
            </w:pPr>
            <w:r w:rsidRPr="00C861F1">
              <w:rPr>
                <w:lang w:val="en-CA"/>
              </w:rPr>
              <w:t>Vmax progression ≥0.3m/s per year</w:t>
            </w:r>
          </w:p>
        </w:tc>
        <w:tc>
          <w:tcPr>
            <w:tcW w:w="4230" w:type="dxa"/>
            <w:tcBorders>
              <w:top w:val="nil"/>
              <w:left w:val="nil"/>
              <w:bottom w:val="nil"/>
              <w:right w:val="nil"/>
            </w:tcBorders>
            <w:shd w:val="clear" w:color="auto" w:fill="FFFF00"/>
          </w:tcPr>
          <w:p w14:paraId="049EF5E0" w14:textId="77777777" w:rsidR="001E27A0" w:rsidRPr="00C861F1" w:rsidRDefault="001E27A0" w:rsidP="0003657F">
            <w:pPr>
              <w:pStyle w:val="NormalWeb"/>
              <w:snapToGrid w:val="0"/>
              <w:spacing w:before="0" w:beforeAutospacing="0" w:after="0" w:afterAutospacing="0"/>
              <w:contextualSpacing/>
              <w:jc w:val="center"/>
              <w:rPr>
                <w:bCs/>
              </w:rPr>
            </w:pPr>
            <w:proofErr w:type="spellStart"/>
            <w:r w:rsidRPr="00C861F1">
              <w:rPr>
                <w:b/>
              </w:rPr>
              <w:t>IIa</w:t>
            </w:r>
            <w:proofErr w:type="spellEnd"/>
            <w:r w:rsidRPr="00C861F1">
              <w:rPr>
                <w:b/>
              </w:rPr>
              <w:t xml:space="preserve">-B </w:t>
            </w:r>
            <w:r w:rsidRPr="00C861F1">
              <w:rPr>
                <w:bCs/>
              </w:rPr>
              <w:t>(high gradient)</w:t>
            </w:r>
          </w:p>
        </w:tc>
        <w:tc>
          <w:tcPr>
            <w:tcW w:w="4230" w:type="dxa"/>
            <w:tcBorders>
              <w:top w:val="nil"/>
              <w:left w:val="nil"/>
              <w:bottom w:val="nil"/>
              <w:right w:val="single" w:sz="4" w:space="0" w:color="auto"/>
            </w:tcBorders>
            <w:shd w:val="clear" w:color="auto" w:fill="FFFF00"/>
          </w:tcPr>
          <w:p w14:paraId="614B43E7" w14:textId="77777777" w:rsidR="001E27A0" w:rsidRPr="00C861F1" w:rsidRDefault="001E27A0" w:rsidP="0003657F">
            <w:pPr>
              <w:pStyle w:val="NormalWeb"/>
              <w:snapToGrid w:val="0"/>
              <w:spacing w:before="0" w:beforeAutospacing="0" w:after="0" w:afterAutospacing="0"/>
              <w:contextualSpacing/>
              <w:jc w:val="center"/>
              <w:rPr>
                <w:bCs/>
              </w:rPr>
            </w:pPr>
            <w:proofErr w:type="spellStart"/>
            <w:r w:rsidRPr="00C861F1">
              <w:rPr>
                <w:b/>
              </w:rPr>
              <w:t>IIa</w:t>
            </w:r>
            <w:proofErr w:type="spellEnd"/>
            <w:r w:rsidRPr="00C861F1">
              <w:rPr>
                <w:b/>
              </w:rPr>
              <w:t xml:space="preserve">-B </w:t>
            </w:r>
            <w:r w:rsidRPr="00C861F1">
              <w:rPr>
                <w:bCs/>
              </w:rPr>
              <w:t>(severe calcification and low risk)</w:t>
            </w:r>
          </w:p>
        </w:tc>
      </w:tr>
      <w:tr w:rsidR="001E27A0" w:rsidRPr="00C861F1" w14:paraId="3126AC00" w14:textId="77777777" w:rsidTr="00C861F1">
        <w:trPr>
          <w:trHeight w:val="256"/>
          <w:jc w:val="center"/>
        </w:trPr>
        <w:tc>
          <w:tcPr>
            <w:tcW w:w="6385" w:type="dxa"/>
            <w:tcBorders>
              <w:top w:val="nil"/>
              <w:left w:val="single" w:sz="4" w:space="0" w:color="auto"/>
              <w:bottom w:val="nil"/>
              <w:right w:val="nil"/>
            </w:tcBorders>
            <w:shd w:val="clear" w:color="auto" w:fill="D9E2F3" w:themeFill="accent5" w:themeFillTint="33"/>
          </w:tcPr>
          <w:p w14:paraId="78FF95E1" w14:textId="77777777" w:rsidR="001E27A0" w:rsidRPr="00C861F1" w:rsidRDefault="001E27A0" w:rsidP="0003657F">
            <w:pPr>
              <w:pStyle w:val="NormalWeb"/>
              <w:spacing w:before="0" w:beforeAutospacing="0" w:after="0" w:afterAutospacing="0"/>
              <w:contextualSpacing/>
              <w:jc w:val="both"/>
              <w:rPr>
                <w:lang w:val="en-CA"/>
              </w:rPr>
            </w:pPr>
            <w:r w:rsidRPr="00C861F1">
              <w:rPr>
                <w:lang w:val="en-CA"/>
              </w:rPr>
              <w:t>3-fold increase in BNP/NT-</w:t>
            </w:r>
            <w:proofErr w:type="spellStart"/>
            <w:r w:rsidRPr="00C861F1">
              <w:rPr>
                <w:lang w:val="en-CA"/>
              </w:rPr>
              <w:t>proBNP</w:t>
            </w:r>
            <w:proofErr w:type="spellEnd"/>
          </w:p>
        </w:tc>
        <w:tc>
          <w:tcPr>
            <w:tcW w:w="4230" w:type="dxa"/>
            <w:tcBorders>
              <w:top w:val="nil"/>
              <w:left w:val="nil"/>
              <w:bottom w:val="nil"/>
              <w:right w:val="nil"/>
            </w:tcBorders>
            <w:shd w:val="clear" w:color="auto" w:fill="FFFF00"/>
          </w:tcPr>
          <w:p w14:paraId="0025C397" w14:textId="77777777" w:rsidR="001E27A0" w:rsidRPr="00C861F1" w:rsidRDefault="001E27A0" w:rsidP="0003657F">
            <w:pPr>
              <w:pStyle w:val="NormalWeb"/>
              <w:snapToGrid w:val="0"/>
              <w:spacing w:before="0" w:beforeAutospacing="0" w:after="0" w:afterAutospacing="0"/>
              <w:contextualSpacing/>
              <w:jc w:val="center"/>
              <w:rPr>
                <w:bCs/>
              </w:rPr>
            </w:pPr>
            <w:proofErr w:type="spellStart"/>
            <w:r w:rsidRPr="00C861F1">
              <w:rPr>
                <w:b/>
              </w:rPr>
              <w:t>IIa</w:t>
            </w:r>
            <w:proofErr w:type="spellEnd"/>
            <w:r w:rsidRPr="00C861F1">
              <w:rPr>
                <w:b/>
              </w:rPr>
              <w:t xml:space="preserve">-B </w:t>
            </w:r>
            <w:r w:rsidRPr="00C861F1">
              <w:rPr>
                <w:bCs/>
              </w:rPr>
              <w:t>(low risk)</w:t>
            </w:r>
          </w:p>
        </w:tc>
        <w:tc>
          <w:tcPr>
            <w:tcW w:w="4230" w:type="dxa"/>
            <w:tcBorders>
              <w:top w:val="nil"/>
              <w:left w:val="nil"/>
              <w:bottom w:val="nil"/>
              <w:right w:val="single" w:sz="4" w:space="0" w:color="auto"/>
            </w:tcBorders>
            <w:shd w:val="clear" w:color="auto" w:fill="FFFF00"/>
          </w:tcPr>
          <w:p w14:paraId="43CD2C3B" w14:textId="77777777" w:rsidR="001E27A0" w:rsidRPr="00C861F1" w:rsidRDefault="001E27A0" w:rsidP="0003657F">
            <w:pPr>
              <w:pStyle w:val="NormalWeb"/>
              <w:snapToGrid w:val="0"/>
              <w:spacing w:before="0" w:beforeAutospacing="0" w:after="0" w:afterAutospacing="0"/>
              <w:contextualSpacing/>
              <w:jc w:val="center"/>
              <w:rPr>
                <w:bCs/>
              </w:rPr>
            </w:pPr>
            <w:proofErr w:type="spellStart"/>
            <w:r w:rsidRPr="00C861F1">
              <w:rPr>
                <w:b/>
              </w:rPr>
              <w:t>IIa</w:t>
            </w:r>
            <w:proofErr w:type="spellEnd"/>
            <w:r w:rsidRPr="00C861F1">
              <w:rPr>
                <w:b/>
              </w:rPr>
              <w:t xml:space="preserve">-B </w:t>
            </w:r>
            <w:r w:rsidRPr="00C861F1">
              <w:rPr>
                <w:bCs/>
              </w:rPr>
              <w:t>(only BNP)</w:t>
            </w:r>
          </w:p>
        </w:tc>
      </w:tr>
      <w:tr w:rsidR="001E27A0" w:rsidRPr="00C861F1" w14:paraId="34ECC881" w14:textId="77777777" w:rsidTr="00C861F1">
        <w:trPr>
          <w:trHeight w:val="256"/>
          <w:jc w:val="center"/>
        </w:trPr>
        <w:tc>
          <w:tcPr>
            <w:tcW w:w="6385" w:type="dxa"/>
            <w:tcBorders>
              <w:top w:val="nil"/>
              <w:left w:val="single" w:sz="4" w:space="0" w:color="auto"/>
              <w:bottom w:val="nil"/>
              <w:right w:val="nil"/>
            </w:tcBorders>
            <w:shd w:val="clear" w:color="auto" w:fill="auto"/>
          </w:tcPr>
          <w:p w14:paraId="33A158B0" w14:textId="77777777" w:rsidR="001E27A0" w:rsidRPr="00C861F1" w:rsidRDefault="001E27A0" w:rsidP="0003657F">
            <w:pPr>
              <w:pStyle w:val="NormalWeb"/>
              <w:spacing w:before="0" w:beforeAutospacing="0" w:after="0" w:afterAutospacing="0"/>
              <w:contextualSpacing/>
              <w:jc w:val="both"/>
              <w:rPr>
                <w:lang w:val="en-CA"/>
              </w:rPr>
            </w:pPr>
            <w:r w:rsidRPr="00C861F1">
              <w:rPr>
                <w:lang w:val="en-CA"/>
              </w:rPr>
              <w:t>Severe AS undergoing</w:t>
            </w:r>
            <w:r w:rsidRPr="00C861F1">
              <w:rPr>
                <w:bCs/>
              </w:rPr>
              <w:t xml:space="preserve"> other cardiac surgery</w:t>
            </w:r>
          </w:p>
        </w:tc>
        <w:tc>
          <w:tcPr>
            <w:tcW w:w="4230" w:type="dxa"/>
            <w:tcBorders>
              <w:top w:val="nil"/>
              <w:left w:val="nil"/>
              <w:bottom w:val="nil"/>
              <w:right w:val="nil"/>
            </w:tcBorders>
            <w:shd w:val="clear" w:color="auto" w:fill="92D050"/>
          </w:tcPr>
          <w:p w14:paraId="4FD425DD" w14:textId="77777777" w:rsidR="001E27A0" w:rsidRPr="00C861F1" w:rsidRDefault="001E27A0" w:rsidP="0003657F">
            <w:pPr>
              <w:pStyle w:val="NormalWeb"/>
              <w:snapToGrid w:val="0"/>
              <w:spacing w:before="0" w:beforeAutospacing="0" w:after="0" w:afterAutospacing="0"/>
              <w:contextualSpacing/>
              <w:jc w:val="center"/>
              <w:rPr>
                <w:bCs/>
              </w:rPr>
            </w:pPr>
            <w:r w:rsidRPr="00C861F1">
              <w:rPr>
                <w:b/>
              </w:rPr>
              <w:t>I-C</w:t>
            </w:r>
          </w:p>
        </w:tc>
        <w:tc>
          <w:tcPr>
            <w:tcW w:w="4230" w:type="dxa"/>
            <w:tcBorders>
              <w:top w:val="nil"/>
              <w:left w:val="nil"/>
              <w:bottom w:val="nil"/>
              <w:right w:val="single" w:sz="4" w:space="0" w:color="auto"/>
            </w:tcBorders>
            <w:shd w:val="clear" w:color="auto" w:fill="92D050"/>
          </w:tcPr>
          <w:p w14:paraId="18BD6588" w14:textId="77777777" w:rsidR="001E27A0" w:rsidRPr="00C861F1" w:rsidRDefault="001E27A0" w:rsidP="0003657F">
            <w:pPr>
              <w:pStyle w:val="NormalWeb"/>
              <w:snapToGrid w:val="0"/>
              <w:spacing w:before="0" w:beforeAutospacing="0" w:after="0" w:afterAutospacing="0"/>
              <w:contextualSpacing/>
              <w:jc w:val="center"/>
              <w:rPr>
                <w:bCs/>
              </w:rPr>
            </w:pPr>
            <w:r w:rsidRPr="00C861F1">
              <w:rPr>
                <w:b/>
              </w:rPr>
              <w:t>I-B</w:t>
            </w:r>
          </w:p>
        </w:tc>
      </w:tr>
      <w:tr w:rsidR="001E27A0" w:rsidRPr="00C861F1" w14:paraId="5E7D3C1E" w14:textId="77777777" w:rsidTr="00C861F1">
        <w:trPr>
          <w:trHeight w:val="256"/>
          <w:jc w:val="center"/>
        </w:trPr>
        <w:tc>
          <w:tcPr>
            <w:tcW w:w="6385" w:type="dxa"/>
            <w:tcBorders>
              <w:top w:val="nil"/>
              <w:left w:val="single" w:sz="4" w:space="0" w:color="auto"/>
              <w:bottom w:val="nil"/>
              <w:right w:val="nil"/>
            </w:tcBorders>
            <w:shd w:val="clear" w:color="auto" w:fill="D9E2F3" w:themeFill="accent5" w:themeFillTint="33"/>
          </w:tcPr>
          <w:p w14:paraId="7AD4DC3E" w14:textId="77777777" w:rsidR="001E27A0" w:rsidRPr="00C861F1" w:rsidRDefault="001E27A0" w:rsidP="0003657F">
            <w:pPr>
              <w:pStyle w:val="NormalWeb"/>
              <w:spacing w:before="0" w:beforeAutospacing="0" w:after="0" w:afterAutospacing="0"/>
              <w:contextualSpacing/>
              <w:jc w:val="both"/>
            </w:pPr>
            <w:r w:rsidRPr="00C861F1">
              <w:rPr>
                <w:lang w:val="en-CA"/>
              </w:rPr>
              <w:t>Moderate AS undergoing</w:t>
            </w:r>
            <w:r w:rsidRPr="00C861F1">
              <w:rPr>
                <w:bCs/>
              </w:rPr>
              <w:t xml:space="preserve"> other cardiac surgery</w:t>
            </w:r>
          </w:p>
        </w:tc>
        <w:tc>
          <w:tcPr>
            <w:tcW w:w="4230" w:type="dxa"/>
            <w:tcBorders>
              <w:top w:val="nil"/>
              <w:left w:val="nil"/>
              <w:bottom w:val="nil"/>
              <w:right w:val="nil"/>
            </w:tcBorders>
            <w:shd w:val="clear" w:color="auto" w:fill="FFC000"/>
          </w:tcPr>
          <w:p w14:paraId="53123F7E" w14:textId="77777777" w:rsidR="001E27A0" w:rsidRPr="00C861F1" w:rsidRDefault="001E27A0" w:rsidP="0003657F">
            <w:pPr>
              <w:pStyle w:val="NormalWeb"/>
              <w:snapToGrid w:val="0"/>
              <w:spacing w:before="0" w:beforeAutospacing="0" w:after="0" w:afterAutospacing="0"/>
              <w:contextualSpacing/>
              <w:jc w:val="center"/>
              <w:rPr>
                <w:bCs/>
              </w:rPr>
            </w:pPr>
            <w:r w:rsidRPr="00C861F1">
              <w:rPr>
                <w:b/>
              </w:rPr>
              <w:t>IIb-C</w:t>
            </w:r>
          </w:p>
        </w:tc>
        <w:tc>
          <w:tcPr>
            <w:tcW w:w="4230" w:type="dxa"/>
            <w:tcBorders>
              <w:top w:val="nil"/>
              <w:left w:val="nil"/>
              <w:bottom w:val="nil"/>
              <w:right w:val="single" w:sz="4" w:space="0" w:color="auto"/>
            </w:tcBorders>
            <w:shd w:val="clear" w:color="auto" w:fill="FFFF00"/>
          </w:tcPr>
          <w:p w14:paraId="7E1AA01C" w14:textId="77777777" w:rsidR="001E27A0" w:rsidRPr="00C861F1" w:rsidRDefault="001E27A0" w:rsidP="0003657F">
            <w:pPr>
              <w:pStyle w:val="NormalWeb"/>
              <w:snapToGrid w:val="0"/>
              <w:spacing w:before="0" w:beforeAutospacing="0" w:after="0" w:afterAutospacing="0"/>
              <w:contextualSpacing/>
              <w:jc w:val="center"/>
              <w:rPr>
                <w:b/>
              </w:rPr>
            </w:pPr>
            <w:proofErr w:type="spellStart"/>
            <w:r w:rsidRPr="00C861F1">
              <w:rPr>
                <w:b/>
              </w:rPr>
              <w:t>IIa</w:t>
            </w:r>
            <w:proofErr w:type="spellEnd"/>
            <w:r w:rsidRPr="00C861F1">
              <w:rPr>
                <w:b/>
              </w:rPr>
              <w:t>-C</w:t>
            </w:r>
          </w:p>
        </w:tc>
      </w:tr>
      <w:tr w:rsidR="001E27A0" w:rsidRPr="00D00075" w14:paraId="02C7F2F7" w14:textId="77777777" w:rsidTr="00C861F1">
        <w:trPr>
          <w:trHeight w:val="256"/>
          <w:jc w:val="center"/>
        </w:trPr>
        <w:tc>
          <w:tcPr>
            <w:tcW w:w="6385" w:type="dxa"/>
            <w:tcBorders>
              <w:top w:val="nil"/>
              <w:left w:val="single" w:sz="4" w:space="0" w:color="auto"/>
              <w:bottom w:val="nil"/>
              <w:right w:val="nil"/>
            </w:tcBorders>
            <w:shd w:val="clear" w:color="auto" w:fill="auto"/>
          </w:tcPr>
          <w:p w14:paraId="0578451C" w14:textId="77777777" w:rsidR="001E27A0" w:rsidRPr="00C861F1" w:rsidRDefault="001E27A0" w:rsidP="0003657F">
            <w:pPr>
              <w:pStyle w:val="NormalWeb"/>
              <w:spacing w:before="0" w:beforeAutospacing="0" w:after="0" w:afterAutospacing="0"/>
              <w:contextualSpacing/>
              <w:jc w:val="both"/>
              <w:rPr>
                <w:lang w:val="en-CA"/>
              </w:rPr>
            </w:pPr>
            <w:r w:rsidRPr="00C861F1">
              <w:rPr>
                <w:bCs/>
              </w:rPr>
              <w:t xml:space="preserve">Percutaneous BAV in severe AS </w:t>
            </w:r>
          </w:p>
        </w:tc>
        <w:tc>
          <w:tcPr>
            <w:tcW w:w="4230" w:type="dxa"/>
            <w:tcBorders>
              <w:top w:val="nil"/>
              <w:left w:val="nil"/>
              <w:bottom w:val="nil"/>
              <w:right w:val="nil"/>
            </w:tcBorders>
            <w:shd w:val="clear" w:color="auto" w:fill="auto"/>
          </w:tcPr>
          <w:p w14:paraId="72000076" w14:textId="77777777" w:rsidR="001E27A0" w:rsidRPr="00C861F1" w:rsidRDefault="001E27A0" w:rsidP="0003657F">
            <w:pPr>
              <w:pStyle w:val="NormalWeb"/>
              <w:snapToGrid w:val="0"/>
              <w:spacing w:before="0" w:beforeAutospacing="0" w:after="0" w:afterAutospacing="0"/>
              <w:contextualSpacing/>
              <w:jc w:val="center"/>
              <w:rPr>
                <w:bCs/>
              </w:rPr>
            </w:pPr>
          </w:p>
        </w:tc>
        <w:tc>
          <w:tcPr>
            <w:tcW w:w="4230" w:type="dxa"/>
            <w:tcBorders>
              <w:top w:val="nil"/>
              <w:left w:val="nil"/>
              <w:bottom w:val="nil"/>
              <w:right w:val="single" w:sz="4" w:space="0" w:color="auto"/>
            </w:tcBorders>
            <w:shd w:val="clear" w:color="auto" w:fill="auto"/>
          </w:tcPr>
          <w:p w14:paraId="051E9F0A" w14:textId="77777777" w:rsidR="001E27A0" w:rsidRPr="00C861F1" w:rsidRDefault="001E27A0" w:rsidP="0003657F">
            <w:pPr>
              <w:pStyle w:val="NormalWeb"/>
              <w:snapToGrid w:val="0"/>
              <w:spacing w:before="0" w:beforeAutospacing="0" w:after="0" w:afterAutospacing="0"/>
              <w:contextualSpacing/>
              <w:jc w:val="center"/>
              <w:rPr>
                <w:bCs/>
              </w:rPr>
            </w:pPr>
          </w:p>
        </w:tc>
      </w:tr>
      <w:tr w:rsidR="001E27A0" w:rsidRPr="00C861F1" w14:paraId="3828A25B" w14:textId="77777777" w:rsidTr="00C861F1">
        <w:trPr>
          <w:trHeight w:val="256"/>
          <w:jc w:val="center"/>
        </w:trPr>
        <w:tc>
          <w:tcPr>
            <w:tcW w:w="6385" w:type="dxa"/>
            <w:tcBorders>
              <w:top w:val="nil"/>
              <w:left w:val="single" w:sz="4" w:space="0" w:color="auto"/>
              <w:bottom w:val="nil"/>
              <w:right w:val="nil"/>
            </w:tcBorders>
            <w:shd w:val="clear" w:color="auto" w:fill="auto"/>
          </w:tcPr>
          <w:p w14:paraId="4BC0A746" w14:textId="77777777" w:rsidR="001E27A0" w:rsidRPr="00C861F1" w:rsidRDefault="001E27A0" w:rsidP="0003657F">
            <w:pPr>
              <w:pStyle w:val="NormalWeb"/>
              <w:spacing w:before="0" w:beforeAutospacing="0" w:after="0" w:afterAutospacing="0"/>
              <w:contextualSpacing/>
              <w:jc w:val="both"/>
            </w:pPr>
            <w:r w:rsidRPr="00C861F1">
              <w:t xml:space="preserve">     in bridge to SAVR/TAVR</w:t>
            </w:r>
          </w:p>
        </w:tc>
        <w:tc>
          <w:tcPr>
            <w:tcW w:w="4230" w:type="dxa"/>
            <w:tcBorders>
              <w:top w:val="nil"/>
              <w:left w:val="nil"/>
              <w:bottom w:val="nil"/>
              <w:right w:val="nil"/>
            </w:tcBorders>
            <w:shd w:val="clear" w:color="auto" w:fill="FFC000"/>
          </w:tcPr>
          <w:p w14:paraId="38DE1574" w14:textId="77777777" w:rsidR="001E27A0" w:rsidRPr="00C861F1" w:rsidRDefault="001E27A0" w:rsidP="0003657F">
            <w:pPr>
              <w:pStyle w:val="NormalWeb"/>
              <w:snapToGrid w:val="0"/>
              <w:spacing w:before="0" w:beforeAutospacing="0" w:after="0" w:afterAutospacing="0"/>
              <w:contextualSpacing/>
              <w:jc w:val="center"/>
              <w:rPr>
                <w:bCs/>
              </w:rPr>
            </w:pPr>
            <w:r w:rsidRPr="00C861F1">
              <w:rPr>
                <w:b/>
              </w:rPr>
              <w:t>IIb-C</w:t>
            </w:r>
          </w:p>
        </w:tc>
        <w:tc>
          <w:tcPr>
            <w:tcW w:w="4230" w:type="dxa"/>
            <w:tcBorders>
              <w:top w:val="nil"/>
              <w:left w:val="nil"/>
              <w:bottom w:val="nil"/>
              <w:right w:val="single" w:sz="4" w:space="0" w:color="auto"/>
            </w:tcBorders>
            <w:shd w:val="clear" w:color="auto" w:fill="FFC000"/>
          </w:tcPr>
          <w:p w14:paraId="3AE9D8A2" w14:textId="77777777" w:rsidR="001E27A0" w:rsidRPr="00C861F1" w:rsidRDefault="001E27A0" w:rsidP="0003657F">
            <w:pPr>
              <w:pStyle w:val="NormalWeb"/>
              <w:snapToGrid w:val="0"/>
              <w:spacing w:before="0" w:beforeAutospacing="0" w:after="0" w:afterAutospacing="0"/>
              <w:contextualSpacing/>
              <w:jc w:val="center"/>
              <w:rPr>
                <w:bCs/>
              </w:rPr>
            </w:pPr>
            <w:r w:rsidRPr="00C861F1">
              <w:rPr>
                <w:b/>
              </w:rPr>
              <w:t>IIb-C</w:t>
            </w:r>
          </w:p>
        </w:tc>
      </w:tr>
      <w:tr w:rsidR="001E27A0" w:rsidRPr="00C861F1" w14:paraId="2C94B4CE" w14:textId="77777777" w:rsidTr="00C861F1">
        <w:trPr>
          <w:trHeight w:val="256"/>
          <w:jc w:val="center"/>
        </w:trPr>
        <w:tc>
          <w:tcPr>
            <w:tcW w:w="6385" w:type="dxa"/>
            <w:tcBorders>
              <w:top w:val="nil"/>
              <w:left w:val="single" w:sz="4" w:space="0" w:color="auto"/>
              <w:bottom w:val="nil"/>
              <w:right w:val="nil"/>
            </w:tcBorders>
            <w:shd w:val="clear" w:color="auto" w:fill="auto"/>
          </w:tcPr>
          <w:p w14:paraId="09E95F4B" w14:textId="77777777" w:rsidR="001E27A0" w:rsidRPr="00C861F1" w:rsidRDefault="001E27A0" w:rsidP="0003657F">
            <w:pPr>
              <w:pStyle w:val="NormalWeb"/>
              <w:spacing w:before="0" w:beforeAutospacing="0" w:after="0" w:afterAutospacing="0"/>
              <w:contextualSpacing/>
              <w:jc w:val="both"/>
            </w:pPr>
            <w:r w:rsidRPr="00C861F1">
              <w:t xml:space="preserve">     before non-cardiac surgery</w:t>
            </w:r>
          </w:p>
        </w:tc>
        <w:tc>
          <w:tcPr>
            <w:tcW w:w="4230" w:type="dxa"/>
            <w:tcBorders>
              <w:top w:val="nil"/>
              <w:left w:val="nil"/>
              <w:bottom w:val="nil"/>
              <w:right w:val="nil"/>
            </w:tcBorders>
            <w:shd w:val="clear" w:color="auto" w:fill="auto"/>
          </w:tcPr>
          <w:p w14:paraId="58F978BE" w14:textId="77777777" w:rsidR="001E27A0" w:rsidRPr="00C861F1" w:rsidRDefault="001E27A0" w:rsidP="0003657F">
            <w:pPr>
              <w:pStyle w:val="NormalWeb"/>
              <w:snapToGrid w:val="0"/>
              <w:spacing w:before="0" w:beforeAutospacing="0" w:after="0" w:afterAutospacing="0"/>
              <w:contextualSpacing/>
              <w:jc w:val="center"/>
              <w:rPr>
                <w:bCs/>
              </w:rPr>
            </w:pPr>
          </w:p>
        </w:tc>
        <w:tc>
          <w:tcPr>
            <w:tcW w:w="4230" w:type="dxa"/>
            <w:tcBorders>
              <w:top w:val="nil"/>
              <w:left w:val="nil"/>
              <w:bottom w:val="nil"/>
              <w:right w:val="single" w:sz="4" w:space="0" w:color="auto"/>
            </w:tcBorders>
            <w:shd w:val="clear" w:color="auto" w:fill="FFC000"/>
          </w:tcPr>
          <w:p w14:paraId="7599E936" w14:textId="77777777" w:rsidR="001E27A0" w:rsidRPr="00C861F1" w:rsidRDefault="001E27A0" w:rsidP="0003657F">
            <w:pPr>
              <w:pStyle w:val="NormalWeb"/>
              <w:snapToGrid w:val="0"/>
              <w:spacing w:before="0" w:beforeAutospacing="0" w:after="0" w:afterAutospacing="0"/>
              <w:contextualSpacing/>
              <w:jc w:val="center"/>
              <w:rPr>
                <w:bCs/>
              </w:rPr>
            </w:pPr>
            <w:r w:rsidRPr="00C861F1">
              <w:rPr>
                <w:b/>
              </w:rPr>
              <w:t>IIb-C</w:t>
            </w:r>
          </w:p>
        </w:tc>
      </w:tr>
      <w:tr w:rsidR="001E27A0" w:rsidRPr="00C861F1" w14:paraId="4BC0EFA9" w14:textId="77777777" w:rsidTr="00C861F1">
        <w:trPr>
          <w:trHeight w:val="256"/>
          <w:jc w:val="center"/>
        </w:trPr>
        <w:tc>
          <w:tcPr>
            <w:tcW w:w="6385" w:type="dxa"/>
            <w:tcBorders>
              <w:top w:val="nil"/>
              <w:left w:val="single" w:sz="4" w:space="0" w:color="auto"/>
              <w:bottom w:val="single" w:sz="4" w:space="0" w:color="auto"/>
              <w:right w:val="nil"/>
            </w:tcBorders>
            <w:shd w:val="clear" w:color="auto" w:fill="D9E2F3" w:themeFill="accent5" w:themeFillTint="33"/>
          </w:tcPr>
          <w:p w14:paraId="5FE903CC" w14:textId="77777777" w:rsidR="001E27A0" w:rsidRPr="00C861F1" w:rsidRDefault="001E27A0" w:rsidP="0003657F">
            <w:pPr>
              <w:pStyle w:val="NormalWeb"/>
              <w:spacing w:before="0" w:beforeAutospacing="0" w:after="0" w:afterAutospacing="0"/>
              <w:contextualSpacing/>
              <w:jc w:val="both"/>
            </w:pPr>
            <w:r w:rsidRPr="00C861F1">
              <w:rPr>
                <w:bCs/>
              </w:rPr>
              <w:t>Severe comorbidities with survival &lt;1year</w:t>
            </w:r>
          </w:p>
        </w:tc>
        <w:tc>
          <w:tcPr>
            <w:tcW w:w="4230" w:type="dxa"/>
            <w:tcBorders>
              <w:top w:val="nil"/>
              <w:left w:val="nil"/>
              <w:bottom w:val="single" w:sz="4" w:space="0" w:color="auto"/>
              <w:right w:val="nil"/>
            </w:tcBorders>
            <w:shd w:val="clear" w:color="auto" w:fill="auto"/>
          </w:tcPr>
          <w:p w14:paraId="09439576" w14:textId="77777777" w:rsidR="001E27A0" w:rsidRPr="00C861F1" w:rsidRDefault="001E27A0" w:rsidP="0003657F">
            <w:pPr>
              <w:pStyle w:val="NormalWeb"/>
              <w:snapToGrid w:val="0"/>
              <w:spacing w:before="0" w:beforeAutospacing="0" w:after="0" w:afterAutospacing="0"/>
              <w:contextualSpacing/>
              <w:jc w:val="center"/>
              <w:rPr>
                <w:b/>
              </w:rPr>
            </w:pPr>
          </w:p>
        </w:tc>
        <w:tc>
          <w:tcPr>
            <w:tcW w:w="4230" w:type="dxa"/>
            <w:tcBorders>
              <w:top w:val="nil"/>
              <w:left w:val="nil"/>
              <w:bottom w:val="single" w:sz="4" w:space="0" w:color="auto"/>
              <w:right w:val="single" w:sz="4" w:space="0" w:color="auto"/>
            </w:tcBorders>
            <w:shd w:val="clear" w:color="auto" w:fill="FF0000"/>
          </w:tcPr>
          <w:p w14:paraId="00C97603" w14:textId="77777777" w:rsidR="001E27A0" w:rsidRPr="00C861F1" w:rsidRDefault="001E27A0" w:rsidP="0003657F">
            <w:pPr>
              <w:pStyle w:val="NormalWeb"/>
              <w:snapToGrid w:val="0"/>
              <w:spacing w:before="0" w:beforeAutospacing="0" w:after="0" w:afterAutospacing="0"/>
              <w:contextualSpacing/>
              <w:jc w:val="center"/>
              <w:rPr>
                <w:bCs/>
              </w:rPr>
            </w:pPr>
            <w:r w:rsidRPr="00C861F1">
              <w:rPr>
                <w:b/>
                <w:color w:val="000000" w:themeColor="text1"/>
              </w:rPr>
              <w:t>III-C</w:t>
            </w:r>
          </w:p>
        </w:tc>
      </w:tr>
    </w:tbl>
    <w:p w14:paraId="56D54EB4" w14:textId="710D7EF0" w:rsidR="00C65FCA" w:rsidRPr="00DF2FD7" w:rsidRDefault="00C65FCA" w:rsidP="000B534A">
      <w:pPr>
        <w:jc w:val="center"/>
        <w:rPr>
          <w:sz w:val="22"/>
          <w:szCs w:val="22"/>
          <w:lang w:val="en-CA"/>
        </w:rPr>
      </w:pPr>
      <w:r w:rsidRPr="00DF2FD7">
        <w:rPr>
          <w:sz w:val="22"/>
          <w:szCs w:val="22"/>
          <w:lang w:val="en-CA"/>
        </w:rPr>
        <w:t>AS: aortic stenosis;</w:t>
      </w:r>
      <w:r w:rsidR="008309AF" w:rsidRPr="00DF2FD7">
        <w:rPr>
          <w:sz w:val="22"/>
          <w:szCs w:val="22"/>
          <w:lang w:val="en-CA"/>
        </w:rPr>
        <w:t xml:space="preserve"> BAV: balloon aortic valvuloplasty; </w:t>
      </w:r>
      <w:r w:rsidRPr="00DF2FD7">
        <w:rPr>
          <w:sz w:val="22"/>
          <w:szCs w:val="22"/>
          <w:lang w:val="en-CA"/>
        </w:rPr>
        <w:t xml:space="preserve">LFLG: low flow low gradient; LVEF: left ventricular ejection fraction; SAVR: surgical aortic valve replacement; SBP: systolic blood pressure; </w:t>
      </w:r>
      <w:r w:rsidR="003B03BB" w:rsidRPr="00DF2FD7">
        <w:rPr>
          <w:sz w:val="22"/>
          <w:szCs w:val="22"/>
          <w:lang w:val="en-CA"/>
        </w:rPr>
        <w:t>TAVR</w:t>
      </w:r>
      <w:r w:rsidRPr="00DF2FD7">
        <w:rPr>
          <w:sz w:val="22"/>
          <w:szCs w:val="22"/>
          <w:lang w:val="en-CA"/>
        </w:rPr>
        <w:t>: transcatheter aortic valve replacement</w:t>
      </w:r>
    </w:p>
    <w:p w14:paraId="379B0CF1" w14:textId="524C4707" w:rsidR="00E940D9" w:rsidRPr="004B22FA" w:rsidRDefault="00E940D9" w:rsidP="003338BE">
      <w:pPr>
        <w:jc w:val="center"/>
        <w:rPr>
          <w:sz w:val="20"/>
          <w:szCs w:val="20"/>
          <w:lang w:val="en-CA"/>
        </w:rPr>
      </w:pPr>
    </w:p>
    <w:p w14:paraId="534DAA56" w14:textId="658C9A6E" w:rsidR="00E940D9" w:rsidRPr="004B22FA" w:rsidRDefault="00E940D9" w:rsidP="003338BE">
      <w:pPr>
        <w:jc w:val="center"/>
        <w:rPr>
          <w:sz w:val="20"/>
          <w:szCs w:val="20"/>
          <w:lang w:val="en-CA"/>
        </w:rPr>
      </w:pPr>
    </w:p>
    <w:p w14:paraId="5E0D4B18" w14:textId="3F06CF74" w:rsidR="00E940D9" w:rsidRPr="004B22FA" w:rsidRDefault="00E940D9" w:rsidP="003338BE">
      <w:pPr>
        <w:jc w:val="center"/>
        <w:rPr>
          <w:sz w:val="20"/>
          <w:szCs w:val="20"/>
          <w:lang w:val="en-CA"/>
        </w:rPr>
      </w:pPr>
    </w:p>
    <w:p w14:paraId="6691965A" w14:textId="3875B6EC" w:rsidR="00A552B5" w:rsidRDefault="00A552B5">
      <w:pPr>
        <w:rPr>
          <w:b/>
          <w:lang w:val="en-CA"/>
        </w:rPr>
      </w:pPr>
      <w:r>
        <w:rPr>
          <w:b/>
          <w:lang w:val="en-CA"/>
        </w:rPr>
        <w:br w:type="page"/>
      </w:r>
    </w:p>
    <w:p w14:paraId="4DEE8895" w14:textId="624EC5E1" w:rsidR="0024724A" w:rsidRDefault="00DE0848" w:rsidP="0024724A">
      <w:pPr>
        <w:rPr>
          <w:b/>
          <w:lang w:val="en-CA"/>
        </w:rPr>
      </w:pPr>
      <w:r w:rsidRPr="006842A1">
        <w:rPr>
          <w:b/>
          <w:lang w:val="en-CA"/>
        </w:rPr>
        <w:lastRenderedPageBreak/>
        <w:t>TABLE 2</w:t>
      </w:r>
      <w:r w:rsidR="006C0605">
        <w:rPr>
          <w:b/>
          <w:lang w:val="en-CA"/>
        </w:rPr>
        <w:t xml:space="preserve">. </w:t>
      </w:r>
      <w:r w:rsidR="000A56C3" w:rsidRPr="008309AF">
        <w:rPr>
          <w:rFonts w:eastAsiaTheme="minorHAnsi"/>
          <w:b/>
          <w:lang w:val="en-US" w:eastAsia="en-US"/>
        </w:rPr>
        <w:t xml:space="preserve">Selected </w:t>
      </w:r>
      <w:r w:rsidR="000A56C3">
        <w:rPr>
          <w:rFonts w:eastAsiaTheme="minorHAnsi"/>
          <w:b/>
          <w:lang w:val="en-US" w:eastAsia="en-US"/>
        </w:rPr>
        <w:t>r</w:t>
      </w:r>
      <w:r w:rsidR="000A56C3" w:rsidRPr="008309AF">
        <w:rPr>
          <w:rFonts w:eastAsiaTheme="minorHAnsi"/>
          <w:b/>
          <w:lang w:val="en-US" w:eastAsia="en-US"/>
        </w:rPr>
        <w:t xml:space="preserve">ecommendations on </w:t>
      </w:r>
      <w:r w:rsidR="000A56C3">
        <w:rPr>
          <w:rFonts w:eastAsiaTheme="minorHAnsi"/>
          <w:b/>
          <w:lang w:val="en-US" w:eastAsia="en-US"/>
        </w:rPr>
        <w:t>m</w:t>
      </w:r>
      <w:r w:rsidR="000A56C3" w:rsidRPr="008309AF">
        <w:rPr>
          <w:rFonts w:eastAsiaTheme="minorHAnsi"/>
          <w:b/>
          <w:lang w:val="en-US" w:eastAsia="en-US"/>
        </w:rPr>
        <w:t xml:space="preserve">anagement </w:t>
      </w:r>
      <w:r w:rsidR="000A56C3" w:rsidRPr="008309AF">
        <w:rPr>
          <w:b/>
          <w:lang w:val="en-CA"/>
        </w:rPr>
        <w:t xml:space="preserve">of Aortic </w:t>
      </w:r>
      <w:r w:rsidR="000A56C3">
        <w:rPr>
          <w:b/>
          <w:lang w:val="en-CA"/>
        </w:rPr>
        <w:t>Regurgitation</w:t>
      </w:r>
    </w:p>
    <w:p w14:paraId="61156C33" w14:textId="0DE4C1A3" w:rsidR="000A56C3" w:rsidRDefault="000A56C3" w:rsidP="0024724A">
      <w:pPr>
        <w:rPr>
          <w:b/>
          <w:lang w:val="en-CA"/>
        </w:rPr>
      </w:pPr>
    </w:p>
    <w:p w14:paraId="1BE54D47" w14:textId="46D26613" w:rsidR="000A56C3" w:rsidRDefault="000A56C3" w:rsidP="0024724A">
      <w:pPr>
        <w:rPr>
          <w:b/>
          <w:lang w:val="en-CA"/>
        </w:rPr>
      </w:pPr>
    </w:p>
    <w:tbl>
      <w:tblPr>
        <w:tblStyle w:val="TableGrid"/>
        <w:tblW w:w="14157" w:type="dxa"/>
        <w:jc w:val="center"/>
        <w:tblLook w:val="04A0" w:firstRow="1" w:lastRow="0" w:firstColumn="1" w:lastColumn="0" w:noHBand="0" w:noVBand="1"/>
      </w:tblPr>
      <w:tblGrid>
        <w:gridCol w:w="6793"/>
        <w:gridCol w:w="3684"/>
        <w:gridCol w:w="3680"/>
      </w:tblGrid>
      <w:tr w:rsidR="000A56C3" w:rsidRPr="00C861F1" w14:paraId="312D6E4A" w14:textId="77777777" w:rsidTr="00C861F1">
        <w:trPr>
          <w:trHeight w:val="503"/>
          <w:jc w:val="center"/>
        </w:trPr>
        <w:tc>
          <w:tcPr>
            <w:tcW w:w="6793" w:type="dxa"/>
            <w:tcBorders>
              <w:top w:val="single" w:sz="4" w:space="0" w:color="auto"/>
              <w:left w:val="single" w:sz="4" w:space="0" w:color="auto"/>
              <w:bottom w:val="nil"/>
              <w:right w:val="nil"/>
            </w:tcBorders>
            <w:shd w:val="clear" w:color="auto" w:fill="auto"/>
            <w:vAlign w:val="center"/>
          </w:tcPr>
          <w:p w14:paraId="6FF25192" w14:textId="77777777" w:rsidR="000A56C3" w:rsidRPr="00C861F1" w:rsidRDefault="000A56C3" w:rsidP="0003657F">
            <w:pPr>
              <w:contextualSpacing/>
              <w:jc w:val="center"/>
              <w:rPr>
                <w:b/>
                <w:bCs/>
              </w:rPr>
            </w:pPr>
            <w:proofErr w:type="spellStart"/>
            <w:r w:rsidRPr="00C861F1">
              <w:rPr>
                <w:b/>
                <w:bCs/>
              </w:rPr>
              <w:t>Recommendation</w:t>
            </w:r>
            <w:proofErr w:type="spellEnd"/>
          </w:p>
        </w:tc>
        <w:tc>
          <w:tcPr>
            <w:tcW w:w="3684" w:type="dxa"/>
            <w:tcBorders>
              <w:top w:val="single" w:sz="4" w:space="0" w:color="auto"/>
              <w:left w:val="nil"/>
              <w:bottom w:val="nil"/>
              <w:right w:val="nil"/>
            </w:tcBorders>
            <w:vAlign w:val="center"/>
          </w:tcPr>
          <w:p w14:paraId="3E303A76" w14:textId="77777777" w:rsidR="000A56C3" w:rsidRPr="00C861F1" w:rsidRDefault="000A56C3" w:rsidP="0003657F">
            <w:pPr>
              <w:contextualSpacing/>
              <w:jc w:val="center"/>
              <w:rPr>
                <w:b/>
                <w:bCs/>
                <w:lang w:val="en-US"/>
              </w:rPr>
            </w:pPr>
            <w:r w:rsidRPr="00C861F1">
              <w:rPr>
                <w:b/>
                <w:bCs/>
                <w:lang w:val="en-US"/>
              </w:rPr>
              <w:t xml:space="preserve">American </w:t>
            </w:r>
          </w:p>
        </w:tc>
        <w:tc>
          <w:tcPr>
            <w:tcW w:w="3680" w:type="dxa"/>
            <w:tcBorders>
              <w:top w:val="single" w:sz="4" w:space="0" w:color="auto"/>
              <w:left w:val="nil"/>
              <w:bottom w:val="nil"/>
              <w:right w:val="single" w:sz="4" w:space="0" w:color="auto"/>
            </w:tcBorders>
            <w:vAlign w:val="center"/>
          </w:tcPr>
          <w:p w14:paraId="5B3F9469" w14:textId="77777777" w:rsidR="000A56C3" w:rsidRPr="00C861F1" w:rsidRDefault="000A56C3" w:rsidP="0003657F">
            <w:pPr>
              <w:contextualSpacing/>
              <w:jc w:val="center"/>
              <w:rPr>
                <w:b/>
                <w:bCs/>
              </w:rPr>
            </w:pPr>
            <w:r w:rsidRPr="00C861F1">
              <w:rPr>
                <w:b/>
                <w:bCs/>
                <w:lang w:val="en-US"/>
              </w:rPr>
              <w:t>European</w:t>
            </w:r>
          </w:p>
        </w:tc>
      </w:tr>
      <w:tr w:rsidR="000A56C3" w:rsidRPr="00C861F1" w14:paraId="6753266E" w14:textId="77777777" w:rsidTr="00C861F1">
        <w:trPr>
          <w:trHeight w:val="227"/>
          <w:jc w:val="center"/>
        </w:trPr>
        <w:tc>
          <w:tcPr>
            <w:tcW w:w="6793" w:type="dxa"/>
            <w:tcBorders>
              <w:top w:val="nil"/>
              <w:left w:val="single" w:sz="4" w:space="0" w:color="auto"/>
              <w:bottom w:val="nil"/>
              <w:right w:val="nil"/>
            </w:tcBorders>
            <w:shd w:val="clear" w:color="auto" w:fill="D9E2F3" w:themeFill="accent5" w:themeFillTint="33"/>
          </w:tcPr>
          <w:p w14:paraId="36ECE72C" w14:textId="77777777" w:rsidR="000A56C3" w:rsidRPr="00C861F1" w:rsidRDefault="000A56C3" w:rsidP="0003657F">
            <w:pPr>
              <w:pStyle w:val="NormalWeb"/>
              <w:snapToGrid w:val="0"/>
              <w:spacing w:before="0" w:beforeAutospacing="0" w:after="0" w:afterAutospacing="0"/>
              <w:contextualSpacing/>
              <w:jc w:val="both"/>
              <w:rPr>
                <w:bCs/>
              </w:rPr>
            </w:pPr>
            <w:r w:rsidRPr="00C861F1">
              <w:rPr>
                <w:bCs/>
              </w:rPr>
              <w:t>Symptoms</w:t>
            </w:r>
          </w:p>
        </w:tc>
        <w:tc>
          <w:tcPr>
            <w:tcW w:w="3684" w:type="dxa"/>
            <w:tcBorders>
              <w:top w:val="nil"/>
              <w:left w:val="nil"/>
              <w:bottom w:val="nil"/>
              <w:right w:val="nil"/>
            </w:tcBorders>
            <w:shd w:val="clear" w:color="auto" w:fill="92D050"/>
          </w:tcPr>
          <w:p w14:paraId="396D581B" w14:textId="77777777" w:rsidR="000A56C3" w:rsidRPr="00C861F1" w:rsidRDefault="000A56C3" w:rsidP="0003657F">
            <w:pPr>
              <w:pStyle w:val="NormalWeb"/>
              <w:snapToGrid w:val="0"/>
              <w:spacing w:before="0" w:beforeAutospacing="0" w:after="0" w:afterAutospacing="0"/>
              <w:contextualSpacing/>
              <w:jc w:val="center"/>
              <w:rPr>
                <w:b/>
              </w:rPr>
            </w:pPr>
            <w:r w:rsidRPr="00C861F1">
              <w:rPr>
                <w:b/>
              </w:rPr>
              <w:t>I-B</w:t>
            </w:r>
          </w:p>
        </w:tc>
        <w:tc>
          <w:tcPr>
            <w:tcW w:w="3680" w:type="dxa"/>
            <w:tcBorders>
              <w:top w:val="nil"/>
              <w:left w:val="nil"/>
              <w:bottom w:val="nil"/>
              <w:right w:val="single" w:sz="4" w:space="0" w:color="auto"/>
            </w:tcBorders>
            <w:shd w:val="clear" w:color="auto" w:fill="92D050"/>
          </w:tcPr>
          <w:p w14:paraId="32D9C479" w14:textId="77777777" w:rsidR="000A56C3" w:rsidRPr="00C861F1" w:rsidRDefault="000A56C3" w:rsidP="0003657F">
            <w:pPr>
              <w:pStyle w:val="NormalWeb"/>
              <w:snapToGrid w:val="0"/>
              <w:spacing w:before="0" w:beforeAutospacing="0" w:after="0" w:afterAutospacing="0"/>
              <w:contextualSpacing/>
              <w:jc w:val="center"/>
              <w:rPr>
                <w:b/>
              </w:rPr>
            </w:pPr>
            <w:r w:rsidRPr="00C861F1">
              <w:rPr>
                <w:b/>
              </w:rPr>
              <w:t>I-B</w:t>
            </w:r>
          </w:p>
        </w:tc>
      </w:tr>
      <w:tr w:rsidR="000A56C3" w:rsidRPr="00C861F1" w14:paraId="36703F1F" w14:textId="77777777" w:rsidTr="00C861F1">
        <w:trPr>
          <w:trHeight w:val="233"/>
          <w:jc w:val="center"/>
        </w:trPr>
        <w:tc>
          <w:tcPr>
            <w:tcW w:w="6793" w:type="dxa"/>
            <w:tcBorders>
              <w:top w:val="nil"/>
              <w:left w:val="single" w:sz="4" w:space="0" w:color="auto"/>
              <w:bottom w:val="nil"/>
              <w:right w:val="nil"/>
            </w:tcBorders>
            <w:shd w:val="clear" w:color="auto" w:fill="auto"/>
          </w:tcPr>
          <w:p w14:paraId="7BF626F2" w14:textId="77777777" w:rsidR="000A56C3" w:rsidRPr="00C861F1" w:rsidRDefault="000A56C3" w:rsidP="0003657F">
            <w:pPr>
              <w:jc w:val="both"/>
              <w:rPr>
                <w:bCs/>
                <w:lang w:val="en-CA"/>
              </w:rPr>
            </w:pPr>
            <w:r w:rsidRPr="00C861F1">
              <w:rPr>
                <w:bCs/>
                <w:lang w:val="en-CA"/>
              </w:rPr>
              <w:t>No symptoms and</w:t>
            </w:r>
          </w:p>
        </w:tc>
        <w:tc>
          <w:tcPr>
            <w:tcW w:w="3684" w:type="dxa"/>
            <w:tcBorders>
              <w:top w:val="nil"/>
              <w:left w:val="nil"/>
              <w:bottom w:val="nil"/>
              <w:right w:val="nil"/>
            </w:tcBorders>
            <w:shd w:val="clear" w:color="auto" w:fill="auto"/>
          </w:tcPr>
          <w:p w14:paraId="2D40FBB7" w14:textId="77777777" w:rsidR="000A56C3" w:rsidRPr="00C861F1" w:rsidRDefault="000A56C3" w:rsidP="0003657F">
            <w:pPr>
              <w:pStyle w:val="NormalWeb"/>
              <w:snapToGrid w:val="0"/>
              <w:spacing w:before="0" w:beforeAutospacing="0" w:after="0" w:afterAutospacing="0"/>
              <w:contextualSpacing/>
              <w:jc w:val="center"/>
              <w:rPr>
                <w:b/>
              </w:rPr>
            </w:pPr>
          </w:p>
        </w:tc>
        <w:tc>
          <w:tcPr>
            <w:tcW w:w="3680" w:type="dxa"/>
            <w:tcBorders>
              <w:top w:val="nil"/>
              <w:left w:val="nil"/>
              <w:bottom w:val="nil"/>
              <w:right w:val="single" w:sz="4" w:space="0" w:color="auto"/>
            </w:tcBorders>
            <w:shd w:val="clear" w:color="auto" w:fill="auto"/>
          </w:tcPr>
          <w:p w14:paraId="3105613D" w14:textId="77777777" w:rsidR="000A56C3" w:rsidRPr="00C861F1" w:rsidRDefault="000A56C3" w:rsidP="0003657F">
            <w:pPr>
              <w:pStyle w:val="NormalWeb"/>
              <w:snapToGrid w:val="0"/>
              <w:spacing w:before="0" w:beforeAutospacing="0" w:after="0" w:afterAutospacing="0"/>
              <w:contextualSpacing/>
              <w:jc w:val="center"/>
              <w:rPr>
                <w:b/>
              </w:rPr>
            </w:pPr>
          </w:p>
        </w:tc>
      </w:tr>
      <w:tr w:rsidR="000A56C3" w:rsidRPr="00C861F1" w14:paraId="063FBEFF" w14:textId="77777777" w:rsidTr="00C861F1">
        <w:trPr>
          <w:trHeight w:val="233"/>
          <w:jc w:val="center"/>
        </w:trPr>
        <w:tc>
          <w:tcPr>
            <w:tcW w:w="6793" w:type="dxa"/>
            <w:tcBorders>
              <w:top w:val="nil"/>
              <w:left w:val="single" w:sz="4" w:space="0" w:color="auto"/>
              <w:bottom w:val="nil"/>
              <w:right w:val="nil"/>
            </w:tcBorders>
            <w:shd w:val="clear" w:color="auto" w:fill="auto"/>
          </w:tcPr>
          <w:p w14:paraId="0B325990" w14:textId="77777777" w:rsidR="000A56C3" w:rsidRPr="00C861F1" w:rsidRDefault="000A56C3" w:rsidP="0003657F">
            <w:pPr>
              <w:jc w:val="both"/>
              <w:rPr>
                <w:bCs/>
                <w:lang w:val="en-US"/>
              </w:rPr>
            </w:pPr>
            <w:r w:rsidRPr="00C861F1">
              <w:rPr>
                <w:bCs/>
                <w:lang w:val="en-US"/>
              </w:rPr>
              <w:t xml:space="preserve">     LVEF </w:t>
            </w:r>
            <w:r w:rsidRPr="00C861F1">
              <w:t>≤55%</w:t>
            </w:r>
          </w:p>
        </w:tc>
        <w:tc>
          <w:tcPr>
            <w:tcW w:w="3684" w:type="dxa"/>
            <w:tcBorders>
              <w:top w:val="nil"/>
              <w:left w:val="nil"/>
              <w:bottom w:val="nil"/>
              <w:right w:val="nil"/>
            </w:tcBorders>
            <w:shd w:val="clear" w:color="auto" w:fill="92D050"/>
          </w:tcPr>
          <w:p w14:paraId="25A29FDD" w14:textId="77777777" w:rsidR="000A56C3" w:rsidRPr="00C861F1" w:rsidRDefault="000A56C3" w:rsidP="0003657F">
            <w:pPr>
              <w:pStyle w:val="NormalWeb"/>
              <w:snapToGrid w:val="0"/>
              <w:spacing w:before="0" w:beforeAutospacing="0" w:after="0" w:afterAutospacing="0"/>
              <w:contextualSpacing/>
              <w:jc w:val="center"/>
              <w:rPr>
                <w:b/>
              </w:rPr>
            </w:pPr>
            <w:r w:rsidRPr="00C861F1">
              <w:rPr>
                <w:b/>
              </w:rPr>
              <w:t>I-B</w:t>
            </w:r>
          </w:p>
        </w:tc>
        <w:tc>
          <w:tcPr>
            <w:tcW w:w="3680" w:type="dxa"/>
            <w:tcBorders>
              <w:top w:val="nil"/>
              <w:left w:val="nil"/>
              <w:bottom w:val="nil"/>
              <w:right w:val="single" w:sz="4" w:space="0" w:color="auto"/>
            </w:tcBorders>
            <w:shd w:val="clear" w:color="auto" w:fill="FFC000"/>
          </w:tcPr>
          <w:p w14:paraId="6ADB9DC0" w14:textId="77777777" w:rsidR="000A56C3" w:rsidRPr="00C861F1" w:rsidRDefault="000A56C3" w:rsidP="0003657F">
            <w:pPr>
              <w:pStyle w:val="NormalWeb"/>
              <w:snapToGrid w:val="0"/>
              <w:spacing w:before="0" w:beforeAutospacing="0" w:after="0" w:afterAutospacing="0"/>
              <w:contextualSpacing/>
              <w:jc w:val="center"/>
              <w:rPr>
                <w:b/>
              </w:rPr>
            </w:pPr>
            <w:r w:rsidRPr="00C861F1">
              <w:rPr>
                <w:b/>
              </w:rPr>
              <w:t>IIb-C</w:t>
            </w:r>
          </w:p>
        </w:tc>
      </w:tr>
      <w:tr w:rsidR="000A56C3" w:rsidRPr="00C861F1" w14:paraId="21F5DEB6" w14:textId="77777777" w:rsidTr="00C861F1">
        <w:trPr>
          <w:trHeight w:val="233"/>
          <w:jc w:val="center"/>
        </w:trPr>
        <w:tc>
          <w:tcPr>
            <w:tcW w:w="6793" w:type="dxa"/>
            <w:tcBorders>
              <w:top w:val="nil"/>
              <w:left w:val="single" w:sz="4" w:space="0" w:color="auto"/>
              <w:bottom w:val="nil"/>
              <w:right w:val="nil"/>
            </w:tcBorders>
            <w:shd w:val="clear" w:color="auto" w:fill="auto"/>
          </w:tcPr>
          <w:p w14:paraId="568EF402" w14:textId="77777777" w:rsidR="000A56C3" w:rsidRPr="00C861F1" w:rsidRDefault="000A56C3" w:rsidP="0003657F">
            <w:pPr>
              <w:jc w:val="both"/>
              <w:rPr>
                <w:bCs/>
                <w:lang w:val="en-US"/>
              </w:rPr>
            </w:pPr>
            <w:r w:rsidRPr="00C861F1">
              <w:rPr>
                <w:bCs/>
                <w:lang w:val="en-US"/>
              </w:rPr>
              <w:t xml:space="preserve">     LVEF </w:t>
            </w:r>
            <w:r w:rsidRPr="00C861F1">
              <w:t>≤50%</w:t>
            </w:r>
          </w:p>
        </w:tc>
        <w:tc>
          <w:tcPr>
            <w:tcW w:w="3684" w:type="dxa"/>
            <w:tcBorders>
              <w:top w:val="nil"/>
              <w:left w:val="nil"/>
              <w:bottom w:val="nil"/>
              <w:right w:val="nil"/>
            </w:tcBorders>
            <w:shd w:val="clear" w:color="auto" w:fill="92D050"/>
          </w:tcPr>
          <w:p w14:paraId="4533D37B" w14:textId="77777777" w:rsidR="000A56C3" w:rsidRPr="00C861F1" w:rsidRDefault="000A56C3" w:rsidP="0003657F">
            <w:pPr>
              <w:pStyle w:val="NormalWeb"/>
              <w:snapToGrid w:val="0"/>
              <w:spacing w:before="0" w:beforeAutospacing="0" w:after="0" w:afterAutospacing="0"/>
              <w:contextualSpacing/>
              <w:jc w:val="center"/>
              <w:rPr>
                <w:b/>
              </w:rPr>
            </w:pPr>
            <w:r w:rsidRPr="00C861F1">
              <w:rPr>
                <w:b/>
              </w:rPr>
              <w:t>I-B</w:t>
            </w:r>
          </w:p>
        </w:tc>
        <w:tc>
          <w:tcPr>
            <w:tcW w:w="3680" w:type="dxa"/>
            <w:tcBorders>
              <w:top w:val="nil"/>
              <w:left w:val="nil"/>
              <w:bottom w:val="nil"/>
              <w:right w:val="single" w:sz="4" w:space="0" w:color="auto"/>
            </w:tcBorders>
            <w:shd w:val="clear" w:color="auto" w:fill="92D050"/>
          </w:tcPr>
          <w:p w14:paraId="7044FEF5" w14:textId="77777777" w:rsidR="000A56C3" w:rsidRPr="00C861F1" w:rsidRDefault="000A56C3" w:rsidP="0003657F">
            <w:pPr>
              <w:pStyle w:val="NormalWeb"/>
              <w:snapToGrid w:val="0"/>
              <w:spacing w:before="0" w:beforeAutospacing="0" w:after="0" w:afterAutospacing="0"/>
              <w:contextualSpacing/>
              <w:jc w:val="center"/>
              <w:rPr>
                <w:b/>
              </w:rPr>
            </w:pPr>
            <w:r w:rsidRPr="00C861F1">
              <w:rPr>
                <w:b/>
              </w:rPr>
              <w:t>I-B</w:t>
            </w:r>
          </w:p>
        </w:tc>
      </w:tr>
      <w:tr w:rsidR="000A56C3" w:rsidRPr="00C861F1" w14:paraId="0277B288" w14:textId="77777777" w:rsidTr="00C861F1">
        <w:trPr>
          <w:trHeight w:val="233"/>
          <w:jc w:val="center"/>
        </w:trPr>
        <w:tc>
          <w:tcPr>
            <w:tcW w:w="6793" w:type="dxa"/>
            <w:tcBorders>
              <w:top w:val="nil"/>
              <w:left w:val="single" w:sz="4" w:space="0" w:color="auto"/>
              <w:bottom w:val="nil"/>
              <w:right w:val="nil"/>
            </w:tcBorders>
            <w:shd w:val="clear" w:color="auto" w:fill="auto"/>
          </w:tcPr>
          <w:p w14:paraId="706DC08F" w14:textId="77777777" w:rsidR="000A56C3" w:rsidRPr="00C861F1" w:rsidRDefault="000A56C3" w:rsidP="0003657F">
            <w:pPr>
              <w:jc w:val="both"/>
              <w:rPr>
                <w:bCs/>
                <w:lang w:val="en-US"/>
              </w:rPr>
            </w:pPr>
            <w:r w:rsidRPr="00C861F1">
              <w:rPr>
                <w:bCs/>
                <w:lang w:val="en-US"/>
              </w:rPr>
              <w:t xml:space="preserve">     Progressive decline in LVEF to 55-60% on </w:t>
            </w:r>
            <w:r w:rsidRPr="00C861F1">
              <w:rPr>
                <w:bCs/>
                <w:lang w:val="en-CA"/>
              </w:rPr>
              <w:t>on 3 serial studies</w:t>
            </w:r>
          </w:p>
        </w:tc>
        <w:tc>
          <w:tcPr>
            <w:tcW w:w="3684" w:type="dxa"/>
            <w:tcBorders>
              <w:top w:val="nil"/>
              <w:left w:val="nil"/>
              <w:bottom w:val="nil"/>
              <w:right w:val="nil"/>
            </w:tcBorders>
            <w:shd w:val="clear" w:color="auto" w:fill="FFC000"/>
          </w:tcPr>
          <w:p w14:paraId="3D8122FD" w14:textId="77777777" w:rsidR="000A56C3" w:rsidRPr="00C861F1" w:rsidRDefault="000A56C3" w:rsidP="0003657F">
            <w:pPr>
              <w:pStyle w:val="NormalWeb"/>
              <w:snapToGrid w:val="0"/>
              <w:spacing w:before="0" w:beforeAutospacing="0" w:after="0" w:afterAutospacing="0"/>
              <w:contextualSpacing/>
              <w:jc w:val="center"/>
              <w:rPr>
                <w:b/>
              </w:rPr>
            </w:pPr>
            <w:r w:rsidRPr="00C861F1">
              <w:rPr>
                <w:b/>
              </w:rPr>
              <w:t>IIb-B</w:t>
            </w:r>
          </w:p>
        </w:tc>
        <w:tc>
          <w:tcPr>
            <w:tcW w:w="3680" w:type="dxa"/>
            <w:tcBorders>
              <w:top w:val="nil"/>
              <w:left w:val="nil"/>
              <w:bottom w:val="nil"/>
              <w:right w:val="single" w:sz="4" w:space="0" w:color="auto"/>
            </w:tcBorders>
            <w:shd w:val="clear" w:color="auto" w:fill="92D050"/>
          </w:tcPr>
          <w:p w14:paraId="1E281343" w14:textId="77777777" w:rsidR="000A56C3" w:rsidRPr="00C861F1" w:rsidRDefault="000A56C3" w:rsidP="0003657F">
            <w:pPr>
              <w:pStyle w:val="NormalWeb"/>
              <w:snapToGrid w:val="0"/>
              <w:spacing w:before="0" w:beforeAutospacing="0" w:after="0" w:afterAutospacing="0"/>
              <w:contextualSpacing/>
              <w:jc w:val="center"/>
              <w:rPr>
                <w:b/>
              </w:rPr>
            </w:pPr>
          </w:p>
        </w:tc>
      </w:tr>
      <w:tr w:rsidR="000A56C3" w:rsidRPr="00C861F1" w14:paraId="225E614D" w14:textId="77777777" w:rsidTr="00C861F1">
        <w:trPr>
          <w:trHeight w:val="233"/>
          <w:jc w:val="center"/>
        </w:trPr>
        <w:tc>
          <w:tcPr>
            <w:tcW w:w="6793" w:type="dxa"/>
            <w:tcBorders>
              <w:top w:val="nil"/>
              <w:left w:val="single" w:sz="4" w:space="0" w:color="auto"/>
              <w:bottom w:val="nil"/>
              <w:right w:val="nil"/>
            </w:tcBorders>
            <w:shd w:val="clear" w:color="auto" w:fill="auto"/>
          </w:tcPr>
          <w:p w14:paraId="4508BFEE" w14:textId="77777777" w:rsidR="000A56C3" w:rsidRPr="00C861F1" w:rsidRDefault="000A56C3" w:rsidP="0003657F">
            <w:pPr>
              <w:jc w:val="both"/>
              <w:rPr>
                <w:bCs/>
                <w:lang w:val="en-US"/>
              </w:rPr>
            </w:pPr>
            <w:r w:rsidRPr="00C861F1">
              <w:rPr>
                <w:bCs/>
                <w:lang w:val="en-US"/>
              </w:rPr>
              <w:t xml:space="preserve">     LVESD </w:t>
            </w:r>
            <w:r w:rsidRPr="00C861F1">
              <w:rPr>
                <w:lang w:val="en-US"/>
              </w:rPr>
              <w:t>&gt;50mm or &gt;25mm/m</w:t>
            </w:r>
            <w:r w:rsidRPr="00C861F1">
              <w:rPr>
                <w:vertAlign w:val="superscript"/>
                <w:lang w:val="en-US"/>
              </w:rPr>
              <w:t>2</w:t>
            </w:r>
          </w:p>
        </w:tc>
        <w:tc>
          <w:tcPr>
            <w:tcW w:w="3684" w:type="dxa"/>
            <w:tcBorders>
              <w:top w:val="nil"/>
              <w:left w:val="nil"/>
              <w:bottom w:val="nil"/>
              <w:right w:val="nil"/>
            </w:tcBorders>
            <w:shd w:val="clear" w:color="auto" w:fill="FFFF00"/>
          </w:tcPr>
          <w:p w14:paraId="7BB7F3F6" w14:textId="54E96E9F" w:rsidR="000A56C3" w:rsidRPr="00C861F1" w:rsidRDefault="000A56C3" w:rsidP="0003657F">
            <w:pPr>
              <w:pStyle w:val="NormalWeb"/>
              <w:snapToGrid w:val="0"/>
              <w:spacing w:before="0" w:beforeAutospacing="0" w:after="0" w:afterAutospacing="0"/>
              <w:contextualSpacing/>
              <w:jc w:val="center"/>
              <w:rPr>
                <w:b/>
              </w:rPr>
            </w:pPr>
            <w:proofErr w:type="spellStart"/>
            <w:r w:rsidRPr="00C861F1">
              <w:rPr>
                <w:b/>
              </w:rPr>
              <w:t>II</w:t>
            </w:r>
            <w:r w:rsidR="000B534A">
              <w:rPr>
                <w:b/>
              </w:rPr>
              <w:t>a</w:t>
            </w:r>
            <w:proofErr w:type="spellEnd"/>
            <w:r w:rsidRPr="00C861F1">
              <w:rPr>
                <w:b/>
              </w:rPr>
              <w:t>-B</w:t>
            </w:r>
          </w:p>
        </w:tc>
        <w:tc>
          <w:tcPr>
            <w:tcW w:w="3680" w:type="dxa"/>
            <w:tcBorders>
              <w:top w:val="nil"/>
              <w:left w:val="nil"/>
              <w:bottom w:val="nil"/>
              <w:right w:val="single" w:sz="4" w:space="0" w:color="auto"/>
            </w:tcBorders>
            <w:shd w:val="clear" w:color="auto" w:fill="92D050"/>
          </w:tcPr>
          <w:p w14:paraId="5B1727CA" w14:textId="77777777" w:rsidR="000A56C3" w:rsidRPr="00C861F1" w:rsidRDefault="000A56C3" w:rsidP="0003657F">
            <w:pPr>
              <w:pStyle w:val="NormalWeb"/>
              <w:snapToGrid w:val="0"/>
              <w:spacing w:before="0" w:beforeAutospacing="0" w:after="0" w:afterAutospacing="0"/>
              <w:contextualSpacing/>
              <w:jc w:val="center"/>
              <w:rPr>
                <w:b/>
              </w:rPr>
            </w:pPr>
            <w:r w:rsidRPr="00C861F1">
              <w:rPr>
                <w:b/>
              </w:rPr>
              <w:t>I-B</w:t>
            </w:r>
          </w:p>
        </w:tc>
      </w:tr>
      <w:tr w:rsidR="000A56C3" w:rsidRPr="00C861F1" w14:paraId="544EF3E2" w14:textId="77777777" w:rsidTr="00C861F1">
        <w:trPr>
          <w:trHeight w:val="227"/>
          <w:jc w:val="center"/>
        </w:trPr>
        <w:tc>
          <w:tcPr>
            <w:tcW w:w="6793" w:type="dxa"/>
            <w:tcBorders>
              <w:top w:val="nil"/>
              <w:left w:val="single" w:sz="4" w:space="0" w:color="auto"/>
              <w:bottom w:val="nil"/>
              <w:right w:val="nil"/>
            </w:tcBorders>
            <w:shd w:val="clear" w:color="auto" w:fill="auto"/>
          </w:tcPr>
          <w:p w14:paraId="19C7968D" w14:textId="77777777" w:rsidR="000A56C3" w:rsidRPr="00C861F1" w:rsidRDefault="000A56C3" w:rsidP="0003657F">
            <w:pPr>
              <w:pStyle w:val="NormalWeb"/>
              <w:spacing w:before="0" w:beforeAutospacing="0" w:after="0" w:afterAutospacing="0"/>
              <w:contextualSpacing/>
              <w:jc w:val="both"/>
              <w:rPr>
                <w:lang w:val="en-CA"/>
              </w:rPr>
            </w:pPr>
            <w:r w:rsidRPr="00C861F1">
              <w:rPr>
                <w:lang w:val="en-CA"/>
              </w:rPr>
              <w:t xml:space="preserve">     LVESD &gt;</w:t>
            </w:r>
            <w:r w:rsidRPr="00C861F1">
              <w:t>20mm/m</w:t>
            </w:r>
            <w:r w:rsidRPr="00C861F1">
              <w:rPr>
                <w:vertAlign w:val="superscript"/>
              </w:rPr>
              <w:t xml:space="preserve">2 </w:t>
            </w:r>
            <w:r w:rsidRPr="00C861F1">
              <w:t>if low risk</w:t>
            </w:r>
          </w:p>
        </w:tc>
        <w:tc>
          <w:tcPr>
            <w:tcW w:w="3684" w:type="dxa"/>
            <w:tcBorders>
              <w:top w:val="nil"/>
              <w:left w:val="nil"/>
              <w:bottom w:val="nil"/>
              <w:right w:val="nil"/>
            </w:tcBorders>
            <w:shd w:val="clear" w:color="auto" w:fill="auto"/>
          </w:tcPr>
          <w:p w14:paraId="18E74EF4" w14:textId="77777777" w:rsidR="000A56C3" w:rsidRPr="00C861F1" w:rsidRDefault="000A56C3" w:rsidP="0003657F">
            <w:pPr>
              <w:pStyle w:val="NormalWeb"/>
              <w:snapToGrid w:val="0"/>
              <w:spacing w:before="0" w:beforeAutospacing="0" w:after="0" w:afterAutospacing="0"/>
              <w:contextualSpacing/>
              <w:jc w:val="center"/>
              <w:rPr>
                <w:bCs/>
              </w:rPr>
            </w:pPr>
          </w:p>
        </w:tc>
        <w:tc>
          <w:tcPr>
            <w:tcW w:w="3680" w:type="dxa"/>
            <w:tcBorders>
              <w:top w:val="nil"/>
              <w:left w:val="nil"/>
              <w:bottom w:val="nil"/>
              <w:right w:val="single" w:sz="4" w:space="0" w:color="auto"/>
            </w:tcBorders>
            <w:shd w:val="clear" w:color="auto" w:fill="FFC000"/>
          </w:tcPr>
          <w:p w14:paraId="7CCCB529" w14:textId="77777777" w:rsidR="000A56C3" w:rsidRPr="00C861F1" w:rsidRDefault="000A56C3" w:rsidP="0003657F">
            <w:pPr>
              <w:pStyle w:val="NormalWeb"/>
              <w:snapToGrid w:val="0"/>
              <w:spacing w:before="0" w:beforeAutospacing="0" w:after="0" w:afterAutospacing="0"/>
              <w:contextualSpacing/>
              <w:jc w:val="center"/>
              <w:rPr>
                <w:bCs/>
              </w:rPr>
            </w:pPr>
            <w:r w:rsidRPr="00C861F1">
              <w:rPr>
                <w:b/>
              </w:rPr>
              <w:t>IIb-B</w:t>
            </w:r>
          </w:p>
        </w:tc>
      </w:tr>
      <w:tr w:rsidR="000A56C3" w:rsidRPr="00C861F1" w14:paraId="21DF13F3" w14:textId="77777777" w:rsidTr="00C861F1">
        <w:trPr>
          <w:trHeight w:val="227"/>
          <w:jc w:val="center"/>
        </w:trPr>
        <w:tc>
          <w:tcPr>
            <w:tcW w:w="6793" w:type="dxa"/>
            <w:tcBorders>
              <w:top w:val="nil"/>
              <w:left w:val="single" w:sz="4" w:space="0" w:color="auto"/>
              <w:bottom w:val="nil"/>
              <w:right w:val="nil"/>
            </w:tcBorders>
            <w:shd w:val="clear" w:color="auto" w:fill="D9E2F3" w:themeFill="accent5" w:themeFillTint="33"/>
          </w:tcPr>
          <w:p w14:paraId="73EF0708" w14:textId="77777777" w:rsidR="000A56C3" w:rsidRPr="00C861F1" w:rsidRDefault="000A56C3" w:rsidP="0003657F">
            <w:pPr>
              <w:pStyle w:val="NormalWeb"/>
              <w:spacing w:before="0" w:beforeAutospacing="0" w:after="0" w:afterAutospacing="0"/>
              <w:contextualSpacing/>
              <w:jc w:val="both"/>
              <w:rPr>
                <w:lang w:val="en-CA"/>
              </w:rPr>
            </w:pPr>
            <w:r w:rsidRPr="00C861F1">
              <w:rPr>
                <w:lang w:val="en-CA"/>
              </w:rPr>
              <w:t>Severe AR undergoing other cardiac surgery</w:t>
            </w:r>
          </w:p>
        </w:tc>
        <w:tc>
          <w:tcPr>
            <w:tcW w:w="3684" w:type="dxa"/>
            <w:tcBorders>
              <w:top w:val="nil"/>
              <w:left w:val="nil"/>
              <w:bottom w:val="nil"/>
              <w:right w:val="nil"/>
            </w:tcBorders>
            <w:shd w:val="clear" w:color="auto" w:fill="92D050"/>
          </w:tcPr>
          <w:p w14:paraId="33EDA742" w14:textId="77777777" w:rsidR="000A56C3" w:rsidRPr="00C861F1" w:rsidRDefault="000A56C3" w:rsidP="0003657F">
            <w:pPr>
              <w:pStyle w:val="NormalWeb"/>
              <w:snapToGrid w:val="0"/>
              <w:spacing w:before="0" w:beforeAutospacing="0" w:after="0" w:afterAutospacing="0"/>
              <w:contextualSpacing/>
              <w:jc w:val="center"/>
              <w:rPr>
                <w:b/>
              </w:rPr>
            </w:pPr>
            <w:r w:rsidRPr="00C861F1">
              <w:rPr>
                <w:b/>
              </w:rPr>
              <w:t>I-C</w:t>
            </w:r>
          </w:p>
        </w:tc>
        <w:tc>
          <w:tcPr>
            <w:tcW w:w="3680" w:type="dxa"/>
            <w:tcBorders>
              <w:top w:val="nil"/>
              <w:left w:val="nil"/>
              <w:bottom w:val="nil"/>
              <w:right w:val="single" w:sz="4" w:space="0" w:color="auto"/>
            </w:tcBorders>
            <w:shd w:val="clear" w:color="auto" w:fill="92D050"/>
          </w:tcPr>
          <w:p w14:paraId="3F365170" w14:textId="77777777" w:rsidR="000A56C3" w:rsidRPr="00C861F1" w:rsidRDefault="000A56C3" w:rsidP="0003657F">
            <w:pPr>
              <w:pStyle w:val="NormalWeb"/>
              <w:snapToGrid w:val="0"/>
              <w:spacing w:before="0" w:beforeAutospacing="0" w:after="0" w:afterAutospacing="0"/>
              <w:contextualSpacing/>
              <w:jc w:val="center"/>
              <w:rPr>
                <w:b/>
              </w:rPr>
            </w:pPr>
            <w:r w:rsidRPr="00C861F1">
              <w:rPr>
                <w:b/>
              </w:rPr>
              <w:t>I-C</w:t>
            </w:r>
          </w:p>
        </w:tc>
      </w:tr>
      <w:tr w:rsidR="000A56C3" w:rsidRPr="00C861F1" w14:paraId="6A20EFAE" w14:textId="77777777" w:rsidTr="00C861F1">
        <w:trPr>
          <w:trHeight w:val="227"/>
          <w:jc w:val="center"/>
        </w:trPr>
        <w:tc>
          <w:tcPr>
            <w:tcW w:w="6793" w:type="dxa"/>
            <w:tcBorders>
              <w:top w:val="nil"/>
              <w:left w:val="single" w:sz="4" w:space="0" w:color="auto"/>
              <w:bottom w:val="nil"/>
              <w:right w:val="nil"/>
            </w:tcBorders>
            <w:shd w:val="clear" w:color="auto" w:fill="auto"/>
          </w:tcPr>
          <w:p w14:paraId="060D1817" w14:textId="77777777" w:rsidR="000A56C3" w:rsidRPr="00C861F1" w:rsidRDefault="000A56C3" w:rsidP="0003657F">
            <w:pPr>
              <w:pStyle w:val="NormalWeb"/>
              <w:spacing w:before="0" w:beforeAutospacing="0" w:after="0" w:afterAutospacing="0"/>
              <w:contextualSpacing/>
              <w:jc w:val="both"/>
              <w:rPr>
                <w:lang w:val="en-CA"/>
              </w:rPr>
            </w:pPr>
            <w:r w:rsidRPr="00C861F1">
              <w:rPr>
                <w:lang w:val="en-CA"/>
              </w:rPr>
              <w:t>Moderate AR undergoing other cardiac surgery</w:t>
            </w:r>
          </w:p>
        </w:tc>
        <w:tc>
          <w:tcPr>
            <w:tcW w:w="3684" w:type="dxa"/>
            <w:tcBorders>
              <w:top w:val="nil"/>
              <w:left w:val="nil"/>
              <w:bottom w:val="nil"/>
              <w:right w:val="nil"/>
            </w:tcBorders>
            <w:shd w:val="clear" w:color="auto" w:fill="FFFF00"/>
          </w:tcPr>
          <w:p w14:paraId="3F61D06B" w14:textId="77777777" w:rsidR="000A56C3" w:rsidRPr="00C861F1" w:rsidRDefault="000A56C3" w:rsidP="0003657F">
            <w:pPr>
              <w:pStyle w:val="NormalWeb"/>
              <w:snapToGrid w:val="0"/>
              <w:spacing w:before="0" w:beforeAutospacing="0" w:after="0" w:afterAutospacing="0"/>
              <w:contextualSpacing/>
              <w:jc w:val="center"/>
              <w:rPr>
                <w:b/>
              </w:rPr>
            </w:pPr>
            <w:proofErr w:type="spellStart"/>
            <w:r w:rsidRPr="00C861F1">
              <w:rPr>
                <w:b/>
              </w:rPr>
              <w:t>IIa</w:t>
            </w:r>
            <w:proofErr w:type="spellEnd"/>
            <w:r w:rsidRPr="00C861F1">
              <w:rPr>
                <w:b/>
              </w:rPr>
              <w:t>-C</w:t>
            </w:r>
          </w:p>
        </w:tc>
        <w:tc>
          <w:tcPr>
            <w:tcW w:w="3680" w:type="dxa"/>
            <w:tcBorders>
              <w:top w:val="nil"/>
              <w:left w:val="nil"/>
              <w:bottom w:val="nil"/>
              <w:right w:val="single" w:sz="4" w:space="0" w:color="auto"/>
            </w:tcBorders>
            <w:shd w:val="clear" w:color="auto" w:fill="auto"/>
          </w:tcPr>
          <w:p w14:paraId="26857D34" w14:textId="77777777" w:rsidR="000A56C3" w:rsidRPr="00C861F1" w:rsidRDefault="000A56C3" w:rsidP="0003657F">
            <w:pPr>
              <w:pStyle w:val="NormalWeb"/>
              <w:snapToGrid w:val="0"/>
              <w:spacing w:before="0" w:beforeAutospacing="0" w:after="0" w:afterAutospacing="0"/>
              <w:contextualSpacing/>
              <w:jc w:val="center"/>
              <w:rPr>
                <w:bCs/>
              </w:rPr>
            </w:pPr>
          </w:p>
        </w:tc>
      </w:tr>
      <w:tr w:rsidR="000A56C3" w:rsidRPr="00C861F1" w14:paraId="4CC56666" w14:textId="77777777" w:rsidTr="00C861F1">
        <w:trPr>
          <w:trHeight w:val="227"/>
          <w:jc w:val="center"/>
        </w:trPr>
        <w:tc>
          <w:tcPr>
            <w:tcW w:w="6793" w:type="dxa"/>
            <w:tcBorders>
              <w:top w:val="nil"/>
              <w:left w:val="single" w:sz="4" w:space="0" w:color="auto"/>
              <w:bottom w:val="single" w:sz="4" w:space="0" w:color="auto"/>
              <w:right w:val="nil"/>
            </w:tcBorders>
            <w:shd w:val="clear" w:color="auto" w:fill="D9E2F3" w:themeFill="accent5" w:themeFillTint="33"/>
          </w:tcPr>
          <w:p w14:paraId="0C97E478" w14:textId="77777777" w:rsidR="000A56C3" w:rsidRPr="00C861F1" w:rsidRDefault="000A56C3" w:rsidP="0003657F">
            <w:pPr>
              <w:pStyle w:val="NormalWeb"/>
              <w:spacing w:before="0" w:beforeAutospacing="0" w:after="0" w:afterAutospacing="0"/>
              <w:contextualSpacing/>
              <w:jc w:val="both"/>
              <w:rPr>
                <w:lang w:val="en-CA"/>
              </w:rPr>
            </w:pPr>
            <w:r w:rsidRPr="00C861F1">
              <w:rPr>
                <w:lang w:val="en-CA"/>
              </w:rPr>
              <w:t>Aortic valve repair i</w:t>
            </w:r>
            <w:r w:rsidRPr="00C861F1">
              <w:rPr>
                <w:bCs/>
                <w:lang w:val="en-CA"/>
              </w:rPr>
              <w:t>n selected patients at experienced centres when durable results are expected</w:t>
            </w:r>
          </w:p>
        </w:tc>
        <w:tc>
          <w:tcPr>
            <w:tcW w:w="3684" w:type="dxa"/>
            <w:tcBorders>
              <w:top w:val="nil"/>
              <w:left w:val="nil"/>
              <w:bottom w:val="single" w:sz="4" w:space="0" w:color="auto"/>
              <w:right w:val="nil"/>
            </w:tcBorders>
            <w:shd w:val="clear" w:color="auto" w:fill="auto"/>
          </w:tcPr>
          <w:p w14:paraId="3A24858B" w14:textId="77777777" w:rsidR="000A56C3" w:rsidRPr="00C861F1" w:rsidRDefault="000A56C3" w:rsidP="0003657F">
            <w:pPr>
              <w:pStyle w:val="NormalWeb"/>
              <w:snapToGrid w:val="0"/>
              <w:spacing w:before="0" w:beforeAutospacing="0" w:after="0" w:afterAutospacing="0"/>
              <w:contextualSpacing/>
              <w:jc w:val="center"/>
              <w:rPr>
                <w:bCs/>
              </w:rPr>
            </w:pPr>
          </w:p>
        </w:tc>
        <w:tc>
          <w:tcPr>
            <w:tcW w:w="3680" w:type="dxa"/>
            <w:tcBorders>
              <w:top w:val="nil"/>
              <w:left w:val="nil"/>
              <w:bottom w:val="single" w:sz="4" w:space="0" w:color="auto"/>
              <w:right w:val="single" w:sz="4" w:space="0" w:color="auto"/>
            </w:tcBorders>
            <w:shd w:val="clear" w:color="auto" w:fill="FFC000"/>
            <w:vAlign w:val="center"/>
          </w:tcPr>
          <w:p w14:paraId="2623F6F2" w14:textId="77777777" w:rsidR="000A56C3" w:rsidRPr="00C861F1" w:rsidRDefault="000A56C3" w:rsidP="0003657F">
            <w:pPr>
              <w:pStyle w:val="NormalWeb"/>
              <w:snapToGrid w:val="0"/>
              <w:spacing w:before="0" w:beforeAutospacing="0" w:after="0" w:afterAutospacing="0"/>
              <w:contextualSpacing/>
              <w:jc w:val="center"/>
              <w:rPr>
                <w:b/>
              </w:rPr>
            </w:pPr>
            <w:r w:rsidRPr="00C861F1">
              <w:rPr>
                <w:b/>
              </w:rPr>
              <w:t>IIb-C</w:t>
            </w:r>
          </w:p>
        </w:tc>
      </w:tr>
    </w:tbl>
    <w:p w14:paraId="3E57B40E" w14:textId="326CFAB7" w:rsidR="001B70A5" w:rsidRPr="00DF2FD7" w:rsidRDefault="00C65FCA" w:rsidP="000B534A">
      <w:pPr>
        <w:jc w:val="center"/>
        <w:rPr>
          <w:sz w:val="22"/>
          <w:szCs w:val="22"/>
          <w:lang w:val="en-CA"/>
        </w:rPr>
      </w:pPr>
      <w:r w:rsidRPr="00DF2FD7">
        <w:rPr>
          <w:sz w:val="22"/>
          <w:szCs w:val="22"/>
          <w:lang w:val="en-CA"/>
        </w:rPr>
        <w:t>AR: aortic regurgitation</w:t>
      </w:r>
      <w:r w:rsidR="001B70A5" w:rsidRPr="00DF2FD7">
        <w:rPr>
          <w:sz w:val="22"/>
          <w:szCs w:val="22"/>
          <w:lang w:val="en-CA"/>
        </w:rPr>
        <w:t>; LVEF: left ventricular ejection fraction; LVESD: left ventricular end-systolic diameter</w:t>
      </w:r>
    </w:p>
    <w:p w14:paraId="18125A1C" w14:textId="77777777" w:rsidR="00E031A3" w:rsidRPr="004B22FA" w:rsidRDefault="00E031A3" w:rsidP="000A56C3">
      <w:pPr>
        <w:jc w:val="center"/>
        <w:rPr>
          <w:b/>
          <w:lang w:val="en-CA"/>
        </w:rPr>
      </w:pPr>
    </w:p>
    <w:p w14:paraId="3028A1E2" w14:textId="3A828C64" w:rsidR="0024724A" w:rsidRPr="004B22FA" w:rsidRDefault="0024724A" w:rsidP="00C53C37">
      <w:pPr>
        <w:spacing w:line="480" w:lineRule="auto"/>
        <w:jc w:val="both"/>
        <w:rPr>
          <w:lang w:val="en-CA"/>
        </w:rPr>
      </w:pPr>
    </w:p>
    <w:p w14:paraId="6A5C8F0B" w14:textId="77777777" w:rsidR="00407F6C" w:rsidRPr="004B22FA" w:rsidRDefault="00407F6C" w:rsidP="00C53C37">
      <w:pPr>
        <w:spacing w:line="480" w:lineRule="auto"/>
        <w:jc w:val="both"/>
        <w:rPr>
          <w:lang w:val="en-CA"/>
        </w:rPr>
      </w:pPr>
    </w:p>
    <w:p w14:paraId="73C6C4C0" w14:textId="6F795875" w:rsidR="006C03D7" w:rsidRPr="004B22FA" w:rsidRDefault="006C03D7">
      <w:pPr>
        <w:rPr>
          <w:lang w:val="en-CA"/>
        </w:rPr>
      </w:pPr>
      <w:r w:rsidRPr="004B22FA">
        <w:rPr>
          <w:lang w:val="en-CA"/>
        </w:rPr>
        <w:br w:type="page"/>
      </w:r>
    </w:p>
    <w:p w14:paraId="77E5FFC9" w14:textId="39D1576D" w:rsidR="00833F91" w:rsidRDefault="00020698" w:rsidP="006A61B8">
      <w:pPr>
        <w:rPr>
          <w:b/>
          <w:lang w:val="en-CA"/>
        </w:rPr>
      </w:pPr>
      <w:r w:rsidRPr="006842A1">
        <w:rPr>
          <w:b/>
          <w:lang w:val="en-CA"/>
        </w:rPr>
        <w:lastRenderedPageBreak/>
        <w:t xml:space="preserve">TABLE </w:t>
      </w:r>
      <w:r>
        <w:rPr>
          <w:b/>
          <w:lang w:val="en-CA"/>
        </w:rPr>
        <w:t>3</w:t>
      </w:r>
      <w:r w:rsidR="006C0605">
        <w:rPr>
          <w:b/>
          <w:lang w:val="en-CA"/>
        </w:rPr>
        <w:t>.</w:t>
      </w:r>
      <w:r w:rsidRPr="006842A1">
        <w:rPr>
          <w:b/>
          <w:lang w:val="en-CA"/>
        </w:rPr>
        <w:t xml:space="preserve"> </w:t>
      </w:r>
      <w:r w:rsidR="0031101E" w:rsidRPr="008309AF">
        <w:rPr>
          <w:rFonts w:eastAsiaTheme="minorHAnsi"/>
          <w:b/>
          <w:lang w:val="en-US" w:eastAsia="en-US"/>
        </w:rPr>
        <w:t xml:space="preserve">Selected </w:t>
      </w:r>
      <w:r w:rsidR="0031101E">
        <w:rPr>
          <w:rFonts w:eastAsiaTheme="minorHAnsi"/>
          <w:b/>
          <w:lang w:val="en-US" w:eastAsia="en-US"/>
        </w:rPr>
        <w:t>r</w:t>
      </w:r>
      <w:r w:rsidR="0031101E" w:rsidRPr="008309AF">
        <w:rPr>
          <w:rFonts w:eastAsiaTheme="minorHAnsi"/>
          <w:b/>
          <w:lang w:val="en-US" w:eastAsia="en-US"/>
        </w:rPr>
        <w:t xml:space="preserve">ecommendations </w:t>
      </w:r>
      <w:r w:rsidR="0031101E">
        <w:rPr>
          <w:rFonts w:eastAsiaTheme="minorHAnsi"/>
          <w:b/>
          <w:lang w:val="en-US" w:eastAsia="en-US"/>
        </w:rPr>
        <w:t xml:space="preserve">on </w:t>
      </w:r>
      <w:r w:rsidR="0031101E">
        <w:rPr>
          <w:b/>
          <w:lang w:val="en-CA"/>
        </w:rPr>
        <w:t>m</w:t>
      </w:r>
      <w:r w:rsidR="002E59D0">
        <w:rPr>
          <w:b/>
          <w:lang w:val="en-CA"/>
        </w:rPr>
        <w:t xml:space="preserve">anagement of Chronic </w:t>
      </w:r>
      <w:r w:rsidR="00CA0665" w:rsidRPr="00CA0665">
        <w:rPr>
          <w:b/>
          <w:color w:val="FF0000"/>
          <w:lang w:val="en-CA"/>
        </w:rPr>
        <w:t xml:space="preserve">Mitral </w:t>
      </w:r>
      <w:r w:rsidR="002E59D0">
        <w:rPr>
          <w:b/>
          <w:lang w:val="en-CA"/>
        </w:rPr>
        <w:t>Regurgitation</w:t>
      </w:r>
    </w:p>
    <w:p w14:paraId="1C893227" w14:textId="77777777" w:rsidR="00C861F1" w:rsidRDefault="00C861F1" w:rsidP="003B3DBB">
      <w:pPr>
        <w:rPr>
          <w:sz w:val="20"/>
          <w:szCs w:val="20"/>
          <w:lang w:val="en-US"/>
        </w:rPr>
      </w:pPr>
    </w:p>
    <w:tbl>
      <w:tblPr>
        <w:tblStyle w:val="TableGrid"/>
        <w:tblW w:w="15583" w:type="dxa"/>
        <w:jc w:val="center"/>
        <w:tblBorders>
          <w:insideH w:val="none" w:sz="0" w:space="0" w:color="auto"/>
          <w:insideV w:val="none" w:sz="0" w:space="0" w:color="auto"/>
        </w:tblBorders>
        <w:tblLook w:val="04A0" w:firstRow="1" w:lastRow="0" w:firstColumn="1" w:lastColumn="0" w:noHBand="0" w:noVBand="1"/>
      </w:tblPr>
      <w:tblGrid>
        <w:gridCol w:w="8293"/>
        <w:gridCol w:w="3647"/>
        <w:gridCol w:w="3643"/>
      </w:tblGrid>
      <w:tr w:rsidR="0031101E" w:rsidRPr="00FF75DB" w14:paraId="4EADA9EA" w14:textId="77777777" w:rsidTr="0031101E">
        <w:trPr>
          <w:trHeight w:val="408"/>
          <w:jc w:val="center"/>
        </w:trPr>
        <w:tc>
          <w:tcPr>
            <w:tcW w:w="8293" w:type="dxa"/>
            <w:tcBorders>
              <w:bottom w:val="single" w:sz="4" w:space="0" w:color="auto"/>
            </w:tcBorders>
            <w:shd w:val="clear" w:color="auto" w:fill="auto"/>
            <w:vAlign w:val="center"/>
          </w:tcPr>
          <w:p w14:paraId="0F13EF8D" w14:textId="77777777" w:rsidR="00C861F1" w:rsidRPr="00FF75DB" w:rsidRDefault="00C861F1" w:rsidP="0003657F">
            <w:pPr>
              <w:contextualSpacing/>
              <w:jc w:val="center"/>
              <w:rPr>
                <w:b/>
                <w:bCs/>
              </w:rPr>
            </w:pPr>
            <w:proofErr w:type="spellStart"/>
            <w:r w:rsidRPr="00FF75DB">
              <w:rPr>
                <w:b/>
                <w:bCs/>
              </w:rPr>
              <w:t>Recommendation</w:t>
            </w:r>
            <w:proofErr w:type="spellEnd"/>
          </w:p>
        </w:tc>
        <w:tc>
          <w:tcPr>
            <w:tcW w:w="3647" w:type="dxa"/>
            <w:tcBorders>
              <w:bottom w:val="single" w:sz="4" w:space="0" w:color="auto"/>
            </w:tcBorders>
            <w:vAlign w:val="center"/>
          </w:tcPr>
          <w:p w14:paraId="0AD9A082" w14:textId="77777777" w:rsidR="00C861F1" w:rsidRPr="00FF75DB" w:rsidRDefault="00C861F1" w:rsidP="0003657F">
            <w:pPr>
              <w:contextualSpacing/>
              <w:jc w:val="center"/>
              <w:rPr>
                <w:b/>
                <w:bCs/>
                <w:lang w:val="en-US"/>
              </w:rPr>
            </w:pPr>
            <w:r w:rsidRPr="00FF75DB">
              <w:rPr>
                <w:b/>
                <w:bCs/>
                <w:lang w:val="en-US"/>
              </w:rPr>
              <w:t xml:space="preserve">American </w:t>
            </w:r>
          </w:p>
        </w:tc>
        <w:tc>
          <w:tcPr>
            <w:tcW w:w="3643" w:type="dxa"/>
            <w:tcBorders>
              <w:bottom w:val="single" w:sz="4" w:space="0" w:color="auto"/>
            </w:tcBorders>
            <w:vAlign w:val="center"/>
          </w:tcPr>
          <w:p w14:paraId="59EF5C1D" w14:textId="77777777" w:rsidR="00C861F1" w:rsidRPr="00FF75DB" w:rsidRDefault="00C861F1" w:rsidP="0003657F">
            <w:pPr>
              <w:contextualSpacing/>
              <w:jc w:val="center"/>
              <w:rPr>
                <w:b/>
                <w:bCs/>
              </w:rPr>
            </w:pPr>
            <w:r w:rsidRPr="00FF75DB">
              <w:rPr>
                <w:b/>
                <w:bCs/>
                <w:lang w:val="en-US"/>
              </w:rPr>
              <w:t>European</w:t>
            </w:r>
          </w:p>
        </w:tc>
      </w:tr>
      <w:tr w:rsidR="00DF2FD7" w:rsidRPr="00FF75DB" w14:paraId="133CD299" w14:textId="77777777" w:rsidTr="0031101E">
        <w:trPr>
          <w:trHeight w:val="85"/>
          <w:jc w:val="center"/>
        </w:trPr>
        <w:tc>
          <w:tcPr>
            <w:tcW w:w="8293" w:type="dxa"/>
            <w:tcBorders>
              <w:top w:val="single" w:sz="4" w:space="0" w:color="auto"/>
              <w:bottom w:val="single" w:sz="4" w:space="0" w:color="auto"/>
            </w:tcBorders>
            <w:shd w:val="clear" w:color="auto" w:fill="E7E6E6" w:themeFill="background2"/>
          </w:tcPr>
          <w:p w14:paraId="3F4C63ED" w14:textId="7DC3CC3A" w:rsidR="00DF2FD7" w:rsidRPr="00DF2FD7" w:rsidRDefault="00DF2FD7" w:rsidP="0003657F">
            <w:pPr>
              <w:pStyle w:val="NormalWeb"/>
              <w:snapToGrid w:val="0"/>
              <w:spacing w:before="0" w:beforeAutospacing="0" w:after="0" w:afterAutospacing="0"/>
              <w:contextualSpacing/>
              <w:jc w:val="both"/>
              <w:rPr>
                <w:b/>
              </w:rPr>
            </w:pPr>
            <w:r w:rsidRPr="00DF2FD7">
              <w:rPr>
                <w:b/>
              </w:rPr>
              <w:t>PRIMARY MR</w:t>
            </w:r>
          </w:p>
        </w:tc>
        <w:tc>
          <w:tcPr>
            <w:tcW w:w="3647" w:type="dxa"/>
            <w:tcBorders>
              <w:top w:val="single" w:sz="4" w:space="0" w:color="auto"/>
              <w:bottom w:val="single" w:sz="4" w:space="0" w:color="auto"/>
            </w:tcBorders>
            <w:shd w:val="clear" w:color="auto" w:fill="E7E6E6" w:themeFill="background2"/>
          </w:tcPr>
          <w:p w14:paraId="70A25DB3" w14:textId="77777777" w:rsidR="00DF2FD7" w:rsidRPr="00FF75DB" w:rsidRDefault="00DF2FD7" w:rsidP="0003657F">
            <w:pPr>
              <w:pStyle w:val="NormalWeb"/>
              <w:snapToGrid w:val="0"/>
              <w:spacing w:before="0" w:beforeAutospacing="0" w:after="0" w:afterAutospacing="0"/>
              <w:contextualSpacing/>
              <w:jc w:val="center"/>
              <w:rPr>
                <w:b/>
              </w:rPr>
            </w:pPr>
          </w:p>
        </w:tc>
        <w:tc>
          <w:tcPr>
            <w:tcW w:w="3643" w:type="dxa"/>
            <w:tcBorders>
              <w:top w:val="single" w:sz="4" w:space="0" w:color="auto"/>
              <w:bottom w:val="single" w:sz="4" w:space="0" w:color="auto"/>
            </w:tcBorders>
            <w:shd w:val="clear" w:color="auto" w:fill="E7E6E6" w:themeFill="background2"/>
          </w:tcPr>
          <w:p w14:paraId="1FF19DBB" w14:textId="77777777" w:rsidR="00DF2FD7" w:rsidRPr="00FF75DB" w:rsidRDefault="00DF2FD7" w:rsidP="0003657F">
            <w:pPr>
              <w:pStyle w:val="NormalWeb"/>
              <w:snapToGrid w:val="0"/>
              <w:spacing w:before="0" w:beforeAutospacing="0" w:after="0" w:afterAutospacing="0"/>
              <w:contextualSpacing/>
              <w:jc w:val="center"/>
              <w:rPr>
                <w:b/>
              </w:rPr>
            </w:pPr>
          </w:p>
        </w:tc>
      </w:tr>
      <w:tr w:rsidR="00DF2FD7" w:rsidRPr="00FF75DB" w14:paraId="2F8FA9C5" w14:textId="77777777" w:rsidTr="0031101E">
        <w:trPr>
          <w:trHeight w:val="85"/>
          <w:jc w:val="center"/>
        </w:trPr>
        <w:tc>
          <w:tcPr>
            <w:tcW w:w="8293" w:type="dxa"/>
            <w:tcBorders>
              <w:top w:val="single" w:sz="4" w:space="0" w:color="auto"/>
            </w:tcBorders>
            <w:shd w:val="clear" w:color="auto" w:fill="D9E2F3" w:themeFill="accent5" w:themeFillTint="33"/>
          </w:tcPr>
          <w:p w14:paraId="775C46A1" w14:textId="77777777" w:rsidR="00C861F1" w:rsidRPr="00FF75DB" w:rsidRDefault="00C861F1" w:rsidP="0003657F">
            <w:pPr>
              <w:pStyle w:val="NormalWeb"/>
              <w:snapToGrid w:val="0"/>
              <w:spacing w:before="0" w:beforeAutospacing="0" w:after="0" w:afterAutospacing="0"/>
              <w:contextualSpacing/>
              <w:jc w:val="both"/>
              <w:rPr>
                <w:bCs/>
              </w:rPr>
            </w:pPr>
            <w:r w:rsidRPr="00FF75DB">
              <w:rPr>
                <w:bCs/>
              </w:rPr>
              <w:t>Symptoms</w:t>
            </w:r>
          </w:p>
        </w:tc>
        <w:tc>
          <w:tcPr>
            <w:tcW w:w="3647" w:type="dxa"/>
            <w:tcBorders>
              <w:top w:val="single" w:sz="4" w:space="0" w:color="auto"/>
            </w:tcBorders>
            <w:shd w:val="clear" w:color="auto" w:fill="92D050"/>
          </w:tcPr>
          <w:p w14:paraId="2A0E796A" w14:textId="77777777" w:rsidR="00C861F1" w:rsidRPr="00FF75DB" w:rsidRDefault="00C861F1" w:rsidP="0003657F">
            <w:pPr>
              <w:pStyle w:val="NormalWeb"/>
              <w:snapToGrid w:val="0"/>
              <w:spacing w:before="0" w:beforeAutospacing="0" w:after="0" w:afterAutospacing="0"/>
              <w:contextualSpacing/>
              <w:jc w:val="center"/>
              <w:rPr>
                <w:b/>
              </w:rPr>
            </w:pPr>
            <w:r w:rsidRPr="00FF75DB">
              <w:rPr>
                <w:b/>
              </w:rPr>
              <w:t>I-B</w:t>
            </w:r>
          </w:p>
        </w:tc>
        <w:tc>
          <w:tcPr>
            <w:tcW w:w="3643" w:type="dxa"/>
            <w:tcBorders>
              <w:top w:val="single" w:sz="4" w:space="0" w:color="auto"/>
            </w:tcBorders>
            <w:shd w:val="clear" w:color="auto" w:fill="92D050"/>
          </w:tcPr>
          <w:p w14:paraId="085492C8" w14:textId="77777777" w:rsidR="00C861F1" w:rsidRPr="00FF75DB" w:rsidRDefault="00C861F1" w:rsidP="0003657F">
            <w:pPr>
              <w:pStyle w:val="NormalWeb"/>
              <w:snapToGrid w:val="0"/>
              <w:spacing w:before="0" w:beforeAutospacing="0" w:after="0" w:afterAutospacing="0"/>
              <w:contextualSpacing/>
              <w:jc w:val="center"/>
              <w:rPr>
                <w:b/>
              </w:rPr>
            </w:pPr>
            <w:r w:rsidRPr="00FF75DB">
              <w:rPr>
                <w:b/>
              </w:rPr>
              <w:t>I-B</w:t>
            </w:r>
          </w:p>
        </w:tc>
      </w:tr>
      <w:tr w:rsidR="0031101E" w:rsidRPr="00FF75DB" w14:paraId="0684DE93" w14:textId="77777777" w:rsidTr="0031101E">
        <w:trPr>
          <w:trHeight w:val="88"/>
          <w:jc w:val="center"/>
        </w:trPr>
        <w:tc>
          <w:tcPr>
            <w:tcW w:w="8293" w:type="dxa"/>
            <w:shd w:val="clear" w:color="auto" w:fill="auto"/>
          </w:tcPr>
          <w:p w14:paraId="3570BD5D" w14:textId="77777777" w:rsidR="00C861F1" w:rsidRPr="00FF75DB" w:rsidRDefault="00C861F1" w:rsidP="0003657F">
            <w:pPr>
              <w:jc w:val="both"/>
              <w:rPr>
                <w:bCs/>
                <w:lang w:val="en-CA"/>
              </w:rPr>
            </w:pPr>
            <w:r w:rsidRPr="00FF75DB">
              <w:rPr>
                <w:bCs/>
                <w:lang w:val="en-CA"/>
              </w:rPr>
              <w:t>No symptoms and</w:t>
            </w:r>
          </w:p>
        </w:tc>
        <w:tc>
          <w:tcPr>
            <w:tcW w:w="3647" w:type="dxa"/>
            <w:shd w:val="clear" w:color="auto" w:fill="auto"/>
          </w:tcPr>
          <w:p w14:paraId="411D679C" w14:textId="77777777" w:rsidR="00C861F1" w:rsidRPr="00FF75DB" w:rsidRDefault="00C861F1" w:rsidP="0003657F">
            <w:pPr>
              <w:pStyle w:val="NormalWeb"/>
              <w:snapToGrid w:val="0"/>
              <w:spacing w:before="0" w:beforeAutospacing="0" w:after="0" w:afterAutospacing="0"/>
              <w:contextualSpacing/>
              <w:jc w:val="center"/>
              <w:rPr>
                <w:b/>
              </w:rPr>
            </w:pPr>
          </w:p>
        </w:tc>
        <w:tc>
          <w:tcPr>
            <w:tcW w:w="3643" w:type="dxa"/>
            <w:shd w:val="clear" w:color="auto" w:fill="auto"/>
          </w:tcPr>
          <w:p w14:paraId="201CA8CF" w14:textId="77777777" w:rsidR="00C861F1" w:rsidRPr="00FF75DB" w:rsidRDefault="00C861F1" w:rsidP="0003657F">
            <w:pPr>
              <w:pStyle w:val="NormalWeb"/>
              <w:snapToGrid w:val="0"/>
              <w:spacing w:before="0" w:beforeAutospacing="0" w:after="0" w:afterAutospacing="0"/>
              <w:contextualSpacing/>
              <w:jc w:val="center"/>
              <w:rPr>
                <w:b/>
              </w:rPr>
            </w:pPr>
          </w:p>
        </w:tc>
      </w:tr>
      <w:tr w:rsidR="00DF2FD7" w:rsidRPr="00FF75DB" w14:paraId="550AE33D" w14:textId="77777777" w:rsidTr="0031101E">
        <w:trPr>
          <w:trHeight w:val="88"/>
          <w:jc w:val="center"/>
        </w:trPr>
        <w:tc>
          <w:tcPr>
            <w:tcW w:w="8293" w:type="dxa"/>
            <w:shd w:val="clear" w:color="auto" w:fill="auto"/>
          </w:tcPr>
          <w:p w14:paraId="325B6AEB" w14:textId="77777777" w:rsidR="00C861F1" w:rsidRPr="00FF75DB" w:rsidRDefault="00C861F1" w:rsidP="0003657F">
            <w:pPr>
              <w:jc w:val="both"/>
              <w:rPr>
                <w:bCs/>
                <w:lang w:val="en-US"/>
              </w:rPr>
            </w:pPr>
            <w:r w:rsidRPr="00FF75DB">
              <w:rPr>
                <w:bCs/>
                <w:lang w:val="en-US"/>
              </w:rPr>
              <w:t xml:space="preserve">     LVEF </w:t>
            </w:r>
            <w:r w:rsidRPr="00FF75DB">
              <w:rPr>
                <w:lang w:val="en-US"/>
              </w:rPr>
              <w:t>≤60% and/or LVESD ≥40mm</w:t>
            </w:r>
          </w:p>
        </w:tc>
        <w:tc>
          <w:tcPr>
            <w:tcW w:w="3647" w:type="dxa"/>
            <w:shd w:val="clear" w:color="auto" w:fill="92D050"/>
          </w:tcPr>
          <w:p w14:paraId="78219814" w14:textId="77777777" w:rsidR="00C861F1" w:rsidRPr="00FF75DB" w:rsidRDefault="00C861F1" w:rsidP="0003657F">
            <w:pPr>
              <w:pStyle w:val="NormalWeb"/>
              <w:snapToGrid w:val="0"/>
              <w:spacing w:before="0" w:beforeAutospacing="0" w:after="0" w:afterAutospacing="0"/>
              <w:contextualSpacing/>
              <w:jc w:val="center"/>
              <w:rPr>
                <w:b/>
              </w:rPr>
            </w:pPr>
            <w:r w:rsidRPr="00FF75DB">
              <w:rPr>
                <w:b/>
              </w:rPr>
              <w:t>I-B</w:t>
            </w:r>
          </w:p>
        </w:tc>
        <w:tc>
          <w:tcPr>
            <w:tcW w:w="3643" w:type="dxa"/>
            <w:shd w:val="clear" w:color="auto" w:fill="92D050"/>
          </w:tcPr>
          <w:p w14:paraId="3BD427E2" w14:textId="77777777" w:rsidR="00C861F1" w:rsidRPr="00FF75DB" w:rsidRDefault="00C861F1" w:rsidP="0003657F">
            <w:pPr>
              <w:pStyle w:val="NormalWeb"/>
              <w:snapToGrid w:val="0"/>
              <w:spacing w:before="0" w:beforeAutospacing="0" w:after="0" w:afterAutospacing="0"/>
              <w:contextualSpacing/>
              <w:jc w:val="center"/>
              <w:rPr>
                <w:b/>
              </w:rPr>
            </w:pPr>
            <w:r w:rsidRPr="00FF75DB">
              <w:rPr>
                <w:b/>
              </w:rPr>
              <w:t>I-B</w:t>
            </w:r>
          </w:p>
        </w:tc>
      </w:tr>
      <w:tr w:rsidR="00C861F1" w:rsidRPr="00FF75DB" w14:paraId="78A9E9ED" w14:textId="77777777" w:rsidTr="0031101E">
        <w:trPr>
          <w:trHeight w:val="88"/>
          <w:jc w:val="center"/>
        </w:trPr>
        <w:tc>
          <w:tcPr>
            <w:tcW w:w="8293" w:type="dxa"/>
            <w:shd w:val="clear" w:color="auto" w:fill="auto"/>
          </w:tcPr>
          <w:p w14:paraId="1DBC88B5" w14:textId="77777777" w:rsidR="00C861F1" w:rsidRPr="00FF75DB" w:rsidRDefault="00C861F1" w:rsidP="0003657F">
            <w:pPr>
              <w:jc w:val="both"/>
              <w:rPr>
                <w:bCs/>
                <w:lang w:val="en-US"/>
              </w:rPr>
            </w:pPr>
            <w:r w:rsidRPr="00FF75DB">
              <w:rPr>
                <w:bCs/>
                <w:lang w:val="en-US"/>
              </w:rPr>
              <w:t xml:space="preserve">     AF secondary to MR</w:t>
            </w:r>
          </w:p>
        </w:tc>
        <w:tc>
          <w:tcPr>
            <w:tcW w:w="3647" w:type="dxa"/>
            <w:shd w:val="clear" w:color="auto" w:fill="auto"/>
          </w:tcPr>
          <w:p w14:paraId="64D550A8" w14:textId="77777777" w:rsidR="00C861F1" w:rsidRPr="00FF75DB" w:rsidRDefault="00C861F1" w:rsidP="0003657F">
            <w:pPr>
              <w:pStyle w:val="NormalWeb"/>
              <w:snapToGrid w:val="0"/>
              <w:spacing w:before="0" w:beforeAutospacing="0" w:after="0" w:afterAutospacing="0"/>
              <w:contextualSpacing/>
              <w:jc w:val="center"/>
              <w:rPr>
                <w:b/>
              </w:rPr>
            </w:pPr>
          </w:p>
        </w:tc>
        <w:tc>
          <w:tcPr>
            <w:tcW w:w="3643" w:type="dxa"/>
            <w:shd w:val="clear" w:color="auto" w:fill="FFFF00"/>
          </w:tcPr>
          <w:p w14:paraId="6684331E" w14:textId="77777777" w:rsidR="00C861F1" w:rsidRPr="00FF75DB" w:rsidRDefault="00C861F1" w:rsidP="0003657F">
            <w:pPr>
              <w:pStyle w:val="NormalWeb"/>
              <w:snapToGrid w:val="0"/>
              <w:spacing w:before="0" w:beforeAutospacing="0" w:after="0" w:afterAutospacing="0"/>
              <w:contextualSpacing/>
              <w:jc w:val="center"/>
              <w:rPr>
                <w:b/>
              </w:rPr>
            </w:pPr>
            <w:proofErr w:type="spellStart"/>
            <w:r w:rsidRPr="00FF75DB">
              <w:rPr>
                <w:b/>
              </w:rPr>
              <w:t>IIa</w:t>
            </w:r>
            <w:proofErr w:type="spellEnd"/>
            <w:r w:rsidRPr="00FF75DB">
              <w:rPr>
                <w:b/>
              </w:rPr>
              <w:t>-B</w:t>
            </w:r>
          </w:p>
        </w:tc>
      </w:tr>
      <w:tr w:rsidR="0031101E" w:rsidRPr="00FF75DB" w14:paraId="6C2840F6" w14:textId="77777777" w:rsidTr="0031101E">
        <w:trPr>
          <w:trHeight w:val="88"/>
          <w:jc w:val="center"/>
        </w:trPr>
        <w:tc>
          <w:tcPr>
            <w:tcW w:w="8293" w:type="dxa"/>
            <w:shd w:val="clear" w:color="auto" w:fill="auto"/>
          </w:tcPr>
          <w:p w14:paraId="298015BF" w14:textId="217B3553" w:rsidR="00C861F1" w:rsidRPr="00FF75DB" w:rsidRDefault="00C861F1" w:rsidP="0003657F">
            <w:pPr>
              <w:jc w:val="both"/>
              <w:rPr>
                <w:bCs/>
                <w:lang w:val="en-US"/>
              </w:rPr>
            </w:pPr>
            <w:r w:rsidRPr="00FF75DB">
              <w:rPr>
                <w:bCs/>
                <w:lang w:val="en-US"/>
              </w:rPr>
              <w:t xml:space="preserve">     </w:t>
            </w:r>
            <w:r w:rsidR="00ED00D1">
              <w:rPr>
                <w:bCs/>
                <w:lang w:val="en-US"/>
              </w:rPr>
              <w:t>S</w:t>
            </w:r>
            <w:r w:rsidRPr="00FF75DB">
              <w:rPr>
                <w:bCs/>
                <w:lang w:val="en-US"/>
              </w:rPr>
              <w:t>PAP at rest &gt;50mmHg</w:t>
            </w:r>
          </w:p>
        </w:tc>
        <w:tc>
          <w:tcPr>
            <w:tcW w:w="3647" w:type="dxa"/>
            <w:shd w:val="clear" w:color="auto" w:fill="auto"/>
          </w:tcPr>
          <w:p w14:paraId="31CF028D" w14:textId="77777777" w:rsidR="00C861F1" w:rsidRPr="00FF75DB" w:rsidRDefault="00C861F1" w:rsidP="0003657F">
            <w:pPr>
              <w:pStyle w:val="NormalWeb"/>
              <w:snapToGrid w:val="0"/>
              <w:spacing w:before="0" w:beforeAutospacing="0" w:after="0" w:afterAutospacing="0"/>
              <w:contextualSpacing/>
              <w:jc w:val="center"/>
              <w:rPr>
                <w:b/>
              </w:rPr>
            </w:pPr>
          </w:p>
        </w:tc>
        <w:tc>
          <w:tcPr>
            <w:tcW w:w="3643" w:type="dxa"/>
            <w:shd w:val="clear" w:color="auto" w:fill="FFFF00"/>
          </w:tcPr>
          <w:p w14:paraId="6DA19D9B" w14:textId="77777777" w:rsidR="00C861F1" w:rsidRPr="00FF75DB" w:rsidRDefault="00C861F1" w:rsidP="0003657F">
            <w:pPr>
              <w:pStyle w:val="NormalWeb"/>
              <w:snapToGrid w:val="0"/>
              <w:spacing w:before="0" w:beforeAutospacing="0" w:after="0" w:afterAutospacing="0"/>
              <w:contextualSpacing/>
              <w:jc w:val="center"/>
              <w:rPr>
                <w:b/>
              </w:rPr>
            </w:pPr>
            <w:proofErr w:type="spellStart"/>
            <w:r w:rsidRPr="00FF75DB">
              <w:rPr>
                <w:b/>
              </w:rPr>
              <w:t>IIa</w:t>
            </w:r>
            <w:proofErr w:type="spellEnd"/>
            <w:r w:rsidRPr="00FF75DB">
              <w:rPr>
                <w:b/>
              </w:rPr>
              <w:t>-B</w:t>
            </w:r>
          </w:p>
        </w:tc>
      </w:tr>
      <w:tr w:rsidR="00C861F1" w:rsidRPr="00FF75DB" w14:paraId="2A734132" w14:textId="77777777" w:rsidTr="0031101E">
        <w:trPr>
          <w:trHeight w:val="88"/>
          <w:jc w:val="center"/>
        </w:trPr>
        <w:tc>
          <w:tcPr>
            <w:tcW w:w="8293" w:type="dxa"/>
            <w:shd w:val="clear" w:color="auto" w:fill="auto"/>
          </w:tcPr>
          <w:p w14:paraId="5F510EBB" w14:textId="77777777" w:rsidR="00C861F1" w:rsidRPr="00FF75DB" w:rsidRDefault="00C861F1" w:rsidP="0003657F">
            <w:pPr>
              <w:jc w:val="both"/>
              <w:rPr>
                <w:bCs/>
              </w:rPr>
            </w:pPr>
            <w:r w:rsidRPr="00FF75DB">
              <w:rPr>
                <w:bCs/>
              </w:rPr>
              <w:t xml:space="preserve">     LA dilatation (</w:t>
            </w:r>
            <w:proofErr w:type="spellStart"/>
            <w:r w:rsidRPr="00FF75DB">
              <w:rPr>
                <w:bCs/>
              </w:rPr>
              <w:t>LAVi</w:t>
            </w:r>
            <w:proofErr w:type="spellEnd"/>
            <w:r w:rsidRPr="00FF75DB">
              <w:rPr>
                <w:bCs/>
              </w:rPr>
              <w:t xml:space="preserve"> ≥60mL/m</w:t>
            </w:r>
            <w:r w:rsidRPr="00FF75DB">
              <w:rPr>
                <w:bCs/>
                <w:vertAlign w:val="superscript"/>
              </w:rPr>
              <w:t>2</w:t>
            </w:r>
            <w:r w:rsidRPr="00FF75DB">
              <w:rPr>
                <w:bCs/>
              </w:rPr>
              <w:t xml:space="preserve"> or LAD ≥55mm)</w:t>
            </w:r>
          </w:p>
        </w:tc>
        <w:tc>
          <w:tcPr>
            <w:tcW w:w="3647" w:type="dxa"/>
            <w:shd w:val="clear" w:color="auto" w:fill="auto"/>
          </w:tcPr>
          <w:p w14:paraId="43AF1564" w14:textId="77777777" w:rsidR="00C861F1" w:rsidRPr="00FF75DB" w:rsidRDefault="00C861F1" w:rsidP="0003657F">
            <w:pPr>
              <w:pStyle w:val="NormalWeb"/>
              <w:snapToGrid w:val="0"/>
              <w:spacing w:before="0" w:beforeAutospacing="0" w:after="0" w:afterAutospacing="0"/>
              <w:contextualSpacing/>
              <w:jc w:val="center"/>
              <w:rPr>
                <w:b/>
                <w:lang w:val="fr-FR"/>
              </w:rPr>
            </w:pPr>
          </w:p>
        </w:tc>
        <w:tc>
          <w:tcPr>
            <w:tcW w:w="3643" w:type="dxa"/>
            <w:shd w:val="clear" w:color="auto" w:fill="FFFF00"/>
          </w:tcPr>
          <w:p w14:paraId="2ED48807" w14:textId="77777777" w:rsidR="00C861F1" w:rsidRPr="00FF75DB" w:rsidRDefault="00C861F1" w:rsidP="0003657F">
            <w:pPr>
              <w:pStyle w:val="NormalWeb"/>
              <w:snapToGrid w:val="0"/>
              <w:spacing w:before="0" w:beforeAutospacing="0" w:after="0" w:afterAutospacing="0"/>
              <w:contextualSpacing/>
              <w:jc w:val="center"/>
              <w:rPr>
                <w:b/>
                <w:lang w:val="fr-FR"/>
              </w:rPr>
            </w:pPr>
            <w:proofErr w:type="spellStart"/>
            <w:r w:rsidRPr="00FF75DB">
              <w:rPr>
                <w:b/>
              </w:rPr>
              <w:t>IIa</w:t>
            </w:r>
            <w:proofErr w:type="spellEnd"/>
            <w:r w:rsidRPr="00FF75DB">
              <w:rPr>
                <w:b/>
              </w:rPr>
              <w:t>-B</w:t>
            </w:r>
          </w:p>
        </w:tc>
      </w:tr>
      <w:tr w:rsidR="0031101E" w:rsidRPr="00FF75DB" w14:paraId="4BACA9C3" w14:textId="77777777" w:rsidTr="0031101E">
        <w:trPr>
          <w:trHeight w:val="85"/>
          <w:jc w:val="center"/>
        </w:trPr>
        <w:tc>
          <w:tcPr>
            <w:tcW w:w="8293" w:type="dxa"/>
            <w:shd w:val="clear" w:color="auto" w:fill="auto"/>
          </w:tcPr>
          <w:p w14:paraId="2298EE09" w14:textId="77777777" w:rsidR="00C861F1" w:rsidRPr="00FF75DB" w:rsidRDefault="00C861F1" w:rsidP="0003657F">
            <w:pPr>
              <w:pStyle w:val="NormalWeb"/>
              <w:spacing w:before="0" w:beforeAutospacing="0" w:after="0" w:afterAutospacing="0"/>
              <w:contextualSpacing/>
              <w:jc w:val="both"/>
            </w:pPr>
            <w:r w:rsidRPr="00FF75DB">
              <w:t xml:space="preserve">     High </w:t>
            </w:r>
            <w:proofErr w:type="spellStart"/>
            <w:r w:rsidRPr="00FF75DB">
              <w:t>likehood</w:t>
            </w:r>
            <w:proofErr w:type="spellEnd"/>
            <w:r w:rsidRPr="00FF75DB">
              <w:t xml:space="preserve"> of durable repair (&gt;95%) and expected mortality rate &lt;1% </w:t>
            </w:r>
          </w:p>
        </w:tc>
        <w:tc>
          <w:tcPr>
            <w:tcW w:w="3647" w:type="dxa"/>
            <w:shd w:val="clear" w:color="auto" w:fill="FFFF00"/>
            <w:vAlign w:val="center"/>
          </w:tcPr>
          <w:p w14:paraId="5FF0A510" w14:textId="77777777" w:rsidR="00C861F1" w:rsidRPr="00FF75DB" w:rsidRDefault="00C861F1" w:rsidP="0003657F">
            <w:pPr>
              <w:pStyle w:val="NormalWeb"/>
              <w:snapToGrid w:val="0"/>
              <w:spacing w:before="0" w:beforeAutospacing="0" w:after="0" w:afterAutospacing="0"/>
              <w:contextualSpacing/>
              <w:jc w:val="center"/>
              <w:rPr>
                <w:bCs/>
              </w:rPr>
            </w:pPr>
            <w:proofErr w:type="spellStart"/>
            <w:r w:rsidRPr="00FF75DB">
              <w:rPr>
                <w:b/>
              </w:rPr>
              <w:t>IIa</w:t>
            </w:r>
            <w:proofErr w:type="spellEnd"/>
            <w:r w:rsidRPr="00FF75DB">
              <w:rPr>
                <w:b/>
              </w:rPr>
              <w:t>-B</w:t>
            </w:r>
          </w:p>
        </w:tc>
        <w:tc>
          <w:tcPr>
            <w:tcW w:w="3643" w:type="dxa"/>
            <w:shd w:val="clear" w:color="auto" w:fill="auto"/>
          </w:tcPr>
          <w:p w14:paraId="2DF92FD4" w14:textId="77777777" w:rsidR="00C861F1" w:rsidRPr="00FF75DB" w:rsidRDefault="00C861F1" w:rsidP="0003657F">
            <w:pPr>
              <w:pStyle w:val="NormalWeb"/>
              <w:snapToGrid w:val="0"/>
              <w:spacing w:before="0" w:beforeAutospacing="0" w:after="0" w:afterAutospacing="0"/>
              <w:contextualSpacing/>
              <w:jc w:val="center"/>
              <w:rPr>
                <w:bCs/>
              </w:rPr>
            </w:pPr>
          </w:p>
        </w:tc>
      </w:tr>
      <w:tr w:rsidR="0031101E" w:rsidRPr="00FF75DB" w14:paraId="48E5C3A4" w14:textId="77777777" w:rsidTr="0031101E">
        <w:trPr>
          <w:trHeight w:val="85"/>
          <w:jc w:val="center"/>
        </w:trPr>
        <w:tc>
          <w:tcPr>
            <w:tcW w:w="8293" w:type="dxa"/>
            <w:shd w:val="clear" w:color="auto" w:fill="D9E2F3" w:themeFill="accent5" w:themeFillTint="33"/>
          </w:tcPr>
          <w:p w14:paraId="39F97E33" w14:textId="77777777" w:rsidR="00C861F1" w:rsidRPr="00FF75DB" w:rsidRDefault="00C861F1" w:rsidP="0003657F">
            <w:pPr>
              <w:pStyle w:val="NormalWeb"/>
              <w:spacing w:before="0" w:beforeAutospacing="0" w:after="0" w:afterAutospacing="0"/>
              <w:contextualSpacing/>
              <w:jc w:val="both"/>
            </w:pPr>
            <w:r w:rsidRPr="00FF75DB">
              <w:rPr>
                <w:bCs/>
                <w:lang w:val="en-CA"/>
              </w:rPr>
              <w:t>MV Surgery if progressive increase in LV size or decrease in EF on &gt;3 serial imaging studies</w:t>
            </w:r>
          </w:p>
        </w:tc>
        <w:tc>
          <w:tcPr>
            <w:tcW w:w="3647" w:type="dxa"/>
            <w:shd w:val="clear" w:color="auto" w:fill="FFC000" w:themeFill="accent4"/>
            <w:vAlign w:val="center"/>
          </w:tcPr>
          <w:p w14:paraId="336B34A2" w14:textId="77777777" w:rsidR="00C861F1" w:rsidRPr="00FF75DB" w:rsidRDefault="00C861F1" w:rsidP="0003657F">
            <w:pPr>
              <w:pStyle w:val="NormalWeb"/>
              <w:snapToGrid w:val="0"/>
              <w:spacing w:before="0" w:beforeAutospacing="0" w:after="0" w:afterAutospacing="0"/>
              <w:contextualSpacing/>
              <w:jc w:val="center"/>
              <w:rPr>
                <w:b/>
              </w:rPr>
            </w:pPr>
            <w:r w:rsidRPr="00FF75DB">
              <w:rPr>
                <w:b/>
              </w:rPr>
              <w:t>IIb-B</w:t>
            </w:r>
          </w:p>
        </w:tc>
        <w:tc>
          <w:tcPr>
            <w:tcW w:w="3643" w:type="dxa"/>
            <w:shd w:val="clear" w:color="auto" w:fill="auto"/>
            <w:vAlign w:val="center"/>
          </w:tcPr>
          <w:p w14:paraId="32CEF6FB" w14:textId="77777777" w:rsidR="00C861F1" w:rsidRPr="00FF75DB" w:rsidRDefault="00C861F1" w:rsidP="0003657F">
            <w:pPr>
              <w:pStyle w:val="NormalWeb"/>
              <w:snapToGrid w:val="0"/>
              <w:spacing w:before="0" w:beforeAutospacing="0" w:after="0" w:afterAutospacing="0"/>
              <w:contextualSpacing/>
              <w:jc w:val="center"/>
              <w:rPr>
                <w:b/>
              </w:rPr>
            </w:pPr>
          </w:p>
        </w:tc>
      </w:tr>
      <w:tr w:rsidR="00C861F1" w:rsidRPr="00FF75DB" w14:paraId="4EA974FD" w14:textId="77777777" w:rsidTr="0031101E">
        <w:trPr>
          <w:trHeight w:val="85"/>
          <w:jc w:val="center"/>
        </w:trPr>
        <w:tc>
          <w:tcPr>
            <w:tcW w:w="8293" w:type="dxa"/>
            <w:tcBorders>
              <w:bottom w:val="single" w:sz="4" w:space="0" w:color="auto"/>
            </w:tcBorders>
            <w:shd w:val="clear" w:color="auto" w:fill="auto"/>
          </w:tcPr>
          <w:p w14:paraId="318F36DB" w14:textId="3EC59788" w:rsidR="00C861F1" w:rsidRPr="00FF75DB" w:rsidRDefault="00C861F1" w:rsidP="0003657F">
            <w:pPr>
              <w:pStyle w:val="NormalWeb"/>
              <w:spacing w:before="0" w:beforeAutospacing="0" w:after="0" w:afterAutospacing="0"/>
              <w:contextualSpacing/>
              <w:jc w:val="both"/>
            </w:pPr>
            <w:r w:rsidRPr="00FF75DB">
              <w:t>TEER if favorable MV anatomy, severe symptoms (NYHA III or IV</w:t>
            </w:r>
            <w:r w:rsidR="00ED00D1" w:rsidRPr="00FF75DB">
              <w:t>)</w:t>
            </w:r>
            <w:r w:rsidR="00ED00D1">
              <w:t>,</w:t>
            </w:r>
            <w:r w:rsidR="00ED00D1" w:rsidRPr="00FF75DB">
              <w:t xml:space="preserve"> </w:t>
            </w:r>
            <w:r w:rsidR="00ED00D1">
              <w:t>high</w:t>
            </w:r>
            <w:r>
              <w:t xml:space="preserve"> or </w:t>
            </w:r>
            <w:r w:rsidRPr="00FF75DB">
              <w:t xml:space="preserve">prohibitive surgical risk and </w:t>
            </w:r>
            <w:r>
              <w:t>no futility</w:t>
            </w:r>
          </w:p>
        </w:tc>
        <w:tc>
          <w:tcPr>
            <w:tcW w:w="3647" w:type="dxa"/>
            <w:tcBorders>
              <w:bottom w:val="single" w:sz="4" w:space="0" w:color="auto"/>
            </w:tcBorders>
            <w:shd w:val="clear" w:color="auto" w:fill="FFFF00"/>
            <w:vAlign w:val="center"/>
          </w:tcPr>
          <w:p w14:paraId="5E3845F3" w14:textId="77777777" w:rsidR="00C861F1" w:rsidRPr="00FF75DB" w:rsidRDefault="00C861F1" w:rsidP="0003657F">
            <w:pPr>
              <w:pStyle w:val="NormalWeb"/>
              <w:snapToGrid w:val="0"/>
              <w:spacing w:before="0" w:beforeAutospacing="0" w:after="0" w:afterAutospacing="0"/>
              <w:contextualSpacing/>
              <w:jc w:val="center"/>
              <w:rPr>
                <w:b/>
              </w:rPr>
            </w:pPr>
            <w:proofErr w:type="spellStart"/>
            <w:r w:rsidRPr="00FF75DB">
              <w:rPr>
                <w:b/>
              </w:rPr>
              <w:t>IIa</w:t>
            </w:r>
            <w:proofErr w:type="spellEnd"/>
            <w:r w:rsidRPr="00FF75DB">
              <w:rPr>
                <w:b/>
              </w:rPr>
              <w:t>-B</w:t>
            </w:r>
          </w:p>
        </w:tc>
        <w:tc>
          <w:tcPr>
            <w:tcW w:w="3643" w:type="dxa"/>
            <w:tcBorders>
              <w:bottom w:val="single" w:sz="4" w:space="0" w:color="auto"/>
            </w:tcBorders>
            <w:shd w:val="clear" w:color="auto" w:fill="FFC000"/>
            <w:vAlign w:val="center"/>
          </w:tcPr>
          <w:p w14:paraId="2FE065AD" w14:textId="77777777" w:rsidR="00C861F1" w:rsidRPr="00FF75DB" w:rsidRDefault="00C861F1" w:rsidP="0003657F">
            <w:pPr>
              <w:pStyle w:val="NormalWeb"/>
              <w:snapToGrid w:val="0"/>
              <w:spacing w:before="0" w:beforeAutospacing="0" w:after="0" w:afterAutospacing="0"/>
              <w:contextualSpacing/>
              <w:jc w:val="center"/>
              <w:rPr>
                <w:b/>
              </w:rPr>
            </w:pPr>
            <w:r w:rsidRPr="00FF75DB">
              <w:rPr>
                <w:b/>
              </w:rPr>
              <w:t>IIb-B</w:t>
            </w:r>
          </w:p>
        </w:tc>
      </w:tr>
      <w:tr w:rsidR="00DF2FD7" w:rsidRPr="00FF75DB" w14:paraId="097B536E" w14:textId="77777777" w:rsidTr="0031101E">
        <w:trPr>
          <w:trHeight w:val="85"/>
          <w:jc w:val="center"/>
        </w:trPr>
        <w:tc>
          <w:tcPr>
            <w:tcW w:w="8293" w:type="dxa"/>
            <w:tcBorders>
              <w:top w:val="single" w:sz="4" w:space="0" w:color="auto"/>
              <w:bottom w:val="single" w:sz="4" w:space="0" w:color="auto"/>
            </w:tcBorders>
            <w:shd w:val="clear" w:color="auto" w:fill="E7E6E6" w:themeFill="background2"/>
          </w:tcPr>
          <w:p w14:paraId="44EB0F78" w14:textId="7FDF6AD6" w:rsidR="00DF2FD7" w:rsidRPr="00FF75DB" w:rsidRDefault="00DF2FD7" w:rsidP="0003657F">
            <w:pPr>
              <w:pStyle w:val="NormalWeb"/>
              <w:spacing w:before="0" w:beforeAutospacing="0" w:after="0" w:afterAutospacing="0"/>
              <w:contextualSpacing/>
              <w:jc w:val="both"/>
            </w:pPr>
            <w:r>
              <w:rPr>
                <w:b/>
              </w:rPr>
              <w:t>SECONDARY</w:t>
            </w:r>
            <w:r w:rsidRPr="00DF2FD7">
              <w:rPr>
                <w:b/>
              </w:rPr>
              <w:t xml:space="preserve"> MR</w:t>
            </w:r>
          </w:p>
        </w:tc>
        <w:tc>
          <w:tcPr>
            <w:tcW w:w="3647" w:type="dxa"/>
            <w:tcBorders>
              <w:top w:val="single" w:sz="4" w:space="0" w:color="auto"/>
              <w:bottom w:val="single" w:sz="4" w:space="0" w:color="auto"/>
            </w:tcBorders>
            <w:shd w:val="clear" w:color="auto" w:fill="E7E6E6" w:themeFill="background2"/>
            <w:vAlign w:val="center"/>
          </w:tcPr>
          <w:p w14:paraId="08BD3D32" w14:textId="77777777" w:rsidR="00DF2FD7" w:rsidRPr="00FF75DB" w:rsidRDefault="00DF2FD7" w:rsidP="0003657F">
            <w:pPr>
              <w:pStyle w:val="NormalWeb"/>
              <w:snapToGrid w:val="0"/>
              <w:spacing w:before="0" w:beforeAutospacing="0" w:after="0" w:afterAutospacing="0"/>
              <w:contextualSpacing/>
              <w:jc w:val="center"/>
              <w:rPr>
                <w:b/>
              </w:rPr>
            </w:pPr>
          </w:p>
        </w:tc>
        <w:tc>
          <w:tcPr>
            <w:tcW w:w="3643" w:type="dxa"/>
            <w:tcBorders>
              <w:top w:val="single" w:sz="4" w:space="0" w:color="auto"/>
              <w:bottom w:val="single" w:sz="4" w:space="0" w:color="auto"/>
            </w:tcBorders>
            <w:shd w:val="clear" w:color="auto" w:fill="E7E6E6" w:themeFill="background2"/>
            <w:vAlign w:val="center"/>
          </w:tcPr>
          <w:p w14:paraId="5EE16F65" w14:textId="77777777" w:rsidR="00DF2FD7" w:rsidRPr="00FF75DB" w:rsidRDefault="00DF2FD7" w:rsidP="0003657F">
            <w:pPr>
              <w:pStyle w:val="NormalWeb"/>
              <w:snapToGrid w:val="0"/>
              <w:spacing w:before="0" w:beforeAutospacing="0" w:after="0" w:afterAutospacing="0"/>
              <w:contextualSpacing/>
              <w:jc w:val="center"/>
              <w:rPr>
                <w:b/>
              </w:rPr>
            </w:pPr>
          </w:p>
        </w:tc>
      </w:tr>
      <w:tr w:rsidR="00DF2FD7" w:rsidRPr="00FF75DB" w14:paraId="680E359A" w14:textId="77777777" w:rsidTr="000B534A">
        <w:trPr>
          <w:trHeight w:val="85"/>
          <w:jc w:val="center"/>
        </w:trPr>
        <w:tc>
          <w:tcPr>
            <w:tcW w:w="8293" w:type="dxa"/>
            <w:tcBorders>
              <w:top w:val="single" w:sz="4" w:space="0" w:color="auto"/>
            </w:tcBorders>
            <w:shd w:val="clear" w:color="auto" w:fill="auto"/>
          </w:tcPr>
          <w:p w14:paraId="48ABB3EB" w14:textId="69FE6C54" w:rsidR="00DF2FD7" w:rsidRPr="00FF75DB" w:rsidRDefault="00DF2FD7" w:rsidP="00DF2FD7">
            <w:pPr>
              <w:pStyle w:val="NormalWeb"/>
              <w:spacing w:before="0" w:beforeAutospacing="0" w:after="0" w:afterAutospacing="0"/>
              <w:contextualSpacing/>
              <w:jc w:val="both"/>
            </w:pPr>
            <w:r w:rsidRPr="007C5933">
              <w:rPr>
                <w:bCs/>
              </w:rPr>
              <w:t>GDMT and management by a collaborative Heart Team</w:t>
            </w:r>
            <w:r>
              <w:rPr>
                <w:bCs/>
              </w:rPr>
              <w:t xml:space="preserve"> first</w:t>
            </w:r>
          </w:p>
        </w:tc>
        <w:tc>
          <w:tcPr>
            <w:tcW w:w="3647" w:type="dxa"/>
            <w:tcBorders>
              <w:top w:val="single" w:sz="4" w:space="0" w:color="auto"/>
            </w:tcBorders>
            <w:shd w:val="clear" w:color="auto" w:fill="92D050"/>
          </w:tcPr>
          <w:p w14:paraId="7E220D1E" w14:textId="608EAFBA" w:rsidR="00DF2FD7" w:rsidRPr="00FF75DB" w:rsidRDefault="00DF2FD7" w:rsidP="00DF2FD7">
            <w:pPr>
              <w:pStyle w:val="NormalWeb"/>
              <w:snapToGrid w:val="0"/>
              <w:spacing w:before="0" w:beforeAutospacing="0" w:after="0" w:afterAutospacing="0"/>
              <w:contextualSpacing/>
              <w:jc w:val="center"/>
              <w:rPr>
                <w:b/>
              </w:rPr>
            </w:pPr>
            <w:r w:rsidRPr="007C5933">
              <w:rPr>
                <w:b/>
              </w:rPr>
              <w:t>I-C</w:t>
            </w:r>
          </w:p>
        </w:tc>
        <w:tc>
          <w:tcPr>
            <w:tcW w:w="3643" w:type="dxa"/>
            <w:tcBorders>
              <w:top w:val="single" w:sz="4" w:space="0" w:color="auto"/>
            </w:tcBorders>
            <w:shd w:val="clear" w:color="auto" w:fill="92D050"/>
          </w:tcPr>
          <w:p w14:paraId="7B5E346D" w14:textId="5CF84AE9" w:rsidR="00DF2FD7" w:rsidRPr="00FF75DB" w:rsidRDefault="00DF2FD7" w:rsidP="00DF2FD7">
            <w:pPr>
              <w:pStyle w:val="NormalWeb"/>
              <w:snapToGrid w:val="0"/>
              <w:spacing w:before="0" w:beforeAutospacing="0" w:after="0" w:afterAutospacing="0"/>
              <w:contextualSpacing/>
              <w:jc w:val="center"/>
              <w:rPr>
                <w:b/>
              </w:rPr>
            </w:pPr>
            <w:r w:rsidRPr="007C5933">
              <w:rPr>
                <w:b/>
              </w:rPr>
              <w:t>I-B</w:t>
            </w:r>
          </w:p>
        </w:tc>
      </w:tr>
      <w:tr w:rsidR="00DF2FD7" w:rsidRPr="00D00075" w14:paraId="42296D8F" w14:textId="77777777" w:rsidTr="00F96503">
        <w:trPr>
          <w:trHeight w:val="85"/>
          <w:jc w:val="center"/>
        </w:trPr>
        <w:tc>
          <w:tcPr>
            <w:tcW w:w="8293" w:type="dxa"/>
            <w:shd w:val="clear" w:color="auto" w:fill="D9E2F3" w:themeFill="accent5" w:themeFillTint="33"/>
          </w:tcPr>
          <w:p w14:paraId="02D81C0B" w14:textId="4A5CEECD" w:rsidR="00DF2FD7" w:rsidRPr="007C5933" w:rsidRDefault="00DF2FD7" w:rsidP="00DF2FD7">
            <w:pPr>
              <w:pStyle w:val="NormalWeb"/>
              <w:spacing w:before="0" w:beforeAutospacing="0" w:after="0" w:afterAutospacing="0"/>
              <w:contextualSpacing/>
              <w:jc w:val="both"/>
              <w:rPr>
                <w:bCs/>
              </w:rPr>
            </w:pPr>
            <w:r w:rsidRPr="007C5933">
              <w:rPr>
                <w:bCs/>
                <w:lang w:val="en-CA"/>
              </w:rPr>
              <w:t>MV surgery in patient undergoing CABG</w:t>
            </w:r>
          </w:p>
        </w:tc>
        <w:tc>
          <w:tcPr>
            <w:tcW w:w="3647" w:type="dxa"/>
            <w:shd w:val="clear" w:color="auto" w:fill="auto"/>
          </w:tcPr>
          <w:p w14:paraId="37B89415" w14:textId="77777777" w:rsidR="00DF2FD7" w:rsidRPr="007C5933" w:rsidRDefault="00DF2FD7" w:rsidP="00DF2FD7">
            <w:pPr>
              <w:pStyle w:val="NormalWeb"/>
              <w:snapToGrid w:val="0"/>
              <w:spacing w:before="0" w:beforeAutospacing="0" w:after="0" w:afterAutospacing="0"/>
              <w:contextualSpacing/>
              <w:jc w:val="center"/>
              <w:rPr>
                <w:b/>
              </w:rPr>
            </w:pPr>
          </w:p>
        </w:tc>
        <w:tc>
          <w:tcPr>
            <w:tcW w:w="3643" w:type="dxa"/>
            <w:shd w:val="clear" w:color="auto" w:fill="auto"/>
          </w:tcPr>
          <w:p w14:paraId="3F15CB6A" w14:textId="77777777" w:rsidR="00DF2FD7" w:rsidRPr="007C5933" w:rsidRDefault="00DF2FD7" w:rsidP="00DF2FD7">
            <w:pPr>
              <w:pStyle w:val="NormalWeb"/>
              <w:snapToGrid w:val="0"/>
              <w:spacing w:before="0" w:beforeAutospacing="0" w:after="0" w:afterAutospacing="0"/>
              <w:contextualSpacing/>
              <w:jc w:val="center"/>
              <w:rPr>
                <w:b/>
              </w:rPr>
            </w:pPr>
          </w:p>
        </w:tc>
      </w:tr>
      <w:tr w:rsidR="00DF2FD7" w:rsidRPr="00D00075" w14:paraId="4C27BA74" w14:textId="77777777" w:rsidTr="000B534A">
        <w:trPr>
          <w:trHeight w:val="85"/>
          <w:jc w:val="center"/>
        </w:trPr>
        <w:tc>
          <w:tcPr>
            <w:tcW w:w="8293" w:type="dxa"/>
            <w:shd w:val="clear" w:color="auto" w:fill="D9E2F3" w:themeFill="accent5" w:themeFillTint="33"/>
          </w:tcPr>
          <w:p w14:paraId="7A566B9D" w14:textId="2B28BF4C" w:rsidR="00DF2FD7" w:rsidRPr="007C5933" w:rsidRDefault="00DF2FD7" w:rsidP="00DF2FD7">
            <w:pPr>
              <w:pStyle w:val="NormalWeb"/>
              <w:spacing w:before="0" w:beforeAutospacing="0" w:after="0" w:afterAutospacing="0"/>
              <w:contextualSpacing/>
              <w:jc w:val="both"/>
              <w:rPr>
                <w:bCs/>
                <w:lang w:val="en-CA"/>
              </w:rPr>
            </w:pPr>
            <w:r w:rsidRPr="007C5933">
              <w:rPr>
                <w:bCs/>
                <w:lang w:val="en-CA"/>
              </w:rPr>
              <w:t xml:space="preserve">     in patient undergoing CABG</w:t>
            </w:r>
          </w:p>
        </w:tc>
        <w:tc>
          <w:tcPr>
            <w:tcW w:w="3647" w:type="dxa"/>
            <w:shd w:val="clear" w:color="auto" w:fill="FFFF00"/>
          </w:tcPr>
          <w:p w14:paraId="606B5304" w14:textId="553F8134" w:rsidR="00DF2FD7" w:rsidRPr="007C5933" w:rsidRDefault="00DF2FD7" w:rsidP="00DF2FD7">
            <w:pPr>
              <w:pStyle w:val="NormalWeb"/>
              <w:snapToGrid w:val="0"/>
              <w:spacing w:before="0" w:beforeAutospacing="0" w:after="0" w:afterAutospacing="0"/>
              <w:contextualSpacing/>
              <w:jc w:val="center"/>
              <w:rPr>
                <w:b/>
              </w:rPr>
            </w:pPr>
            <w:proofErr w:type="spellStart"/>
            <w:r w:rsidRPr="007C5933">
              <w:rPr>
                <w:b/>
              </w:rPr>
              <w:t>IIa</w:t>
            </w:r>
            <w:proofErr w:type="spellEnd"/>
            <w:r w:rsidRPr="007C5933">
              <w:rPr>
                <w:b/>
              </w:rPr>
              <w:t>-B</w:t>
            </w:r>
          </w:p>
        </w:tc>
        <w:tc>
          <w:tcPr>
            <w:tcW w:w="3643" w:type="dxa"/>
            <w:shd w:val="clear" w:color="auto" w:fill="92D050"/>
          </w:tcPr>
          <w:p w14:paraId="105C9E0B" w14:textId="004C8362" w:rsidR="00DF2FD7" w:rsidRPr="007C5933" w:rsidRDefault="00DF2FD7" w:rsidP="00DF2FD7">
            <w:pPr>
              <w:pStyle w:val="NormalWeb"/>
              <w:snapToGrid w:val="0"/>
              <w:spacing w:before="0" w:beforeAutospacing="0" w:after="0" w:afterAutospacing="0"/>
              <w:contextualSpacing/>
              <w:jc w:val="center"/>
              <w:rPr>
                <w:b/>
              </w:rPr>
            </w:pPr>
            <w:r w:rsidRPr="007C5933">
              <w:rPr>
                <w:b/>
              </w:rPr>
              <w:t xml:space="preserve">I-B </w:t>
            </w:r>
            <w:r w:rsidRPr="007C5933">
              <w:rPr>
                <w:bCs/>
              </w:rPr>
              <w:t>(</w:t>
            </w:r>
            <w:r w:rsidRPr="00DF2FD7">
              <w:rPr>
                <w:bCs/>
                <w:sz w:val="22"/>
                <w:szCs w:val="22"/>
              </w:rPr>
              <w:t>and other cardiac surgery)</w:t>
            </w:r>
          </w:p>
        </w:tc>
      </w:tr>
      <w:tr w:rsidR="00DF2FD7" w:rsidRPr="00D00075" w14:paraId="1B311851" w14:textId="77777777" w:rsidTr="000B534A">
        <w:trPr>
          <w:trHeight w:val="85"/>
          <w:jc w:val="center"/>
        </w:trPr>
        <w:tc>
          <w:tcPr>
            <w:tcW w:w="8293" w:type="dxa"/>
            <w:shd w:val="clear" w:color="auto" w:fill="D9E2F3" w:themeFill="accent5" w:themeFillTint="33"/>
          </w:tcPr>
          <w:p w14:paraId="57D626C7" w14:textId="457E8D1A" w:rsidR="00DF2FD7" w:rsidRPr="007C5933" w:rsidRDefault="00DF2FD7" w:rsidP="00DF2FD7">
            <w:pPr>
              <w:pStyle w:val="NormalWeb"/>
              <w:spacing w:before="0" w:beforeAutospacing="0" w:after="0" w:afterAutospacing="0"/>
              <w:contextualSpacing/>
              <w:jc w:val="both"/>
              <w:rPr>
                <w:bCs/>
                <w:lang w:val="en-CA"/>
              </w:rPr>
            </w:pPr>
            <w:r w:rsidRPr="007C5933">
              <w:rPr>
                <w:bCs/>
              </w:rPr>
              <w:t xml:space="preserve">     for ventricular SMR if symptoms despite GDMT</w:t>
            </w:r>
          </w:p>
        </w:tc>
        <w:tc>
          <w:tcPr>
            <w:tcW w:w="3647" w:type="dxa"/>
            <w:shd w:val="clear" w:color="auto" w:fill="FFC000"/>
          </w:tcPr>
          <w:p w14:paraId="4D9A8B71" w14:textId="22F808B2" w:rsidR="00DF2FD7" w:rsidRPr="007C5933" w:rsidRDefault="00DF2FD7" w:rsidP="00DF2FD7">
            <w:pPr>
              <w:pStyle w:val="NormalWeb"/>
              <w:snapToGrid w:val="0"/>
              <w:spacing w:before="0" w:beforeAutospacing="0" w:after="0" w:afterAutospacing="0"/>
              <w:contextualSpacing/>
              <w:jc w:val="center"/>
              <w:rPr>
                <w:b/>
              </w:rPr>
            </w:pPr>
            <w:r w:rsidRPr="007C5933">
              <w:rPr>
                <w:b/>
              </w:rPr>
              <w:t>IIb-B</w:t>
            </w:r>
          </w:p>
        </w:tc>
        <w:tc>
          <w:tcPr>
            <w:tcW w:w="3643" w:type="dxa"/>
            <w:shd w:val="clear" w:color="auto" w:fill="FFC000"/>
          </w:tcPr>
          <w:p w14:paraId="3CE43E26" w14:textId="20725DDF" w:rsidR="00DF2FD7" w:rsidRPr="007C5933" w:rsidRDefault="00DF2FD7" w:rsidP="00DF2FD7">
            <w:pPr>
              <w:pStyle w:val="NormalWeb"/>
              <w:snapToGrid w:val="0"/>
              <w:spacing w:before="0" w:beforeAutospacing="0" w:after="0" w:afterAutospacing="0"/>
              <w:contextualSpacing/>
              <w:jc w:val="center"/>
              <w:rPr>
                <w:b/>
              </w:rPr>
            </w:pPr>
            <w:r w:rsidRPr="007C5933">
              <w:rPr>
                <w:b/>
              </w:rPr>
              <w:t xml:space="preserve">IIb-C </w:t>
            </w:r>
            <w:r w:rsidRPr="00DF2FD7">
              <w:rPr>
                <w:bCs/>
                <w:sz w:val="22"/>
                <w:szCs w:val="22"/>
              </w:rPr>
              <w:t>(and appropriate for surgery)</w:t>
            </w:r>
          </w:p>
        </w:tc>
      </w:tr>
      <w:tr w:rsidR="00DF2FD7" w:rsidRPr="00FF75DB" w14:paraId="25551810" w14:textId="77777777" w:rsidTr="000B534A">
        <w:trPr>
          <w:trHeight w:val="85"/>
          <w:jc w:val="center"/>
        </w:trPr>
        <w:tc>
          <w:tcPr>
            <w:tcW w:w="8293" w:type="dxa"/>
            <w:shd w:val="clear" w:color="auto" w:fill="D9E2F3" w:themeFill="accent5" w:themeFillTint="33"/>
          </w:tcPr>
          <w:p w14:paraId="115BA91A" w14:textId="4C88D46F" w:rsidR="00DF2FD7" w:rsidRPr="007C5933" w:rsidRDefault="00DF2FD7" w:rsidP="00DF2FD7">
            <w:pPr>
              <w:pStyle w:val="NormalWeb"/>
              <w:spacing w:before="0" w:beforeAutospacing="0" w:after="0" w:afterAutospacing="0"/>
              <w:contextualSpacing/>
              <w:jc w:val="both"/>
              <w:rPr>
                <w:bCs/>
              </w:rPr>
            </w:pPr>
            <w:r w:rsidRPr="007C5933">
              <w:rPr>
                <w:bCs/>
              </w:rPr>
              <w:t xml:space="preserve">     for atrial SMR and preserved LVEF if symptoms despite GDMT</w:t>
            </w:r>
          </w:p>
        </w:tc>
        <w:tc>
          <w:tcPr>
            <w:tcW w:w="3647" w:type="dxa"/>
            <w:shd w:val="clear" w:color="auto" w:fill="FFC000"/>
          </w:tcPr>
          <w:p w14:paraId="0472F934" w14:textId="384A9020" w:rsidR="00DF2FD7" w:rsidRPr="007C5933" w:rsidRDefault="00DF2FD7" w:rsidP="00DF2FD7">
            <w:pPr>
              <w:pStyle w:val="NormalWeb"/>
              <w:snapToGrid w:val="0"/>
              <w:spacing w:before="0" w:beforeAutospacing="0" w:after="0" w:afterAutospacing="0"/>
              <w:contextualSpacing/>
              <w:jc w:val="center"/>
              <w:rPr>
                <w:b/>
              </w:rPr>
            </w:pPr>
            <w:r w:rsidRPr="007C5933">
              <w:rPr>
                <w:b/>
              </w:rPr>
              <w:t>IIb-B</w:t>
            </w:r>
          </w:p>
        </w:tc>
        <w:tc>
          <w:tcPr>
            <w:tcW w:w="3643" w:type="dxa"/>
            <w:shd w:val="clear" w:color="auto" w:fill="auto"/>
          </w:tcPr>
          <w:p w14:paraId="49CF008E" w14:textId="77777777" w:rsidR="00DF2FD7" w:rsidRPr="007C5933" w:rsidRDefault="00DF2FD7" w:rsidP="00DF2FD7">
            <w:pPr>
              <w:pStyle w:val="NormalWeb"/>
              <w:snapToGrid w:val="0"/>
              <w:spacing w:before="0" w:beforeAutospacing="0" w:after="0" w:afterAutospacing="0"/>
              <w:contextualSpacing/>
              <w:jc w:val="center"/>
              <w:rPr>
                <w:b/>
              </w:rPr>
            </w:pPr>
          </w:p>
        </w:tc>
      </w:tr>
      <w:tr w:rsidR="00DF2FD7" w:rsidRPr="00FF75DB" w14:paraId="38A48779" w14:textId="77777777" w:rsidTr="00F96503">
        <w:trPr>
          <w:trHeight w:val="85"/>
          <w:jc w:val="center"/>
        </w:trPr>
        <w:tc>
          <w:tcPr>
            <w:tcW w:w="8293" w:type="dxa"/>
            <w:shd w:val="clear" w:color="auto" w:fill="auto"/>
          </w:tcPr>
          <w:p w14:paraId="1CCB0896" w14:textId="1AEE01C7" w:rsidR="00DF2FD7" w:rsidRPr="007C5933" w:rsidRDefault="00DF2FD7" w:rsidP="00DF2FD7">
            <w:pPr>
              <w:pStyle w:val="NormalWeb"/>
              <w:spacing w:before="0" w:beforeAutospacing="0" w:after="0" w:afterAutospacing="0"/>
              <w:contextualSpacing/>
              <w:jc w:val="both"/>
              <w:rPr>
                <w:bCs/>
              </w:rPr>
            </w:pPr>
            <w:r w:rsidRPr="007C5933">
              <w:rPr>
                <w:bCs/>
              </w:rPr>
              <w:t>TEER</w:t>
            </w:r>
          </w:p>
        </w:tc>
        <w:tc>
          <w:tcPr>
            <w:tcW w:w="3647" w:type="dxa"/>
            <w:shd w:val="clear" w:color="auto" w:fill="auto"/>
          </w:tcPr>
          <w:p w14:paraId="34151EF6" w14:textId="77777777" w:rsidR="00DF2FD7" w:rsidRPr="007C5933" w:rsidRDefault="00DF2FD7" w:rsidP="00DF2FD7">
            <w:pPr>
              <w:pStyle w:val="NormalWeb"/>
              <w:snapToGrid w:val="0"/>
              <w:spacing w:before="0" w:beforeAutospacing="0" w:after="0" w:afterAutospacing="0"/>
              <w:contextualSpacing/>
              <w:jc w:val="center"/>
              <w:rPr>
                <w:b/>
              </w:rPr>
            </w:pPr>
          </w:p>
        </w:tc>
        <w:tc>
          <w:tcPr>
            <w:tcW w:w="3643" w:type="dxa"/>
            <w:shd w:val="clear" w:color="auto" w:fill="auto"/>
          </w:tcPr>
          <w:p w14:paraId="29518D40" w14:textId="77777777" w:rsidR="00DF2FD7" w:rsidRPr="007C5933" w:rsidRDefault="00DF2FD7" w:rsidP="00DF2FD7">
            <w:pPr>
              <w:pStyle w:val="NormalWeb"/>
              <w:snapToGrid w:val="0"/>
              <w:spacing w:before="0" w:beforeAutospacing="0" w:after="0" w:afterAutospacing="0"/>
              <w:contextualSpacing/>
              <w:jc w:val="center"/>
              <w:rPr>
                <w:b/>
              </w:rPr>
            </w:pPr>
          </w:p>
        </w:tc>
      </w:tr>
      <w:tr w:rsidR="00DF2FD7" w:rsidRPr="00FF75DB" w14:paraId="70756E4A" w14:textId="77777777" w:rsidTr="000B534A">
        <w:trPr>
          <w:trHeight w:val="85"/>
          <w:jc w:val="center"/>
        </w:trPr>
        <w:tc>
          <w:tcPr>
            <w:tcW w:w="8293" w:type="dxa"/>
            <w:shd w:val="clear" w:color="auto" w:fill="auto"/>
          </w:tcPr>
          <w:p w14:paraId="04CB9187" w14:textId="64150644" w:rsidR="00DF2FD7" w:rsidRPr="007C5933" w:rsidRDefault="00DF2FD7" w:rsidP="00DF2FD7">
            <w:pPr>
              <w:pStyle w:val="NormalWeb"/>
              <w:spacing w:before="0" w:beforeAutospacing="0" w:after="0" w:afterAutospacing="0"/>
              <w:contextualSpacing/>
              <w:jc w:val="both"/>
              <w:rPr>
                <w:bCs/>
              </w:rPr>
            </w:pPr>
            <w:r w:rsidRPr="007C5933">
              <w:rPr>
                <w:bCs/>
              </w:rPr>
              <w:t xml:space="preserve">     symptoms despite optimal GDMT and not </w:t>
            </w:r>
            <w:proofErr w:type="spellStart"/>
            <w:r w:rsidRPr="007C5933">
              <w:rPr>
                <w:bCs/>
              </w:rPr>
              <w:t>eligibile</w:t>
            </w:r>
            <w:proofErr w:type="spellEnd"/>
            <w:r w:rsidRPr="007C5933">
              <w:rPr>
                <w:bCs/>
              </w:rPr>
              <w:t xml:space="preserve"> for surgery and criteria suggesting an increased chance of responding to </w:t>
            </w:r>
            <w:r>
              <w:rPr>
                <w:bCs/>
              </w:rPr>
              <w:t>TEER</w:t>
            </w:r>
          </w:p>
        </w:tc>
        <w:tc>
          <w:tcPr>
            <w:tcW w:w="3647" w:type="dxa"/>
            <w:shd w:val="clear" w:color="auto" w:fill="auto"/>
          </w:tcPr>
          <w:p w14:paraId="109A8D23" w14:textId="77777777" w:rsidR="00DF2FD7" w:rsidRPr="007C5933" w:rsidRDefault="00DF2FD7" w:rsidP="00DF2FD7">
            <w:pPr>
              <w:pStyle w:val="NormalWeb"/>
              <w:snapToGrid w:val="0"/>
              <w:spacing w:before="0" w:beforeAutospacing="0" w:after="0" w:afterAutospacing="0"/>
              <w:contextualSpacing/>
              <w:jc w:val="center"/>
              <w:rPr>
                <w:b/>
              </w:rPr>
            </w:pPr>
          </w:p>
        </w:tc>
        <w:tc>
          <w:tcPr>
            <w:tcW w:w="3643" w:type="dxa"/>
            <w:shd w:val="clear" w:color="auto" w:fill="FFFF00"/>
            <w:vAlign w:val="center"/>
          </w:tcPr>
          <w:p w14:paraId="142527D2" w14:textId="159E4270" w:rsidR="00DF2FD7" w:rsidRPr="007C5933" w:rsidRDefault="00DF2FD7" w:rsidP="00DF2FD7">
            <w:pPr>
              <w:pStyle w:val="NormalWeb"/>
              <w:snapToGrid w:val="0"/>
              <w:spacing w:before="0" w:beforeAutospacing="0" w:after="0" w:afterAutospacing="0"/>
              <w:contextualSpacing/>
              <w:jc w:val="center"/>
              <w:rPr>
                <w:b/>
              </w:rPr>
            </w:pPr>
            <w:proofErr w:type="spellStart"/>
            <w:r w:rsidRPr="007C5933">
              <w:rPr>
                <w:b/>
              </w:rPr>
              <w:t>IIa</w:t>
            </w:r>
            <w:proofErr w:type="spellEnd"/>
            <w:r w:rsidRPr="007C5933">
              <w:rPr>
                <w:b/>
              </w:rPr>
              <w:t>-B</w:t>
            </w:r>
          </w:p>
        </w:tc>
      </w:tr>
      <w:tr w:rsidR="00DF2FD7" w:rsidRPr="00FF75DB" w14:paraId="3693B707" w14:textId="77777777" w:rsidTr="00F96503">
        <w:trPr>
          <w:trHeight w:val="85"/>
          <w:jc w:val="center"/>
        </w:trPr>
        <w:tc>
          <w:tcPr>
            <w:tcW w:w="8293" w:type="dxa"/>
            <w:shd w:val="clear" w:color="auto" w:fill="auto"/>
          </w:tcPr>
          <w:p w14:paraId="391251C2" w14:textId="5BE15C23" w:rsidR="00DF2FD7" w:rsidRPr="007C5933" w:rsidRDefault="00DF2FD7" w:rsidP="00DF2FD7">
            <w:pPr>
              <w:pStyle w:val="NormalWeb"/>
              <w:spacing w:before="0" w:beforeAutospacing="0" w:after="0" w:afterAutospacing="0"/>
              <w:contextualSpacing/>
              <w:jc w:val="both"/>
              <w:rPr>
                <w:bCs/>
              </w:rPr>
            </w:pPr>
            <w:r w:rsidRPr="007C5933">
              <w:rPr>
                <w:bCs/>
              </w:rPr>
              <w:t xml:space="preserve">     symptoms despite optimal GDMT and LVEF 20-50%, LVESD ≤70mm, SPAP ≤70mmHg and appropriate anatomy</w:t>
            </w:r>
          </w:p>
        </w:tc>
        <w:tc>
          <w:tcPr>
            <w:tcW w:w="3647" w:type="dxa"/>
            <w:shd w:val="clear" w:color="auto" w:fill="FFFF00"/>
            <w:vAlign w:val="center"/>
          </w:tcPr>
          <w:p w14:paraId="0ED74B3B" w14:textId="6F988753" w:rsidR="00DF2FD7" w:rsidRPr="007C5933" w:rsidRDefault="00DF2FD7" w:rsidP="00DF2FD7">
            <w:pPr>
              <w:pStyle w:val="NormalWeb"/>
              <w:snapToGrid w:val="0"/>
              <w:spacing w:before="0" w:beforeAutospacing="0" w:after="0" w:afterAutospacing="0"/>
              <w:contextualSpacing/>
              <w:jc w:val="center"/>
              <w:rPr>
                <w:b/>
              </w:rPr>
            </w:pPr>
            <w:proofErr w:type="spellStart"/>
            <w:r w:rsidRPr="007C5933">
              <w:rPr>
                <w:b/>
              </w:rPr>
              <w:t>IIa</w:t>
            </w:r>
            <w:proofErr w:type="spellEnd"/>
            <w:r w:rsidRPr="007C5933">
              <w:rPr>
                <w:b/>
              </w:rPr>
              <w:t>-B</w:t>
            </w:r>
          </w:p>
        </w:tc>
        <w:tc>
          <w:tcPr>
            <w:tcW w:w="3643" w:type="dxa"/>
            <w:shd w:val="clear" w:color="auto" w:fill="auto"/>
            <w:vAlign w:val="center"/>
          </w:tcPr>
          <w:p w14:paraId="746DE268" w14:textId="77777777" w:rsidR="00DF2FD7" w:rsidRPr="007C5933" w:rsidRDefault="00DF2FD7" w:rsidP="00DF2FD7">
            <w:pPr>
              <w:pStyle w:val="NormalWeb"/>
              <w:snapToGrid w:val="0"/>
              <w:spacing w:before="0" w:beforeAutospacing="0" w:after="0" w:afterAutospacing="0"/>
              <w:contextualSpacing/>
              <w:jc w:val="center"/>
              <w:rPr>
                <w:b/>
              </w:rPr>
            </w:pPr>
          </w:p>
        </w:tc>
      </w:tr>
      <w:tr w:rsidR="00DF2FD7" w:rsidRPr="00FF75DB" w14:paraId="3905201E" w14:textId="77777777" w:rsidTr="00F96503">
        <w:trPr>
          <w:trHeight w:val="85"/>
          <w:jc w:val="center"/>
        </w:trPr>
        <w:tc>
          <w:tcPr>
            <w:tcW w:w="8293" w:type="dxa"/>
            <w:shd w:val="clear" w:color="auto" w:fill="D9E2F3" w:themeFill="accent5" w:themeFillTint="33"/>
          </w:tcPr>
          <w:p w14:paraId="2573332C" w14:textId="14ADE868" w:rsidR="00DF2FD7" w:rsidRPr="007C5933" w:rsidRDefault="00DF2FD7" w:rsidP="00DF2FD7">
            <w:pPr>
              <w:pStyle w:val="NormalWeb"/>
              <w:spacing w:before="0" w:beforeAutospacing="0" w:after="0" w:afterAutospacing="0"/>
              <w:contextualSpacing/>
              <w:jc w:val="both"/>
              <w:rPr>
                <w:bCs/>
              </w:rPr>
            </w:pPr>
            <w:r w:rsidRPr="007C5933">
              <w:t xml:space="preserve">TEER or other transcatheter therapy in </w:t>
            </w:r>
            <w:r w:rsidRPr="007C5933">
              <w:rPr>
                <w:bCs/>
                <w:lang w:val="en-CA"/>
              </w:rPr>
              <w:t xml:space="preserve">high-risk symptomatic patients not eligible for surgery </w:t>
            </w:r>
            <w:r>
              <w:rPr>
                <w:bCs/>
                <w:lang w:val="en-CA"/>
              </w:rPr>
              <w:t xml:space="preserve">and no </w:t>
            </w:r>
            <w:r w:rsidRPr="007C5933">
              <w:rPr>
                <w:bCs/>
                <w:lang w:val="en-CA"/>
              </w:rPr>
              <w:t>criteria suggesting an increased chance of responding to TEER, after careful evaluation for ventricular assist device or heart transplant.</w:t>
            </w:r>
          </w:p>
        </w:tc>
        <w:tc>
          <w:tcPr>
            <w:tcW w:w="3647" w:type="dxa"/>
            <w:shd w:val="clear" w:color="auto" w:fill="auto"/>
            <w:vAlign w:val="center"/>
          </w:tcPr>
          <w:p w14:paraId="4F7EF035" w14:textId="77777777" w:rsidR="00DF2FD7" w:rsidRPr="007C5933" w:rsidRDefault="00DF2FD7" w:rsidP="00DF2FD7">
            <w:pPr>
              <w:pStyle w:val="NormalWeb"/>
              <w:snapToGrid w:val="0"/>
              <w:spacing w:before="0" w:beforeAutospacing="0" w:after="0" w:afterAutospacing="0"/>
              <w:contextualSpacing/>
              <w:jc w:val="center"/>
              <w:rPr>
                <w:b/>
              </w:rPr>
            </w:pPr>
          </w:p>
        </w:tc>
        <w:tc>
          <w:tcPr>
            <w:tcW w:w="3643" w:type="dxa"/>
            <w:shd w:val="clear" w:color="auto" w:fill="FFC000"/>
            <w:vAlign w:val="center"/>
          </w:tcPr>
          <w:p w14:paraId="53D1F732" w14:textId="6EB99886" w:rsidR="00DF2FD7" w:rsidRPr="007C5933" w:rsidRDefault="00DF2FD7" w:rsidP="00DF2FD7">
            <w:pPr>
              <w:pStyle w:val="NormalWeb"/>
              <w:snapToGrid w:val="0"/>
              <w:spacing w:before="0" w:beforeAutospacing="0" w:after="0" w:afterAutospacing="0"/>
              <w:contextualSpacing/>
              <w:jc w:val="center"/>
              <w:rPr>
                <w:b/>
              </w:rPr>
            </w:pPr>
            <w:r w:rsidRPr="007C5933">
              <w:rPr>
                <w:b/>
              </w:rPr>
              <w:t>IIb-</w:t>
            </w:r>
            <w:r>
              <w:rPr>
                <w:b/>
              </w:rPr>
              <w:t>C</w:t>
            </w:r>
          </w:p>
        </w:tc>
      </w:tr>
    </w:tbl>
    <w:p w14:paraId="18D6CDB2" w14:textId="67E53934" w:rsidR="001B4391" w:rsidRPr="0031101E" w:rsidRDefault="00ED00D1" w:rsidP="0031101E">
      <w:pPr>
        <w:jc w:val="center"/>
        <w:rPr>
          <w:sz w:val="21"/>
          <w:szCs w:val="21"/>
          <w:lang w:val="en-CA"/>
        </w:rPr>
      </w:pPr>
      <w:r w:rsidRPr="0031101E">
        <w:rPr>
          <w:sz w:val="21"/>
          <w:szCs w:val="21"/>
          <w:lang w:val="en-CA"/>
        </w:rPr>
        <w:t xml:space="preserve">AF: atrial fibrillation; </w:t>
      </w:r>
      <w:r w:rsidR="0031101E" w:rsidRPr="0031101E">
        <w:rPr>
          <w:sz w:val="21"/>
          <w:szCs w:val="21"/>
          <w:lang w:val="en-CA"/>
        </w:rPr>
        <w:t xml:space="preserve">CABG: coronary artery bypass graft; </w:t>
      </w:r>
      <w:r w:rsidRPr="0031101E">
        <w:rPr>
          <w:sz w:val="21"/>
          <w:szCs w:val="21"/>
          <w:lang w:val="en-CA"/>
        </w:rPr>
        <w:t>EF: ejection fraction;</w:t>
      </w:r>
      <w:r w:rsidR="0031101E" w:rsidRPr="0031101E">
        <w:rPr>
          <w:sz w:val="21"/>
          <w:szCs w:val="21"/>
          <w:lang w:val="en-CA"/>
        </w:rPr>
        <w:t xml:space="preserve"> GDMT: guideline</w:t>
      </w:r>
      <w:r w:rsidR="0031101E" w:rsidRPr="0031101E">
        <w:rPr>
          <w:sz w:val="21"/>
          <w:szCs w:val="21"/>
          <w:lang w:val="en-US"/>
        </w:rPr>
        <w:t>-</w:t>
      </w:r>
      <w:r w:rsidR="0031101E" w:rsidRPr="0031101E">
        <w:rPr>
          <w:sz w:val="21"/>
          <w:szCs w:val="21"/>
          <w:lang w:val="en-CA"/>
        </w:rPr>
        <w:t>directed medical t</w:t>
      </w:r>
      <w:proofErr w:type="spellStart"/>
      <w:r w:rsidR="0031101E" w:rsidRPr="0031101E">
        <w:rPr>
          <w:sz w:val="21"/>
          <w:szCs w:val="21"/>
          <w:lang w:val="en-US"/>
        </w:rPr>
        <w:t>herapy</w:t>
      </w:r>
      <w:proofErr w:type="spellEnd"/>
      <w:r w:rsidR="0031101E" w:rsidRPr="0031101E">
        <w:rPr>
          <w:sz w:val="21"/>
          <w:szCs w:val="21"/>
          <w:lang w:val="en-US"/>
        </w:rPr>
        <w:t>;</w:t>
      </w:r>
      <w:r w:rsidRPr="0031101E">
        <w:rPr>
          <w:sz w:val="21"/>
          <w:szCs w:val="21"/>
          <w:lang w:val="en-CA"/>
        </w:rPr>
        <w:t xml:space="preserve"> LA: left atrium; LAD: left atrium diameter; </w:t>
      </w:r>
      <w:proofErr w:type="spellStart"/>
      <w:r w:rsidRPr="0031101E">
        <w:rPr>
          <w:sz w:val="21"/>
          <w:szCs w:val="21"/>
          <w:lang w:val="en-CA"/>
        </w:rPr>
        <w:t>LAVi</w:t>
      </w:r>
      <w:proofErr w:type="spellEnd"/>
      <w:r w:rsidRPr="0031101E">
        <w:rPr>
          <w:sz w:val="21"/>
          <w:szCs w:val="21"/>
          <w:lang w:val="en-CA"/>
        </w:rPr>
        <w:t xml:space="preserve">: left atrial volume index; LV: left ventricle; </w:t>
      </w:r>
      <w:r w:rsidR="001B70A5" w:rsidRPr="0031101E">
        <w:rPr>
          <w:sz w:val="21"/>
          <w:szCs w:val="21"/>
          <w:lang w:val="en-CA"/>
        </w:rPr>
        <w:t>LVEF: left ventricular ejection fraction; LVESD: left ventricular end-systolic diameter; MV: mitral valve;</w:t>
      </w:r>
      <w:r w:rsidRPr="0031101E">
        <w:rPr>
          <w:sz w:val="21"/>
          <w:szCs w:val="21"/>
          <w:lang w:val="en-CA"/>
        </w:rPr>
        <w:t xml:space="preserve"> NYHA: New York Heart Association; </w:t>
      </w:r>
      <w:r w:rsidR="0031101E" w:rsidRPr="0031101E">
        <w:rPr>
          <w:sz w:val="21"/>
          <w:szCs w:val="21"/>
          <w:lang w:val="en-CA"/>
        </w:rPr>
        <w:t xml:space="preserve">SMR: secondary MR; </w:t>
      </w:r>
      <w:r w:rsidRPr="0031101E">
        <w:rPr>
          <w:sz w:val="21"/>
          <w:szCs w:val="21"/>
          <w:lang w:val="en-CA"/>
        </w:rPr>
        <w:t>SPAP: systolic pulmonary artery pressure;</w:t>
      </w:r>
      <w:r w:rsidR="001B70A5" w:rsidRPr="0031101E">
        <w:rPr>
          <w:sz w:val="21"/>
          <w:szCs w:val="21"/>
          <w:lang w:val="en-CA"/>
        </w:rPr>
        <w:t xml:space="preserve"> TEER: transcatheter edge-to-edge-repai</w:t>
      </w:r>
      <w:r w:rsidR="0031101E">
        <w:rPr>
          <w:sz w:val="21"/>
          <w:szCs w:val="21"/>
          <w:lang w:val="en-CA"/>
        </w:rPr>
        <w:t>r</w:t>
      </w:r>
    </w:p>
    <w:p w14:paraId="1102E2D8" w14:textId="0EA2DBCC" w:rsidR="00020698" w:rsidRPr="004B22FA" w:rsidRDefault="00020698">
      <w:pPr>
        <w:rPr>
          <w:b/>
          <w:bCs/>
          <w:lang w:val="en-CA"/>
        </w:rPr>
      </w:pPr>
    </w:p>
    <w:p w14:paraId="5DAC91F4" w14:textId="23C604D3" w:rsidR="002E59D0" w:rsidRPr="0031101E" w:rsidRDefault="00513AAE" w:rsidP="0031101E">
      <w:pPr>
        <w:spacing w:after="160" w:line="259" w:lineRule="auto"/>
        <w:rPr>
          <w:b/>
          <w:bCs/>
          <w:lang w:val="en-CA"/>
        </w:rPr>
      </w:pPr>
      <w:r w:rsidRPr="0031101E">
        <w:rPr>
          <w:b/>
          <w:bCs/>
          <w:lang w:val="en-US"/>
        </w:rPr>
        <w:t xml:space="preserve">TABLE </w:t>
      </w:r>
      <w:r w:rsidR="0031101E">
        <w:rPr>
          <w:b/>
          <w:bCs/>
          <w:lang w:val="en-US"/>
        </w:rPr>
        <w:t>4</w:t>
      </w:r>
      <w:r w:rsidR="006C0605">
        <w:rPr>
          <w:b/>
          <w:bCs/>
          <w:lang w:val="en-US"/>
        </w:rPr>
        <w:t>.</w:t>
      </w:r>
      <w:r w:rsidRPr="0031101E">
        <w:rPr>
          <w:lang w:val="en-US"/>
        </w:rPr>
        <w:t xml:space="preserve"> </w:t>
      </w:r>
      <w:r w:rsidR="00AE28E9" w:rsidRPr="008309AF">
        <w:rPr>
          <w:rFonts w:eastAsiaTheme="minorHAnsi"/>
          <w:b/>
          <w:lang w:val="en-US" w:eastAsia="en-US"/>
        </w:rPr>
        <w:t xml:space="preserve">Selected </w:t>
      </w:r>
      <w:r w:rsidR="00AE28E9">
        <w:rPr>
          <w:rFonts w:eastAsiaTheme="minorHAnsi"/>
          <w:b/>
          <w:lang w:val="en-US" w:eastAsia="en-US"/>
        </w:rPr>
        <w:t>r</w:t>
      </w:r>
      <w:r w:rsidR="00AE28E9" w:rsidRPr="008309AF">
        <w:rPr>
          <w:rFonts w:eastAsiaTheme="minorHAnsi"/>
          <w:b/>
          <w:lang w:val="en-US" w:eastAsia="en-US"/>
        </w:rPr>
        <w:t xml:space="preserve">ecommendations </w:t>
      </w:r>
      <w:r w:rsidR="00AE28E9">
        <w:rPr>
          <w:rFonts w:eastAsiaTheme="minorHAnsi"/>
          <w:b/>
          <w:lang w:val="en-US" w:eastAsia="en-US"/>
        </w:rPr>
        <w:t xml:space="preserve">on </w:t>
      </w:r>
      <w:r w:rsidR="00AE28E9">
        <w:rPr>
          <w:b/>
          <w:lang w:val="en-CA"/>
        </w:rPr>
        <w:t>m</w:t>
      </w:r>
      <w:r w:rsidR="002E59D0">
        <w:rPr>
          <w:b/>
          <w:lang w:val="en-CA"/>
        </w:rPr>
        <w:t>anagement of Tricuspid Regurgitation</w:t>
      </w:r>
    </w:p>
    <w:p w14:paraId="747FB508" w14:textId="2C4D8959" w:rsidR="00513AAE" w:rsidRDefault="00513AAE" w:rsidP="00513AAE">
      <w:pPr>
        <w:spacing w:line="480" w:lineRule="auto"/>
        <w:rPr>
          <w:b/>
          <w:bCs/>
          <w:lang w:val="en-US"/>
        </w:rPr>
      </w:pPr>
    </w:p>
    <w:tbl>
      <w:tblPr>
        <w:tblStyle w:val="TableGrid"/>
        <w:tblW w:w="15925" w:type="dxa"/>
        <w:jc w:val="center"/>
        <w:tblLook w:val="04A0" w:firstRow="1" w:lastRow="0" w:firstColumn="1" w:lastColumn="0" w:noHBand="0" w:noVBand="1"/>
      </w:tblPr>
      <w:tblGrid>
        <w:gridCol w:w="7470"/>
        <w:gridCol w:w="4137"/>
        <w:gridCol w:w="4318"/>
      </w:tblGrid>
      <w:tr w:rsidR="00731D97" w:rsidRPr="00731D97" w14:paraId="3207E794" w14:textId="77777777" w:rsidTr="00731D97">
        <w:trPr>
          <w:trHeight w:val="620"/>
          <w:jc w:val="center"/>
        </w:trPr>
        <w:tc>
          <w:tcPr>
            <w:tcW w:w="7470" w:type="dxa"/>
            <w:tcBorders>
              <w:top w:val="single" w:sz="4" w:space="0" w:color="auto"/>
              <w:left w:val="single" w:sz="4" w:space="0" w:color="auto"/>
              <w:bottom w:val="nil"/>
              <w:right w:val="nil"/>
            </w:tcBorders>
            <w:shd w:val="clear" w:color="auto" w:fill="auto"/>
            <w:vAlign w:val="center"/>
          </w:tcPr>
          <w:p w14:paraId="1F8FCEEB" w14:textId="77777777" w:rsidR="00AE28E9" w:rsidRPr="00731D97" w:rsidRDefault="00AE28E9" w:rsidP="0003657F">
            <w:pPr>
              <w:contextualSpacing/>
              <w:jc w:val="center"/>
              <w:rPr>
                <w:b/>
                <w:bCs/>
              </w:rPr>
            </w:pPr>
            <w:proofErr w:type="spellStart"/>
            <w:r w:rsidRPr="00731D97">
              <w:rPr>
                <w:b/>
                <w:bCs/>
              </w:rPr>
              <w:t>Recommendation</w:t>
            </w:r>
            <w:proofErr w:type="spellEnd"/>
          </w:p>
        </w:tc>
        <w:tc>
          <w:tcPr>
            <w:tcW w:w="4137" w:type="dxa"/>
            <w:tcBorders>
              <w:top w:val="single" w:sz="4" w:space="0" w:color="auto"/>
              <w:left w:val="nil"/>
              <w:bottom w:val="nil"/>
              <w:right w:val="nil"/>
            </w:tcBorders>
            <w:vAlign w:val="center"/>
          </w:tcPr>
          <w:p w14:paraId="6B01DE24" w14:textId="77777777" w:rsidR="00AE28E9" w:rsidRPr="00731D97" w:rsidRDefault="00AE28E9" w:rsidP="0003657F">
            <w:pPr>
              <w:contextualSpacing/>
              <w:jc w:val="center"/>
              <w:rPr>
                <w:b/>
                <w:bCs/>
                <w:lang w:val="en-US"/>
              </w:rPr>
            </w:pPr>
            <w:r w:rsidRPr="00731D97">
              <w:rPr>
                <w:b/>
                <w:bCs/>
                <w:lang w:val="en-US"/>
              </w:rPr>
              <w:t>American</w:t>
            </w:r>
          </w:p>
        </w:tc>
        <w:tc>
          <w:tcPr>
            <w:tcW w:w="4318" w:type="dxa"/>
            <w:tcBorders>
              <w:top w:val="single" w:sz="4" w:space="0" w:color="auto"/>
              <w:left w:val="nil"/>
              <w:bottom w:val="nil"/>
              <w:right w:val="single" w:sz="4" w:space="0" w:color="auto"/>
            </w:tcBorders>
            <w:vAlign w:val="center"/>
          </w:tcPr>
          <w:p w14:paraId="41B403F0" w14:textId="77777777" w:rsidR="00AE28E9" w:rsidRPr="00731D97" w:rsidRDefault="00AE28E9" w:rsidP="0003657F">
            <w:pPr>
              <w:contextualSpacing/>
              <w:jc w:val="center"/>
              <w:rPr>
                <w:b/>
                <w:bCs/>
              </w:rPr>
            </w:pPr>
            <w:r w:rsidRPr="00731D97">
              <w:rPr>
                <w:b/>
                <w:bCs/>
                <w:lang w:val="en-US"/>
              </w:rPr>
              <w:t>European</w:t>
            </w:r>
          </w:p>
        </w:tc>
      </w:tr>
      <w:tr w:rsidR="00AE28E9" w:rsidRPr="00D00075" w14:paraId="2BC16112" w14:textId="77777777" w:rsidTr="00731D97">
        <w:trPr>
          <w:trHeight w:val="115"/>
          <w:jc w:val="center"/>
        </w:trPr>
        <w:tc>
          <w:tcPr>
            <w:tcW w:w="7470" w:type="dxa"/>
            <w:tcBorders>
              <w:top w:val="nil"/>
              <w:left w:val="single" w:sz="4" w:space="0" w:color="auto"/>
              <w:bottom w:val="nil"/>
              <w:right w:val="nil"/>
            </w:tcBorders>
            <w:shd w:val="clear" w:color="auto" w:fill="D9E2F3" w:themeFill="accent5" w:themeFillTint="33"/>
          </w:tcPr>
          <w:p w14:paraId="744BE6FD" w14:textId="77777777" w:rsidR="00AE28E9" w:rsidRPr="00731D97" w:rsidRDefault="00AE28E9" w:rsidP="0003657F">
            <w:pPr>
              <w:jc w:val="both"/>
              <w:rPr>
                <w:bCs/>
                <w:lang w:val="en-US"/>
              </w:rPr>
            </w:pPr>
            <w:r w:rsidRPr="00731D97">
              <w:rPr>
                <w:bCs/>
                <w:lang w:val="en-US"/>
              </w:rPr>
              <w:t xml:space="preserve">TV surgery in patients </w:t>
            </w:r>
            <w:r w:rsidRPr="00731D97">
              <w:rPr>
                <w:bCs/>
                <w:lang w:val="en-CA"/>
              </w:rPr>
              <w:t>undergoing left-sided valve surgery</w:t>
            </w:r>
          </w:p>
        </w:tc>
        <w:tc>
          <w:tcPr>
            <w:tcW w:w="4137" w:type="dxa"/>
            <w:tcBorders>
              <w:top w:val="nil"/>
              <w:left w:val="nil"/>
              <w:bottom w:val="nil"/>
              <w:right w:val="nil"/>
            </w:tcBorders>
            <w:shd w:val="clear" w:color="auto" w:fill="auto"/>
            <w:vAlign w:val="center"/>
          </w:tcPr>
          <w:p w14:paraId="1EE96A07" w14:textId="77777777" w:rsidR="00AE28E9" w:rsidRPr="00731D97" w:rsidRDefault="00AE28E9" w:rsidP="0003657F">
            <w:pPr>
              <w:pStyle w:val="NormalWeb"/>
              <w:snapToGrid w:val="0"/>
              <w:spacing w:before="0" w:beforeAutospacing="0" w:after="0" w:afterAutospacing="0"/>
              <w:contextualSpacing/>
              <w:jc w:val="center"/>
              <w:rPr>
                <w:b/>
              </w:rPr>
            </w:pPr>
          </w:p>
        </w:tc>
        <w:tc>
          <w:tcPr>
            <w:tcW w:w="4318" w:type="dxa"/>
            <w:tcBorders>
              <w:top w:val="nil"/>
              <w:left w:val="nil"/>
              <w:bottom w:val="nil"/>
              <w:right w:val="single" w:sz="4" w:space="0" w:color="auto"/>
            </w:tcBorders>
            <w:shd w:val="clear" w:color="auto" w:fill="auto"/>
            <w:vAlign w:val="center"/>
          </w:tcPr>
          <w:p w14:paraId="7B955A98" w14:textId="77777777" w:rsidR="00AE28E9" w:rsidRPr="00731D97" w:rsidRDefault="00AE28E9" w:rsidP="0003657F">
            <w:pPr>
              <w:pStyle w:val="NormalWeb"/>
              <w:snapToGrid w:val="0"/>
              <w:spacing w:before="0" w:beforeAutospacing="0" w:after="0" w:afterAutospacing="0"/>
              <w:contextualSpacing/>
              <w:jc w:val="center"/>
              <w:rPr>
                <w:b/>
              </w:rPr>
            </w:pPr>
          </w:p>
        </w:tc>
      </w:tr>
      <w:tr w:rsidR="00AE28E9" w:rsidRPr="00D00075" w14:paraId="510A195A" w14:textId="77777777" w:rsidTr="00731D97">
        <w:trPr>
          <w:trHeight w:val="115"/>
          <w:jc w:val="center"/>
        </w:trPr>
        <w:tc>
          <w:tcPr>
            <w:tcW w:w="7470" w:type="dxa"/>
            <w:tcBorders>
              <w:top w:val="nil"/>
              <w:left w:val="single" w:sz="4" w:space="0" w:color="auto"/>
              <w:bottom w:val="nil"/>
              <w:right w:val="nil"/>
            </w:tcBorders>
            <w:shd w:val="clear" w:color="auto" w:fill="D9E2F3" w:themeFill="accent5" w:themeFillTint="33"/>
          </w:tcPr>
          <w:p w14:paraId="34B5C017" w14:textId="77777777" w:rsidR="00AE28E9" w:rsidRPr="00731D97" w:rsidRDefault="00AE28E9" w:rsidP="0003657F">
            <w:pPr>
              <w:jc w:val="both"/>
              <w:rPr>
                <w:bCs/>
                <w:lang w:val="en-CA"/>
              </w:rPr>
            </w:pPr>
            <w:r w:rsidRPr="00731D97">
              <w:rPr>
                <w:bCs/>
                <w:lang w:val="en-CA"/>
              </w:rPr>
              <w:t xml:space="preserve">     severe TR</w:t>
            </w:r>
          </w:p>
        </w:tc>
        <w:tc>
          <w:tcPr>
            <w:tcW w:w="4137" w:type="dxa"/>
            <w:tcBorders>
              <w:top w:val="nil"/>
              <w:left w:val="nil"/>
              <w:bottom w:val="nil"/>
              <w:right w:val="nil"/>
            </w:tcBorders>
            <w:shd w:val="clear" w:color="auto" w:fill="92D050"/>
          </w:tcPr>
          <w:p w14:paraId="3B96EFF2" w14:textId="77777777" w:rsidR="00AE28E9" w:rsidRPr="00731D97" w:rsidRDefault="00AE28E9" w:rsidP="0003657F">
            <w:pPr>
              <w:pStyle w:val="NormalWeb"/>
              <w:snapToGrid w:val="0"/>
              <w:spacing w:before="0" w:beforeAutospacing="0" w:after="0" w:afterAutospacing="0"/>
              <w:contextualSpacing/>
              <w:jc w:val="center"/>
              <w:rPr>
                <w:b/>
              </w:rPr>
            </w:pPr>
            <w:r w:rsidRPr="00731D97">
              <w:rPr>
                <w:b/>
                <w:lang w:val="en-CA"/>
              </w:rPr>
              <w:t>I-B</w:t>
            </w:r>
          </w:p>
        </w:tc>
        <w:tc>
          <w:tcPr>
            <w:tcW w:w="4318" w:type="dxa"/>
            <w:tcBorders>
              <w:top w:val="nil"/>
              <w:left w:val="nil"/>
              <w:bottom w:val="nil"/>
              <w:right w:val="single" w:sz="4" w:space="0" w:color="auto"/>
            </w:tcBorders>
            <w:shd w:val="clear" w:color="auto" w:fill="92D050"/>
          </w:tcPr>
          <w:p w14:paraId="287FFC98" w14:textId="77777777" w:rsidR="00AE28E9" w:rsidRPr="00731D97" w:rsidRDefault="00AE28E9" w:rsidP="0003657F">
            <w:pPr>
              <w:pStyle w:val="NormalWeb"/>
              <w:snapToGrid w:val="0"/>
              <w:spacing w:before="0" w:beforeAutospacing="0" w:after="0" w:afterAutospacing="0"/>
              <w:contextualSpacing/>
              <w:jc w:val="center"/>
              <w:rPr>
                <w:b/>
              </w:rPr>
            </w:pPr>
            <w:r w:rsidRPr="00731D97">
              <w:rPr>
                <w:b/>
              </w:rPr>
              <w:t xml:space="preserve">I-B </w:t>
            </w:r>
            <w:r w:rsidRPr="00731D97">
              <w:rPr>
                <w:bCs/>
              </w:rPr>
              <w:t xml:space="preserve">(secondary TR) </w:t>
            </w:r>
            <w:r w:rsidRPr="00731D97">
              <w:rPr>
                <w:b/>
              </w:rPr>
              <w:t xml:space="preserve">or I-C </w:t>
            </w:r>
            <w:r w:rsidRPr="00731D97">
              <w:rPr>
                <w:bCs/>
              </w:rPr>
              <w:t>(primary TR)</w:t>
            </w:r>
          </w:p>
        </w:tc>
      </w:tr>
      <w:tr w:rsidR="00AE28E9" w:rsidRPr="00731D97" w14:paraId="23E6DEE6" w14:textId="77777777" w:rsidTr="00731D97">
        <w:trPr>
          <w:trHeight w:val="115"/>
          <w:jc w:val="center"/>
        </w:trPr>
        <w:tc>
          <w:tcPr>
            <w:tcW w:w="7470" w:type="dxa"/>
            <w:tcBorders>
              <w:top w:val="nil"/>
              <w:left w:val="single" w:sz="4" w:space="0" w:color="auto"/>
              <w:bottom w:val="nil"/>
              <w:right w:val="nil"/>
            </w:tcBorders>
            <w:shd w:val="clear" w:color="auto" w:fill="D9E2F3" w:themeFill="accent5" w:themeFillTint="33"/>
          </w:tcPr>
          <w:p w14:paraId="0B7B6C23" w14:textId="77777777" w:rsidR="00AE28E9" w:rsidRPr="00731D97" w:rsidRDefault="00AE28E9" w:rsidP="0003657F">
            <w:pPr>
              <w:jc w:val="both"/>
              <w:rPr>
                <w:bCs/>
                <w:lang w:val="en-CA"/>
              </w:rPr>
            </w:pPr>
            <w:r w:rsidRPr="00731D97">
              <w:rPr>
                <w:bCs/>
                <w:lang w:val="en-CA"/>
              </w:rPr>
              <w:t xml:space="preserve">     moderate primary TR</w:t>
            </w:r>
          </w:p>
        </w:tc>
        <w:tc>
          <w:tcPr>
            <w:tcW w:w="4137" w:type="dxa"/>
            <w:tcBorders>
              <w:top w:val="nil"/>
              <w:left w:val="nil"/>
              <w:bottom w:val="nil"/>
              <w:right w:val="nil"/>
            </w:tcBorders>
            <w:shd w:val="clear" w:color="auto" w:fill="auto"/>
            <w:vAlign w:val="center"/>
          </w:tcPr>
          <w:p w14:paraId="18F03769" w14:textId="77777777" w:rsidR="00AE28E9" w:rsidRPr="00731D97" w:rsidRDefault="00AE28E9" w:rsidP="0003657F">
            <w:pPr>
              <w:pStyle w:val="NormalWeb"/>
              <w:snapToGrid w:val="0"/>
              <w:spacing w:before="0" w:beforeAutospacing="0" w:after="0" w:afterAutospacing="0"/>
              <w:contextualSpacing/>
              <w:jc w:val="center"/>
              <w:rPr>
                <w:b/>
              </w:rPr>
            </w:pPr>
          </w:p>
        </w:tc>
        <w:tc>
          <w:tcPr>
            <w:tcW w:w="4318" w:type="dxa"/>
            <w:tcBorders>
              <w:top w:val="nil"/>
              <w:left w:val="nil"/>
              <w:bottom w:val="nil"/>
              <w:right w:val="single" w:sz="4" w:space="0" w:color="auto"/>
            </w:tcBorders>
            <w:shd w:val="clear" w:color="auto" w:fill="FFFF00"/>
            <w:vAlign w:val="center"/>
          </w:tcPr>
          <w:p w14:paraId="528A6F91" w14:textId="77777777" w:rsidR="00AE28E9" w:rsidRPr="00731D97" w:rsidRDefault="00AE28E9" w:rsidP="0003657F">
            <w:pPr>
              <w:pStyle w:val="NormalWeb"/>
              <w:snapToGrid w:val="0"/>
              <w:spacing w:before="0" w:beforeAutospacing="0" w:after="0" w:afterAutospacing="0"/>
              <w:contextualSpacing/>
              <w:jc w:val="center"/>
              <w:rPr>
                <w:b/>
              </w:rPr>
            </w:pPr>
            <w:proofErr w:type="spellStart"/>
            <w:r w:rsidRPr="00731D97">
              <w:rPr>
                <w:b/>
              </w:rPr>
              <w:t>IIa</w:t>
            </w:r>
            <w:proofErr w:type="spellEnd"/>
            <w:r w:rsidRPr="00731D97">
              <w:rPr>
                <w:b/>
              </w:rPr>
              <w:t>-C</w:t>
            </w:r>
          </w:p>
        </w:tc>
      </w:tr>
      <w:tr w:rsidR="00731D97" w:rsidRPr="00D00075" w14:paraId="6F426DC5" w14:textId="77777777" w:rsidTr="00731D97">
        <w:trPr>
          <w:trHeight w:val="115"/>
          <w:jc w:val="center"/>
        </w:trPr>
        <w:tc>
          <w:tcPr>
            <w:tcW w:w="7470" w:type="dxa"/>
            <w:tcBorders>
              <w:top w:val="nil"/>
              <w:left w:val="single" w:sz="4" w:space="0" w:color="auto"/>
              <w:bottom w:val="nil"/>
              <w:right w:val="nil"/>
            </w:tcBorders>
            <w:shd w:val="clear" w:color="auto" w:fill="D9E2F3" w:themeFill="accent5" w:themeFillTint="33"/>
          </w:tcPr>
          <w:p w14:paraId="6B01F37F" w14:textId="77777777" w:rsidR="00AE28E9" w:rsidRPr="00731D97" w:rsidRDefault="00AE28E9" w:rsidP="0003657F">
            <w:pPr>
              <w:jc w:val="both"/>
              <w:rPr>
                <w:bCs/>
                <w:lang w:val="en-CA"/>
              </w:rPr>
            </w:pPr>
            <w:r w:rsidRPr="00731D97">
              <w:rPr>
                <w:bCs/>
                <w:lang w:val="en-CA"/>
              </w:rPr>
              <w:t xml:space="preserve">     secondary TR and TA &gt;40mm or prior signs of right-sided HF</w:t>
            </w:r>
          </w:p>
        </w:tc>
        <w:tc>
          <w:tcPr>
            <w:tcW w:w="4137" w:type="dxa"/>
            <w:tcBorders>
              <w:top w:val="nil"/>
              <w:left w:val="nil"/>
              <w:bottom w:val="nil"/>
              <w:right w:val="nil"/>
            </w:tcBorders>
            <w:shd w:val="clear" w:color="auto" w:fill="FFFF00"/>
            <w:vAlign w:val="center"/>
          </w:tcPr>
          <w:p w14:paraId="44E73617" w14:textId="77777777" w:rsidR="00AE28E9" w:rsidRPr="00731D97" w:rsidRDefault="00AE28E9" w:rsidP="0003657F">
            <w:pPr>
              <w:pStyle w:val="NormalWeb"/>
              <w:snapToGrid w:val="0"/>
              <w:spacing w:before="0" w:beforeAutospacing="0" w:after="0" w:afterAutospacing="0"/>
              <w:contextualSpacing/>
              <w:jc w:val="center"/>
              <w:rPr>
                <w:b/>
              </w:rPr>
            </w:pPr>
            <w:proofErr w:type="spellStart"/>
            <w:r w:rsidRPr="00731D97">
              <w:rPr>
                <w:b/>
              </w:rPr>
              <w:t>IIa</w:t>
            </w:r>
            <w:proofErr w:type="spellEnd"/>
            <w:r w:rsidRPr="00731D97">
              <w:rPr>
                <w:b/>
              </w:rPr>
              <w:t xml:space="preserve">-B </w:t>
            </w:r>
            <w:r w:rsidRPr="00731D97">
              <w:rPr>
                <w:bCs/>
              </w:rPr>
              <w:t>(progressive TR)</w:t>
            </w:r>
          </w:p>
        </w:tc>
        <w:tc>
          <w:tcPr>
            <w:tcW w:w="4318" w:type="dxa"/>
            <w:tcBorders>
              <w:top w:val="nil"/>
              <w:left w:val="nil"/>
              <w:bottom w:val="nil"/>
              <w:right w:val="single" w:sz="4" w:space="0" w:color="auto"/>
            </w:tcBorders>
            <w:shd w:val="clear" w:color="auto" w:fill="FFFF00"/>
            <w:vAlign w:val="center"/>
          </w:tcPr>
          <w:p w14:paraId="7512DA02" w14:textId="77777777" w:rsidR="00AE28E9" w:rsidRPr="00731D97" w:rsidRDefault="00AE28E9" w:rsidP="0003657F">
            <w:pPr>
              <w:pStyle w:val="NormalWeb"/>
              <w:snapToGrid w:val="0"/>
              <w:spacing w:before="0" w:beforeAutospacing="0" w:after="0" w:afterAutospacing="0"/>
              <w:contextualSpacing/>
              <w:jc w:val="center"/>
              <w:rPr>
                <w:b/>
              </w:rPr>
            </w:pPr>
            <w:proofErr w:type="spellStart"/>
            <w:r w:rsidRPr="00731D97">
              <w:rPr>
                <w:b/>
              </w:rPr>
              <w:t>IIa</w:t>
            </w:r>
            <w:proofErr w:type="spellEnd"/>
            <w:r w:rsidRPr="00731D97">
              <w:rPr>
                <w:b/>
              </w:rPr>
              <w:t xml:space="preserve">-B </w:t>
            </w:r>
            <w:r w:rsidRPr="00731D97">
              <w:rPr>
                <w:bCs/>
              </w:rPr>
              <w:t>(mild or moderate TR)</w:t>
            </w:r>
          </w:p>
        </w:tc>
      </w:tr>
      <w:tr w:rsidR="00AE28E9" w:rsidRPr="00D00075" w14:paraId="626E13F2" w14:textId="77777777" w:rsidTr="00731D97">
        <w:trPr>
          <w:trHeight w:val="115"/>
          <w:jc w:val="center"/>
        </w:trPr>
        <w:tc>
          <w:tcPr>
            <w:tcW w:w="7470" w:type="dxa"/>
            <w:tcBorders>
              <w:top w:val="nil"/>
              <w:left w:val="single" w:sz="4" w:space="0" w:color="auto"/>
              <w:bottom w:val="nil"/>
              <w:right w:val="nil"/>
            </w:tcBorders>
            <w:shd w:val="clear" w:color="auto" w:fill="auto"/>
          </w:tcPr>
          <w:p w14:paraId="6279FFE6" w14:textId="77777777" w:rsidR="00AE28E9" w:rsidRPr="00731D97" w:rsidRDefault="00AE28E9" w:rsidP="0003657F">
            <w:pPr>
              <w:jc w:val="both"/>
              <w:rPr>
                <w:bCs/>
                <w:lang w:val="en-US"/>
              </w:rPr>
            </w:pPr>
            <w:r w:rsidRPr="00731D97">
              <w:rPr>
                <w:bCs/>
                <w:lang w:val="en-US"/>
              </w:rPr>
              <w:t>TV surgery in severe primary TR</w:t>
            </w:r>
          </w:p>
        </w:tc>
        <w:tc>
          <w:tcPr>
            <w:tcW w:w="4137" w:type="dxa"/>
            <w:tcBorders>
              <w:top w:val="nil"/>
              <w:left w:val="nil"/>
              <w:bottom w:val="nil"/>
              <w:right w:val="nil"/>
            </w:tcBorders>
            <w:shd w:val="clear" w:color="auto" w:fill="auto"/>
          </w:tcPr>
          <w:p w14:paraId="7D5AF298" w14:textId="77777777" w:rsidR="00AE28E9" w:rsidRPr="00731D97" w:rsidRDefault="00AE28E9" w:rsidP="0003657F">
            <w:pPr>
              <w:pStyle w:val="NormalWeb"/>
              <w:snapToGrid w:val="0"/>
              <w:spacing w:before="0" w:beforeAutospacing="0" w:after="0" w:afterAutospacing="0"/>
              <w:contextualSpacing/>
              <w:jc w:val="center"/>
              <w:rPr>
                <w:b/>
              </w:rPr>
            </w:pPr>
          </w:p>
        </w:tc>
        <w:tc>
          <w:tcPr>
            <w:tcW w:w="4318" w:type="dxa"/>
            <w:tcBorders>
              <w:top w:val="nil"/>
              <w:left w:val="nil"/>
              <w:bottom w:val="nil"/>
              <w:right w:val="single" w:sz="4" w:space="0" w:color="auto"/>
            </w:tcBorders>
            <w:shd w:val="clear" w:color="auto" w:fill="92D050"/>
          </w:tcPr>
          <w:p w14:paraId="25199B78" w14:textId="77777777" w:rsidR="00AE28E9" w:rsidRPr="00731D97" w:rsidRDefault="00AE28E9" w:rsidP="0003657F">
            <w:pPr>
              <w:pStyle w:val="NormalWeb"/>
              <w:snapToGrid w:val="0"/>
              <w:spacing w:before="0" w:beforeAutospacing="0" w:after="0" w:afterAutospacing="0"/>
              <w:contextualSpacing/>
              <w:jc w:val="center"/>
              <w:rPr>
                <w:b/>
              </w:rPr>
            </w:pPr>
            <w:r w:rsidRPr="00731D97">
              <w:rPr>
                <w:b/>
              </w:rPr>
              <w:t xml:space="preserve">I-C </w:t>
            </w:r>
            <w:r w:rsidRPr="00731D97">
              <w:rPr>
                <w:bCs/>
              </w:rPr>
              <w:t>(without severe RV dysfunction)</w:t>
            </w:r>
          </w:p>
        </w:tc>
      </w:tr>
      <w:tr w:rsidR="00731D97" w:rsidRPr="00731D97" w14:paraId="480FA124" w14:textId="77777777" w:rsidTr="00731D97">
        <w:trPr>
          <w:trHeight w:val="115"/>
          <w:jc w:val="center"/>
        </w:trPr>
        <w:tc>
          <w:tcPr>
            <w:tcW w:w="7470" w:type="dxa"/>
            <w:tcBorders>
              <w:top w:val="nil"/>
              <w:left w:val="single" w:sz="4" w:space="0" w:color="auto"/>
              <w:bottom w:val="nil"/>
              <w:right w:val="nil"/>
            </w:tcBorders>
            <w:shd w:val="clear" w:color="auto" w:fill="auto"/>
          </w:tcPr>
          <w:p w14:paraId="34002473" w14:textId="77777777" w:rsidR="00AE28E9" w:rsidRPr="00731D97" w:rsidRDefault="00AE28E9" w:rsidP="0003657F">
            <w:pPr>
              <w:jc w:val="both"/>
              <w:rPr>
                <w:bCs/>
                <w:lang w:val="en-US"/>
              </w:rPr>
            </w:pPr>
            <w:r w:rsidRPr="00731D97">
              <w:rPr>
                <w:bCs/>
                <w:lang w:val="en-US"/>
              </w:rPr>
              <w:t xml:space="preserve">     n</w:t>
            </w:r>
            <w:r w:rsidRPr="00731D97">
              <w:rPr>
                <w:lang w:val="en-US"/>
              </w:rPr>
              <w:t>o or mild symptoms and RV dilatation (appropriate for surgery)</w:t>
            </w:r>
          </w:p>
        </w:tc>
        <w:tc>
          <w:tcPr>
            <w:tcW w:w="4137" w:type="dxa"/>
            <w:tcBorders>
              <w:top w:val="nil"/>
              <w:left w:val="nil"/>
              <w:bottom w:val="nil"/>
              <w:right w:val="nil"/>
            </w:tcBorders>
            <w:shd w:val="clear" w:color="auto" w:fill="auto"/>
          </w:tcPr>
          <w:p w14:paraId="04831B16" w14:textId="77777777" w:rsidR="00AE28E9" w:rsidRPr="00731D97" w:rsidRDefault="00AE28E9" w:rsidP="0003657F">
            <w:pPr>
              <w:pStyle w:val="NormalWeb"/>
              <w:snapToGrid w:val="0"/>
              <w:spacing w:before="0" w:beforeAutospacing="0" w:after="0" w:afterAutospacing="0"/>
              <w:contextualSpacing/>
              <w:jc w:val="center"/>
              <w:rPr>
                <w:b/>
              </w:rPr>
            </w:pPr>
          </w:p>
        </w:tc>
        <w:tc>
          <w:tcPr>
            <w:tcW w:w="4318" w:type="dxa"/>
            <w:tcBorders>
              <w:top w:val="nil"/>
              <w:left w:val="nil"/>
              <w:bottom w:val="nil"/>
              <w:right w:val="single" w:sz="4" w:space="0" w:color="auto"/>
            </w:tcBorders>
            <w:shd w:val="clear" w:color="auto" w:fill="FFFF00"/>
          </w:tcPr>
          <w:p w14:paraId="34B2BD29" w14:textId="77777777" w:rsidR="00AE28E9" w:rsidRPr="00731D97" w:rsidRDefault="00AE28E9" w:rsidP="0003657F">
            <w:pPr>
              <w:pStyle w:val="NormalWeb"/>
              <w:snapToGrid w:val="0"/>
              <w:spacing w:before="0" w:beforeAutospacing="0" w:after="0" w:afterAutospacing="0"/>
              <w:contextualSpacing/>
              <w:jc w:val="center"/>
              <w:rPr>
                <w:b/>
              </w:rPr>
            </w:pPr>
            <w:proofErr w:type="spellStart"/>
            <w:r w:rsidRPr="00731D97">
              <w:rPr>
                <w:b/>
              </w:rPr>
              <w:t>IIa</w:t>
            </w:r>
            <w:proofErr w:type="spellEnd"/>
            <w:r w:rsidRPr="00731D97">
              <w:rPr>
                <w:b/>
              </w:rPr>
              <w:t>-C</w:t>
            </w:r>
          </w:p>
        </w:tc>
      </w:tr>
      <w:tr w:rsidR="00AE28E9" w:rsidRPr="00731D97" w14:paraId="6FCEDAB5" w14:textId="77777777" w:rsidTr="00731D97">
        <w:trPr>
          <w:trHeight w:val="115"/>
          <w:jc w:val="center"/>
        </w:trPr>
        <w:tc>
          <w:tcPr>
            <w:tcW w:w="7470" w:type="dxa"/>
            <w:tcBorders>
              <w:top w:val="nil"/>
              <w:left w:val="single" w:sz="4" w:space="0" w:color="auto"/>
              <w:bottom w:val="nil"/>
              <w:right w:val="nil"/>
            </w:tcBorders>
            <w:shd w:val="clear" w:color="auto" w:fill="auto"/>
          </w:tcPr>
          <w:p w14:paraId="1AA5B45A" w14:textId="77777777" w:rsidR="00AE28E9" w:rsidRPr="00731D97" w:rsidRDefault="00AE28E9" w:rsidP="0003657F">
            <w:pPr>
              <w:jc w:val="both"/>
              <w:rPr>
                <w:bCs/>
                <w:lang w:val="en-US"/>
              </w:rPr>
            </w:pPr>
            <w:r w:rsidRPr="00731D97">
              <w:rPr>
                <w:bCs/>
                <w:lang w:val="en-US"/>
              </w:rPr>
              <w:t xml:space="preserve">     symptoms and signs of right-sided HF </w:t>
            </w:r>
          </w:p>
        </w:tc>
        <w:tc>
          <w:tcPr>
            <w:tcW w:w="4137" w:type="dxa"/>
            <w:tcBorders>
              <w:top w:val="nil"/>
              <w:left w:val="nil"/>
              <w:bottom w:val="nil"/>
              <w:right w:val="nil"/>
            </w:tcBorders>
            <w:shd w:val="clear" w:color="auto" w:fill="FFFF00"/>
          </w:tcPr>
          <w:p w14:paraId="6204A51A" w14:textId="77777777" w:rsidR="00AE28E9" w:rsidRPr="00731D97" w:rsidRDefault="00AE28E9" w:rsidP="0003657F">
            <w:pPr>
              <w:pStyle w:val="NormalWeb"/>
              <w:snapToGrid w:val="0"/>
              <w:spacing w:before="0" w:beforeAutospacing="0" w:after="0" w:afterAutospacing="0"/>
              <w:contextualSpacing/>
              <w:jc w:val="center"/>
              <w:rPr>
                <w:b/>
              </w:rPr>
            </w:pPr>
            <w:proofErr w:type="spellStart"/>
            <w:r w:rsidRPr="00731D97">
              <w:rPr>
                <w:b/>
              </w:rPr>
              <w:t>IIa</w:t>
            </w:r>
            <w:proofErr w:type="spellEnd"/>
            <w:r w:rsidRPr="00731D97">
              <w:rPr>
                <w:b/>
              </w:rPr>
              <w:t>-B</w:t>
            </w:r>
          </w:p>
        </w:tc>
        <w:tc>
          <w:tcPr>
            <w:tcW w:w="4318" w:type="dxa"/>
            <w:tcBorders>
              <w:top w:val="nil"/>
              <w:left w:val="nil"/>
              <w:bottom w:val="nil"/>
              <w:right w:val="single" w:sz="4" w:space="0" w:color="auto"/>
            </w:tcBorders>
            <w:shd w:val="clear" w:color="auto" w:fill="auto"/>
          </w:tcPr>
          <w:p w14:paraId="673ED06D" w14:textId="77777777" w:rsidR="00AE28E9" w:rsidRPr="00731D97" w:rsidRDefault="00AE28E9" w:rsidP="0003657F">
            <w:pPr>
              <w:pStyle w:val="NormalWeb"/>
              <w:snapToGrid w:val="0"/>
              <w:spacing w:before="0" w:beforeAutospacing="0" w:after="0" w:afterAutospacing="0"/>
              <w:contextualSpacing/>
              <w:jc w:val="center"/>
              <w:rPr>
                <w:b/>
              </w:rPr>
            </w:pPr>
          </w:p>
        </w:tc>
      </w:tr>
      <w:tr w:rsidR="00AE28E9" w:rsidRPr="00731D97" w14:paraId="0666971B" w14:textId="77777777" w:rsidTr="00731D97">
        <w:trPr>
          <w:trHeight w:val="115"/>
          <w:jc w:val="center"/>
        </w:trPr>
        <w:tc>
          <w:tcPr>
            <w:tcW w:w="7470" w:type="dxa"/>
            <w:tcBorders>
              <w:top w:val="nil"/>
              <w:left w:val="single" w:sz="4" w:space="0" w:color="auto"/>
              <w:bottom w:val="nil"/>
              <w:right w:val="nil"/>
            </w:tcBorders>
            <w:shd w:val="clear" w:color="auto" w:fill="FFFFFF" w:themeFill="background1"/>
          </w:tcPr>
          <w:p w14:paraId="6DA94E48" w14:textId="77777777" w:rsidR="00AE28E9" w:rsidRPr="00731D97" w:rsidRDefault="00AE28E9" w:rsidP="0003657F">
            <w:pPr>
              <w:pStyle w:val="NormalWeb"/>
              <w:spacing w:before="0" w:beforeAutospacing="0" w:after="0" w:afterAutospacing="0"/>
              <w:jc w:val="both"/>
            </w:pPr>
            <w:r w:rsidRPr="00731D97">
              <w:rPr>
                <w:bCs/>
              </w:rPr>
              <w:t xml:space="preserve">     progressive RV dilation or systolic dysfunction</w:t>
            </w:r>
          </w:p>
        </w:tc>
        <w:tc>
          <w:tcPr>
            <w:tcW w:w="4137" w:type="dxa"/>
            <w:tcBorders>
              <w:top w:val="nil"/>
              <w:left w:val="nil"/>
              <w:bottom w:val="nil"/>
              <w:right w:val="nil"/>
            </w:tcBorders>
            <w:shd w:val="clear" w:color="auto" w:fill="FFC000"/>
          </w:tcPr>
          <w:p w14:paraId="132D1C2A" w14:textId="77777777" w:rsidR="00AE28E9" w:rsidRPr="00731D97" w:rsidRDefault="00AE28E9" w:rsidP="0003657F">
            <w:pPr>
              <w:pStyle w:val="NormalWeb"/>
              <w:snapToGrid w:val="0"/>
              <w:spacing w:before="0" w:beforeAutospacing="0" w:after="0" w:afterAutospacing="0"/>
              <w:contextualSpacing/>
              <w:jc w:val="center"/>
              <w:rPr>
                <w:b/>
              </w:rPr>
            </w:pPr>
            <w:r w:rsidRPr="00731D97">
              <w:rPr>
                <w:b/>
              </w:rPr>
              <w:t>IIb-C</w:t>
            </w:r>
          </w:p>
        </w:tc>
        <w:tc>
          <w:tcPr>
            <w:tcW w:w="4318" w:type="dxa"/>
            <w:tcBorders>
              <w:top w:val="nil"/>
              <w:left w:val="nil"/>
              <w:bottom w:val="nil"/>
              <w:right w:val="single" w:sz="4" w:space="0" w:color="auto"/>
            </w:tcBorders>
            <w:shd w:val="clear" w:color="auto" w:fill="auto"/>
          </w:tcPr>
          <w:p w14:paraId="449E4269" w14:textId="77777777" w:rsidR="00AE28E9" w:rsidRPr="00731D97" w:rsidRDefault="00AE28E9" w:rsidP="0003657F">
            <w:pPr>
              <w:pStyle w:val="NormalWeb"/>
              <w:snapToGrid w:val="0"/>
              <w:spacing w:before="0" w:beforeAutospacing="0" w:after="0" w:afterAutospacing="0"/>
              <w:contextualSpacing/>
              <w:jc w:val="center"/>
              <w:rPr>
                <w:b/>
              </w:rPr>
            </w:pPr>
          </w:p>
        </w:tc>
      </w:tr>
      <w:tr w:rsidR="00AE28E9" w:rsidRPr="00D00075" w14:paraId="312E2B7D" w14:textId="77777777" w:rsidTr="00731D97">
        <w:trPr>
          <w:trHeight w:val="115"/>
          <w:jc w:val="center"/>
        </w:trPr>
        <w:tc>
          <w:tcPr>
            <w:tcW w:w="7470" w:type="dxa"/>
            <w:tcBorders>
              <w:top w:val="nil"/>
              <w:left w:val="single" w:sz="4" w:space="0" w:color="auto"/>
              <w:bottom w:val="nil"/>
              <w:right w:val="nil"/>
            </w:tcBorders>
            <w:shd w:val="clear" w:color="auto" w:fill="D9E2F3" w:themeFill="accent5" w:themeFillTint="33"/>
          </w:tcPr>
          <w:p w14:paraId="28BF9BEF" w14:textId="77777777" w:rsidR="00AE28E9" w:rsidRPr="00731D97" w:rsidRDefault="00AE28E9" w:rsidP="0003657F">
            <w:pPr>
              <w:jc w:val="both"/>
              <w:rPr>
                <w:bCs/>
                <w:lang w:val="en-US"/>
              </w:rPr>
            </w:pPr>
            <w:r w:rsidRPr="00731D97">
              <w:rPr>
                <w:bCs/>
                <w:lang w:val="en-US"/>
              </w:rPr>
              <w:t>TV surgery in severe secondary TR</w:t>
            </w:r>
          </w:p>
        </w:tc>
        <w:tc>
          <w:tcPr>
            <w:tcW w:w="4137" w:type="dxa"/>
            <w:tcBorders>
              <w:top w:val="nil"/>
              <w:left w:val="nil"/>
              <w:bottom w:val="nil"/>
              <w:right w:val="nil"/>
            </w:tcBorders>
            <w:shd w:val="clear" w:color="auto" w:fill="auto"/>
          </w:tcPr>
          <w:p w14:paraId="59CDF158" w14:textId="77777777" w:rsidR="00AE28E9" w:rsidRPr="00731D97" w:rsidRDefault="00AE28E9" w:rsidP="0003657F">
            <w:pPr>
              <w:pStyle w:val="NormalWeb"/>
              <w:snapToGrid w:val="0"/>
              <w:spacing w:before="0" w:beforeAutospacing="0" w:after="0" w:afterAutospacing="0"/>
              <w:contextualSpacing/>
              <w:jc w:val="center"/>
              <w:rPr>
                <w:b/>
              </w:rPr>
            </w:pPr>
          </w:p>
        </w:tc>
        <w:tc>
          <w:tcPr>
            <w:tcW w:w="4318" w:type="dxa"/>
            <w:tcBorders>
              <w:top w:val="nil"/>
              <w:left w:val="nil"/>
              <w:bottom w:val="nil"/>
              <w:right w:val="single" w:sz="4" w:space="0" w:color="auto"/>
            </w:tcBorders>
            <w:shd w:val="clear" w:color="auto" w:fill="auto"/>
          </w:tcPr>
          <w:p w14:paraId="4CB0AEC9" w14:textId="77777777" w:rsidR="00AE28E9" w:rsidRPr="00731D97" w:rsidRDefault="00AE28E9" w:rsidP="0003657F">
            <w:pPr>
              <w:pStyle w:val="NormalWeb"/>
              <w:snapToGrid w:val="0"/>
              <w:spacing w:before="0" w:beforeAutospacing="0" w:after="0" w:afterAutospacing="0"/>
              <w:contextualSpacing/>
              <w:jc w:val="center"/>
              <w:rPr>
                <w:b/>
              </w:rPr>
            </w:pPr>
          </w:p>
        </w:tc>
      </w:tr>
      <w:tr w:rsidR="00731D97" w:rsidRPr="00731D97" w14:paraId="1B1D38C8" w14:textId="77777777" w:rsidTr="00731D97">
        <w:trPr>
          <w:trHeight w:val="115"/>
          <w:jc w:val="center"/>
        </w:trPr>
        <w:tc>
          <w:tcPr>
            <w:tcW w:w="7470" w:type="dxa"/>
            <w:tcBorders>
              <w:top w:val="nil"/>
              <w:left w:val="single" w:sz="4" w:space="0" w:color="auto"/>
              <w:bottom w:val="nil"/>
              <w:right w:val="nil"/>
            </w:tcBorders>
            <w:shd w:val="clear" w:color="auto" w:fill="D9E2F3" w:themeFill="accent5" w:themeFillTint="33"/>
          </w:tcPr>
          <w:p w14:paraId="5347256A" w14:textId="66F2B6A9" w:rsidR="00AE28E9" w:rsidRPr="00731D97" w:rsidRDefault="00AE28E9" w:rsidP="0003657F">
            <w:pPr>
              <w:jc w:val="both"/>
              <w:rPr>
                <w:bCs/>
                <w:lang w:val="en-US"/>
              </w:rPr>
            </w:pPr>
            <w:r w:rsidRPr="00731D97">
              <w:rPr>
                <w:bCs/>
                <w:lang w:val="en-US"/>
              </w:rPr>
              <w:t xml:space="preserve">     s</w:t>
            </w:r>
            <w:r w:rsidRPr="00731D97">
              <w:rPr>
                <w:lang w:val="en-US"/>
              </w:rPr>
              <w:t xml:space="preserve">ymptoms and RV dilatation and no severe RV or LV dysfunction or severe </w:t>
            </w:r>
            <w:r w:rsidR="00731D97">
              <w:rPr>
                <w:lang w:val="en-US"/>
              </w:rPr>
              <w:t>PH</w:t>
            </w:r>
          </w:p>
        </w:tc>
        <w:tc>
          <w:tcPr>
            <w:tcW w:w="4137" w:type="dxa"/>
            <w:tcBorders>
              <w:top w:val="nil"/>
              <w:left w:val="nil"/>
              <w:bottom w:val="nil"/>
              <w:right w:val="nil"/>
            </w:tcBorders>
            <w:shd w:val="clear" w:color="auto" w:fill="FFC000"/>
            <w:vAlign w:val="center"/>
          </w:tcPr>
          <w:p w14:paraId="6B732687" w14:textId="77777777" w:rsidR="00AE28E9" w:rsidRPr="00731D97" w:rsidRDefault="00AE28E9" w:rsidP="0003657F">
            <w:pPr>
              <w:pStyle w:val="NormalWeb"/>
              <w:snapToGrid w:val="0"/>
              <w:spacing w:before="0" w:beforeAutospacing="0" w:after="0" w:afterAutospacing="0"/>
              <w:contextualSpacing/>
              <w:jc w:val="center"/>
              <w:rPr>
                <w:b/>
              </w:rPr>
            </w:pPr>
            <w:r w:rsidRPr="00731D97">
              <w:rPr>
                <w:b/>
              </w:rPr>
              <w:t>IIb-B</w:t>
            </w:r>
          </w:p>
        </w:tc>
        <w:tc>
          <w:tcPr>
            <w:tcW w:w="4318" w:type="dxa"/>
            <w:tcBorders>
              <w:top w:val="nil"/>
              <w:left w:val="nil"/>
              <w:bottom w:val="nil"/>
              <w:right w:val="single" w:sz="4" w:space="0" w:color="auto"/>
            </w:tcBorders>
            <w:shd w:val="clear" w:color="auto" w:fill="FFFF00"/>
            <w:vAlign w:val="center"/>
          </w:tcPr>
          <w:p w14:paraId="3B99ECC6" w14:textId="77777777" w:rsidR="00AE28E9" w:rsidRPr="00731D97" w:rsidRDefault="00AE28E9" w:rsidP="0003657F">
            <w:pPr>
              <w:pStyle w:val="NormalWeb"/>
              <w:snapToGrid w:val="0"/>
              <w:spacing w:before="0" w:beforeAutospacing="0" w:after="0" w:afterAutospacing="0"/>
              <w:contextualSpacing/>
              <w:jc w:val="center"/>
              <w:rPr>
                <w:b/>
              </w:rPr>
            </w:pPr>
            <w:proofErr w:type="spellStart"/>
            <w:r w:rsidRPr="00731D97">
              <w:rPr>
                <w:b/>
              </w:rPr>
              <w:t>IIa</w:t>
            </w:r>
            <w:proofErr w:type="spellEnd"/>
            <w:r w:rsidRPr="00731D97">
              <w:rPr>
                <w:b/>
              </w:rPr>
              <w:t>-C</w:t>
            </w:r>
          </w:p>
        </w:tc>
      </w:tr>
      <w:tr w:rsidR="00AE28E9" w:rsidRPr="00731D97" w14:paraId="00684F41" w14:textId="77777777" w:rsidTr="00731D97">
        <w:trPr>
          <w:trHeight w:val="81"/>
          <w:jc w:val="center"/>
        </w:trPr>
        <w:tc>
          <w:tcPr>
            <w:tcW w:w="7470" w:type="dxa"/>
            <w:tcBorders>
              <w:top w:val="nil"/>
              <w:left w:val="single" w:sz="4" w:space="0" w:color="auto"/>
              <w:bottom w:val="nil"/>
              <w:right w:val="nil"/>
            </w:tcBorders>
            <w:shd w:val="clear" w:color="auto" w:fill="D9E2F3" w:themeFill="accent5" w:themeFillTint="33"/>
          </w:tcPr>
          <w:p w14:paraId="4B1803C2" w14:textId="490DF80A" w:rsidR="00AE28E9" w:rsidRPr="00731D97" w:rsidRDefault="00AE28E9" w:rsidP="0003657F">
            <w:pPr>
              <w:pStyle w:val="NormalWeb"/>
              <w:spacing w:before="0" w:beforeAutospacing="0" w:after="0" w:afterAutospacing="0"/>
              <w:contextualSpacing/>
              <w:jc w:val="both"/>
            </w:pPr>
            <w:r w:rsidRPr="00731D97">
              <w:t xml:space="preserve">     </w:t>
            </w:r>
            <w:r w:rsidRPr="00731D97">
              <w:rPr>
                <w:bCs/>
              </w:rPr>
              <w:t xml:space="preserve">symptoms and signs of right-sided HF and no </w:t>
            </w:r>
            <w:r w:rsidR="00731D97">
              <w:rPr>
                <w:bCs/>
              </w:rPr>
              <w:t xml:space="preserve">PH </w:t>
            </w:r>
            <w:r w:rsidRPr="00731D97">
              <w:rPr>
                <w:bCs/>
              </w:rPr>
              <w:t>or left-sided disease or response to medical therapy</w:t>
            </w:r>
          </w:p>
        </w:tc>
        <w:tc>
          <w:tcPr>
            <w:tcW w:w="4137" w:type="dxa"/>
            <w:tcBorders>
              <w:top w:val="nil"/>
              <w:left w:val="nil"/>
              <w:bottom w:val="nil"/>
              <w:right w:val="nil"/>
            </w:tcBorders>
            <w:shd w:val="clear" w:color="auto" w:fill="FFFF00"/>
            <w:vAlign w:val="center"/>
          </w:tcPr>
          <w:p w14:paraId="7354FEAB" w14:textId="77777777" w:rsidR="00AE28E9" w:rsidRPr="00731D97" w:rsidRDefault="00AE28E9" w:rsidP="0003657F">
            <w:pPr>
              <w:pStyle w:val="NormalWeb"/>
              <w:snapToGrid w:val="0"/>
              <w:spacing w:before="0" w:beforeAutospacing="0" w:after="0" w:afterAutospacing="0"/>
              <w:contextualSpacing/>
              <w:jc w:val="center"/>
              <w:rPr>
                <w:b/>
              </w:rPr>
            </w:pPr>
            <w:proofErr w:type="spellStart"/>
            <w:r w:rsidRPr="00731D97">
              <w:rPr>
                <w:b/>
              </w:rPr>
              <w:t>IIa</w:t>
            </w:r>
            <w:proofErr w:type="spellEnd"/>
            <w:r w:rsidRPr="00731D97">
              <w:rPr>
                <w:b/>
              </w:rPr>
              <w:t>-B</w:t>
            </w:r>
          </w:p>
        </w:tc>
        <w:tc>
          <w:tcPr>
            <w:tcW w:w="4318" w:type="dxa"/>
            <w:tcBorders>
              <w:top w:val="nil"/>
              <w:left w:val="nil"/>
              <w:bottom w:val="nil"/>
              <w:right w:val="single" w:sz="4" w:space="0" w:color="auto"/>
            </w:tcBorders>
            <w:shd w:val="clear" w:color="auto" w:fill="auto"/>
            <w:vAlign w:val="center"/>
          </w:tcPr>
          <w:p w14:paraId="1EBAD41E" w14:textId="77777777" w:rsidR="00AE28E9" w:rsidRPr="00731D97" w:rsidRDefault="00AE28E9" w:rsidP="0003657F">
            <w:pPr>
              <w:pStyle w:val="NormalWeb"/>
              <w:snapToGrid w:val="0"/>
              <w:spacing w:before="0" w:beforeAutospacing="0" w:after="0" w:afterAutospacing="0"/>
              <w:contextualSpacing/>
              <w:jc w:val="center"/>
              <w:rPr>
                <w:b/>
              </w:rPr>
            </w:pPr>
          </w:p>
        </w:tc>
      </w:tr>
      <w:tr w:rsidR="00AE28E9" w:rsidRPr="00731D97" w14:paraId="7A0888BF" w14:textId="77777777" w:rsidTr="00731D97">
        <w:trPr>
          <w:trHeight w:val="81"/>
          <w:jc w:val="center"/>
        </w:trPr>
        <w:tc>
          <w:tcPr>
            <w:tcW w:w="7470" w:type="dxa"/>
            <w:tcBorders>
              <w:top w:val="nil"/>
              <w:left w:val="single" w:sz="4" w:space="0" w:color="auto"/>
              <w:bottom w:val="single" w:sz="4" w:space="0" w:color="auto"/>
              <w:right w:val="nil"/>
            </w:tcBorders>
            <w:shd w:val="clear" w:color="auto" w:fill="auto"/>
          </w:tcPr>
          <w:p w14:paraId="3CB5279C" w14:textId="77777777" w:rsidR="00AE28E9" w:rsidRPr="00731D97" w:rsidRDefault="00AE28E9" w:rsidP="0003657F">
            <w:pPr>
              <w:pStyle w:val="NormalWeb"/>
              <w:spacing w:before="0" w:beforeAutospacing="0" w:after="0" w:afterAutospacing="0"/>
              <w:contextualSpacing/>
              <w:jc w:val="both"/>
            </w:pPr>
            <w:r w:rsidRPr="00731D97">
              <w:rPr>
                <w:bCs/>
              </w:rPr>
              <w:t>Transcatheter treatment of symptomatic secondary severe TR in inoperable patients at a Heart Valve Centre with dedicated expertise</w:t>
            </w:r>
          </w:p>
        </w:tc>
        <w:tc>
          <w:tcPr>
            <w:tcW w:w="4137" w:type="dxa"/>
            <w:tcBorders>
              <w:top w:val="nil"/>
              <w:left w:val="nil"/>
              <w:bottom w:val="single" w:sz="4" w:space="0" w:color="auto"/>
              <w:right w:val="nil"/>
            </w:tcBorders>
            <w:shd w:val="clear" w:color="auto" w:fill="auto"/>
            <w:vAlign w:val="center"/>
          </w:tcPr>
          <w:p w14:paraId="0CBD71F4" w14:textId="77777777" w:rsidR="00AE28E9" w:rsidRPr="00731D97" w:rsidRDefault="00AE28E9" w:rsidP="0003657F">
            <w:pPr>
              <w:pStyle w:val="NormalWeb"/>
              <w:snapToGrid w:val="0"/>
              <w:spacing w:before="0" w:beforeAutospacing="0" w:after="0" w:afterAutospacing="0"/>
              <w:contextualSpacing/>
              <w:jc w:val="center"/>
              <w:rPr>
                <w:b/>
              </w:rPr>
            </w:pPr>
          </w:p>
        </w:tc>
        <w:tc>
          <w:tcPr>
            <w:tcW w:w="4318" w:type="dxa"/>
            <w:tcBorders>
              <w:top w:val="nil"/>
              <w:left w:val="nil"/>
              <w:bottom w:val="single" w:sz="4" w:space="0" w:color="auto"/>
              <w:right w:val="single" w:sz="4" w:space="0" w:color="auto"/>
            </w:tcBorders>
            <w:shd w:val="clear" w:color="auto" w:fill="FFC000" w:themeFill="accent4"/>
            <w:vAlign w:val="center"/>
          </w:tcPr>
          <w:p w14:paraId="5AC95D2E" w14:textId="77777777" w:rsidR="00AE28E9" w:rsidRPr="00731D97" w:rsidRDefault="00AE28E9" w:rsidP="0003657F">
            <w:pPr>
              <w:pStyle w:val="NormalWeb"/>
              <w:snapToGrid w:val="0"/>
              <w:spacing w:before="0" w:beforeAutospacing="0" w:after="0" w:afterAutospacing="0"/>
              <w:contextualSpacing/>
              <w:jc w:val="center"/>
              <w:rPr>
                <w:b/>
              </w:rPr>
            </w:pPr>
            <w:r w:rsidRPr="00731D97">
              <w:rPr>
                <w:b/>
              </w:rPr>
              <w:t>IIb-C</w:t>
            </w:r>
          </w:p>
        </w:tc>
      </w:tr>
    </w:tbl>
    <w:p w14:paraId="3067285D" w14:textId="3BBE0DF9" w:rsidR="00513AAE" w:rsidRPr="00AE28E9" w:rsidRDefault="00513AAE" w:rsidP="000B534A">
      <w:pPr>
        <w:spacing w:line="480" w:lineRule="auto"/>
        <w:rPr>
          <w:sz w:val="22"/>
          <w:szCs w:val="22"/>
          <w:lang w:val="en-US"/>
        </w:rPr>
        <w:sectPr w:rsidR="00513AAE" w:rsidRPr="00AE28E9" w:rsidSect="00A90198">
          <w:pgSz w:w="16838" w:h="11906" w:orient="landscape"/>
          <w:pgMar w:top="1440" w:right="1440" w:bottom="1440" w:left="1440" w:header="709" w:footer="709" w:gutter="0"/>
          <w:cols w:space="708"/>
          <w:docGrid w:linePitch="360"/>
        </w:sectPr>
      </w:pPr>
      <w:r w:rsidRPr="00AE28E9">
        <w:rPr>
          <w:sz w:val="22"/>
          <w:szCs w:val="22"/>
          <w:lang w:val="en-US"/>
        </w:rPr>
        <w:t>HF: heart failure; LV: left ventricl</w:t>
      </w:r>
      <w:r w:rsidR="00AE28E9">
        <w:rPr>
          <w:sz w:val="22"/>
          <w:szCs w:val="22"/>
          <w:lang w:val="en-US"/>
        </w:rPr>
        <w:t>e</w:t>
      </w:r>
      <w:r w:rsidRPr="00AE28E9">
        <w:rPr>
          <w:sz w:val="22"/>
          <w:szCs w:val="22"/>
          <w:lang w:val="en-US"/>
        </w:rPr>
        <w:t xml:space="preserve">; </w:t>
      </w:r>
      <w:r w:rsidR="00731D97">
        <w:rPr>
          <w:sz w:val="22"/>
          <w:szCs w:val="22"/>
          <w:lang w:val="en-US"/>
        </w:rPr>
        <w:t xml:space="preserve">PH: pulmonary </w:t>
      </w:r>
      <w:proofErr w:type="spellStart"/>
      <w:r w:rsidR="00731D97">
        <w:rPr>
          <w:sz w:val="22"/>
          <w:szCs w:val="22"/>
          <w:lang w:val="en-US"/>
        </w:rPr>
        <w:t>hypertenions</w:t>
      </w:r>
      <w:proofErr w:type="spellEnd"/>
      <w:r w:rsidR="00731D97">
        <w:rPr>
          <w:sz w:val="22"/>
          <w:szCs w:val="22"/>
          <w:lang w:val="en-US"/>
        </w:rPr>
        <w:t xml:space="preserve">; </w:t>
      </w:r>
      <w:r w:rsidRPr="00AE28E9">
        <w:rPr>
          <w:sz w:val="22"/>
          <w:szCs w:val="22"/>
          <w:lang w:val="en-US"/>
        </w:rPr>
        <w:t>RV: right ventricl</w:t>
      </w:r>
      <w:r w:rsidR="00AE28E9">
        <w:rPr>
          <w:sz w:val="22"/>
          <w:szCs w:val="22"/>
          <w:lang w:val="en-US"/>
        </w:rPr>
        <w:t>e</w:t>
      </w:r>
      <w:r w:rsidRPr="00AE28E9">
        <w:rPr>
          <w:sz w:val="22"/>
          <w:szCs w:val="22"/>
          <w:lang w:val="en-US"/>
        </w:rPr>
        <w:t xml:space="preserve">; </w:t>
      </w:r>
      <w:r w:rsidR="00AE28E9" w:rsidRPr="00AE28E9">
        <w:rPr>
          <w:sz w:val="22"/>
          <w:szCs w:val="22"/>
          <w:lang w:val="en-US"/>
        </w:rPr>
        <w:t xml:space="preserve">TA: tricuspid annulus; </w:t>
      </w:r>
      <w:r w:rsidRPr="00AE28E9">
        <w:rPr>
          <w:sz w:val="22"/>
          <w:szCs w:val="22"/>
          <w:lang w:val="en-US"/>
        </w:rPr>
        <w:t>TR: tricuspid regurgitation; TV: tricuspid valv</w:t>
      </w:r>
      <w:r w:rsidR="000804FA">
        <w:rPr>
          <w:sz w:val="22"/>
          <w:szCs w:val="22"/>
          <w:lang w:val="en-US"/>
        </w:rPr>
        <w:t>e</w:t>
      </w:r>
    </w:p>
    <w:p w14:paraId="61739489" w14:textId="02B2D28A" w:rsidR="003566A4" w:rsidRPr="008E6806" w:rsidRDefault="003566A4" w:rsidP="003566A4">
      <w:pPr>
        <w:spacing w:after="120"/>
        <w:jc w:val="both"/>
        <w:rPr>
          <w:sz w:val="18"/>
          <w:szCs w:val="18"/>
          <w:lang w:val="en-US"/>
        </w:rPr>
      </w:pPr>
    </w:p>
    <w:sectPr w:rsidR="003566A4" w:rsidRPr="008E6806" w:rsidSect="00A9019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7D0C5" w14:textId="77777777" w:rsidR="00A90198" w:rsidRDefault="00A90198" w:rsidP="006842A1">
      <w:r>
        <w:separator/>
      </w:r>
    </w:p>
  </w:endnote>
  <w:endnote w:type="continuationSeparator" w:id="0">
    <w:p w14:paraId="0859BD1A" w14:textId="77777777" w:rsidR="00A90198" w:rsidRDefault="00A90198" w:rsidP="00684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97915921"/>
      <w:docPartObj>
        <w:docPartGallery w:val="Page Numbers (Bottom of Page)"/>
        <w:docPartUnique/>
      </w:docPartObj>
    </w:sdtPr>
    <w:sdtEndPr>
      <w:rPr>
        <w:rStyle w:val="PageNumber"/>
      </w:rPr>
    </w:sdtEndPr>
    <w:sdtContent>
      <w:p w14:paraId="4AC3220B" w14:textId="36084A85" w:rsidR="00F44003" w:rsidRDefault="00F44003" w:rsidP="007E06A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567D0D4" w14:textId="77777777" w:rsidR="00F44003" w:rsidRDefault="00F44003" w:rsidP="006842A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57671949"/>
      <w:docPartObj>
        <w:docPartGallery w:val="Page Numbers (Bottom of Page)"/>
        <w:docPartUnique/>
      </w:docPartObj>
    </w:sdtPr>
    <w:sdtEndPr>
      <w:rPr>
        <w:rStyle w:val="PageNumber"/>
      </w:rPr>
    </w:sdtEndPr>
    <w:sdtContent>
      <w:p w14:paraId="14701886" w14:textId="61241124" w:rsidR="00F44003" w:rsidRDefault="00F44003" w:rsidP="007E06A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B284C">
          <w:rPr>
            <w:rStyle w:val="PageNumber"/>
            <w:noProof/>
          </w:rPr>
          <w:t>11</w:t>
        </w:r>
        <w:r>
          <w:rPr>
            <w:rStyle w:val="PageNumber"/>
          </w:rPr>
          <w:fldChar w:fldCharType="end"/>
        </w:r>
      </w:p>
    </w:sdtContent>
  </w:sdt>
  <w:p w14:paraId="33DF3139" w14:textId="77777777" w:rsidR="00F44003" w:rsidRDefault="00F44003" w:rsidP="006842A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943F4" w14:textId="77777777" w:rsidR="00A90198" w:rsidRDefault="00A90198" w:rsidP="006842A1">
      <w:r>
        <w:separator/>
      </w:r>
    </w:p>
  </w:footnote>
  <w:footnote w:type="continuationSeparator" w:id="0">
    <w:p w14:paraId="312149AB" w14:textId="77777777" w:rsidR="00A90198" w:rsidRDefault="00A90198" w:rsidP="006842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391A"/>
    <w:multiLevelType w:val="multilevel"/>
    <w:tmpl w:val="BA3865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0C6FA7"/>
    <w:multiLevelType w:val="hybridMultilevel"/>
    <w:tmpl w:val="4AD667B6"/>
    <w:lvl w:ilvl="0" w:tplc="0410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10041A"/>
    <w:multiLevelType w:val="hybridMultilevel"/>
    <w:tmpl w:val="000E936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CB4073E"/>
    <w:multiLevelType w:val="hybridMultilevel"/>
    <w:tmpl w:val="ED2E8DB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4107038"/>
    <w:multiLevelType w:val="hybridMultilevel"/>
    <w:tmpl w:val="FD8A4B82"/>
    <w:lvl w:ilvl="0" w:tplc="0410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4DF6BA6"/>
    <w:multiLevelType w:val="multilevel"/>
    <w:tmpl w:val="1CCE5A9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5CD1A6A"/>
    <w:multiLevelType w:val="hybridMultilevel"/>
    <w:tmpl w:val="282C816A"/>
    <w:lvl w:ilvl="0" w:tplc="0410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6990EAC"/>
    <w:multiLevelType w:val="hybridMultilevel"/>
    <w:tmpl w:val="2A66FEE4"/>
    <w:lvl w:ilvl="0" w:tplc="0410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7E016E9"/>
    <w:multiLevelType w:val="hybridMultilevel"/>
    <w:tmpl w:val="5794226E"/>
    <w:lvl w:ilvl="0" w:tplc="0410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CA0675A"/>
    <w:multiLevelType w:val="hybridMultilevel"/>
    <w:tmpl w:val="4DB2FB02"/>
    <w:lvl w:ilvl="0" w:tplc="0410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2B412E6"/>
    <w:multiLevelType w:val="hybridMultilevel"/>
    <w:tmpl w:val="6C72AD90"/>
    <w:lvl w:ilvl="0" w:tplc="0410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89E3B6E"/>
    <w:multiLevelType w:val="hybridMultilevel"/>
    <w:tmpl w:val="5F6C37E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6F4410A"/>
    <w:multiLevelType w:val="hybridMultilevel"/>
    <w:tmpl w:val="B4163220"/>
    <w:lvl w:ilvl="0" w:tplc="0410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C3D15C9"/>
    <w:multiLevelType w:val="hybridMultilevel"/>
    <w:tmpl w:val="CC3EE8D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AEB2F6B"/>
    <w:multiLevelType w:val="hybridMultilevel"/>
    <w:tmpl w:val="C11E41EE"/>
    <w:lvl w:ilvl="0" w:tplc="0410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8461798"/>
    <w:multiLevelType w:val="multilevel"/>
    <w:tmpl w:val="D4EE28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BCA6AD3"/>
    <w:multiLevelType w:val="hybridMultilevel"/>
    <w:tmpl w:val="F23C9082"/>
    <w:lvl w:ilvl="0" w:tplc="0410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07310835">
    <w:abstractNumId w:val="0"/>
  </w:num>
  <w:num w:numId="2" w16cid:durableId="953092669">
    <w:abstractNumId w:val="15"/>
  </w:num>
  <w:num w:numId="3" w16cid:durableId="1443257034">
    <w:abstractNumId w:val="3"/>
  </w:num>
  <w:num w:numId="4" w16cid:durableId="942608823">
    <w:abstractNumId w:val="13"/>
  </w:num>
  <w:num w:numId="5" w16cid:durableId="998507935">
    <w:abstractNumId w:val="11"/>
  </w:num>
  <w:num w:numId="6" w16cid:durableId="156844416">
    <w:abstractNumId w:val="2"/>
  </w:num>
  <w:num w:numId="7" w16cid:durableId="507989571">
    <w:abstractNumId w:val="5"/>
  </w:num>
  <w:num w:numId="8" w16cid:durableId="904878268">
    <w:abstractNumId w:val="6"/>
  </w:num>
  <w:num w:numId="9" w16cid:durableId="586351697">
    <w:abstractNumId w:val="10"/>
  </w:num>
  <w:num w:numId="10" w16cid:durableId="988093777">
    <w:abstractNumId w:val="16"/>
  </w:num>
  <w:num w:numId="11" w16cid:durableId="1832673566">
    <w:abstractNumId w:val="1"/>
  </w:num>
  <w:num w:numId="12" w16cid:durableId="640158150">
    <w:abstractNumId w:val="8"/>
  </w:num>
  <w:num w:numId="13" w16cid:durableId="857112399">
    <w:abstractNumId w:val="12"/>
  </w:num>
  <w:num w:numId="14" w16cid:durableId="62484900">
    <w:abstractNumId w:val="7"/>
  </w:num>
  <w:num w:numId="15" w16cid:durableId="538708333">
    <w:abstractNumId w:val="4"/>
  </w:num>
  <w:num w:numId="16" w16cid:durableId="1783645117">
    <w:abstractNumId w:val="9"/>
  </w:num>
  <w:num w:numId="17" w16cid:durableId="896818014">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CA" w:vendorID="64" w:dllVersion="6" w:nlCheck="1" w:checkStyle="1"/>
  <w:activeWritingStyle w:appName="MSWord" w:lang="en-US" w:vendorID="64" w:dllVersion="6" w:nlCheck="1" w:checkStyle="1"/>
  <w:activeWritingStyle w:appName="MSWord" w:lang="en-GB" w:vendorID="64" w:dllVersion="6" w:nlCheck="1" w:checkStyle="1"/>
  <w:activeWritingStyle w:appName="MSWord" w:lang="en-CA"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da-DK" w:vendorID="64" w:dllVersion="6" w:nlCheck="1" w:checkStyle="0"/>
  <w:activeWritingStyle w:appName="MSWord" w:lang="en-CA"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it-IT" w:vendorID="64" w:dllVersion="4096" w:nlCheck="1" w:checkStyle="0"/>
  <w:activeWritingStyle w:appName="MSWord" w:lang="it-IT" w:vendorID="64" w:dllVersion="0" w:nlCheck="1" w:checkStyle="0"/>
  <w:activeWritingStyle w:appName="MSWord" w:lang="fr-CA" w:vendorID="64" w:dllVersion="6" w:nlCheck="1" w:checkStyle="0"/>
  <w:activeWritingStyle w:appName="MSWord" w:lang="en-AU" w:vendorID="64" w:dllVersion="0"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wNjQ3szQ1NjYyNDVW0lEKTi0uzszPAykwqgUAKZx04SwAAAA="/>
    <w:docVar w:name="EN.InstantFormat" w:val="&lt;ENInstantFormat&gt;&lt;Enabled&gt;1&lt;/Enabled&gt;&lt;ScanUnformatted&gt;1&lt;/ScanUnformatted&gt;&lt;ScanChanges&gt;1&lt;/ScanChanges&gt;&lt;Suspended&gt;1&lt;/Suspended&gt;&lt;/ENInstantFormat&gt;"/>
    <w:docVar w:name="EN.Layout" w:val="&lt;ENLayout&gt;&lt;Style&gt;J Amer College Cardiolog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00r2xsprrpt07e2dt35s2ztfadevpxdd5s5&quot;&gt;PIBAROT&lt;record-ids&gt;&lt;item&gt;18776&lt;/item&gt;&lt;item&gt;19304&lt;/item&gt;&lt;/record-ids&gt;&lt;/item&gt;&lt;/Libraries&gt;"/>
  </w:docVars>
  <w:rsids>
    <w:rsidRoot w:val="007372E3"/>
    <w:rsid w:val="0000238F"/>
    <w:rsid w:val="00002CC4"/>
    <w:rsid w:val="000052CA"/>
    <w:rsid w:val="000066D1"/>
    <w:rsid w:val="000104D4"/>
    <w:rsid w:val="000139AD"/>
    <w:rsid w:val="00020698"/>
    <w:rsid w:val="000263E4"/>
    <w:rsid w:val="00027070"/>
    <w:rsid w:val="00027FC7"/>
    <w:rsid w:val="000322DE"/>
    <w:rsid w:val="00033708"/>
    <w:rsid w:val="00034C76"/>
    <w:rsid w:val="000378FC"/>
    <w:rsid w:val="000433F1"/>
    <w:rsid w:val="00052A33"/>
    <w:rsid w:val="00052B7D"/>
    <w:rsid w:val="0005413D"/>
    <w:rsid w:val="00057A48"/>
    <w:rsid w:val="0006580D"/>
    <w:rsid w:val="00075BA8"/>
    <w:rsid w:val="00076561"/>
    <w:rsid w:val="000804FA"/>
    <w:rsid w:val="00081872"/>
    <w:rsid w:val="00084F9C"/>
    <w:rsid w:val="00085C67"/>
    <w:rsid w:val="00086090"/>
    <w:rsid w:val="000952B4"/>
    <w:rsid w:val="000A56C3"/>
    <w:rsid w:val="000B2F5E"/>
    <w:rsid w:val="000B534A"/>
    <w:rsid w:val="000C0D24"/>
    <w:rsid w:val="000E0607"/>
    <w:rsid w:val="000E67F9"/>
    <w:rsid w:val="000E7520"/>
    <w:rsid w:val="0010155F"/>
    <w:rsid w:val="00102312"/>
    <w:rsid w:val="00103B71"/>
    <w:rsid w:val="00104D20"/>
    <w:rsid w:val="00106A2C"/>
    <w:rsid w:val="00110CC9"/>
    <w:rsid w:val="001126B2"/>
    <w:rsid w:val="00123C70"/>
    <w:rsid w:val="00126B9F"/>
    <w:rsid w:val="00133DF0"/>
    <w:rsid w:val="00136425"/>
    <w:rsid w:val="00140479"/>
    <w:rsid w:val="00140696"/>
    <w:rsid w:val="0015114A"/>
    <w:rsid w:val="00152F0B"/>
    <w:rsid w:val="00161ADE"/>
    <w:rsid w:val="00163173"/>
    <w:rsid w:val="00163F56"/>
    <w:rsid w:val="001677BD"/>
    <w:rsid w:val="0017554E"/>
    <w:rsid w:val="0018477D"/>
    <w:rsid w:val="001849B1"/>
    <w:rsid w:val="00184B8D"/>
    <w:rsid w:val="00185651"/>
    <w:rsid w:val="00186710"/>
    <w:rsid w:val="0018736C"/>
    <w:rsid w:val="001908E3"/>
    <w:rsid w:val="00193BAC"/>
    <w:rsid w:val="00196800"/>
    <w:rsid w:val="0019723A"/>
    <w:rsid w:val="001A1279"/>
    <w:rsid w:val="001A3ADC"/>
    <w:rsid w:val="001A46EA"/>
    <w:rsid w:val="001A564F"/>
    <w:rsid w:val="001A5801"/>
    <w:rsid w:val="001A6BBD"/>
    <w:rsid w:val="001A7989"/>
    <w:rsid w:val="001A7BC5"/>
    <w:rsid w:val="001B42A7"/>
    <w:rsid w:val="001B4391"/>
    <w:rsid w:val="001B6359"/>
    <w:rsid w:val="001B70A5"/>
    <w:rsid w:val="001C4D58"/>
    <w:rsid w:val="001C7D74"/>
    <w:rsid w:val="001D3F71"/>
    <w:rsid w:val="001D4EC7"/>
    <w:rsid w:val="001E0CD5"/>
    <w:rsid w:val="001E195E"/>
    <w:rsid w:val="001E27A0"/>
    <w:rsid w:val="001E32D4"/>
    <w:rsid w:val="001E4E60"/>
    <w:rsid w:val="001F37AE"/>
    <w:rsid w:val="001F4E50"/>
    <w:rsid w:val="001F6E1B"/>
    <w:rsid w:val="00201AD3"/>
    <w:rsid w:val="002024C2"/>
    <w:rsid w:val="00204EE9"/>
    <w:rsid w:val="00205539"/>
    <w:rsid w:val="0021129B"/>
    <w:rsid w:val="002151A2"/>
    <w:rsid w:val="00221E51"/>
    <w:rsid w:val="00227E3E"/>
    <w:rsid w:val="0023160B"/>
    <w:rsid w:val="00237FCD"/>
    <w:rsid w:val="002406D4"/>
    <w:rsid w:val="00244500"/>
    <w:rsid w:val="00245859"/>
    <w:rsid w:val="002465E7"/>
    <w:rsid w:val="0024724A"/>
    <w:rsid w:val="00247818"/>
    <w:rsid w:val="00251DD1"/>
    <w:rsid w:val="00254B6E"/>
    <w:rsid w:val="00256AFC"/>
    <w:rsid w:val="00261BCB"/>
    <w:rsid w:val="0027544D"/>
    <w:rsid w:val="00277820"/>
    <w:rsid w:val="00280171"/>
    <w:rsid w:val="00282D09"/>
    <w:rsid w:val="00282F12"/>
    <w:rsid w:val="0028476C"/>
    <w:rsid w:val="00285B4B"/>
    <w:rsid w:val="002953FB"/>
    <w:rsid w:val="00297E71"/>
    <w:rsid w:val="002A10F8"/>
    <w:rsid w:val="002A4256"/>
    <w:rsid w:val="002B38DD"/>
    <w:rsid w:val="002B5C7A"/>
    <w:rsid w:val="002C615B"/>
    <w:rsid w:val="002C7846"/>
    <w:rsid w:val="002D0126"/>
    <w:rsid w:val="002D1E9D"/>
    <w:rsid w:val="002D1F70"/>
    <w:rsid w:val="002E54DE"/>
    <w:rsid w:val="002E59D0"/>
    <w:rsid w:val="002F285B"/>
    <w:rsid w:val="002F2A4C"/>
    <w:rsid w:val="002F2BEA"/>
    <w:rsid w:val="002F4100"/>
    <w:rsid w:val="002F457F"/>
    <w:rsid w:val="002F4B1A"/>
    <w:rsid w:val="00300156"/>
    <w:rsid w:val="00302074"/>
    <w:rsid w:val="00302F9C"/>
    <w:rsid w:val="003066EF"/>
    <w:rsid w:val="00310512"/>
    <w:rsid w:val="0031101E"/>
    <w:rsid w:val="003230B3"/>
    <w:rsid w:val="00323827"/>
    <w:rsid w:val="003338BE"/>
    <w:rsid w:val="003339A1"/>
    <w:rsid w:val="00343694"/>
    <w:rsid w:val="003445F7"/>
    <w:rsid w:val="0034583F"/>
    <w:rsid w:val="00346EB5"/>
    <w:rsid w:val="00355587"/>
    <w:rsid w:val="003566A4"/>
    <w:rsid w:val="00362485"/>
    <w:rsid w:val="00367DF7"/>
    <w:rsid w:val="003761D0"/>
    <w:rsid w:val="00391042"/>
    <w:rsid w:val="003B03BB"/>
    <w:rsid w:val="003B2D33"/>
    <w:rsid w:val="003B3C31"/>
    <w:rsid w:val="003B3DBB"/>
    <w:rsid w:val="003B40B0"/>
    <w:rsid w:val="003B5E65"/>
    <w:rsid w:val="003C0459"/>
    <w:rsid w:val="003C1645"/>
    <w:rsid w:val="003C274B"/>
    <w:rsid w:val="003C2EDC"/>
    <w:rsid w:val="003C339C"/>
    <w:rsid w:val="003C6596"/>
    <w:rsid w:val="003D0A9B"/>
    <w:rsid w:val="003D5F0E"/>
    <w:rsid w:val="003D7BF7"/>
    <w:rsid w:val="003F5215"/>
    <w:rsid w:val="003F53D4"/>
    <w:rsid w:val="003F5402"/>
    <w:rsid w:val="003F6811"/>
    <w:rsid w:val="0040308F"/>
    <w:rsid w:val="00407F6C"/>
    <w:rsid w:val="00412566"/>
    <w:rsid w:val="00412E6A"/>
    <w:rsid w:val="00413525"/>
    <w:rsid w:val="00421659"/>
    <w:rsid w:val="00421A76"/>
    <w:rsid w:val="004247EF"/>
    <w:rsid w:val="00425C1F"/>
    <w:rsid w:val="004307C6"/>
    <w:rsid w:val="004315B3"/>
    <w:rsid w:val="004346E0"/>
    <w:rsid w:val="00434CFE"/>
    <w:rsid w:val="00437F7E"/>
    <w:rsid w:val="00447B4D"/>
    <w:rsid w:val="00451842"/>
    <w:rsid w:val="00455FAB"/>
    <w:rsid w:val="004603BD"/>
    <w:rsid w:val="00461253"/>
    <w:rsid w:val="0047047B"/>
    <w:rsid w:val="00473FF6"/>
    <w:rsid w:val="00482EDA"/>
    <w:rsid w:val="004835DD"/>
    <w:rsid w:val="00487194"/>
    <w:rsid w:val="0049088F"/>
    <w:rsid w:val="00496378"/>
    <w:rsid w:val="004A1419"/>
    <w:rsid w:val="004A2940"/>
    <w:rsid w:val="004A644A"/>
    <w:rsid w:val="004B1626"/>
    <w:rsid w:val="004B22FA"/>
    <w:rsid w:val="004B4BED"/>
    <w:rsid w:val="004B636A"/>
    <w:rsid w:val="004B6486"/>
    <w:rsid w:val="004B726B"/>
    <w:rsid w:val="004D1210"/>
    <w:rsid w:val="004D1398"/>
    <w:rsid w:val="004D1A32"/>
    <w:rsid w:val="004D5DA4"/>
    <w:rsid w:val="004D6250"/>
    <w:rsid w:val="004E268C"/>
    <w:rsid w:val="004F085A"/>
    <w:rsid w:val="004F12A0"/>
    <w:rsid w:val="004F18F8"/>
    <w:rsid w:val="004F3EA9"/>
    <w:rsid w:val="004F40AE"/>
    <w:rsid w:val="004F755D"/>
    <w:rsid w:val="00502954"/>
    <w:rsid w:val="00504D7A"/>
    <w:rsid w:val="00506FA1"/>
    <w:rsid w:val="00513AAE"/>
    <w:rsid w:val="0053429C"/>
    <w:rsid w:val="00534D1C"/>
    <w:rsid w:val="00542619"/>
    <w:rsid w:val="005473FF"/>
    <w:rsid w:val="00551D93"/>
    <w:rsid w:val="00553B80"/>
    <w:rsid w:val="00555761"/>
    <w:rsid w:val="00557965"/>
    <w:rsid w:val="00566BF4"/>
    <w:rsid w:val="00573E75"/>
    <w:rsid w:val="005800BD"/>
    <w:rsid w:val="00581834"/>
    <w:rsid w:val="00583D54"/>
    <w:rsid w:val="00586341"/>
    <w:rsid w:val="005869D0"/>
    <w:rsid w:val="00587BF8"/>
    <w:rsid w:val="005903EB"/>
    <w:rsid w:val="005933EE"/>
    <w:rsid w:val="0059463C"/>
    <w:rsid w:val="005A277E"/>
    <w:rsid w:val="005A4C24"/>
    <w:rsid w:val="005A5895"/>
    <w:rsid w:val="005A76FD"/>
    <w:rsid w:val="005B1654"/>
    <w:rsid w:val="005B1DE5"/>
    <w:rsid w:val="005B383C"/>
    <w:rsid w:val="005B3E97"/>
    <w:rsid w:val="005B679E"/>
    <w:rsid w:val="005C2CA2"/>
    <w:rsid w:val="005D2506"/>
    <w:rsid w:val="005D4261"/>
    <w:rsid w:val="005D576D"/>
    <w:rsid w:val="005D7A17"/>
    <w:rsid w:val="005E3639"/>
    <w:rsid w:val="005E5D91"/>
    <w:rsid w:val="005F3D15"/>
    <w:rsid w:val="00602D47"/>
    <w:rsid w:val="00603A81"/>
    <w:rsid w:val="0060695E"/>
    <w:rsid w:val="00616885"/>
    <w:rsid w:val="0061712F"/>
    <w:rsid w:val="00617F24"/>
    <w:rsid w:val="00620CA7"/>
    <w:rsid w:val="006275E9"/>
    <w:rsid w:val="00635B12"/>
    <w:rsid w:val="006438C1"/>
    <w:rsid w:val="0064464C"/>
    <w:rsid w:val="00650033"/>
    <w:rsid w:val="006521E3"/>
    <w:rsid w:val="006533DB"/>
    <w:rsid w:val="006560F5"/>
    <w:rsid w:val="00657C17"/>
    <w:rsid w:val="006716D0"/>
    <w:rsid w:val="0067240A"/>
    <w:rsid w:val="00672FD8"/>
    <w:rsid w:val="00673C15"/>
    <w:rsid w:val="00673EB6"/>
    <w:rsid w:val="006761B4"/>
    <w:rsid w:val="00676A6B"/>
    <w:rsid w:val="006771B2"/>
    <w:rsid w:val="006815DB"/>
    <w:rsid w:val="006842A1"/>
    <w:rsid w:val="006846FB"/>
    <w:rsid w:val="0068773C"/>
    <w:rsid w:val="0069534B"/>
    <w:rsid w:val="006976B9"/>
    <w:rsid w:val="006A61B8"/>
    <w:rsid w:val="006A66D3"/>
    <w:rsid w:val="006B1807"/>
    <w:rsid w:val="006B5EF8"/>
    <w:rsid w:val="006B763C"/>
    <w:rsid w:val="006C03D7"/>
    <w:rsid w:val="006C0605"/>
    <w:rsid w:val="006C10B1"/>
    <w:rsid w:val="006C53C5"/>
    <w:rsid w:val="006C67EA"/>
    <w:rsid w:val="006D2785"/>
    <w:rsid w:val="006D5E26"/>
    <w:rsid w:val="006D775B"/>
    <w:rsid w:val="006E0798"/>
    <w:rsid w:val="006E2152"/>
    <w:rsid w:val="006F3CB7"/>
    <w:rsid w:val="007039A0"/>
    <w:rsid w:val="00714732"/>
    <w:rsid w:val="00716EEB"/>
    <w:rsid w:val="00720ABD"/>
    <w:rsid w:val="00724B7F"/>
    <w:rsid w:val="007272D6"/>
    <w:rsid w:val="00730094"/>
    <w:rsid w:val="00731D97"/>
    <w:rsid w:val="007320E5"/>
    <w:rsid w:val="00732ED0"/>
    <w:rsid w:val="0073492F"/>
    <w:rsid w:val="007372E3"/>
    <w:rsid w:val="0074589F"/>
    <w:rsid w:val="0075332C"/>
    <w:rsid w:val="00753CCE"/>
    <w:rsid w:val="007601F8"/>
    <w:rsid w:val="00761597"/>
    <w:rsid w:val="0076342C"/>
    <w:rsid w:val="007637F0"/>
    <w:rsid w:val="007748B5"/>
    <w:rsid w:val="00792DB2"/>
    <w:rsid w:val="00794A72"/>
    <w:rsid w:val="00795DC2"/>
    <w:rsid w:val="007B70FD"/>
    <w:rsid w:val="007C557B"/>
    <w:rsid w:val="007C61B8"/>
    <w:rsid w:val="007C77D8"/>
    <w:rsid w:val="007D05AE"/>
    <w:rsid w:val="007D0F2A"/>
    <w:rsid w:val="007D2705"/>
    <w:rsid w:val="007D44E7"/>
    <w:rsid w:val="007D62A4"/>
    <w:rsid w:val="007E06AE"/>
    <w:rsid w:val="007E1373"/>
    <w:rsid w:val="007E250D"/>
    <w:rsid w:val="007F103F"/>
    <w:rsid w:val="007F111A"/>
    <w:rsid w:val="007F673F"/>
    <w:rsid w:val="00801373"/>
    <w:rsid w:val="00802A52"/>
    <w:rsid w:val="008060D7"/>
    <w:rsid w:val="008154D6"/>
    <w:rsid w:val="00816508"/>
    <w:rsid w:val="008309AF"/>
    <w:rsid w:val="00833F91"/>
    <w:rsid w:val="008408A8"/>
    <w:rsid w:val="00842F6A"/>
    <w:rsid w:val="00846B41"/>
    <w:rsid w:val="00855B4A"/>
    <w:rsid w:val="0086717F"/>
    <w:rsid w:val="00867AB3"/>
    <w:rsid w:val="00867C04"/>
    <w:rsid w:val="008730FE"/>
    <w:rsid w:val="008744CB"/>
    <w:rsid w:val="00877023"/>
    <w:rsid w:val="008805DC"/>
    <w:rsid w:val="00880D78"/>
    <w:rsid w:val="0088102B"/>
    <w:rsid w:val="008862C0"/>
    <w:rsid w:val="0089237B"/>
    <w:rsid w:val="0089335D"/>
    <w:rsid w:val="008A2213"/>
    <w:rsid w:val="008A7165"/>
    <w:rsid w:val="008B0234"/>
    <w:rsid w:val="008B1051"/>
    <w:rsid w:val="008C04D8"/>
    <w:rsid w:val="008C0A20"/>
    <w:rsid w:val="008C1FF7"/>
    <w:rsid w:val="008C5154"/>
    <w:rsid w:val="008C6C8F"/>
    <w:rsid w:val="008C7F87"/>
    <w:rsid w:val="008D23A4"/>
    <w:rsid w:val="008D5DCD"/>
    <w:rsid w:val="008D792D"/>
    <w:rsid w:val="008E450A"/>
    <w:rsid w:val="008E67DA"/>
    <w:rsid w:val="008E6806"/>
    <w:rsid w:val="008F68AC"/>
    <w:rsid w:val="00900441"/>
    <w:rsid w:val="00903959"/>
    <w:rsid w:val="00904273"/>
    <w:rsid w:val="00905C56"/>
    <w:rsid w:val="00925AD5"/>
    <w:rsid w:val="009269F5"/>
    <w:rsid w:val="00930145"/>
    <w:rsid w:val="009323A5"/>
    <w:rsid w:val="0093365F"/>
    <w:rsid w:val="00933A42"/>
    <w:rsid w:val="009365AC"/>
    <w:rsid w:val="00942412"/>
    <w:rsid w:val="00942B18"/>
    <w:rsid w:val="00953B7B"/>
    <w:rsid w:val="00957D1F"/>
    <w:rsid w:val="0096110C"/>
    <w:rsid w:val="009626D6"/>
    <w:rsid w:val="00964FF4"/>
    <w:rsid w:val="009712EE"/>
    <w:rsid w:val="00976A52"/>
    <w:rsid w:val="00985A3D"/>
    <w:rsid w:val="009915D7"/>
    <w:rsid w:val="00992015"/>
    <w:rsid w:val="0099242C"/>
    <w:rsid w:val="0099302F"/>
    <w:rsid w:val="009A0C5E"/>
    <w:rsid w:val="009A2774"/>
    <w:rsid w:val="009B0FA8"/>
    <w:rsid w:val="009B25AF"/>
    <w:rsid w:val="009B284C"/>
    <w:rsid w:val="009B6EBD"/>
    <w:rsid w:val="009B72A1"/>
    <w:rsid w:val="009B7FB7"/>
    <w:rsid w:val="009C5E6C"/>
    <w:rsid w:val="009C65D5"/>
    <w:rsid w:val="009C73F4"/>
    <w:rsid w:val="009D01C2"/>
    <w:rsid w:val="009D2E0E"/>
    <w:rsid w:val="009D359D"/>
    <w:rsid w:val="009D526C"/>
    <w:rsid w:val="009D6C24"/>
    <w:rsid w:val="009E0401"/>
    <w:rsid w:val="009E3426"/>
    <w:rsid w:val="009E4C25"/>
    <w:rsid w:val="009E4C6E"/>
    <w:rsid w:val="009E6D66"/>
    <w:rsid w:val="009F323F"/>
    <w:rsid w:val="009F37D0"/>
    <w:rsid w:val="009F6C6E"/>
    <w:rsid w:val="00A02DF2"/>
    <w:rsid w:val="00A10BEA"/>
    <w:rsid w:val="00A138AB"/>
    <w:rsid w:val="00A20051"/>
    <w:rsid w:val="00A211CA"/>
    <w:rsid w:val="00A316D7"/>
    <w:rsid w:val="00A37149"/>
    <w:rsid w:val="00A43D0A"/>
    <w:rsid w:val="00A44580"/>
    <w:rsid w:val="00A47FCC"/>
    <w:rsid w:val="00A51527"/>
    <w:rsid w:val="00A552B5"/>
    <w:rsid w:val="00A55C54"/>
    <w:rsid w:val="00A57B9B"/>
    <w:rsid w:val="00A62ABA"/>
    <w:rsid w:val="00A70B7E"/>
    <w:rsid w:val="00A70D39"/>
    <w:rsid w:val="00A70E24"/>
    <w:rsid w:val="00A77B17"/>
    <w:rsid w:val="00A85909"/>
    <w:rsid w:val="00A872AD"/>
    <w:rsid w:val="00A90198"/>
    <w:rsid w:val="00AA0611"/>
    <w:rsid w:val="00AA09D0"/>
    <w:rsid w:val="00AA0C6E"/>
    <w:rsid w:val="00AA122C"/>
    <w:rsid w:val="00AA554A"/>
    <w:rsid w:val="00AB3D40"/>
    <w:rsid w:val="00AB70C6"/>
    <w:rsid w:val="00AC02F8"/>
    <w:rsid w:val="00AC0CA3"/>
    <w:rsid w:val="00AC20EA"/>
    <w:rsid w:val="00AC3ABE"/>
    <w:rsid w:val="00AD490E"/>
    <w:rsid w:val="00AD5B45"/>
    <w:rsid w:val="00AE28E9"/>
    <w:rsid w:val="00AE64B5"/>
    <w:rsid w:val="00AE7A13"/>
    <w:rsid w:val="00AF26EE"/>
    <w:rsid w:val="00AF34C5"/>
    <w:rsid w:val="00AF7C9F"/>
    <w:rsid w:val="00B0136B"/>
    <w:rsid w:val="00B01E75"/>
    <w:rsid w:val="00B1513D"/>
    <w:rsid w:val="00B25C98"/>
    <w:rsid w:val="00B31DFF"/>
    <w:rsid w:val="00B327A8"/>
    <w:rsid w:val="00B36BDD"/>
    <w:rsid w:val="00B43233"/>
    <w:rsid w:val="00B449AF"/>
    <w:rsid w:val="00B56CBD"/>
    <w:rsid w:val="00B63A9B"/>
    <w:rsid w:val="00B64F5C"/>
    <w:rsid w:val="00B65EE7"/>
    <w:rsid w:val="00B665E5"/>
    <w:rsid w:val="00B73549"/>
    <w:rsid w:val="00B75DF2"/>
    <w:rsid w:val="00B81C51"/>
    <w:rsid w:val="00B843F0"/>
    <w:rsid w:val="00B9254C"/>
    <w:rsid w:val="00B9478B"/>
    <w:rsid w:val="00BA37FB"/>
    <w:rsid w:val="00BB1B05"/>
    <w:rsid w:val="00BB3271"/>
    <w:rsid w:val="00BC22A3"/>
    <w:rsid w:val="00BC5762"/>
    <w:rsid w:val="00BD0FE8"/>
    <w:rsid w:val="00BD2978"/>
    <w:rsid w:val="00BD4CEF"/>
    <w:rsid w:val="00BE2F9A"/>
    <w:rsid w:val="00BE6A90"/>
    <w:rsid w:val="00BE7D2B"/>
    <w:rsid w:val="00BF182D"/>
    <w:rsid w:val="00C00046"/>
    <w:rsid w:val="00C11B3B"/>
    <w:rsid w:val="00C1701B"/>
    <w:rsid w:val="00C2294B"/>
    <w:rsid w:val="00C47C85"/>
    <w:rsid w:val="00C53B06"/>
    <w:rsid w:val="00C53C37"/>
    <w:rsid w:val="00C54BAF"/>
    <w:rsid w:val="00C54F0D"/>
    <w:rsid w:val="00C61BE9"/>
    <w:rsid w:val="00C650D6"/>
    <w:rsid w:val="00C65FCA"/>
    <w:rsid w:val="00C711C3"/>
    <w:rsid w:val="00C7422C"/>
    <w:rsid w:val="00C81DE0"/>
    <w:rsid w:val="00C85F00"/>
    <w:rsid w:val="00C861F1"/>
    <w:rsid w:val="00C862A3"/>
    <w:rsid w:val="00C86E12"/>
    <w:rsid w:val="00C87724"/>
    <w:rsid w:val="00C90CD7"/>
    <w:rsid w:val="00C911D9"/>
    <w:rsid w:val="00C936A8"/>
    <w:rsid w:val="00C97061"/>
    <w:rsid w:val="00CA0665"/>
    <w:rsid w:val="00CA2607"/>
    <w:rsid w:val="00CA2BB3"/>
    <w:rsid w:val="00CA2CFF"/>
    <w:rsid w:val="00CA41B0"/>
    <w:rsid w:val="00CA46F5"/>
    <w:rsid w:val="00CB02A7"/>
    <w:rsid w:val="00CB3D6D"/>
    <w:rsid w:val="00CB4968"/>
    <w:rsid w:val="00CB7E91"/>
    <w:rsid w:val="00CC316F"/>
    <w:rsid w:val="00CC3D37"/>
    <w:rsid w:val="00CC4C30"/>
    <w:rsid w:val="00CD1D3F"/>
    <w:rsid w:val="00CD251C"/>
    <w:rsid w:val="00CD78A1"/>
    <w:rsid w:val="00CE1D78"/>
    <w:rsid w:val="00CE711E"/>
    <w:rsid w:val="00CF4DD8"/>
    <w:rsid w:val="00CF5405"/>
    <w:rsid w:val="00D00075"/>
    <w:rsid w:val="00D20B95"/>
    <w:rsid w:val="00D221DE"/>
    <w:rsid w:val="00D27FD7"/>
    <w:rsid w:val="00D312E8"/>
    <w:rsid w:val="00D31F67"/>
    <w:rsid w:val="00D321DB"/>
    <w:rsid w:val="00D34060"/>
    <w:rsid w:val="00D3705B"/>
    <w:rsid w:val="00D37576"/>
    <w:rsid w:val="00D4092E"/>
    <w:rsid w:val="00D45DBB"/>
    <w:rsid w:val="00D46188"/>
    <w:rsid w:val="00D468D9"/>
    <w:rsid w:val="00D52517"/>
    <w:rsid w:val="00D530A4"/>
    <w:rsid w:val="00D61E4E"/>
    <w:rsid w:val="00D642B8"/>
    <w:rsid w:val="00D64B73"/>
    <w:rsid w:val="00D70671"/>
    <w:rsid w:val="00D73A51"/>
    <w:rsid w:val="00D75E71"/>
    <w:rsid w:val="00D76618"/>
    <w:rsid w:val="00D85904"/>
    <w:rsid w:val="00D95628"/>
    <w:rsid w:val="00D97B15"/>
    <w:rsid w:val="00DA234E"/>
    <w:rsid w:val="00DB329E"/>
    <w:rsid w:val="00DB4D67"/>
    <w:rsid w:val="00DC0B37"/>
    <w:rsid w:val="00DD2784"/>
    <w:rsid w:val="00DD3B10"/>
    <w:rsid w:val="00DD4A1B"/>
    <w:rsid w:val="00DD60F3"/>
    <w:rsid w:val="00DE0848"/>
    <w:rsid w:val="00DE2174"/>
    <w:rsid w:val="00DE796D"/>
    <w:rsid w:val="00DF1B2B"/>
    <w:rsid w:val="00DF1C94"/>
    <w:rsid w:val="00DF2C20"/>
    <w:rsid w:val="00DF2FD7"/>
    <w:rsid w:val="00E00F7E"/>
    <w:rsid w:val="00E01FA4"/>
    <w:rsid w:val="00E027B2"/>
    <w:rsid w:val="00E031A3"/>
    <w:rsid w:val="00E06936"/>
    <w:rsid w:val="00E10BCA"/>
    <w:rsid w:val="00E15D07"/>
    <w:rsid w:val="00E169C9"/>
    <w:rsid w:val="00E212EB"/>
    <w:rsid w:val="00E2234A"/>
    <w:rsid w:val="00E242F6"/>
    <w:rsid w:val="00E30335"/>
    <w:rsid w:val="00E32BC8"/>
    <w:rsid w:val="00E34585"/>
    <w:rsid w:val="00E35058"/>
    <w:rsid w:val="00E37BB5"/>
    <w:rsid w:val="00E43293"/>
    <w:rsid w:val="00E444D5"/>
    <w:rsid w:val="00E449C8"/>
    <w:rsid w:val="00E5291F"/>
    <w:rsid w:val="00E60315"/>
    <w:rsid w:val="00E60716"/>
    <w:rsid w:val="00E620DE"/>
    <w:rsid w:val="00E63BC4"/>
    <w:rsid w:val="00E66E3D"/>
    <w:rsid w:val="00E7013C"/>
    <w:rsid w:val="00E70AF7"/>
    <w:rsid w:val="00E763C5"/>
    <w:rsid w:val="00E77BE5"/>
    <w:rsid w:val="00E80502"/>
    <w:rsid w:val="00E83422"/>
    <w:rsid w:val="00E906A8"/>
    <w:rsid w:val="00E915D2"/>
    <w:rsid w:val="00E93011"/>
    <w:rsid w:val="00E940D9"/>
    <w:rsid w:val="00EA1362"/>
    <w:rsid w:val="00EA5C93"/>
    <w:rsid w:val="00EB1776"/>
    <w:rsid w:val="00EC1D08"/>
    <w:rsid w:val="00EC2094"/>
    <w:rsid w:val="00EC3BDA"/>
    <w:rsid w:val="00EC514A"/>
    <w:rsid w:val="00EC6938"/>
    <w:rsid w:val="00EC7486"/>
    <w:rsid w:val="00ED00D1"/>
    <w:rsid w:val="00ED1263"/>
    <w:rsid w:val="00ED5BB8"/>
    <w:rsid w:val="00EE075C"/>
    <w:rsid w:val="00EE3EEA"/>
    <w:rsid w:val="00EF5289"/>
    <w:rsid w:val="00EF589E"/>
    <w:rsid w:val="00F04BF1"/>
    <w:rsid w:val="00F05979"/>
    <w:rsid w:val="00F10BD8"/>
    <w:rsid w:val="00F13B4F"/>
    <w:rsid w:val="00F141C7"/>
    <w:rsid w:val="00F256C1"/>
    <w:rsid w:val="00F2785A"/>
    <w:rsid w:val="00F31F45"/>
    <w:rsid w:val="00F3203F"/>
    <w:rsid w:val="00F3273F"/>
    <w:rsid w:val="00F33EB4"/>
    <w:rsid w:val="00F3793A"/>
    <w:rsid w:val="00F44003"/>
    <w:rsid w:val="00F456EA"/>
    <w:rsid w:val="00F517F9"/>
    <w:rsid w:val="00F54657"/>
    <w:rsid w:val="00F60296"/>
    <w:rsid w:val="00F60E8F"/>
    <w:rsid w:val="00F626E9"/>
    <w:rsid w:val="00F63D70"/>
    <w:rsid w:val="00F64A70"/>
    <w:rsid w:val="00F769E2"/>
    <w:rsid w:val="00F77B2B"/>
    <w:rsid w:val="00F80ECC"/>
    <w:rsid w:val="00F84345"/>
    <w:rsid w:val="00F87748"/>
    <w:rsid w:val="00F94E51"/>
    <w:rsid w:val="00F96503"/>
    <w:rsid w:val="00FA0541"/>
    <w:rsid w:val="00FA1BBC"/>
    <w:rsid w:val="00FA641E"/>
    <w:rsid w:val="00FB10B2"/>
    <w:rsid w:val="00FC0609"/>
    <w:rsid w:val="00FC1781"/>
    <w:rsid w:val="00FC3AF6"/>
    <w:rsid w:val="00FC59E2"/>
    <w:rsid w:val="00FC7432"/>
    <w:rsid w:val="00FD0EDF"/>
    <w:rsid w:val="00FE126C"/>
    <w:rsid w:val="00FE2F08"/>
    <w:rsid w:val="00FE3FAC"/>
    <w:rsid w:val="00FE6C89"/>
    <w:rsid w:val="00FF0F39"/>
    <w:rsid w:val="00FF1E06"/>
    <w:rsid w:val="00FF4E7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78587"/>
  <w15:chartTrackingRefBased/>
  <w15:docId w15:val="{3C3BBB3B-B971-49F0-98F1-61F4FDA4F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3D70"/>
    <w:pPr>
      <w:spacing w:after="0" w:line="240" w:lineRule="auto"/>
    </w:pPr>
    <w:rPr>
      <w:rFonts w:ascii="Times New Roman" w:eastAsia="Times New Roman" w:hAnsi="Times New Roman" w:cs="Times New Roman"/>
      <w:sz w:val="24"/>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72E3"/>
    <w:pPr>
      <w:spacing w:after="160" w:line="259" w:lineRule="auto"/>
      <w:ind w:left="720"/>
      <w:contextualSpacing/>
    </w:pPr>
    <w:rPr>
      <w:rFonts w:asciiTheme="minorHAnsi" w:eastAsiaTheme="minorHAnsi" w:hAnsiTheme="minorHAnsi" w:cstheme="minorBidi"/>
      <w:sz w:val="22"/>
      <w:szCs w:val="22"/>
      <w:lang w:val="en-US" w:eastAsia="en-US"/>
    </w:rPr>
  </w:style>
  <w:style w:type="character" w:styleId="CommentReference">
    <w:name w:val="annotation reference"/>
    <w:basedOn w:val="DefaultParagraphFont"/>
    <w:uiPriority w:val="99"/>
    <w:semiHidden/>
    <w:unhideWhenUsed/>
    <w:rsid w:val="00300156"/>
    <w:rPr>
      <w:sz w:val="16"/>
      <w:szCs w:val="16"/>
    </w:rPr>
  </w:style>
  <w:style w:type="paragraph" w:styleId="CommentText">
    <w:name w:val="annotation text"/>
    <w:basedOn w:val="Normal"/>
    <w:link w:val="CommentTextChar"/>
    <w:uiPriority w:val="99"/>
    <w:unhideWhenUsed/>
    <w:rsid w:val="00300156"/>
    <w:pPr>
      <w:spacing w:after="160"/>
    </w:pPr>
    <w:rPr>
      <w:rFonts w:asciiTheme="minorHAnsi" w:eastAsiaTheme="minorHAnsi" w:hAnsiTheme="minorHAnsi" w:cstheme="minorBidi"/>
      <w:sz w:val="20"/>
      <w:szCs w:val="20"/>
      <w:lang w:val="en-US" w:eastAsia="en-US"/>
    </w:rPr>
  </w:style>
  <w:style w:type="character" w:customStyle="1" w:styleId="CommentTextChar">
    <w:name w:val="Comment Text Char"/>
    <w:basedOn w:val="DefaultParagraphFont"/>
    <w:link w:val="CommentText"/>
    <w:uiPriority w:val="99"/>
    <w:rsid w:val="00300156"/>
    <w:rPr>
      <w:noProof/>
      <w:sz w:val="20"/>
      <w:szCs w:val="20"/>
      <w:lang w:val="en-US"/>
    </w:rPr>
  </w:style>
  <w:style w:type="paragraph" w:styleId="CommentSubject">
    <w:name w:val="annotation subject"/>
    <w:basedOn w:val="CommentText"/>
    <w:next w:val="CommentText"/>
    <w:link w:val="CommentSubjectChar"/>
    <w:uiPriority w:val="99"/>
    <w:semiHidden/>
    <w:unhideWhenUsed/>
    <w:rsid w:val="00300156"/>
    <w:rPr>
      <w:b/>
      <w:bCs/>
    </w:rPr>
  </w:style>
  <w:style w:type="character" w:customStyle="1" w:styleId="CommentSubjectChar">
    <w:name w:val="Comment Subject Char"/>
    <w:basedOn w:val="CommentTextChar"/>
    <w:link w:val="CommentSubject"/>
    <w:uiPriority w:val="99"/>
    <w:semiHidden/>
    <w:rsid w:val="00300156"/>
    <w:rPr>
      <w:b/>
      <w:bCs/>
      <w:noProof/>
      <w:sz w:val="20"/>
      <w:szCs w:val="20"/>
      <w:lang w:val="en-US"/>
    </w:rPr>
  </w:style>
  <w:style w:type="paragraph" w:styleId="BalloonText">
    <w:name w:val="Balloon Text"/>
    <w:basedOn w:val="Normal"/>
    <w:link w:val="BalloonTextChar"/>
    <w:uiPriority w:val="99"/>
    <w:semiHidden/>
    <w:unhideWhenUsed/>
    <w:rsid w:val="00300156"/>
    <w:rPr>
      <w:rFonts w:ascii="Segoe UI" w:eastAsiaTheme="minorHAnsi" w:hAnsi="Segoe UI" w:cs="Segoe UI"/>
      <w:sz w:val="18"/>
      <w:szCs w:val="18"/>
      <w:lang w:val="en-US" w:eastAsia="en-US"/>
    </w:rPr>
  </w:style>
  <w:style w:type="character" w:customStyle="1" w:styleId="BalloonTextChar">
    <w:name w:val="Balloon Text Char"/>
    <w:basedOn w:val="DefaultParagraphFont"/>
    <w:link w:val="BalloonText"/>
    <w:uiPriority w:val="99"/>
    <w:semiHidden/>
    <w:rsid w:val="00300156"/>
    <w:rPr>
      <w:rFonts w:ascii="Segoe UI" w:hAnsi="Segoe UI" w:cs="Segoe UI"/>
      <w:noProof/>
      <w:sz w:val="18"/>
      <w:szCs w:val="18"/>
      <w:lang w:val="en-US"/>
    </w:rPr>
  </w:style>
  <w:style w:type="table" w:styleId="TableGrid">
    <w:name w:val="Table Grid"/>
    <w:basedOn w:val="TableNormal"/>
    <w:uiPriority w:val="39"/>
    <w:rsid w:val="008060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27FC7"/>
    <w:pPr>
      <w:spacing w:after="0" w:line="240" w:lineRule="auto"/>
    </w:pPr>
    <w:rPr>
      <w:noProof/>
      <w:lang w:val="en-US"/>
    </w:rPr>
  </w:style>
  <w:style w:type="paragraph" w:styleId="NormalWeb">
    <w:name w:val="Normal (Web)"/>
    <w:basedOn w:val="Normal"/>
    <w:link w:val="NormalWebChar"/>
    <w:uiPriority w:val="99"/>
    <w:unhideWhenUsed/>
    <w:rsid w:val="009323A5"/>
    <w:pPr>
      <w:spacing w:before="100" w:beforeAutospacing="1" w:after="100" w:afterAutospacing="1"/>
    </w:pPr>
    <w:rPr>
      <w:lang w:val="en-US" w:eastAsia="en-GB"/>
    </w:rPr>
  </w:style>
  <w:style w:type="character" w:customStyle="1" w:styleId="NormalWebChar">
    <w:name w:val="Normal (Web) Char"/>
    <w:basedOn w:val="DefaultParagraphFont"/>
    <w:link w:val="NormalWeb"/>
    <w:uiPriority w:val="99"/>
    <w:rsid w:val="006C03D7"/>
    <w:rPr>
      <w:rFonts w:ascii="Times New Roman" w:eastAsia="Times New Roman" w:hAnsi="Times New Roman" w:cs="Times New Roman"/>
      <w:sz w:val="24"/>
      <w:szCs w:val="24"/>
      <w:lang w:val="en-US" w:eastAsia="en-GB"/>
    </w:rPr>
  </w:style>
  <w:style w:type="paragraph" w:styleId="Footer">
    <w:name w:val="footer"/>
    <w:basedOn w:val="Normal"/>
    <w:link w:val="FooterChar"/>
    <w:uiPriority w:val="99"/>
    <w:unhideWhenUsed/>
    <w:rsid w:val="006842A1"/>
    <w:pPr>
      <w:tabs>
        <w:tab w:val="center" w:pos="4513"/>
        <w:tab w:val="right" w:pos="9026"/>
      </w:tabs>
    </w:pPr>
    <w:rPr>
      <w:rFonts w:asciiTheme="minorHAnsi" w:eastAsiaTheme="minorHAnsi" w:hAnsiTheme="minorHAnsi" w:cstheme="minorBidi"/>
      <w:sz w:val="22"/>
      <w:szCs w:val="22"/>
      <w:lang w:val="en-US" w:eastAsia="en-US"/>
    </w:rPr>
  </w:style>
  <w:style w:type="character" w:customStyle="1" w:styleId="FooterChar">
    <w:name w:val="Footer Char"/>
    <w:basedOn w:val="DefaultParagraphFont"/>
    <w:link w:val="Footer"/>
    <w:uiPriority w:val="99"/>
    <w:rsid w:val="006842A1"/>
    <w:rPr>
      <w:noProof/>
      <w:lang w:val="en-US"/>
    </w:rPr>
  </w:style>
  <w:style w:type="character" w:styleId="PageNumber">
    <w:name w:val="page number"/>
    <w:basedOn w:val="DefaultParagraphFont"/>
    <w:uiPriority w:val="99"/>
    <w:semiHidden/>
    <w:unhideWhenUsed/>
    <w:rsid w:val="006842A1"/>
  </w:style>
  <w:style w:type="character" w:styleId="PlaceholderText">
    <w:name w:val="Placeholder Text"/>
    <w:basedOn w:val="DefaultParagraphFont"/>
    <w:uiPriority w:val="99"/>
    <w:semiHidden/>
    <w:rsid w:val="001E195E"/>
    <w:rPr>
      <w:color w:val="808080"/>
    </w:rPr>
  </w:style>
  <w:style w:type="paragraph" w:customStyle="1" w:styleId="Bibliography1">
    <w:name w:val="Bibliography1"/>
    <w:basedOn w:val="Normal"/>
    <w:link w:val="BibliographyCar"/>
    <w:rsid w:val="004D1A32"/>
    <w:pPr>
      <w:tabs>
        <w:tab w:val="left" w:pos="500"/>
      </w:tabs>
      <w:spacing w:after="240"/>
      <w:ind w:left="504" w:hanging="504"/>
    </w:pPr>
    <w:rPr>
      <w:rFonts w:eastAsiaTheme="minorHAnsi"/>
      <w:b/>
      <w:sz w:val="22"/>
      <w:szCs w:val="22"/>
      <w:lang w:val="en-CA" w:eastAsia="en-US"/>
    </w:rPr>
  </w:style>
  <w:style w:type="character" w:customStyle="1" w:styleId="BibliographyCar">
    <w:name w:val="Bibliography Car"/>
    <w:basedOn w:val="DefaultParagraphFont"/>
    <w:link w:val="Bibliography1"/>
    <w:rsid w:val="004D1A32"/>
    <w:rPr>
      <w:rFonts w:ascii="Times New Roman" w:hAnsi="Times New Roman" w:cs="Times New Roman"/>
      <w:b/>
      <w:noProof/>
      <w:lang w:val="en-CA"/>
    </w:rPr>
  </w:style>
  <w:style w:type="paragraph" w:customStyle="1" w:styleId="EndNoteBibliographyTitle">
    <w:name w:val="EndNote Bibliography Title"/>
    <w:basedOn w:val="Normal"/>
    <w:link w:val="EndNoteBibliographyTitleChar"/>
    <w:rsid w:val="007E06AE"/>
    <w:pPr>
      <w:spacing w:line="259" w:lineRule="auto"/>
      <w:jc w:val="center"/>
    </w:pPr>
    <w:rPr>
      <w:rFonts w:ascii="Calibri" w:eastAsiaTheme="minorHAnsi" w:hAnsi="Calibri" w:cs="Calibri"/>
      <w:sz w:val="22"/>
      <w:szCs w:val="22"/>
      <w:lang w:val="en-US" w:eastAsia="en-US"/>
    </w:rPr>
  </w:style>
  <w:style w:type="character" w:customStyle="1" w:styleId="EndNoteBibliographyTitleChar">
    <w:name w:val="EndNote Bibliography Title Char"/>
    <w:basedOn w:val="DefaultParagraphFont"/>
    <w:link w:val="EndNoteBibliographyTitle"/>
    <w:rsid w:val="007E06AE"/>
    <w:rPr>
      <w:rFonts w:ascii="Calibri" w:hAnsi="Calibri" w:cs="Calibri"/>
      <w:noProof/>
      <w:lang w:val="en-US"/>
    </w:rPr>
  </w:style>
  <w:style w:type="paragraph" w:customStyle="1" w:styleId="EndNoteBibliography">
    <w:name w:val="EndNote Bibliography"/>
    <w:basedOn w:val="Normal"/>
    <w:link w:val="EndNoteBibliographyChar"/>
    <w:rsid w:val="007E06AE"/>
    <w:pPr>
      <w:spacing w:after="160"/>
      <w:jc w:val="both"/>
    </w:pPr>
    <w:rPr>
      <w:rFonts w:ascii="Calibri" w:eastAsiaTheme="minorHAnsi" w:hAnsi="Calibri" w:cs="Calibri"/>
      <w:sz w:val="22"/>
      <w:szCs w:val="22"/>
      <w:lang w:val="en-US" w:eastAsia="en-US"/>
    </w:rPr>
  </w:style>
  <w:style w:type="character" w:customStyle="1" w:styleId="EndNoteBibliographyChar">
    <w:name w:val="EndNote Bibliography Char"/>
    <w:basedOn w:val="DefaultParagraphFont"/>
    <w:link w:val="EndNoteBibliography"/>
    <w:rsid w:val="007E06AE"/>
    <w:rPr>
      <w:rFonts w:ascii="Calibri" w:hAnsi="Calibri" w:cs="Calibri"/>
      <w:noProof/>
      <w:lang w:val="en-US"/>
    </w:rPr>
  </w:style>
  <w:style w:type="character" w:styleId="Hyperlink">
    <w:name w:val="Hyperlink"/>
    <w:basedOn w:val="DefaultParagraphFont"/>
    <w:uiPriority w:val="99"/>
    <w:unhideWhenUsed/>
    <w:rsid w:val="00F2785A"/>
    <w:rPr>
      <w:color w:val="0563C1" w:themeColor="hyperlink"/>
      <w:u w:val="single"/>
    </w:rPr>
  </w:style>
  <w:style w:type="character" w:customStyle="1" w:styleId="Menzionenonrisolta1">
    <w:name w:val="Menzione non risolta1"/>
    <w:basedOn w:val="DefaultParagraphFont"/>
    <w:uiPriority w:val="99"/>
    <w:semiHidden/>
    <w:unhideWhenUsed/>
    <w:rsid w:val="00F2785A"/>
    <w:rPr>
      <w:color w:val="605E5C"/>
      <w:shd w:val="clear" w:color="auto" w:fill="E1DFDD"/>
    </w:rPr>
  </w:style>
  <w:style w:type="character" w:styleId="FollowedHyperlink">
    <w:name w:val="FollowedHyperlink"/>
    <w:basedOn w:val="DefaultParagraphFont"/>
    <w:uiPriority w:val="99"/>
    <w:semiHidden/>
    <w:unhideWhenUsed/>
    <w:rsid w:val="007748B5"/>
    <w:rPr>
      <w:color w:val="954F72" w:themeColor="followedHyperlink"/>
      <w:u w:val="single"/>
    </w:rPr>
  </w:style>
  <w:style w:type="paragraph" w:customStyle="1" w:styleId="Default">
    <w:name w:val="Default"/>
    <w:rsid w:val="000104D4"/>
    <w:pPr>
      <w:autoSpaceDE w:val="0"/>
      <w:autoSpaceDN w:val="0"/>
      <w:adjustRightInd w:val="0"/>
      <w:spacing w:after="0" w:line="240" w:lineRule="auto"/>
    </w:pPr>
    <w:rPr>
      <w:rFonts w:ascii="Lato" w:hAnsi="Lato" w:cs="Lato"/>
      <w:color w:val="000000"/>
      <w:sz w:val="24"/>
      <w:szCs w:val="24"/>
    </w:rPr>
  </w:style>
  <w:style w:type="character" w:customStyle="1" w:styleId="apple-converted-space">
    <w:name w:val="apple-converted-space"/>
    <w:basedOn w:val="DefaultParagraphFont"/>
    <w:rsid w:val="008F68AC"/>
  </w:style>
  <w:style w:type="character" w:styleId="Emphasis">
    <w:name w:val="Emphasis"/>
    <w:basedOn w:val="DefaultParagraphFont"/>
    <w:uiPriority w:val="20"/>
    <w:qFormat/>
    <w:rsid w:val="008F68AC"/>
    <w:rPr>
      <w:i/>
      <w:iCs/>
    </w:rPr>
  </w:style>
  <w:style w:type="character" w:styleId="LineNumber">
    <w:name w:val="line number"/>
    <w:basedOn w:val="DefaultParagraphFont"/>
    <w:uiPriority w:val="99"/>
    <w:semiHidden/>
    <w:unhideWhenUsed/>
    <w:rsid w:val="00B449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4012">
      <w:bodyDiv w:val="1"/>
      <w:marLeft w:val="0"/>
      <w:marRight w:val="0"/>
      <w:marTop w:val="0"/>
      <w:marBottom w:val="0"/>
      <w:divBdr>
        <w:top w:val="none" w:sz="0" w:space="0" w:color="auto"/>
        <w:left w:val="none" w:sz="0" w:space="0" w:color="auto"/>
        <w:bottom w:val="none" w:sz="0" w:space="0" w:color="auto"/>
        <w:right w:val="none" w:sz="0" w:space="0" w:color="auto"/>
      </w:divBdr>
    </w:div>
    <w:div w:id="22636094">
      <w:bodyDiv w:val="1"/>
      <w:marLeft w:val="0"/>
      <w:marRight w:val="0"/>
      <w:marTop w:val="0"/>
      <w:marBottom w:val="0"/>
      <w:divBdr>
        <w:top w:val="none" w:sz="0" w:space="0" w:color="auto"/>
        <w:left w:val="none" w:sz="0" w:space="0" w:color="auto"/>
        <w:bottom w:val="none" w:sz="0" w:space="0" w:color="auto"/>
        <w:right w:val="none" w:sz="0" w:space="0" w:color="auto"/>
      </w:divBdr>
    </w:div>
    <w:div w:id="25101976">
      <w:bodyDiv w:val="1"/>
      <w:marLeft w:val="0"/>
      <w:marRight w:val="0"/>
      <w:marTop w:val="0"/>
      <w:marBottom w:val="0"/>
      <w:divBdr>
        <w:top w:val="none" w:sz="0" w:space="0" w:color="auto"/>
        <w:left w:val="none" w:sz="0" w:space="0" w:color="auto"/>
        <w:bottom w:val="none" w:sz="0" w:space="0" w:color="auto"/>
        <w:right w:val="none" w:sz="0" w:space="0" w:color="auto"/>
      </w:divBdr>
      <w:divsChild>
        <w:div w:id="1981688765">
          <w:marLeft w:val="0"/>
          <w:marRight w:val="0"/>
          <w:marTop w:val="0"/>
          <w:marBottom w:val="0"/>
          <w:divBdr>
            <w:top w:val="none" w:sz="0" w:space="0" w:color="auto"/>
            <w:left w:val="none" w:sz="0" w:space="0" w:color="auto"/>
            <w:bottom w:val="none" w:sz="0" w:space="0" w:color="auto"/>
            <w:right w:val="none" w:sz="0" w:space="0" w:color="auto"/>
          </w:divBdr>
          <w:divsChild>
            <w:div w:id="328559617">
              <w:marLeft w:val="0"/>
              <w:marRight w:val="0"/>
              <w:marTop w:val="0"/>
              <w:marBottom w:val="0"/>
              <w:divBdr>
                <w:top w:val="none" w:sz="0" w:space="0" w:color="auto"/>
                <w:left w:val="none" w:sz="0" w:space="0" w:color="auto"/>
                <w:bottom w:val="none" w:sz="0" w:space="0" w:color="auto"/>
                <w:right w:val="none" w:sz="0" w:space="0" w:color="auto"/>
              </w:divBdr>
              <w:divsChild>
                <w:div w:id="34895254">
                  <w:marLeft w:val="0"/>
                  <w:marRight w:val="0"/>
                  <w:marTop w:val="0"/>
                  <w:marBottom w:val="0"/>
                  <w:divBdr>
                    <w:top w:val="none" w:sz="0" w:space="0" w:color="auto"/>
                    <w:left w:val="none" w:sz="0" w:space="0" w:color="auto"/>
                    <w:bottom w:val="none" w:sz="0" w:space="0" w:color="auto"/>
                    <w:right w:val="none" w:sz="0" w:space="0" w:color="auto"/>
                  </w:divBdr>
                </w:div>
              </w:divsChild>
            </w:div>
            <w:div w:id="743727031">
              <w:marLeft w:val="0"/>
              <w:marRight w:val="0"/>
              <w:marTop w:val="0"/>
              <w:marBottom w:val="0"/>
              <w:divBdr>
                <w:top w:val="none" w:sz="0" w:space="0" w:color="auto"/>
                <w:left w:val="none" w:sz="0" w:space="0" w:color="auto"/>
                <w:bottom w:val="none" w:sz="0" w:space="0" w:color="auto"/>
                <w:right w:val="none" w:sz="0" w:space="0" w:color="auto"/>
              </w:divBdr>
              <w:divsChild>
                <w:div w:id="133761476">
                  <w:marLeft w:val="0"/>
                  <w:marRight w:val="0"/>
                  <w:marTop w:val="0"/>
                  <w:marBottom w:val="0"/>
                  <w:divBdr>
                    <w:top w:val="none" w:sz="0" w:space="0" w:color="auto"/>
                    <w:left w:val="none" w:sz="0" w:space="0" w:color="auto"/>
                    <w:bottom w:val="none" w:sz="0" w:space="0" w:color="auto"/>
                    <w:right w:val="none" w:sz="0" w:space="0" w:color="auto"/>
                  </w:divBdr>
                </w:div>
              </w:divsChild>
            </w:div>
            <w:div w:id="1585141955">
              <w:marLeft w:val="0"/>
              <w:marRight w:val="0"/>
              <w:marTop w:val="0"/>
              <w:marBottom w:val="0"/>
              <w:divBdr>
                <w:top w:val="none" w:sz="0" w:space="0" w:color="auto"/>
                <w:left w:val="none" w:sz="0" w:space="0" w:color="auto"/>
                <w:bottom w:val="none" w:sz="0" w:space="0" w:color="auto"/>
                <w:right w:val="none" w:sz="0" w:space="0" w:color="auto"/>
              </w:divBdr>
              <w:divsChild>
                <w:div w:id="452746215">
                  <w:marLeft w:val="0"/>
                  <w:marRight w:val="0"/>
                  <w:marTop w:val="0"/>
                  <w:marBottom w:val="0"/>
                  <w:divBdr>
                    <w:top w:val="none" w:sz="0" w:space="0" w:color="auto"/>
                    <w:left w:val="none" w:sz="0" w:space="0" w:color="auto"/>
                    <w:bottom w:val="none" w:sz="0" w:space="0" w:color="auto"/>
                    <w:right w:val="none" w:sz="0" w:space="0" w:color="auto"/>
                  </w:divBdr>
                </w:div>
              </w:divsChild>
            </w:div>
            <w:div w:id="871965506">
              <w:marLeft w:val="0"/>
              <w:marRight w:val="0"/>
              <w:marTop w:val="0"/>
              <w:marBottom w:val="0"/>
              <w:divBdr>
                <w:top w:val="none" w:sz="0" w:space="0" w:color="auto"/>
                <w:left w:val="none" w:sz="0" w:space="0" w:color="auto"/>
                <w:bottom w:val="none" w:sz="0" w:space="0" w:color="auto"/>
                <w:right w:val="none" w:sz="0" w:space="0" w:color="auto"/>
              </w:divBdr>
              <w:divsChild>
                <w:div w:id="1260985437">
                  <w:marLeft w:val="0"/>
                  <w:marRight w:val="0"/>
                  <w:marTop w:val="0"/>
                  <w:marBottom w:val="0"/>
                  <w:divBdr>
                    <w:top w:val="none" w:sz="0" w:space="0" w:color="auto"/>
                    <w:left w:val="none" w:sz="0" w:space="0" w:color="auto"/>
                    <w:bottom w:val="none" w:sz="0" w:space="0" w:color="auto"/>
                    <w:right w:val="none" w:sz="0" w:space="0" w:color="auto"/>
                  </w:divBdr>
                </w:div>
              </w:divsChild>
            </w:div>
            <w:div w:id="1673099099">
              <w:marLeft w:val="0"/>
              <w:marRight w:val="0"/>
              <w:marTop w:val="0"/>
              <w:marBottom w:val="0"/>
              <w:divBdr>
                <w:top w:val="none" w:sz="0" w:space="0" w:color="auto"/>
                <w:left w:val="none" w:sz="0" w:space="0" w:color="auto"/>
                <w:bottom w:val="none" w:sz="0" w:space="0" w:color="auto"/>
                <w:right w:val="none" w:sz="0" w:space="0" w:color="auto"/>
              </w:divBdr>
              <w:divsChild>
                <w:div w:id="1034572988">
                  <w:marLeft w:val="0"/>
                  <w:marRight w:val="0"/>
                  <w:marTop w:val="0"/>
                  <w:marBottom w:val="0"/>
                  <w:divBdr>
                    <w:top w:val="none" w:sz="0" w:space="0" w:color="auto"/>
                    <w:left w:val="none" w:sz="0" w:space="0" w:color="auto"/>
                    <w:bottom w:val="none" w:sz="0" w:space="0" w:color="auto"/>
                    <w:right w:val="none" w:sz="0" w:space="0" w:color="auto"/>
                  </w:divBdr>
                </w:div>
              </w:divsChild>
            </w:div>
            <w:div w:id="1388456467">
              <w:marLeft w:val="0"/>
              <w:marRight w:val="0"/>
              <w:marTop w:val="0"/>
              <w:marBottom w:val="0"/>
              <w:divBdr>
                <w:top w:val="none" w:sz="0" w:space="0" w:color="auto"/>
                <w:left w:val="none" w:sz="0" w:space="0" w:color="auto"/>
                <w:bottom w:val="none" w:sz="0" w:space="0" w:color="auto"/>
                <w:right w:val="none" w:sz="0" w:space="0" w:color="auto"/>
              </w:divBdr>
              <w:divsChild>
                <w:div w:id="233928681">
                  <w:marLeft w:val="0"/>
                  <w:marRight w:val="0"/>
                  <w:marTop w:val="0"/>
                  <w:marBottom w:val="0"/>
                  <w:divBdr>
                    <w:top w:val="none" w:sz="0" w:space="0" w:color="auto"/>
                    <w:left w:val="none" w:sz="0" w:space="0" w:color="auto"/>
                    <w:bottom w:val="none" w:sz="0" w:space="0" w:color="auto"/>
                    <w:right w:val="none" w:sz="0" w:space="0" w:color="auto"/>
                  </w:divBdr>
                </w:div>
              </w:divsChild>
            </w:div>
            <w:div w:id="673873881">
              <w:marLeft w:val="0"/>
              <w:marRight w:val="0"/>
              <w:marTop w:val="0"/>
              <w:marBottom w:val="0"/>
              <w:divBdr>
                <w:top w:val="none" w:sz="0" w:space="0" w:color="auto"/>
                <w:left w:val="none" w:sz="0" w:space="0" w:color="auto"/>
                <w:bottom w:val="none" w:sz="0" w:space="0" w:color="auto"/>
                <w:right w:val="none" w:sz="0" w:space="0" w:color="auto"/>
              </w:divBdr>
              <w:divsChild>
                <w:div w:id="88070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07499">
      <w:bodyDiv w:val="1"/>
      <w:marLeft w:val="0"/>
      <w:marRight w:val="0"/>
      <w:marTop w:val="0"/>
      <w:marBottom w:val="0"/>
      <w:divBdr>
        <w:top w:val="none" w:sz="0" w:space="0" w:color="auto"/>
        <w:left w:val="none" w:sz="0" w:space="0" w:color="auto"/>
        <w:bottom w:val="none" w:sz="0" w:space="0" w:color="auto"/>
        <w:right w:val="none" w:sz="0" w:space="0" w:color="auto"/>
      </w:divBdr>
      <w:divsChild>
        <w:div w:id="506361717">
          <w:marLeft w:val="0"/>
          <w:marRight w:val="0"/>
          <w:marTop w:val="0"/>
          <w:marBottom w:val="0"/>
          <w:divBdr>
            <w:top w:val="none" w:sz="0" w:space="0" w:color="auto"/>
            <w:left w:val="none" w:sz="0" w:space="0" w:color="auto"/>
            <w:bottom w:val="none" w:sz="0" w:space="0" w:color="auto"/>
            <w:right w:val="none" w:sz="0" w:space="0" w:color="auto"/>
          </w:divBdr>
          <w:divsChild>
            <w:div w:id="157380620">
              <w:marLeft w:val="0"/>
              <w:marRight w:val="0"/>
              <w:marTop w:val="0"/>
              <w:marBottom w:val="0"/>
              <w:divBdr>
                <w:top w:val="none" w:sz="0" w:space="0" w:color="auto"/>
                <w:left w:val="none" w:sz="0" w:space="0" w:color="auto"/>
                <w:bottom w:val="none" w:sz="0" w:space="0" w:color="auto"/>
                <w:right w:val="none" w:sz="0" w:space="0" w:color="auto"/>
              </w:divBdr>
              <w:divsChild>
                <w:div w:id="1870796041">
                  <w:marLeft w:val="0"/>
                  <w:marRight w:val="0"/>
                  <w:marTop w:val="0"/>
                  <w:marBottom w:val="0"/>
                  <w:divBdr>
                    <w:top w:val="none" w:sz="0" w:space="0" w:color="auto"/>
                    <w:left w:val="none" w:sz="0" w:space="0" w:color="auto"/>
                    <w:bottom w:val="none" w:sz="0" w:space="0" w:color="auto"/>
                    <w:right w:val="none" w:sz="0" w:space="0" w:color="auto"/>
                  </w:divBdr>
                  <w:divsChild>
                    <w:div w:id="156186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31968">
      <w:bodyDiv w:val="1"/>
      <w:marLeft w:val="0"/>
      <w:marRight w:val="0"/>
      <w:marTop w:val="0"/>
      <w:marBottom w:val="0"/>
      <w:divBdr>
        <w:top w:val="none" w:sz="0" w:space="0" w:color="auto"/>
        <w:left w:val="none" w:sz="0" w:space="0" w:color="auto"/>
        <w:bottom w:val="none" w:sz="0" w:space="0" w:color="auto"/>
        <w:right w:val="none" w:sz="0" w:space="0" w:color="auto"/>
      </w:divBdr>
      <w:divsChild>
        <w:div w:id="232618276">
          <w:marLeft w:val="0"/>
          <w:marRight w:val="0"/>
          <w:marTop w:val="0"/>
          <w:marBottom w:val="0"/>
          <w:divBdr>
            <w:top w:val="none" w:sz="0" w:space="0" w:color="auto"/>
            <w:left w:val="none" w:sz="0" w:space="0" w:color="auto"/>
            <w:bottom w:val="none" w:sz="0" w:space="0" w:color="auto"/>
            <w:right w:val="none" w:sz="0" w:space="0" w:color="auto"/>
          </w:divBdr>
          <w:divsChild>
            <w:div w:id="1238125880">
              <w:marLeft w:val="0"/>
              <w:marRight w:val="0"/>
              <w:marTop w:val="0"/>
              <w:marBottom w:val="0"/>
              <w:divBdr>
                <w:top w:val="none" w:sz="0" w:space="0" w:color="auto"/>
                <w:left w:val="none" w:sz="0" w:space="0" w:color="auto"/>
                <w:bottom w:val="none" w:sz="0" w:space="0" w:color="auto"/>
                <w:right w:val="none" w:sz="0" w:space="0" w:color="auto"/>
              </w:divBdr>
              <w:divsChild>
                <w:div w:id="646856550">
                  <w:marLeft w:val="0"/>
                  <w:marRight w:val="0"/>
                  <w:marTop w:val="0"/>
                  <w:marBottom w:val="0"/>
                  <w:divBdr>
                    <w:top w:val="none" w:sz="0" w:space="0" w:color="auto"/>
                    <w:left w:val="none" w:sz="0" w:space="0" w:color="auto"/>
                    <w:bottom w:val="none" w:sz="0" w:space="0" w:color="auto"/>
                    <w:right w:val="none" w:sz="0" w:space="0" w:color="auto"/>
                  </w:divBdr>
                  <w:divsChild>
                    <w:div w:id="111937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21064">
      <w:bodyDiv w:val="1"/>
      <w:marLeft w:val="0"/>
      <w:marRight w:val="0"/>
      <w:marTop w:val="0"/>
      <w:marBottom w:val="0"/>
      <w:divBdr>
        <w:top w:val="none" w:sz="0" w:space="0" w:color="auto"/>
        <w:left w:val="none" w:sz="0" w:space="0" w:color="auto"/>
        <w:bottom w:val="none" w:sz="0" w:space="0" w:color="auto"/>
        <w:right w:val="none" w:sz="0" w:space="0" w:color="auto"/>
      </w:divBdr>
    </w:div>
    <w:div w:id="128787124">
      <w:bodyDiv w:val="1"/>
      <w:marLeft w:val="0"/>
      <w:marRight w:val="0"/>
      <w:marTop w:val="0"/>
      <w:marBottom w:val="0"/>
      <w:divBdr>
        <w:top w:val="none" w:sz="0" w:space="0" w:color="auto"/>
        <w:left w:val="none" w:sz="0" w:space="0" w:color="auto"/>
        <w:bottom w:val="none" w:sz="0" w:space="0" w:color="auto"/>
        <w:right w:val="none" w:sz="0" w:space="0" w:color="auto"/>
      </w:divBdr>
      <w:divsChild>
        <w:div w:id="2080054718">
          <w:marLeft w:val="0"/>
          <w:marRight w:val="0"/>
          <w:marTop w:val="0"/>
          <w:marBottom w:val="0"/>
          <w:divBdr>
            <w:top w:val="none" w:sz="0" w:space="0" w:color="auto"/>
            <w:left w:val="none" w:sz="0" w:space="0" w:color="auto"/>
            <w:bottom w:val="none" w:sz="0" w:space="0" w:color="auto"/>
            <w:right w:val="none" w:sz="0" w:space="0" w:color="auto"/>
          </w:divBdr>
          <w:divsChild>
            <w:div w:id="1397819879">
              <w:marLeft w:val="0"/>
              <w:marRight w:val="0"/>
              <w:marTop w:val="0"/>
              <w:marBottom w:val="0"/>
              <w:divBdr>
                <w:top w:val="none" w:sz="0" w:space="0" w:color="auto"/>
                <w:left w:val="none" w:sz="0" w:space="0" w:color="auto"/>
                <w:bottom w:val="none" w:sz="0" w:space="0" w:color="auto"/>
                <w:right w:val="none" w:sz="0" w:space="0" w:color="auto"/>
              </w:divBdr>
              <w:divsChild>
                <w:div w:id="1489327429">
                  <w:marLeft w:val="0"/>
                  <w:marRight w:val="0"/>
                  <w:marTop w:val="0"/>
                  <w:marBottom w:val="0"/>
                  <w:divBdr>
                    <w:top w:val="none" w:sz="0" w:space="0" w:color="auto"/>
                    <w:left w:val="none" w:sz="0" w:space="0" w:color="auto"/>
                    <w:bottom w:val="none" w:sz="0" w:space="0" w:color="auto"/>
                    <w:right w:val="none" w:sz="0" w:space="0" w:color="auto"/>
                  </w:divBdr>
                  <w:divsChild>
                    <w:div w:id="132304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53279">
      <w:bodyDiv w:val="1"/>
      <w:marLeft w:val="0"/>
      <w:marRight w:val="0"/>
      <w:marTop w:val="0"/>
      <w:marBottom w:val="0"/>
      <w:divBdr>
        <w:top w:val="none" w:sz="0" w:space="0" w:color="auto"/>
        <w:left w:val="none" w:sz="0" w:space="0" w:color="auto"/>
        <w:bottom w:val="none" w:sz="0" w:space="0" w:color="auto"/>
        <w:right w:val="none" w:sz="0" w:space="0" w:color="auto"/>
      </w:divBdr>
    </w:div>
    <w:div w:id="168376107">
      <w:bodyDiv w:val="1"/>
      <w:marLeft w:val="0"/>
      <w:marRight w:val="0"/>
      <w:marTop w:val="0"/>
      <w:marBottom w:val="0"/>
      <w:divBdr>
        <w:top w:val="none" w:sz="0" w:space="0" w:color="auto"/>
        <w:left w:val="none" w:sz="0" w:space="0" w:color="auto"/>
        <w:bottom w:val="none" w:sz="0" w:space="0" w:color="auto"/>
        <w:right w:val="none" w:sz="0" w:space="0" w:color="auto"/>
      </w:divBdr>
    </w:div>
    <w:div w:id="180172788">
      <w:bodyDiv w:val="1"/>
      <w:marLeft w:val="0"/>
      <w:marRight w:val="0"/>
      <w:marTop w:val="0"/>
      <w:marBottom w:val="0"/>
      <w:divBdr>
        <w:top w:val="none" w:sz="0" w:space="0" w:color="auto"/>
        <w:left w:val="none" w:sz="0" w:space="0" w:color="auto"/>
        <w:bottom w:val="none" w:sz="0" w:space="0" w:color="auto"/>
        <w:right w:val="none" w:sz="0" w:space="0" w:color="auto"/>
      </w:divBdr>
    </w:div>
    <w:div w:id="213196976">
      <w:bodyDiv w:val="1"/>
      <w:marLeft w:val="0"/>
      <w:marRight w:val="0"/>
      <w:marTop w:val="0"/>
      <w:marBottom w:val="0"/>
      <w:divBdr>
        <w:top w:val="none" w:sz="0" w:space="0" w:color="auto"/>
        <w:left w:val="none" w:sz="0" w:space="0" w:color="auto"/>
        <w:bottom w:val="none" w:sz="0" w:space="0" w:color="auto"/>
        <w:right w:val="none" w:sz="0" w:space="0" w:color="auto"/>
      </w:divBdr>
      <w:divsChild>
        <w:div w:id="1790930809">
          <w:marLeft w:val="0"/>
          <w:marRight w:val="0"/>
          <w:marTop w:val="0"/>
          <w:marBottom w:val="0"/>
          <w:divBdr>
            <w:top w:val="none" w:sz="0" w:space="0" w:color="auto"/>
            <w:left w:val="none" w:sz="0" w:space="0" w:color="auto"/>
            <w:bottom w:val="none" w:sz="0" w:space="0" w:color="auto"/>
            <w:right w:val="none" w:sz="0" w:space="0" w:color="auto"/>
          </w:divBdr>
          <w:divsChild>
            <w:div w:id="961154896">
              <w:marLeft w:val="0"/>
              <w:marRight w:val="0"/>
              <w:marTop w:val="0"/>
              <w:marBottom w:val="0"/>
              <w:divBdr>
                <w:top w:val="none" w:sz="0" w:space="0" w:color="auto"/>
                <w:left w:val="none" w:sz="0" w:space="0" w:color="auto"/>
                <w:bottom w:val="none" w:sz="0" w:space="0" w:color="auto"/>
                <w:right w:val="none" w:sz="0" w:space="0" w:color="auto"/>
              </w:divBdr>
              <w:divsChild>
                <w:div w:id="1847210970">
                  <w:marLeft w:val="0"/>
                  <w:marRight w:val="0"/>
                  <w:marTop w:val="0"/>
                  <w:marBottom w:val="0"/>
                  <w:divBdr>
                    <w:top w:val="none" w:sz="0" w:space="0" w:color="auto"/>
                    <w:left w:val="none" w:sz="0" w:space="0" w:color="auto"/>
                    <w:bottom w:val="none" w:sz="0" w:space="0" w:color="auto"/>
                    <w:right w:val="none" w:sz="0" w:space="0" w:color="auto"/>
                  </w:divBdr>
                  <w:divsChild>
                    <w:div w:id="28300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7324218">
      <w:bodyDiv w:val="1"/>
      <w:marLeft w:val="0"/>
      <w:marRight w:val="0"/>
      <w:marTop w:val="0"/>
      <w:marBottom w:val="0"/>
      <w:divBdr>
        <w:top w:val="none" w:sz="0" w:space="0" w:color="auto"/>
        <w:left w:val="none" w:sz="0" w:space="0" w:color="auto"/>
        <w:bottom w:val="none" w:sz="0" w:space="0" w:color="auto"/>
        <w:right w:val="none" w:sz="0" w:space="0" w:color="auto"/>
      </w:divBdr>
    </w:div>
    <w:div w:id="219170771">
      <w:bodyDiv w:val="1"/>
      <w:marLeft w:val="0"/>
      <w:marRight w:val="0"/>
      <w:marTop w:val="0"/>
      <w:marBottom w:val="0"/>
      <w:divBdr>
        <w:top w:val="none" w:sz="0" w:space="0" w:color="auto"/>
        <w:left w:val="none" w:sz="0" w:space="0" w:color="auto"/>
        <w:bottom w:val="none" w:sz="0" w:space="0" w:color="auto"/>
        <w:right w:val="none" w:sz="0" w:space="0" w:color="auto"/>
      </w:divBdr>
      <w:divsChild>
        <w:div w:id="1979991986">
          <w:marLeft w:val="0"/>
          <w:marRight w:val="0"/>
          <w:marTop w:val="0"/>
          <w:marBottom w:val="0"/>
          <w:divBdr>
            <w:top w:val="none" w:sz="0" w:space="0" w:color="auto"/>
            <w:left w:val="none" w:sz="0" w:space="0" w:color="auto"/>
            <w:bottom w:val="none" w:sz="0" w:space="0" w:color="auto"/>
            <w:right w:val="none" w:sz="0" w:space="0" w:color="auto"/>
          </w:divBdr>
          <w:divsChild>
            <w:div w:id="667757397">
              <w:marLeft w:val="0"/>
              <w:marRight w:val="0"/>
              <w:marTop w:val="0"/>
              <w:marBottom w:val="0"/>
              <w:divBdr>
                <w:top w:val="none" w:sz="0" w:space="0" w:color="auto"/>
                <w:left w:val="none" w:sz="0" w:space="0" w:color="auto"/>
                <w:bottom w:val="none" w:sz="0" w:space="0" w:color="auto"/>
                <w:right w:val="none" w:sz="0" w:space="0" w:color="auto"/>
              </w:divBdr>
              <w:divsChild>
                <w:div w:id="911236160">
                  <w:marLeft w:val="0"/>
                  <w:marRight w:val="0"/>
                  <w:marTop w:val="0"/>
                  <w:marBottom w:val="0"/>
                  <w:divBdr>
                    <w:top w:val="none" w:sz="0" w:space="0" w:color="auto"/>
                    <w:left w:val="none" w:sz="0" w:space="0" w:color="auto"/>
                    <w:bottom w:val="none" w:sz="0" w:space="0" w:color="auto"/>
                    <w:right w:val="none" w:sz="0" w:space="0" w:color="auto"/>
                  </w:divBdr>
                  <w:divsChild>
                    <w:div w:id="2131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572666">
      <w:bodyDiv w:val="1"/>
      <w:marLeft w:val="0"/>
      <w:marRight w:val="0"/>
      <w:marTop w:val="0"/>
      <w:marBottom w:val="0"/>
      <w:divBdr>
        <w:top w:val="none" w:sz="0" w:space="0" w:color="auto"/>
        <w:left w:val="none" w:sz="0" w:space="0" w:color="auto"/>
        <w:bottom w:val="none" w:sz="0" w:space="0" w:color="auto"/>
        <w:right w:val="none" w:sz="0" w:space="0" w:color="auto"/>
      </w:divBdr>
      <w:divsChild>
        <w:div w:id="1713073760">
          <w:marLeft w:val="0"/>
          <w:marRight w:val="0"/>
          <w:marTop w:val="0"/>
          <w:marBottom w:val="0"/>
          <w:divBdr>
            <w:top w:val="none" w:sz="0" w:space="0" w:color="auto"/>
            <w:left w:val="none" w:sz="0" w:space="0" w:color="auto"/>
            <w:bottom w:val="none" w:sz="0" w:space="0" w:color="auto"/>
            <w:right w:val="none" w:sz="0" w:space="0" w:color="auto"/>
          </w:divBdr>
          <w:divsChild>
            <w:div w:id="1276598588">
              <w:marLeft w:val="0"/>
              <w:marRight w:val="0"/>
              <w:marTop w:val="0"/>
              <w:marBottom w:val="0"/>
              <w:divBdr>
                <w:top w:val="none" w:sz="0" w:space="0" w:color="auto"/>
                <w:left w:val="none" w:sz="0" w:space="0" w:color="auto"/>
                <w:bottom w:val="none" w:sz="0" w:space="0" w:color="auto"/>
                <w:right w:val="none" w:sz="0" w:space="0" w:color="auto"/>
              </w:divBdr>
              <w:divsChild>
                <w:div w:id="2145467548">
                  <w:marLeft w:val="0"/>
                  <w:marRight w:val="0"/>
                  <w:marTop w:val="0"/>
                  <w:marBottom w:val="0"/>
                  <w:divBdr>
                    <w:top w:val="none" w:sz="0" w:space="0" w:color="auto"/>
                    <w:left w:val="none" w:sz="0" w:space="0" w:color="auto"/>
                    <w:bottom w:val="none" w:sz="0" w:space="0" w:color="auto"/>
                    <w:right w:val="none" w:sz="0" w:space="0" w:color="auto"/>
                  </w:divBdr>
                  <w:divsChild>
                    <w:div w:id="122318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3429057">
      <w:bodyDiv w:val="1"/>
      <w:marLeft w:val="0"/>
      <w:marRight w:val="0"/>
      <w:marTop w:val="0"/>
      <w:marBottom w:val="0"/>
      <w:divBdr>
        <w:top w:val="none" w:sz="0" w:space="0" w:color="auto"/>
        <w:left w:val="none" w:sz="0" w:space="0" w:color="auto"/>
        <w:bottom w:val="none" w:sz="0" w:space="0" w:color="auto"/>
        <w:right w:val="none" w:sz="0" w:space="0" w:color="auto"/>
      </w:divBdr>
      <w:divsChild>
        <w:div w:id="1283806017">
          <w:marLeft w:val="0"/>
          <w:marRight w:val="0"/>
          <w:marTop w:val="0"/>
          <w:marBottom w:val="0"/>
          <w:divBdr>
            <w:top w:val="none" w:sz="0" w:space="0" w:color="auto"/>
            <w:left w:val="none" w:sz="0" w:space="0" w:color="auto"/>
            <w:bottom w:val="none" w:sz="0" w:space="0" w:color="auto"/>
            <w:right w:val="none" w:sz="0" w:space="0" w:color="auto"/>
          </w:divBdr>
          <w:divsChild>
            <w:div w:id="394011506">
              <w:marLeft w:val="0"/>
              <w:marRight w:val="0"/>
              <w:marTop w:val="0"/>
              <w:marBottom w:val="0"/>
              <w:divBdr>
                <w:top w:val="none" w:sz="0" w:space="0" w:color="auto"/>
                <w:left w:val="none" w:sz="0" w:space="0" w:color="auto"/>
                <w:bottom w:val="none" w:sz="0" w:space="0" w:color="auto"/>
                <w:right w:val="none" w:sz="0" w:space="0" w:color="auto"/>
              </w:divBdr>
              <w:divsChild>
                <w:div w:id="1181316428">
                  <w:marLeft w:val="0"/>
                  <w:marRight w:val="0"/>
                  <w:marTop w:val="0"/>
                  <w:marBottom w:val="0"/>
                  <w:divBdr>
                    <w:top w:val="none" w:sz="0" w:space="0" w:color="auto"/>
                    <w:left w:val="none" w:sz="0" w:space="0" w:color="auto"/>
                    <w:bottom w:val="none" w:sz="0" w:space="0" w:color="auto"/>
                    <w:right w:val="none" w:sz="0" w:space="0" w:color="auto"/>
                  </w:divBdr>
                  <w:divsChild>
                    <w:div w:id="13417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220891">
      <w:bodyDiv w:val="1"/>
      <w:marLeft w:val="0"/>
      <w:marRight w:val="0"/>
      <w:marTop w:val="0"/>
      <w:marBottom w:val="0"/>
      <w:divBdr>
        <w:top w:val="none" w:sz="0" w:space="0" w:color="auto"/>
        <w:left w:val="none" w:sz="0" w:space="0" w:color="auto"/>
        <w:bottom w:val="none" w:sz="0" w:space="0" w:color="auto"/>
        <w:right w:val="none" w:sz="0" w:space="0" w:color="auto"/>
      </w:divBdr>
      <w:divsChild>
        <w:div w:id="1927153675">
          <w:marLeft w:val="0"/>
          <w:marRight w:val="0"/>
          <w:marTop w:val="0"/>
          <w:marBottom w:val="0"/>
          <w:divBdr>
            <w:top w:val="none" w:sz="0" w:space="0" w:color="auto"/>
            <w:left w:val="none" w:sz="0" w:space="0" w:color="auto"/>
            <w:bottom w:val="none" w:sz="0" w:space="0" w:color="auto"/>
            <w:right w:val="none" w:sz="0" w:space="0" w:color="auto"/>
          </w:divBdr>
          <w:divsChild>
            <w:div w:id="336856678">
              <w:marLeft w:val="0"/>
              <w:marRight w:val="0"/>
              <w:marTop w:val="0"/>
              <w:marBottom w:val="0"/>
              <w:divBdr>
                <w:top w:val="none" w:sz="0" w:space="0" w:color="auto"/>
                <w:left w:val="none" w:sz="0" w:space="0" w:color="auto"/>
                <w:bottom w:val="none" w:sz="0" w:space="0" w:color="auto"/>
                <w:right w:val="none" w:sz="0" w:space="0" w:color="auto"/>
              </w:divBdr>
              <w:divsChild>
                <w:div w:id="291373470">
                  <w:marLeft w:val="0"/>
                  <w:marRight w:val="0"/>
                  <w:marTop w:val="0"/>
                  <w:marBottom w:val="0"/>
                  <w:divBdr>
                    <w:top w:val="none" w:sz="0" w:space="0" w:color="auto"/>
                    <w:left w:val="none" w:sz="0" w:space="0" w:color="auto"/>
                    <w:bottom w:val="none" w:sz="0" w:space="0" w:color="auto"/>
                    <w:right w:val="none" w:sz="0" w:space="0" w:color="auto"/>
                  </w:divBdr>
                  <w:divsChild>
                    <w:div w:id="39324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142118">
      <w:bodyDiv w:val="1"/>
      <w:marLeft w:val="0"/>
      <w:marRight w:val="0"/>
      <w:marTop w:val="0"/>
      <w:marBottom w:val="0"/>
      <w:divBdr>
        <w:top w:val="none" w:sz="0" w:space="0" w:color="auto"/>
        <w:left w:val="none" w:sz="0" w:space="0" w:color="auto"/>
        <w:bottom w:val="none" w:sz="0" w:space="0" w:color="auto"/>
        <w:right w:val="none" w:sz="0" w:space="0" w:color="auto"/>
      </w:divBdr>
      <w:divsChild>
        <w:div w:id="1555000758">
          <w:marLeft w:val="0"/>
          <w:marRight w:val="0"/>
          <w:marTop w:val="0"/>
          <w:marBottom w:val="0"/>
          <w:divBdr>
            <w:top w:val="none" w:sz="0" w:space="0" w:color="auto"/>
            <w:left w:val="none" w:sz="0" w:space="0" w:color="auto"/>
            <w:bottom w:val="none" w:sz="0" w:space="0" w:color="auto"/>
            <w:right w:val="none" w:sz="0" w:space="0" w:color="auto"/>
          </w:divBdr>
          <w:divsChild>
            <w:div w:id="1545488074">
              <w:marLeft w:val="0"/>
              <w:marRight w:val="0"/>
              <w:marTop w:val="0"/>
              <w:marBottom w:val="0"/>
              <w:divBdr>
                <w:top w:val="none" w:sz="0" w:space="0" w:color="auto"/>
                <w:left w:val="none" w:sz="0" w:space="0" w:color="auto"/>
                <w:bottom w:val="none" w:sz="0" w:space="0" w:color="auto"/>
                <w:right w:val="none" w:sz="0" w:space="0" w:color="auto"/>
              </w:divBdr>
              <w:divsChild>
                <w:div w:id="718241723">
                  <w:marLeft w:val="0"/>
                  <w:marRight w:val="0"/>
                  <w:marTop w:val="0"/>
                  <w:marBottom w:val="0"/>
                  <w:divBdr>
                    <w:top w:val="none" w:sz="0" w:space="0" w:color="auto"/>
                    <w:left w:val="none" w:sz="0" w:space="0" w:color="auto"/>
                    <w:bottom w:val="none" w:sz="0" w:space="0" w:color="auto"/>
                    <w:right w:val="none" w:sz="0" w:space="0" w:color="auto"/>
                  </w:divBdr>
                  <w:divsChild>
                    <w:div w:id="4893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082577">
      <w:bodyDiv w:val="1"/>
      <w:marLeft w:val="0"/>
      <w:marRight w:val="0"/>
      <w:marTop w:val="0"/>
      <w:marBottom w:val="0"/>
      <w:divBdr>
        <w:top w:val="none" w:sz="0" w:space="0" w:color="auto"/>
        <w:left w:val="none" w:sz="0" w:space="0" w:color="auto"/>
        <w:bottom w:val="none" w:sz="0" w:space="0" w:color="auto"/>
        <w:right w:val="none" w:sz="0" w:space="0" w:color="auto"/>
      </w:divBdr>
    </w:div>
    <w:div w:id="444468383">
      <w:bodyDiv w:val="1"/>
      <w:marLeft w:val="0"/>
      <w:marRight w:val="0"/>
      <w:marTop w:val="0"/>
      <w:marBottom w:val="0"/>
      <w:divBdr>
        <w:top w:val="none" w:sz="0" w:space="0" w:color="auto"/>
        <w:left w:val="none" w:sz="0" w:space="0" w:color="auto"/>
        <w:bottom w:val="none" w:sz="0" w:space="0" w:color="auto"/>
        <w:right w:val="none" w:sz="0" w:space="0" w:color="auto"/>
      </w:divBdr>
      <w:divsChild>
        <w:div w:id="908345015">
          <w:marLeft w:val="0"/>
          <w:marRight w:val="0"/>
          <w:marTop w:val="0"/>
          <w:marBottom w:val="0"/>
          <w:divBdr>
            <w:top w:val="none" w:sz="0" w:space="0" w:color="auto"/>
            <w:left w:val="none" w:sz="0" w:space="0" w:color="auto"/>
            <w:bottom w:val="none" w:sz="0" w:space="0" w:color="auto"/>
            <w:right w:val="none" w:sz="0" w:space="0" w:color="auto"/>
          </w:divBdr>
          <w:divsChild>
            <w:div w:id="213591684">
              <w:marLeft w:val="0"/>
              <w:marRight w:val="0"/>
              <w:marTop w:val="0"/>
              <w:marBottom w:val="0"/>
              <w:divBdr>
                <w:top w:val="none" w:sz="0" w:space="0" w:color="auto"/>
                <w:left w:val="none" w:sz="0" w:space="0" w:color="auto"/>
                <w:bottom w:val="none" w:sz="0" w:space="0" w:color="auto"/>
                <w:right w:val="none" w:sz="0" w:space="0" w:color="auto"/>
              </w:divBdr>
              <w:divsChild>
                <w:div w:id="1153914006">
                  <w:marLeft w:val="0"/>
                  <w:marRight w:val="0"/>
                  <w:marTop w:val="0"/>
                  <w:marBottom w:val="0"/>
                  <w:divBdr>
                    <w:top w:val="none" w:sz="0" w:space="0" w:color="auto"/>
                    <w:left w:val="none" w:sz="0" w:space="0" w:color="auto"/>
                    <w:bottom w:val="none" w:sz="0" w:space="0" w:color="auto"/>
                    <w:right w:val="none" w:sz="0" w:space="0" w:color="auto"/>
                  </w:divBdr>
                  <w:divsChild>
                    <w:div w:id="38275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4492813">
      <w:bodyDiv w:val="1"/>
      <w:marLeft w:val="0"/>
      <w:marRight w:val="0"/>
      <w:marTop w:val="0"/>
      <w:marBottom w:val="0"/>
      <w:divBdr>
        <w:top w:val="none" w:sz="0" w:space="0" w:color="auto"/>
        <w:left w:val="none" w:sz="0" w:space="0" w:color="auto"/>
        <w:bottom w:val="none" w:sz="0" w:space="0" w:color="auto"/>
        <w:right w:val="none" w:sz="0" w:space="0" w:color="auto"/>
      </w:divBdr>
    </w:div>
    <w:div w:id="541089973">
      <w:bodyDiv w:val="1"/>
      <w:marLeft w:val="0"/>
      <w:marRight w:val="0"/>
      <w:marTop w:val="0"/>
      <w:marBottom w:val="0"/>
      <w:divBdr>
        <w:top w:val="none" w:sz="0" w:space="0" w:color="auto"/>
        <w:left w:val="none" w:sz="0" w:space="0" w:color="auto"/>
        <w:bottom w:val="none" w:sz="0" w:space="0" w:color="auto"/>
        <w:right w:val="none" w:sz="0" w:space="0" w:color="auto"/>
      </w:divBdr>
    </w:div>
    <w:div w:id="550918846">
      <w:bodyDiv w:val="1"/>
      <w:marLeft w:val="0"/>
      <w:marRight w:val="0"/>
      <w:marTop w:val="0"/>
      <w:marBottom w:val="0"/>
      <w:divBdr>
        <w:top w:val="none" w:sz="0" w:space="0" w:color="auto"/>
        <w:left w:val="none" w:sz="0" w:space="0" w:color="auto"/>
        <w:bottom w:val="none" w:sz="0" w:space="0" w:color="auto"/>
        <w:right w:val="none" w:sz="0" w:space="0" w:color="auto"/>
      </w:divBdr>
    </w:div>
    <w:div w:id="552808466">
      <w:bodyDiv w:val="1"/>
      <w:marLeft w:val="0"/>
      <w:marRight w:val="0"/>
      <w:marTop w:val="0"/>
      <w:marBottom w:val="0"/>
      <w:divBdr>
        <w:top w:val="none" w:sz="0" w:space="0" w:color="auto"/>
        <w:left w:val="none" w:sz="0" w:space="0" w:color="auto"/>
        <w:bottom w:val="none" w:sz="0" w:space="0" w:color="auto"/>
        <w:right w:val="none" w:sz="0" w:space="0" w:color="auto"/>
      </w:divBdr>
    </w:div>
    <w:div w:id="557592809">
      <w:bodyDiv w:val="1"/>
      <w:marLeft w:val="0"/>
      <w:marRight w:val="0"/>
      <w:marTop w:val="0"/>
      <w:marBottom w:val="0"/>
      <w:divBdr>
        <w:top w:val="none" w:sz="0" w:space="0" w:color="auto"/>
        <w:left w:val="none" w:sz="0" w:space="0" w:color="auto"/>
        <w:bottom w:val="none" w:sz="0" w:space="0" w:color="auto"/>
        <w:right w:val="none" w:sz="0" w:space="0" w:color="auto"/>
      </w:divBdr>
      <w:divsChild>
        <w:div w:id="371735680">
          <w:marLeft w:val="0"/>
          <w:marRight w:val="0"/>
          <w:marTop w:val="0"/>
          <w:marBottom w:val="0"/>
          <w:divBdr>
            <w:top w:val="none" w:sz="0" w:space="0" w:color="auto"/>
            <w:left w:val="none" w:sz="0" w:space="0" w:color="auto"/>
            <w:bottom w:val="none" w:sz="0" w:space="0" w:color="auto"/>
            <w:right w:val="none" w:sz="0" w:space="0" w:color="auto"/>
          </w:divBdr>
          <w:divsChild>
            <w:div w:id="641230602">
              <w:marLeft w:val="0"/>
              <w:marRight w:val="0"/>
              <w:marTop w:val="0"/>
              <w:marBottom w:val="0"/>
              <w:divBdr>
                <w:top w:val="none" w:sz="0" w:space="0" w:color="auto"/>
                <w:left w:val="none" w:sz="0" w:space="0" w:color="auto"/>
                <w:bottom w:val="none" w:sz="0" w:space="0" w:color="auto"/>
                <w:right w:val="none" w:sz="0" w:space="0" w:color="auto"/>
              </w:divBdr>
              <w:divsChild>
                <w:div w:id="1637830199">
                  <w:marLeft w:val="0"/>
                  <w:marRight w:val="0"/>
                  <w:marTop w:val="0"/>
                  <w:marBottom w:val="0"/>
                  <w:divBdr>
                    <w:top w:val="none" w:sz="0" w:space="0" w:color="auto"/>
                    <w:left w:val="none" w:sz="0" w:space="0" w:color="auto"/>
                    <w:bottom w:val="none" w:sz="0" w:space="0" w:color="auto"/>
                    <w:right w:val="none" w:sz="0" w:space="0" w:color="auto"/>
                  </w:divBdr>
                  <w:divsChild>
                    <w:div w:id="7667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2765096">
      <w:bodyDiv w:val="1"/>
      <w:marLeft w:val="0"/>
      <w:marRight w:val="0"/>
      <w:marTop w:val="0"/>
      <w:marBottom w:val="0"/>
      <w:divBdr>
        <w:top w:val="none" w:sz="0" w:space="0" w:color="auto"/>
        <w:left w:val="none" w:sz="0" w:space="0" w:color="auto"/>
        <w:bottom w:val="none" w:sz="0" w:space="0" w:color="auto"/>
        <w:right w:val="none" w:sz="0" w:space="0" w:color="auto"/>
      </w:divBdr>
      <w:divsChild>
        <w:div w:id="1725448868">
          <w:marLeft w:val="0"/>
          <w:marRight w:val="0"/>
          <w:marTop w:val="0"/>
          <w:marBottom w:val="0"/>
          <w:divBdr>
            <w:top w:val="none" w:sz="0" w:space="0" w:color="auto"/>
            <w:left w:val="none" w:sz="0" w:space="0" w:color="auto"/>
            <w:bottom w:val="none" w:sz="0" w:space="0" w:color="auto"/>
            <w:right w:val="none" w:sz="0" w:space="0" w:color="auto"/>
          </w:divBdr>
          <w:divsChild>
            <w:div w:id="1016883720">
              <w:marLeft w:val="0"/>
              <w:marRight w:val="0"/>
              <w:marTop w:val="0"/>
              <w:marBottom w:val="0"/>
              <w:divBdr>
                <w:top w:val="none" w:sz="0" w:space="0" w:color="auto"/>
                <w:left w:val="none" w:sz="0" w:space="0" w:color="auto"/>
                <w:bottom w:val="none" w:sz="0" w:space="0" w:color="auto"/>
                <w:right w:val="none" w:sz="0" w:space="0" w:color="auto"/>
              </w:divBdr>
              <w:divsChild>
                <w:div w:id="1422532919">
                  <w:marLeft w:val="0"/>
                  <w:marRight w:val="0"/>
                  <w:marTop w:val="0"/>
                  <w:marBottom w:val="0"/>
                  <w:divBdr>
                    <w:top w:val="none" w:sz="0" w:space="0" w:color="auto"/>
                    <w:left w:val="none" w:sz="0" w:space="0" w:color="auto"/>
                    <w:bottom w:val="none" w:sz="0" w:space="0" w:color="auto"/>
                    <w:right w:val="none" w:sz="0" w:space="0" w:color="auto"/>
                  </w:divBdr>
                  <w:divsChild>
                    <w:div w:id="11652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502499">
      <w:bodyDiv w:val="1"/>
      <w:marLeft w:val="0"/>
      <w:marRight w:val="0"/>
      <w:marTop w:val="0"/>
      <w:marBottom w:val="0"/>
      <w:divBdr>
        <w:top w:val="none" w:sz="0" w:space="0" w:color="auto"/>
        <w:left w:val="none" w:sz="0" w:space="0" w:color="auto"/>
        <w:bottom w:val="none" w:sz="0" w:space="0" w:color="auto"/>
        <w:right w:val="none" w:sz="0" w:space="0" w:color="auto"/>
      </w:divBdr>
      <w:divsChild>
        <w:div w:id="893277985">
          <w:marLeft w:val="0"/>
          <w:marRight w:val="0"/>
          <w:marTop w:val="0"/>
          <w:marBottom w:val="0"/>
          <w:divBdr>
            <w:top w:val="none" w:sz="0" w:space="0" w:color="auto"/>
            <w:left w:val="none" w:sz="0" w:space="0" w:color="auto"/>
            <w:bottom w:val="none" w:sz="0" w:space="0" w:color="auto"/>
            <w:right w:val="none" w:sz="0" w:space="0" w:color="auto"/>
          </w:divBdr>
          <w:divsChild>
            <w:div w:id="1715765181">
              <w:marLeft w:val="0"/>
              <w:marRight w:val="0"/>
              <w:marTop w:val="0"/>
              <w:marBottom w:val="0"/>
              <w:divBdr>
                <w:top w:val="none" w:sz="0" w:space="0" w:color="auto"/>
                <w:left w:val="none" w:sz="0" w:space="0" w:color="auto"/>
                <w:bottom w:val="none" w:sz="0" w:space="0" w:color="auto"/>
                <w:right w:val="none" w:sz="0" w:space="0" w:color="auto"/>
              </w:divBdr>
              <w:divsChild>
                <w:div w:id="643045200">
                  <w:marLeft w:val="0"/>
                  <w:marRight w:val="0"/>
                  <w:marTop w:val="0"/>
                  <w:marBottom w:val="0"/>
                  <w:divBdr>
                    <w:top w:val="none" w:sz="0" w:space="0" w:color="auto"/>
                    <w:left w:val="none" w:sz="0" w:space="0" w:color="auto"/>
                    <w:bottom w:val="none" w:sz="0" w:space="0" w:color="auto"/>
                    <w:right w:val="none" w:sz="0" w:space="0" w:color="auto"/>
                  </w:divBdr>
                  <w:divsChild>
                    <w:div w:id="122822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314579">
      <w:bodyDiv w:val="1"/>
      <w:marLeft w:val="0"/>
      <w:marRight w:val="0"/>
      <w:marTop w:val="0"/>
      <w:marBottom w:val="0"/>
      <w:divBdr>
        <w:top w:val="none" w:sz="0" w:space="0" w:color="auto"/>
        <w:left w:val="none" w:sz="0" w:space="0" w:color="auto"/>
        <w:bottom w:val="none" w:sz="0" w:space="0" w:color="auto"/>
        <w:right w:val="none" w:sz="0" w:space="0" w:color="auto"/>
      </w:divBdr>
    </w:div>
    <w:div w:id="725494802">
      <w:bodyDiv w:val="1"/>
      <w:marLeft w:val="0"/>
      <w:marRight w:val="0"/>
      <w:marTop w:val="0"/>
      <w:marBottom w:val="0"/>
      <w:divBdr>
        <w:top w:val="none" w:sz="0" w:space="0" w:color="auto"/>
        <w:left w:val="none" w:sz="0" w:space="0" w:color="auto"/>
        <w:bottom w:val="none" w:sz="0" w:space="0" w:color="auto"/>
        <w:right w:val="none" w:sz="0" w:space="0" w:color="auto"/>
      </w:divBdr>
      <w:divsChild>
        <w:div w:id="269237900">
          <w:marLeft w:val="0"/>
          <w:marRight w:val="0"/>
          <w:marTop w:val="0"/>
          <w:marBottom w:val="0"/>
          <w:divBdr>
            <w:top w:val="none" w:sz="0" w:space="0" w:color="auto"/>
            <w:left w:val="none" w:sz="0" w:space="0" w:color="auto"/>
            <w:bottom w:val="none" w:sz="0" w:space="0" w:color="auto"/>
            <w:right w:val="none" w:sz="0" w:space="0" w:color="auto"/>
          </w:divBdr>
          <w:divsChild>
            <w:div w:id="1328705908">
              <w:marLeft w:val="0"/>
              <w:marRight w:val="0"/>
              <w:marTop w:val="0"/>
              <w:marBottom w:val="0"/>
              <w:divBdr>
                <w:top w:val="none" w:sz="0" w:space="0" w:color="auto"/>
                <w:left w:val="none" w:sz="0" w:space="0" w:color="auto"/>
                <w:bottom w:val="none" w:sz="0" w:space="0" w:color="auto"/>
                <w:right w:val="none" w:sz="0" w:space="0" w:color="auto"/>
              </w:divBdr>
              <w:divsChild>
                <w:div w:id="241067030">
                  <w:marLeft w:val="0"/>
                  <w:marRight w:val="0"/>
                  <w:marTop w:val="0"/>
                  <w:marBottom w:val="0"/>
                  <w:divBdr>
                    <w:top w:val="none" w:sz="0" w:space="0" w:color="auto"/>
                    <w:left w:val="none" w:sz="0" w:space="0" w:color="auto"/>
                    <w:bottom w:val="none" w:sz="0" w:space="0" w:color="auto"/>
                    <w:right w:val="none" w:sz="0" w:space="0" w:color="auto"/>
                  </w:divBdr>
                  <w:divsChild>
                    <w:div w:id="115410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692898">
      <w:bodyDiv w:val="1"/>
      <w:marLeft w:val="0"/>
      <w:marRight w:val="0"/>
      <w:marTop w:val="0"/>
      <w:marBottom w:val="0"/>
      <w:divBdr>
        <w:top w:val="none" w:sz="0" w:space="0" w:color="auto"/>
        <w:left w:val="none" w:sz="0" w:space="0" w:color="auto"/>
        <w:bottom w:val="none" w:sz="0" w:space="0" w:color="auto"/>
        <w:right w:val="none" w:sz="0" w:space="0" w:color="auto"/>
      </w:divBdr>
    </w:div>
    <w:div w:id="769740487">
      <w:bodyDiv w:val="1"/>
      <w:marLeft w:val="0"/>
      <w:marRight w:val="0"/>
      <w:marTop w:val="0"/>
      <w:marBottom w:val="0"/>
      <w:divBdr>
        <w:top w:val="none" w:sz="0" w:space="0" w:color="auto"/>
        <w:left w:val="none" w:sz="0" w:space="0" w:color="auto"/>
        <w:bottom w:val="none" w:sz="0" w:space="0" w:color="auto"/>
        <w:right w:val="none" w:sz="0" w:space="0" w:color="auto"/>
      </w:divBdr>
      <w:divsChild>
        <w:div w:id="1116170759">
          <w:marLeft w:val="0"/>
          <w:marRight w:val="0"/>
          <w:marTop w:val="0"/>
          <w:marBottom w:val="0"/>
          <w:divBdr>
            <w:top w:val="none" w:sz="0" w:space="0" w:color="auto"/>
            <w:left w:val="none" w:sz="0" w:space="0" w:color="auto"/>
            <w:bottom w:val="none" w:sz="0" w:space="0" w:color="auto"/>
            <w:right w:val="none" w:sz="0" w:space="0" w:color="auto"/>
          </w:divBdr>
          <w:divsChild>
            <w:div w:id="1746416008">
              <w:marLeft w:val="0"/>
              <w:marRight w:val="0"/>
              <w:marTop w:val="0"/>
              <w:marBottom w:val="0"/>
              <w:divBdr>
                <w:top w:val="none" w:sz="0" w:space="0" w:color="auto"/>
                <w:left w:val="none" w:sz="0" w:space="0" w:color="auto"/>
                <w:bottom w:val="none" w:sz="0" w:space="0" w:color="auto"/>
                <w:right w:val="none" w:sz="0" w:space="0" w:color="auto"/>
              </w:divBdr>
              <w:divsChild>
                <w:div w:id="608126830">
                  <w:marLeft w:val="0"/>
                  <w:marRight w:val="0"/>
                  <w:marTop w:val="0"/>
                  <w:marBottom w:val="0"/>
                  <w:divBdr>
                    <w:top w:val="none" w:sz="0" w:space="0" w:color="auto"/>
                    <w:left w:val="none" w:sz="0" w:space="0" w:color="auto"/>
                    <w:bottom w:val="none" w:sz="0" w:space="0" w:color="auto"/>
                    <w:right w:val="none" w:sz="0" w:space="0" w:color="auto"/>
                  </w:divBdr>
                  <w:divsChild>
                    <w:div w:id="23162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283676">
      <w:bodyDiv w:val="1"/>
      <w:marLeft w:val="0"/>
      <w:marRight w:val="0"/>
      <w:marTop w:val="0"/>
      <w:marBottom w:val="0"/>
      <w:divBdr>
        <w:top w:val="none" w:sz="0" w:space="0" w:color="auto"/>
        <w:left w:val="none" w:sz="0" w:space="0" w:color="auto"/>
        <w:bottom w:val="none" w:sz="0" w:space="0" w:color="auto"/>
        <w:right w:val="none" w:sz="0" w:space="0" w:color="auto"/>
      </w:divBdr>
      <w:divsChild>
        <w:div w:id="1242373304">
          <w:marLeft w:val="0"/>
          <w:marRight w:val="0"/>
          <w:marTop w:val="0"/>
          <w:marBottom w:val="0"/>
          <w:divBdr>
            <w:top w:val="none" w:sz="0" w:space="0" w:color="auto"/>
            <w:left w:val="none" w:sz="0" w:space="0" w:color="auto"/>
            <w:bottom w:val="none" w:sz="0" w:space="0" w:color="auto"/>
            <w:right w:val="none" w:sz="0" w:space="0" w:color="auto"/>
          </w:divBdr>
        </w:div>
        <w:div w:id="1214846493">
          <w:marLeft w:val="0"/>
          <w:marRight w:val="0"/>
          <w:marTop w:val="0"/>
          <w:marBottom w:val="0"/>
          <w:divBdr>
            <w:top w:val="none" w:sz="0" w:space="0" w:color="auto"/>
            <w:left w:val="none" w:sz="0" w:space="0" w:color="auto"/>
            <w:bottom w:val="none" w:sz="0" w:space="0" w:color="auto"/>
            <w:right w:val="none" w:sz="0" w:space="0" w:color="auto"/>
          </w:divBdr>
        </w:div>
        <w:div w:id="1430613715">
          <w:marLeft w:val="0"/>
          <w:marRight w:val="0"/>
          <w:marTop w:val="0"/>
          <w:marBottom w:val="0"/>
          <w:divBdr>
            <w:top w:val="none" w:sz="0" w:space="0" w:color="auto"/>
            <w:left w:val="none" w:sz="0" w:space="0" w:color="auto"/>
            <w:bottom w:val="none" w:sz="0" w:space="0" w:color="auto"/>
            <w:right w:val="none" w:sz="0" w:space="0" w:color="auto"/>
          </w:divBdr>
        </w:div>
      </w:divsChild>
    </w:div>
    <w:div w:id="798841656">
      <w:bodyDiv w:val="1"/>
      <w:marLeft w:val="0"/>
      <w:marRight w:val="0"/>
      <w:marTop w:val="0"/>
      <w:marBottom w:val="0"/>
      <w:divBdr>
        <w:top w:val="none" w:sz="0" w:space="0" w:color="auto"/>
        <w:left w:val="none" w:sz="0" w:space="0" w:color="auto"/>
        <w:bottom w:val="none" w:sz="0" w:space="0" w:color="auto"/>
        <w:right w:val="none" w:sz="0" w:space="0" w:color="auto"/>
      </w:divBdr>
    </w:div>
    <w:div w:id="858473055">
      <w:bodyDiv w:val="1"/>
      <w:marLeft w:val="0"/>
      <w:marRight w:val="0"/>
      <w:marTop w:val="0"/>
      <w:marBottom w:val="0"/>
      <w:divBdr>
        <w:top w:val="none" w:sz="0" w:space="0" w:color="auto"/>
        <w:left w:val="none" w:sz="0" w:space="0" w:color="auto"/>
        <w:bottom w:val="none" w:sz="0" w:space="0" w:color="auto"/>
        <w:right w:val="none" w:sz="0" w:space="0" w:color="auto"/>
      </w:divBdr>
      <w:divsChild>
        <w:div w:id="614018262">
          <w:marLeft w:val="0"/>
          <w:marRight w:val="0"/>
          <w:marTop w:val="0"/>
          <w:marBottom w:val="0"/>
          <w:divBdr>
            <w:top w:val="none" w:sz="0" w:space="0" w:color="auto"/>
            <w:left w:val="none" w:sz="0" w:space="0" w:color="auto"/>
            <w:bottom w:val="none" w:sz="0" w:space="0" w:color="auto"/>
            <w:right w:val="none" w:sz="0" w:space="0" w:color="auto"/>
          </w:divBdr>
          <w:divsChild>
            <w:div w:id="1335765519">
              <w:marLeft w:val="0"/>
              <w:marRight w:val="0"/>
              <w:marTop w:val="0"/>
              <w:marBottom w:val="0"/>
              <w:divBdr>
                <w:top w:val="none" w:sz="0" w:space="0" w:color="auto"/>
                <w:left w:val="none" w:sz="0" w:space="0" w:color="auto"/>
                <w:bottom w:val="none" w:sz="0" w:space="0" w:color="auto"/>
                <w:right w:val="none" w:sz="0" w:space="0" w:color="auto"/>
              </w:divBdr>
              <w:divsChild>
                <w:div w:id="1783648691">
                  <w:marLeft w:val="0"/>
                  <w:marRight w:val="0"/>
                  <w:marTop w:val="0"/>
                  <w:marBottom w:val="0"/>
                  <w:divBdr>
                    <w:top w:val="none" w:sz="0" w:space="0" w:color="auto"/>
                    <w:left w:val="none" w:sz="0" w:space="0" w:color="auto"/>
                    <w:bottom w:val="none" w:sz="0" w:space="0" w:color="auto"/>
                    <w:right w:val="none" w:sz="0" w:space="0" w:color="auto"/>
                  </w:divBdr>
                  <w:divsChild>
                    <w:div w:id="63637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252667">
      <w:bodyDiv w:val="1"/>
      <w:marLeft w:val="0"/>
      <w:marRight w:val="0"/>
      <w:marTop w:val="0"/>
      <w:marBottom w:val="0"/>
      <w:divBdr>
        <w:top w:val="none" w:sz="0" w:space="0" w:color="auto"/>
        <w:left w:val="none" w:sz="0" w:space="0" w:color="auto"/>
        <w:bottom w:val="none" w:sz="0" w:space="0" w:color="auto"/>
        <w:right w:val="none" w:sz="0" w:space="0" w:color="auto"/>
      </w:divBdr>
      <w:divsChild>
        <w:div w:id="470951630">
          <w:marLeft w:val="0"/>
          <w:marRight w:val="0"/>
          <w:marTop w:val="0"/>
          <w:marBottom w:val="0"/>
          <w:divBdr>
            <w:top w:val="none" w:sz="0" w:space="0" w:color="auto"/>
            <w:left w:val="none" w:sz="0" w:space="0" w:color="auto"/>
            <w:bottom w:val="none" w:sz="0" w:space="0" w:color="auto"/>
            <w:right w:val="none" w:sz="0" w:space="0" w:color="auto"/>
          </w:divBdr>
          <w:divsChild>
            <w:div w:id="1585260517">
              <w:marLeft w:val="0"/>
              <w:marRight w:val="0"/>
              <w:marTop w:val="0"/>
              <w:marBottom w:val="0"/>
              <w:divBdr>
                <w:top w:val="none" w:sz="0" w:space="0" w:color="auto"/>
                <w:left w:val="none" w:sz="0" w:space="0" w:color="auto"/>
                <w:bottom w:val="none" w:sz="0" w:space="0" w:color="auto"/>
                <w:right w:val="none" w:sz="0" w:space="0" w:color="auto"/>
              </w:divBdr>
              <w:divsChild>
                <w:div w:id="1437291078">
                  <w:marLeft w:val="0"/>
                  <w:marRight w:val="0"/>
                  <w:marTop w:val="0"/>
                  <w:marBottom w:val="0"/>
                  <w:divBdr>
                    <w:top w:val="none" w:sz="0" w:space="0" w:color="auto"/>
                    <w:left w:val="none" w:sz="0" w:space="0" w:color="auto"/>
                    <w:bottom w:val="none" w:sz="0" w:space="0" w:color="auto"/>
                    <w:right w:val="none" w:sz="0" w:space="0" w:color="auto"/>
                  </w:divBdr>
                  <w:divsChild>
                    <w:div w:id="182682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299435">
      <w:bodyDiv w:val="1"/>
      <w:marLeft w:val="0"/>
      <w:marRight w:val="0"/>
      <w:marTop w:val="0"/>
      <w:marBottom w:val="0"/>
      <w:divBdr>
        <w:top w:val="none" w:sz="0" w:space="0" w:color="auto"/>
        <w:left w:val="none" w:sz="0" w:space="0" w:color="auto"/>
        <w:bottom w:val="none" w:sz="0" w:space="0" w:color="auto"/>
        <w:right w:val="none" w:sz="0" w:space="0" w:color="auto"/>
      </w:divBdr>
      <w:divsChild>
        <w:div w:id="243881351">
          <w:marLeft w:val="0"/>
          <w:marRight w:val="0"/>
          <w:marTop w:val="0"/>
          <w:marBottom w:val="0"/>
          <w:divBdr>
            <w:top w:val="none" w:sz="0" w:space="0" w:color="auto"/>
            <w:left w:val="none" w:sz="0" w:space="0" w:color="auto"/>
            <w:bottom w:val="none" w:sz="0" w:space="0" w:color="auto"/>
            <w:right w:val="none" w:sz="0" w:space="0" w:color="auto"/>
          </w:divBdr>
          <w:divsChild>
            <w:div w:id="1080522961">
              <w:marLeft w:val="0"/>
              <w:marRight w:val="0"/>
              <w:marTop w:val="0"/>
              <w:marBottom w:val="0"/>
              <w:divBdr>
                <w:top w:val="none" w:sz="0" w:space="0" w:color="auto"/>
                <w:left w:val="none" w:sz="0" w:space="0" w:color="auto"/>
                <w:bottom w:val="none" w:sz="0" w:space="0" w:color="auto"/>
                <w:right w:val="none" w:sz="0" w:space="0" w:color="auto"/>
              </w:divBdr>
              <w:divsChild>
                <w:div w:id="758256413">
                  <w:marLeft w:val="0"/>
                  <w:marRight w:val="0"/>
                  <w:marTop w:val="0"/>
                  <w:marBottom w:val="0"/>
                  <w:divBdr>
                    <w:top w:val="none" w:sz="0" w:space="0" w:color="auto"/>
                    <w:left w:val="none" w:sz="0" w:space="0" w:color="auto"/>
                    <w:bottom w:val="none" w:sz="0" w:space="0" w:color="auto"/>
                    <w:right w:val="none" w:sz="0" w:space="0" w:color="auto"/>
                  </w:divBdr>
                  <w:divsChild>
                    <w:div w:id="137195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827538">
      <w:bodyDiv w:val="1"/>
      <w:marLeft w:val="0"/>
      <w:marRight w:val="0"/>
      <w:marTop w:val="0"/>
      <w:marBottom w:val="0"/>
      <w:divBdr>
        <w:top w:val="none" w:sz="0" w:space="0" w:color="auto"/>
        <w:left w:val="none" w:sz="0" w:space="0" w:color="auto"/>
        <w:bottom w:val="none" w:sz="0" w:space="0" w:color="auto"/>
        <w:right w:val="none" w:sz="0" w:space="0" w:color="auto"/>
      </w:divBdr>
    </w:div>
    <w:div w:id="911811736">
      <w:bodyDiv w:val="1"/>
      <w:marLeft w:val="0"/>
      <w:marRight w:val="0"/>
      <w:marTop w:val="0"/>
      <w:marBottom w:val="0"/>
      <w:divBdr>
        <w:top w:val="none" w:sz="0" w:space="0" w:color="auto"/>
        <w:left w:val="none" w:sz="0" w:space="0" w:color="auto"/>
        <w:bottom w:val="none" w:sz="0" w:space="0" w:color="auto"/>
        <w:right w:val="none" w:sz="0" w:space="0" w:color="auto"/>
      </w:divBdr>
      <w:divsChild>
        <w:div w:id="2011060528">
          <w:marLeft w:val="0"/>
          <w:marRight w:val="0"/>
          <w:marTop w:val="0"/>
          <w:marBottom w:val="0"/>
          <w:divBdr>
            <w:top w:val="none" w:sz="0" w:space="0" w:color="auto"/>
            <w:left w:val="none" w:sz="0" w:space="0" w:color="auto"/>
            <w:bottom w:val="none" w:sz="0" w:space="0" w:color="auto"/>
            <w:right w:val="none" w:sz="0" w:space="0" w:color="auto"/>
          </w:divBdr>
          <w:divsChild>
            <w:div w:id="354622993">
              <w:marLeft w:val="0"/>
              <w:marRight w:val="0"/>
              <w:marTop w:val="0"/>
              <w:marBottom w:val="0"/>
              <w:divBdr>
                <w:top w:val="none" w:sz="0" w:space="0" w:color="auto"/>
                <w:left w:val="none" w:sz="0" w:space="0" w:color="auto"/>
                <w:bottom w:val="none" w:sz="0" w:space="0" w:color="auto"/>
                <w:right w:val="none" w:sz="0" w:space="0" w:color="auto"/>
              </w:divBdr>
              <w:divsChild>
                <w:div w:id="1180388471">
                  <w:marLeft w:val="0"/>
                  <w:marRight w:val="0"/>
                  <w:marTop w:val="0"/>
                  <w:marBottom w:val="0"/>
                  <w:divBdr>
                    <w:top w:val="none" w:sz="0" w:space="0" w:color="auto"/>
                    <w:left w:val="none" w:sz="0" w:space="0" w:color="auto"/>
                    <w:bottom w:val="none" w:sz="0" w:space="0" w:color="auto"/>
                    <w:right w:val="none" w:sz="0" w:space="0" w:color="auto"/>
                  </w:divBdr>
                  <w:divsChild>
                    <w:div w:id="132377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0261114">
      <w:bodyDiv w:val="1"/>
      <w:marLeft w:val="0"/>
      <w:marRight w:val="0"/>
      <w:marTop w:val="0"/>
      <w:marBottom w:val="0"/>
      <w:divBdr>
        <w:top w:val="none" w:sz="0" w:space="0" w:color="auto"/>
        <w:left w:val="none" w:sz="0" w:space="0" w:color="auto"/>
        <w:bottom w:val="none" w:sz="0" w:space="0" w:color="auto"/>
        <w:right w:val="none" w:sz="0" w:space="0" w:color="auto"/>
      </w:divBdr>
      <w:divsChild>
        <w:div w:id="1040856993">
          <w:marLeft w:val="0"/>
          <w:marRight w:val="0"/>
          <w:marTop w:val="0"/>
          <w:marBottom w:val="0"/>
          <w:divBdr>
            <w:top w:val="none" w:sz="0" w:space="0" w:color="auto"/>
            <w:left w:val="none" w:sz="0" w:space="0" w:color="auto"/>
            <w:bottom w:val="none" w:sz="0" w:space="0" w:color="auto"/>
            <w:right w:val="none" w:sz="0" w:space="0" w:color="auto"/>
          </w:divBdr>
          <w:divsChild>
            <w:div w:id="858587851">
              <w:marLeft w:val="0"/>
              <w:marRight w:val="0"/>
              <w:marTop w:val="0"/>
              <w:marBottom w:val="0"/>
              <w:divBdr>
                <w:top w:val="none" w:sz="0" w:space="0" w:color="auto"/>
                <w:left w:val="none" w:sz="0" w:space="0" w:color="auto"/>
                <w:bottom w:val="none" w:sz="0" w:space="0" w:color="auto"/>
                <w:right w:val="none" w:sz="0" w:space="0" w:color="auto"/>
              </w:divBdr>
              <w:divsChild>
                <w:div w:id="1085569818">
                  <w:marLeft w:val="0"/>
                  <w:marRight w:val="0"/>
                  <w:marTop w:val="0"/>
                  <w:marBottom w:val="0"/>
                  <w:divBdr>
                    <w:top w:val="none" w:sz="0" w:space="0" w:color="auto"/>
                    <w:left w:val="none" w:sz="0" w:space="0" w:color="auto"/>
                    <w:bottom w:val="none" w:sz="0" w:space="0" w:color="auto"/>
                    <w:right w:val="none" w:sz="0" w:space="0" w:color="auto"/>
                  </w:divBdr>
                  <w:divsChild>
                    <w:div w:id="4195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499473">
      <w:bodyDiv w:val="1"/>
      <w:marLeft w:val="0"/>
      <w:marRight w:val="0"/>
      <w:marTop w:val="0"/>
      <w:marBottom w:val="0"/>
      <w:divBdr>
        <w:top w:val="none" w:sz="0" w:space="0" w:color="auto"/>
        <w:left w:val="none" w:sz="0" w:space="0" w:color="auto"/>
        <w:bottom w:val="none" w:sz="0" w:space="0" w:color="auto"/>
        <w:right w:val="none" w:sz="0" w:space="0" w:color="auto"/>
      </w:divBdr>
    </w:div>
    <w:div w:id="941958558">
      <w:bodyDiv w:val="1"/>
      <w:marLeft w:val="0"/>
      <w:marRight w:val="0"/>
      <w:marTop w:val="0"/>
      <w:marBottom w:val="0"/>
      <w:divBdr>
        <w:top w:val="none" w:sz="0" w:space="0" w:color="auto"/>
        <w:left w:val="none" w:sz="0" w:space="0" w:color="auto"/>
        <w:bottom w:val="none" w:sz="0" w:space="0" w:color="auto"/>
        <w:right w:val="none" w:sz="0" w:space="0" w:color="auto"/>
      </w:divBdr>
      <w:divsChild>
        <w:div w:id="1050419827">
          <w:marLeft w:val="0"/>
          <w:marRight w:val="0"/>
          <w:marTop w:val="0"/>
          <w:marBottom w:val="0"/>
          <w:divBdr>
            <w:top w:val="none" w:sz="0" w:space="0" w:color="auto"/>
            <w:left w:val="none" w:sz="0" w:space="0" w:color="auto"/>
            <w:bottom w:val="none" w:sz="0" w:space="0" w:color="auto"/>
            <w:right w:val="none" w:sz="0" w:space="0" w:color="auto"/>
          </w:divBdr>
          <w:divsChild>
            <w:div w:id="687414025">
              <w:marLeft w:val="0"/>
              <w:marRight w:val="0"/>
              <w:marTop w:val="0"/>
              <w:marBottom w:val="0"/>
              <w:divBdr>
                <w:top w:val="none" w:sz="0" w:space="0" w:color="auto"/>
                <w:left w:val="none" w:sz="0" w:space="0" w:color="auto"/>
                <w:bottom w:val="none" w:sz="0" w:space="0" w:color="auto"/>
                <w:right w:val="none" w:sz="0" w:space="0" w:color="auto"/>
              </w:divBdr>
              <w:divsChild>
                <w:div w:id="2124224311">
                  <w:marLeft w:val="0"/>
                  <w:marRight w:val="0"/>
                  <w:marTop w:val="0"/>
                  <w:marBottom w:val="0"/>
                  <w:divBdr>
                    <w:top w:val="none" w:sz="0" w:space="0" w:color="auto"/>
                    <w:left w:val="none" w:sz="0" w:space="0" w:color="auto"/>
                    <w:bottom w:val="none" w:sz="0" w:space="0" w:color="auto"/>
                    <w:right w:val="none" w:sz="0" w:space="0" w:color="auto"/>
                  </w:divBdr>
                  <w:divsChild>
                    <w:div w:id="84502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075040">
      <w:bodyDiv w:val="1"/>
      <w:marLeft w:val="0"/>
      <w:marRight w:val="0"/>
      <w:marTop w:val="0"/>
      <w:marBottom w:val="0"/>
      <w:divBdr>
        <w:top w:val="none" w:sz="0" w:space="0" w:color="auto"/>
        <w:left w:val="none" w:sz="0" w:space="0" w:color="auto"/>
        <w:bottom w:val="none" w:sz="0" w:space="0" w:color="auto"/>
        <w:right w:val="none" w:sz="0" w:space="0" w:color="auto"/>
      </w:divBdr>
    </w:div>
    <w:div w:id="1143699704">
      <w:bodyDiv w:val="1"/>
      <w:marLeft w:val="0"/>
      <w:marRight w:val="0"/>
      <w:marTop w:val="0"/>
      <w:marBottom w:val="0"/>
      <w:divBdr>
        <w:top w:val="none" w:sz="0" w:space="0" w:color="auto"/>
        <w:left w:val="none" w:sz="0" w:space="0" w:color="auto"/>
        <w:bottom w:val="none" w:sz="0" w:space="0" w:color="auto"/>
        <w:right w:val="none" w:sz="0" w:space="0" w:color="auto"/>
      </w:divBdr>
      <w:divsChild>
        <w:div w:id="1470174792">
          <w:marLeft w:val="0"/>
          <w:marRight w:val="0"/>
          <w:marTop w:val="0"/>
          <w:marBottom w:val="0"/>
          <w:divBdr>
            <w:top w:val="none" w:sz="0" w:space="0" w:color="auto"/>
            <w:left w:val="none" w:sz="0" w:space="0" w:color="auto"/>
            <w:bottom w:val="none" w:sz="0" w:space="0" w:color="auto"/>
            <w:right w:val="none" w:sz="0" w:space="0" w:color="auto"/>
          </w:divBdr>
          <w:divsChild>
            <w:div w:id="468321900">
              <w:marLeft w:val="0"/>
              <w:marRight w:val="0"/>
              <w:marTop w:val="0"/>
              <w:marBottom w:val="0"/>
              <w:divBdr>
                <w:top w:val="none" w:sz="0" w:space="0" w:color="auto"/>
                <w:left w:val="none" w:sz="0" w:space="0" w:color="auto"/>
                <w:bottom w:val="none" w:sz="0" w:space="0" w:color="auto"/>
                <w:right w:val="none" w:sz="0" w:space="0" w:color="auto"/>
              </w:divBdr>
              <w:divsChild>
                <w:div w:id="1742168278">
                  <w:marLeft w:val="0"/>
                  <w:marRight w:val="0"/>
                  <w:marTop w:val="0"/>
                  <w:marBottom w:val="0"/>
                  <w:divBdr>
                    <w:top w:val="none" w:sz="0" w:space="0" w:color="auto"/>
                    <w:left w:val="none" w:sz="0" w:space="0" w:color="auto"/>
                    <w:bottom w:val="none" w:sz="0" w:space="0" w:color="auto"/>
                    <w:right w:val="none" w:sz="0" w:space="0" w:color="auto"/>
                  </w:divBdr>
                  <w:divsChild>
                    <w:div w:id="159713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964341">
      <w:bodyDiv w:val="1"/>
      <w:marLeft w:val="0"/>
      <w:marRight w:val="0"/>
      <w:marTop w:val="0"/>
      <w:marBottom w:val="0"/>
      <w:divBdr>
        <w:top w:val="none" w:sz="0" w:space="0" w:color="auto"/>
        <w:left w:val="none" w:sz="0" w:space="0" w:color="auto"/>
        <w:bottom w:val="none" w:sz="0" w:space="0" w:color="auto"/>
        <w:right w:val="none" w:sz="0" w:space="0" w:color="auto"/>
      </w:divBdr>
      <w:divsChild>
        <w:div w:id="353842782">
          <w:marLeft w:val="0"/>
          <w:marRight w:val="0"/>
          <w:marTop w:val="0"/>
          <w:marBottom w:val="0"/>
          <w:divBdr>
            <w:top w:val="none" w:sz="0" w:space="0" w:color="auto"/>
            <w:left w:val="none" w:sz="0" w:space="0" w:color="auto"/>
            <w:bottom w:val="none" w:sz="0" w:space="0" w:color="auto"/>
            <w:right w:val="none" w:sz="0" w:space="0" w:color="auto"/>
          </w:divBdr>
          <w:divsChild>
            <w:div w:id="446509053">
              <w:marLeft w:val="0"/>
              <w:marRight w:val="0"/>
              <w:marTop w:val="0"/>
              <w:marBottom w:val="0"/>
              <w:divBdr>
                <w:top w:val="none" w:sz="0" w:space="0" w:color="auto"/>
                <w:left w:val="none" w:sz="0" w:space="0" w:color="auto"/>
                <w:bottom w:val="none" w:sz="0" w:space="0" w:color="auto"/>
                <w:right w:val="none" w:sz="0" w:space="0" w:color="auto"/>
              </w:divBdr>
              <w:divsChild>
                <w:div w:id="876546406">
                  <w:marLeft w:val="0"/>
                  <w:marRight w:val="0"/>
                  <w:marTop w:val="0"/>
                  <w:marBottom w:val="0"/>
                  <w:divBdr>
                    <w:top w:val="none" w:sz="0" w:space="0" w:color="auto"/>
                    <w:left w:val="none" w:sz="0" w:space="0" w:color="auto"/>
                    <w:bottom w:val="none" w:sz="0" w:space="0" w:color="auto"/>
                    <w:right w:val="none" w:sz="0" w:space="0" w:color="auto"/>
                  </w:divBdr>
                  <w:divsChild>
                    <w:div w:id="175304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0172208">
      <w:bodyDiv w:val="1"/>
      <w:marLeft w:val="0"/>
      <w:marRight w:val="0"/>
      <w:marTop w:val="0"/>
      <w:marBottom w:val="0"/>
      <w:divBdr>
        <w:top w:val="none" w:sz="0" w:space="0" w:color="auto"/>
        <w:left w:val="none" w:sz="0" w:space="0" w:color="auto"/>
        <w:bottom w:val="none" w:sz="0" w:space="0" w:color="auto"/>
        <w:right w:val="none" w:sz="0" w:space="0" w:color="auto"/>
      </w:divBdr>
      <w:divsChild>
        <w:div w:id="296452087">
          <w:marLeft w:val="0"/>
          <w:marRight w:val="0"/>
          <w:marTop w:val="0"/>
          <w:marBottom w:val="0"/>
          <w:divBdr>
            <w:top w:val="none" w:sz="0" w:space="0" w:color="auto"/>
            <w:left w:val="none" w:sz="0" w:space="0" w:color="auto"/>
            <w:bottom w:val="none" w:sz="0" w:space="0" w:color="auto"/>
            <w:right w:val="none" w:sz="0" w:space="0" w:color="auto"/>
          </w:divBdr>
        </w:div>
        <w:div w:id="1461652196">
          <w:marLeft w:val="0"/>
          <w:marRight w:val="0"/>
          <w:marTop w:val="0"/>
          <w:marBottom w:val="0"/>
          <w:divBdr>
            <w:top w:val="none" w:sz="0" w:space="0" w:color="auto"/>
            <w:left w:val="none" w:sz="0" w:space="0" w:color="auto"/>
            <w:bottom w:val="none" w:sz="0" w:space="0" w:color="auto"/>
            <w:right w:val="none" w:sz="0" w:space="0" w:color="auto"/>
          </w:divBdr>
        </w:div>
      </w:divsChild>
    </w:div>
    <w:div w:id="1186945434">
      <w:bodyDiv w:val="1"/>
      <w:marLeft w:val="0"/>
      <w:marRight w:val="0"/>
      <w:marTop w:val="0"/>
      <w:marBottom w:val="0"/>
      <w:divBdr>
        <w:top w:val="none" w:sz="0" w:space="0" w:color="auto"/>
        <w:left w:val="none" w:sz="0" w:space="0" w:color="auto"/>
        <w:bottom w:val="none" w:sz="0" w:space="0" w:color="auto"/>
        <w:right w:val="none" w:sz="0" w:space="0" w:color="auto"/>
      </w:divBdr>
      <w:divsChild>
        <w:div w:id="1745376466">
          <w:marLeft w:val="0"/>
          <w:marRight w:val="0"/>
          <w:marTop w:val="0"/>
          <w:marBottom w:val="0"/>
          <w:divBdr>
            <w:top w:val="none" w:sz="0" w:space="0" w:color="auto"/>
            <w:left w:val="none" w:sz="0" w:space="0" w:color="auto"/>
            <w:bottom w:val="none" w:sz="0" w:space="0" w:color="auto"/>
            <w:right w:val="none" w:sz="0" w:space="0" w:color="auto"/>
          </w:divBdr>
        </w:div>
        <w:div w:id="780992690">
          <w:marLeft w:val="0"/>
          <w:marRight w:val="0"/>
          <w:marTop w:val="0"/>
          <w:marBottom w:val="0"/>
          <w:divBdr>
            <w:top w:val="none" w:sz="0" w:space="0" w:color="auto"/>
            <w:left w:val="none" w:sz="0" w:space="0" w:color="auto"/>
            <w:bottom w:val="none" w:sz="0" w:space="0" w:color="auto"/>
            <w:right w:val="none" w:sz="0" w:space="0" w:color="auto"/>
          </w:divBdr>
        </w:div>
      </w:divsChild>
    </w:div>
    <w:div w:id="1234511315">
      <w:bodyDiv w:val="1"/>
      <w:marLeft w:val="0"/>
      <w:marRight w:val="0"/>
      <w:marTop w:val="0"/>
      <w:marBottom w:val="0"/>
      <w:divBdr>
        <w:top w:val="none" w:sz="0" w:space="0" w:color="auto"/>
        <w:left w:val="none" w:sz="0" w:space="0" w:color="auto"/>
        <w:bottom w:val="none" w:sz="0" w:space="0" w:color="auto"/>
        <w:right w:val="none" w:sz="0" w:space="0" w:color="auto"/>
      </w:divBdr>
      <w:divsChild>
        <w:div w:id="1506549444">
          <w:marLeft w:val="0"/>
          <w:marRight w:val="0"/>
          <w:marTop w:val="0"/>
          <w:marBottom w:val="0"/>
          <w:divBdr>
            <w:top w:val="none" w:sz="0" w:space="0" w:color="auto"/>
            <w:left w:val="none" w:sz="0" w:space="0" w:color="auto"/>
            <w:bottom w:val="none" w:sz="0" w:space="0" w:color="auto"/>
            <w:right w:val="none" w:sz="0" w:space="0" w:color="auto"/>
          </w:divBdr>
          <w:divsChild>
            <w:div w:id="2087149984">
              <w:marLeft w:val="0"/>
              <w:marRight w:val="0"/>
              <w:marTop w:val="0"/>
              <w:marBottom w:val="0"/>
              <w:divBdr>
                <w:top w:val="none" w:sz="0" w:space="0" w:color="auto"/>
                <w:left w:val="none" w:sz="0" w:space="0" w:color="auto"/>
                <w:bottom w:val="none" w:sz="0" w:space="0" w:color="auto"/>
                <w:right w:val="none" w:sz="0" w:space="0" w:color="auto"/>
              </w:divBdr>
              <w:divsChild>
                <w:div w:id="2117023744">
                  <w:marLeft w:val="0"/>
                  <w:marRight w:val="0"/>
                  <w:marTop w:val="0"/>
                  <w:marBottom w:val="0"/>
                  <w:divBdr>
                    <w:top w:val="none" w:sz="0" w:space="0" w:color="auto"/>
                    <w:left w:val="none" w:sz="0" w:space="0" w:color="auto"/>
                    <w:bottom w:val="none" w:sz="0" w:space="0" w:color="auto"/>
                    <w:right w:val="none" w:sz="0" w:space="0" w:color="auto"/>
                  </w:divBdr>
                  <w:divsChild>
                    <w:div w:id="165121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408931">
      <w:bodyDiv w:val="1"/>
      <w:marLeft w:val="0"/>
      <w:marRight w:val="0"/>
      <w:marTop w:val="0"/>
      <w:marBottom w:val="0"/>
      <w:divBdr>
        <w:top w:val="none" w:sz="0" w:space="0" w:color="auto"/>
        <w:left w:val="none" w:sz="0" w:space="0" w:color="auto"/>
        <w:bottom w:val="none" w:sz="0" w:space="0" w:color="auto"/>
        <w:right w:val="none" w:sz="0" w:space="0" w:color="auto"/>
      </w:divBdr>
    </w:div>
    <w:div w:id="1247492731">
      <w:bodyDiv w:val="1"/>
      <w:marLeft w:val="0"/>
      <w:marRight w:val="0"/>
      <w:marTop w:val="0"/>
      <w:marBottom w:val="0"/>
      <w:divBdr>
        <w:top w:val="none" w:sz="0" w:space="0" w:color="auto"/>
        <w:left w:val="none" w:sz="0" w:space="0" w:color="auto"/>
        <w:bottom w:val="none" w:sz="0" w:space="0" w:color="auto"/>
        <w:right w:val="none" w:sz="0" w:space="0" w:color="auto"/>
      </w:divBdr>
    </w:div>
    <w:div w:id="1263564304">
      <w:bodyDiv w:val="1"/>
      <w:marLeft w:val="0"/>
      <w:marRight w:val="0"/>
      <w:marTop w:val="0"/>
      <w:marBottom w:val="0"/>
      <w:divBdr>
        <w:top w:val="none" w:sz="0" w:space="0" w:color="auto"/>
        <w:left w:val="none" w:sz="0" w:space="0" w:color="auto"/>
        <w:bottom w:val="none" w:sz="0" w:space="0" w:color="auto"/>
        <w:right w:val="none" w:sz="0" w:space="0" w:color="auto"/>
      </w:divBdr>
      <w:divsChild>
        <w:div w:id="831917919">
          <w:marLeft w:val="0"/>
          <w:marRight w:val="0"/>
          <w:marTop w:val="0"/>
          <w:marBottom w:val="0"/>
          <w:divBdr>
            <w:top w:val="none" w:sz="0" w:space="0" w:color="auto"/>
            <w:left w:val="none" w:sz="0" w:space="0" w:color="auto"/>
            <w:bottom w:val="none" w:sz="0" w:space="0" w:color="auto"/>
            <w:right w:val="none" w:sz="0" w:space="0" w:color="auto"/>
          </w:divBdr>
          <w:divsChild>
            <w:div w:id="2072145779">
              <w:marLeft w:val="0"/>
              <w:marRight w:val="0"/>
              <w:marTop w:val="0"/>
              <w:marBottom w:val="0"/>
              <w:divBdr>
                <w:top w:val="none" w:sz="0" w:space="0" w:color="auto"/>
                <w:left w:val="none" w:sz="0" w:space="0" w:color="auto"/>
                <w:bottom w:val="none" w:sz="0" w:space="0" w:color="auto"/>
                <w:right w:val="none" w:sz="0" w:space="0" w:color="auto"/>
              </w:divBdr>
              <w:divsChild>
                <w:div w:id="945120610">
                  <w:marLeft w:val="0"/>
                  <w:marRight w:val="0"/>
                  <w:marTop w:val="0"/>
                  <w:marBottom w:val="0"/>
                  <w:divBdr>
                    <w:top w:val="none" w:sz="0" w:space="0" w:color="auto"/>
                    <w:left w:val="none" w:sz="0" w:space="0" w:color="auto"/>
                    <w:bottom w:val="none" w:sz="0" w:space="0" w:color="auto"/>
                    <w:right w:val="none" w:sz="0" w:space="0" w:color="auto"/>
                  </w:divBdr>
                  <w:divsChild>
                    <w:div w:id="76677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930530">
      <w:bodyDiv w:val="1"/>
      <w:marLeft w:val="0"/>
      <w:marRight w:val="0"/>
      <w:marTop w:val="0"/>
      <w:marBottom w:val="0"/>
      <w:divBdr>
        <w:top w:val="none" w:sz="0" w:space="0" w:color="auto"/>
        <w:left w:val="none" w:sz="0" w:space="0" w:color="auto"/>
        <w:bottom w:val="none" w:sz="0" w:space="0" w:color="auto"/>
        <w:right w:val="none" w:sz="0" w:space="0" w:color="auto"/>
      </w:divBdr>
    </w:div>
    <w:div w:id="1279023792">
      <w:bodyDiv w:val="1"/>
      <w:marLeft w:val="0"/>
      <w:marRight w:val="0"/>
      <w:marTop w:val="0"/>
      <w:marBottom w:val="0"/>
      <w:divBdr>
        <w:top w:val="none" w:sz="0" w:space="0" w:color="auto"/>
        <w:left w:val="none" w:sz="0" w:space="0" w:color="auto"/>
        <w:bottom w:val="none" w:sz="0" w:space="0" w:color="auto"/>
        <w:right w:val="none" w:sz="0" w:space="0" w:color="auto"/>
      </w:divBdr>
      <w:divsChild>
        <w:div w:id="1602031726">
          <w:marLeft w:val="0"/>
          <w:marRight w:val="0"/>
          <w:marTop w:val="0"/>
          <w:marBottom w:val="0"/>
          <w:divBdr>
            <w:top w:val="none" w:sz="0" w:space="0" w:color="auto"/>
            <w:left w:val="none" w:sz="0" w:space="0" w:color="auto"/>
            <w:bottom w:val="none" w:sz="0" w:space="0" w:color="auto"/>
            <w:right w:val="none" w:sz="0" w:space="0" w:color="auto"/>
          </w:divBdr>
          <w:divsChild>
            <w:div w:id="618535790">
              <w:marLeft w:val="0"/>
              <w:marRight w:val="0"/>
              <w:marTop w:val="0"/>
              <w:marBottom w:val="0"/>
              <w:divBdr>
                <w:top w:val="none" w:sz="0" w:space="0" w:color="auto"/>
                <w:left w:val="none" w:sz="0" w:space="0" w:color="auto"/>
                <w:bottom w:val="none" w:sz="0" w:space="0" w:color="auto"/>
                <w:right w:val="none" w:sz="0" w:space="0" w:color="auto"/>
              </w:divBdr>
              <w:divsChild>
                <w:div w:id="1062489341">
                  <w:marLeft w:val="0"/>
                  <w:marRight w:val="0"/>
                  <w:marTop w:val="0"/>
                  <w:marBottom w:val="0"/>
                  <w:divBdr>
                    <w:top w:val="none" w:sz="0" w:space="0" w:color="auto"/>
                    <w:left w:val="none" w:sz="0" w:space="0" w:color="auto"/>
                    <w:bottom w:val="none" w:sz="0" w:space="0" w:color="auto"/>
                    <w:right w:val="none" w:sz="0" w:space="0" w:color="auto"/>
                  </w:divBdr>
                  <w:divsChild>
                    <w:div w:id="198700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3223742">
      <w:bodyDiv w:val="1"/>
      <w:marLeft w:val="0"/>
      <w:marRight w:val="0"/>
      <w:marTop w:val="0"/>
      <w:marBottom w:val="0"/>
      <w:divBdr>
        <w:top w:val="none" w:sz="0" w:space="0" w:color="auto"/>
        <w:left w:val="none" w:sz="0" w:space="0" w:color="auto"/>
        <w:bottom w:val="none" w:sz="0" w:space="0" w:color="auto"/>
        <w:right w:val="none" w:sz="0" w:space="0" w:color="auto"/>
      </w:divBdr>
    </w:div>
    <w:div w:id="1290433250">
      <w:bodyDiv w:val="1"/>
      <w:marLeft w:val="0"/>
      <w:marRight w:val="0"/>
      <w:marTop w:val="0"/>
      <w:marBottom w:val="0"/>
      <w:divBdr>
        <w:top w:val="none" w:sz="0" w:space="0" w:color="auto"/>
        <w:left w:val="none" w:sz="0" w:space="0" w:color="auto"/>
        <w:bottom w:val="none" w:sz="0" w:space="0" w:color="auto"/>
        <w:right w:val="none" w:sz="0" w:space="0" w:color="auto"/>
      </w:divBdr>
    </w:div>
    <w:div w:id="1310865904">
      <w:bodyDiv w:val="1"/>
      <w:marLeft w:val="0"/>
      <w:marRight w:val="0"/>
      <w:marTop w:val="0"/>
      <w:marBottom w:val="0"/>
      <w:divBdr>
        <w:top w:val="none" w:sz="0" w:space="0" w:color="auto"/>
        <w:left w:val="none" w:sz="0" w:space="0" w:color="auto"/>
        <w:bottom w:val="none" w:sz="0" w:space="0" w:color="auto"/>
        <w:right w:val="none" w:sz="0" w:space="0" w:color="auto"/>
      </w:divBdr>
    </w:div>
    <w:div w:id="1325160888">
      <w:bodyDiv w:val="1"/>
      <w:marLeft w:val="0"/>
      <w:marRight w:val="0"/>
      <w:marTop w:val="0"/>
      <w:marBottom w:val="0"/>
      <w:divBdr>
        <w:top w:val="none" w:sz="0" w:space="0" w:color="auto"/>
        <w:left w:val="none" w:sz="0" w:space="0" w:color="auto"/>
        <w:bottom w:val="none" w:sz="0" w:space="0" w:color="auto"/>
        <w:right w:val="none" w:sz="0" w:space="0" w:color="auto"/>
      </w:divBdr>
    </w:div>
    <w:div w:id="1330522334">
      <w:bodyDiv w:val="1"/>
      <w:marLeft w:val="0"/>
      <w:marRight w:val="0"/>
      <w:marTop w:val="0"/>
      <w:marBottom w:val="0"/>
      <w:divBdr>
        <w:top w:val="none" w:sz="0" w:space="0" w:color="auto"/>
        <w:left w:val="none" w:sz="0" w:space="0" w:color="auto"/>
        <w:bottom w:val="none" w:sz="0" w:space="0" w:color="auto"/>
        <w:right w:val="none" w:sz="0" w:space="0" w:color="auto"/>
      </w:divBdr>
      <w:divsChild>
        <w:div w:id="969675252">
          <w:marLeft w:val="0"/>
          <w:marRight w:val="0"/>
          <w:marTop w:val="0"/>
          <w:marBottom w:val="0"/>
          <w:divBdr>
            <w:top w:val="none" w:sz="0" w:space="0" w:color="auto"/>
            <w:left w:val="none" w:sz="0" w:space="0" w:color="auto"/>
            <w:bottom w:val="none" w:sz="0" w:space="0" w:color="auto"/>
            <w:right w:val="none" w:sz="0" w:space="0" w:color="auto"/>
          </w:divBdr>
          <w:divsChild>
            <w:div w:id="1792550416">
              <w:marLeft w:val="0"/>
              <w:marRight w:val="0"/>
              <w:marTop w:val="0"/>
              <w:marBottom w:val="0"/>
              <w:divBdr>
                <w:top w:val="none" w:sz="0" w:space="0" w:color="auto"/>
                <w:left w:val="none" w:sz="0" w:space="0" w:color="auto"/>
                <w:bottom w:val="none" w:sz="0" w:space="0" w:color="auto"/>
                <w:right w:val="none" w:sz="0" w:space="0" w:color="auto"/>
              </w:divBdr>
              <w:divsChild>
                <w:div w:id="502820674">
                  <w:marLeft w:val="0"/>
                  <w:marRight w:val="0"/>
                  <w:marTop w:val="0"/>
                  <w:marBottom w:val="0"/>
                  <w:divBdr>
                    <w:top w:val="none" w:sz="0" w:space="0" w:color="auto"/>
                    <w:left w:val="none" w:sz="0" w:space="0" w:color="auto"/>
                    <w:bottom w:val="none" w:sz="0" w:space="0" w:color="auto"/>
                    <w:right w:val="none" w:sz="0" w:space="0" w:color="auto"/>
                  </w:divBdr>
                  <w:divsChild>
                    <w:div w:id="68347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500128">
      <w:bodyDiv w:val="1"/>
      <w:marLeft w:val="0"/>
      <w:marRight w:val="0"/>
      <w:marTop w:val="0"/>
      <w:marBottom w:val="0"/>
      <w:divBdr>
        <w:top w:val="none" w:sz="0" w:space="0" w:color="auto"/>
        <w:left w:val="none" w:sz="0" w:space="0" w:color="auto"/>
        <w:bottom w:val="none" w:sz="0" w:space="0" w:color="auto"/>
        <w:right w:val="none" w:sz="0" w:space="0" w:color="auto"/>
      </w:divBdr>
      <w:divsChild>
        <w:div w:id="1045252377">
          <w:marLeft w:val="0"/>
          <w:marRight w:val="0"/>
          <w:marTop w:val="0"/>
          <w:marBottom w:val="0"/>
          <w:divBdr>
            <w:top w:val="none" w:sz="0" w:space="0" w:color="auto"/>
            <w:left w:val="none" w:sz="0" w:space="0" w:color="auto"/>
            <w:bottom w:val="none" w:sz="0" w:space="0" w:color="auto"/>
            <w:right w:val="none" w:sz="0" w:space="0" w:color="auto"/>
          </w:divBdr>
          <w:divsChild>
            <w:div w:id="23211186">
              <w:marLeft w:val="0"/>
              <w:marRight w:val="0"/>
              <w:marTop w:val="0"/>
              <w:marBottom w:val="0"/>
              <w:divBdr>
                <w:top w:val="none" w:sz="0" w:space="0" w:color="auto"/>
                <w:left w:val="none" w:sz="0" w:space="0" w:color="auto"/>
                <w:bottom w:val="none" w:sz="0" w:space="0" w:color="auto"/>
                <w:right w:val="none" w:sz="0" w:space="0" w:color="auto"/>
              </w:divBdr>
              <w:divsChild>
                <w:div w:id="8457117">
                  <w:marLeft w:val="0"/>
                  <w:marRight w:val="0"/>
                  <w:marTop w:val="0"/>
                  <w:marBottom w:val="0"/>
                  <w:divBdr>
                    <w:top w:val="none" w:sz="0" w:space="0" w:color="auto"/>
                    <w:left w:val="none" w:sz="0" w:space="0" w:color="auto"/>
                    <w:bottom w:val="none" w:sz="0" w:space="0" w:color="auto"/>
                    <w:right w:val="none" w:sz="0" w:space="0" w:color="auto"/>
                  </w:divBdr>
                  <w:divsChild>
                    <w:div w:id="204852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378972">
      <w:bodyDiv w:val="1"/>
      <w:marLeft w:val="0"/>
      <w:marRight w:val="0"/>
      <w:marTop w:val="0"/>
      <w:marBottom w:val="0"/>
      <w:divBdr>
        <w:top w:val="none" w:sz="0" w:space="0" w:color="auto"/>
        <w:left w:val="none" w:sz="0" w:space="0" w:color="auto"/>
        <w:bottom w:val="none" w:sz="0" w:space="0" w:color="auto"/>
        <w:right w:val="none" w:sz="0" w:space="0" w:color="auto"/>
      </w:divBdr>
    </w:div>
    <w:div w:id="1437871431">
      <w:bodyDiv w:val="1"/>
      <w:marLeft w:val="0"/>
      <w:marRight w:val="0"/>
      <w:marTop w:val="0"/>
      <w:marBottom w:val="0"/>
      <w:divBdr>
        <w:top w:val="none" w:sz="0" w:space="0" w:color="auto"/>
        <w:left w:val="none" w:sz="0" w:space="0" w:color="auto"/>
        <w:bottom w:val="none" w:sz="0" w:space="0" w:color="auto"/>
        <w:right w:val="none" w:sz="0" w:space="0" w:color="auto"/>
      </w:divBdr>
    </w:div>
    <w:div w:id="1461343297">
      <w:bodyDiv w:val="1"/>
      <w:marLeft w:val="0"/>
      <w:marRight w:val="0"/>
      <w:marTop w:val="0"/>
      <w:marBottom w:val="0"/>
      <w:divBdr>
        <w:top w:val="none" w:sz="0" w:space="0" w:color="auto"/>
        <w:left w:val="none" w:sz="0" w:space="0" w:color="auto"/>
        <w:bottom w:val="none" w:sz="0" w:space="0" w:color="auto"/>
        <w:right w:val="none" w:sz="0" w:space="0" w:color="auto"/>
      </w:divBdr>
      <w:divsChild>
        <w:div w:id="58990636">
          <w:marLeft w:val="0"/>
          <w:marRight w:val="0"/>
          <w:marTop w:val="0"/>
          <w:marBottom w:val="0"/>
          <w:divBdr>
            <w:top w:val="none" w:sz="0" w:space="0" w:color="auto"/>
            <w:left w:val="none" w:sz="0" w:space="0" w:color="auto"/>
            <w:bottom w:val="none" w:sz="0" w:space="0" w:color="auto"/>
            <w:right w:val="none" w:sz="0" w:space="0" w:color="auto"/>
          </w:divBdr>
          <w:divsChild>
            <w:div w:id="1530874665">
              <w:marLeft w:val="0"/>
              <w:marRight w:val="0"/>
              <w:marTop w:val="0"/>
              <w:marBottom w:val="0"/>
              <w:divBdr>
                <w:top w:val="none" w:sz="0" w:space="0" w:color="auto"/>
                <w:left w:val="none" w:sz="0" w:space="0" w:color="auto"/>
                <w:bottom w:val="none" w:sz="0" w:space="0" w:color="auto"/>
                <w:right w:val="none" w:sz="0" w:space="0" w:color="auto"/>
              </w:divBdr>
              <w:divsChild>
                <w:div w:id="1659840337">
                  <w:marLeft w:val="0"/>
                  <w:marRight w:val="0"/>
                  <w:marTop w:val="0"/>
                  <w:marBottom w:val="0"/>
                  <w:divBdr>
                    <w:top w:val="none" w:sz="0" w:space="0" w:color="auto"/>
                    <w:left w:val="none" w:sz="0" w:space="0" w:color="auto"/>
                    <w:bottom w:val="none" w:sz="0" w:space="0" w:color="auto"/>
                    <w:right w:val="none" w:sz="0" w:space="0" w:color="auto"/>
                  </w:divBdr>
                  <w:divsChild>
                    <w:div w:id="152347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8791963">
      <w:bodyDiv w:val="1"/>
      <w:marLeft w:val="0"/>
      <w:marRight w:val="0"/>
      <w:marTop w:val="0"/>
      <w:marBottom w:val="0"/>
      <w:divBdr>
        <w:top w:val="none" w:sz="0" w:space="0" w:color="auto"/>
        <w:left w:val="none" w:sz="0" w:space="0" w:color="auto"/>
        <w:bottom w:val="none" w:sz="0" w:space="0" w:color="auto"/>
        <w:right w:val="none" w:sz="0" w:space="0" w:color="auto"/>
      </w:divBdr>
      <w:divsChild>
        <w:div w:id="1080561040">
          <w:marLeft w:val="0"/>
          <w:marRight w:val="0"/>
          <w:marTop w:val="0"/>
          <w:marBottom w:val="0"/>
          <w:divBdr>
            <w:top w:val="none" w:sz="0" w:space="0" w:color="auto"/>
            <w:left w:val="none" w:sz="0" w:space="0" w:color="auto"/>
            <w:bottom w:val="none" w:sz="0" w:space="0" w:color="auto"/>
            <w:right w:val="none" w:sz="0" w:space="0" w:color="auto"/>
          </w:divBdr>
          <w:divsChild>
            <w:div w:id="1547641897">
              <w:marLeft w:val="0"/>
              <w:marRight w:val="0"/>
              <w:marTop w:val="0"/>
              <w:marBottom w:val="0"/>
              <w:divBdr>
                <w:top w:val="none" w:sz="0" w:space="0" w:color="auto"/>
                <w:left w:val="none" w:sz="0" w:space="0" w:color="auto"/>
                <w:bottom w:val="none" w:sz="0" w:space="0" w:color="auto"/>
                <w:right w:val="none" w:sz="0" w:space="0" w:color="auto"/>
              </w:divBdr>
              <w:divsChild>
                <w:div w:id="458497532">
                  <w:marLeft w:val="0"/>
                  <w:marRight w:val="0"/>
                  <w:marTop w:val="0"/>
                  <w:marBottom w:val="0"/>
                  <w:divBdr>
                    <w:top w:val="none" w:sz="0" w:space="0" w:color="auto"/>
                    <w:left w:val="none" w:sz="0" w:space="0" w:color="auto"/>
                    <w:bottom w:val="none" w:sz="0" w:space="0" w:color="auto"/>
                    <w:right w:val="none" w:sz="0" w:space="0" w:color="auto"/>
                  </w:divBdr>
                  <w:divsChild>
                    <w:div w:id="162426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506516">
      <w:bodyDiv w:val="1"/>
      <w:marLeft w:val="0"/>
      <w:marRight w:val="0"/>
      <w:marTop w:val="0"/>
      <w:marBottom w:val="0"/>
      <w:divBdr>
        <w:top w:val="none" w:sz="0" w:space="0" w:color="auto"/>
        <w:left w:val="none" w:sz="0" w:space="0" w:color="auto"/>
        <w:bottom w:val="none" w:sz="0" w:space="0" w:color="auto"/>
        <w:right w:val="none" w:sz="0" w:space="0" w:color="auto"/>
      </w:divBdr>
    </w:div>
    <w:div w:id="1536693447">
      <w:bodyDiv w:val="1"/>
      <w:marLeft w:val="0"/>
      <w:marRight w:val="0"/>
      <w:marTop w:val="0"/>
      <w:marBottom w:val="0"/>
      <w:divBdr>
        <w:top w:val="none" w:sz="0" w:space="0" w:color="auto"/>
        <w:left w:val="none" w:sz="0" w:space="0" w:color="auto"/>
        <w:bottom w:val="none" w:sz="0" w:space="0" w:color="auto"/>
        <w:right w:val="none" w:sz="0" w:space="0" w:color="auto"/>
      </w:divBdr>
    </w:div>
    <w:div w:id="1645544838">
      <w:bodyDiv w:val="1"/>
      <w:marLeft w:val="0"/>
      <w:marRight w:val="0"/>
      <w:marTop w:val="0"/>
      <w:marBottom w:val="0"/>
      <w:divBdr>
        <w:top w:val="none" w:sz="0" w:space="0" w:color="auto"/>
        <w:left w:val="none" w:sz="0" w:space="0" w:color="auto"/>
        <w:bottom w:val="none" w:sz="0" w:space="0" w:color="auto"/>
        <w:right w:val="none" w:sz="0" w:space="0" w:color="auto"/>
      </w:divBdr>
      <w:divsChild>
        <w:div w:id="1572085291">
          <w:marLeft w:val="0"/>
          <w:marRight w:val="0"/>
          <w:marTop w:val="0"/>
          <w:marBottom w:val="0"/>
          <w:divBdr>
            <w:top w:val="none" w:sz="0" w:space="0" w:color="auto"/>
            <w:left w:val="none" w:sz="0" w:space="0" w:color="auto"/>
            <w:bottom w:val="none" w:sz="0" w:space="0" w:color="auto"/>
            <w:right w:val="none" w:sz="0" w:space="0" w:color="auto"/>
          </w:divBdr>
          <w:divsChild>
            <w:div w:id="605817739">
              <w:marLeft w:val="0"/>
              <w:marRight w:val="0"/>
              <w:marTop w:val="0"/>
              <w:marBottom w:val="0"/>
              <w:divBdr>
                <w:top w:val="none" w:sz="0" w:space="0" w:color="auto"/>
                <w:left w:val="none" w:sz="0" w:space="0" w:color="auto"/>
                <w:bottom w:val="none" w:sz="0" w:space="0" w:color="auto"/>
                <w:right w:val="none" w:sz="0" w:space="0" w:color="auto"/>
              </w:divBdr>
              <w:divsChild>
                <w:div w:id="90974812">
                  <w:marLeft w:val="0"/>
                  <w:marRight w:val="0"/>
                  <w:marTop w:val="0"/>
                  <w:marBottom w:val="0"/>
                  <w:divBdr>
                    <w:top w:val="none" w:sz="0" w:space="0" w:color="auto"/>
                    <w:left w:val="none" w:sz="0" w:space="0" w:color="auto"/>
                    <w:bottom w:val="none" w:sz="0" w:space="0" w:color="auto"/>
                    <w:right w:val="none" w:sz="0" w:space="0" w:color="auto"/>
                  </w:divBdr>
                  <w:divsChild>
                    <w:div w:id="36421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476692">
      <w:bodyDiv w:val="1"/>
      <w:marLeft w:val="0"/>
      <w:marRight w:val="0"/>
      <w:marTop w:val="0"/>
      <w:marBottom w:val="0"/>
      <w:divBdr>
        <w:top w:val="none" w:sz="0" w:space="0" w:color="auto"/>
        <w:left w:val="none" w:sz="0" w:space="0" w:color="auto"/>
        <w:bottom w:val="none" w:sz="0" w:space="0" w:color="auto"/>
        <w:right w:val="none" w:sz="0" w:space="0" w:color="auto"/>
      </w:divBdr>
    </w:div>
    <w:div w:id="1680081302">
      <w:bodyDiv w:val="1"/>
      <w:marLeft w:val="0"/>
      <w:marRight w:val="0"/>
      <w:marTop w:val="0"/>
      <w:marBottom w:val="0"/>
      <w:divBdr>
        <w:top w:val="none" w:sz="0" w:space="0" w:color="auto"/>
        <w:left w:val="none" w:sz="0" w:space="0" w:color="auto"/>
        <w:bottom w:val="none" w:sz="0" w:space="0" w:color="auto"/>
        <w:right w:val="none" w:sz="0" w:space="0" w:color="auto"/>
      </w:divBdr>
      <w:divsChild>
        <w:div w:id="685716346">
          <w:marLeft w:val="0"/>
          <w:marRight w:val="0"/>
          <w:marTop w:val="0"/>
          <w:marBottom w:val="0"/>
          <w:divBdr>
            <w:top w:val="none" w:sz="0" w:space="0" w:color="auto"/>
            <w:left w:val="none" w:sz="0" w:space="0" w:color="auto"/>
            <w:bottom w:val="none" w:sz="0" w:space="0" w:color="auto"/>
            <w:right w:val="none" w:sz="0" w:space="0" w:color="auto"/>
          </w:divBdr>
          <w:divsChild>
            <w:div w:id="1064059172">
              <w:marLeft w:val="0"/>
              <w:marRight w:val="0"/>
              <w:marTop w:val="0"/>
              <w:marBottom w:val="0"/>
              <w:divBdr>
                <w:top w:val="none" w:sz="0" w:space="0" w:color="auto"/>
                <w:left w:val="none" w:sz="0" w:space="0" w:color="auto"/>
                <w:bottom w:val="none" w:sz="0" w:space="0" w:color="auto"/>
                <w:right w:val="none" w:sz="0" w:space="0" w:color="auto"/>
              </w:divBdr>
              <w:divsChild>
                <w:div w:id="494145709">
                  <w:marLeft w:val="0"/>
                  <w:marRight w:val="0"/>
                  <w:marTop w:val="0"/>
                  <w:marBottom w:val="0"/>
                  <w:divBdr>
                    <w:top w:val="none" w:sz="0" w:space="0" w:color="auto"/>
                    <w:left w:val="none" w:sz="0" w:space="0" w:color="auto"/>
                    <w:bottom w:val="none" w:sz="0" w:space="0" w:color="auto"/>
                    <w:right w:val="none" w:sz="0" w:space="0" w:color="auto"/>
                  </w:divBdr>
                  <w:divsChild>
                    <w:div w:id="22800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981396">
      <w:bodyDiv w:val="1"/>
      <w:marLeft w:val="0"/>
      <w:marRight w:val="0"/>
      <w:marTop w:val="0"/>
      <w:marBottom w:val="0"/>
      <w:divBdr>
        <w:top w:val="none" w:sz="0" w:space="0" w:color="auto"/>
        <w:left w:val="none" w:sz="0" w:space="0" w:color="auto"/>
        <w:bottom w:val="none" w:sz="0" w:space="0" w:color="auto"/>
        <w:right w:val="none" w:sz="0" w:space="0" w:color="auto"/>
      </w:divBdr>
      <w:divsChild>
        <w:div w:id="582565938">
          <w:marLeft w:val="0"/>
          <w:marRight w:val="0"/>
          <w:marTop w:val="0"/>
          <w:marBottom w:val="0"/>
          <w:divBdr>
            <w:top w:val="none" w:sz="0" w:space="0" w:color="auto"/>
            <w:left w:val="none" w:sz="0" w:space="0" w:color="auto"/>
            <w:bottom w:val="none" w:sz="0" w:space="0" w:color="auto"/>
            <w:right w:val="none" w:sz="0" w:space="0" w:color="auto"/>
          </w:divBdr>
          <w:divsChild>
            <w:div w:id="1869295130">
              <w:marLeft w:val="0"/>
              <w:marRight w:val="0"/>
              <w:marTop w:val="0"/>
              <w:marBottom w:val="0"/>
              <w:divBdr>
                <w:top w:val="none" w:sz="0" w:space="0" w:color="auto"/>
                <w:left w:val="none" w:sz="0" w:space="0" w:color="auto"/>
                <w:bottom w:val="none" w:sz="0" w:space="0" w:color="auto"/>
                <w:right w:val="none" w:sz="0" w:space="0" w:color="auto"/>
              </w:divBdr>
              <w:divsChild>
                <w:div w:id="1230186725">
                  <w:marLeft w:val="0"/>
                  <w:marRight w:val="0"/>
                  <w:marTop w:val="0"/>
                  <w:marBottom w:val="0"/>
                  <w:divBdr>
                    <w:top w:val="none" w:sz="0" w:space="0" w:color="auto"/>
                    <w:left w:val="none" w:sz="0" w:space="0" w:color="auto"/>
                    <w:bottom w:val="none" w:sz="0" w:space="0" w:color="auto"/>
                    <w:right w:val="none" w:sz="0" w:space="0" w:color="auto"/>
                  </w:divBdr>
                  <w:divsChild>
                    <w:div w:id="196234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473340">
      <w:bodyDiv w:val="1"/>
      <w:marLeft w:val="0"/>
      <w:marRight w:val="0"/>
      <w:marTop w:val="0"/>
      <w:marBottom w:val="0"/>
      <w:divBdr>
        <w:top w:val="none" w:sz="0" w:space="0" w:color="auto"/>
        <w:left w:val="none" w:sz="0" w:space="0" w:color="auto"/>
        <w:bottom w:val="none" w:sz="0" w:space="0" w:color="auto"/>
        <w:right w:val="none" w:sz="0" w:space="0" w:color="auto"/>
      </w:divBdr>
      <w:divsChild>
        <w:div w:id="491021625">
          <w:marLeft w:val="0"/>
          <w:marRight w:val="0"/>
          <w:marTop w:val="0"/>
          <w:marBottom w:val="0"/>
          <w:divBdr>
            <w:top w:val="none" w:sz="0" w:space="0" w:color="auto"/>
            <w:left w:val="none" w:sz="0" w:space="0" w:color="auto"/>
            <w:bottom w:val="none" w:sz="0" w:space="0" w:color="auto"/>
            <w:right w:val="none" w:sz="0" w:space="0" w:color="auto"/>
          </w:divBdr>
          <w:divsChild>
            <w:div w:id="1861702753">
              <w:marLeft w:val="0"/>
              <w:marRight w:val="0"/>
              <w:marTop w:val="0"/>
              <w:marBottom w:val="0"/>
              <w:divBdr>
                <w:top w:val="none" w:sz="0" w:space="0" w:color="auto"/>
                <w:left w:val="none" w:sz="0" w:space="0" w:color="auto"/>
                <w:bottom w:val="none" w:sz="0" w:space="0" w:color="auto"/>
                <w:right w:val="none" w:sz="0" w:space="0" w:color="auto"/>
              </w:divBdr>
              <w:divsChild>
                <w:div w:id="1493257968">
                  <w:marLeft w:val="0"/>
                  <w:marRight w:val="0"/>
                  <w:marTop w:val="0"/>
                  <w:marBottom w:val="0"/>
                  <w:divBdr>
                    <w:top w:val="none" w:sz="0" w:space="0" w:color="auto"/>
                    <w:left w:val="none" w:sz="0" w:space="0" w:color="auto"/>
                    <w:bottom w:val="none" w:sz="0" w:space="0" w:color="auto"/>
                    <w:right w:val="none" w:sz="0" w:space="0" w:color="auto"/>
                  </w:divBdr>
                  <w:divsChild>
                    <w:div w:id="205242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990574">
      <w:bodyDiv w:val="1"/>
      <w:marLeft w:val="0"/>
      <w:marRight w:val="0"/>
      <w:marTop w:val="0"/>
      <w:marBottom w:val="0"/>
      <w:divBdr>
        <w:top w:val="none" w:sz="0" w:space="0" w:color="auto"/>
        <w:left w:val="none" w:sz="0" w:space="0" w:color="auto"/>
        <w:bottom w:val="none" w:sz="0" w:space="0" w:color="auto"/>
        <w:right w:val="none" w:sz="0" w:space="0" w:color="auto"/>
      </w:divBdr>
    </w:div>
    <w:div w:id="1779254355">
      <w:bodyDiv w:val="1"/>
      <w:marLeft w:val="0"/>
      <w:marRight w:val="0"/>
      <w:marTop w:val="0"/>
      <w:marBottom w:val="0"/>
      <w:divBdr>
        <w:top w:val="none" w:sz="0" w:space="0" w:color="auto"/>
        <w:left w:val="none" w:sz="0" w:space="0" w:color="auto"/>
        <w:bottom w:val="none" w:sz="0" w:space="0" w:color="auto"/>
        <w:right w:val="none" w:sz="0" w:space="0" w:color="auto"/>
      </w:divBdr>
      <w:divsChild>
        <w:div w:id="1324166083">
          <w:marLeft w:val="0"/>
          <w:marRight w:val="0"/>
          <w:marTop w:val="0"/>
          <w:marBottom w:val="0"/>
          <w:divBdr>
            <w:top w:val="none" w:sz="0" w:space="0" w:color="auto"/>
            <w:left w:val="none" w:sz="0" w:space="0" w:color="auto"/>
            <w:bottom w:val="none" w:sz="0" w:space="0" w:color="auto"/>
            <w:right w:val="none" w:sz="0" w:space="0" w:color="auto"/>
          </w:divBdr>
          <w:divsChild>
            <w:div w:id="1354068800">
              <w:marLeft w:val="0"/>
              <w:marRight w:val="0"/>
              <w:marTop w:val="0"/>
              <w:marBottom w:val="0"/>
              <w:divBdr>
                <w:top w:val="none" w:sz="0" w:space="0" w:color="auto"/>
                <w:left w:val="none" w:sz="0" w:space="0" w:color="auto"/>
                <w:bottom w:val="none" w:sz="0" w:space="0" w:color="auto"/>
                <w:right w:val="none" w:sz="0" w:space="0" w:color="auto"/>
              </w:divBdr>
              <w:divsChild>
                <w:div w:id="963775474">
                  <w:marLeft w:val="0"/>
                  <w:marRight w:val="0"/>
                  <w:marTop w:val="0"/>
                  <w:marBottom w:val="0"/>
                  <w:divBdr>
                    <w:top w:val="none" w:sz="0" w:space="0" w:color="auto"/>
                    <w:left w:val="none" w:sz="0" w:space="0" w:color="auto"/>
                    <w:bottom w:val="none" w:sz="0" w:space="0" w:color="auto"/>
                    <w:right w:val="none" w:sz="0" w:space="0" w:color="auto"/>
                  </w:divBdr>
                </w:div>
              </w:divsChild>
            </w:div>
            <w:div w:id="1195463239">
              <w:marLeft w:val="0"/>
              <w:marRight w:val="0"/>
              <w:marTop w:val="0"/>
              <w:marBottom w:val="0"/>
              <w:divBdr>
                <w:top w:val="none" w:sz="0" w:space="0" w:color="auto"/>
                <w:left w:val="none" w:sz="0" w:space="0" w:color="auto"/>
                <w:bottom w:val="none" w:sz="0" w:space="0" w:color="auto"/>
                <w:right w:val="none" w:sz="0" w:space="0" w:color="auto"/>
              </w:divBdr>
              <w:divsChild>
                <w:div w:id="255217104">
                  <w:marLeft w:val="0"/>
                  <w:marRight w:val="0"/>
                  <w:marTop w:val="0"/>
                  <w:marBottom w:val="0"/>
                  <w:divBdr>
                    <w:top w:val="none" w:sz="0" w:space="0" w:color="auto"/>
                    <w:left w:val="none" w:sz="0" w:space="0" w:color="auto"/>
                    <w:bottom w:val="none" w:sz="0" w:space="0" w:color="auto"/>
                    <w:right w:val="none" w:sz="0" w:space="0" w:color="auto"/>
                  </w:divBdr>
                </w:div>
              </w:divsChild>
            </w:div>
            <w:div w:id="1330597680">
              <w:marLeft w:val="0"/>
              <w:marRight w:val="0"/>
              <w:marTop w:val="0"/>
              <w:marBottom w:val="0"/>
              <w:divBdr>
                <w:top w:val="none" w:sz="0" w:space="0" w:color="auto"/>
                <w:left w:val="none" w:sz="0" w:space="0" w:color="auto"/>
                <w:bottom w:val="none" w:sz="0" w:space="0" w:color="auto"/>
                <w:right w:val="none" w:sz="0" w:space="0" w:color="auto"/>
              </w:divBdr>
              <w:divsChild>
                <w:div w:id="208734357">
                  <w:marLeft w:val="0"/>
                  <w:marRight w:val="0"/>
                  <w:marTop w:val="0"/>
                  <w:marBottom w:val="0"/>
                  <w:divBdr>
                    <w:top w:val="none" w:sz="0" w:space="0" w:color="auto"/>
                    <w:left w:val="none" w:sz="0" w:space="0" w:color="auto"/>
                    <w:bottom w:val="none" w:sz="0" w:space="0" w:color="auto"/>
                    <w:right w:val="none" w:sz="0" w:space="0" w:color="auto"/>
                  </w:divBdr>
                </w:div>
              </w:divsChild>
            </w:div>
            <w:div w:id="823618494">
              <w:marLeft w:val="0"/>
              <w:marRight w:val="0"/>
              <w:marTop w:val="0"/>
              <w:marBottom w:val="0"/>
              <w:divBdr>
                <w:top w:val="none" w:sz="0" w:space="0" w:color="auto"/>
                <w:left w:val="none" w:sz="0" w:space="0" w:color="auto"/>
                <w:bottom w:val="none" w:sz="0" w:space="0" w:color="auto"/>
                <w:right w:val="none" w:sz="0" w:space="0" w:color="auto"/>
              </w:divBdr>
              <w:divsChild>
                <w:div w:id="1951662528">
                  <w:marLeft w:val="0"/>
                  <w:marRight w:val="0"/>
                  <w:marTop w:val="0"/>
                  <w:marBottom w:val="0"/>
                  <w:divBdr>
                    <w:top w:val="none" w:sz="0" w:space="0" w:color="auto"/>
                    <w:left w:val="none" w:sz="0" w:space="0" w:color="auto"/>
                    <w:bottom w:val="none" w:sz="0" w:space="0" w:color="auto"/>
                    <w:right w:val="none" w:sz="0" w:space="0" w:color="auto"/>
                  </w:divBdr>
                </w:div>
              </w:divsChild>
            </w:div>
            <w:div w:id="952709657">
              <w:marLeft w:val="0"/>
              <w:marRight w:val="0"/>
              <w:marTop w:val="0"/>
              <w:marBottom w:val="0"/>
              <w:divBdr>
                <w:top w:val="none" w:sz="0" w:space="0" w:color="auto"/>
                <w:left w:val="none" w:sz="0" w:space="0" w:color="auto"/>
                <w:bottom w:val="none" w:sz="0" w:space="0" w:color="auto"/>
                <w:right w:val="none" w:sz="0" w:space="0" w:color="auto"/>
              </w:divBdr>
              <w:divsChild>
                <w:div w:id="247542979">
                  <w:marLeft w:val="0"/>
                  <w:marRight w:val="0"/>
                  <w:marTop w:val="0"/>
                  <w:marBottom w:val="0"/>
                  <w:divBdr>
                    <w:top w:val="none" w:sz="0" w:space="0" w:color="auto"/>
                    <w:left w:val="none" w:sz="0" w:space="0" w:color="auto"/>
                    <w:bottom w:val="none" w:sz="0" w:space="0" w:color="auto"/>
                    <w:right w:val="none" w:sz="0" w:space="0" w:color="auto"/>
                  </w:divBdr>
                </w:div>
              </w:divsChild>
            </w:div>
            <w:div w:id="41485840">
              <w:marLeft w:val="0"/>
              <w:marRight w:val="0"/>
              <w:marTop w:val="0"/>
              <w:marBottom w:val="0"/>
              <w:divBdr>
                <w:top w:val="none" w:sz="0" w:space="0" w:color="auto"/>
                <w:left w:val="none" w:sz="0" w:space="0" w:color="auto"/>
                <w:bottom w:val="none" w:sz="0" w:space="0" w:color="auto"/>
                <w:right w:val="none" w:sz="0" w:space="0" w:color="auto"/>
              </w:divBdr>
              <w:divsChild>
                <w:div w:id="1923298311">
                  <w:marLeft w:val="0"/>
                  <w:marRight w:val="0"/>
                  <w:marTop w:val="0"/>
                  <w:marBottom w:val="0"/>
                  <w:divBdr>
                    <w:top w:val="none" w:sz="0" w:space="0" w:color="auto"/>
                    <w:left w:val="none" w:sz="0" w:space="0" w:color="auto"/>
                    <w:bottom w:val="none" w:sz="0" w:space="0" w:color="auto"/>
                    <w:right w:val="none" w:sz="0" w:space="0" w:color="auto"/>
                  </w:divBdr>
                </w:div>
              </w:divsChild>
            </w:div>
            <w:div w:id="1036269458">
              <w:marLeft w:val="0"/>
              <w:marRight w:val="0"/>
              <w:marTop w:val="0"/>
              <w:marBottom w:val="0"/>
              <w:divBdr>
                <w:top w:val="none" w:sz="0" w:space="0" w:color="auto"/>
                <w:left w:val="none" w:sz="0" w:space="0" w:color="auto"/>
                <w:bottom w:val="none" w:sz="0" w:space="0" w:color="auto"/>
                <w:right w:val="none" w:sz="0" w:space="0" w:color="auto"/>
              </w:divBdr>
              <w:divsChild>
                <w:div w:id="22931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774474">
      <w:bodyDiv w:val="1"/>
      <w:marLeft w:val="0"/>
      <w:marRight w:val="0"/>
      <w:marTop w:val="0"/>
      <w:marBottom w:val="0"/>
      <w:divBdr>
        <w:top w:val="none" w:sz="0" w:space="0" w:color="auto"/>
        <w:left w:val="none" w:sz="0" w:space="0" w:color="auto"/>
        <w:bottom w:val="none" w:sz="0" w:space="0" w:color="auto"/>
        <w:right w:val="none" w:sz="0" w:space="0" w:color="auto"/>
      </w:divBdr>
      <w:divsChild>
        <w:div w:id="44136506">
          <w:marLeft w:val="0"/>
          <w:marRight w:val="0"/>
          <w:marTop w:val="0"/>
          <w:marBottom w:val="0"/>
          <w:divBdr>
            <w:top w:val="none" w:sz="0" w:space="0" w:color="auto"/>
            <w:left w:val="none" w:sz="0" w:space="0" w:color="auto"/>
            <w:bottom w:val="none" w:sz="0" w:space="0" w:color="auto"/>
            <w:right w:val="none" w:sz="0" w:space="0" w:color="auto"/>
          </w:divBdr>
          <w:divsChild>
            <w:div w:id="2071146903">
              <w:marLeft w:val="0"/>
              <w:marRight w:val="0"/>
              <w:marTop w:val="0"/>
              <w:marBottom w:val="0"/>
              <w:divBdr>
                <w:top w:val="none" w:sz="0" w:space="0" w:color="auto"/>
                <w:left w:val="none" w:sz="0" w:space="0" w:color="auto"/>
                <w:bottom w:val="none" w:sz="0" w:space="0" w:color="auto"/>
                <w:right w:val="none" w:sz="0" w:space="0" w:color="auto"/>
              </w:divBdr>
              <w:divsChild>
                <w:div w:id="986394534">
                  <w:marLeft w:val="0"/>
                  <w:marRight w:val="0"/>
                  <w:marTop w:val="0"/>
                  <w:marBottom w:val="0"/>
                  <w:divBdr>
                    <w:top w:val="none" w:sz="0" w:space="0" w:color="auto"/>
                    <w:left w:val="none" w:sz="0" w:space="0" w:color="auto"/>
                    <w:bottom w:val="none" w:sz="0" w:space="0" w:color="auto"/>
                    <w:right w:val="none" w:sz="0" w:space="0" w:color="auto"/>
                  </w:divBdr>
                  <w:divsChild>
                    <w:div w:id="49461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815399">
      <w:bodyDiv w:val="1"/>
      <w:marLeft w:val="0"/>
      <w:marRight w:val="0"/>
      <w:marTop w:val="0"/>
      <w:marBottom w:val="0"/>
      <w:divBdr>
        <w:top w:val="none" w:sz="0" w:space="0" w:color="auto"/>
        <w:left w:val="none" w:sz="0" w:space="0" w:color="auto"/>
        <w:bottom w:val="none" w:sz="0" w:space="0" w:color="auto"/>
        <w:right w:val="none" w:sz="0" w:space="0" w:color="auto"/>
      </w:divBdr>
    </w:div>
    <w:div w:id="1818372273">
      <w:bodyDiv w:val="1"/>
      <w:marLeft w:val="0"/>
      <w:marRight w:val="0"/>
      <w:marTop w:val="0"/>
      <w:marBottom w:val="0"/>
      <w:divBdr>
        <w:top w:val="none" w:sz="0" w:space="0" w:color="auto"/>
        <w:left w:val="none" w:sz="0" w:space="0" w:color="auto"/>
        <w:bottom w:val="none" w:sz="0" w:space="0" w:color="auto"/>
        <w:right w:val="none" w:sz="0" w:space="0" w:color="auto"/>
      </w:divBdr>
      <w:divsChild>
        <w:div w:id="830830149">
          <w:marLeft w:val="0"/>
          <w:marRight w:val="0"/>
          <w:marTop w:val="0"/>
          <w:marBottom w:val="0"/>
          <w:divBdr>
            <w:top w:val="none" w:sz="0" w:space="0" w:color="auto"/>
            <w:left w:val="none" w:sz="0" w:space="0" w:color="auto"/>
            <w:bottom w:val="none" w:sz="0" w:space="0" w:color="auto"/>
            <w:right w:val="none" w:sz="0" w:space="0" w:color="auto"/>
          </w:divBdr>
          <w:divsChild>
            <w:div w:id="1274165330">
              <w:marLeft w:val="0"/>
              <w:marRight w:val="0"/>
              <w:marTop w:val="0"/>
              <w:marBottom w:val="0"/>
              <w:divBdr>
                <w:top w:val="none" w:sz="0" w:space="0" w:color="auto"/>
                <w:left w:val="none" w:sz="0" w:space="0" w:color="auto"/>
                <w:bottom w:val="none" w:sz="0" w:space="0" w:color="auto"/>
                <w:right w:val="none" w:sz="0" w:space="0" w:color="auto"/>
              </w:divBdr>
              <w:divsChild>
                <w:div w:id="807472714">
                  <w:marLeft w:val="0"/>
                  <w:marRight w:val="0"/>
                  <w:marTop w:val="0"/>
                  <w:marBottom w:val="0"/>
                  <w:divBdr>
                    <w:top w:val="none" w:sz="0" w:space="0" w:color="auto"/>
                    <w:left w:val="none" w:sz="0" w:space="0" w:color="auto"/>
                    <w:bottom w:val="none" w:sz="0" w:space="0" w:color="auto"/>
                    <w:right w:val="none" w:sz="0" w:space="0" w:color="auto"/>
                  </w:divBdr>
                  <w:divsChild>
                    <w:div w:id="56210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640727">
      <w:bodyDiv w:val="1"/>
      <w:marLeft w:val="0"/>
      <w:marRight w:val="0"/>
      <w:marTop w:val="0"/>
      <w:marBottom w:val="0"/>
      <w:divBdr>
        <w:top w:val="none" w:sz="0" w:space="0" w:color="auto"/>
        <w:left w:val="none" w:sz="0" w:space="0" w:color="auto"/>
        <w:bottom w:val="none" w:sz="0" w:space="0" w:color="auto"/>
        <w:right w:val="none" w:sz="0" w:space="0" w:color="auto"/>
      </w:divBdr>
    </w:div>
    <w:div w:id="1900439728">
      <w:bodyDiv w:val="1"/>
      <w:marLeft w:val="0"/>
      <w:marRight w:val="0"/>
      <w:marTop w:val="0"/>
      <w:marBottom w:val="0"/>
      <w:divBdr>
        <w:top w:val="none" w:sz="0" w:space="0" w:color="auto"/>
        <w:left w:val="none" w:sz="0" w:space="0" w:color="auto"/>
        <w:bottom w:val="none" w:sz="0" w:space="0" w:color="auto"/>
        <w:right w:val="none" w:sz="0" w:space="0" w:color="auto"/>
      </w:divBdr>
      <w:divsChild>
        <w:div w:id="1671058194">
          <w:marLeft w:val="0"/>
          <w:marRight w:val="0"/>
          <w:marTop w:val="0"/>
          <w:marBottom w:val="0"/>
          <w:divBdr>
            <w:top w:val="none" w:sz="0" w:space="0" w:color="auto"/>
            <w:left w:val="none" w:sz="0" w:space="0" w:color="auto"/>
            <w:bottom w:val="none" w:sz="0" w:space="0" w:color="auto"/>
            <w:right w:val="none" w:sz="0" w:space="0" w:color="auto"/>
          </w:divBdr>
          <w:divsChild>
            <w:div w:id="1450513779">
              <w:marLeft w:val="0"/>
              <w:marRight w:val="0"/>
              <w:marTop w:val="0"/>
              <w:marBottom w:val="0"/>
              <w:divBdr>
                <w:top w:val="none" w:sz="0" w:space="0" w:color="auto"/>
                <w:left w:val="none" w:sz="0" w:space="0" w:color="auto"/>
                <w:bottom w:val="none" w:sz="0" w:space="0" w:color="auto"/>
                <w:right w:val="none" w:sz="0" w:space="0" w:color="auto"/>
              </w:divBdr>
              <w:divsChild>
                <w:div w:id="1407414622">
                  <w:marLeft w:val="0"/>
                  <w:marRight w:val="0"/>
                  <w:marTop w:val="0"/>
                  <w:marBottom w:val="0"/>
                  <w:divBdr>
                    <w:top w:val="none" w:sz="0" w:space="0" w:color="auto"/>
                    <w:left w:val="none" w:sz="0" w:space="0" w:color="auto"/>
                    <w:bottom w:val="none" w:sz="0" w:space="0" w:color="auto"/>
                    <w:right w:val="none" w:sz="0" w:space="0" w:color="auto"/>
                  </w:divBdr>
                  <w:divsChild>
                    <w:div w:id="33446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0738240">
      <w:bodyDiv w:val="1"/>
      <w:marLeft w:val="0"/>
      <w:marRight w:val="0"/>
      <w:marTop w:val="0"/>
      <w:marBottom w:val="0"/>
      <w:divBdr>
        <w:top w:val="none" w:sz="0" w:space="0" w:color="auto"/>
        <w:left w:val="none" w:sz="0" w:space="0" w:color="auto"/>
        <w:bottom w:val="none" w:sz="0" w:space="0" w:color="auto"/>
        <w:right w:val="none" w:sz="0" w:space="0" w:color="auto"/>
      </w:divBdr>
      <w:divsChild>
        <w:div w:id="1473215360">
          <w:marLeft w:val="0"/>
          <w:marRight w:val="0"/>
          <w:marTop w:val="0"/>
          <w:marBottom w:val="0"/>
          <w:divBdr>
            <w:top w:val="none" w:sz="0" w:space="0" w:color="auto"/>
            <w:left w:val="none" w:sz="0" w:space="0" w:color="auto"/>
            <w:bottom w:val="none" w:sz="0" w:space="0" w:color="auto"/>
            <w:right w:val="none" w:sz="0" w:space="0" w:color="auto"/>
          </w:divBdr>
          <w:divsChild>
            <w:div w:id="1892568669">
              <w:marLeft w:val="0"/>
              <w:marRight w:val="0"/>
              <w:marTop w:val="0"/>
              <w:marBottom w:val="0"/>
              <w:divBdr>
                <w:top w:val="none" w:sz="0" w:space="0" w:color="auto"/>
                <w:left w:val="none" w:sz="0" w:space="0" w:color="auto"/>
                <w:bottom w:val="none" w:sz="0" w:space="0" w:color="auto"/>
                <w:right w:val="none" w:sz="0" w:space="0" w:color="auto"/>
              </w:divBdr>
              <w:divsChild>
                <w:div w:id="1097286647">
                  <w:marLeft w:val="0"/>
                  <w:marRight w:val="0"/>
                  <w:marTop w:val="0"/>
                  <w:marBottom w:val="0"/>
                  <w:divBdr>
                    <w:top w:val="none" w:sz="0" w:space="0" w:color="auto"/>
                    <w:left w:val="none" w:sz="0" w:space="0" w:color="auto"/>
                    <w:bottom w:val="none" w:sz="0" w:space="0" w:color="auto"/>
                    <w:right w:val="none" w:sz="0" w:space="0" w:color="auto"/>
                  </w:divBdr>
                  <w:divsChild>
                    <w:div w:id="150859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1545681">
      <w:bodyDiv w:val="1"/>
      <w:marLeft w:val="0"/>
      <w:marRight w:val="0"/>
      <w:marTop w:val="0"/>
      <w:marBottom w:val="0"/>
      <w:divBdr>
        <w:top w:val="none" w:sz="0" w:space="0" w:color="auto"/>
        <w:left w:val="none" w:sz="0" w:space="0" w:color="auto"/>
        <w:bottom w:val="none" w:sz="0" w:space="0" w:color="auto"/>
        <w:right w:val="none" w:sz="0" w:space="0" w:color="auto"/>
      </w:divBdr>
      <w:divsChild>
        <w:div w:id="1050958149">
          <w:marLeft w:val="0"/>
          <w:marRight w:val="0"/>
          <w:marTop w:val="0"/>
          <w:marBottom w:val="0"/>
          <w:divBdr>
            <w:top w:val="none" w:sz="0" w:space="0" w:color="auto"/>
            <w:left w:val="none" w:sz="0" w:space="0" w:color="auto"/>
            <w:bottom w:val="none" w:sz="0" w:space="0" w:color="auto"/>
            <w:right w:val="none" w:sz="0" w:space="0" w:color="auto"/>
          </w:divBdr>
        </w:div>
        <w:div w:id="1137990282">
          <w:marLeft w:val="0"/>
          <w:marRight w:val="0"/>
          <w:marTop w:val="0"/>
          <w:marBottom w:val="0"/>
          <w:divBdr>
            <w:top w:val="none" w:sz="0" w:space="0" w:color="auto"/>
            <w:left w:val="none" w:sz="0" w:space="0" w:color="auto"/>
            <w:bottom w:val="none" w:sz="0" w:space="0" w:color="auto"/>
            <w:right w:val="none" w:sz="0" w:space="0" w:color="auto"/>
          </w:divBdr>
        </w:div>
      </w:divsChild>
    </w:div>
    <w:div w:id="2098360514">
      <w:bodyDiv w:val="1"/>
      <w:marLeft w:val="0"/>
      <w:marRight w:val="0"/>
      <w:marTop w:val="0"/>
      <w:marBottom w:val="0"/>
      <w:divBdr>
        <w:top w:val="none" w:sz="0" w:space="0" w:color="auto"/>
        <w:left w:val="none" w:sz="0" w:space="0" w:color="auto"/>
        <w:bottom w:val="none" w:sz="0" w:space="0" w:color="auto"/>
        <w:right w:val="none" w:sz="0" w:space="0" w:color="auto"/>
      </w:divBdr>
      <w:divsChild>
        <w:div w:id="42874190">
          <w:marLeft w:val="0"/>
          <w:marRight w:val="0"/>
          <w:marTop w:val="0"/>
          <w:marBottom w:val="0"/>
          <w:divBdr>
            <w:top w:val="none" w:sz="0" w:space="0" w:color="auto"/>
            <w:left w:val="none" w:sz="0" w:space="0" w:color="auto"/>
            <w:bottom w:val="none" w:sz="0" w:space="0" w:color="auto"/>
            <w:right w:val="none" w:sz="0" w:space="0" w:color="auto"/>
          </w:divBdr>
          <w:divsChild>
            <w:div w:id="164829719">
              <w:marLeft w:val="0"/>
              <w:marRight w:val="0"/>
              <w:marTop w:val="0"/>
              <w:marBottom w:val="0"/>
              <w:divBdr>
                <w:top w:val="none" w:sz="0" w:space="0" w:color="auto"/>
                <w:left w:val="none" w:sz="0" w:space="0" w:color="auto"/>
                <w:bottom w:val="none" w:sz="0" w:space="0" w:color="auto"/>
                <w:right w:val="none" w:sz="0" w:space="0" w:color="auto"/>
              </w:divBdr>
              <w:divsChild>
                <w:div w:id="2111973853">
                  <w:marLeft w:val="0"/>
                  <w:marRight w:val="0"/>
                  <w:marTop w:val="0"/>
                  <w:marBottom w:val="0"/>
                  <w:divBdr>
                    <w:top w:val="none" w:sz="0" w:space="0" w:color="auto"/>
                    <w:left w:val="none" w:sz="0" w:space="0" w:color="auto"/>
                    <w:bottom w:val="none" w:sz="0" w:space="0" w:color="auto"/>
                    <w:right w:val="none" w:sz="0" w:space="0" w:color="auto"/>
                  </w:divBdr>
                  <w:divsChild>
                    <w:div w:id="51048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217614">
      <w:bodyDiv w:val="1"/>
      <w:marLeft w:val="0"/>
      <w:marRight w:val="0"/>
      <w:marTop w:val="0"/>
      <w:marBottom w:val="0"/>
      <w:divBdr>
        <w:top w:val="none" w:sz="0" w:space="0" w:color="auto"/>
        <w:left w:val="none" w:sz="0" w:space="0" w:color="auto"/>
        <w:bottom w:val="none" w:sz="0" w:space="0" w:color="auto"/>
        <w:right w:val="none" w:sz="0" w:space="0" w:color="auto"/>
      </w:divBdr>
    </w:div>
    <w:div w:id="2147310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C39F77-7B1C-486D-AEA4-45FB83B3D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17518</Words>
  <Characters>99854</Characters>
  <Application>Microsoft Office Word</Application>
  <DocSecurity>4</DocSecurity>
  <Lines>832</Lines>
  <Paragraphs>234</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117138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Pibarot</dc:creator>
  <cp:keywords/>
  <dc:description/>
  <cp:lastModifiedBy>Constance Roberts-Croot (RIN - Staff)</cp:lastModifiedBy>
  <cp:revision>2</cp:revision>
  <dcterms:created xsi:type="dcterms:W3CDTF">2024-01-22T15:47:00Z</dcterms:created>
  <dcterms:modified xsi:type="dcterms:W3CDTF">2024-01-22T15:47:00Z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zotero-version="6.0.21"&gt;&lt;session id="ygIogKAB"/&gt;&lt;style id="http://www.zotero.org/styles/vancouver" locale="en-US" hasBibliography="1" bibliographyStyleHasBeenSet="1"/&gt;&lt;prefs&gt;&lt;pref name="fieldType" value="Field"/&gt;&lt;pref name="automati</vt:lpwstr>
  </property>
  <property fmtid="{D5CDD505-2E9C-101B-9397-08002B2CF9AE}" pid="3" name="ZOTERO_PREF_2">
    <vt:lpwstr>cJournalAbbreviations" value="true"/&gt;&lt;/prefs&gt;&lt;/data&gt;</vt:lpwstr>
  </property>
</Properties>
</file>