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B555" w14:textId="72C9E90F" w:rsidR="007D5889" w:rsidRDefault="007D5889" w:rsidP="00721810">
      <w:pPr>
        <w:pStyle w:val="Heading1"/>
        <w:spacing w:after="240"/>
        <w:rPr>
          <w:rFonts w:ascii="Times New Roman" w:eastAsia="Times New Roman" w:hAnsi="Times New Roman" w:cs="Times New Roman"/>
        </w:rPr>
      </w:pPr>
      <w:r>
        <w:rPr>
          <w:rFonts w:ascii="Times New Roman" w:eastAsia="Times New Roman" w:hAnsi="Times New Roman" w:cs="Times New Roman"/>
        </w:rPr>
        <w:t xml:space="preserve">Civil liability under sustainability due diligence legislation: A quiet revolution?  </w:t>
      </w:r>
    </w:p>
    <w:p w14:paraId="46FEDD03" w14:textId="0CF74D6C" w:rsidR="00721810" w:rsidRPr="00721810" w:rsidRDefault="00721810" w:rsidP="00721810">
      <w:pPr>
        <w:rPr>
          <w:rFonts w:ascii="Times New Roman" w:eastAsia="Times New Roman" w:hAnsi="Times New Roman" w:cs="Times New Roman"/>
          <w:color w:val="2F5496" w:themeColor="accent1" w:themeShade="BF"/>
          <w:sz w:val="32"/>
          <w:szCs w:val="32"/>
        </w:rPr>
      </w:pPr>
      <w:r w:rsidRPr="00721810">
        <w:rPr>
          <w:rFonts w:ascii="Times New Roman" w:eastAsia="Times New Roman" w:hAnsi="Times New Roman" w:cs="Times New Roman"/>
          <w:color w:val="2F5496" w:themeColor="accent1" w:themeShade="BF"/>
          <w:sz w:val="32"/>
          <w:szCs w:val="32"/>
        </w:rPr>
        <w:t>Youseph Farah, Avidan Kent and Valentine Kunuji</w:t>
      </w:r>
      <w:r>
        <w:rPr>
          <w:rFonts w:ascii="Times New Roman" w:eastAsia="Times New Roman" w:hAnsi="Times New Roman" w:cs="Times New Roman"/>
          <w:color w:val="2F5496" w:themeColor="accent1" w:themeShade="BF"/>
          <w:sz w:val="32"/>
          <w:szCs w:val="32"/>
        </w:rPr>
        <w:t>*</w:t>
      </w:r>
    </w:p>
    <w:p w14:paraId="2114DDE4" w14:textId="7F4A82C4" w:rsidR="00283A80" w:rsidRPr="00150F3D" w:rsidRDefault="002369A8" w:rsidP="00B82299">
      <w:pPr>
        <w:pStyle w:val="Heading2"/>
        <w:numPr>
          <w:ilvl w:val="0"/>
          <w:numId w:val="14"/>
        </w:numPr>
        <w:spacing w:after="240"/>
        <w:rPr>
          <w:rFonts w:ascii="Times New Roman" w:eastAsia="Times New Roman" w:hAnsi="Times New Roman" w:cs="Times New Roman"/>
        </w:rPr>
      </w:pPr>
      <w:r>
        <w:rPr>
          <w:rFonts w:ascii="Times New Roman" w:eastAsia="Times New Roman" w:hAnsi="Times New Roman" w:cs="Times New Roman"/>
        </w:rPr>
        <w:t>I</w:t>
      </w:r>
      <w:r w:rsidR="00946518">
        <w:rPr>
          <w:rFonts w:ascii="Times New Roman" w:eastAsia="Times New Roman" w:hAnsi="Times New Roman" w:cs="Times New Roman"/>
        </w:rPr>
        <w:t>ntroduction</w:t>
      </w:r>
    </w:p>
    <w:p w14:paraId="780A7AF1" w14:textId="403FFEA1" w:rsidR="00C75DAD" w:rsidRPr="00150F3D" w:rsidRDefault="00BF6E24"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Despite the growing recognition of human rights </w:t>
      </w:r>
      <w:r w:rsidR="00973862">
        <w:rPr>
          <w:rFonts w:ascii="Times New Roman" w:eastAsia="Times New Roman" w:hAnsi="Times New Roman" w:cs="Times New Roman"/>
          <w:sz w:val="24"/>
          <w:szCs w:val="24"/>
        </w:rPr>
        <w:t xml:space="preserve">and environmental considerations </w:t>
      </w:r>
      <w:r w:rsidRPr="00150F3D">
        <w:rPr>
          <w:rFonts w:ascii="Times New Roman" w:eastAsia="Times New Roman" w:hAnsi="Times New Roman" w:cs="Times New Roman"/>
          <w:sz w:val="24"/>
          <w:szCs w:val="24"/>
        </w:rPr>
        <w:t xml:space="preserve">in the context of corporate </w:t>
      </w:r>
      <w:r w:rsidR="00973862">
        <w:rPr>
          <w:rFonts w:ascii="Times New Roman" w:eastAsia="Times New Roman" w:hAnsi="Times New Roman" w:cs="Times New Roman"/>
          <w:sz w:val="24"/>
          <w:szCs w:val="24"/>
        </w:rPr>
        <w:t>governance and responsibilities</w:t>
      </w:r>
      <w:r w:rsidRPr="00150F3D">
        <w:rPr>
          <w:rFonts w:ascii="Times New Roman" w:eastAsia="Times New Roman" w:hAnsi="Times New Roman" w:cs="Times New Roman"/>
          <w:sz w:val="24"/>
          <w:szCs w:val="24"/>
        </w:rPr>
        <w:t xml:space="preserve">, the dismal performance </w:t>
      </w:r>
      <w:r w:rsidR="00155B9F">
        <w:rPr>
          <w:rFonts w:ascii="Times New Roman" w:eastAsia="Times New Roman" w:hAnsi="Times New Roman" w:cs="Times New Roman"/>
          <w:sz w:val="24"/>
          <w:szCs w:val="24"/>
        </w:rPr>
        <w:t>of</w:t>
      </w:r>
      <w:r w:rsidRPr="00150F3D">
        <w:rPr>
          <w:rFonts w:ascii="Times New Roman" w:eastAsia="Times New Roman" w:hAnsi="Times New Roman" w:cs="Times New Roman"/>
          <w:sz w:val="24"/>
          <w:szCs w:val="24"/>
        </w:rPr>
        <w:t xml:space="preserve"> businesses in </w:t>
      </w:r>
      <w:r w:rsidR="000B4BB5">
        <w:rPr>
          <w:rFonts w:ascii="Times New Roman" w:eastAsia="Times New Roman" w:hAnsi="Times New Roman" w:cs="Times New Roman"/>
          <w:sz w:val="24"/>
          <w:szCs w:val="24"/>
        </w:rPr>
        <w:t>this area</w:t>
      </w:r>
      <w:r w:rsidRPr="00150F3D">
        <w:rPr>
          <w:rFonts w:ascii="Times New Roman" w:eastAsia="Times New Roman" w:hAnsi="Times New Roman" w:cs="Times New Roman"/>
          <w:sz w:val="24"/>
          <w:szCs w:val="24"/>
        </w:rPr>
        <w:t xml:space="preserve"> has continued to be a source of concern</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2"/>
      </w:r>
      <w:r w:rsidRPr="00150F3D">
        <w:rPr>
          <w:rFonts w:ascii="Times New Roman" w:eastAsia="Times New Roman" w:hAnsi="Times New Roman" w:cs="Times New Roman"/>
          <w:sz w:val="24"/>
          <w:szCs w:val="24"/>
        </w:rPr>
        <w:t xml:space="preserve"> </w:t>
      </w:r>
      <w:r w:rsidR="004E15EA">
        <w:rPr>
          <w:rFonts w:ascii="Times New Roman" w:eastAsia="Times New Roman" w:hAnsi="Times New Roman" w:cs="Times New Roman"/>
          <w:sz w:val="24"/>
          <w:szCs w:val="24"/>
        </w:rPr>
        <w:t xml:space="preserve">A new wave of sustainability due diligence legislation – culminating with the legislation of the </w:t>
      </w:r>
      <w:r w:rsidR="00283A80" w:rsidRPr="00150F3D">
        <w:rPr>
          <w:rFonts w:ascii="Times New Roman" w:eastAsia="Times New Roman" w:hAnsi="Times New Roman" w:cs="Times New Roman"/>
          <w:sz w:val="24"/>
          <w:szCs w:val="24"/>
        </w:rPr>
        <w:t xml:space="preserve">EU </w:t>
      </w:r>
      <w:r w:rsidR="00946518">
        <w:rPr>
          <w:rFonts w:ascii="Times New Roman" w:eastAsia="Times New Roman" w:hAnsi="Times New Roman" w:cs="Times New Roman"/>
          <w:sz w:val="24"/>
          <w:szCs w:val="24"/>
        </w:rPr>
        <w:t>p</w:t>
      </w:r>
      <w:r w:rsidR="000B4BB5" w:rsidRPr="00150F3D">
        <w:rPr>
          <w:rFonts w:ascii="Times New Roman" w:eastAsia="Times New Roman" w:hAnsi="Times New Roman" w:cs="Times New Roman"/>
          <w:sz w:val="24"/>
          <w:szCs w:val="24"/>
        </w:rPr>
        <w:t>ropos</w:t>
      </w:r>
      <w:r w:rsidR="000B4BB5">
        <w:rPr>
          <w:rFonts w:ascii="Times New Roman" w:eastAsia="Times New Roman" w:hAnsi="Times New Roman" w:cs="Times New Roman"/>
          <w:sz w:val="24"/>
          <w:szCs w:val="24"/>
        </w:rPr>
        <w:t xml:space="preserve">ed </w:t>
      </w:r>
      <w:r w:rsidR="00283A80" w:rsidRPr="00150F3D">
        <w:rPr>
          <w:rFonts w:ascii="Times New Roman" w:eastAsia="Times New Roman" w:hAnsi="Times New Roman" w:cs="Times New Roman"/>
          <w:sz w:val="24"/>
          <w:szCs w:val="24"/>
        </w:rPr>
        <w:t>Corporate Sustainability Due Diligence Directive (</w:t>
      </w:r>
      <w:r w:rsidR="00C0791C">
        <w:rPr>
          <w:rFonts w:ascii="Times New Roman" w:eastAsia="Times New Roman" w:hAnsi="Times New Roman" w:cs="Times New Roman"/>
          <w:sz w:val="24"/>
          <w:szCs w:val="24"/>
        </w:rPr>
        <w:t>CSDDD</w:t>
      </w:r>
      <w:r w:rsidR="00283A80" w:rsidRPr="00150F3D">
        <w:rPr>
          <w:rFonts w:ascii="Times New Roman" w:eastAsia="Times New Roman" w:hAnsi="Times New Roman" w:cs="Times New Roman"/>
          <w:sz w:val="24"/>
          <w:szCs w:val="24"/>
        </w:rPr>
        <w:t>)</w:t>
      </w:r>
      <w:bookmarkStart w:id="0" w:name="_Ref141965022"/>
      <w:r w:rsidR="00283A80" w:rsidRPr="00150F3D">
        <w:rPr>
          <w:rStyle w:val="FootnoteReference"/>
          <w:rFonts w:ascii="Times New Roman" w:eastAsia="Times New Roman" w:hAnsi="Times New Roman" w:cs="Times New Roman"/>
          <w:sz w:val="24"/>
          <w:szCs w:val="24"/>
        </w:rPr>
        <w:footnoteReference w:id="3"/>
      </w:r>
      <w:bookmarkEnd w:id="0"/>
      <w:r w:rsidRPr="00150F3D">
        <w:rPr>
          <w:rFonts w:ascii="Times New Roman" w:eastAsia="Times New Roman" w:hAnsi="Times New Roman" w:cs="Times New Roman"/>
          <w:sz w:val="24"/>
          <w:szCs w:val="24"/>
        </w:rPr>
        <w:t xml:space="preserve"> </w:t>
      </w:r>
      <w:r w:rsidR="004E15EA">
        <w:rPr>
          <w:rFonts w:ascii="Times New Roman" w:eastAsia="Times New Roman" w:hAnsi="Times New Roman" w:cs="Times New Roman"/>
          <w:sz w:val="24"/>
          <w:szCs w:val="24"/>
        </w:rPr>
        <w:t xml:space="preserve">– is </w:t>
      </w:r>
      <w:r w:rsidR="000B4BB5">
        <w:rPr>
          <w:rFonts w:ascii="Times New Roman" w:eastAsia="Times New Roman" w:hAnsi="Times New Roman" w:cs="Times New Roman"/>
          <w:sz w:val="24"/>
          <w:szCs w:val="24"/>
        </w:rPr>
        <w:t>seek</w:t>
      </w:r>
      <w:r w:rsidR="004E15EA">
        <w:rPr>
          <w:rFonts w:ascii="Times New Roman" w:eastAsia="Times New Roman" w:hAnsi="Times New Roman" w:cs="Times New Roman"/>
          <w:sz w:val="24"/>
          <w:szCs w:val="24"/>
        </w:rPr>
        <w:t>ing</w:t>
      </w:r>
      <w:r w:rsidR="000B4BB5">
        <w:rPr>
          <w:rFonts w:ascii="Times New Roman" w:eastAsia="Times New Roman" w:hAnsi="Times New Roman" w:cs="Times New Roman"/>
          <w:sz w:val="24"/>
          <w:szCs w:val="24"/>
        </w:rPr>
        <w:t xml:space="preserve"> to address this unacceptable reality</w:t>
      </w:r>
      <w:r w:rsidR="007D5889">
        <w:rPr>
          <w:rFonts w:ascii="Times New Roman" w:eastAsia="Times New Roman" w:hAnsi="Times New Roman" w:cs="Times New Roman"/>
          <w:sz w:val="24"/>
          <w:szCs w:val="24"/>
        </w:rPr>
        <w:t>,</w:t>
      </w:r>
      <w:r w:rsidR="000B4BB5">
        <w:rPr>
          <w:rFonts w:ascii="Times New Roman" w:eastAsia="Times New Roman" w:hAnsi="Times New Roman" w:cs="Times New Roman"/>
          <w:sz w:val="24"/>
          <w:szCs w:val="24"/>
        </w:rPr>
        <w:t xml:space="preserve"> aiming to</w:t>
      </w:r>
      <w:r w:rsidRPr="00150F3D">
        <w:rPr>
          <w:rFonts w:ascii="Times New Roman" w:eastAsia="Times New Roman" w:hAnsi="Times New Roman" w:cs="Times New Roman"/>
          <w:sz w:val="24"/>
          <w:szCs w:val="24"/>
        </w:rPr>
        <w:t xml:space="preserve"> </w:t>
      </w:r>
      <w:r w:rsidR="000B4BB5">
        <w:rPr>
          <w:rFonts w:ascii="Times New Roman" w:eastAsia="Times New Roman" w:hAnsi="Times New Roman" w:cs="Times New Roman"/>
          <w:sz w:val="24"/>
          <w:szCs w:val="24"/>
        </w:rPr>
        <w:t>establish an</w:t>
      </w:r>
      <w:r w:rsidRPr="00150F3D">
        <w:rPr>
          <w:rFonts w:ascii="Times New Roman" w:eastAsia="Times New Roman" w:hAnsi="Times New Roman" w:cs="Times New Roman"/>
          <w:sz w:val="24"/>
          <w:szCs w:val="24"/>
        </w:rPr>
        <w:t xml:space="preserve"> effective regime for ensuring respect </w:t>
      </w:r>
      <w:r w:rsidR="00155B9F">
        <w:rPr>
          <w:rFonts w:ascii="Times New Roman" w:eastAsia="Times New Roman" w:hAnsi="Times New Roman" w:cs="Times New Roman"/>
          <w:sz w:val="24"/>
          <w:szCs w:val="24"/>
        </w:rPr>
        <w:t>for</w:t>
      </w:r>
      <w:r w:rsidRPr="00150F3D">
        <w:rPr>
          <w:rFonts w:ascii="Times New Roman" w:eastAsia="Times New Roman" w:hAnsi="Times New Roman" w:cs="Times New Roman"/>
          <w:sz w:val="24"/>
          <w:szCs w:val="24"/>
        </w:rPr>
        <w:t xml:space="preserve"> human rights </w:t>
      </w:r>
      <w:r w:rsidR="000B4BB5">
        <w:rPr>
          <w:rFonts w:ascii="Times New Roman" w:eastAsia="Times New Roman" w:hAnsi="Times New Roman" w:cs="Times New Roman"/>
          <w:sz w:val="24"/>
          <w:szCs w:val="24"/>
        </w:rPr>
        <w:t xml:space="preserve">and </w:t>
      </w:r>
      <w:r w:rsidR="00946518">
        <w:rPr>
          <w:rFonts w:ascii="Times New Roman" w:eastAsia="Times New Roman" w:hAnsi="Times New Roman" w:cs="Times New Roman"/>
          <w:sz w:val="24"/>
          <w:szCs w:val="24"/>
        </w:rPr>
        <w:t xml:space="preserve">the </w:t>
      </w:r>
      <w:r w:rsidR="000B4BB5">
        <w:rPr>
          <w:rFonts w:ascii="Times New Roman" w:eastAsia="Times New Roman" w:hAnsi="Times New Roman" w:cs="Times New Roman"/>
          <w:sz w:val="24"/>
          <w:szCs w:val="24"/>
        </w:rPr>
        <w:t xml:space="preserve">environment. </w:t>
      </w:r>
    </w:p>
    <w:p w14:paraId="0E0E60C0" w14:textId="52C4718A" w:rsidR="00877139" w:rsidRDefault="00C70AB5"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This </w:t>
      </w:r>
      <w:r w:rsidR="00B956EB">
        <w:rPr>
          <w:rFonts w:ascii="Times New Roman" w:eastAsia="Times New Roman" w:hAnsi="Times New Roman" w:cs="Times New Roman"/>
          <w:sz w:val="24"/>
          <w:szCs w:val="24"/>
        </w:rPr>
        <w:t>a</w:t>
      </w:r>
      <w:r w:rsidRPr="00150F3D">
        <w:rPr>
          <w:rFonts w:ascii="Times New Roman" w:eastAsia="Times New Roman" w:hAnsi="Times New Roman" w:cs="Times New Roman"/>
          <w:sz w:val="24"/>
          <w:szCs w:val="24"/>
        </w:rPr>
        <w:t xml:space="preserve">rticle </w:t>
      </w:r>
      <w:r w:rsidR="00946518">
        <w:rPr>
          <w:rFonts w:ascii="Times New Roman" w:eastAsia="Times New Roman" w:hAnsi="Times New Roman" w:cs="Times New Roman"/>
          <w:sz w:val="24"/>
          <w:szCs w:val="24"/>
        </w:rPr>
        <w:t>remind</w:t>
      </w:r>
      <w:r w:rsidR="00693C38">
        <w:rPr>
          <w:rFonts w:ascii="Times New Roman" w:eastAsia="Times New Roman" w:hAnsi="Times New Roman" w:cs="Times New Roman"/>
          <w:sz w:val="24"/>
          <w:szCs w:val="24"/>
        </w:rPr>
        <w:t>s</w:t>
      </w:r>
      <w:r w:rsidR="00877139" w:rsidRPr="00150F3D">
        <w:rPr>
          <w:rFonts w:ascii="Times New Roman" w:eastAsia="Times New Roman" w:hAnsi="Times New Roman" w:cs="Times New Roman"/>
          <w:sz w:val="24"/>
          <w:szCs w:val="24"/>
        </w:rPr>
        <w:t xml:space="preserve"> that despite </w:t>
      </w:r>
      <w:r w:rsidR="00877139">
        <w:rPr>
          <w:rFonts w:ascii="Times New Roman" w:eastAsia="Times New Roman" w:hAnsi="Times New Roman" w:cs="Times New Roman"/>
          <w:sz w:val="24"/>
          <w:szCs w:val="24"/>
        </w:rPr>
        <w:t>positive developments</w:t>
      </w:r>
      <w:r w:rsidR="00877139" w:rsidRPr="00150F3D">
        <w:rPr>
          <w:rFonts w:ascii="Times New Roman" w:eastAsia="Times New Roman" w:hAnsi="Times New Roman" w:cs="Times New Roman"/>
          <w:sz w:val="24"/>
          <w:szCs w:val="24"/>
        </w:rPr>
        <w:t xml:space="preserve"> </w:t>
      </w:r>
      <w:r w:rsidR="00877139">
        <w:rPr>
          <w:rFonts w:ascii="Times New Roman" w:eastAsia="Times New Roman" w:hAnsi="Times New Roman" w:cs="Times New Roman"/>
          <w:sz w:val="24"/>
          <w:szCs w:val="24"/>
        </w:rPr>
        <w:t xml:space="preserve">in </w:t>
      </w:r>
      <w:r w:rsidR="00877139" w:rsidRPr="00150F3D">
        <w:rPr>
          <w:rFonts w:ascii="Times New Roman" w:eastAsia="Times New Roman" w:hAnsi="Times New Roman" w:cs="Times New Roman"/>
          <w:sz w:val="24"/>
          <w:szCs w:val="24"/>
        </w:rPr>
        <w:t xml:space="preserve">common law civil litigation relating </w:t>
      </w:r>
      <w:r w:rsidR="00946518">
        <w:rPr>
          <w:rFonts w:ascii="Times New Roman" w:eastAsia="Times New Roman" w:hAnsi="Times New Roman" w:cs="Times New Roman"/>
          <w:sz w:val="24"/>
          <w:szCs w:val="24"/>
        </w:rPr>
        <w:t xml:space="preserve">to </w:t>
      </w:r>
      <w:r w:rsidR="00877139">
        <w:rPr>
          <w:rFonts w:ascii="Times New Roman" w:eastAsia="Times New Roman" w:hAnsi="Times New Roman" w:cs="Times New Roman"/>
          <w:sz w:val="24"/>
          <w:szCs w:val="24"/>
        </w:rPr>
        <w:t xml:space="preserve">transnational </w:t>
      </w:r>
      <w:r w:rsidR="00877139" w:rsidRPr="00150F3D">
        <w:rPr>
          <w:rFonts w:ascii="Times New Roman" w:eastAsia="Times New Roman" w:hAnsi="Times New Roman" w:cs="Times New Roman"/>
          <w:sz w:val="24"/>
          <w:szCs w:val="24"/>
        </w:rPr>
        <w:t xml:space="preserve">human rights </w:t>
      </w:r>
      <w:r w:rsidR="00877139">
        <w:rPr>
          <w:rFonts w:ascii="Times New Roman" w:eastAsia="Times New Roman" w:hAnsi="Times New Roman" w:cs="Times New Roman"/>
          <w:sz w:val="24"/>
          <w:szCs w:val="24"/>
        </w:rPr>
        <w:t xml:space="preserve">and environmental </w:t>
      </w:r>
      <w:r w:rsidR="00877139" w:rsidRPr="00150F3D">
        <w:rPr>
          <w:rFonts w:ascii="Times New Roman" w:eastAsia="Times New Roman" w:hAnsi="Times New Roman" w:cs="Times New Roman"/>
          <w:sz w:val="24"/>
          <w:szCs w:val="24"/>
        </w:rPr>
        <w:t>violations, the</w:t>
      </w:r>
      <w:r w:rsidR="00877139">
        <w:rPr>
          <w:rFonts w:ascii="Times New Roman" w:eastAsia="Times New Roman" w:hAnsi="Times New Roman" w:cs="Times New Roman"/>
          <w:sz w:val="24"/>
          <w:szCs w:val="24"/>
        </w:rPr>
        <w:t>se</w:t>
      </w:r>
      <w:r w:rsidR="00877139" w:rsidRPr="00150F3D">
        <w:rPr>
          <w:rFonts w:ascii="Times New Roman" w:eastAsia="Times New Roman" w:hAnsi="Times New Roman" w:cs="Times New Roman"/>
          <w:sz w:val="24"/>
          <w:szCs w:val="24"/>
        </w:rPr>
        <w:t xml:space="preserve"> can be somewhat difficult to establish</w:t>
      </w:r>
      <w:r w:rsidR="00877139">
        <w:rPr>
          <w:rFonts w:ascii="Times New Roman" w:eastAsia="Times New Roman" w:hAnsi="Times New Roman" w:cs="Times New Roman"/>
          <w:sz w:val="24"/>
          <w:szCs w:val="24"/>
        </w:rPr>
        <w:t>,</w:t>
      </w:r>
      <w:r w:rsidR="00877139" w:rsidRPr="00150F3D">
        <w:rPr>
          <w:rFonts w:ascii="Times New Roman" w:eastAsia="Times New Roman" w:hAnsi="Times New Roman" w:cs="Times New Roman"/>
          <w:sz w:val="24"/>
          <w:szCs w:val="24"/>
        </w:rPr>
        <w:t xml:space="preserve"> particularly in relation to harm</w:t>
      </w:r>
      <w:r w:rsidR="005E3210">
        <w:rPr>
          <w:rFonts w:ascii="Times New Roman" w:eastAsia="Times New Roman" w:hAnsi="Times New Roman" w:cs="Times New Roman"/>
          <w:sz w:val="24"/>
          <w:szCs w:val="24"/>
        </w:rPr>
        <w:t>s</w:t>
      </w:r>
      <w:r w:rsidR="00877139" w:rsidRPr="00150F3D">
        <w:rPr>
          <w:rFonts w:ascii="Times New Roman" w:eastAsia="Times New Roman" w:hAnsi="Times New Roman" w:cs="Times New Roman"/>
          <w:sz w:val="24"/>
          <w:szCs w:val="24"/>
        </w:rPr>
        <w:t xml:space="preserve"> committed by third parties.</w:t>
      </w:r>
      <w:r w:rsidR="007D5889">
        <w:rPr>
          <w:rFonts w:ascii="Times New Roman" w:eastAsia="Times New Roman" w:hAnsi="Times New Roman" w:cs="Times New Roman"/>
          <w:sz w:val="24"/>
          <w:szCs w:val="24"/>
        </w:rPr>
        <w:t xml:space="preserve"> </w:t>
      </w:r>
      <w:r w:rsidR="00B956EB">
        <w:rPr>
          <w:rFonts w:ascii="Times New Roman" w:eastAsia="Times New Roman" w:hAnsi="Times New Roman" w:cs="Times New Roman"/>
          <w:sz w:val="24"/>
          <w:szCs w:val="24"/>
        </w:rPr>
        <w:t>This article</w:t>
      </w:r>
      <w:r w:rsidR="000D7CE8" w:rsidRPr="00150F3D">
        <w:rPr>
          <w:rFonts w:ascii="Times New Roman" w:eastAsia="Times New Roman" w:hAnsi="Times New Roman" w:cs="Times New Roman"/>
          <w:sz w:val="24"/>
          <w:szCs w:val="24"/>
        </w:rPr>
        <w:t xml:space="preserve"> then demonstrate</w:t>
      </w:r>
      <w:r w:rsidR="007D5889">
        <w:rPr>
          <w:rFonts w:ascii="Times New Roman" w:eastAsia="Times New Roman" w:hAnsi="Times New Roman" w:cs="Times New Roman"/>
          <w:sz w:val="24"/>
          <w:szCs w:val="24"/>
        </w:rPr>
        <w:t>s</w:t>
      </w:r>
      <w:r w:rsidR="000D7CE8" w:rsidRPr="00150F3D">
        <w:rPr>
          <w:rFonts w:ascii="Times New Roman" w:eastAsia="Times New Roman" w:hAnsi="Times New Roman" w:cs="Times New Roman"/>
          <w:sz w:val="24"/>
          <w:szCs w:val="24"/>
        </w:rPr>
        <w:t xml:space="preserve"> the advantages brought by the recent</w:t>
      </w:r>
      <w:r w:rsidR="00CB69B0" w:rsidRPr="00150F3D">
        <w:rPr>
          <w:rFonts w:ascii="Times New Roman" w:eastAsia="Times New Roman" w:hAnsi="Times New Roman" w:cs="Times New Roman"/>
          <w:sz w:val="24"/>
          <w:szCs w:val="24"/>
        </w:rPr>
        <w:t xml:space="preserve"> statutory civil liability regimes </w:t>
      </w:r>
      <w:r w:rsidR="007D5889">
        <w:rPr>
          <w:rFonts w:ascii="Times New Roman" w:eastAsia="Times New Roman" w:hAnsi="Times New Roman" w:cs="Times New Roman"/>
          <w:sz w:val="24"/>
          <w:szCs w:val="24"/>
        </w:rPr>
        <w:t>adopted under sustainability due diligence regulations,</w:t>
      </w:r>
      <w:r w:rsidR="00CB69B0"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which impose mandatory </w:t>
      </w:r>
      <w:r w:rsidR="007D5889">
        <w:rPr>
          <w:rFonts w:ascii="Times New Roman" w:eastAsia="Times New Roman" w:hAnsi="Times New Roman" w:cs="Times New Roman"/>
          <w:sz w:val="24"/>
          <w:szCs w:val="24"/>
        </w:rPr>
        <w:t>sustainability</w:t>
      </w:r>
      <w:r w:rsidRPr="00150F3D">
        <w:rPr>
          <w:rFonts w:ascii="Times New Roman" w:eastAsia="Times New Roman" w:hAnsi="Times New Roman" w:cs="Times New Roman"/>
          <w:sz w:val="24"/>
          <w:szCs w:val="24"/>
        </w:rPr>
        <w:t xml:space="preserve"> due diligence obligations while providing </w:t>
      </w:r>
      <w:r w:rsidR="000D7CE8" w:rsidRPr="00150F3D">
        <w:rPr>
          <w:rFonts w:ascii="Times New Roman" w:eastAsia="Times New Roman" w:hAnsi="Times New Roman" w:cs="Times New Roman"/>
          <w:sz w:val="24"/>
          <w:szCs w:val="24"/>
        </w:rPr>
        <w:t xml:space="preserve">a </w:t>
      </w:r>
      <w:r w:rsidR="00CB69B0" w:rsidRPr="00150F3D">
        <w:rPr>
          <w:rFonts w:ascii="Times New Roman" w:eastAsia="Times New Roman" w:hAnsi="Times New Roman" w:cs="Times New Roman"/>
          <w:sz w:val="24"/>
          <w:szCs w:val="24"/>
        </w:rPr>
        <w:t xml:space="preserve">civil liability </w:t>
      </w:r>
      <w:r w:rsidR="000D7CE8" w:rsidRPr="00150F3D">
        <w:rPr>
          <w:rFonts w:ascii="Times New Roman" w:eastAsia="Times New Roman" w:hAnsi="Times New Roman" w:cs="Times New Roman"/>
          <w:sz w:val="24"/>
          <w:szCs w:val="24"/>
        </w:rPr>
        <w:t xml:space="preserve">regime where a corporation failed to conduct </w:t>
      </w:r>
      <w:r w:rsidR="007D5889">
        <w:rPr>
          <w:rFonts w:ascii="Times New Roman" w:eastAsia="Times New Roman" w:hAnsi="Times New Roman" w:cs="Times New Roman"/>
          <w:sz w:val="24"/>
          <w:szCs w:val="24"/>
        </w:rPr>
        <w:t>due diligence</w:t>
      </w:r>
      <w:r w:rsidR="000D7CE8" w:rsidRPr="00150F3D">
        <w:rPr>
          <w:rFonts w:ascii="Times New Roman" w:eastAsia="Times New Roman" w:hAnsi="Times New Roman" w:cs="Times New Roman"/>
          <w:sz w:val="24"/>
          <w:szCs w:val="24"/>
        </w:rPr>
        <w:t xml:space="preserve"> </w:t>
      </w:r>
      <w:r w:rsidR="007D5889">
        <w:rPr>
          <w:rFonts w:ascii="Times New Roman" w:eastAsia="Times New Roman" w:hAnsi="Times New Roman" w:cs="Times New Roman"/>
          <w:sz w:val="24"/>
          <w:szCs w:val="24"/>
        </w:rPr>
        <w:t>(</w:t>
      </w:r>
      <w:r w:rsidR="000D7CE8" w:rsidRPr="00150F3D">
        <w:rPr>
          <w:rFonts w:ascii="Times New Roman" w:eastAsia="Times New Roman" w:hAnsi="Times New Roman" w:cs="Times New Roman"/>
          <w:sz w:val="24"/>
          <w:szCs w:val="24"/>
        </w:rPr>
        <w:t>or did so unreasonably</w:t>
      </w:r>
      <w:r w:rsidR="00F56BC9">
        <w:rPr>
          <w:rFonts w:ascii="Times New Roman" w:eastAsia="Times New Roman" w:hAnsi="Times New Roman" w:cs="Times New Roman"/>
          <w:sz w:val="24"/>
          <w:szCs w:val="24"/>
        </w:rPr>
        <w:t>) or</w:t>
      </w:r>
      <w:r w:rsidR="007D5889">
        <w:rPr>
          <w:rFonts w:ascii="Times New Roman" w:eastAsia="Times New Roman" w:hAnsi="Times New Roman" w:cs="Times New Roman"/>
          <w:sz w:val="24"/>
          <w:szCs w:val="24"/>
        </w:rPr>
        <w:t xml:space="preserve"> </w:t>
      </w:r>
      <w:r w:rsidR="00A25395">
        <w:rPr>
          <w:rFonts w:ascii="Times New Roman" w:eastAsia="Times New Roman" w:hAnsi="Times New Roman" w:cs="Times New Roman"/>
          <w:sz w:val="24"/>
          <w:szCs w:val="24"/>
        </w:rPr>
        <w:t xml:space="preserve">failed </w:t>
      </w:r>
      <w:r w:rsidR="007D5889">
        <w:rPr>
          <w:rFonts w:ascii="Times New Roman" w:eastAsia="Times New Roman" w:hAnsi="Times New Roman" w:cs="Times New Roman"/>
          <w:sz w:val="24"/>
          <w:szCs w:val="24"/>
        </w:rPr>
        <w:t>to mitigate and prevent identified harms</w:t>
      </w:r>
      <w:r w:rsidR="000D7CE8" w:rsidRPr="00150F3D">
        <w:rPr>
          <w:rFonts w:ascii="Times New Roman" w:eastAsia="Times New Roman" w:hAnsi="Times New Roman" w:cs="Times New Roman"/>
          <w:sz w:val="24"/>
          <w:szCs w:val="24"/>
        </w:rPr>
        <w:t xml:space="preserve">. </w:t>
      </w:r>
      <w:r w:rsidR="001B4A2A">
        <w:rPr>
          <w:rFonts w:ascii="Times New Roman" w:eastAsia="Times New Roman" w:hAnsi="Times New Roman" w:cs="Times New Roman"/>
          <w:sz w:val="24"/>
          <w:szCs w:val="24"/>
        </w:rPr>
        <w:t xml:space="preserve">These advancements, we claim, </w:t>
      </w:r>
      <w:r w:rsidR="00946518">
        <w:rPr>
          <w:rFonts w:ascii="Times New Roman" w:eastAsia="Times New Roman" w:hAnsi="Times New Roman" w:cs="Times New Roman"/>
          <w:sz w:val="24"/>
          <w:szCs w:val="24"/>
        </w:rPr>
        <w:t>could potentially</w:t>
      </w:r>
      <w:r w:rsidR="001B4A2A">
        <w:rPr>
          <w:rFonts w:ascii="Times New Roman" w:eastAsia="Times New Roman" w:hAnsi="Times New Roman" w:cs="Times New Roman"/>
          <w:sz w:val="24"/>
          <w:szCs w:val="24"/>
        </w:rPr>
        <w:t xml:space="preserve"> revolutionise </w:t>
      </w:r>
      <w:r w:rsidR="00946518">
        <w:rPr>
          <w:rFonts w:ascii="Times New Roman" w:eastAsia="Times New Roman" w:hAnsi="Times New Roman" w:cs="Times New Roman"/>
          <w:sz w:val="24"/>
          <w:szCs w:val="24"/>
        </w:rPr>
        <w:t>existing regimes</w:t>
      </w:r>
      <w:r w:rsidR="001B4A2A">
        <w:rPr>
          <w:rFonts w:ascii="Times New Roman" w:eastAsia="Times New Roman" w:hAnsi="Times New Roman" w:cs="Times New Roman"/>
          <w:sz w:val="24"/>
          <w:szCs w:val="24"/>
        </w:rPr>
        <w:t xml:space="preserve"> on civil liability in the context of transnational and environmental harms</w:t>
      </w:r>
      <w:r w:rsidR="00946518">
        <w:rPr>
          <w:rFonts w:ascii="Times New Roman" w:eastAsia="Times New Roman" w:hAnsi="Times New Roman" w:cs="Times New Roman"/>
          <w:sz w:val="24"/>
          <w:szCs w:val="24"/>
        </w:rPr>
        <w:t>,</w:t>
      </w:r>
      <w:r w:rsidR="001B4A2A">
        <w:rPr>
          <w:rFonts w:ascii="Times New Roman" w:eastAsia="Times New Roman" w:hAnsi="Times New Roman" w:cs="Times New Roman"/>
          <w:sz w:val="24"/>
          <w:szCs w:val="24"/>
        </w:rPr>
        <w:t xml:space="preserve"> and </w:t>
      </w:r>
      <w:r w:rsidR="00946518">
        <w:rPr>
          <w:rFonts w:ascii="Times New Roman" w:eastAsia="Times New Roman" w:hAnsi="Times New Roman" w:cs="Times New Roman"/>
          <w:sz w:val="24"/>
          <w:szCs w:val="24"/>
        </w:rPr>
        <w:t xml:space="preserve">significantly </w:t>
      </w:r>
      <w:r w:rsidR="001B4A2A">
        <w:rPr>
          <w:rFonts w:ascii="Times New Roman" w:eastAsia="Times New Roman" w:hAnsi="Times New Roman" w:cs="Times New Roman"/>
          <w:sz w:val="24"/>
          <w:szCs w:val="24"/>
        </w:rPr>
        <w:t>improve victims’ access to justice and remedies. How effective this ‘revolution’ will be, will depend on the detail</w:t>
      </w:r>
      <w:r w:rsidR="00EF025F">
        <w:rPr>
          <w:rFonts w:ascii="Times New Roman" w:eastAsia="Times New Roman" w:hAnsi="Times New Roman" w:cs="Times New Roman"/>
          <w:sz w:val="24"/>
          <w:szCs w:val="24"/>
        </w:rPr>
        <w:t>s</w:t>
      </w:r>
      <w:r w:rsidR="001B4A2A">
        <w:rPr>
          <w:rFonts w:ascii="Times New Roman" w:eastAsia="Times New Roman" w:hAnsi="Times New Roman" w:cs="Times New Roman"/>
          <w:sz w:val="24"/>
          <w:szCs w:val="24"/>
        </w:rPr>
        <w:t xml:space="preserve"> of each legislation and </w:t>
      </w:r>
      <w:r w:rsidR="00C13A29">
        <w:rPr>
          <w:rFonts w:ascii="Times New Roman" w:eastAsia="Times New Roman" w:hAnsi="Times New Roman" w:cs="Times New Roman"/>
          <w:sz w:val="24"/>
          <w:szCs w:val="24"/>
        </w:rPr>
        <w:t>lawmakers’</w:t>
      </w:r>
      <w:r w:rsidR="001B4A2A">
        <w:rPr>
          <w:rFonts w:ascii="Times New Roman" w:eastAsia="Times New Roman" w:hAnsi="Times New Roman" w:cs="Times New Roman"/>
          <w:sz w:val="24"/>
          <w:szCs w:val="24"/>
        </w:rPr>
        <w:t xml:space="preserve"> willingness to go beyond lip service and provide claimants with effective tools for protecting their rights. </w:t>
      </w:r>
    </w:p>
    <w:p w14:paraId="3760752C" w14:textId="5544AAED" w:rsidR="00283A80" w:rsidRPr="00150F3D" w:rsidRDefault="00194AA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This Article proceeds in </w:t>
      </w:r>
      <w:r w:rsidR="00017B20">
        <w:rPr>
          <w:rFonts w:ascii="Times New Roman" w:eastAsia="Times New Roman" w:hAnsi="Times New Roman" w:cs="Times New Roman"/>
          <w:sz w:val="24"/>
          <w:szCs w:val="24"/>
        </w:rPr>
        <w:t>four</w:t>
      </w:r>
      <w:r w:rsidRPr="00150F3D">
        <w:rPr>
          <w:rFonts w:ascii="Times New Roman" w:eastAsia="Times New Roman" w:hAnsi="Times New Roman" w:cs="Times New Roman"/>
          <w:sz w:val="24"/>
          <w:szCs w:val="24"/>
        </w:rPr>
        <w:t xml:space="preserve"> parts. Part </w:t>
      </w:r>
      <w:r w:rsidR="00017B20">
        <w:rPr>
          <w:rFonts w:ascii="Times New Roman" w:eastAsia="Times New Roman" w:hAnsi="Times New Roman" w:cs="Times New Roman"/>
          <w:sz w:val="24"/>
          <w:szCs w:val="24"/>
        </w:rPr>
        <w:t>A</w:t>
      </w:r>
      <w:r w:rsidRPr="00150F3D">
        <w:rPr>
          <w:rFonts w:ascii="Times New Roman" w:eastAsia="Times New Roman" w:hAnsi="Times New Roman" w:cs="Times New Roman"/>
          <w:sz w:val="24"/>
          <w:szCs w:val="24"/>
        </w:rPr>
        <w:t xml:space="preserve"> introduces </w:t>
      </w:r>
      <w:r w:rsidR="00017B20">
        <w:rPr>
          <w:rFonts w:ascii="Times New Roman" w:eastAsia="Times New Roman" w:hAnsi="Times New Roman" w:cs="Times New Roman"/>
          <w:sz w:val="24"/>
          <w:szCs w:val="24"/>
        </w:rPr>
        <w:t>this paper’s hypothesis</w:t>
      </w:r>
      <w:r w:rsidRPr="00150F3D">
        <w:rPr>
          <w:rFonts w:ascii="Times New Roman" w:eastAsia="Times New Roman" w:hAnsi="Times New Roman" w:cs="Times New Roman"/>
          <w:sz w:val="24"/>
          <w:szCs w:val="24"/>
        </w:rPr>
        <w:t xml:space="preserve"> and the significance of the research. Part </w:t>
      </w:r>
      <w:r w:rsidR="00017B20">
        <w:rPr>
          <w:rFonts w:ascii="Times New Roman" w:eastAsia="Times New Roman" w:hAnsi="Times New Roman" w:cs="Times New Roman"/>
          <w:sz w:val="24"/>
          <w:szCs w:val="24"/>
        </w:rPr>
        <w:t>B</w:t>
      </w:r>
      <w:r w:rsidRPr="00150F3D">
        <w:rPr>
          <w:rFonts w:ascii="Times New Roman" w:eastAsia="Times New Roman" w:hAnsi="Times New Roman" w:cs="Times New Roman"/>
          <w:sz w:val="24"/>
          <w:szCs w:val="24"/>
        </w:rPr>
        <w:t xml:space="preserve"> critically </w:t>
      </w:r>
      <w:r w:rsidR="00BD5289">
        <w:rPr>
          <w:rFonts w:ascii="Times New Roman" w:eastAsia="Times New Roman" w:hAnsi="Times New Roman" w:cs="Times New Roman"/>
          <w:sz w:val="24"/>
          <w:szCs w:val="24"/>
        </w:rPr>
        <w:t>assesses</w:t>
      </w:r>
      <w:r w:rsidRPr="00150F3D">
        <w:rPr>
          <w:rFonts w:ascii="Times New Roman" w:eastAsia="Times New Roman" w:hAnsi="Times New Roman" w:cs="Times New Roman"/>
          <w:sz w:val="24"/>
          <w:szCs w:val="24"/>
        </w:rPr>
        <w:t xml:space="preserve"> traditional civil liability routes which have been utilised in various jurisdictions by victims of business-related human rights violations. We aim by that to expose the strength</w:t>
      </w:r>
      <w:r w:rsidR="00B108A4">
        <w:rPr>
          <w:rFonts w:ascii="Times New Roman" w:eastAsia="Times New Roman" w:hAnsi="Times New Roman" w:cs="Times New Roman"/>
          <w:sz w:val="24"/>
          <w:szCs w:val="24"/>
        </w:rPr>
        <w:t>s</w:t>
      </w:r>
      <w:r w:rsidRPr="00150F3D">
        <w:rPr>
          <w:rFonts w:ascii="Times New Roman" w:eastAsia="Times New Roman" w:hAnsi="Times New Roman" w:cs="Times New Roman"/>
          <w:sz w:val="24"/>
          <w:szCs w:val="24"/>
        </w:rPr>
        <w:t xml:space="preserve"> and weaknesses of the traditional route and </w:t>
      </w:r>
      <w:r w:rsidRPr="00150F3D">
        <w:rPr>
          <w:rFonts w:ascii="Times New Roman" w:eastAsia="Times New Roman" w:hAnsi="Times New Roman" w:cs="Times New Roman"/>
          <w:sz w:val="24"/>
          <w:szCs w:val="24"/>
        </w:rPr>
        <w:lastRenderedPageBreak/>
        <w:t>magnify the need for parallel statutory civil liability rout</w:t>
      </w:r>
      <w:r w:rsidR="00946518">
        <w:rPr>
          <w:rFonts w:ascii="Times New Roman" w:eastAsia="Times New Roman" w:hAnsi="Times New Roman" w:cs="Times New Roman"/>
          <w:sz w:val="24"/>
          <w:szCs w:val="24"/>
        </w:rPr>
        <w:t>e</w:t>
      </w:r>
      <w:r w:rsidRPr="00150F3D">
        <w:rPr>
          <w:rFonts w:ascii="Times New Roman" w:eastAsia="Times New Roman" w:hAnsi="Times New Roman" w:cs="Times New Roman"/>
          <w:sz w:val="24"/>
          <w:szCs w:val="24"/>
        </w:rPr>
        <w:t xml:space="preserve">s based on mandatory </w:t>
      </w:r>
      <w:r w:rsidR="00877139">
        <w:rPr>
          <w:rFonts w:ascii="Times New Roman" w:eastAsia="Times New Roman" w:hAnsi="Times New Roman" w:cs="Times New Roman"/>
          <w:sz w:val="24"/>
          <w:szCs w:val="24"/>
        </w:rPr>
        <w:t>sustainability due diligence legislation</w:t>
      </w:r>
      <w:r w:rsidRPr="00150F3D">
        <w:rPr>
          <w:rFonts w:ascii="Times New Roman" w:eastAsia="Times New Roman" w:hAnsi="Times New Roman" w:cs="Times New Roman"/>
          <w:sz w:val="24"/>
          <w:szCs w:val="24"/>
        </w:rPr>
        <w:t xml:space="preserve">. </w:t>
      </w:r>
      <w:r w:rsidR="002369A8">
        <w:rPr>
          <w:rFonts w:ascii="Times New Roman" w:eastAsia="Times New Roman" w:hAnsi="Times New Roman" w:cs="Times New Roman"/>
          <w:sz w:val="24"/>
          <w:szCs w:val="24"/>
        </w:rPr>
        <w:t>P</w:t>
      </w:r>
      <w:r w:rsidRPr="00150F3D">
        <w:rPr>
          <w:rFonts w:ascii="Times New Roman" w:eastAsia="Times New Roman" w:hAnsi="Times New Roman" w:cs="Times New Roman"/>
          <w:sz w:val="24"/>
          <w:szCs w:val="24"/>
        </w:rPr>
        <w:t xml:space="preserve">art </w:t>
      </w:r>
      <w:r w:rsidR="00017B20">
        <w:rPr>
          <w:rFonts w:ascii="Times New Roman" w:eastAsia="Times New Roman" w:hAnsi="Times New Roman" w:cs="Times New Roman"/>
          <w:sz w:val="24"/>
          <w:szCs w:val="24"/>
        </w:rPr>
        <w:t>C discuss</w:t>
      </w:r>
      <w:r w:rsidR="002369A8">
        <w:rPr>
          <w:rFonts w:ascii="Times New Roman" w:eastAsia="Times New Roman" w:hAnsi="Times New Roman" w:cs="Times New Roman"/>
          <w:sz w:val="24"/>
          <w:szCs w:val="24"/>
        </w:rPr>
        <w:t>es</w:t>
      </w:r>
      <w:r w:rsidR="00017B20">
        <w:rPr>
          <w:rFonts w:ascii="Times New Roman" w:eastAsia="Times New Roman" w:hAnsi="Times New Roman" w:cs="Times New Roman"/>
          <w:sz w:val="24"/>
          <w:szCs w:val="24"/>
        </w:rPr>
        <w:t xml:space="preserve"> two leading</w:t>
      </w:r>
      <w:r w:rsidR="00946518">
        <w:rPr>
          <w:rFonts w:ascii="Times New Roman" w:eastAsia="Times New Roman" w:hAnsi="Times New Roman" w:cs="Times New Roman"/>
          <w:sz w:val="24"/>
          <w:szCs w:val="24"/>
        </w:rPr>
        <w:t>, recent</w:t>
      </w:r>
      <w:r w:rsidR="00017B20">
        <w:rPr>
          <w:rFonts w:ascii="Times New Roman" w:eastAsia="Times New Roman" w:hAnsi="Times New Roman" w:cs="Times New Roman"/>
          <w:sz w:val="24"/>
          <w:szCs w:val="24"/>
        </w:rPr>
        <w:t xml:space="preserve"> examples of sustainability due diligence legislation. Through the analysis of these examples, we will answer whether indeed this new regulatory model </w:t>
      </w:r>
      <w:r w:rsidR="00946518">
        <w:rPr>
          <w:rFonts w:ascii="Times New Roman" w:eastAsia="Times New Roman" w:hAnsi="Times New Roman" w:cs="Times New Roman"/>
          <w:sz w:val="24"/>
          <w:szCs w:val="24"/>
        </w:rPr>
        <w:t xml:space="preserve">is expected to </w:t>
      </w:r>
      <w:r w:rsidR="00017B20">
        <w:rPr>
          <w:rFonts w:ascii="Times New Roman" w:eastAsia="Times New Roman" w:hAnsi="Times New Roman" w:cs="Times New Roman"/>
          <w:sz w:val="24"/>
          <w:szCs w:val="24"/>
        </w:rPr>
        <w:t xml:space="preserve">provide an effective solution to the longstanding barriers currently standing in the way of victims of </w:t>
      </w:r>
      <w:r w:rsidR="00B108A4">
        <w:rPr>
          <w:rFonts w:ascii="Times New Roman" w:eastAsia="Times New Roman" w:hAnsi="Times New Roman" w:cs="Times New Roman"/>
          <w:sz w:val="24"/>
          <w:szCs w:val="24"/>
        </w:rPr>
        <w:t>multinational corporations’ (</w:t>
      </w:r>
      <w:r w:rsidR="00017B20">
        <w:rPr>
          <w:rFonts w:ascii="Times New Roman" w:eastAsia="Times New Roman" w:hAnsi="Times New Roman" w:cs="Times New Roman"/>
          <w:sz w:val="24"/>
          <w:szCs w:val="24"/>
        </w:rPr>
        <w:t>MNCs</w:t>
      </w:r>
      <w:r w:rsidR="00B108A4">
        <w:rPr>
          <w:rFonts w:ascii="Times New Roman" w:eastAsia="Times New Roman" w:hAnsi="Times New Roman" w:cs="Times New Roman"/>
          <w:sz w:val="24"/>
          <w:szCs w:val="24"/>
        </w:rPr>
        <w:t>)</w:t>
      </w:r>
      <w:r w:rsidR="00017B20">
        <w:rPr>
          <w:rFonts w:ascii="Times New Roman" w:eastAsia="Times New Roman" w:hAnsi="Times New Roman" w:cs="Times New Roman"/>
          <w:sz w:val="24"/>
          <w:szCs w:val="24"/>
        </w:rPr>
        <w:t xml:space="preserve"> transnational harms. Part D will summarise with a few concluding remarks. </w:t>
      </w:r>
    </w:p>
    <w:p w14:paraId="79CA6A82" w14:textId="3A77E331" w:rsidR="006751AA" w:rsidRPr="00150F3D" w:rsidRDefault="00D16D14" w:rsidP="00B82299">
      <w:pPr>
        <w:pStyle w:val="Heading2"/>
        <w:numPr>
          <w:ilvl w:val="0"/>
          <w:numId w:val="14"/>
        </w:numPr>
        <w:spacing w:after="240"/>
        <w:rPr>
          <w:rFonts w:ascii="Times New Roman" w:eastAsia="Times New Roman" w:hAnsi="Times New Roman" w:cs="Times New Roman"/>
        </w:rPr>
      </w:pPr>
      <w:r w:rsidRPr="00150F3D">
        <w:rPr>
          <w:rFonts w:ascii="Times New Roman" w:eastAsia="Times New Roman" w:hAnsi="Times New Roman" w:cs="Times New Roman"/>
        </w:rPr>
        <w:t xml:space="preserve">Current </w:t>
      </w:r>
      <w:r w:rsidR="006E7066" w:rsidRPr="00150F3D">
        <w:rPr>
          <w:rFonts w:ascii="Times New Roman" w:eastAsia="Times New Roman" w:hAnsi="Times New Roman" w:cs="Times New Roman"/>
        </w:rPr>
        <w:t>c</w:t>
      </w:r>
      <w:r w:rsidR="006751AA" w:rsidRPr="00150F3D">
        <w:rPr>
          <w:rFonts w:ascii="Times New Roman" w:eastAsia="Times New Roman" w:hAnsi="Times New Roman" w:cs="Times New Roman"/>
        </w:rPr>
        <w:t xml:space="preserve">ivil liability </w:t>
      </w:r>
      <w:r w:rsidR="005E3210">
        <w:rPr>
          <w:rFonts w:ascii="Times New Roman" w:eastAsia="Times New Roman" w:hAnsi="Times New Roman" w:cs="Times New Roman"/>
        </w:rPr>
        <w:t>regime</w:t>
      </w:r>
      <w:r w:rsidR="005E3210" w:rsidRPr="00150F3D">
        <w:rPr>
          <w:rFonts w:ascii="Times New Roman" w:eastAsia="Times New Roman" w:hAnsi="Times New Roman" w:cs="Times New Roman"/>
        </w:rPr>
        <w:t xml:space="preserve">s </w:t>
      </w:r>
      <w:r w:rsidR="00EF025F">
        <w:rPr>
          <w:rFonts w:ascii="Times New Roman" w:eastAsia="Times New Roman" w:hAnsi="Times New Roman" w:cs="Times New Roman"/>
        </w:rPr>
        <w:t>and their deficiencies</w:t>
      </w:r>
    </w:p>
    <w:p w14:paraId="5C06D37F" w14:textId="507977E0" w:rsidR="001148EA" w:rsidRPr="00150F3D" w:rsidRDefault="00B108A4" w:rsidP="00B8229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In t</w:t>
      </w:r>
      <w:r w:rsidRPr="00150F3D">
        <w:rPr>
          <w:rFonts w:ascii="Times New Roman" w:hAnsi="Times New Roman" w:cs="Times New Roman"/>
          <w:sz w:val="24"/>
          <w:szCs w:val="24"/>
        </w:rPr>
        <w:t xml:space="preserve">he </w:t>
      </w:r>
      <w:r w:rsidR="001148EA" w:rsidRPr="00150F3D">
        <w:rPr>
          <w:rFonts w:ascii="Times New Roman" w:hAnsi="Times New Roman" w:cs="Times New Roman"/>
          <w:sz w:val="24"/>
          <w:szCs w:val="24"/>
        </w:rPr>
        <w:t>past few decades</w:t>
      </w:r>
      <w:r>
        <w:rPr>
          <w:rFonts w:ascii="Times New Roman" w:hAnsi="Times New Roman" w:cs="Times New Roman"/>
          <w:sz w:val="24"/>
          <w:szCs w:val="24"/>
        </w:rPr>
        <w:t>, we have</w:t>
      </w:r>
      <w:r w:rsidR="001148EA" w:rsidRPr="00150F3D">
        <w:rPr>
          <w:rFonts w:ascii="Times New Roman" w:hAnsi="Times New Roman" w:cs="Times New Roman"/>
          <w:sz w:val="24"/>
          <w:szCs w:val="24"/>
        </w:rPr>
        <w:t xml:space="preserve"> witnessed a wave of lawsuits against </w:t>
      </w:r>
      <w:r w:rsidR="00D964B6" w:rsidRPr="00150F3D">
        <w:rPr>
          <w:rFonts w:ascii="Times New Roman" w:hAnsi="Times New Roman" w:cs="Times New Roman"/>
          <w:sz w:val="24"/>
          <w:szCs w:val="24"/>
        </w:rPr>
        <w:t>MNCs</w:t>
      </w:r>
      <w:r w:rsidR="004D416A" w:rsidRPr="00150F3D">
        <w:rPr>
          <w:rFonts w:ascii="Times New Roman" w:hAnsi="Times New Roman" w:cs="Times New Roman"/>
          <w:sz w:val="24"/>
          <w:szCs w:val="24"/>
        </w:rPr>
        <w:t xml:space="preserve"> </w:t>
      </w:r>
      <w:r w:rsidR="001148EA" w:rsidRPr="00150F3D">
        <w:rPr>
          <w:rFonts w:ascii="Times New Roman" w:hAnsi="Times New Roman" w:cs="Times New Roman"/>
          <w:sz w:val="24"/>
          <w:szCs w:val="24"/>
        </w:rPr>
        <w:t>for civil damages</w:t>
      </w:r>
      <w:r w:rsidR="004D416A" w:rsidRPr="00150F3D">
        <w:rPr>
          <w:rFonts w:ascii="Times New Roman" w:hAnsi="Times New Roman" w:cs="Times New Roman"/>
          <w:sz w:val="24"/>
          <w:szCs w:val="24"/>
        </w:rPr>
        <w:t xml:space="preserve">. </w:t>
      </w:r>
      <w:r w:rsidR="00E84626">
        <w:rPr>
          <w:rFonts w:ascii="Times New Roman" w:hAnsi="Times New Roman" w:cs="Times New Roman"/>
          <w:sz w:val="24"/>
          <w:szCs w:val="24"/>
        </w:rPr>
        <w:t>Typically, these</w:t>
      </w:r>
      <w:r w:rsidR="00E84626" w:rsidRPr="00150F3D">
        <w:rPr>
          <w:rFonts w:ascii="Times New Roman" w:hAnsi="Times New Roman" w:cs="Times New Roman"/>
          <w:sz w:val="24"/>
          <w:szCs w:val="24"/>
        </w:rPr>
        <w:t xml:space="preserve"> </w:t>
      </w:r>
      <w:r w:rsidR="001148EA" w:rsidRPr="00150F3D">
        <w:rPr>
          <w:rFonts w:ascii="Times New Roman" w:hAnsi="Times New Roman" w:cs="Times New Roman"/>
          <w:sz w:val="24"/>
          <w:szCs w:val="24"/>
        </w:rPr>
        <w:t xml:space="preserve">civil </w:t>
      </w:r>
      <w:r w:rsidR="00963577">
        <w:rPr>
          <w:rFonts w:ascii="Times New Roman" w:hAnsi="Times New Roman" w:cs="Times New Roman"/>
          <w:sz w:val="24"/>
          <w:szCs w:val="24"/>
        </w:rPr>
        <w:t>cases</w:t>
      </w:r>
      <w:r w:rsidR="00963577" w:rsidRPr="00150F3D">
        <w:rPr>
          <w:rFonts w:ascii="Times New Roman" w:hAnsi="Times New Roman" w:cs="Times New Roman"/>
          <w:sz w:val="24"/>
          <w:szCs w:val="24"/>
        </w:rPr>
        <w:t xml:space="preserve"> </w:t>
      </w:r>
      <w:r w:rsidR="001148EA" w:rsidRPr="00150F3D">
        <w:rPr>
          <w:rFonts w:ascii="Times New Roman" w:hAnsi="Times New Roman" w:cs="Times New Roman"/>
          <w:sz w:val="24"/>
          <w:szCs w:val="24"/>
        </w:rPr>
        <w:t>relate to damage to livelihoods, personal injuries and economic losses</w:t>
      </w:r>
      <w:r w:rsidR="00963577">
        <w:rPr>
          <w:rFonts w:ascii="Times New Roman" w:hAnsi="Times New Roman" w:cs="Times New Roman"/>
          <w:sz w:val="24"/>
          <w:szCs w:val="24"/>
        </w:rPr>
        <w:t>,</w:t>
      </w:r>
      <w:r w:rsidR="001148EA" w:rsidRPr="00150F3D">
        <w:rPr>
          <w:rFonts w:ascii="Times New Roman" w:hAnsi="Times New Roman" w:cs="Times New Roman"/>
          <w:sz w:val="24"/>
          <w:szCs w:val="24"/>
        </w:rPr>
        <w:t xml:space="preserve"> often occurring </w:t>
      </w:r>
      <w:r w:rsidR="003D0AE6" w:rsidRPr="00150F3D">
        <w:rPr>
          <w:rFonts w:ascii="Times New Roman" w:hAnsi="Times New Roman" w:cs="Times New Roman"/>
          <w:sz w:val="24"/>
          <w:szCs w:val="24"/>
        </w:rPr>
        <w:t>because of</w:t>
      </w:r>
      <w:r w:rsidR="001148EA" w:rsidRPr="00150F3D">
        <w:rPr>
          <w:rFonts w:ascii="Times New Roman" w:hAnsi="Times New Roman" w:cs="Times New Roman"/>
          <w:sz w:val="24"/>
          <w:szCs w:val="24"/>
        </w:rPr>
        <w:t xml:space="preserve"> environmental harm</w:t>
      </w:r>
      <w:r w:rsidR="00963577">
        <w:rPr>
          <w:rFonts w:ascii="Times New Roman" w:hAnsi="Times New Roman" w:cs="Times New Roman"/>
          <w:sz w:val="24"/>
          <w:szCs w:val="24"/>
        </w:rPr>
        <w:t>s</w:t>
      </w:r>
      <w:r w:rsidR="001148EA" w:rsidRPr="00150F3D">
        <w:rPr>
          <w:rFonts w:ascii="Times New Roman" w:hAnsi="Times New Roman" w:cs="Times New Roman"/>
          <w:sz w:val="24"/>
          <w:szCs w:val="24"/>
        </w:rPr>
        <w:t xml:space="preserve"> or the pursuit of corporate objectives at the expense of </w:t>
      </w:r>
      <w:r w:rsidR="004D416A" w:rsidRPr="00150F3D">
        <w:rPr>
          <w:rFonts w:ascii="Times New Roman" w:hAnsi="Times New Roman" w:cs="Times New Roman"/>
          <w:sz w:val="24"/>
          <w:szCs w:val="24"/>
        </w:rPr>
        <w:t>people’s</w:t>
      </w:r>
      <w:r w:rsidR="001148EA" w:rsidRPr="00150F3D">
        <w:rPr>
          <w:rFonts w:ascii="Times New Roman" w:hAnsi="Times New Roman" w:cs="Times New Roman"/>
          <w:sz w:val="24"/>
          <w:szCs w:val="24"/>
        </w:rPr>
        <w:t xml:space="preserve"> human rights, that cause </w:t>
      </w:r>
      <w:r w:rsidR="00963577">
        <w:rPr>
          <w:rFonts w:ascii="Times New Roman" w:hAnsi="Times New Roman" w:cs="Times New Roman"/>
          <w:i/>
          <w:iCs/>
          <w:sz w:val="24"/>
          <w:szCs w:val="24"/>
        </w:rPr>
        <w:t xml:space="preserve">inter alia </w:t>
      </w:r>
      <w:r w:rsidR="001148EA" w:rsidRPr="00150F3D">
        <w:rPr>
          <w:rFonts w:ascii="Times New Roman" w:hAnsi="Times New Roman" w:cs="Times New Roman"/>
          <w:sz w:val="24"/>
          <w:szCs w:val="24"/>
        </w:rPr>
        <w:t xml:space="preserve">pollution, damage to land, or illegal eviction. </w:t>
      </w:r>
    </w:p>
    <w:p w14:paraId="737F019C" w14:textId="02894F1E" w:rsidR="001E2739" w:rsidRPr="00150F3D" w:rsidRDefault="001148EA" w:rsidP="00B82299">
      <w:pPr>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Numerous procedural and substantive obstacles continue to prevent victims from accessing an effective remedy through court litigation, including issues associated with access to information, and disproportionate cost of legal proceedings</w:t>
      </w:r>
      <w:r w:rsidR="00C25DCD">
        <w:rPr>
          <w:rFonts w:ascii="Times New Roman" w:hAnsi="Times New Roman" w:cs="Times New Roman"/>
          <w:sz w:val="24"/>
          <w:szCs w:val="24"/>
        </w:rPr>
        <w:t>.</w:t>
      </w:r>
      <w:r w:rsidRPr="00150F3D">
        <w:rPr>
          <w:rFonts w:ascii="Times New Roman" w:hAnsi="Times New Roman" w:cs="Times New Roman"/>
          <w:sz w:val="24"/>
          <w:szCs w:val="24"/>
          <w:vertAlign w:val="superscript"/>
        </w:rPr>
        <w:footnoteReference w:id="4"/>
      </w:r>
      <w:r w:rsidRPr="00150F3D">
        <w:rPr>
          <w:rFonts w:ascii="Times New Roman" w:hAnsi="Times New Roman" w:cs="Times New Roman"/>
          <w:sz w:val="24"/>
          <w:szCs w:val="24"/>
        </w:rPr>
        <w:t xml:space="preserve"> </w:t>
      </w:r>
      <w:r w:rsidR="002F1798">
        <w:rPr>
          <w:rFonts w:ascii="Times New Roman" w:hAnsi="Times New Roman" w:cs="Times New Roman"/>
          <w:sz w:val="24"/>
          <w:szCs w:val="24"/>
        </w:rPr>
        <w:t>S</w:t>
      </w:r>
      <w:r w:rsidRPr="00150F3D">
        <w:rPr>
          <w:rFonts w:ascii="Times New Roman" w:hAnsi="Times New Roman" w:cs="Times New Roman"/>
          <w:sz w:val="24"/>
          <w:szCs w:val="24"/>
        </w:rPr>
        <w:t xml:space="preserve">ubstantive obstacles </w:t>
      </w:r>
      <w:r w:rsidR="002F1798">
        <w:rPr>
          <w:rFonts w:ascii="Times New Roman" w:hAnsi="Times New Roman" w:cs="Times New Roman"/>
          <w:sz w:val="24"/>
          <w:szCs w:val="24"/>
        </w:rPr>
        <w:t xml:space="preserve">present </w:t>
      </w:r>
      <w:r w:rsidRPr="00150F3D">
        <w:rPr>
          <w:rFonts w:ascii="Times New Roman" w:hAnsi="Times New Roman" w:cs="Times New Roman"/>
          <w:sz w:val="24"/>
          <w:szCs w:val="24"/>
        </w:rPr>
        <w:t xml:space="preserve">even deeper </w:t>
      </w:r>
      <w:r w:rsidR="00EB4281">
        <w:rPr>
          <w:rFonts w:ascii="Times New Roman" w:hAnsi="Times New Roman" w:cs="Times New Roman"/>
          <w:sz w:val="24"/>
          <w:szCs w:val="24"/>
        </w:rPr>
        <w:t xml:space="preserve">problems </w:t>
      </w:r>
      <w:r w:rsidRPr="00150F3D">
        <w:rPr>
          <w:rFonts w:ascii="Times New Roman" w:hAnsi="Times New Roman" w:cs="Times New Roman"/>
          <w:sz w:val="24"/>
          <w:szCs w:val="24"/>
        </w:rPr>
        <w:t>and are more difficult to resolve. The</w:t>
      </w:r>
      <w:r w:rsidR="00EB4281">
        <w:rPr>
          <w:rFonts w:ascii="Times New Roman" w:hAnsi="Times New Roman" w:cs="Times New Roman"/>
          <w:sz w:val="24"/>
          <w:szCs w:val="24"/>
        </w:rPr>
        <w:t>se</w:t>
      </w:r>
      <w:r w:rsidRPr="00150F3D">
        <w:rPr>
          <w:rFonts w:ascii="Times New Roman" w:hAnsi="Times New Roman" w:cs="Times New Roman"/>
          <w:sz w:val="24"/>
          <w:szCs w:val="24"/>
        </w:rPr>
        <w:t xml:space="preserve"> relate to the law governing dispute</w:t>
      </w:r>
      <w:r w:rsidR="00D4306E">
        <w:rPr>
          <w:rFonts w:ascii="Times New Roman" w:hAnsi="Times New Roman" w:cs="Times New Roman"/>
          <w:sz w:val="24"/>
          <w:szCs w:val="24"/>
        </w:rPr>
        <w:t>s</w:t>
      </w:r>
      <w:r w:rsidRPr="00150F3D">
        <w:rPr>
          <w:rFonts w:ascii="Times New Roman" w:hAnsi="Times New Roman" w:cs="Times New Roman"/>
          <w:sz w:val="24"/>
          <w:szCs w:val="24"/>
        </w:rPr>
        <w:t xml:space="preserve"> and</w:t>
      </w:r>
      <w:r w:rsidR="00EB4281">
        <w:rPr>
          <w:rFonts w:ascii="Times New Roman" w:hAnsi="Times New Roman" w:cs="Times New Roman"/>
          <w:sz w:val="24"/>
          <w:szCs w:val="24"/>
        </w:rPr>
        <w:t xml:space="preserve"> </w:t>
      </w:r>
      <w:r w:rsidRPr="00150F3D">
        <w:rPr>
          <w:rFonts w:ascii="Times New Roman" w:hAnsi="Times New Roman" w:cs="Times New Roman"/>
          <w:sz w:val="24"/>
          <w:szCs w:val="24"/>
        </w:rPr>
        <w:t xml:space="preserve">are </w:t>
      </w:r>
      <w:r w:rsidR="00B27E1F" w:rsidRPr="00150F3D">
        <w:rPr>
          <w:rFonts w:ascii="Times New Roman" w:hAnsi="Times New Roman" w:cs="Times New Roman"/>
          <w:sz w:val="24"/>
          <w:szCs w:val="24"/>
        </w:rPr>
        <w:t xml:space="preserve">partly </w:t>
      </w:r>
      <w:r w:rsidRPr="00150F3D">
        <w:rPr>
          <w:rFonts w:ascii="Times New Roman" w:hAnsi="Times New Roman" w:cs="Times New Roman"/>
          <w:sz w:val="24"/>
          <w:szCs w:val="24"/>
        </w:rPr>
        <w:t xml:space="preserve">borne out of the </w:t>
      </w:r>
      <w:r w:rsidR="00825891" w:rsidRPr="00150F3D">
        <w:rPr>
          <w:rFonts w:ascii="Times New Roman" w:hAnsi="Times New Roman" w:cs="Times New Roman"/>
          <w:sz w:val="24"/>
          <w:szCs w:val="24"/>
        </w:rPr>
        <w:t>inconclusiveness</w:t>
      </w:r>
      <w:r w:rsidRPr="00150F3D">
        <w:rPr>
          <w:rFonts w:ascii="Times New Roman" w:hAnsi="Times New Roman" w:cs="Times New Roman"/>
          <w:sz w:val="24"/>
          <w:szCs w:val="24"/>
        </w:rPr>
        <w:t xml:space="preserve"> </w:t>
      </w:r>
      <w:r w:rsidR="003D0AE6" w:rsidRPr="00150F3D">
        <w:rPr>
          <w:rFonts w:ascii="Times New Roman" w:hAnsi="Times New Roman" w:cs="Times New Roman"/>
          <w:sz w:val="24"/>
          <w:szCs w:val="24"/>
        </w:rPr>
        <w:t xml:space="preserve">among jurisdictions </w:t>
      </w:r>
      <w:r w:rsidRPr="00150F3D">
        <w:rPr>
          <w:rFonts w:ascii="Times New Roman" w:hAnsi="Times New Roman" w:cs="Times New Roman"/>
          <w:sz w:val="24"/>
          <w:szCs w:val="24"/>
        </w:rPr>
        <w:t xml:space="preserve">on the </w:t>
      </w:r>
      <w:r w:rsidR="003D0AE6" w:rsidRPr="00150F3D">
        <w:rPr>
          <w:rFonts w:ascii="Times New Roman" w:hAnsi="Times New Roman" w:cs="Times New Roman"/>
          <w:sz w:val="24"/>
          <w:szCs w:val="24"/>
        </w:rPr>
        <w:t>fundamental</w:t>
      </w:r>
      <w:r w:rsidRPr="00150F3D">
        <w:rPr>
          <w:rFonts w:ascii="Times New Roman" w:hAnsi="Times New Roman" w:cs="Times New Roman"/>
          <w:sz w:val="24"/>
          <w:szCs w:val="24"/>
        </w:rPr>
        <w:t xml:space="preserve"> question </w:t>
      </w:r>
      <w:r w:rsidR="00175CF6">
        <w:rPr>
          <w:rFonts w:ascii="Times New Roman" w:hAnsi="Times New Roman" w:cs="Times New Roman"/>
          <w:sz w:val="24"/>
          <w:szCs w:val="24"/>
        </w:rPr>
        <w:t xml:space="preserve">of </w:t>
      </w:r>
      <w:r w:rsidRPr="00150F3D">
        <w:rPr>
          <w:rFonts w:ascii="Times New Roman" w:hAnsi="Times New Roman" w:cs="Times New Roman"/>
          <w:sz w:val="24"/>
          <w:szCs w:val="24"/>
        </w:rPr>
        <w:t xml:space="preserve">whether </w:t>
      </w:r>
      <w:r w:rsidR="00D4306E">
        <w:rPr>
          <w:rFonts w:ascii="Times New Roman" w:hAnsi="Times New Roman" w:cs="Times New Roman"/>
          <w:sz w:val="24"/>
          <w:szCs w:val="24"/>
        </w:rPr>
        <w:t>MNCs</w:t>
      </w:r>
      <w:r w:rsidR="004F70A3" w:rsidRPr="00150F3D">
        <w:rPr>
          <w:rFonts w:ascii="Times New Roman" w:hAnsi="Times New Roman" w:cs="Times New Roman"/>
          <w:sz w:val="24"/>
          <w:szCs w:val="24"/>
        </w:rPr>
        <w:t xml:space="preserve"> </w:t>
      </w:r>
      <w:r w:rsidRPr="00150F3D">
        <w:rPr>
          <w:rFonts w:ascii="Times New Roman" w:hAnsi="Times New Roman" w:cs="Times New Roman"/>
          <w:sz w:val="24"/>
          <w:szCs w:val="24"/>
        </w:rPr>
        <w:t xml:space="preserve">are subject to internationally recognised human rights and environmental </w:t>
      </w:r>
      <w:r w:rsidR="003D0AE6" w:rsidRPr="00150F3D">
        <w:rPr>
          <w:rFonts w:ascii="Times New Roman" w:hAnsi="Times New Roman" w:cs="Times New Roman"/>
          <w:sz w:val="24"/>
          <w:szCs w:val="24"/>
        </w:rPr>
        <w:t>law</w:t>
      </w:r>
      <w:r w:rsidR="00D4306E">
        <w:rPr>
          <w:rFonts w:ascii="Times New Roman" w:hAnsi="Times New Roman" w:cs="Times New Roman"/>
          <w:sz w:val="24"/>
          <w:szCs w:val="24"/>
        </w:rPr>
        <w:t>s</w:t>
      </w:r>
      <w:r w:rsidR="00C25DCD">
        <w:rPr>
          <w:rFonts w:ascii="Times New Roman" w:hAnsi="Times New Roman" w:cs="Times New Roman"/>
          <w:sz w:val="24"/>
          <w:szCs w:val="24"/>
        </w:rPr>
        <w:t>.</w:t>
      </w:r>
      <w:r w:rsidRPr="00150F3D">
        <w:rPr>
          <w:rFonts w:ascii="Times New Roman" w:hAnsi="Times New Roman" w:cs="Times New Roman"/>
          <w:sz w:val="24"/>
          <w:szCs w:val="24"/>
          <w:vertAlign w:val="superscript"/>
        </w:rPr>
        <w:footnoteReference w:id="5"/>
      </w:r>
      <w:r w:rsidRPr="00150F3D">
        <w:rPr>
          <w:rFonts w:ascii="Times New Roman" w:hAnsi="Times New Roman" w:cs="Times New Roman"/>
          <w:sz w:val="24"/>
          <w:szCs w:val="24"/>
        </w:rPr>
        <w:t xml:space="preserve"> The </w:t>
      </w:r>
      <w:r w:rsidR="00E84626">
        <w:rPr>
          <w:rFonts w:ascii="Times New Roman" w:hAnsi="Times New Roman" w:cs="Times New Roman"/>
          <w:sz w:val="24"/>
          <w:szCs w:val="24"/>
        </w:rPr>
        <w:t>UN Guiding Principles on Business and Human Rights (</w:t>
      </w:r>
      <w:r w:rsidRPr="00150F3D">
        <w:rPr>
          <w:rFonts w:ascii="Times New Roman" w:hAnsi="Times New Roman" w:cs="Times New Roman"/>
          <w:sz w:val="24"/>
          <w:szCs w:val="24"/>
        </w:rPr>
        <w:t>UNGPs</w:t>
      </w:r>
      <w:r w:rsidR="00E84626">
        <w:rPr>
          <w:rFonts w:ascii="Times New Roman" w:hAnsi="Times New Roman" w:cs="Times New Roman"/>
          <w:sz w:val="24"/>
          <w:szCs w:val="24"/>
        </w:rPr>
        <w:t>)</w:t>
      </w:r>
      <w:r w:rsidRPr="00150F3D">
        <w:rPr>
          <w:rFonts w:ascii="Times New Roman" w:hAnsi="Times New Roman" w:cs="Times New Roman"/>
          <w:sz w:val="24"/>
          <w:szCs w:val="24"/>
        </w:rPr>
        <w:t xml:space="preserve"> did not resolve this conundrum </w:t>
      </w:r>
      <w:r w:rsidR="00D4306E">
        <w:rPr>
          <w:rFonts w:ascii="Times New Roman" w:hAnsi="Times New Roman" w:cs="Times New Roman"/>
          <w:sz w:val="24"/>
          <w:szCs w:val="24"/>
        </w:rPr>
        <w:t>and</w:t>
      </w:r>
      <w:r w:rsidRPr="00150F3D">
        <w:rPr>
          <w:rFonts w:ascii="Times New Roman" w:hAnsi="Times New Roman" w:cs="Times New Roman"/>
          <w:sz w:val="24"/>
          <w:szCs w:val="24"/>
        </w:rPr>
        <w:t xml:space="preserve"> to date</w:t>
      </w:r>
      <w:r w:rsidR="00175CF6">
        <w:rPr>
          <w:rFonts w:ascii="Times New Roman" w:hAnsi="Times New Roman" w:cs="Times New Roman"/>
          <w:sz w:val="24"/>
          <w:szCs w:val="24"/>
        </w:rPr>
        <w:t>,</w:t>
      </w:r>
      <w:r w:rsidRPr="00150F3D">
        <w:rPr>
          <w:rFonts w:ascii="Times New Roman" w:hAnsi="Times New Roman" w:cs="Times New Roman"/>
          <w:sz w:val="24"/>
          <w:szCs w:val="24"/>
        </w:rPr>
        <w:t xml:space="preserve"> there has no</w:t>
      </w:r>
      <w:r w:rsidR="00825891" w:rsidRPr="00150F3D">
        <w:rPr>
          <w:rFonts w:ascii="Times New Roman" w:hAnsi="Times New Roman" w:cs="Times New Roman"/>
          <w:sz w:val="24"/>
          <w:szCs w:val="24"/>
        </w:rPr>
        <w:t>t been</w:t>
      </w:r>
      <w:r w:rsidRPr="00150F3D">
        <w:rPr>
          <w:rFonts w:ascii="Times New Roman" w:hAnsi="Times New Roman" w:cs="Times New Roman"/>
          <w:sz w:val="24"/>
          <w:szCs w:val="24"/>
        </w:rPr>
        <w:t xml:space="preserve"> such </w:t>
      </w:r>
      <w:r w:rsidR="00B27E1F" w:rsidRPr="00150F3D">
        <w:rPr>
          <w:rFonts w:ascii="Times New Roman" w:hAnsi="Times New Roman" w:cs="Times New Roman"/>
          <w:sz w:val="24"/>
          <w:szCs w:val="24"/>
        </w:rPr>
        <w:t>recognition</w:t>
      </w:r>
      <w:r w:rsidR="00D4306E">
        <w:rPr>
          <w:rFonts w:ascii="Times New Roman" w:hAnsi="Times New Roman" w:cs="Times New Roman"/>
          <w:sz w:val="24"/>
          <w:szCs w:val="24"/>
        </w:rPr>
        <w:t>,</w:t>
      </w:r>
      <w:r w:rsidRPr="00150F3D">
        <w:rPr>
          <w:rFonts w:ascii="Times New Roman" w:hAnsi="Times New Roman" w:cs="Times New Roman"/>
          <w:sz w:val="24"/>
          <w:szCs w:val="24"/>
        </w:rPr>
        <w:t xml:space="preserve"> even in the type of instrument</w:t>
      </w:r>
      <w:r w:rsidR="00B27E1F" w:rsidRPr="00150F3D">
        <w:rPr>
          <w:rFonts w:ascii="Times New Roman" w:hAnsi="Times New Roman" w:cs="Times New Roman"/>
          <w:sz w:val="24"/>
          <w:szCs w:val="24"/>
        </w:rPr>
        <w:t>s</w:t>
      </w:r>
      <w:r w:rsidRPr="00150F3D">
        <w:rPr>
          <w:rFonts w:ascii="Times New Roman" w:hAnsi="Times New Roman" w:cs="Times New Roman"/>
          <w:sz w:val="24"/>
          <w:szCs w:val="24"/>
        </w:rPr>
        <w:t xml:space="preserve"> we discuss in part 3 of this Article. </w:t>
      </w:r>
    </w:p>
    <w:p w14:paraId="68C3027A" w14:textId="2960C68D" w:rsidR="0082317B" w:rsidRPr="00150F3D" w:rsidRDefault="00D2181D" w:rsidP="00B82299">
      <w:pPr>
        <w:spacing w:before="120" w:after="240" w:line="360" w:lineRule="auto"/>
        <w:ind w:firstLine="720"/>
        <w:jc w:val="both"/>
        <w:rPr>
          <w:rFonts w:ascii="Times New Roman" w:hAnsi="Times New Roman" w:cs="Times New Roman"/>
          <w:sz w:val="24"/>
          <w:szCs w:val="24"/>
        </w:rPr>
      </w:pPr>
      <w:r w:rsidRPr="00150F3D">
        <w:rPr>
          <w:rFonts w:ascii="Times New Roman" w:hAnsi="Times New Roman" w:cs="Times New Roman"/>
          <w:sz w:val="24"/>
          <w:szCs w:val="24"/>
        </w:rPr>
        <w:t xml:space="preserve">Consequently, </w:t>
      </w:r>
      <w:r w:rsidR="001F5C18">
        <w:rPr>
          <w:rFonts w:ascii="Times New Roman" w:hAnsi="Times New Roman" w:cs="Times New Roman"/>
          <w:sz w:val="24"/>
          <w:szCs w:val="24"/>
        </w:rPr>
        <w:t xml:space="preserve">outside the cases brought under </w:t>
      </w:r>
      <w:r w:rsidR="00B108A4">
        <w:rPr>
          <w:rFonts w:ascii="Times New Roman" w:hAnsi="Times New Roman" w:cs="Times New Roman"/>
          <w:sz w:val="24"/>
          <w:szCs w:val="24"/>
        </w:rPr>
        <w:t>Alien Tort Statute (</w:t>
      </w:r>
      <w:r w:rsidR="001F5C18">
        <w:rPr>
          <w:rFonts w:ascii="Times New Roman" w:hAnsi="Times New Roman" w:cs="Times New Roman"/>
          <w:sz w:val="24"/>
          <w:szCs w:val="24"/>
        </w:rPr>
        <w:t>ATS</w:t>
      </w:r>
      <w:r w:rsidR="00B108A4">
        <w:rPr>
          <w:rFonts w:ascii="Times New Roman" w:hAnsi="Times New Roman" w:cs="Times New Roman"/>
          <w:sz w:val="24"/>
          <w:szCs w:val="24"/>
        </w:rPr>
        <w:t>)</w:t>
      </w:r>
      <w:r w:rsidR="001F5C18">
        <w:rPr>
          <w:rFonts w:ascii="Times New Roman" w:hAnsi="Times New Roman" w:cs="Times New Roman"/>
          <w:sz w:val="24"/>
          <w:szCs w:val="24"/>
        </w:rPr>
        <w:t xml:space="preserve"> litigation</w:t>
      </w:r>
      <w:r w:rsidR="00820D52">
        <w:rPr>
          <w:rFonts w:ascii="Times New Roman" w:hAnsi="Times New Roman" w:cs="Times New Roman"/>
          <w:sz w:val="24"/>
          <w:szCs w:val="24"/>
        </w:rPr>
        <w:t>,</w:t>
      </w:r>
      <w:r w:rsidR="001F5C18">
        <w:rPr>
          <w:rFonts w:ascii="Times New Roman" w:hAnsi="Times New Roman" w:cs="Times New Roman"/>
          <w:sz w:val="24"/>
          <w:szCs w:val="24"/>
        </w:rPr>
        <w:t xml:space="preserve"> which we address in part B.2 of this Article, </w:t>
      </w:r>
      <w:r w:rsidRPr="00150F3D">
        <w:rPr>
          <w:rFonts w:ascii="Times New Roman" w:hAnsi="Times New Roman" w:cs="Times New Roman"/>
          <w:sz w:val="24"/>
          <w:szCs w:val="24"/>
        </w:rPr>
        <w:t xml:space="preserve">it </w:t>
      </w:r>
      <w:r w:rsidR="00836F60">
        <w:rPr>
          <w:rFonts w:ascii="Times New Roman" w:hAnsi="Times New Roman" w:cs="Times New Roman"/>
          <w:sz w:val="24"/>
          <w:szCs w:val="24"/>
        </w:rPr>
        <w:t xml:space="preserve">is </w:t>
      </w:r>
      <w:r w:rsidR="007E454D">
        <w:rPr>
          <w:rFonts w:ascii="Times New Roman" w:hAnsi="Times New Roman" w:cs="Times New Roman"/>
          <w:sz w:val="24"/>
          <w:szCs w:val="24"/>
        </w:rPr>
        <w:t>difficult</w:t>
      </w:r>
      <w:r w:rsidR="001F5C18">
        <w:rPr>
          <w:rFonts w:ascii="Times New Roman" w:hAnsi="Times New Roman" w:cs="Times New Roman"/>
          <w:sz w:val="24"/>
          <w:szCs w:val="24"/>
        </w:rPr>
        <w:t>, and perhaps ill advised</w:t>
      </w:r>
      <w:r w:rsidRPr="00150F3D">
        <w:rPr>
          <w:rFonts w:ascii="Times New Roman" w:hAnsi="Times New Roman" w:cs="Times New Roman"/>
          <w:sz w:val="24"/>
          <w:szCs w:val="24"/>
        </w:rPr>
        <w:t xml:space="preserve"> to bring civil claims against corporations </w:t>
      </w:r>
      <w:r w:rsidR="00D4306E">
        <w:rPr>
          <w:rFonts w:ascii="Times New Roman" w:hAnsi="Times New Roman" w:cs="Times New Roman"/>
          <w:sz w:val="24"/>
          <w:szCs w:val="24"/>
        </w:rPr>
        <w:t xml:space="preserve">before national courts </w:t>
      </w:r>
      <w:r w:rsidRPr="00150F3D">
        <w:rPr>
          <w:rFonts w:ascii="Times New Roman" w:hAnsi="Times New Roman" w:cs="Times New Roman"/>
          <w:sz w:val="24"/>
          <w:szCs w:val="24"/>
        </w:rPr>
        <w:t>based on</w:t>
      </w:r>
      <w:r w:rsidR="001F5C18">
        <w:rPr>
          <w:rFonts w:ascii="Times New Roman" w:hAnsi="Times New Roman" w:cs="Times New Roman"/>
          <w:sz w:val="24"/>
          <w:szCs w:val="24"/>
        </w:rPr>
        <w:t xml:space="preserve"> the violation of</w:t>
      </w:r>
      <w:r w:rsidRPr="00150F3D">
        <w:rPr>
          <w:rFonts w:ascii="Times New Roman" w:hAnsi="Times New Roman" w:cs="Times New Roman"/>
          <w:sz w:val="24"/>
          <w:szCs w:val="24"/>
        </w:rPr>
        <w:t xml:space="preserve"> </w:t>
      </w:r>
      <w:r w:rsidR="00825891" w:rsidRPr="00150F3D">
        <w:rPr>
          <w:rFonts w:ascii="Times New Roman" w:hAnsi="Times New Roman" w:cs="Times New Roman"/>
          <w:sz w:val="24"/>
          <w:szCs w:val="24"/>
        </w:rPr>
        <w:t xml:space="preserve">international </w:t>
      </w:r>
      <w:r w:rsidRPr="00150F3D">
        <w:rPr>
          <w:rFonts w:ascii="Times New Roman" w:hAnsi="Times New Roman" w:cs="Times New Roman"/>
          <w:sz w:val="24"/>
          <w:szCs w:val="24"/>
        </w:rPr>
        <w:t>human rights</w:t>
      </w:r>
      <w:r w:rsidR="00A12A0D" w:rsidRPr="00150F3D">
        <w:rPr>
          <w:rFonts w:ascii="Times New Roman" w:hAnsi="Times New Roman" w:cs="Times New Roman"/>
          <w:sz w:val="24"/>
          <w:szCs w:val="24"/>
        </w:rPr>
        <w:t xml:space="preserve"> </w:t>
      </w:r>
      <w:r w:rsidR="00A12A0D" w:rsidRPr="00150F3D">
        <w:rPr>
          <w:rFonts w:ascii="Times New Roman" w:hAnsi="Times New Roman" w:cs="Times New Roman"/>
          <w:i/>
          <w:iCs/>
          <w:sz w:val="24"/>
          <w:szCs w:val="24"/>
        </w:rPr>
        <w:t>per se</w:t>
      </w:r>
      <w:r w:rsidR="00C25DCD">
        <w:rPr>
          <w:rFonts w:ascii="Times New Roman" w:hAnsi="Times New Roman" w:cs="Times New Roman"/>
          <w:i/>
          <w:iCs/>
          <w:sz w:val="24"/>
          <w:szCs w:val="24"/>
        </w:rPr>
        <w:t>.</w:t>
      </w:r>
      <w:bookmarkStart w:id="1" w:name="_Ref141965263"/>
      <w:r w:rsidRPr="00150F3D">
        <w:rPr>
          <w:rStyle w:val="FootnoteReference"/>
          <w:rFonts w:ascii="Times New Roman" w:hAnsi="Times New Roman" w:cs="Times New Roman"/>
          <w:sz w:val="24"/>
          <w:szCs w:val="24"/>
        </w:rPr>
        <w:footnoteReference w:id="6"/>
      </w:r>
      <w:bookmarkEnd w:id="1"/>
      <w:r w:rsidR="0066324F" w:rsidRPr="00150F3D">
        <w:rPr>
          <w:rFonts w:ascii="Times New Roman" w:hAnsi="Times New Roman" w:cs="Times New Roman"/>
          <w:sz w:val="24"/>
          <w:szCs w:val="24"/>
        </w:rPr>
        <w:t xml:space="preserve"> </w:t>
      </w:r>
      <w:r w:rsidR="001148EA" w:rsidRPr="00150F3D">
        <w:rPr>
          <w:rFonts w:ascii="Times New Roman" w:hAnsi="Times New Roman" w:cs="Times New Roman"/>
          <w:sz w:val="24"/>
          <w:szCs w:val="24"/>
        </w:rPr>
        <w:t xml:space="preserve">This has forced victims to look </w:t>
      </w:r>
      <w:r w:rsidR="00B27E1F" w:rsidRPr="00150F3D">
        <w:rPr>
          <w:rFonts w:ascii="Times New Roman" w:hAnsi="Times New Roman" w:cs="Times New Roman"/>
          <w:sz w:val="24"/>
          <w:szCs w:val="24"/>
        </w:rPr>
        <w:t xml:space="preserve">for </w:t>
      </w:r>
      <w:r w:rsidR="002F1798">
        <w:rPr>
          <w:rFonts w:ascii="Times New Roman" w:hAnsi="Times New Roman" w:cs="Times New Roman"/>
          <w:sz w:val="24"/>
          <w:szCs w:val="24"/>
        </w:rPr>
        <w:t>alternatives</w:t>
      </w:r>
      <w:r w:rsidR="00B27E1F" w:rsidRPr="00150F3D">
        <w:rPr>
          <w:rFonts w:ascii="Times New Roman" w:hAnsi="Times New Roman" w:cs="Times New Roman"/>
          <w:sz w:val="24"/>
          <w:szCs w:val="24"/>
        </w:rPr>
        <w:t xml:space="preserve"> elsewhere, </w:t>
      </w:r>
      <w:r w:rsidR="00624D12" w:rsidRPr="00150F3D">
        <w:rPr>
          <w:rFonts w:ascii="Times New Roman" w:hAnsi="Times New Roman" w:cs="Times New Roman"/>
          <w:sz w:val="24"/>
          <w:szCs w:val="24"/>
        </w:rPr>
        <w:t xml:space="preserve"> mainly</w:t>
      </w:r>
      <w:r w:rsidR="00B27E1F" w:rsidRPr="00150F3D">
        <w:rPr>
          <w:rFonts w:ascii="Times New Roman" w:hAnsi="Times New Roman" w:cs="Times New Roman"/>
          <w:sz w:val="24"/>
          <w:szCs w:val="24"/>
        </w:rPr>
        <w:t xml:space="preserve"> </w:t>
      </w:r>
      <w:r w:rsidR="006F0B4C" w:rsidRPr="00150F3D">
        <w:rPr>
          <w:rFonts w:ascii="Times New Roman" w:hAnsi="Times New Roman" w:cs="Times New Roman"/>
          <w:sz w:val="24"/>
          <w:szCs w:val="24"/>
        </w:rPr>
        <w:t>under</w:t>
      </w:r>
      <w:r w:rsidR="001148EA" w:rsidRPr="00150F3D">
        <w:rPr>
          <w:rFonts w:ascii="Times New Roman" w:hAnsi="Times New Roman" w:cs="Times New Roman"/>
          <w:sz w:val="24"/>
          <w:szCs w:val="24"/>
        </w:rPr>
        <w:t xml:space="preserve"> </w:t>
      </w:r>
      <w:r w:rsidR="00B27E1F" w:rsidRPr="00150F3D">
        <w:rPr>
          <w:rFonts w:ascii="Times New Roman" w:hAnsi="Times New Roman" w:cs="Times New Roman"/>
          <w:sz w:val="24"/>
          <w:szCs w:val="24"/>
        </w:rPr>
        <w:t xml:space="preserve">the tort </w:t>
      </w:r>
      <w:r w:rsidR="00B27E1F" w:rsidRPr="00150F3D">
        <w:rPr>
          <w:rFonts w:ascii="Times New Roman" w:hAnsi="Times New Roman" w:cs="Times New Roman"/>
          <w:sz w:val="24"/>
          <w:szCs w:val="24"/>
        </w:rPr>
        <w:lastRenderedPageBreak/>
        <w:t>of negligence</w:t>
      </w:r>
      <w:r w:rsidR="002F1798">
        <w:rPr>
          <w:rFonts w:ascii="Times New Roman" w:hAnsi="Times New Roman" w:cs="Times New Roman"/>
          <w:sz w:val="24"/>
          <w:szCs w:val="24"/>
        </w:rPr>
        <w:t>,</w:t>
      </w:r>
      <w:r w:rsidR="001148EA" w:rsidRPr="00150F3D">
        <w:rPr>
          <w:rFonts w:ascii="Times New Roman" w:hAnsi="Times New Roman" w:cs="Times New Roman"/>
          <w:sz w:val="24"/>
          <w:szCs w:val="24"/>
        </w:rPr>
        <w:t xml:space="preserve"> or</w:t>
      </w:r>
      <w:r w:rsidR="002F1798">
        <w:rPr>
          <w:rFonts w:ascii="Times New Roman" w:hAnsi="Times New Roman" w:cs="Times New Roman"/>
          <w:sz w:val="24"/>
          <w:szCs w:val="24"/>
        </w:rPr>
        <w:t xml:space="preserve">, </w:t>
      </w:r>
      <w:r w:rsidR="00B26808">
        <w:rPr>
          <w:rFonts w:ascii="Times New Roman" w:hAnsi="Times New Roman" w:cs="Times New Roman"/>
          <w:sz w:val="24"/>
          <w:szCs w:val="24"/>
        </w:rPr>
        <w:t>in the US context,</w:t>
      </w:r>
      <w:r w:rsidR="00B26808" w:rsidRPr="00150F3D">
        <w:rPr>
          <w:rFonts w:ascii="Times New Roman" w:hAnsi="Times New Roman" w:cs="Times New Roman"/>
          <w:sz w:val="24"/>
          <w:szCs w:val="24"/>
        </w:rPr>
        <w:t xml:space="preserve"> </w:t>
      </w:r>
      <w:r w:rsidR="00B26808">
        <w:rPr>
          <w:rFonts w:ascii="Times New Roman" w:hAnsi="Times New Roman" w:cs="Times New Roman"/>
          <w:sz w:val="24"/>
          <w:szCs w:val="24"/>
        </w:rPr>
        <w:t>A</w:t>
      </w:r>
      <w:r w:rsidR="00B26808" w:rsidRPr="00150F3D">
        <w:rPr>
          <w:rFonts w:ascii="Times New Roman" w:hAnsi="Times New Roman" w:cs="Times New Roman"/>
          <w:sz w:val="24"/>
          <w:szCs w:val="24"/>
        </w:rPr>
        <w:t>ATS</w:t>
      </w:r>
      <w:r w:rsidR="001148EA" w:rsidRPr="00150F3D">
        <w:rPr>
          <w:rFonts w:ascii="Times New Roman" w:hAnsi="Times New Roman" w:cs="Times New Roman"/>
          <w:sz w:val="24"/>
          <w:szCs w:val="24"/>
        </w:rPr>
        <w:t xml:space="preserve"> litigation, often employing creative ways, though rarely successful</w:t>
      </w:r>
      <w:r w:rsidR="001C232D" w:rsidRPr="00150F3D">
        <w:rPr>
          <w:rFonts w:ascii="Times New Roman" w:hAnsi="Times New Roman" w:cs="Times New Roman"/>
          <w:sz w:val="24"/>
          <w:szCs w:val="24"/>
        </w:rPr>
        <w:t>.</w:t>
      </w:r>
      <w:r w:rsidR="0066324F" w:rsidRPr="00150F3D">
        <w:rPr>
          <w:rFonts w:ascii="Times New Roman" w:hAnsi="Times New Roman" w:cs="Times New Roman"/>
          <w:sz w:val="24"/>
          <w:szCs w:val="24"/>
        </w:rPr>
        <w:t xml:space="preserve"> </w:t>
      </w:r>
      <w:r w:rsidR="0082317B" w:rsidRPr="00150F3D">
        <w:rPr>
          <w:rFonts w:ascii="Times New Roman" w:hAnsi="Times New Roman" w:cs="Times New Roman"/>
          <w:sz w:val="24"/>
          <w:szCs w:val="24"/>
        </w:rPr>
        <w:t xml:space="preserve">Moreover, most questions of law on civil liability have been </w:t>
      </w:r>
      <w:r w:rsidR="002F1798">
        <w:rPr>
          <w:rFonts w:ascii="Times New Roman" w:hAnsi="Times New Roman" w:cs="Times New Roman"/>
          <w:sz w:val="24"/>
          <w:szCs w:val="24"/>
        </w:rPr>
        <w:t>addressed</w:t>
      </w:r>
      <w:r w:rsidR="0082317B" w:rsidRPr="00150F3D">
        <w:rPr>
          <w:rFonts w:ascii="Times New Roman" w:hAnsi="Times New Roman" w:cs="Times New Roman"/>
          <w:sz w:val="24"/>
          <w:szCs w:val="24"/>
        </w:rPr>
        <w:t xml:space="preserve"> as part of jurisdictional procedural enquiries, which </w:t>
      </w:r>
      <w:r w:rsidR="00175CF6">
        <w:rPr>
          <w:rFonts w:ascii="Times New Roman" w:hAnsi="Times New Roman" w:cs="Times New Roman"/>
          <w:sz w:val="24"/>
          <w:szCs w:val="24"/>
        </w:rPr>
        <w:t>require</w:t>
      </w:r>
      <w:r w:rsidR="00175CF6" w:rsidRPr="00150F3D">
        <w:rPr>
          <w:rFonts w:ascii="Times New Roman" w:hAnsi="Times New Roman" w:cs="Times New Roman"/>
          <w:sz w:val="24"/>
          <w:szCs w:val="24"/>
        </w:rPr>
        <w:t xml:space="preserve"> </w:t>
      </w:r>
      <w:r w:rsidR="0082317B" w:rsidRPr="00150F3D">
        <w:rPr>
          <w:rFonts w:ascii="Times New Roman" w:hAnsi="Times New Roman" w:cs="Times New Roman"/>
          <w:sz w:val="24"/>
          <w:szCs w:val="24"/>
        </w:rPr>
        <w:t xml:space="preserve">a lower evidentiary burden, usually a plausibility test, and should not involve a </w:t>
      </w:r>
      <w:r w:rsidR="00831BAF">
        <w:rPr>
          <w:rFonts w:ascii="Times New Roman" w:hAnsi="Times New Roman" w:cs="Times New Roman"/>
          <w:sz w:val="24"/>
          <w:szCs w:val="24"/>
        </w:rPr>
        <w:t>mini-trial</w:t>
      </w:r>
      <w:r w:rsidR="0082317B" w:rsidRPr="00150F3D">
        <w:rPr>
          <w:rFonts w:ascii="Times New Roman" w:hAnsi="Times New Roman" w:cs="Times New Roman"/>
          <w:sz w:val="24"/>
          <w:szCs w:val="24"/>
        </w:rPr>
        <w:t xml:space="preserve"> on the issue. Most international human rights litigation involving M</w:t>
      </w:r>
      <w:r w:rsidR="00B26808">
        <w:rPr>
          <w:rFonts w:ascii="Times New Roman" w:hAnsi="Times New Roman" w:cs="Times New Roman"/>
          <w:sz w:val="24"/>
          <w:szCs w:val="24"/>
        </w:rPr>
        <w:t>N</w:t>
      </w:r>
      <w:r w:rsidR="0082317B" w:rsidRPr="00150F3D">
        <w:rPr>
          <w:rFonts w:ascii="Times New Roman" w:hAnsi="Times New Roman" w:cs="Times New Roman"/>
          <w:sz w:val="24"/>
          <w:szCs w:val="24"/>
        </w:rPr>
        <w:t>Cs have not been decided on the merits, and some were settled in private</w:t>
      </w:r>
      <w:r w:rsidR="00CD0313" w:rsidRPr="00150F3D">
        <w:rPr>
          <w:rFonts w:ascii="Times New Roman" w:hAnsi="Times New Roman" w:cs="Times New Roman"/>
          <w:sz w:val="24"/>
          <w:szCs w:val="24"/>
        </w:rPr>
        <w:t>.</w:t>
      </w:r>
      <w:r w:rsidR="00E84626">
        <w:rPr>
          <w:rFonts w:ascii="Times New Roman" w:hAnsi="Times New Roman" w:cs="Times New Roman"/>
          <w:sz w:val="24"/>
          <w:szCs w:val="24"/>
        </w:rPr>
        <w:t xml:space="preserve"> As a result, </w:t>
      </w:r>
      <w:r w:rsidR="0082317B" w:rsidRPr="00150F3D">
        <w:rPr>
          <w:rFonts w:ascii="Times New Roman" w:hAnsi="Times New Roman" w:cs="Times New Roman"/>
          <w:sz w:val="24"/>
          <w:szCs w:val="24"/>
        </w:rPr>
        <w:t>there is</w:t>
      </w:r>
      <w:r w:rsidR="00C11F31">
        <w:rPr>
          <w:rFonts w:ascii="Times New Roman" w:hAnsi="Times New Roman" w:cs="Times New Roman"/>
          <w:sz w:val="24"/>
          <w:szCs w:val="24"/>
        </w:rPr>
        <w:t xml:space="preserve"> </w:t>
      </w:r>
      <w:r w:rsidR="00C11F31" w:rsidRPr="00150F3D">
        <w:rPr>
          <w:rFonts w:ascii="Times New Roman" w:hAnsi="Times New Roman" w:cs="Times New Roman"/>
          <w:sz w:val="24"/>
          <w:szCs w:val="24"/>
        </w:rPr>
        <w:t>n</w:t>
      </w:r>
      <w:r w:rsidR="00C11F31">
        <w:rPr>
          <w:rFonts w:ascii="Times New Roman" w:hAnsi="Times New Roman" w:cs="Times New Roman"/>
          <w:sz w:val="24"/>
          <w:szCs w:val="24"/>
        </w:rPr>
        <w:t>o</w:t>
      </w:r>
      <w:r w:rsidR="0082317B" w:rsidRPr="00150F3D">
        <w:rPr>
          <w:rFonts w:ascii="Times New Roman" w:hAnsi="Times New Roman" w:cs="Times New Roman"/>
          <w:sz w:val="24"/>
          <w:szCs w:val="24"/>
        </w:rPr>
        <w:t xml:space="preserve"> coherent and conclusive body of law that </w:t>
      </w:r>
      <w:r w:rsidR="00175CF6">
        <w:rPr>
          <w:rFonts w:ascii="Times New Roman" w:hAnsi="Times New Roman" w:cs="Times New Roman"/>
          <w:sz w:val="24"/>
          <w:szCs w:val="24"/>
        </w:rPr>
        <w:t>h</w:t>
      </w:r>
      <w:r w:rsidR="00F815AF">
        <w:rPr>
          <w:rFonts w:ascii="Times New Roman" w:hAnsi="Times New Roman" w:cs="Times New Roman"/>
          <w:sz w:val="24"/>
          <w:szCs w:val="24"/>
        </w:rPr>
        <w:t>as</w:t>
      </w:r>
      <w:r w:rsidR="00175CF6" w:rsidRPr="00150F3D">
        <w:rPr>
          <w:rFonts w:ascii="Times New Roman" w:hAnsi="Times New Roman" w:cs="Times New Roman"/>
          <w:sz w:val="24"/>
          <w:szCs w:val="24"/>
        </w:rPr>
        <w:t xml:space="preserve"> </w:t>
      </w:r>
      <w:r w:rsidR="0082317B" w:rsidRPr="00150F3D">
        <w:rPr>
          <w:rFonts w:ascii="Times New Roman" w:hAnsi="Times New Roman" w:cs="Times New Roman"/>
          <w:sz w:val="24"/>
          <w:szCs w:val="24"/>
        </w:rPr>
        <w:t>developed and adapted the traditional principles of tort</w:t>
      </w:r>
      <w:r w:rsidR="00CD0313" w:rsidRPr="00150F3D">
        <w:rPr>
          <w:rFonts w:ascii="Times New Roman" w:hAnsi="Times New Roman" w:cs="Times New Roman"/>
          <w:sz w:val="24"/>
          <w:szCs w:val="24"/>
        </w:rPr>
        <w:t xml:space="preserve"> and civil liability</w:t>
      </w:r>
      <w:r w:rsidR="0082317B" w:rsidRPr="00150F3D">
        <w:rPr>
          <w:rFonts w:ascii="Times New Roman" w:hAnsi="Times New Roman" w:cs="Times New Roman"/>
          <w:sz w:val="24"/>
          <w:szCs w:val="24"/>
        </w:rPr>
        <w:t xml:space="preserve"> to the context </w:t>
      </w:r>
      <w:r w:rsidR="00935582" w:rsidRPr="00150F3D">
        <w:rPr>
          <w:rFonts w:ascii="Times New Roman" w:hAnsi="Times New Roman" w:cs="Times New Roman"/>
          <w:sz w:val="24"/>
          <w:szCs w:val="24"/>
        </w:rPr>
        <w:t xml:space="preserve">and challenges </w:t>
      </w:r>
      <w:r w:rsidR="0082317B" w:rsidRPr="00150F3D">
        <w:rPr>
          <w:rFonts w:ascii="Times New Roman" w:hAnsi="Times New Roman" w:cs="Times New Roman"/>
          <w:sz w:val="24"/>
          <w:szCs w:val="24"/>
        </w:rPr>
        <w:t>of international human rights litigation</w:t>
      </w:r>
      <w:r w:rsidR="00C25DCD">
        <w:rPr>
          <w:rFonts w:ascii="Times New Roman" w:hAnsi="Times New Roman" w:cs="Times New Roman"/>
          <w:sz w:val="24"/>
          <w:szCs w:val="24"/>
        </w:rPr>
        <w:t>.</w:t>
      </w:r>
      <w:bookmarkStart w:id="2" w:name="_Ref141964380"/>
      <w:r w:rsidR="0082317B" w:rsidRPr="00150F3D">
        <w:rPr>
          <w:rStyle w:val="FootnoteReference"/>
          <w:rFonts w:ascii="Times New Roman" w:hAnsi="Times New Roman" w:cs="Times New Roman"/>
          <w:sz w:val="24"/>
          <w:szCs w:val="24"/>
        </w:rPr>
        <w:footnoteReference w:id="7"/>
      </w:r>
      <w:bookmarkEnd w:id="2"/>
      <w:r w:rsidR="0082317B" w:rsidRPr="00150F3D">
        <w:rPr>
          <w:rFonts w:ascii="Times New Roman" w:hAnsi="Times New Roman" w:cs="Times New Roman"/>
          <w:sz w:val="24"/>
          <w:szCs w:val="24"/>
        </w:rPr>
        <w:t xml:space="preserve">  </w:t>
      </w:r>
    </w:p>
    <w:p w14:paraId="18143CEA" w14:textId="3A8B2E6F" w:rsidR="005E3210" w:rsidRDefault="0066324F" w:rsidP="005E3210">
      <w:pPr>
        <w:spacing w:before="120" w:after="240" w:line="360" w:lineRule="auto"/>
        <w:ind w:firstLine="720"/>
        <w:jc w:val="both"/>
        <w:rPr>
          <w:rFonts w:ascii="Times New Roman" w:hAnsi="Times New Roman" w:cs="Times New Roman"/>
          <w:sz w:val="24"/>
          <w:szCs w:val="24"/>
        </w:rPr>
      </w:pPr>
      <w:r w:rsidRPr="00150F3D">
        <w:rPr>
          <w:rFonts w:ascii="Times New Roman" w:hAnsi="Times New Roman" w:cs="Times New Roman"/>
          <w:sz w:val="24"/>
          <w:szCs w:val="24"/>
        </w:rPr>
        <w:t>Be it as it may, from a policy perspective, a</w:t>
      </w:r>
      <w:r w:rsidR="00AA2CD2" w:rsidRPr="00150F3D">
        <w:rPr>
          <w:rFonts w:ascii="Times New Roman" w:hAnsi="Times New Roman" w:cs="Times New Roman"/>
          <w:sz w:val="24"/>
          <w:szCs w:val="24"/>
        </w:rPr>
        <w:t xml:space="preserve"> strong and effective framework of tort law that addresses </w:t>
      </w:r>
      <w:r w:rsidR="007440AC" w:rsidRPr="00150F3D">
        <w:rPr>
          <w:rFonts w:ascii="Times New Roman" w:hAnsi="Times New Roman" w:cs="Times New Roman"/>
          <w:sz w:val="24"/>
          <w:szCs w:val="24"/>
        </w:rPr>
        <w:t>human rights</w:t>
      </w:r>
      <w:r w:rsidR="00C11F31">
        <w:rPr>
          <w:rFonts w:ascii="Times New Roman" w:hAnsi="Times New Roman" w:cs="Times New Roman"/>
          <w:sz w:val="24"/>
          <w:szCs w:val="24"/>
        </w:rPr>
        <w:t xml:space="preserve"> and environmental</w:t>
      </w:r>
      <w:r w:rsidR="00AA2CD2" w:rsidRPr="00150F3D">
        <w:rPr>
          <w:rFonts w:ascii="Times New Roman" w:hAnsi="Times New Roman" w:cs="Times New Roman"/>
          <w:sz w:val="24"/>
          <w:szCs w:val="24"/>
        </w:rPr>
        <w:t xml:space="preserve"> wrongs will </w:t>
      </w:r>
      <w:r w:rsidR="007440AC" w:rsidRPr="00150F3D">
        <w:rPr>
          <w:rFonts w:ascii="Times New Roman" w:hAnsi="Times New Roman" w:cs="Times New Roman"/>
          <w:sz w:val="24"/>
          <w:szCs w:val="24"/>
        </w:rPr>
        <w:t xml:space="preserve">no doubt </w:t>
      </w:r>
      <w:r w:rsidR="00AA2CD2" w:rsidRPr="00150F3D">
        <w:rPr>
          <w:rFonts w:ascii="Times New Roman" w:hAnsi="Times New Roman" w:cs="Times New Roman"/>
          <w:sz w:val="24"/>
          <w:szCs w:val="24"/>
        </w:rPr>
        <w:t xml:space="preserve">push forward the remedial goals of the UNGPs and </w:t>
      </w:r>
      <w:r w:rsidR="007440AC" w:rsidRPr="00150F3D">
        <w:rPr>
          <w:rFonts w:ascii="Times New Roman" w:hAnsi="Times New Roman" w:cs="Times New Roman"/>
          <w:sz w:val="24"/>
          <w:szCs w:val="24"/>
        </w:rPr>
        <w:t xml:space="preserve">respect </w:t>
      </w:r>
      <w:r w:rsidR="00C11F31">
        <w:rPr>
          <w:rFonts w:ascii="Times New Roman" w:hAnsi="Times New Roman" w:cs="Times New Roman"/>
          <w:sz w:val="24"/>
          <w:szCs w:val="24"/>
        </w:rPr>
        <w:t>for</w:t>
      </w:r>
      <w:r w:rsidR="00C11F31" w:rsidRPr="00150F3D">
        <w:rPr>
          <w:rFonts w:ascii="Times New Roman" w:hAnsi="Times New Roman" w:cs="Times New Roman"/>
          <w:sz w:val="24"/>
          <w:szCs w:val="24"/>
        </w:rPr>
        <w:t xml:space="preserve"> </w:t>
      </w:r>
      <w:r w:rsidR="007440AC" w:rsidRPr="00150F3D">
        <w:rPr>
          <w:rFonts w:ascii="Times New Roman" w:hAnsi="Times New Roman" w:cs="Times New Roman"/>
          <w:sz w:val="24"/>
          <w:szCs w:val="24"/>
        </w:rPr>
        <w:t>international</w:t>
      </w:r>
      <w:r w:rsidR="00C11F31">
        <w:rPr>
          <w:rFonts w:ascii="Times New Roman" w:hAnsi="Times New Roman" w:cs="Times New Roman"/>
          <w:sz w:val="24"/>
          <w:szCs w:val="24"/>
        </w:rPr>
        <w:t xml:space="preserve"> </w:t>
      </w:r>
      <w:r w:rsidR="007440AC" w:rsidRPr="00150F3D">
        <w:rPr>
          <w:rFonts w:ascii="Times New Roman" w:hAnsi="Times New Roman" w:cs="Times New Roman"/>
          <w:sz w:val="24"/>
          <w:szCs w:val="24"/>
        </w:rPr>
        <w:t>human rights</w:t>
      </w:r>
      <w:r w:rsidR="00C11F31">
        <w:rPr>
          <w:rFonts w:ascii="Times New Roman" w:hAnsi="Times New Roman" w:cs="Times New Roman"/>
          <w:sz w:val="24"/>
          <w:szCs w:val="24"/>
        </w:rPr>
        <w:t xml:space="preserve"> and environmental</w:t>
      </w:r>
      <w:r w:rsidR="00831BAF">
        <w:rPr>
          <w:rFonts w:ascii="Times New Roman" w:hAnsi="Times New Roman" w:cs="Times New Roman"/>
          <w:sz w:val="24"/>
          <w:szCs w:val="24"/>
        </w:rPr>
        <w:t xml:space="preserve"> </w:t>
      </w:r>
      <w:r w:rsidR="00C11F31">
        <w:rPr>
          <w:rFonts w:ascii="Times New Roman" w:hAnsi="Times New Roman" w:cs="Times New Roman"/>
          <w:sz w:val="24"/>
          <w:szCs w:val="24"/>
        </w:rPr>
        <w:t>standards</w:t>
      </w:r>
      <w:bookmarkStart w:id="3" w:name="_Ref131847678"/>
      <w:r w:rsidR="00C25DCD">
        <w:rPr>
          <w:rFonts w:ascii="Times New Roman" w:hAnsi="Times New Roman" w:cs="Times New Roman"/>
          <w:sz w:val="24"/>
          <w:szCs w:val="24"/>
        </w:rPr>
        <w:t>.</w:t>
      </w:r>
      <w:bookmarkStart w:id="4" w:name="_Ref141964297"/>
      <w:r w:rsidR="004F70A3" w:rsidRPr="00150F3D">
        <w:rPr>
          <w:rStyle w:val="FootnoteReference"/>
          <w:rFonts w:ascii="Times New Roman" w:hAnsi="Times New Roman" w:cs="Times New Roman"/>
          <w:sz w:val="24"/>
          <w:szCs w:val="24"/>
        </w:rPr>
        <w:footnoteReference w:id="8"/>
      </w:r>
      <w:bookmarkEnd w:id="3"/>
      <w:bookmarkEnd w:id="4"/>
      <w:r w:rsidR="005E3210">
        <w:rPr>
          <w:rFonts w:ascii="Times New Roman" w:hAnsi="Times New Roman" w:cs="Times New Roman"/>
          <w:sz w:val="24"/>
          <w:szCs w:val="24"/>
        </w:rPr>
        <w:t xml:space="preserve"> </w:t>
      </w:r>
    </w:p>
    <w:p w14:paraId="64DD3D73" w14:textId="7C825CD3" w:rsidR="00A00D36" w:rsidRPr="00150F3D" w:rsidRDefault="005E3210" w:rsidP="005E3210">
      <w:pPr>
        <w:spacing w:before="12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part </w:t>
      </w:r>
      <w:r w:rsidR="00831BAF">
        <w:rPr>
          <w:rFonts w:ascii="Times New Roman" w:hAnsi="Times New Roman" w:cs="Times New Roman"/>
          <w:sz w:val="24"/>
          <w:szCs w:val="24"/>
        </w:rPr>
        <w:t>concretises</w:t>
      </w:r>
      <w:r>
        <w:rPr>
          <w:rFonts w:ascii="Times New Roman" w:hAnsi="Times New Roman" w:cs="Times New Roman"/>
          <w:sz w:val="24"/>
          <w:szCs w:val="24"/>
        </w:rPr>
        <w:t xml:space="preserve"> this discussion by providing a deeper analysis of transnational tort law litigation, revealing some of the barriers currently standing in the way of victims of MNCs’ human rights and environmental harms. Due to limited space, our review will focus on common law jurisdiction</w:t>
      </w:r>
      <w:r w:rsidR="001E2B22">
        <w:rPr>
          <w:rFonts w:ascii="Times New Roman" w:hAnsi="Times New Roman" w:cs="Times New Roman"/>
          <w:sz w:val="24"/>
          <w:szCs w:val="24"/>
        </w:rPr>
        <w:t>s</w:t>
      </w:r>
      <w:r>
        <w:rPr>
          <w:rFonts w:ascii="Times New Roman" w:hAnsi="Times New Roman" w:cs="Times New Roman"/>
          <w:sz w:val="24"/>
          <w:szCs w:val="24"/>
        </w:rPr>
        <w:t xml:space="preserve">. </w:t>
      </w:r>
    </w:p>
    <w:p w14:paraId="0B51A290" w14:textId="64B0DF39" w:rsidR="001148EA" w:rsidRPr="00150F3D" w:rsidRDefault="001148EA" w:rsidP="00B82299">
      <w:pPr>
        <w:pStyle w:val="Heading3"/>
        <w:numPr>
          <w:ilvl w:val="0"/>
          <w:numId w:val="15"/>
        </w:numPr>
        <w:spacing w:after="240"/>
        <w:rPr>
          <w:rFonts w:ascii="Times New Roman" w:hAnsi="Times New Roman" w:cs="Times New Roman"/>
        </w:rPr>
      </w:pPr>
      <w:r w:rsidRPr="00150F3D">
        <w:rPr>
          <w:rFonts w:ascii="Times New Roman" w:eastAsia="Times New Roman" w:hAnsi="Times New Roman" w:cs="Times New Roman"/>
        </w:rPr>
        <w:t xml:space="preserve">International </w:t>
      </w:r>
      <w:r w:rsidR="00E84626">
        <w:rPr>
          <w:rFonts w:ascii="Times New Roman" w:eastAsia="Times New Roman" w:hAnsi="Times New Roman" w:cs="Times New Roman"/>
        </w:rPr>
        <w:t>t</w:t>
      </w:r>
      <w:r w:rsidR="00E84626" w:rsidRPr="00150F3D">
        <w:rPr>
          <w:rFonts w:ascii="Times New Roman" w:eastAsia="Times New Roman" w:hAnsi="Times New Roman" w:cs="Times New Roman"/>
        </w:rPr>
        <w:t xml:space="preserve">ort </w:t>
      </w:r>
      <w:r w:rsidR="00E84626">
        <w:rPr>
          <w:rFonts w:ascii="Times New Roman" w:eastAsia="Times New Roman" w:hAnsi="Times New Roman" w:cs="Times New Roman"/>
        </w:rPr>
        <w:t>l</w:t>
      </w:r>
      <w:r w:rsidR="00E84626" w:rsidRPr="00150F3D">
        <w:rPr>
          <w:rFonts w:ascii="Times New Roman" w:eastAsia="Times New Roman" w:hAnsi="Times New Roman" w:cs="Times New Roman"/>
        </w:rPr>
        <w:t xml:space="preserve">itigation </w:t>
      </w:r>
      <w:r w:rsidR="00A00D36" w:rsidRPr="00150F3D">
        <w:rPr>
          <w:rFonts w:ascii="Times New Roman" w:eastAsia="Times New Roman" w:hAnsi="Times New Roman" w:cs="Times New Roman"/>
        </w:rPr>
        <w:t>under common law</w:t>
      </w:r>
      <w:r w:rsidR="00FB1C41" w:rsidRPr="00150F3D">
        <w:rPr>
          <w:rFonts w:ascii="Times New Roman" w:eastAsia="Times New Roman" w:hAnsi="Times New Roman" w:cs="Times New Roman"/>
        </w:rPr>
        <w:tab/>
      </w:r>
    </w:p>
    <w:p w14:paraId="17DC7D17" w14:textId="45DC2BFC" w:rsidR="00BE72DA" w:rsidRPr="00150F3D" w:rsidRDefault="001148EA"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Much has been written on the celebrated landmark decision of </w:t>
      </w:r>
      <w:r w:rsidRPr="00150F3D">
        <w:rPr>
          <w:rFonts w:ascii="Times New Roman" w:eastAsia="Times New Roman" w:hAnsi="Times New Roman" w:cs="Times New Roman"/>
          <w:i/>
          <w:iCs/>
          <w:sz w:val="24"/>
          <w:szCs w:val="24"/>
        </w:rPr>
        <w:t>Donoghu</w:t>
      </w:r>
      <w:r w:rsidR="00A72419" w:rsidRPr="00150F3D">
        <w:rPr>
          <w:rFonts w:ascii="Times New Roman" w:eastAsia="Times New Roman" w:hAnsi="Times New Roman" w:cs="Times New Roman"/>
          <w:i/>
          <w:iCs/>
          <w:sz w:val="24"/>
          <w:szCs w:val="24"/>
        </w:rPr>
        <w:t>e</w:t>
      </w:r>
      <w:r w:rsidRPr="00150F3D">
        <w:rPr>
          <w:rFonts w:ascii="Times New Roman" w:eastAsia="Times New Roman" w:hAnsi="Times New Roman" w:cs="Times New Roman"/>
          <w:sz w:val="24"/>
          <w:szCs w:val="24"/>
        </w:rPr>
        <w:t xml:space="preserve"> v </w:t>
      </w:r>
      <w:r w:rsidRPr="00150F3D">
        <w:rPr>
          <w:rFonts w:ascii="Times New Roman" w:eastAsia="Times New Roman" w:hAnsi="Times New Roman" w:cs="Times New Roman"/>
          <w:i/>
          <w:iCs/>
          <w:sz w:val="24"/>
          <w:szCs w:val="24"/>
        </w:rPr>
        <w:t>Stevenson</w:t>
      </w:r>
      <w:r w:rsidRPr="00150F3D">
        <w:rPr>
          <w:rFonts w:ascii="Times New Roman" w:eastAsia="Times New Roman" w:hAnsi="Times New Roman" w:cs="Times New Roman"/>
          <w:sz w:val="24"/>
          <w:szCs w:val="24"/>
        </w:rPr>
        <w:t xml:space="preserve">, </w:t>
      </w:r>
      <w:r w:rsidR="001E2739" w:rsidRPr="00150F3D">
        <w:rPr>
          <w:rFonts w:ascii="Times New Roman" w:eastAsia="Times New Roman" w:hAnsi="Times New Roman" w:cs="Times New Roman"/>
          <w:sz w:val="24"/>
          <w:szCs w:val="24"/>
        </w:rPr>
        <w:t xml:space="preserve">where </w:t>
      </w:r>
      <w:r w:rsidRPr="00150F3D">
        <w:rPr>
          <w:rFonts w:ascii="Times New Roman" w:eastAsia="Times New Roman" w:hAnsi="Times New Roman" w:cs="Times New Roman"/>
          <w:sz w:val="24"/>
          <w:szCs w:val="24"/>
        </w:rPr>
        <w:t xml:space="preserve">the </w:t>
      </w:r>
      <w:r w:rsidR="00B108A4">
        <w:rPr>
          <w:rFonts w:ascii="Times New Roman" w:eastAsia="Times New Roman" w:hAnsi="Times New Roman" w:cs="Times New Roman"/>
          <w:sz w:val="24"/>
          <w:szCs w:val="24"/>
        </w:rPr>
        <w:t>House of Lords</w:t>
      </w:r>
      <w:r w:rsidRPr="00150F3D">
        <w:rPr>
          <w:rFonts w:ascii="Times New Roman" w:eastAsia="Times New Roman" w:hAnsi="Times New Roman" w:cs="Times New Roman"/>
          <w:sz w:val="24"/>
          <w:szCs w:val="24"/>
        </w:rPr>
        <w:t xml:space="preserve"> recognised that a </w:t>
      </w:r>
      <w:r w:rsidR="001E2739" w:rsidRPr="00150F3D">
        <w:rPr>
          <w:rFonts w:ascii="Times New Roman" w:eastAsia="Times New Roman" w:hAnsi="Times New Roman" w:cs="Times New Roman"/>
          <w:sz w:val="24"/>
          <w:szCs w:val="24"/>
        </w:rPr>
        <w:t>producer of goods</w:t>
      </w:r>
      <w:r w:rsidRPr="00150F3D">
        <w:rPr>
          <w:rFonts w:ascii="Times New Roman" w:eastAsia="Times New Roman" w:hAnsi="Times New Roman" w:cs="Times New Roman"/>
          <w:sz w:val="24"/>
          <w:szCs w:val="24"/>
        </w:rPr>
        <w:t xml:space="preserve"> may owe a duty of care to </w:t>
      </w:r>
      <w:r w:rsidR="001E2739" w:rsidRPr="00150F3D">
        <w:rPr>
          <w:rFonts w:ascii="Times New Roman" w:eastAsia="Times New Roman" w:hAnsi="Times New Roman" w:cs="Times New Roman"/>
          <w:sz w:val="24"/>
          <w:szCs w:val="24"/>
        </w:rPr>
        <w:t>a</w:t>
      </w:r>
      <w:r w:rsidRPr="00150F3D">
        <w:rPr>
          <w:rFonts w:ascii="Times New Roman" w:eastAsia="Times New Roman" w:hAnsi="Times New Roman" w:cs="Times New Roman"/>
          <w:sz w:val="24"/>
          <w:szCs w:val="24"/>
        </w:rPr>
        <w:t xml:space="preserve"> consumer </w:t>
      </w:r>
      <w:r w:rsidR="001E2739" w:rsidRPr="00150F3D">
        <w:rPr>
          <w:rFonts w:ascii="Times New Roman" w:eastAsia="Times New Roman" w:hAnsi="Times New Roman" w:cs="Times New Roman"/>
          <w:sz w:val="24"/>
          <w:szCs w:val="24"/>
        </w:rPr>
        <w:t>even in</w:t>
      </w:r>
      <w:r w:rsidRPr="00150F3D">
        <w:rPr>
          <w:rFonts w:ascii="Times New Roman" w:eastAsia="Times New Roman" w:hAnsi="Times New Roman" w:cs="Times New Roman"/>
          <w:sz w:val="24"/>
          <w:szCs w:val="24"/>
        </w:rPr>
        <w:t xml:space="preserve"> the absence of a contract between the parties</w:t>
      </w:r>
      <w:r w:rsidR="00C25DCD">
        <w:rPr>
          <w:rFonts w:ascii="Times New Roman" w:eastAsia="Times New Roman" w:hAnsi="Times New Roman" w:cs="Times New Roman"/>
          <w:sz w:val="24"/>
          <w:szCs w:val="24"/>
        </w:rPr>
        <w:t>.</w:t>
      </w:r>
      <w:r w:rsidR="00620F85" w:rsidRPr="00150F3D">
        <w:rPr>
          <w:rStyle w:val="FootnoteReference"/>
          <w:rFonts w:ascii="Times New Roman" w:eastAsia="Times New Roman" w:hAnsi="Times New Roman" w:cs="Times New Roman"/>
          <w:sz w:val="24"/>
          <w:szCs w:val="24"/>
        </w:rPr>
        <w:footnoteReference w:id="9"/>
      </w:r>
      <w:r w:rsidRPr="00150F3D">
        <w:rPr>
          <w:rFonts w:ascii="Times New Roman" w:eastAsia="Times New Roman" w:hAnsi="Times New Roman" w:cs="Times New Roman"/>
          <w:sz w:val="24"/>
          <w:szCs w:val="24"/>
        </w:rPr>
        <w:t xml:space="preserve"> Announcing the ‘neighbour principle’, Lord Atkin stated that a party must take reasonable care to avoid acts or omissions which could be reasonably foreseen</w:t>
      </w:r>
      <w:r w:rsidR="00E84626">
        <w:rPr>
          <w:rFonts w:ascii="Times New Roman" w:eastAsia="Times New Roman" w:hAnsi="Times New Roman" w:cs="Times New Roman"/>
          <w:sz w:val="24"/>
          <w:szCs w:val="24"/>
        </w:rPr>
        <w:t>, and</w:t>
      </w:r>
      <w:r w:rsidRPr="00150F3D">
        <w:rPr>
          <w:rFonts w:ascii="Times New Roman" w:eastAsia="Times New Roman" w:hAnsi="Times New Roman" w:cs="Times New Roman"/>
          <w:sz w:val="24"/>
          <w:szCs w:val="24"/>
        </w:rPr>
        <w:t xml:space="preserve"> </w:t>
      </w:r>
      <w:r w:rsidR="00E84626">
        <w:rPr>
          <w:rFonts w:ascii="Times New Roman" w:eastAsia="Times New Roman" w:hAnsi="Times New Roman" w:cs="Times New Roman"/>
          <w:sz w:val="24"/>
          <w:szCs w:val="24"/>
        </w:rPr>
        <w:t>are</w:t>
      </w:r>
      <w:r w:rsidRPr="00150F3D">
        <w:rPr>
          <w:rFonts w:ascii="Times New Roman" w:eastAsia="Times New Roman" w:hAnsi="Times New Roman" w:cs="Times New Roman"/>
          <w:sz w:val="24"/>
          <w:szCs w:val="24"/>
        </w:rPr>
        <w:t xml:space="preserve"> likely to injure her neighbour. </w:t>
      </w:r>
      <w:r w:rsidR="00620F85" w:rsidRPr="00150F3D">
        <w:rPr>
          <w:rFonts w:ascii="Times New Roman" w:eastAsia="Times New Roman" w:hAnsi="Times New Roman" w:cs="Times New Roman"/>
          <w:sz w:val="24"/>
          <w:szCs w:val="24"/>
        </w:rPr>
        <w:t>T</w:t>
      </w:r>
      <w:r w:rsidRPr="00150F3D">
        <w:rPr>
          <w:rFonts w:ascii="Times New Roman" w:eastAsia="Times New Roman" w:hAnsi="Times New Roman" w:cs="Times New Roman"/>
          <w:sz w:val="24"/>
          <w:szCs w:val="24"/>
        </w:rPr>
        <w:t>he ‘neighbour’</w:t>
      </w:r>
      <w:r w:rsidR="00620F85" w:rsidRPr="00150F3D">
        <w:rPr>
          <w:rFonts w:ascii="Times New Roman" w:eastAsia="Times New Roman" w:hAnsi="Times New Roman" w:cs="Times New Roman"/>
          <w:sz w:val="24"/>
          <w:szCs w:val="24"/>
        </w:rPr>
        <w:t>, according to the Court, is</w:t>
      </w:r>
      <w:r w:rsidRPr="00150F3D">
        <w:rPr>
          <w:rFonts w:ascii="Times New Roman" w:eastAsia="Times New Roman" w:hAnsi="Times New Roman" w:cs="Times New Roman"/>
          <w:sz w:val="24"/>
          <w:szCs w:val="24"/>
        </w:rPr>
        <w:t xml:space="preserve"> a person who is closely and directly affected by the act</w:t>
      </w:r>
      <w:r w:rsidR="00F815AF">
        <w:rPr>
          <w:rFonts w:ascii="Times New Roman" w:eastAsia="Times New Roman" w:hAnsi="Times New Roman" w:cs="Times New Roman"/>
          <w:sz w:val="24"/>
          <w:szCs w:val="24"/>
        </w:rPr>
        <w:t>s</w:t>
      </w:r>
      <w:r w:rsidRPr="00150F3D">
        <w:rPr>
          <w:rFonts w:ascii="Times New Roman" w:eastAsia="Times New Roman" w:hAnsi="Times New Roman" w:cs="Times New Roman"/>
          <w:sz w:val="24"/>
          <w:szCs w:val="24"/>
        </w:rPr>
        <w:t xml:space="preserve"> of the tortfeasor that ought to have reasonably contemplated as being so affected when directing her mind </w:t>
      </w:r>
      <w:r w:rsidR="00A72419" w:rsidRPr="00150F3D">
        <w:rPr>
          <w:rFonts w:ascii="Times New Roman" w:eastAsia="Times New Roman" w:hAnsi="Times New Roman" w:cs="Times New Roman"/>
          <w:sz w:val="24"/>
          <w:szCs w:val="24"/>
        </w:rPr>
        <w:t xml:space="preserve">to </w:t>
      </w:r>
      <w:r w:rsidRPr="00150F3D">
        <w:rPr>
          <w:rFonts w:ascii="Times New Roman" w:eastAsia="Times New Roman" w:hAnsi="Times New Roman" w:cs="Times New Roman"/>
          <w:sz w:val="24"/>
          <w:szCs w:val="24"/>
        </w:rPr>
        <w:t>the acts or omissions which are called in question</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0"/>
      </w:r>
      <w:r w:rsidRPr="00150F3D">
        <w:rPr>
          <w:rFonts w:ascii="Times New Roman" w:eastAsia="Times New Roman" w:hAnsi="Times New Roman" w:cs="Times New Roman"/>
          <w:sz w:val="24"/>
          <w:szCs w:val="24"/>
        </w:rPr>
        <w:t xml:space="preserve"> </w:t>
      </w:r>
      <w:r w:rsidR="0066324F" w:rsidRPr="00150F3D">
        <w:rPr>
          <w:rFonts w:ascii="Times New Roman" w:eastAsia="Times New Roman" w:hAnsi="Times New Roman" w:cs="Times New Roman"/>
          <w:sz w:val="24"/>
          <w:szCs w:val="24"/>
        </w:rPr>
        <w:t xml:space="preserve">The Court in </w:t>
      </w:r>
      <w:r w:rsidRPr="00150F3D">
        <w:rPr>
          <w:rFonts w:ascii="Times New Roman" w:eastAsia="Times New Roman" w:hAnsi="Times New Roman" w:cs="Times New Roman"/>
          <w:i/>
          <w:iCs/>
          <w:sz w:val="24"/>
          <w:szCs w:val="24"/>
        </w:rPr>
        <w:t xml:space="preserve">Caparo </w:t>
      </w:r>
      <w:r w:rsidR="00620F85" w:rsidRPr="00150F3D">
        <w:rPr>
          <w:rFonts w:ascii="Times New Roman" w:eastAsia="Times New Roman" w:hAnsi="Times New Roman" w:cs="Times New Roman"/>
          <w:i/>
          <w:iCs/>
          <w:sz w:val="24"/>
          <w:szCs w:val="24"/>
        </w:rPr>
        <w:t>Industries Plc</w:t>
      </w:r>
      <w:r w:rsidR="00620F85" w:rsidRPr="00150F3D">
        <w:rPr>
          <w:rFonts w:ascii="Times New Roman" w:eastAsia="Times New Roman" w:hAnsi="Times New Roman" w:cs="Times New Roman"/>
          <w:sz w:val="24"/>
          <w:szCs w:val="24"/>
        </w:rPr>
        <w:t xml:space="preserve"> v</w:t>
      </w:r>
      <w:r w:rsidR="0066324F" w:rsidRPr="00150F3D">
        <w:rPr>
          <w:rFonts w:ascii="Times New Roman" w:eastAsia="Times New Roman" w:hAnsi="Times New Roman" w:cs="Times New Roman"/>
          <w:sz w:val="24"/>
          <w:szCs w:val="24"/>
        </w:rPr>
        <w:t>.</w:t>
      </w:r>
      <w:r w:rsidR="00620F85" w:rsidRPr="00150F3D">
        <w:rPr>
          <w:rFonts w:ascii="Times New Roman" w:eastAsia="Times New Roman" w:hAnsi="Times New Roman" w:cs="Times New Roman"/>
          <w:sz w:val="24"/>
          <w:szCs w:val="24"/>
        </w:rPr>
        <w:t xml:space="preserve"> </w:t>
      </w:r>
      <w:r w:rsidR="00620F85" w:rsidRPr="00150F3D">
        <w:rPr>
          <w:rFonts w:ascii="Times New Roman" w:eastAsia="Times New Roman" w:hAnsi="Times New Roman" w:cs="Times New Roman"/>
          <w:i/>
          <w:iCs/>
          <w:sz w:val="24"/>
          <w:szCs w:val="24"/>
        </w:rPr>
        <w:t>Dickman</w:t>
      </w:r>
      <w:r w:rsidR="00620F85"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elaborated on the duty of care requisite and announced a three-step test which the </w:t>
      </w:r>
      <w:r w:rsidR="0066324F" w:rsidRPr="00150F3D">
        <w:rPr>
          <w:rFonts w:ascii="Times New Roman" w:eastAsia="Times New Roman" w:hAnsi="Times New Roman" w:cs="Times New Roman"/>
          <w:sz w:val="24"/>
          <w:szCs w:val="24"/>
        </w:rPr>
        <w:t>claimant</w:t>
      </w:r>
      <w:r w:rsidRPr="00150F3D">
        <w:rPr>
          <w:rFonts w:ascii="Times New Roman" w:eastAsia="Times New Roman" w:hAnsi="Times New Roman" w:cs="Times New Roman"/>
          <w:sz w:val="24"/>
          <w:szCs w:val="24"/>
        </w:rPr>
        <w:t xml:space="preserve"> must satisfy when assessing whether the alleged </w:t>
      </w:r>
      <w:r w:rsidR="0066324F" w:rsidRPr="00150F3D">
        <w:rPr>
          <w:rFonts w:ascii="Times New Roman" w:eastAsia="Times New Roman" w:hAnsi="Times New Roman" w:cs="Times New Roman"/>
          <w:sz w:val="24"/>
          <w:szCs w:val="24"/>
        </w:rPr>
        <w:t>t</w:t>
      </w:r>
      <w:r w:rsidRPr="00150F3D">
        <w:rPr>
          <w:rFonts w:ascii="Times New Roman" w:eastAsia="Times New Roman" w:hAnsi="Times New Roman" w:cs="Times New Roman"/>
          <w:sz w:val="24"/>
          <w:szCs w:val="24"/>
        </w:rPr>
        <w:t xml:space="preserve">ortfeasor owed a duty of care to the </w:t>
      </w:r>
      <w:r w:rsidR="0066324F" w:rsidRPr="00150F3D">
        <w:rPr>
          <w:rFonts w:ascii="Times New Roman" w:eastAsia="Times New Roman" w:hAnsi="Times New Roman" w:cs="Times New Roman"/>
          <w:sz w:val="24"/>
          <w:szCs w:val="24"/>
        </w:rPr>
        <w:t>claimant</w:t>
      </w:r>
      <w:r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lastRenderedPageBreak/>
        <w:t>First, whether the harm was reasonably foreseeable. Second</w:t>
      </w:r>
      <w:r w:rsidR="00820D52">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that there was a relationship of proximity between the parties. Third, that it is fair just and reasonable to impose a duty of care</w:t>
      </w:r>
      <w:r w:rsidR="00C25DCD">
        <w:rPr>
          <w:rFonts w:ascii="Times New Roman" w:eastAsia="Times New Roman" w:hAnsi="Times New Roman" w:cs="Times New Roman"/>
          <w:sz w:val="24"/>
          <w:szCs w:val="24"/>
        </w:rPr>
        <w:t>.</w:t>
      </w:r>
      <w:r w:rsidRPr="00150F3D">
        <w:rPr>
          <w:rFonts w:ascii="Times New Roman" w:hAnsi="Times New Roman" w:cs="Times New Roman"/>
          <w:sz w:val="24"/>
          <w:szCs w:val="24"/>
          <w:vertAlign w:val="superscript"/>
        </w:rPr>
        <w:footnoteReference w:id="11"/>
      </w:r>
      <w:r w:rsidRPr="00150F3D">
        <w:rPr>
          <w:rFonts w:ascii="Times New Roman" w:eastAsia="Times New Roman" w:hAnsi="Times New Roman" w:cs="Times New Roman"/>
          <w:sz w:val="24"/>
          <w:szCs w:val="24"/>
        </w:rPr>
        <w:t xml:space="preserve"> </w:t>
      </w:r>
    </w:p>
    <w:p w14:paraId="7C780135" w14:textId="2FCD725F" w:rsidR="00D97DAD" w:rsidRPr="00150F3D" w:rsidRDefault="004352AF" w:rsidP="00B82299">
      <w:pPr>
        <w:spacing w:after="240" w:line="360" w:lineRule="auto"/>
        <w:ind w:firstLine="720"/>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The </w:t>
      </w:r>
      <w:r w:rsidR="00E272CB" w:rsidRPr="00150F3D">
        <w:rPr>
          <w:rFonts w:ascii="Times New Roman" w:eastAsia="Times New Roman" w:hAnsi="Times New Roman" w:cs="Times New Roman"/>
          <w:sz w:val="24"/>
          <w:szCs w:val="24"/>
        </w:rPr>
        <w:t xml:space="preserve">reasonable </w:t>
      </w:r>
      <w:r w:rsidR="006039A7" w:rsidRPr="00150F3D">
        <w:rPr>
          <w:rFonts w:ascii="Times New Roman" w:eastAsia="Times New Roman" w:hAnsi="Times New Roman" w:cs="Times New Roman"/>
          <w:sz w:val="24"/>
          <w:szCs w:val="24"/>
        </w:rPr>
        <w:t xml:space="preserve">foreseeability of harm prong </w:t>
      </w:r>
      <w:r w:rsidR="00E272CB" w:rsidRPr="00150F3D">
        <w:rPr>
          <w:rFonts w:ascii="Times New Roman" w:eastAsia="Times New Roman" w:hAnsi="Times New Roman" w:cs="Times New Roman"/>
          <w:sz w:val="24"/>
          <w:szCs w:val="24"/>
        </w:rPr>
        <w:t>advanced by</w:t>
      </w:r>
      <w:r w:rsidR="006039A7" w:rsidRPr="00150F3D">
        <w:rPr>
          <w:rFonts w:ascii="Times New Roman" w:eastAsia="Times New Roman" w:hAnsi="Times New Roman" w:cs="Times New Roman"/>
          <w:sz w:val="24"/>
          <w:szCs w:val="24"/>
        </w:rPr>
        <w:t xml:space="preserve"> </w:t>
      </w:r>
      <w:r w:rsidR="006039A7" w:rsidRPr="00150F3D">
        <w:rPr>
          <w:rFonts w:ascii="Times New Roman" w:eastAsia="Times New Roman" w:hAnsi="Times New Roman" w:cs="Times New Roman"/>
          <w:i/>
          <w:iCs/>
          <w:sz w:val="24"/>
          <w:szCs w:val="24"/>
        </w:rPr>
        <w:t>Cap</w:t>
      </w:r>
      <w:r w:rsidR="00620F85" w:rsidRPr="00150F3D">
        <w:rPr>
          <w:rFonts w:ascii="Times New Roman" w:eastAsia="Times New Roman" w:hAnsi="Times New Roman" w:cs="Times New Roman"/>
          <w:i/>
          <w:iCs/>
          <w:sz w:val="24"/>
          <w:szCs w:val="24"/>
        </w:rPr>
        <w:t>a</w:t>
      </w:r>
      <w:r w:rsidR="006039A7" w:rsidRPr="00150F3D">
        <w:rPr>
          <w:rFonts w:ascii="Times New Roman" w:eastAsia="Times New Roman" w:hAnsi="Times New Roman" w:cs="Times New Roman"/>
          <w:i/>
          <w:iCs/>
          <w:sz w:val="24"/>
          <w:szCs w:val="24"/>
        </w:rPr>
        <w:t>r</w:t>
      </w:r>
      <w:r w:rsidR="00620F85" w:rsidRPr="00150F3D">
        <w:rPr>
          <w:rFonts w:ascii="Times New Roman" w:eastAsia="Times New Roman" w:hAnsi="Times New Roman" w:cs="Times New Roman"/>
          <w:i/>
          <w:iCs/>
          <w:sz w:val="24"/>
          <w:szCs w:val="24"/>
        </w:rPr>
        <w:t>o</w:t>
      </w:r>
      <w:r w:rsidR="006039A7" w:rsidRPr="00150F3D">
        <w:rPr>
          <w:rFonts w:ascii="Times New Roman" w:eastAsia="Times New Roman" w:hAnsi="Times New Roman" w:cs="Times New Roman"/>
          <w:sz w:val="24"/>
          <w:szCs w:val="24"/>
        </w:rPr>
        <w:t xml:space="preserve"> </w:t>
      </w:r>
      <w:r w:rsidR="00E272CB" w:rsidRPr="00150F3D">
        <w:rPr>
          <w:rFonts w:ascii="Times New Roman" w:eastAsia="Times New Roman" w:hAnsi="Times New Roman" w:cs="Times New Roman"/>
          <w:sz w:val="24"/>
          <w:szCs w:val="24"/>
        </w:rPr>
        <w:t xml:space="preserve">is the least controversial in the context of </w:t>
      </w:r>
      <w:r w:rsidRPr="00150F3D">
        <w:rPr>
          <w:rFonts w:ascii="Times New Roman" w:eastAsia="Times New Roman" w:hAnsi="Times New Roman" w:cs="Times New Roman"/>
          <w:sz w:val="24"/>
          <w:szCs w:val="24"/>
        </w:rPr>
        <w:t xml:space="preserve">international </w:t>
      </w:r>
      <w:r w:rsidR="00E272CB" w:rsidRPr="00150F3D">
        <w:rPr>
          <w:rFonts w:ascii="Times New Roman" w:eastAsia="Times New Roman" w:hAnsi="Times New Roman" w:cs="Times New Roman"/>
          <w:sz w:val="24"/>
          <w:szCs w:val="24"/>
        </w:rPr>
        <w:t>human rights</w:t>
      </w:r>
      <w:r w:rsidR="00EA4B7D" w:rsidRPr="00150F3D">
        <w:rPr>
          <w:rFonts w:ascii="Times New Roman" w:eastAsia="Times New Roman" w:hAnsi="Times New Roman" w:cs="Times New Roman"/>
          <w:sz w:val="24"/>
          <w:szCs w:val="24"/>
        </w:rPr>
        <w:t xml:space="preserve"> litigation</w:t>
      </w:r>
      <w:r w:rsidR="00E272CB" w:rsidRPr="00150F3D">
        <w:rPr>
          <w:rFonts w:ascii="Times New Roman" w:eastAsia="Times New Roman" w:hAnsi="Times New Roman" w:cs="Times New Roman"/>
          <w:sz w:val="24"/>
          <w:szCs w:val="24"/>
        </w:rPr>
        <w:t>.</w:t>
      </w:r>
      <w:r w:rsidR="00EA4B7D" w:rsidRPr="00150F3D">
        <w:rPr>
          <w:rFonts w:ascii="Times New Roman" w:eastAsia="Times New Roman" w:hAnsi="Times New Roman" w:cs="Times New Roman"/>
          <w:sz w:val="24"/>
          <w:szCs w:val="24"/>
        </w:rPr>
        <w:t xml:space="preserve"> Often the victim will be able to show </w:t>
      </w:r>
      <w:r w:rsidR="001E2739" w:rsidRPr="00150F3D">
        <w:rPr>
          <w:rFonts w:ascii="Times New Roman" w:eastAsia="Times New Roman" w:hAnsi="Times New Roman" w:cs="Times New Roman"/>
          <w:sz w:val="24"/>
          <w:szCs w:val="24"/>
        </w:rPr>
        <w:t xml:space="preserve">without much trouble </w:t>
      </w:r>
      <w:r w:rsidR="00EA4B7D" w:rsidRPr="00150F3D">
        <w:rPr>
          <w:rFonts w:ascii="Times New Roman" w:eastAsia="Times New Roman" w:hAnsi="Times New Roman" w:cs="Times New Roman"/>
          <w:sz w:val="24"/>
          <w:szCs w:val="24"/>
        </w:rPr>
        <w:t>that a corporation knew or ought reasonably to have known of the risks that are attached to its operations</w:t>
      </w:r>
      <w:r w:rsidR="0066324F" w:rsidRPr="00150F3D">
        <w:rPr>
          <w:rFonts w:ascii="Times New Roman" w:eastAsia="Times New Roman" w:hAnsi="Times New Roman" w:cs="Times New Roman"/>
          <w:sz w:val="24"/>
          <w:szCs w:val="24"/>
        </w:rPr>
        <w:t xml:space="preserve"> or which may occur within its value</w:t>
      </w:r>
      <w:r w:rsidR="00981799" w:rsidRPr="00150F3D">
        <w:rPr>
          <w:rFonts w:ascii="Times New Roman" w:eastAsia="Times New Roman" w:hAnsi="Times New Roman" w:cs="Times New Roman"/>
          <w:sz w:val="24"/>
          <w:szCs w:val="24"/>
        </w:rPr>
        <w:t xml:space="preserve"> chain</w:t>
      </w:r>
      <w:r w:rsidR="0066324F" w:rsidRPr="00150F3D">
        <w:rPr>
          <w:rFonts w:ascii="Times New Roman" w:eastAsia="Times New Roman" w:hAnsi="Times New Roman" w:cs="Times New Roman"/>
          <w:sz w:val="24"/>
          <w:szCs w:val="24"/>
        </w:rPr>
        <w:t>.</w:t>
      </w:r>
      <w:r w:rsidR="00EA4B7D" w:rsidRPr="00150F3D">
        <w:rPr>
          <w:rFonts w:ascii="Times New Roman" w:eastAsia="Times New Roman" w:hAnsi="Times New Roman" w:cs="Times New Roman"/>
          <w:sz w:val="24"/>
          <w:szCs w:val="24"/>
        </w:rPr>
        <w:t xml:space="preserve"> </w:t>
      </w:r>
      <w:r w:rsidR="00F54CA9" w:rsidRPr="00150F3D">
        <w:rPr>
          <w:rFonts w:ascii="Times New Roman" w:eastAsia="Times New Roman" w:hAnsi="Times New Roman" w:cs="Times New Roman"/>
          <w:sz w:val="24"/>
          <w:szCs w:val="24"/>
        </w:rPr>
        <w:t xml:space="preserve">It is also inconceivable that a corporation that subcontracts in areas where there is </w:t>
      </w:r>
      <w:r w:rsidR="00BB5F55">
        <w:rPr>
          <w:rFonts w:ascii="Times New Roman" w:eastAsia="Times New Roman" w:hAnsi="Times New Roman" w:cs="Times New Roman"/>
          <w:sz w:val="24"/>
          <w:szCs w:val="24"/>
        </w:rPr>
        <w:t xml:space="preserve">a </w:t>
      </w:r>
      <w:r w:rsidR="00F54CA9" w:rsidRPr="00150F3D">
        <w:rPr>
          <w:rFonts w:ascii="Times New Roman" w:eastAsia="Times New Roman" w:hAnsi="Times New Roman" w:cs="Times New Roman"/>
          <w:sz w:val="24"/>
          <w:szCs w:val="24"/>
        </w:rPr>
        <w:t xml:space="preserve">weak </w:t>
      </w:r>
      <w:r w:rsidR="00E272CB" w:rsidRPr="00150F3D">
        <w:rPr>
          <w:rFonts w:ascii="Times New Roman" w:eastAsia="Times New Roman" w:hAnsi="Times New Roman" w:cs="Times New Roman"/>
          <w:sz w:val="24"/>
          <w:szCs w:val="24"/>
        </w:rPr>
        <w:t>rule of law and human rights governance</w:t>
      </w:r>
      <w:r w:rsidR="00A9718F">
        <w:rPr>
          <w:rFonts w:ascii="Times New Roman" w:eastAsia="Times New Roman" w:hAnsi="Times New Roman" w:cs="Times New Roman"/>
          <w:sz w:val="24"/>
          <w:szCs w:val="24"/>
        </w:rPr>
        <w:t xml:space="preserve">, </w:t>
      </w:r>
      <w:r w:rsidR="006039A7" w:rsidRPr="00150F3D">
        <w:rPr>
          <w:rFonts w:ascii="Times New Roman" w:eastAsia="Times New Roman" w:hAnsi="Times New Roman" w:cs="Times New Roman"/>
          <w:sz w:val="24"/>
          <w:szCs w:val="24"/>
        </w:rPr>
        <w:t>could not reasonably foresee</w:t>
      </w:r>
      <w:r w:rsidR="00F54CA9" w:rsidRPr="00150F3D">
        <w:rPr>
          <w:rFonts w:ascii="Times New Roman" w:eastAsia="Times New Roman" w:hAnsi="Times New Roman" w:cs="Times New Roman"/>
          <w:sz w:val="24"/>
          <w:szCs w:val="24"/>
        </w:rPr>
        <w:t xml:space="preserve"> t</w:t>
      </w:r>
      <w:r w:rsidR="006039A7" w:rsidRPr="00150F3D">
        <w:rPr>
          <w:rFonts w:ascii="Times New Roman" w:eastAsia="Times New Roman" w:hAnsi="Times New Roman" w:cs="Times New Roman"/>
          <w:sz w:val="24"/>
          <w:szCs w:val="24"/>
        </w:rPr>
        <w:t>hat</w:t>
      </w:r>
      <w:r w:rsidR="00F54CA9" w:rsidRPr="00150F3D">
        <w:rPr>
          <w:rFonts w:ascii="Times New Roman" w:eastAsia="Times New Roman" w:hAnsi="Times New Roman" w:cs="Times New Roman"/>
          <w:sz w:val="24"/>
          <w:szCs w:val="24"/>
        </w:rPr>
        <w:t xml:space="preserve"> </w:t>
      </w:r>
      <w:r w:rsidR="00E272CB" w:rsidRPr="00150F3D">
        <w:rPr>
          <w:rFonts w:ascii="Times New Roman" w:eastAsia="Times New Roman" w:hAnsi="Times New Roman" w:cs="Times New Roman"/>
          <w:sz w:val="24"/>
          <w:szCs w:val="24"/>
        </w:rPr>
        <w:t>its business associate</w:t>
      </w:r>
      <w:r w:rsidR="0066324F" w:rsidRPr="00150F3D">
        <w:rPr>
          <w:rFonts w:ascii="Times New Roman" w:eastAsia="Times New Roman" w:hAnsi="Times New Roman" w:cs="Times New Roman"/>
          <w:sz w:val="24"/>
          <w:szCs w:val="24"/>
        </w:rPr>
        <w:t>s</w:t>
      </w:r>
      <w:r w:rsidR="00E272CB" w:rsidRPr="00150F3D">
        <w:rPr>
          <w:rFonts w:ascii="Times New Roman" w:eastAsia="Times New Roman" w:hAnsi="Times New Roman" w:cs="Times New Roman"/>
          <w:sz w:val="24"/>
          <w:szCs w:val="24"/>
        </w:rPr>
        <w:t xml:space="preserve"> may </w:t>
      </w:r>
      <w:r w:rsidR="00F54CA9" w:rsidRPr="00150F3D">
        <w:rPr>
          <w:rFonts w:ascii="Times New Roman" w:eastAsia="Times New Roman" w:hAnsi="Times New Roman" w:cs="Times New Roman"/>
          <w:sz w:val="24"/>
          <w:szCs w:val="24"/>
        </w:rPr>
        <w:t xml:space="preserve">undercut wages, </w:t>
      </w:r>
      <w:r w:rsidR="006039A7" w:rsidRPr="00150F3D">
        <w:rPr>
          <w:rFonts w:ascii="Times New Roman" w:eastAsia="Times New Roman" w:hAnsi="Times New Roman" w:cs="Times New Roman"/>
          <w:sz w:val="24"/>
          <w:szCs w:val="24"/>
        </w:rPr>
        <w:t>us</w:t>
      </w:r>
      <w:r w:rsidR="00E272CB" w:rsidRPr="00150F3D">
        <w:rPr>
          <w:rFonts w:ascii="Times New Roman" w:eastAsia="Times New Roman" w:hAnsi="Times New Roman" w:cs="Times New Roman"/>
          <w:sz w:val="24"/>
          <w:szCs w:val="24"/>
        </w:rPr>
        <w:t>e</w:t>
      </w:r>
      <w:r w:rsidR="00F54CA9" w:rsidRPr="00150F3D">
        <w:rPr>
          <w:rFonts w:ascii="Times New Roman" w:eastAsia="Times New Roman" w:hAnsi="Times New Roman" w:cs="Times New Roman"/>
          <w:sz w:val="24"/>
          <w:szCs w:val="24"/>
        </w:rPr>
        <w:t xml:space="preserve"> child labour, and even employ workers in slavery akin conditions</w:t>
      </w:r>
      <w:r w:rsidR="00C25DCD">
        <w:rPr>
          <w:rFonts w:ascii="Times New Roman" w:eastAsia="Times New Roman" w:hAnsi="Times New Roman" w:cs="Times New Roman"/>
          <w:sz w:val="24"/>
          <w:szCs w:val="24"/>
        </w:rPr>
        <w:t>.</w:t>
      </w:r>
      <w:r w:rsidR="00F54CA9" w:rsidRPr="00150F3D">
        <w:rPr>
          <w:rStyle w:val="FootnoteReference"/>
          <w:rFonts w:ascii="Times New Roman" w:eastAsia="Times New Roman" w:hAnsi="Times New Roman" w:cs="Times New Roman"/>
          <w:sz w:val="24"/>
          <w:szCs w:val="24"/>
        </w:rPr>
        <w:footnoteReference w:id="12"/>
      </w:r>
      <w:r w:rsidR="00F54CA9" w:rsidRPr="00150F3D">
        <w:rPr>
          <w:rFonts w:ascii="Times New Roman" w:eastAsia="Times New Roman" w:hAnsi="Times New Roman" w:cs="Times New Roman"/>
          <w:sz w:val="24"/>
          <w:szCs w:val="24"/>
        </w:rPr>
        <w:t xml:space="preserve"> </w:t>
      </w:r>
      <w:r w:rsidR="007C7C7A" w:rsidRPr="00150F3D">
        <w:rPr>
          <w:rFonts w:ascii="Times New Roman" w:eastAsia="Times New Roman" w:hAnsi="Times New Roman" w:cs="Times New Roman"/>
          <w:sz w:val="24"/>
          <w:szCs w:val="24"/>
        </w:rPr>
        <w:t>Although the victim is not visible to the corporation,</w:t>
      </w:r>
      <w:r w:rsidR="00E272CB" w:rsidRPr="00150F3D">
        <w:rPr>
          <w:rFonts w:ascii="Times New Roman" w:eastAsia="Times New Roman" w:hAnsi="Times New Roman" w:cs="Times New Roman"/>
          <w:sz w:val="24"/>
          <w:szCs w:val="24"/>
        </w:rPr>
        <w:t xml:space="preserve"> </w:t>
      </w:r>
      <w:r w:rsidR="007C7C7A" w:rsidRPr="00150F3D">
        <w:rPr>
          <w:rFonts w:ascii="Times New Roman" w:eastAsia="Times New Roman" w:hAnsi="Times New Roman" w:cs="Times New Roman"/>
          <w:sz w:val="24"/>
          <w:szCs w:val="24"/>
        </w:rPr>
        <w:t>and</w:t>
      </w:r>
      <w:r w:rsidR="00F54CA9" w:rsidRPr="00150F3D">
        <w:rPr>
          <w:rFonts w:ascii="Times New Roman" w:eastAsia="Times New Roman" w:hAnsi="Times New Roman" w:cs="Times New Roman"/>
          <w:sz w:val="24"/>
          <w:szCs w:val="24"/>
        </w:rPr>
        <w:t xml:space="preserve"> </w:t>
      </w:r>
      <w:r w:rsidR="006039A7" w:rsidRPr="00150F3D">
        <w:rPr>
          <w:rFonts w:ascii="Times New Roman" w:eastAsia="Times New Roman" w:hAnsi="Times New Roman" w:cs="Times New Roman"/>
          <w:sz w:val="24"/>
          <w:szCs w:val="24"/>
        </w:rPr>
        <w:t>however remote the harm and wherever it sits on</w:t>
      </w:r>
      <w:r w:rsidR="007C7C7A" w:rsidRPr="00150F3D">
        <w:rPr>
          <w:rFonts w:ascii="Times New Roman" w:eastAsia="Times New Roman" w:hAnsi="Times New Roman" w:cs="Times New Roman"/>
          <w:sz w:val="24"/>
          <w:szCs w:val="24"/>
        </w:rPr>
        <w:t xml:space="preserve"> </w:t>
      </w:r>
      <w:r w:rsidR="00BB5F55">
        <w:rPr>
          <w:rFonts w:ascii="Times New Roman" w:eastAsia="Times New Roman" w:hAnsi="Times New Roman" w:cs="Times New Roman"/>
          <w:sz w:val="24"/>
          <w:szCs w:val="24"/>
        </w:rPr>
        <w:t xml:space="preserve">the </w:t>
      </w:r>
      <w:r w:rsidR="007C7C7A" w:rsidRPr="00150F3D">
        <w:rPr>
          <w:rFonts w:ascii="Times New Roman" w:eastAsia="Times New Roman" w:hAnsi="Times New Roman" w:cs="Times New Roman"/>
          <w:sz w:val="24"/>
          <w:szCs w:val="24"/>
        </w:rPr>
        <w:t>corporation’s</w:t>
      </w:r>
      <w:r w:rsidR="006039A7" w:rsidRPr="00150F3D">
        <w:rPr>
          <w:rFonts w:ascii="Times New Roman" w:eastAsia="Times New Roman" w:hAnsi="Times New Roman" w:cs="Times New Roman"/>
          <w:sz w:val="24"/>
          <w:szCs w:val="24"/>
        </w:rPr>
        <w:t xml:space="preserve"> business value</w:t>
      </w:r>
      <w:r w:rsidR="00981799" w:rsidRPr="00150F3D">
        <w:rPr>
          <w:rFonts w:ascii="Times New Roman" w:eastAsia="Times New Roman" w:hAnsi="Times New Roman" w:cs="Times New Roman"/>
          <w:sz w:val="24"/>
          <w:szCs w:val="24"/>
        </w:rPr>
        <w:t xml:space="preserve"> chain</w:t>
      </w:r>
      <w:r w:rsidR="006039A7" w:rsidRPr="00150F3D">
        <w:rPr>
          <w:rFonts w:ascii="Times New Roman" w:eastAsia="Times New Roman" w:hAnsi="Times New Roman" w:cs="Times New Roman"/>
          <w:sz w:val="24"/>
          <w:szCs w:val="24"/>
        </w:rPr>
        <w:t xml:space="preserve">, the harm </w:t>
      </w:r>
      <w:r w:rsidR="0066324F" w:rsidRPr="00150F3D">
        <w:rPr>
          <w:rFonts w:ascii="Times New Roman" w:eastAsia="Times New Roman" w:hAnsi="Times New Roman" w:cs="Times New Roman"/>
          <w:sz w:val="24"/>
          <w:szCs w:val="24"/>
        </w:rPr>
        <w:t>will</w:t>
      </w:r>
      <w:r w:rsidR="007C7C7A" w:rsidRPr="00150F3D">
        <w:rPr>
          <w:rFonts w:ascii="Times New Roman" w:eastAsia="Times New Roman" w:hAnsi="Times New Roman" w:cs="Times New Roman"/>
          <w:sz w:val="24"/>
          <w:szCs w:val="24"/>
        </w:rPr>
        <w:t xml:space="preserve"> reasonably</w:t>
      </w:r>
      <w:r w:rsidR="001E2739" w:rsidRPr="00150F3D">
        <w:rPr>
          <w:rFonts w:ascii="Times New Roman" w:eastAsia="Times New Roman" w:hAnsi="Times New Roman" w:cs="Times New Roman"/>
          <w:sz w:val="24"/>
          <w:szCs w:val="24"/>
        </w:rPr>
        <w:t xml:space="preserve"> be</w:t>
      </w:r>
      <w:r w:rsidR="006039A7" w:rsidRPr="00150F3D">
        <w:rPr>
          <w:rFonts w:ascii="Times New Roman" w:eastAsia="Times New Roman" w:hAnsi="Times New Roman" w:cs="Times New Roman"/>
          <w:sz w:val="24"/>
          <w:szCs w:val="24"/>
        </w:rPr>
        <w:t xml:space="preserve"> foreseeable. </w:t>
      </w:r>
      <w:r w:rsidR="00F54CA9" w:rsidRPr="00150F3D">
        <w:rPr>
          <w:rFonts w:ascii="Times New Roman" w:eastAsia="Times New Roman" w:hAnsi="Times New Roman" w:cs="Times New Roman"/>
          <w:sz w:val="24"/>
          <w:szCs w:val="24"/>
        </w:rPr>
        <w:t xml:space="preserve"> </w:t>
      </w:r>
    </w:p>
    <w:p w14:paraId="209DC302" w14:textId="77D3DBD6" w:rsidR="00D97DAD" w:rsidRPr="00150F3D" w:rsidRDefault="00B108A4" w:rsidP="00B82299">
      <w:pPr>
        <w:spacing w:after="24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w:t>
      </w:r>
      <w:r w:rsidR="00EA4B7D" w:rsidRPr="00150F3D">
        <w:rPr>
          <w:rFonts w:ascii="Times New Roman" w:eastAsia="Times New Roman" w:hAnsi="Times New Roman" w:cs="Times New Roman"/>
          <w:sz w:val="24"/>
          <w:szCs w:val="24"/>
        </w:rPr>
        <w:t>nitially</w:t>
      </w:r>
      <w:r>
        <w:rPr>
          <w:rFonts w:ascii="Times New Roman" w:eastAsia="Times New Roman" w:hAnsi="Times New Roman" w:cs="Times New Roman"/>
          <w:sz w:val="24"/>
          <w:szCs w:val="24"/>
        </w:rPr>
        <w:t>,</w:t>
      </w:r>
      <w:r w:rsidR="00EA4B7D" w:rsidRPr="00150F3D">
        <w:rPr>
          <w:rFonts w:ascii="Times New Roman" w:eastAsia="Times New Roman" w:hAnsi="Times New Roman" w:cs="Times New Roman"/>
          <w:sz w:val="24"/>
          <w:szCs w:val="24"/>
        </w:rPr>
        <w:t xml:space="preserve"> there w</w:t>
      </w:r>
      <w:r w:rsidR="007C7C7A" w:rsidRPr="00150F3D">
        <w:rPr>
          <w:rFonts w:ascii="Times New Roman" w:eastAsia="Times New Roman" w:hAnsi="Times New Roman" w:cs="Times New Roman"/>
          <w:sz w:val="24"/>
          <w:szCs w:val="24"/>
        </w:rPr>
        <w:t xml:space="preserve">ere </w:t>
      </w:r>
      <w:r w:rsidR="00110747">
        <w:rPr>
          <w:rFonts w:ascii="Times New Roman" w:eastAsia="Times New Roman" w:hAnsi="Times New Roman" w:cs="Times New Roman"/>
          <w:sz w:val="24"/>
          <w:szCs w:val="24"/>
        </w:rPr>
        <w:t xml:space="preserve">a </w:t>
      </w:r>
      <w:r w:rsidR="007C7C7A" w:rsidRPr="00150F3D">
        <w:rPr>
          <w:rFonts w:ascii="Times New Roman" w:eastAsia="Times New Roman" w:hAnsi="Times New Roman" w:cs="Times New Roman"/>
          <w:sz w:val="24"/>
          <w:szCs w:val="24"/>
        </w:rPr>
        <w:t xml:space="preserve">few attempts to </w:t>
      </w:r>
      <w:r w:rsidR="0066324F" w:rsidRPr="00150F3D">
        <w:rPr>
          <w:rFonts w:ascii="Times New Roman" w:eastAsia="Times New Roman" w:hAnsi="Times New Roman" w:cs="Times New Roman"/>
          <w:sz w:val="24"/>
          <w:szCs w:val="24"/>
        </w:rPr>
        <w:t xml:space="preserve">liberally invoke the third prong of </w:t>
      </w:r>
      <w:r w:rsidR="0066324F" w:rsidRPr="00BD5289">
        <w:rPr>
          <w:rFonts w:ascii="Times New Roman" w:eastAsia="Times New Roman" w:hAnsi="Times New Roman" w:cs="Times New Roman"/>
          <w:i/>
          <w:iCs/>
          <w:sz w:val="24"/>
          <w:szCs w:val="24"/>
        </w:rPr>
        <w:t>Caparo</w:t>
      </w:r>
      <w:r w:rsidR="0066324F" w:rsidRPr="00150F3D">
        <w:rPr>
          <w:rFonts w:ascii="Times New Roman" w:eastAsia="Times New Roman" w:hAnsi="Times New Roman" w:cs="Times New Roman"/>
          <w:sz w:val="24"/>
          <w:szCs w:val="24"/>
        </w:rPr>
        <w:t xml:space="preserve"> in order to </w:t>
      </w:r>
      <w:r w:rsidR="007C7C7A" w:rsidRPr="00150F3D">
        <w:rPr>
          <w:rFonts w:ascii="Times New Roman" w:eastAsia="Times New Roman" w:hAnsi="Times New Roman" w:cs="Times New Roman"/>
          <w:sz w:val="24"/>
          <w:szCs w:val="24"/>
        </w:rPr>
        <w:t xml:space="preserve">allay the risk of </w:t>
      </w:r>
      <w:r w:rsidR="005D5906" w:rsidRPr="00150F3D">
        <w:rPr>
          <w:rFonts w:ascii="Times New Roman" w:eastAsia="Times New Roman" w:hAnsi="Times New Roman" w:cs="Times New Roman"/>
          <w:sz w:val="24"/>
          <w:szCs w:val="24"/>
        </w:rPr>
        <w:t xml:space="preserve">opening the </w:t>
      </w:r>
      <w:r w:rsidR="007C7C7A" w:rsidRPr="00150F3D">
        <w:rPr>
          <w:rFonts w:ascii="Times New Roman" w:eastAsia="Times New Roman" w:hAnsi="Times New Roman" w:cs="Times New Roman"/>
          <w:sz w:val="24"/>
          <w:szCs w:val="24"/>
        </w:rPr>
        <w:t>floodgates</w:t>
      </w:r>
      <w:r w:rsidR="00EA4B7D" w:rsidRPr="00150F3D">
        <w:rPr>
          <w:rFonts w:ascii="Times New Roman" w:eastAsia="Times New Roman" w:hAnsi="Times New Roman" w:cs="Times New Roman"/>
          <w:sz w:val="24"/>
          <w:szCs w:val="24"/>
        </w:rPr>
        <w:t xml:space="preserve"> </w:t>
      </w:r>
      <w:r w:rsidR="005D5906" w:rsidRPr="00150F3D">
        <w:rPr>
          <w:rFonts w:ascii="Times New Roman" w:eastAsia="Times New Roman" w:hAnsi="Times New Roman" w:cs="Times New Roman"/>
          <w:sz w:val="24"/>
          <w:szCs w:val="24"/>
        </w:rPr>
        <w:t xml:space="preserve">by enabling </w:t>
      </w:r>
      <w:r w:rsidR="00EA4B7D" w:rsidRPr="00150F3D">
        <w:rPr>
          <w:rFonts w:ascii="Times New Roman" w:eastAsia="Times New Roman" w:hAnsi="Times New Roman" w:cs="Times New Roman"/>
          <w:sz w:val="24"/>
          <w:szCs w:val="24"/>
        </w:rPr>
        <w:t>an indefinite group of litigants</w:t>
      </w:r>
      <w:r w:rsidR="00F54CA9" w:rsidRPr="00150F3D">
        <w:rPr>
          <w:rFonts w:ascii="Times New Roman" w:eastAsia="Times New Roman" w:hAnsi="Times New Roman" w:cs="Times New Roman"/>
          <w:sz w:val="24"/>
          <w:szCs w:val="24"/>
        </w:rPr>
        <w:t xml:space="preserve"> </w:t>
      </w:r>
      <w:r w:rsidR="005D5906" w:rsidRPr="00150F3D">
        <w:rPr>
          <w:rFonts w:ascii="Times New Roman" w:eastAsia="Times New Roman" w:hAnsi="Times New Roman" w:cs="Times New Roman"/>
          <w:sz w:val="24"/>
          <w:szCs w:val="24"/>
        </w:rPr>
        <w:t>to bring civil claims against corporation</w:t>
      </w:r>
      <w:r w:rsidR="0066324F" w:rsidRPr="00150F3D">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However, </w:t>
      </w:r>
      <w:r w:rsidR="0066324F" w:rsidRPr="00150F3D">
        <w:rPr>
          <w:rFonts w:ascii="Times New Roman" w:eastAsia="Times New Roman" w:hAnsi="Times New Roman" w:cs="Times New Roman"/>
          <w:sz w:val="24"/>
          <w:szCs w:val="24"/>
        </w:rPr>
        <w:t>i</w:t>
      </w:r>
      <w:r w:rsidR="00EA4B7D" w:rsidRPr="00150F3D">
        <w:rPr>
          <w:rFonts w:ascii="Times New Roman" w:eastAsia="Times New Roman" w:hAnsi="Times New Roman" w:cs="Times New Roman"/>
          <w:sz w:val="24"/>
          <w:szCs w:val="24"/>
        </w:rPr>
        <w:t>n recent years</w:t>
      </w:r>
      <w:r>
        <w:rPr>
          <w:rFonts w:ascii="Times New Roman" w:eastAsia="Times New Roman" w:hAnsi="Times New Roman" w:cs="Times New Roman"/>
          <w:sz w:val="24"/>
          <w:szCs w:val="24"/>
        </w:rPr>
        <w:t>,</w:t>
      </w:r>
      <w:r w:rsidR="005D5906" w:rsidRPr="00150F3D">
        <w:rPr>
          <w:rFonts w:ascii="Times New Roman" w:eastAsia="Times New Roman" w:hAnsi="Times New Roman" w:cs="Times New Roman"/>
          <w:sz w:val="24"/>
          <w:szCs w:val="24"/>
        </w:rPr>
        <w:t xml:space="preserve"> </w:t>
      </w:r>
      <w:r w:rsidR="00EA4B7D" w:rsidRPr="00150F3D">
        <w:rPr>
          <w:rFonts w:ascii="Times New Roman" w:eastAsia="Times New Roman" w:hAnsi="Times New Roman" w:cs="Times New Roman"/>
          <w:sz w:val="24"/>
          <w:szCs w:val="24"/>
        </w:rPr>
        <w:t xml:space="preserve">there </w:t>
      </w:r>
      <w:r w:rsidR="001E2739" w:rsidRPr="00150F3D">
        <w:rPr>
          <w:rFonts w:ascii="Times New Roman" w:eastAsia="Times New Roman" w:hAnsi="Times New Roman" w:cs="Times New Roman"/>
          <w:sz w:val="24"/>
          <w:szCs w:val="24"/>
        </w:rPr>
        <w:t>has been</w:t>
      </w:r>
      <w:r w:rsidR="00EA4B7D" w:rsidRPr="00150F3D">
        <w:rPr>
          <w:rFonts w:ascii="Times New Roman" w:eastAsia="Times New Roman" w:hAnsi="Times New Roman" w:cs="Times New Roman"/>
          <w:sz w:val="24"/>
          <w:szCs w:val="24"/>
        </w:rPr>
        <w:t xml:space="preserve"> a greater </w:t>
      </w:r>
      <w:r w:rsidR="006039A7" w:rsidRPr="00150F3D">
        <w:rPr>
          <w:rFonts w:ascii="Times New Roman" w:eastAsia="Times New Roman" w:hAnsi="Times New Roman" w:cs="Times New Roman"/>
          <w:sz w:val="24"/>
          <w:szCs w:val="24"/>
        </w:rPr>
        <w:t>recognition</w:t>
      </w:r>
      <w:r w:rsidR="00EA4B7D" w:rsidRPr="00150F3D">
        <w:rPr>
          <w:rFonts w:ascii="Times New Roman" w:eastAsia="Times New Roman" w:hAnsi="Times New Roman" w:cs="Times New Roman"/>
          <w:sz w:val="24"/>
          <w:szCs w:val="24"/>
        </w:rPr>
        <w:t xml:space="preserve"> that</w:t>
      </w:r>
      <w:r w:rsidR="00EA4B7D" w:rsidRPr="00150F3D">
        <w:rPr>
          <w:rFonts w:ascii="Times New Roman" w:hAnsi="Times New Roman" w:cs="Times New Roman"/>
          <w:sz w:val="24"/>
          <w:szCs w:val="24"/>
        </w:rPr>
        <w:t xml:space="preserve"> having a strong remedial system in place for victims to utilise reflects widely accepted international norms</w:t>
      </w:r>
      <w:r w:rsidR="006039A7" w:rsidRPr="00150F3D">
        <w:rPr>
          <w:rFonts w:ascii="Times New Roman" w:hAnsi="Times New Roman" w:cs="Times New Roman"/>
          <w:sz w:val="24"/>
          <w:szCs w:val="24"/>
        </w:rPr>
        <w:t>. It is accepted</w:t>
      </w:r>
      <w:r w:rsidR="00D97DAD" w:rsidRPr="00150F3D">
        <w:rPr>
          <w:rFonts w:ascii="Times New Roman" w:hAnsi="Times New Roman" w:cs="Times New Roman"/>
          <w:sz w:val="24"/>
          <w:szCs w:val="24"/>
        </w:rPr>
        <w:t xml:space="preserve"> within</w:t>
      </w:r>
      <w:r w:rsidR="00EA4B7D" w:rsidRPr="00150F3D">
        <w:rPr>
          <w:rFonts w:ascii="Times New Roman" w:hAnsi="Times New Roman" w:cs="Times New Roman"/>
          <w:sz w:val="24"/>
          <w:szCs w:val="24"/>
        </w:rPr>
        <w:t xml:space="preserve"> the international community that violations of human rights should not go unpunished, and that respect for fundamental human rights is in their individual and collective interest</w:t>
      </w:r>
      <w:r w:rsidR="00C25DCD">
        <w:rPr>
          <w:rFonts w:ascii="Times New Roman" w:hAnsi="Times New Roman" w:cs="Times New Roman"/>
          <w:sz w:val="24"/>
          <w:szCs w:val="24"/>
        </w:rPr>
        <w:t>.</w:t>
      </w:r>
      <w:r w:rsidR="00EA4B7D" w:rsidRPr="00150F3D">
        <w:rPr>
          <w:rStyle w:val="FootnoteReference"/>
          <w:rFonts w:ascii="Times New Roman" w:hAnsi="Times New Roman" w:cs="Times New Roman"/>
          <w:sz w:val="24"/>
          <w:szCs w:val="24"/>
        </w:rPr>
        <w:footnoteReference w:id="14"/>
      </w:r>
      <w:r w:rsidR="0055683F" w:rsidRPr="00150F3D">
        <w:rPr>
          <w:rFonts w:ascii="Times New Roman" w:hAnsi="Times New Roman" w:cs="Times New Roman"/>
          <w:sz w:val="24"/>
          <w:szCs w:val="24"/>
        </w:rPr>
        <w:t xml:space="preserve"> </w:t>
      </w:r>
    </w:p>
    <w:p w14:paraId="1E1A459A" w14:textId="3B4B2DE0" w:rsidR="00BE72DA" w:rsidRPr="00150F3D" w:rsidRDefault="0055683F" w:rsidP="00B82299">
      <w:pPr>
        <w:spacing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 xml:space="preserve">Moreover, corporations </w:t>
      </w:r>
      <w:r w:rsidR="005D5906" w:rsidRPr="00150F3D">
        <w:rPr>
          <w:rFonts w:ascii="Times New Roman" w:hAnsi="Times New Roman" w:cs="Times New Roman"/>
          <w:sz w:val="24"/>
          <w:szCs w:val="24"/>
        </w:rPr>
        <w:t xml:space="preserve">are increasingly </w:t>
      </w:r>
      <w:r w:rsidR="00F34440" w:rsidRPr="00150F3D">
        <w:rPr>
          <w:rFonts w:ascii="Times New Roman" w:hAnsi="Times New Roman" w:cs="Times New Roman"/>
          <w:sz w:val="24"/>
          <w:szCs w:val="24"/>
        </w:rPr>
        <w:t>signi</w:t>
      </w:r>
      <w:r w:rsidR="00047311">
        <w:rPr>
          <w:rFonts w:ascii="Times New Roman" w:hAnsi="Times New Roman" w:cs="Times New Roman"/>
          <w:sz w:val="24"/>
          <w:szCs w:val="24"/>
        </w:rPr>
        <w:t>n</w:t>
      </w:r>
      <w:r w:rsidR="00F34440" w:rsidRPr="00150F3D">
        <w:rPr>
          <w:rFonts w:ascii="Times New Roman" w:hAnsi="Times New Roman" w:cs="Times New Roman"/>
          <w:sz w:val="24"/>
          <w:szCs w:val="24"/>
        </w:rPr>
        <w:t xml:space="preserve">g up </w:t>
      </w:r>
      <w:r w:rsidR="00BB5F55">
        <w:rPr>
          <w:rFonts w:ascii="Times New Roman" w:hAnsi="Times New Roman" w:cs="Times New Roman"/>
          <w:sz w:val="24"/>
          <w:szCs w:val="24"/>
        </w:rPr>
        <w:t>for</w:t>
      </w:r>
      <w:r w:rsidR="00F34440" w:rsidRPr="00150F3D">
        <w:rPr>
          <w:rFonts w:ascii="Times New Roman" w:hAnsi="Times New Roman" w:cs="Times New Roman"/>
          <w:sz w:val="24"/>
          <w:szCs w:val="24"/>
        </w:rPr>
        <w:t xml:space="preserve"> the UNGPs and other</w:t>
      </w:r>
      <w:r w:rsidR="001E2739" w:rsidRPr="00150F3D">
        <w:rPr>
          <w:rFonts w:ascii="Times New Roman" w:hAnsi="Times New Roman" w:cs="Times New Roman"/>
          <w:sz w:val="24"/>
          <w:szCs w:val="24"/>
        </w:rPr>
        <w:t xml:space="preserve"> corporate social responsibility</w:t>
      </w:r>
      <w:r w:rsidR="00F34440" w:rsidRPr="00150F3D">
        <w:rPr>
          <w:rFonts w:ascii="Times New Roman" w:hAnsi="Times New Roman" w:cs="Times New Roman"/>
          <w:sz w:val="24"/>
          <w:szCs w:val="24"/>
        </w:rPr>
        <w:t xml:space="preserve"> initiatives</w:t>
      </w:r>
      <w:r w:rsidR="00676974" w:rsidRPr="00150F3D">
        <w:rPr>
          <w:rFonts w:ascii="Times New Roman" w:hAnsi="Times New Roman" w:cs="Times New Roman"/>
          <w:sz w:val="24"/>
          <w:szCs w:val="24"/>
        </w:rPr>
        <w:t xml:space="preserve"> </w:t>
      </w:r>
      <w:r w:rsidR="002F535A" w:rsidRPr="00150F3D">
        <w:rPr>
          <w:rFonts w:ascii="Times New Roman" w:hAnsi="Times New Roman" w:cs="Times New Roman"/>
          <w:sz w:val="24"/>
          <w:szCs w:val="24"/>
        </w:rPr>
        <w:t xml:space="preserve">through </w:t>
      </w:r>
      <w:r w:rsidR="00BB5F55">
        <w:rPr>
          <w:rFonts w:ascii="Times New Roman" w:hAnsi="Times New Roman" w:cs="Times New Roman"/>
          <w:sz w:val="24"/>
          <w:szCs w:val="24"/>
        </w:rPr>
        <w:t>codes</w:t>
      </w:r>
      <w:r w:rsidR="002F535A" w:rsidRPr="00150F3D">
        <w:rPr>
          <w:rFonts w:ascii="Times New Roman" w:hAnsi="Times New Roman" w:cs="Times New Roman"/>
          <w:sz w:val="24"/>
          <w:szCs w:val="24"/>
        </w:rPr>
        <w:t xml:space="preserve"> of </w:t>
      </w:r>
      <w:r w:rsidR="00BB5F55">
        <w:rPr>
          <w:rFonts w:ascii="Times New Roman" w:hAnsi="Times New Roman" w:cs="Times New Roman"/>
          <w:sz w:val="24"/>
          <w:szCs w:val="24"/>
        </w:rPr>
        <w:t>conduct</w:t>
      </w:r>
      <w:r w:rsidR="002F535A" w:rsidRPr="00150F3D">
        <w:rPr>
          <w:rFonts w:ascii="Times New Roman" w:hAnsi="Times New Roman" w:cs="Times New Roman"/>
          <w:sz w:val="24"/>
          <w:szCs w:val="24"/>
        </w:rPr>
        <w:t xml:space="preserve"> and internal policies which apply to their entire operational cycle, and </w:t>
      </w:r>
      <w:r w:rsidR="00110747">
        <w:rPr>
          <w:rFonts w:ascii="Times New Roman" w:hAnsi="Times New Roman" w:cs="Times New Roman"/>
          <w:sz w:val="24"/>
          <w:szCs w:val="24"/>
        </w:rPr>
        <w:t xml:space="preserve">their </w:t>
      </w:r>
      <w:r w:rsidR="00BB5F55">
        <w:rPr>
          <w:rFonts w:ascii="Times New Roman" w:hAnsi="Times New Roman" w:cs="Times New Roman"/>
          <w:sz w:val="24"/>
          <w:szCs w:val="24"/>
        </w:rPr>
        <w:t>relationships</w:t>
      </w:r>
      <w:r w:rsidR="002F535A" w:rsidRPr="00150F3D">
        <w:rPr>
          <w:rFonts w:ascii="Times New Roman" w:hAnsi="Times New Roman" w:cs="Times New Roman"/>
          <w:sz w:val="24"/>
          <w:szCs w:val="24"/>
        </w:rPr>
        <w:t xml:space="preserve"> with contractors and other business associates.</w:t>
      </w:r>
      <w:r w:rsidR="006451BF" w:rsidRPr="00150F3D">
        <w:rPr>
          <w:rFonts w:ascii="Times New Roman" w:hAnsi="Times New Roman" w:cs="Times New Roman"/>
          <w:sz w:val="24"/>
          <w:szCs w:val="24"/>
        </w:rPr>
        <w:t xml:space="preserve"> </w:t>
      </w:r>
      <w:r w:rsidR="00D97DAD" w:rsidRPr="00150F3D">
        <w:rPr>
          <w:rFonts w:ascii="Times New Roman" w:hAnsi="Times New Roman" w:cs="Times New Roman"/>
          <w:sz w:val="24"/>
          <w:szCs w:val="24"/>
        </w:rPr>
        <w:t xml:space="preserve">Many corporations have also </w:t>
      </w:r>
      <w:r w:rsidR="002F535A" w:rsidRPr="00150F3D">
        <w:rPr>
          <w:rFonts w:ascii="Times New Roman" w:hAnsi="Times New Roman" w:cs="Times New Roman"/>
          <w:sz w:val="24"/>
          <w:szCs w:val="24"/>
        </w:rPr>
        <w:t>committ</w:t>
      </w:r>
      <w:r w:rsidR="00D97DAD" w:rsidRPr="00150F3D">
        <w:rPr>
          <w:rFonts w:ascii="Times New Roman" w:hAnsi="Times New Roman" w:cs="Times New Roman"/>
          <w:sz w:val="24"/>
          <w:szCs w:val="24"/>
        </w:rPr>
        <w:t>ed</w:t>
      </w:r>
      <w:r w:rsidR="002F535A" w:rsidRPr="00150F3D">
        <w:rPr>
          <w:rFonts w:ascii="Times New Roman" w:hAnsi="Times New Roman" w:cs="Times New Roman"/>
          <w:sz w:val="24"/>
          <w:szCs w:val="24"/>
        </w:rPr>
        <w:t xml:space="preserve"> to the remediation of </w:t>
      </w:r>
      <w:r w:rsidR="006451BF" w:rsidRPr="00150F3D">
        <w:rPr>
          <w:rFonts w:ascii="Times New Roman" w:hAnsi="Times New Roman" w:cs="Times New Roman"/>
          <w:sz w:val="24"/>
          <w:szCs w:val="24"/>
        </w:rPr>
        <w:t>adverse impacts</w:t>
      </w:r>
      <w:r w:rsidR="002F535A" w:rsidRPr="00150F3D">
        <w:rPr>
          <w:rFonts w:ascii="Times New Roman" w:hAnsi="Times New Roman" w:cs="Times New Roman"/>
          <w:sz w:val="24"/>
          <w:szCs w:val="24"/>
        </w:rPr>
        <w:t xml:space="preserve"> they may cause</w:t>
      </w:r>
      <w:r w:rsidR="00C25DCD">
        <w:rPr>
          <w:rFonts w:ascii="Times New Roman" w:hAnsi="Times New Roman" w:cs="Times New Roman"/>
          <w:sz w:val="24"/>
          <w:szCs w:val="24"/>
        </w:rPr>
        <w:t>.</w:t>
      </w:r>
      <w:r w:rsidR="006451BF" w:rsidRPr="00150F3D">
        <w:rPr>
          <w:rStyle w:val="FootnoteReference"/>
          <w:rFonts w:ascii="Times New Roman" w:hAnsi="Times New Roman" w:cs="Times New Roman"/>
          <w:sz w:val="24"/>
          <w:szCs w:val="24"/>
        </w:rPr>
        <w:footnoteReference w:id="15"/>
      </w:r>
      <w:r w:rsidRPr="00150F3D">
        <w:rPr>
          <w:rFonts w:ascii="Times New Roman" w:hAnsi="Times New Roman" w:cs="Times New Roman"/>
          <w:sz w:val="24"/>
          <w:szCs w:val="24"/>
        </w:rPr>
        <w:t xml:space="preserve"> Thus, although </w:t>
      </w:r>
      <w:r w:rsidR="00676974" w:rsidRPr="00150F3D">
        <w:rPr>
          <w:rFonts w:ascii="Times New Roman" w:hAnsi="Times New Roman" w:cs="Times New Roman"/>
          <w:sz w:val="24"/>
          <w:szCs w:val="24"/>
        </w:rPr>
        <w:t xml:space="preserve">it cannot be </w:t>
      </w:r>
      <w:r w:rsidRPr="00150F3D">
        <w:rPr>
          <w:rFonts w:ascii="Times New Roman" w:hAnsi="Times New Roman" w:cs="Times New Roman"/>
          <w:sz w:val="24"/>
          <w:szCs w:val="24"/>
        </w:rPr>
        <w:t>rule</w:t>
      </w:r>
      <w:r w:rsidR="00676974" w:rsidRPr="00150F3D">
        <w:rPr>
          <w:rFonts w:ascii="Times New Roman" w:hAnsi="Times New Roman" w:cs="Times New Roman"/>
          <w:sz w:val="24"/>
          <w:szCs w:val="24"/>
        </w:rPr>
        <w:t>d</w:t>
      </w:r>
      <w:r w:rsidRPr="00150F3D">
        <w:rPr>
          <w:rFonts w:ascii="Times New Roman" w:hAnsi="Times New Roman" w:cs="Times New Roman"/>
          <w:sz w:val="24"/>
          <w:szCs w:val="24"/>
        </w:rPr>
        <w:t xml:space="preserve"> out th</w:t>
      </w:r>
      <w:r w:rsidR="00676974" w:rsidRPr="00150F3D">
        <w:rPr>
          <w:rFonts w:ascii="Times New Roman" w:hAnsi="Times New Roman" w:cs="Times New Roman"/>
          <w:sz w:val="24"/>
          <w:szCs w:val="24"/>
        </w:rPr>
        <w:t xml:space="preserve">at a corporation could </w:t>
      </w:r>
      <w:r w:rsidR="00B108A4">
        <w:rPr>
          <w:rFonts w:ascii="Times New Roman" w:hAnsi="Times New Roman" w:cs="Times New Roman"/>
          <w:sz w:val="24"/>
          <w:szCs w:val="24"/>
        </w:rPr>
        <w:t>utilise</w:t>
      </w:r>
      <w:r w:rsidR="00676974" w:rsidRPr="00150F3D">
        <w:rPr>
          <w:rFonts w:ascii="Times New Roman" w:hAnsi="Times New Roman" w:cs="Times New Roman"/>
          <w:sz w:val="24"/>
          <w:szCs w:val="24"/>
        </w:rPr>
        <w:t xml:space="preserve"> </w:t>
      </w:r>
      <w:r w:rsidR="002F535A" w:rsidRPr="00150F3D">
        <w:rPr>
          <w:rFonts w:ascii="Times New Roman" w:hAnsi="Times New Roman" w:cs="Times New Roman"/>
          <w:sz w:val="24"/>
          <w:szCs w:val="24"/>
        </w:rPr>
        <w:t xml:space="preserve">the </w:t>
      </w:r>
      <w:r w:rsidR="00D97DAD" w:rsidRPr="00150F3D">
        <w:rPr>
          <w:rFonts w:ascii="Times New Roman" w:hAnsi="Times New Roman" w:cs="Times New Roman"/>
          <w:i/>
          <w:iCs/>
          <w:sz w:val="24"/>
          <w:szCs w:val="24"/>
        </w:rPr>
        <w:t>Caparo</w:t>
      </w:r>
      <w:r w:rsidR="00D97DAD" w:rsidRPr="00150F3D">
        <w:rPr>
          <w:rFonts w:ascii="Times New Roman" w:hAnsi="Times New Roman" w:cs="Times New Roman"/>
          <w:sz w:val="24"/>
          <w:szCs w:val="24"/>
        </w:rPr>
        <w:t xml:space="preserve"> </w:t>
      </w:r>
      <w:r w:rsidR="002F535A" w:rsidRPr="00150F3D">
        <w:rPr>
          <w:rFonts w:ascii="Times New Roman" w:hAnsi="Times New Roman" w:cs="Times New Roman"/>
          <w:sz w:val="24"/>
          <w:szCs w:val="24"/>
        </w:rPr>
        <w:lastRenderedPageBreak/>
        <w:t xml:space="preserve">fairness </w:t>
      </w:r>
      <w:r w:rsidRPr="00150F3D">
        <w:rPr>
          <w:rFonts w:ascii="Times New Roman" w:hAnsi="Times New Roman" w:cs="Times New Roman"/>
          <w:sz w:val="24"/>
          <w:szCs w:val="24"/>
        </w:rPr>
        <w:t>defence,</w:t>
      </w:r>
      <w:r w:rsidR="00EB4281">
        <w:rPr>
          <w:rFonts w:ascii="Times New Roman" w:hAnsi="Times New Roman" w:cs="Times New Roman"/>
          <w:sz w:val="24"/>
          <w:szCs w:val="24"/>
        </w:rPr>
        <w:t xml:space="preserve"> to date</w:t>
      </w:r>
      <w:r w:rsidRPr="00150F3D">
        <w:rPr>
          <w:rFonts w:ascii="Times New Roman" w:hAnsi="Times New Roman" w:cs="Times New Roman"/>
          <w:sz w:val="24"/>
          <w:szCs w:val="24"/>
        </w:rPr>
        <w:t xml:space="preserve"> it </w:t>
      </w:r>
      <w:r w:rsidR="00EB4281">
        <w:rPr>
          <w:rFonts w:ascii="Times New Roman" w:hAnsi="Times New Roman" w:cs="Times New Roman"/>
          <w:sz w:val="24"/>
          <w:szCs w:val="24"/>
        </w:rPr>
        <w:t xml:space="preserve">has not been invoked, and it will be incredibly damaging for corporations, </w:t>
      </w:r>
      <w:r w:rsidRPr="00150F3D">
        <w:rPr>
          <w:rFonts w:ascii="Times New Roman" w:hAnsi="Times New Roman" w:cs="Times New Roman"/>
          <w:sz w:val="24"/>
          <w:szCs w:val="24"/>
        </w:rPr>
        <w:t xml:space="preserve">in </w:t>
      </w:r>
      <w:r w:rsidR="002F535A" w:rsidRPr="00150F3D">
        <w:rPr>
          <w:rFonts w:ascii="Times New Roman" w:hAnsi="Times New Roman" w:cs="Times New Roman"/>
          <w:sz w:val="24"/>
          <w:szCs w:val="24"/>
        </w:rPr>
        <w:t xml:space="preserve">the </w:t>
      </w:r>
      <w:r w:rsidRPr="00150F3D">
        <w:rPr>
          <w:rFonts w:ascii="Times New Roman" w:hAnsi="Times New Roman" w:cs="Times New Roman"/>
          <w:sz w:val="24"/>
          <w:szCs w:val="24"/>
        </w:rPr>
        <w:t xml:space="preserve">current political climate  to </w:t>
      </w:r>
      <w:r w:rsidR="00EB4281">
        <w:rPr>
          <w:rFonts w:ascii="Times New Roman" w:hAnsi="Times New Roman" w:cs="Times New Roman"/>
          <w:sz w:val="24"/>
          <w:szCs w:val="24"/>
        </w:rPr>
        <w:t xml:space="preserve"> rely on such a defence</w:t>
      </w:r>
      <w:r w:rsidR="00D97DAD" w:rsidRPr="00150F3D">
        <w:rPr>
          <w:rFonts w:ascii="Times New Roman" w:hAnsi="Times New Roman" w:cs="Times New Roman"/>
          <w:sz w:val="24"/>
          <w:szCs w:val="24"/>
        </w:rPr>
        <w:t>.</w:t>
      </w:r>
    </w:p>
    <w:p w14:paraId="127D0D26" w14:textId="7E814549" w:rsidR="00FD020C" w:rsidRPr="00150F3D" w:rsidRDefault="00EA4B7D"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The m</w:t>
      </w:r>
      <w:r w:rsidR="00B873B0" w:rsidRPr="00150F3D">
        <w:rPr>
          <w:rFonts w:ascii="Times New Roman" w:eastAsia="Times New Roman" w:hAnsi="Times New Roman" w:cs="Times New Roman"/>
          <w:sz w:val="24"/>
          <w:szCs w:val="24"/>
        </w:rPr>
        <w:t>ore</w:t>
      </w:r>
      <w:r w:rsidRPr="00150F3D">
        <w:rPr>
          <w:rFonts w:ascii="Times New Roman" w:eastAsia="Times New Roman" w:hAnsi="Times New Roman" w:cs="Times New Roman"/>
          <w:sz w:val="24"/>
          <w:szCs w:val="24"/>
        </w:rPr>
        <w:t xml:space="preserve"> challeng</w:t>
      </w:r>
      <w:r w:rsidR="00B873B0" w:rsidRPr="00150F3D">
        <w:rPr>
          <w:rFonts w:ascii="Times New Roman" w:eastAsia="Times New Roman" w:hAnsi="Times New Roman" w:cs="Times New Roman"/>
          <w:sz w:val="24"/>
          <w:szCs w:val="24"/>
        </w:rPr>
        <w:t xml:space="preserve">ing aspect of the </w:t>
      </w:r>
      <w:r w:rsidR="00B873B0" w:rsidRPr="00721810">
        <w:rPr>
          <w:rFonts w:ascii="Times New Roman" w:eastAsia="Times New Roman" w:hAnsi="Times New Roman" w:cs="Times New Roman"/>
          <w:i/>
          <w:iCs/>
          <w:sz w:val="24"/>
          <w:szCs w:val="24"/>
        </w:rPr>
        <w:t>Caparo</w:t>
      </w:r>
      <w:r w:rsidR="00B873B0" w:rsidRPr="00150F3D">
        <w:rPr>
          <w:rFonts w:ascii="Times New Roman" w:eastAsia="Times New Roman" w:hAnsi="Times New Roman" w:cs="Times New Roman"/>
          <w:sz w:val="24"/>
          <w:szCs w:val="24"/>
        </w:rPr>
        <w:t xml:space="preserve"> test is for the claimant</w:t>
      </w:r>
      <w:r w:rsidRPr="00150F3D">
        <w:rPr>
          <w:rFonts w:ascii="Times New Roman" w:eastAsia="Times New Roman" w:hAnsi="Times New Roman" w:cs="Times New Roman"/>
          <w:sz w:val="24"/>
          <w:szCs w:val="24"/>
        </w:rPr>
        <w:t xml:space="preserve"> </w:t>
      </w:r>
      <w:r w:rsidR="0055683F" w:rsidRPr="00150F3D">
        <w:rPr>
          <w:rFonts w:ascii="Times New Roman" w:eastAsia="Times New Roman" w:hAnsi="Times New Roman" w:cs="Times New Roman"/>
          <w:sz w:val="24"/>
          <w:szCs w:val="24"/>
        </w:rPr>
        <w:t>to</w:t>
      </w:r>
      <w:r w:rsidRPr="00150F3D">
        <w:rPr>
          <w:rFonts w:ascii="Times New Roman" w:eastAsia="Times New Roman" w:hAnsi="Times New Roman" w:cs="Times New Roman"/>
          <w:sz w:val="24"/>
          <w:szCs w:val="24"/>
        </w:rPr>
        <w:t xml:space="preserve"> satisfy the proximity requirement. </w:t>
      </w:r>
      <w:r w:rsidR="001148EA" w:rsidRPr="00150F3D">
        <w:rPr>
          <w:rFonts w:ascii="Times New Roman" w:eastAsia="Times New Roman" w:hAnsi="Times New Roman" w:cs="Times New Roman"/>
          <w:sz w:val="24"/>
          <w:szCs w:val="24"/>
        </w:rPr>
        <w:t xml:space="preserve">Lord Oliver in </w:t>
      </w:r>
      <w:r w:rsidR="001148EA" w:rsidRPr="00EA5853">
        <w:rPr>
          <w:rFonts w:ascii="Times New Roman" w:eastAsia="Times New Roman" w:hAnsi="Times New Roman" w:cs="Times New Roman"/>
          <w:i/>
          <w:iCs/>
          <w:sz w:val="24"/>
          <w:szCs w:val="24"/>
        </w:rPr>
        <w:t>Caparo</w:t>
      </w:r>
      <w:r w:rsidR="001148EA" w:rsidRPr="00150F3D">
        <w:rPr>
          <w:rFonts w:ascii="Times New Roman" w:eastAsia="Times New Roman" w:hAnsi="Times New Roman" w:cs="Times New Roman"/>
          <w:sz w:val="24"/>
          <w:szCs w:val="24"/>
        </w:rPr>
        <w:t xml:space="preserve"> stated that </w:t>
      </w:r>
      <w:r w:rsidR="00D765DA">
        <w:rPr>
          <w:rFonts w:ascii="Times New Roman" w:eastAsia="Times New Roman" w:hAnsi="Times New Roman" w:cs="Times New Roman"/>
          <w:sz w:val="24"/>
          <w:szCs w:val="24"/>
        </w:rPr>
        <w:t>‘</w:t>
      </w:r>
      <w:r w:rsidR="001148EA" w:rsidRPr="00150F3D">
        <w:rPr>
          <w:rFonts w:ascii="Times New Roman" w:eastAsia="Times New Roman" w:hAnsi="Times New Roman" w:cs="Times New Roman"/>
          <w:sz w:val="24"/>
          <w:szCs w:val="24"/>
        </w:rPr>
        <w:t>proximity is, no doubt a convenient expression so long as it is realised that it is no more than a label which embraces not a definable concept but merely a description of circumstances in which, pragmatically, the courts conclude that a duty of care exists’</w:t>
      </w:r>
      <w:r w:rsidR="00C25DCD">
        <w:rPr>
          <w:rFonts w:ascii="Times New Roman" w:eastAsia="Times New Roman" w:hAnsi="Times New Roman" w:cs="Times New Roman"/>
          <w:sz w:val="24"/>
          <w:szCs w:val="24"/>
        </w:rPr>
        <w:t>.</w:t>
      </w:r>
      <w:r w:rsidR="001148EA" w:rsidRPr="00150F3D">
        <w:rPr>
          <w:rFonts w:ascii="Times New Roman" w:hAnsi="Times New Roman" w:cs="Times New Roman"/>
          <w:sz w:val="24"/>
          <w:szCs w:val="24"/>
          <w:vertAlign w:val="superscript"/>
        </w:rPr>
        <w:footnoteReference w:id="16"/>
      </w:r>
      <w:r w:rsidR="001148EA" w:rsidRPr="00150F3D">
        <w:rPr>
          <w:rFonts w:ascii="Times New Roman" w:eastAsia="Times New Roman" w:hAnsi="Times New Roman" w:cs="Times New Roman"/>
          <w:sz w:val="24"/>
          <w:szCs w:val="24"/>
        </w:rPr>
        <w:t xml:space="preserve"> In international </w:t>
      </w:r>
      <w:r w:rsidR="00D97DAD" w:rsidRPr="00150F3D">
        <w:rPr>
          <w:rFonts w:ascii="Times New Roman" w:eastAsia="Times New Roman" w:hAnsi="Times New Roman" w:cs="Times New Roman"/>
          <w:sz w:val="24"/>
          <w:szCs w:val="24"/>
        </w:rPr>
        <w:t xml:space="preserve">human rights </w:t>
      </w:r>
      <w:r w:rsidR="001148EA" w:rsidRPr="00150F3D">
        <w:rPr>
          <w:rFonts w:ascii="Times New Roman" w:eastAsia="Times New Roman" w:hAnsi="Times New Roman" w:cs="Times New Roman"/>
          <w:sz w:val="24"/>
          <w:szCs w:val="24"/>
        </w:rPr>
        <w:t>tort litigation</w:t>
      </w:r>
      <w:r w:rsidR="00B873B0" w:rsidRPr="00150F3D">
        <w:rPr>
          <w:rFonts w:ascii="Times New Roman" w:eastAsia="Times New Roman" w:hAnsi="Times New Roman" w:cs="Times New Roman"/>
          <w:sz w:val="24"/>
          <w:szCs w:val="24"/>
        </w:rPr>
        <w:t>,</w:t>
      </w:r>
      <w:r w:rsidR="001148EA" w:rsidRPr="00150F3D">
        <w:rPr>
          <w:rFonts w:ascii="Times New Roman" w:eastAsia="Times New Roman" w:hAnsi="Times New Roman" w:cs="Times New Roman"/>
          <w:sz w:val="24"/>
          <w:szCs w:val="24"/>
        </w:rPr>
        <w:t xml:space="preserve"> </w:t>
      </w:r>
      <w:r w:rsidR="00D97DAD" w:rsidRPr="00150F3D">
        <w:rPr>
          <w:rFonts w:ascii="Times New Roman" w:eastAsia="Times New Roman" w:hAnsi="Times New Roman" w:cs="Times New Roman"/>
          <w:sz w:val="24"/>
          <w:szCs w:val="24"/>
        </w:rPr>
        <w:t>th</w:t>
      </w:r>
      <w:r w:rsidR="0055683F" w:rsidRPr="00150F3D">
        <w:rPr>
          <w:rFonts w:ascii="Times New Roman" w:eastAsia="Times New Roman" w:hAnsi="Times New Roman" w:cs="Times New Roman"/>
          <w:sz w:val="24"/>
          <w:szCs w:val="24"/>
        </w:rPr>
        <w:t xml:space="preserve">e proximity </w:t>
      </w:r>
      <w:r w:rsidR="00D97DAD" w:rsidRPr="00150F3D">
        <w:rPr>
          <w:rFonts w:ascii="Times New Roman" w:eastAsia="Times New Roman" w:hAnsi="Times New Roman" w:cs="Times New Roman"/>
          <w:sz w:val="24"/>
          <w:szCs w:val="24"/>
        </w:rPr>
        <w:t>requirement is often established</w:t>
      </w:r>
      <w:r w:rsidR="0055683F" w:rsidRPr="00150F3D">
        <w:rPr>
          <w:rFonts w:ascii="Times New Roman" w:eastAsia="Times New Roman" w:hAnsi="Times New Roman" w:cs="Times New Roman"/>
          <w:sz w:val="24"/>
          <w:szCs w:val="24"/>
        </w:rPr>
        <w:t xml:space="preserve"> in circumstances where the corporation </w:t>
      </w:r>
      <w:r w:rsidR="001148EA" w:rsidRPr="00150F3D">
        <w:rPr>
          <w:rFonts w:ascii="Times New Roman" w:eastAsia="Times New Roman" w:hAnsi="Times New Roman" w:cs="Times New Roman"/>
          <w:sz w:val="24"/>
          <w:szCs w:val="24"/>
        </w:rPr>
        <w:t xml:space="preserve">is closely and directly affected by the act of the corporation. </w:t>
      </w:r>
      <w:r w:rsidR="00B873B0" w:rsidRPr="00150F3D">
        <w:rPr>
          <w:rFonts w:ascii="Times New Roman" w:eastAsia="Times New Roman" w:hAnsi="Times New Roman" w:cs="Times New Roman"/>
          <w:sz w:val="24"/>
          <w:szCs w:val="24"/>
        </w:rPr>
        <w:t>These cover situations</w:t>
      </w:r>
      <w:r w:rsidR="00B108A4">
        <w:rPr>
          <w:rFonts w:ascii="Times New Roman" w:eastAsia="Times New Roman" w:hAnsi="Times New Roman" w:cs="Times New Roman"/>
          <w:sz w:val="24"/>
          <w:szCs w:val="24"/>
        </w:rPr>
        <w:t>,</w:t>
      </w:r>
      <w:r w:rsidR="00B873B0" w:rsidRPr="00150F3D">
        <w:rPr>
          <w:rFonts w:ascii="Times New Roman" w:eastAsia="Times New Roman" w:hAnsi="Times New Roman" w:cs="Times New Roman"/>
          <w:sz w:val="24"/>
          <w:szCs w:val="24"/>
        </w:rPr>
        <w:t xml:space="preserve"> for instance</w:t>
      </w:r>
      <w:r w:rsidR="00B108A4">
        <w:rPr>
          <w:rFonts w:ascii="Times New Roman" w:eastAsia="Times New Roman" w:hAnsi="Times New Roman" w:cs="Times New Roman"/>
          <w:sz w:val="24"/>
          <w:szCs w:val="24"/>
        </w:rPr>
        <w:t>,</w:t>
      </w:r>
      <w:r w:rsidR="00B873B0" w:rsidRPr="00150F3D">
        <w:rPr>
          <w:rFonts w:ascii="Times New Roman" w:eastAsia="Times New Roman" w:hAnsi="Times New Roman" w:cs="Times New Roman"/>
          <w:sz w:val="24"/>
          <w:szCs w:val="24"/>
        </w:rPr>
        <w:t xml:space="preserve"> where the tort is committed as a result of the act or</w:t>
      </w:r>
      <w:r w:rsidR="00B108A4">
        <w:rPr>
          <w:rFonts w:ascii="Times New Roman" w:eastAsia="Times New Roman" w:hAnsi="Times New Roman" w:cs="Times New Roman"/>
          <w:sz w:val="24"/>
          <w:szCs w:val="24"/>
        </w:rPr>
        <w:t>,</w:t>
      </w:r>
      <w:r w:rsidR="00B873B0" w:rsidRPr="00150F3D">
        <w:rPr>
          <w:rFonts w:ascii="Times New Roman" w:eastAsia="Times New Roman" w:hAnsi="Times New Roman" w:cs="Times New Roman"/>
          <w:sz w:val="24"/>
          <w:szCs w:val="24"/>
        </w:rPr>
        <w:t xml:space="preserve"> </w:t>
      </w:r>
      <w:r w:rsidR="0041412D">
        <w:rPr>
          <w:rFonts w:ascii="Times New Roman" w:eastAsia="Times New Roman" w:hAnsi="Times New Roman" w:cs="Times New Roman"/>
          <w:sz w:val="24"/>
          <w:szCs w:val="24"/>
        </w:rPr>
        <w:t>exceptionally</w:t>
      </w:r>
      <w:r w:rsidR="00B108A4">
        <w:rPr>
          <w:rFonts w:ascii="Times New Roman" w:eastAsia="Times New Roman" w:hAnsi="Times New Roman" w:cs="Times New Roman"/>
          <w:sz w:val="24"/>
          <w:szCs w:val="24"/>
        </w:rPr>
        <w:t>,</w:t>
      </w:r>
      <w:r w:rsidR="0041412D">
        <w:rPr>
          <w:rFonts w:ascii="Times New Roman" w:eastAsia="Times New Roman" w:hAnsi="Times New Roman" w:cs="Times New Roman"/>
          <w:sz w:val="24"/>
          <w:szCs w:val="24"/>
        </w:rPr>
        <w:t xml:space="preserve"> </w:t>
      </w:r>
      <w:r w:rsidR="00B873B0" w:rsidRPr="00150F3D">
        <w:rPr>
          <w:rFonts w:ascii="Times New Roman" w:eastAsia="Times New Roman" w:hAnsi="Times New Roman" w:cs="Times New Roman"/>
          <w:sz w:val="24"/>
          <w:szCs w:val="24"/>
        </w:rPr>
        <w:t>omission of the corporation</w:t>
      </w:r>
      <w:r w:rsidR="00B108A4">
        <w:rPr>
          <w:rFonts w:ascii="Times New Roman" w:eastAsia="Times New Roman" w:hAnsi="Times New Roman" w:cs="Times New Roman"/>
          <w:sz w:val="24"/>
          <w:szCs w:val="24"/>
        </w:rPr>
        <w:t>,</w:t>
      </w:r>
      <w:r w:rsidR="0041412D">
        <w:rPr>
          <w:rFonts w:ascii="Times New Roman" w:eastAsia="Times New Roman" w:hAnsi="Times New Roman" w:cs="Times New Roman"/>
          <w:sz w:val="24"/>
          <w:szCs w:val="24"/>
        </w:rPr>
        <w:t xml:space="preserve"> to prevent harm caused by a third party</w:t>
      </w:r>
      <w:r w:rsidR="00B108A4">
        <w:rPr>
          <w:rFonts w:ascii="Times New Roman" w:eastAsia="Times New Roman" w:hAnsi="Times New Roman" w:cs="Times New Roman"/>
          <w:sz w:val="24"/>
          <w:szCs w:val="24"/>
        </w:rPr>
        <w:t>.</w:t>
      </w:r>
      <w:bookmarkStart w:id="7" w:name="_Ref141964820"/>
      <w:r w:rsidR="0041412D">
        <w:rPr>
          <w:rStyle w:val="FootnoteReference"/>
          <w:rFonts w:ascii="Times New Roman" w:eastAsia="Times New Roman" w:hAnsi="Times New Roman" w:cs="Times New Roman"/>
          <w:sz w:val="24"/>
          <w:szCs w:val="24"/>
        </w:rPr>
        <w:footnoteReference w:id="17"/>
      </w:r>
      <w:bookmarkEnd w:id="7"/>
      <w:r w:rsidR="00B873B0" w:rsidRPr="00150F3D">
        <w:rPr>
          <w:rFonts w:ascii="Times New Roman" w:eastAsia="Times New Roman" w:hAnsi="Times New Roman" w:cs="Times New Roman"/>
          <w:sz w:val="24"/>
          <w:szCs w:val="24"/>
        </w:rPr>
        <w:t xml:space="preserve"> </w:t>
      </w:r>
      <w:r w:rsidR="00B108A4">
        <w:rPr>
          <w:rFonts w:ascii="Times New Roman" w:eastAsia="Times New Roman" w:hAnsi="Times New Roman" w:cs="Times New Roman"/>
          <w:sz w:val="24"/>
          <w:szCs w:val="24"/>
        </w:rPr>
        <w:t>O</w:t>
      </w:r>
      <w:r w:rsidR="00B108A4" w:rsidRPr="00150F3D">
        <w:rPr>
          <w:rFonts w:ascii="Times New Roman" w:eastAsia="Times New Roman" w:hAnsi="Times New Roman" w:cs="Times New Roman"/>
          <w:sz w:val="24"/>
          <w:szCs w:val="24"/>
        </w:rPr>
        <w:t xml:space="preserve">r </w:t>
      </w:r>
      <w:r w:rsidR="00B873B0" w:rsidRPr="00150F3D">
        <w:rPr>
          <w:rFonts w:ascii="Times New Roman" w:eastAsia="Times New Roman" w:hAnsi="Times New Roman" w:cs="Times New Roman"/>
          <w:sz w:val="24"/>
          <w:szCs w:val="24"/>
        </w:rPr>
        <w:t xml:space="preserve">where the corporation is complicit in the commissioning of the tort. </w:t>
      </w:r>
    </w:p>
    <w:p w14:paraId="13DA0484" w14:textId="0F086D91" w:rsidR="00B873B0" w:rsidRPr="00150F3D" w:rsidRDefault="007D18D9"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B873B0" w:rsidRPr="00150F3D">
        <w:rPr>
          <w:rFonts w:ascii="Times New Roman" w:eastAsia="Times New Roman" w:hAnsi="Times New Roman" w:cs="Times New Roman"/>
          <w:sz w:val="24"/>
          <w:szCs w:val="24"/>
        </w:rPr>
        <w:t>other layer of complex situations is where the harm is committed by the subsidiary of the corporation.</w:t>
      </w:r>
      <w:r w:rsidR="00E16F51" w:rsidRPr="00150F3D">
        <w:rPr>
          <w:rFonts w:ascii="Times New Roman" w:eastAsia="Times New Roman" w:hAnsi="Times New Roman" w:cs="Times New Roman"/>
          <w:sz w:val="24"/>
          <w:szCs w:val="24"/>
        </w:rPr>
        <w:t xml:space="preserve"> </w:t>
      </w:r>
      <w:r w:rsidR="00D97DAD" w:rsidRPr="00150F3D">
        <w:rPr>
          <w:rFonts w:ascii="Times New Roman" w:eastAsia="Times New Roman" w:hAnsi="Times New Roman" w:cs="Times New Roman"/>
          <w:sz w:val="24"/>
          <w:szCs w:val="24"/>
        </w:rPr>
        <w:t xml:space="preserve">In </w:t>
      </w:r>
      <w:r w:rsidR="00A2705B" w:rsidRPr="00150F3D">
        <w:rPr>
          <w:rFonts w:ascii="Times New Roman" w:eastAsia="Times New Roman" w:hAnsi="Times New Roman" w:cs="Times New Roman"/>
          <w:i/>
          <w:iCs/>
          <w:sz w:val="24"/>
          <w:szCs w:val="24"/>
        </w:rPr>
        <w:t>Chandler</w:t>
      </w:r>
      <w:r w:rsidR="00A2705B" w:rsidRPr="00150F3D">
        <w:rPr>
          <w:rFonts w:ascii="Times New Roman" w:eastAsia="Times New Roman" w:hAnsi="Times New Roman" w:cs="Times New Roman"/>
          <w:sz w:val="24"/>
          <w:szCs w:val="24"/>
        </w:rPr>
        <w:t xml:space="preserve"> </w:t>
      </w:r>
      <w:r w:rsidR="00D97DAD" w:rsidRPr="00150F3D">
        <w:rPr>
          <w:rFonts w:ascii="Times New Roman" w:eastAsia="Times New Roman" w:hAnsi="Times New Roman" w:cs="Times New Roman"/>
          <w:sz w:val="24"/>
          <w:szCs w:val="24"/>
        </w:rPr>
        <w:t>v</w:t>
      </w:r>
      <w:r w:rsidR="00D97DAD" w:rsidRPr="00150F3D">
        <w:rPr>
          <w:rFonts w:ascii="Times New Roman" w:eastAsia="Times New Roman" w:hAnsi="Times New Roman" w:cs="Times New Roman"/>
          <w:i/>
          <w:iCs/>
          <w:sz w:val="24"/>
          <w:szCs w:val="24"/>
        </w:rPr>
        <w:t xml:space="preserve">. Cape Plc </w:t>
      </w:r>
      <w:r w:rsidR="00D97DAD" w:rsidRPr="00150F3D">
        <w:rPr>
          <w:rFonts w:ascii="Times New Roman" w:eastAsia="Times New Roman" w:hAnsi="Times New Roman" w:cs="Times New Roman"/>
          <w:sz w:val="24"/>
          <w:szCs w:val="24"/>
        </w:rPr>
        <w:t xml:space="preserve">the court </w:t>
      </w:r>
      <w:r>
        <w:rPr>
          <w:rFonts w:ascii="Times New Roman" w:eastAsia="Times New Roman" w:hAnsi="Times New Roman" w:cs="Times New Roman"/>
          <w:sz w:val="24"/>
          <w:szCs w:val="24"/>
        </w:rPr>
        <w:t>points out that</w:t>
      </w:r>
      <w:r w:rsidR="00A05CF7">
        <w:rPr>
          <w:rFonts w:ascii="Times New Roman" w:eastAsia="Times New Roman" w:hAnsi="Times New Roman" w:cs="Times New Roman"/>
          <w:sz w:val="24"/>
          <w:szCs w:val="24"/>
        </w:rPr>
        <w:t>, under some circumstances,</w:t>
      </w:r>
      <w:r w:rsidR="00D97DAD" w:rsidRPr="00150F3D">
        <w:rPr>
          <w:rFonts w:ascii="Times New Roman" w:eastAsia="Times New Roman" w:hAnsi="Times New Roman" w:cs="Times New Roman"/>
          <w:sz w:val="24"/>
          <w:szCs w:val="24"/>
        </w:rPr>
        <w:t xml:space="preserve"> </w:t>
      </w:r>
      <w:r w:rsidR="00A2705B" w:rsidRPr="00150F3D">
        <w:rPr>
          <w:rFonts w:ascii="Times New Roman" w:eastAsia="Times New Roman" w:hAnsi="Times New Roman" w:cs="Times New Roman"/>
          <w:sz w:val="24"/>
          <w:szCs w:val="24"/>
        </w:rPr>
        <w:t xml:space="preserve">a parent company may be adjudged to </w:t>
      </w:r>
      <w:r w:rsidR="00D97DAD" w:rsidRPr="00150F3D">
        <w:rPr>
          <w:rFonts w:ascii="Times New Roman" w:eastAsia="Times New Roman" w:hAnsi="Times New Roman" w:cs="Times New Roman"/>
          <w:sz w:val="24"/>
          <w:szCs w:val="24"/>
        </w:rPr>
        <w:t>have assumed a</w:t>
      </w:r>
      <w:r w:rsidR="00A2705B" w:rsidRPr="00150F3D">
        <w:rPr>
          <w:rFonts w:ascii="Times New Roman" w:eastAsia="Times New Roman" w:hAnsi="Times New Roman" w:cs="Times New Roman"/>
          <w:sz w:val="24"/>
          <w:szCs w:val="24"/>
        </w:rPr>
        <w:t xml:space="preserve"> duty of care for the hea</w:t>
      </w:r>
      <w:r w:rsidR="00D97DAD" w:rsidRPr="00150F3D">
        <w:rPr>
          <w:rFonts w:ascii="Times New Roman" w:eastAsia="Times New Roman" w:hAnsi="Times New Roman" w:cs="Times New Roman"/>
          <w:sz w:val="24"/>
          <w:szCs w:val="24"/>
        </w:rPr>
        <w:t>l</w:t>
      </w:r>
      <w:r w:rsidR="00A2705B" w:rsidRPr="00150F3D">
        <w:rPr>
          <w:rFonts w:ascii="Times New Roman" w:eastAsia="Times New Roman" w:hAnsi="Times New Roman" w:cs="Times New Roman"/>
          <w:sz w:val="24"/>
          <w:szCs w:val="24"/>
        </w:rPr>
        <w:t>th and safety of its subsidiary’s employees</w:t>
      </w:r>
      <w:r w:rsidR="00C440D0" w:rsidRPr="00150F3D">
        <w:rPr>
          <w:rFonts w:ascii="Times New Roman" w:eastAsia="Times New Roman" w:hAnsi="Times New Roman" w:cs="Times New Roman"/>
          <w:sz w:val="24"/>
          <w:szCs w:val="24"/>
        </w:rPr>
        <w:t>. According to these indicia</w:t>
      </w:r>
      <w:r w:rsidR="008457C0">
        <w:rPr>
          <w:rFonts w:ascii="Times New Roman" w:eastAsia="Times New Roman" w:hAnsi="Times New Roman" w:cs="Times New Roman"/>
          <w:sz w:val="24"/>
          <w:szCs w:val="24"/>
        </w:rPr>
        <w:t>,</w:t>
      </w:r>
      <w:r w:rsidR="00C440D0" w:rsidRPr="00150F3D">
        <w:rPr>
          <w:rFonts w:ascii="Times New Roman" w:eastAsia="Times New Roman" w:hAnsi="Times New Roman" w:cs="Times New Roman"/>
          <w:sz w:val="24"/>
          <w:szCs w:val="24"/>
        </w:rPr>
        <w:t xml:space="preserve"> the claimant should </w:t>
      </w:r>
      <w:r w:rsidR="00B873B0" w:rsidRPr="00150F3D">
        <w:rPr>
          <w:rFonts w:ascii="Times New Roman" w:eastAsia="Times New Roman" w:hAnsi="Times New Roman" w:cs="Times New Roman"/>
          <w:sz w:val="24"/>
          <w:szCs w:val="24"/>
        </w:rPr>
        <w:t xml:space="preserve">first </w:t>
      </w:r>
      <w:r w:rsidR="00C440D0" w:rsidRPr="00150F3D">
        <w:rPr>
          <w:rFonts w:ascii="Times New Roman" w:eastAsia="Times New Roman" w:hAnsi="Times New Roman" w:cs="Times New Roman"/>
          <w:sz w:val="24"/>
          <w:szCs w:val="24"/>
        </w:rPr>
        <w:t xml:space="preserve">demonstrate that </w:t>
      </w:r>
      <w:r w:rsidR="00C7466A" w:rsidRPr="00150F3D">
        <w:rPr>
          <w:rFonts w:ascii="Times New Roman" w:eastAsia="Times New Roman" w:hAnsi="Times New Roman" w:cs="Times New Roman"/>
          <w:sz w:val="24"/>
          <w:szCs w:val="24"/>
        </w:rPr>
        <w:t>the parent and subsidiary are in relevant respect the same</w:t>
      </w:r>
      <w:r w:rsidR="00892B4E">
        <w:rPr>
          <w:rFonts w:ascii="Times New Roman" w:eastAsia="Times New Roman" w:hAnsi="Times New Roman" w:cs="Times New Roman"/>
          <w:sz w:val="24"/>
          <w:szCs w:val="24"/>
        </w:rPr>
        <w:t>.</w:t>
      </w:r>
      <w:r w:rsidR="00892B4E" w:rsidRPr="00150F3D">
        <w:rPr>
          <w:rFonts w:ascii="Times New Roman" w:eastAsia="Times New Roman" w:hAnsi="Times New Roman" w:cs="Times New Roman"/>
          <w:sz w:val="24"/>
          <w:szCs w:val="24"/>
        </w:rPr>
        <w:t xml:space="preserve"> </w:t>
      </w:r>
      <w:r w:rsidR="00892B4E">
        <w:rPr>
          <w:rFonts w:ascii="Times New Roman" w:eastAsia="Times New Roman" w:hAnsi="Times New Roman" w:cs="Times New Roman"/>
          <w:sz w:val="24"/>
          <w:szCs w:val="24"/>
        </w:rPr>
        <w:t>S</w:t>
      </w:r>
      <w:r w:rsidR="00B873B0" w:rsidRPr="00150F3D">
        <w:rPr>
          <w:rFonts w:ascii="Times New Roman" w:eastAsia="Times New Roman" w:hAnsi="Times New Roman" w:cs="Times New Roman"/>
          <w:sz w:val="24"/>
          <w:szCs w:val="24"/>
        </w:rPr>
        <w:t>econd</w:t>
      </w:r>
      <w:r w:rsidR="00892B4E">
        <w:rPr>
          <w:rFonts w:ascii="Times New Roman" w:eastAsia="Times New Roman" w:hAnsi="Times New Roman" w:cs="Times New Roman"/>
          <w:sz w:val="24"/>
          <w:szCs w:val="24"/>
        </w:rPr>
        <w:t>ly, it must be established</w:t>
      </w:r>
      <w:r w:rsidR="00B873B0" w:rsidRPr="00150F3D">
        <w:rPr>
          <w:rFonts w:ascii="Times New Roman" w:eastAsia="Times New Roman" w:hAnsi="Times New Roman" w:cs="Times New Roman"/>
          <w:sz w:val="24"/>
          <w:szCs w:val="24"/>
        </w:rPr>
        <w:t xml:space="preserve"> </w:t>
      </w:r>
      <w:r w:rsidR="00C7466A" w:rsidRPr="00150F3D">
        <w:rPr>
          <w:rFonts w:ascii="Times New Roman" w:eastAsia="Times New Roman" w:hAnsi="Times New Roman" w:cs="Times New Roman"/>
          <w:sz w:val="24"/>
          <w:szCs w:val="24"/>
        </w:rPr>
        <w:t>that the parent had superior knowledge o</w:t>
      </w:r>
      <w:r w:rsidR="00C14DF2" w:rsidRPr="00150F3D">
        <w:rPr>
          <w:rFonts w:ascii="Times New Roman" w:eastAsia="Times New Roman" w:hAnsi="Times New Roman" w:cs="Times New Roman"/>
          <w:sz w:val="24"/>
          <w:szCs w:val="24"/>
        </w:rPr>
        <w:t>f</w:t>
      </w:r>
      <w:r w:rsidR="00C7466A" w:rsidRPr="00150F3D">
        <w:rPr>
          <w:rFonts w:ascii="Times New Roman" w:eastAsia="Times New Roman" w:hAnsi="Times New Roman" w:cs="Times New Roman"/>
          <w:sz w:val="24"/>
          <w:szCs w:val="24"/>
        </w:rPr>
        <w:t xml:space="preserve"> the health and safety protocols relating to the relevant industry</w:t>
      </w:r>
      <w:r w:rsidR="00D97DAD" w:rsidRPr="00150F3D">
        <w:rPr>
          <w:rFonts w:ascii="Times New Roman" w:eastAsia="Times New Roman" w:hAnsi="Times New Roman" w:cs="Times New Roman"/>
          <w:sz w:val="24"/>
          <w:szCs w:val="24"/>
        </w:rPr>
        <w:t xml:space="preserve">. </w:t>
      </w:r>
      <w:r w:rsidR="00B873B0" w:rsidRPr="00150F3D">
        <w:rPr>
          <w:rFonts w:ascii="Times New Roman" w:eastAsia="Times New Roman" w:hAnsi="Times New Roman" w:cs="Times New Roman"/>
          <w:sz w:val="24"/>
          <w:szCs w:val="24"/>
        </w:rPr>
        <w:t>Third</w:t>
      </w:r>
      <w:r w:rsidR="00892B4E">
        <w:rPr>
          <w:rFonts w:ascii="Times New Roman" w:eastAsia="Times New Roman" w:hAnsi="Times New Roman" w:cs="Times New Roman"/>
          <w:sz w:val="24"/>
          <w:szCs w:val="24"/>
        </w:rPr>
        <w:t>ly, it should be demonstrated</w:t>
      </w:r>
      <w:r w:rsidR="00B873B0" w:rsidRPr="00150F3D">
        <w:rPr>
          <w:rFonts w:ascii="Times New Roman" w:eastAsia="Times New Roman" w:hAnsi="Times New Roman" w:cs="Times New Roman"/>
          <w:sz w:val="24"/>
          <w:szCs w:val="24"/>
        </w:rPr>
        <w:t xml:space="preserve"> that</w:t>
      </w:r>
      <w:r w:rsidR="00C7466A" w:rsidRPr="00150F3D">
        <w:rPr>
          <w:rFonts w:ascii="Times New Roman" w:eastAsia="Times New Roman" w:hAnsi="Times New Roman" w:cs="Times New Roman"/>
          <w:sz w:val="24"/>
          <w:szCs w:val="24"/>
        </w:rPr>
        <w:t xml:space="preserve"> </w:t>
      </w:r>
      <w:r w:rsidR="00D97DAD" w:rsidRPr="00150F3D">
        <w:rPr>
          <w:rFonts w:ascii="Times New Roman" w:eastAsia="Times New Roman" w:hAnsi="Times New Roman" w:cs="Times New Roman"/>
          <w:sz w:val="24"/>
          <w:szCs w:val="24"/>
        </w:rPr>
        <w:t>the corporation</w:t>
      </w:r>
      <w:r w:rsidR="00C7466A" w:rsidRPr="00150F3D">
        <w:rPr>
          <w:rFonts w:ascii="Times New Roman" w:eastAsia="Times New Roman" w:hAnsi="Times New Roman" w:cs="Times New Roman"/>
          <w:sz w:val="24"/>
          <w:szCs w:val="24"/>
        </w:rPr>
        <w:t xml:space="preserve"> knew or ought to </w:t>
      </w:r>
      <w:r w:rsidR="00C14DF2" w:rsidRPr="00150F3D">
        <w:rPr>
          <w:rFonts w:ascii="Times New Roman" w:eastAsia="Times New Roman" w:hAnsi="Times New Roman" w:cs="Times New Roman"/>
          <w:sz w:val="24"/>
          <w:szCs w:val="24"/>
        </w:rPr>
        <w:t xml:space="preserve">have </w:t>
      </w:r>
      <w:r w:rsidR="00C7466A" w:rsidRPr="00150F3D">
        <w:rPr>
          <w:rFonts w:ascii="Times New Roman" w:eastAsia="Times New Roman" w:hAnsi="Times New Roman" w:cs="Times New Roman"/>
          <w:sz w:val="24"/>
          <w:szCs w:val="24"/>
        </w:rPr>
        <w:t>know</w:t>
      </w:r>
      <w:r w:rsidR="00E16F51" w:rsidRPr="00150F3D">
        <w:rPr>
          <w:rFonts w:ascii="Times New Roman" w:eastAsia="Times New Roman" w:hAnsi="Times New Roman" w:cs="Times New Roman"/>
          <w:sz w:val="24"/>
          <w:szCs w:val="24"/>
        </w:rPr>
        <w:t>n</w:t>
      </w:r>
      <w:r w:rsidR="00C7466A" w:rsidRPr="00150F3D">
        <w:rPr>
          <w:rFonts w:ascii="Times New Roman" w:eastAsia="Times New Roman" w:hAnsi="Times New Roman" w:cs="Times New Roman"/>
          <w:sz w:val="24"/>
          <w:szCs w:val="24"/>
        </w:rPr>
        <w:t xml:space="preserve"> about the unsafe conditions of the system of work</w:t>
      </w:r>
      <w:r w:rsidR="00892B4E">
        <w:rPr>
          <w:rFonts w:ascii="Times New Roman" w:eastAsia="Times New Roman" w:hAnsi="Times New Roman" w:cs="Times New Roman"/>
          <w:sz w:val="24"/>
          <w:szCs w:val="24"/>
        </w:rPr>
        <w:t>.</w:t>
      </w:r>
      <w:r w:rsidR="00892B4E" w:rsidRPr="00150F3D">
        <w:rPr>
          <w:rFonts w:ascii="Times New Roman" w:eastAsia="Times New Roman" w:hAnsi="Times New Roman" w:cs="Times New Roman"/>
          <w:sz w:val="24"/>
          <w:szCs w:val="24"/>
        </w:rPr>
        <w:t xml:space="preserve"> </w:t>
      </w:r>
      <w:r w:rsidR="00892B4E">
        <w:rPr>
          <w:rFonts w:ascii="Times New Roman" w:eastAsia="Times New Roman" w:hAnsi="Times New Roman" w:cs="Times New Roman"/>
          <w:sz w:val="24"/>
          <w:szCs w:val="24"/>
        </w:rPr>
        <w:t>F</w:t>
      </w:r>
      <w:r w:rsidR="00B873B0" w:rsidRPr="00150F3D">
        <w:rPr>
          <w:rFonts w:ascii="Times New Roman" w:eastAsia="Times New Roman" w:hAnsi="Times New Roman" w:cs="Times New Roman"/>
          <w:sz w:val="24"/>
          <w:szCs w:val="24"/>
        </w:rPr>
        <w:t>ourth</w:t>
      </w:r>
      <w:r w:rsidR="00892B4E">
        <w:rPr>
          <w:rFonts w:ascii="Times New Roman" w:eastAsia="Times New Roman" w:hAnsi="Times New Roman" w:cs="Times New Roman"/>
          <w:sz w:val="24"/>
          <w:szCs w:val="24"/>
        </w:rPr>
        <w:t>ly, it should be shown</w:t>
      </w:r>
      <w:r w:rsidR="00B873B0" w:rsidRPr="00150F3D">
        <w:rPr>
          <w:rFonts w:ascii="Times New Roman" w:eastAsia="Times New Roman" w:hAnsi="Times New Roman" w:cs="Times New Roman"/>
          <w:sz w:val="24"/>
          <w:szCs w:val="24"/>
        </w:rPr>
        <w:t xml:space="preserve"> </w:t>
      </w:r>
      <w:r w:rsidR="00833436" w:rsidRPr="00150F3D">
        <w:rPr>
          <w:rFonts w:ascii="Times New Roman" w:eastAsia="Times New Roman" w:hAnsi="Times New Roman" w:cs="Times New Roman"/>
          <w:sz w:val="24"/>
          <w:szCs w:val="24"/>
        </w:rPr>
        <w:t xml:space="preserve">that </w:t>
      </w:r>
      <w:r w:rsidR="00C7466A" w:rsidRPr="00150F3D">
        <w:rPr>
          <w:rFonts w:ascii="Times New Roman" w:eastAsia="Times New Roman" w:hAnsi="Times New Roman" w:cs="Times New Roman"/>
          <w:sz w:val="24"/>
          <w:szCs w:val="24"/>
        </w:rPr>
        <w:t>the</w:t>
      </w:r>
      <w:r w:rsidR="00C14DF2" w:rsidRPr="00150F3D">
        <w:rPr>
          <w:rFonts w:ascii="Times New Roman" w:eastAsia="Times New Roman" w:hAnsi="Times New Roman" w:cs="Times New Roman"/>
          <w:sz w:val="24"/>
          <w:szCs w:val="24"/>
        </w:rPr>
        <w:t xml:space="preserve"> subsidiary’s </w:t>
      </w:r>
      <w:r w:rsidR="00C7466A" w:rsidRPr="00150F3D">
        <w:rPr>
          <w:rFonts w:ascii="Times New Roman" w:eastAsia="Times New Roman" w:hAnsi="Times New Roman" w:cs="Times New Roman"/>
          <w:sz w:val="24"/>
          <w:szCs w:val="24"/>
        </w:rPr>
        <w:t xml:space="preserve">employees </w:t>
      </w:r>
      <w:r w:rsidR="00892B4E">
        <w:rPr>
          <w:rFonts w:ascii="Times New Roman" w:eastAsia="Times New Roman" w:hAnsi="Times New Roman" w:cs="Times New Roman"/>
          <w:sz w:val="24"/>
          <w:szCs w:val="24"/>
        </w:rPr>
        <w:t xml:space="preserve">have </w:t>
      </w:r>
      <w:r w:rsidR="00D97DAD" w:rsidRPr="00150F3D">
        <w:rPr>
          <w:rFonts w:ascii="Times New Roman" w:eastAsia="Times New Roman" w:hAnsi="Times New Roman" w:cs="Times New Roman"/>
          <w:sz w:val="24"/>
          <w:szCs w:val="24"/>
        </w:rPr>
        <w:t>expect</w:t>
      </w:r>
      <w:r w:rsidR="00B873B0" w:rsidRPr="00150F3D">
        <w:rPr>
          <w:rFonts w:ascii="Times New Roman" w:eastAsia="Times New Roman" w:hAnsi="Times New Roman" w:cs="Times New Roman"/>
          <w:sz w:val="24"/>
          <w:szCs w:val="24"/>
        </w:rPr>
        <w:t>ed</w:t>
      </w:r>
      <w:r w:rsidR="00C7466A" w:rsidRPr="00150F3D">
        <w:rPr>
          <w:rFonts w:ascii="Times New Roman" w:eastAsia="Times New Roman" w:hAnsi="Times New Roman" w:cs="Times New Roman"/>
          <w:sz w:val="24"/>
          <w:szCs w:val="24"/>
        </w:rPr>
        <w:t xml:space="preserve"> </w:t>
      </w:r>
      <w:r w:rsidR="00D97DAD" w:rsidRPr="00150F3D">
        <w:rPr>
          <w:rFonts w:ascii="Times New Roman" w:eastAsia="Times New Roman" w:hAnsi="Times New Roman" w:cs="Times New Roman"/>
          <w:sz w:val="24"/>
          <w:szCs w:val="24"/>
        </w:rPr>
        <w:t xml:space="preserve">the parent to use </w:t>
      </w:r>
      <w:r w:rsidR="00C14DF2" w:rsidRPr="00150F3D">
        <w:rPr>
          <w:rFonts w:ascii="Times New Roman" w:eastAsia="Times New Roman" w:hAnsi="Times New Roman" w:cs="Times New Roman"/>
          <w:sz w:val="24"/>
          <w:szCs w:val="24"/>
        </w:rPr>
        <w:t>its</w:t>
      </w:r>
      <w:r w:rsidR="00C7466A" w:rsidRPr="00150F3D">
        <w:rPr>
          <w:rFonts w:ascii="Times New Roman" w:eastAsia="Times New Roman" w:hAnsi="Times New Roman" w:cs="Times New Roman"/>
          <w:sz w:val="24"/>
          <w:szCs w:val="24"/>
        </w:rPr>
        <w:t xml:space="preserve"> superior knowledge for the employee’s protection.</w:t>
      </w:r>
      <w:r w:rsidR="00B547AF" w:rsidRPr="00150F3D">
        <w:rPr>
          <w:rStyle w:val="FootnoteReference"/>
          <w:rFonts w:ascii="Times New Roman" w:eastAsia="Times New Roman" w:hAnsi="Times New Roman" w:cs="Times New Roman"/>
          <w:sz w:val="24"/>
          <w:szCs w:val="24"/>
        </w:rPr>
        <w:footnoteReference w:id="18"/>
      </w:r>
    </w:p>
    <w:p w14:paraId="28E8461E" w14:textId="404BED1E" w:rsidR="00342121" w:rsidRPr="00150F3D" w:rsidRDefault="00C7466A" w:rsidP="00B82299">
      <w:pPr>
        <w:spacing w:after="240" w:line="360" w:lineRule="auto"/>
        <w:ind w:firstLine="720"/>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This assumption of responsibility correlates directly to the parent</w:t>
      </w:r>
      <w:r w:rsidR="00833436"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s </w:t>
      </w:r>
      <w:r w:rsidR="00B547AF" w:rsidRPr="00150F3D">
        <w:rPr>
          <w:rFonts w:ascii="Times New Roman" w:eastAsia="Times New Roman" w:hAnsi="Times New Roman" w:cs="Times New Roman"/>
          <w:sz w:val="24"/>
          <w:szCs w:val="24"/>
        </w:rPr>
        <w:t xml:space="preserve">active role in </w:t>
      </w:r>
      <w:r w:rsidR="00A607FC">
        <w:rPr>
          <w:rFonts w:ascii="Times New Roman" w:eastAsia="Times New Roman" w:hAnsi="Times New Roman" w:cs="Times New Roman"/>
          <w:sz w:val="24"/>
          <w:szCs w:val="24"/>
        </w:rPr>
        <w:t xml:space="preserve">the </w:t>
      </w:r>
      <w:r w:rsidRPr="00150F3D">
        <w:rPr>
          <w:rFonts w:ascii="Times New Roman" w:eastAsia="Times New Roman" w:hAnsi="Times New Roman" w:cs="Times New Roman"/>
          <w:sz w:val="24"/>
          <w:szCs w:val="24"/>
        </w:rPr>
        <w:t>work environment of the subsidiary and the degree of reliance that the victim has put on that conduct.</w:t>
      </w:r>
      <w:r w:rsidR="00C440D0" w:rsidRPr="00150F3D">
        <w:rPr>
          <w:rFonts w:ascii="Times New Roman" w:eastAsia="Times New Roman" w:hAnsi="Times New Roman" w:cs="Times New Roman"/>
          <w:sz w:val="24"/>
          <w:szCs w:val="24"/>
        </w:rPr>
        <w:t xml:space="preserve"> The satisfaction of these indicia proved to be essential in </w:t>
      </w:r>
      <w:r w:rsidR="00E97CCF">
        <w:rPr>
          <w:rFonts w:ascii="Times New Roman" w:eastAsia="Times New Roman" w:hAnsi="Times New Roman" w:cs="Times New Roman"/>
          <w:i/>
          <w:iCs/>
          <w:sz w:val="24"/>
          <w:szCs w:val="24"/>
        </w:rPr>
        <w:t>Lung</w:t>
      </w:r>
      <w:r w:rsidR="00714B3C">
        <w:rPr>
          <w:rFonts w:ascii="Times New Roman" w:eastAsia="Times New Roman" w:hAnsi="Times New Roman" w:cs="Times New Roman"/>
          <w:i/>
          <w:iCs/>
          <w:sz w:val="24"/>
          <w:szCs w:val="24"/>
        </w:rPr>
        <w:t>o</w:t>
      </w:r>
      <w:r w:rsidR="00E97CCF">
        <w:rPr>
          <w:rFonts w:ascii="Times New Roman" w:eastAsia="Times New Roman" w:hAnsi="Times New Roman" w:cs="Times New Roman"/>
          <w:i/>
          <w:iCs/>
          <w:sz w:val="24"/>
          <w:szCs w:val="24"/>
        </w:rPr>
        <w:t xml:space="preserve">we v </w:t>
      </w:r>
      <w:r w:rsidR="00C440D0" w:rsidRPr="00150F3D">
        <w:rPr>
          <w:rFonts w:ascii="Times New Roman" w:eastAsia="Times New Roman" w:hAnsi="Times New Roman" w:cs="Times New Roman"/>
          <w:i/>
          <w:iCs/>
          <w:sz w:val="24"/>
          <w:szCs w:val="24"/>
        </w:rPr>
        <w:t>Ved</w:t>
      </w:r>
      <w:r w:rsidR="00A607FC">
        <w:rPr>
          <w:rFonts w:ascii="Times New Roman" w:eastAsia="Times New Roman" w:hAnsi="Times New Roman" w:cs="Times New Roman"/>
          <w:i/>
          <w:iCs/>
          <w:sz w:val="24"/>
          <w:szCs w:val="24"/>
        </w:rPr>
        <w:t>an</w:t>
      </w:r>
      <w:r w:rsidR="00C440D0" w:rsidRPr="00150F3D">
        <w:rPr>
          <w:rFonts w:ascii="Times New Roman" w:eastAsia="Times New Roman" w:hAnsi="Times New Roman" w:cs="Times New Roman"/>
          <w:i/>
          <w:iCs/>
          <w:sz w:val="24"/>
          <w:szCs w:val="24"/>
        </w:rPr>
        <w:t>ta</w:t>
      </w:r>
      <w:r w:rsidR="00E97CCF">
        <w:rPr>
          <w:rFonts w:ascii="Times New Roman" w:eastAsia="Times New Roman" w:hAnsi="Times New Roman" w:cs="Times New Roman"/>
          <w:sz w:val="24"/>
          <w:szCs w:val="24"/>
        </w:rPr>
        <w:t xml:space="preserve"> </w:t>
      </w:r>
      <w:r w:rsidR="00C440D0" w:rsidRPr="00150F3D">
        <w:rPr>
          <w:rFonts w:ascii="Times New Roman" w:eastAsia="Times New Roman" w:hAnsi="Times New Roman" w:cs="Times New Roman"/>
          <w:sz w:val="24"/>
          <w:szCs w:val="24"/>
        </w:rPr>
        <w:t xml:space="preserve">where the victims sought to expand the proximity relationship from that which is owed by the parent to its </w:t>
      </w:r>
      <w:r w:rsidR="00A20672" w:rsidRPr="00150F3D">
        <w:rPr>
          <w:rFonts w:ascii="Times New Roman" w:eastAsia="Times New Roman" w:hAnsi="Times New Roman" w:cs="Times New Roman"/>
          <w:sz w:val="24"/>
          <w:szCs w:val="24"/>
        </w:rPr>
        <w:t>s</w:t>
      </w:r>
      <w:r w:rsidR="00C440D0" w:rsidRPr="00150F3D">
        <w:rPr>
          <w:rFonts w:ascii="Times New Roman" w:eastAsia="Times New Roman" w:hAnsi="Times New Roman" w:cs="Times New Roman"/>
          <w:sz w:val="24"/>
          <w:szCs w:val="24"/>
        </w:rPr>
        <w:t xml:space="preserve">ubsidiary’s employees, to one which recognises proximity in relation to victims who </w:t>
      </w:r>
      <w:r w:rsidR="00C440D0" w:rsidRPr="00150F3D">
        <w:rPr>
          <w:rFonts w:ascii="Times New Roman" w:eastAsia="Times New Roman" w:hAnsi="Times New Roman" w:cs="Times New Roman"/>
          <w:sz w:val="24"/>
          <w:szCs w:val="24"/>
        </w:rPr>
        <w:lastRenderedPageBreak/>
        <w:t xml:space="preserve">lived in the vicinity of the operation of the subsidiary, and where the harm occurred in a different jurisdiction. </w:t>
      </w:r>
      <w:r w:rsidRPr="00150F3D">
        <w:rPr>
          <w:rFonts w:ascii="Times New Roman" w:eastAsia="Times New Roman" w:hAnsi="Times New Roman" w:cs="Times New Roman"/>
          <w:sz w:val="24"/>
          <w:szCs w:val="24"/>
        </w:rPr>
        <w:t xml:space="preserve"> </w:t>
      </w:r>
    </w:p>
    <w:p w14:paraId="1FA148E5" w14:textId="5F2ABC32" w:rsidR="00896DCD" w:rsidRPr="00150F3D" w:rsidRDefault="00896DCD" w:rsidP="00B82299">
      <w:pPr>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 xml:space="preserve">However, in the </w:t>
      </w:r>
      <w:r w:rsidRPr="00150F3D">
        <w:rPr>
          <w:rFonts w:ascii="Times New Roman" w:hAnsi="Times New Roman" w:cs="Times New Roman"/>
          <w:i/>
          <w:sz w:val="24"/>
          <w:szCs w:val="24"/>
        </w:rPr>
        <w:t>Alfred Akpan</w:t>
      </w:r>
      <w:r w:rsidRPr="00150F3D">
        <w:rPr>
          <w:rFonts w:ascii="Times New Roman" w:hAnsi="Times New Roman" w:cs="Times New Roman"/>
          <w:sz w:val="24"/>
          <w:szCs w:val="24"/>
        </w:rPr>
        <w:t xml:space="preserve"> </w:t>
      </w:r>
      <w:r w:rsidR="00E97CCF">
        <w:rPr>
          <w:rFonts w:ascii="Times New Roman" w:hAnsi="Times New Roman" w:cs="Times New Roman"/>
          <w:i/>
          <w:iCs/>
          <w:sz w:val="24"/>
          <w:szCs w:val="24"/>
        </w:rPr>
        <w:t xml:space="preserve">v Shell </w:t>
      </w:r>
      <w:r w:rsidRPr="00150F3D">
        <w:rPr>
          <w:rFonts w:ascii="Times New Roman" w:hAnsi="Times New Roman" w:cs="Times New Roman"/>
          <w:sz w:val="24"/>
          <w:szCs w:val="24"/>
        </w:rPr>
        <w:t>case</w:t>
      </w:r>
      <w:r w:rsidR="00BB5F55">
        <w:rPr>
          <w:rFonts w:ascii="Times New Roman" w:hAnsi="Times New Roman" w:cs="Times New Roman"/>
          <w:sz w:val="24"/>
          <w:szCs w:val="24"/>
        </w:rPr>
        <w:t>,</w:t>
      </w:r>
      <w:r w:rsidRPr="00150F3D">
        <w:rPr>
          <w:rFonts w:ascii="Times New Roman" w:hAnsi="Times New Roman" w:cs="Times New Roman"/>
          <w:sz w:val="24"/>
          <w:szCs w:val="24"/>
        </w:rPr>
        <w:t xml:space="preserve"> </w:t>
      </w:r>
      <w:r w:rsidR="00833436" w:rsidRPr="00150F3D">
        <w:rPr>
          <w:rFonts w:ascii="Times New Roman" w:hAnsi="Times New Roman" w:cs="Times New Roman"/>
          <w:sz w:val="24"/>
          <w:szCs w:val="24"/>
        </w:rPr>
        <w:t>the Dutch court only</w:t>
      </w:r>
      <w:r w:rsidRPr="00150F3D">
        <w:rPr>
          <w:rFonts w:ascii="Times New Roman" w:hAnsi="Times New Roman" w:cs="Times New Roman"/>
          <w:sz w:val="24"/>
          <w:szCs w:val="24"/>
        </w:rPr>
        <w:t xml:space="preserve"> found the subsidiary liable for the harm caused to people living within the vicinity of the oil pipes and oil facilities managed by it, but not the parent company.</w:t>
      </w:r>
      <w:r w:rsidRPr="00150F3D">
        <w:rPr>
          <w:rFonts w:ascii="Times New Roman" w:hAnsi="Times New Roman" w:cs="Times New Roman"/>
          <w:sz w:val="24"/>
          <w:szCs w:val="24"/>
          <w:vertAlign w:val="superscript"/>
        </w:rPr>
        <w:footnoteReference w:id="19"/>
      </w:r>
      <w:r w:rsidRPr="00150F3D">
        <w:rPr>
          <w:rFonts w:ascii="Times New Roman" w:hAnsi="Times New Roman" w:cs="Times New Roman"/>
          <w:sz w:val="24"/>
          <w:szCs w:val="24"/>
        </w:rPr>
        <w:t xml:space="preserve"> The </w:t>
      </w:r>
      <w:r w:rsidR="00B108A4">
        <w:rPr>
          <w:rFonts w:ascii="Times New Roman" w:hAnsi="Times New Roman" w:cs="Times New Roman"/>
          <w:sz w:val="24"/>
          <w:szCs w:val="24"/>
        </w:rPr>
        <w:t>C</w:t>
      </w:r>
      <w:r w:rsidR="00B108A4" w:rsidRPr="00150F3D">
        <w:rPr>
          <w:rFonts w:ascii="Times New Roman" w:hAnsi="Times New Roman" w:cs="Times New Roman"/>
          <w:sz w:val="24"/>
          <w:szCs w:val="24"/>
        </w:rPr>
        <w:t xml:space="preserve">ourt </w:t>
      </w:r>
      <w:r w:rsidRPr="00150F3D">
        <w:rPr>
          <w:rFonts w:ascii="Times New Roman" w:hAnsi="Times New Roman" w:cs="Times New Roman"/>
          <w:sz w:val="24"/>
          <w:szCs w:val="24"/>
        </w:rPr>
        <w:t>reasoned that under Nigerian tort law</w:t>
      </w:r>
      <w:r w:rsidR="00E97CCF">
        <w:rPr>
          <w:rFonts w:ascii="Times New Roman" w:hAnsi="Times New Roman" w:cs="Times New Roman"/>
          <w:sz w:val="24"/>
          <w:szCs w:val="24"/>
        </w:rPr>
        <w:t xml:space="preserve"> (</w:t>
      </w:r>
      <w:r w:rsidRPr="00150F3D">
        <w:rPr>
          <w:rFonts w:ascii="Times New Roman" w:hAnsi="Times New Roman" w:cs="Times New Roman"/>
          <w:sz w:val="24"/>
          <w:szCs w:val="24"/>
        </w:rPr>
        <w:t xml:space="preserve">being the applicable law </w:t>
      </w:r>
      <w:r w:rsidR="00833436" w:rsidRPr="00150F3D">
        <w:rPr>
          <w:rFonts w:ascii="Times New Roman" w:hAnsi="Times New Roman" w:cs="Times New Roman"/>
          <w:sz w:val="24"/>
          <w:szCs w:val="24"/>
        </w:rPr>
        <w:t>to the dispute</w:t>
      </w:r>
      <w:r w:rsidR="00E97CCF">
        <w:rPr>
          <w:rFonts w:ascii="Times New Roman" w:hAnsi="Times New Roman" w:cs="Times New Roman"/>
          <w:sz w:val="24"/>
          <w:szCs w:val="24"/>
        </w:rPr>
        <w:t>)</w:t>
      </w:r>
      <w:r w:rsidRPr="00150F3D">
        <w:rPr>
          <w:rFonts w:ascii="Times New Roman" w:hAnsi="Times New Roman" w:cs="Times New Roman"/>
          <w:sz w:val="24"/>
          <w:szCs w:val="24"/>
        </w:rPr>
        <w:t xml:space="preserve">, </w:t>
      </w:r>
      <w:r w:rsidR="00717C89" w:rsidRPr="00150F3D">
        <w:rPr>
          <w:rFonts w:ascii="Times New Roman" w:hAnsi="Times New Roman" w:cs="Times New Roman"/>
          <w:sz w:val="24"/>
          <w:szCs w:val="24"/>
        </w:rPr>
        <w:t xml:space="preserve">applying </w:t>
      </w:r>
      <w:r w:rsidR="00717C89" w:rsidRPr="00721810">
        <w:rPr>
          <w:rFonts w:ascii="Times New Roman" w:hAnsi="Times New Roman" w:cs="Times New Roman"/>
          <w:i/>
          <w:iCs/>
          <w:sz w:val="24"/>
          <w:szCs w:val="24"/>
        </w:rPr>
        <w:t>Chandler’s</w:t>
      </w:r>
      <w:r w:rsidR="00717C89" w:rsidRPr="00150F3D">
        <w:rPr>
          <w:rFonts w:ascii="Times New Roman" w:hAnsi="Times New Roman" w:cs="Times New Roman"/>
          <w:sz w:val="24"/>
          <w:szCs w:val="24"/>
        </w:rPr>
        <w:t xml:space="preserve"> indicia, </w:t>
      </w:r>
      <w:r w:rsidRPr="00150F3D">
        <w:rPr>
          <w:rFonts w:ascii="Times New Roman" w:hAnsi="Times New Roman" w:cs="Times New Roman"/>
          <w:sz w:val="24"/>
          <w:szCs w:val="24"/>
        </w:rPr>
        <w:t xml:space="preserve">the proximity requirement was not established </w:t>
      </w:r>
      <w:r w:rsidR="00717C89" w:rsidRPr="00150F3D">
        <w:rPr>
          <w:rFonts w:ascii="Times New Roman" w:hAnsi="Times New Roman" w:cs="Times New Roman"/>
          <w:sz w:val="24"/>
          <w:szCs w:val="24"/>
        </w:rPr>
        <w:t>where the victims were not the employees of the subsidiary</w:t>
      </w:r>
      <w:r w:rsidR="00C440D0" w:rsidRPr="00150F3D">
        <w:rPr>
          <w:rFonts w:ascii="Times New Roman" w:hAnsi="Times New Roman" w:cs="Times New Roman"/>
          <w:sz w:val="24"/>
          <w:szCs w:val="24"/>
        </w:rPr>
        <w:t>,</w:t>
      </w:r>
      <w:r w:rsidR="00717C89" w:rsidRPr="00150F3D">
        <w:rPr>
          <w:rFonts w:ascii="Times New Roman" w:hAnsi="Times New Roman" w:cs="Times New Roman"/>
          <w:sz w:val="24"/>
          <w:szCs w:val="24"/>
        </w:rPr>
        <w:t xml:space="preserve"> and</w:t>
      </w:r>
      <w:r w:rsidR="00A20672" w:rsidRPr="00150F3D">
        <w:rPr>
          <w:rFonts w:ascii="Times New Roman" w:hAnsi="Times New Roman" w:cs="Times New Roman"/>
          <w:sz w:val="24"/>
          <w:szCs w:val="24"/>
        </w:rPr>
        <w:t xml:space="preserve"> did</w:t>
      </w:r>
      <w:r w:rsidR="00717C89" w:rsidRPr="00150F3D">
        <w:rPr>
          <w:rFonts w:ascii="Times New Roman" w:hAnsi="Times New Roman" w:cs="Times New Roman"/>
          <w:sz w:val="24"/>
          <w:szCs w:val="24"/>
        </w:rPr>
        <w:t xml:space="preserve"> not</w:t>
      </w:r>
      <w:r w:rsidR="00A20672" w:rsidRPr="00150F3D">
        <w:rPr>
          <w:rFonts w:ascii="Times New Roman" w:hAnsi="Times New Roman" w:cs="Times New Roman"/>
          <w:sz w:val="24"/>
          <w:szCs w:val="24"/>
        </w:rPr>
        <w:t xml:space="preserve"> concern</w:t>
      </w:r>
      <w:r w:rsidR="00C440D0" w:rsidRPr="00150F3D">
        <w:rPr>
          <w:rFonts w:ascii="Times New Roman" w:hAnsi="Times New Roman" w:cs="Times New Roman"/>
          <w:sz w:val="24"/>
          <w:szCs w:val="24"/>
        </w:rPr>
        <w:t xml:space="preserve"> a </w:t>
      </w:r>
      <w:r w:rsidR="00717C89" w:rsidRPr="00150F3D">
        <w:rPr>
          <w:rFonts w:ascii="Times New Roman" w:hAnsi="Times New Roman" w:cs="Times New Roman"/>
          <w:sz w:val="24"/>
          <w:szCs w:val="24"/>
        </w:rPr>
        <w:t xml:space="preserve">domestic </w:t>
      </w:r>
      <w:r w:rsidR="00C440D0" w:rsidRPr="00150F3D">
        <w:rPr>
          <w:rFonts w:ascii="Times New Roman" w:hAnsi="Times New Roman" w:cs="Times New Roman"/>
          <w:sz w:val="24"/>
          <w:szCs w:val="24"/>
        </w:rPr>
        <w:t xml:space="preserve">claim, </w:t>
      </w:r>
      <w:r w:rsidR="00717C89" w:rsidRPr="00150F3D">
        <w:rPr>
          <w:rFonts w:ascii="Times New Roman" w:hAnsi="Times New Roman" w:cs="Times New Roman"/>
          <w:sz w:val="24"/>
          <w:szCs w:val="24"/>
        </w:rPr>
        <w:t xml:space="preserve">as was the case in </w:t>
      </w:r>
      <w:r w:rsidR="00717C89" w:rsidRPr="00150F3D">
        <w:rPr>
          <w:rFonts w:ascii="Times New Roman" w:hAnsi="Times New Roman" w:cs="Times New Roman"/>
          <w:i/>
          <w:iCs/>
          <w:sz w:val="24"/>
          <w:szCs w:val="24"/>
        </w:rPr>
        <w:t>Chandler</w:t>
      </w:r>
      <w:r w:rsidRPr="00150F3D">
        <w:rPr>
          <w:rFonts w:ascii="Times New Roman" w:hAnsi="Times New Roman" w:cs="Times New Roman"/>
          <w:sz w:val="24"/>
          <w:szCs w:val="24"/>
        </w:rPr>
        <w:t xml:space="preserve">. Moreover, the </w:t>
      </w:r>
      <w:r w:rsidR="00B108A4">
        <w:rPr>
          <w:rFonts w:ascii="Times New Roman" w:hAnsi="Times New Roman" w:cs="Times New Roman"/>
          <w:sz w:val="24"/>
          <w:szCs w:val="24"/>
        </w:rPr>
        <w:t>C</w:t>
      </w:r>
      <w:r w:rsidR="00B108A4" w:rsidRPr="00150F3D">
        <w:rPr>
          <w:rFonts w:ascii="Times New Roman" w:hAnsi="Times New Roman" w:cs="Times New Roman"/>
          <w:sz w:val="24"/>
          <w:szCs w:val="24"/>
        </w:rPr>
        <w:t xml:space="preserve">ourt </w:t>
      </w:r>
      <w:r w:rsidRPr="00150F3D">
        <w:rPr>
          <w:rFonts w:ascii="Times New Roman" w:hAnsi="Times New Roman" w:cs="Times New Roman"/>
          <w:sz w:val="24"/>
          <w:szCs w:val="24"/>
        </w:rPr>
        <w:t>reasoned that it would be unjust and unreasonable to hold the parent company responsible for an indefinite number of potential claimants living in the vicinity of the oil field.</w:t>
      </w:r>
      <w:r w:rsidRPr="00150F3D">
        <w:rPr>
          <w:rFonts w:ascii="Times New Roman" w:hAnsi="Times New Roman" w:cs="Times New Roman"/>
          <w:sz w:val="24"/>
          <w:szCs w:val="24"/>
          <w:vertAlign w:val="superscript"/>
        </w:rPr>
        <w:footnoteReference w:id="20"/>
      </w:r>
      <w:r w:rsidRPr="00150F3D">
        <w:rPr>
          <w:rFonts w:ascii="Times New Roman" w:hAnsi="Times New Roman" w:cs="Times New Roman"/>
          <w:sz w:val="24"/>
          <w:szCs w:val="24"/>
        </w:rPr>
        <w:t xml:space="preserve"> </w:t>
      </w:r>
    </w:p>
    <w:p w14:paraId="5D0AAE95" w14:textId="4123AD8C" w:rsidR="00C14DF2" w:rsidRPr="00150F3D" w:rsidRDefault="00717C89" w:rsidP="00B82299">
      <w:pPr>
        <w:spacing w:before="120"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Thus</w:t>
      </w:r>
      <w:r w:rsidR="00833436"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r w:rsidR="00833436" w:rsidRPr="00150F3D">
        <w:rPr>
          <w:rFonts w:ascii="Times New Roman" w:eastAsia="Times New Roman" w:hAnsi="Times New Roman" w:cs="Times New Roman"/>
          <w:sz w:val="24"/>
          <w:szCs w:val="24"/>
        </w:rPr>
        <w:t>although applying</w:t>
      </w:r>
      <w:r w:rsidR="00E97CCF">
        <w:rPr>
          <w:rFonts w:ascii="Times New Roman" w:eastAsia="Times New Roman" w:hAnsi="Times New Roman" w:cs="Times New Roman"/>
          <w:sz w:val="24"/>
          <w:szCs w:val="24"/>
        </w:rPr>
        <w:t xml:space="preserve"> the</w:t>
      </w:r>
      <w:r w:rsidR="00833436"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i/>
          <w:iCs/>
          <w:sz w:val="24"/>
          <w:szCs w:val="24"/>
        </w:rPr>
        <w:t>Chandler</w:t>
      </w:r>
      <w:r w:rsidRPr="00150F3D">
        <w:rPr>
          <w:rFonts w:ascii="Times New Roman" w:eastAsia="Times New Roman" w:hAnsi="Times New Roman" w:cs="Times New Roman"/>
          <w:sz w:val="24"/>
          <w:szCs w:val="24"/>
        </w:rPr>
        <w:t xml:space="preserve"> </w:t>
      </w:r>
      <w:r w:rsidR="00E97CCF">
        <w:rPr>
          <w:rFonts w:ascii="Times New Roman" w:eastAsia="Times New Roman" w:hAnsi="Times New Roman" w:cs="Times New Roman"/>
          <w:sz w:val="24"/>
          <w:szCs w:val="24"/>
        </w:rPr>
        <w:t>conditions</w:t>
      </w:r>
      <w:r w:rsidR="00E97CCF">
        <w:rPr>
          <w:rFonts w:ascii="Times New Roman" w:eastAsia="Times New Roman" w:hAnsi="Times New Roman" w:cs="Times New Roman"/>
          <w:i/>
          <w:iCs/>
          <w:sz w:val="24"/>
          <w:szCs w:val="24"/>
        </w:rPr>
        <w:t>,</w:t>
      </w:r>
      <w:r w:rsidR="00C440D0" w:rsidRPr="00150F3D">
        <w:rPr>
          <w:rFonts w:ascii="Times New Roman" w:eastAsia="Times New Roman" w:hAnsi="Times New Roman" w:cs="Times New Roman"/>
          <w:sz w:val="24"/>
          <w:szCs w:val="24"/>
        </w:rPr>
        <w:t xml:space="preserve"> the Dutch </w:t>
      </w:r>
      <w:r w:rsidR="00B108A4">
        <w:rPr>
          <w:rFonts w:ascii="Times New Roman" w:eastAsia="Times New Roman" w:hAnsi="Times New Roman" w:cs="Times New Roman"/>
          <w:sz w:val="24"/>
          <w:szCs w:val="24"/>
        </w:rPr>
        <w:t>C</w:t>
      </w:r>
      <w:r w:rsidR="00B108A4" w:rsidRPr="00150F3D">
        <w:rPr>
          <w:rFonts w:ascii="Times New Roman" w:eastAsia="Times New Roman" w:hAnsi="Times New Roman" w:cs="Times New Roman"/>
          <w:sz w:val="24"/>
          <w:szCs w:val="24"/>
        </w:rPr>
        <w:t xml:space="preserve">ourt </w:t>
      </w:r>
      <w:r w:rsidR="00833436" w:rsidRPr="00150F3D">
        <w:rPr>
          <w:rFonts w:ascii="Times New Roman" w:eastAsia="Times New Roman" w:hAnsi="Times New Roman" w:cs="Times New Roman"/>
          <w:sz w:val="24"/>
          <w:szCs w:val="24"/>
        </w:rPr>
        <w:t xml:space="preserve">absolved the parent from owing a </w:t>
      </w:r>
      <w:r w:rsidRPr="00150F3D">
        <w:rPr>
          <w:rFonts w:ascii="Times New Roman" w:eastAsia="Times New Roman" w:hAnsi="Times New Roman" w:cs="Times New Roman"/>
          <w:sz w:val="24"/>
          <w:szCs w:val="24"/>
        </w:rPr>
        <w:t>duty of care</w:t>
      </w:r>
      <w:r w:rsidR="00833436" w:rsidRPr="00150F3D">
        <w:rPr>
          <w:rFonts w:ascii="Times New Roman" w:eastAsia="Times New Roman" w:hAnsi="Times New Roman" w:cs="Times New Roman"/>
          <w:sz w:val="24"/>
          <w:szCs w:val="24"/>
        </w:rPr>
        <w:t xml:space="preserve"> to the victims, </w:t>
      </w:r>
      <w:r w:rsidR="00E97CCF">
        <w:rPr>
          <w:rFonts w:ascii="Times New Roman" w:eastAsia="Times New Roman" w:hAnsi="Times New Roman" w:cs="Times New Roman"/>
          <w:sz w:val="24"/>
          <w:szCs w:val="24"/>
        </w:rPr>
        <w:t xml:space="preserve">relying on </w:t>
      </w:r>
      <w:r w:rsidRPr="00150F3D">
        <w:rPr>
          <w:rFonts w:ascii="Times New Roman" w:eastAsia="Times New Roman" w:hAnsi="Times New Roman" w:cs="Times New Roman"/>
          <w:i/>
          <w:iCs/>
          <w:sz w:val="24"/>
          <w:szCs w:val="24"/>
        </w:rPr>
        <w:t>Chandler</w:t>
      </w:r>
      <w:r w:rsidR="00833436" w:rsidRPr="00150F3D">
        <w:rPr>
          <w:rFonts w:ascii="Times New Roman" w:eastAsia="Times New Roman" w:hAnsi="Times New Roman" w:cs="Times New Roman"/>
          <w:i/>
          <w:iCs/>
          <w:sz w:val="24"/>
          <w:szCs w:val="24"/>
        </w:rPr>
        <w:t>’s</w:t>
      </w:r>
      <w:r w:rsidR="00833436" w:rsidRPr="00150F3D">
        <w:rPr>
          <w:rFonts w:ascii="Times New Roman" w:eastAsia="Times New Roman" w:hAnsi="Times New Roman" w:cs="Times New Roman"/>
          <w:sz w:val="24"/>
          <w:szCs w:val="24"/>
        </w:rPr>
        <w:t xml:space="preserve"> indicia</w:t>
      </w:r>
      <w:r w:rsidRPr="00150F3D">
        <w:rPr>
          <w:rFonts w:ascii="Times New Roman" w:eastAsia="Times New Roman" w:hAnsi="Times New Roman" w:cs="Times New Roman"/>
          <w:sz w:val="24"/>
          <w:szCs w:val="24"/>
        </w:rPr>
        <w:t xml:space="preserve"> </w:t>
      </w:r>
      <w:r w:rsidR="00B108A4">
        <w:rPr>
          <w:rFonts w:ascii="Times New Roman" w:eastAsia="Times New Roman" w:hAnsi="Times New Roman" w:cs="Times New Roman"/>
          <w:sz w:val="24"/>
          <w:szCs w:val="24"/>
        </w:rPr>
        <w:t>as</w:t>
      </w:r>
      <w:r w:rsidR="00B108A4"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the starting point and not as </w:t>
      </w:r>
      <w:r w:rsidR="00B108A4">
        <w:rPr>
          <w:rFonts w:ascii="Times New Roman" w:eastAsia="Times New Roman" w:hAnsi="Times New Roman" w:cs="Times New Roman"/>
          <w:sz w:val="24"/>
          <w:szCs w:val="24"/>
        </w:rPr>
        <w:t>the</w:t>
      </w:r>
      <w:r w:rsidR="00B108A4"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end</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21"/>
      </w:r>
      <w:r w:rsidRPr="00150F3D">
        <w:rPr>
          <w:rFonts w:ascii="Times New Roman" w:eastAsia="Times New Roman" w:hAnsi="Times New Roman" w:cs="Times New Roman"/>
          <w:sz w:val="24"/>
          <w:szCs w:val="24"/>
        </w:rPr>
        <w:t xml:space="preserve"> </w:t>
      </w:r>
      <w:r w:rsidR="00833436" w:rsidRPr="00150F3D">
        <w:rPr>
          <w:rFonts w:ascii="Times New Roman" w:eastAsia="Times New Roman" w:hAnsi="Times New Roman" w:cs="Times New Roman"/>
          <w:sz w:val="24"/>
          <w:szCs w:val="24"/>
        </w:rPr>
        <w:t xml:space="preserve">It is worthwhile remembering </w:t>
      </w:r>
      <w:r w:rsidRPr="00150F3D">
        <w:rPr>
          <w:rFonts w:ascii="Times New Roman" w:eastAsia="Times New Roman" w:hAnsi="Times New Roman" w:cs="Times New Roman"/>
          <w:i/>
          <w:iCs/>
          <w:sz w:val="24"/>
          <w:szCs w:val="24"/>
        </w:rPr>
        <w:t>Caparo</w:t>
      </w:r>
      <w:r w:rsidR="00833436" w:rsidRPr="00150F3D">
        <w:rPr>
          <w:rFonts w:ascii="Times New Roman" w:eastAsia="Times New Roman" w:hAnsi="Times New Roman" w:cs="Times New Roman"/>
          <w:i/>
          <w:iCs/>
          <w:sz w:val="24"/>
          <w:szCs w:val="24"/>
        </w:rPr>
        <w:t>’s</w:t>
      </w:r>
      <w:r w:rsidRPr="00150F3D">
        <w:rPr>
          <w:rFonts w:ascii="Times New Roman" w:eastAsia="Times New Roman" w:hAnsi="Times New Roman" w:cs="Times New Roman"/>
          <w:sz w:val="24"/>
          <w:szCs w:val="24"/>
        </w:rPr>
        <w:t xml:space="preserve"> formulation</w:t>
      </w:r>
      <w:r w:rsidR="00255EFB">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r w:rsidR="00833436" w:rsidRPr="00150F3D">
        <w:rPr>
          <w:rFonts w:ascii="Times New Roman" w:eastAsia="Times New Roman" w:hAnsi="Times New Roman" w:cs="Times New Roman"/>
          <w:sz w:val="24"/>
          <w:szCs w:val="24"/>
        </w:rPr>
        <w:t xml:space="preserve">where </w:t>
      </w:r>
      <w:r w:rsidRPr="00150F3D">
        <w:rPr>
          <w:rFonts w:ascii="Times New Roman" w:eastAsia="Times New Roman" w:hAnsi="Times New Roman" w:cs="Times New Roman"/>
          <w:sz w:val="24"/>
          <w:szCs w:val="24"/>
        </w:rPr>
        <w:t>the court emphasise</w:t>
      </w:r>
      <w:r w:rsidR="00833436" w:rsidRPr="00150F3D">
        <w:rPr>
          <w:rFonts w:ascii="Times New Roman" w:eastAsia="Times New Roman" w:hAnsi="Times New Roman" w:cs="Times New Roman"/>
          <w:sz w:val="24"/>
          <w:szCs w:val="24"/>
        </w:rPr>
        <w:t>d</w:t>
      </w:r>
      <w:r w:rsidRPr="00150F3D">
        <w:rPr>
          <w:rFonts w:ascii="Times New Roman" w:eastAsia="Times New Roman" w:hAnsi="Times New Roman" w:cs="Times New Roman"/>
          <w:sz w:val="24"/>
          <w:szCs w:val="24"/>
        </w:rPr>
        <w:t xml:space="preserve"> that proximity should not be viewed as a strict definition but rather as a test which allows the court to </w:t>
      </w:r>
      <w:r w:rsidR="00A20672" w:rsidRPr="00150F3D">
        <w:rPr>
          <w:rFonts w:ascii="Times New Roman" w:eastAsia="Times New Roman" w:hAnsi="Times New Roman" w:cs="Times New Roman"/>
          <w:sz w:val="24"/>
          <w:szCs w:val="24"/>
        </w:rPr>
        <w:t>determine</w:t>
      </w:r>
      <w:r w:rsidRPr="00150F3D">
        <w:rPr>
          <w:rFonts w:ascii="Times New Roman" w:eastAsia="Times New Roman" w:hAnsi="Times New Roman" w:cs="Times New Roman"/>
          <w:sz w:val="24"/>
          <w:szCs w:val="24"/>
        </w:rPr>
        <w:t xml:space="preserve"> pragmatically</w:t>
      </w:r>
      <w:r w:rsidR="00A20672" w:rsidRPr="00150F3D">
        <w:rPr>
          <w:rFonts w:ascii="Times New Roman" w:eastAsia="Times New Roman" w:hAnsi="Times New Roman" w:cs="Times New Roman"/>
          <w:sz w:val="24"/>
          <w:szCs w:val="24"/>
        </w:rPr>
        <w:t xml:space="preserve"> the </w:t>
      </w:r>
      <w:r w:rsidRPr="00150F3D">
        <w:rPr>
          <w:rFonts w:ascii="Times New Roman" w:eastAsia="Times New Roman" w:hAnsi="Times New Roman" w:cs="Times New Roman"/>
          <w:sz w:val="24"/>
          <w:szCs w:val="24"/>
        </w:rPr>
        <w:t>situations</w:t>
      </w:r>
      <w:r w:rsidR="00A20672" w:rsidRPr="00150F3D">
        <w:rPr>
          <w:rFonts w:ascii="Times New Roman" w:eastAsia="Times New Roman" w:hAnsi="Times New Roman" w:cs="Times New Roman"/>
          <w:sz w:val="24"/>
          <w:szCs w:val="24"/>
        </w:rPr>
        <w:t xml:space="preserve"> where a </w:t>
      </w:r>
      <w:r w:rsidRPr="00150F3D">
        <w:rPr>
          <w:rFonts w:ascii="Times New Roman" w:eastAsia="Times New Roman" w:hAnsi="Times New Roman" w:cs="Times New Roman"/>
          <w:sz w:val="24"/>
          <w:szCs w:val="24"/>
        </w:rPr>
        <w:t>duty of care should be recognised</w:t>
      </w:r>
      <w:r w:rsidR="00C25DCD">
        <w:rPr>
          <w:rFonts w:ascii="Times New Roman" w:eastAsia="Times New Roman" w:hAnsi="Times New Roman" w:cs="Times New Roman"/>
          <w:sz w:val="24"/>
          <w:szCs w:val="24"/>
        </w:rPr>
        <w:t>.</w:t>
      </w:r>
      <w:r w:rsidR="000E040C" w:rsidRPr="00150F3D">
        <w:rPr>
          <w:rStyle w:val="FootnoteReference"/>
          <w:rFonts w:ascii="Times New Roman" w:eastAsia="Times New Roman" w:hAnsi="Times New Roman" w:cs="Times New Roman"/>
          <w:sz w:val="24"/>
          <w:szCs w:val="24"/>
        </w:rPr>
        <w:footnoteReference w:id="22"/>
      </w:r>
      <w:r w:rsidRPr="00150F3D">
        <w:rPr>
          <w:rFonts w:ascii="Times New Roman" w:eastAsia="Times New Roman" w:hAnsi="Times New Roman" w:cs="Times New Roman"/>
          <w:sz w:val="24"/>
          <w:szCs w:val="24"/>
        </w:rPr>
        <w:t xml:space="preserve"> </w:t>
      </w:r>
      <w:r w:rsidR="001148EA" w:rsidRPr="00150F3D">
        <w:rPr>
          <w:rFonts w:ascii="Times New Roman" w:eastAsia="Times New Roman" w:hAnsi="Times New Roman" w:cs="Times New Roman"/>
          <w:sz w:val="24"/>
          <w:szCs w:val="24"/>
        </w:rPr>
        <w:t xml:space="preserve">This was the case in </w:t>
      </w:r>
      <w:r w:rsidR="001148EA" w:rsidRPr="00E97CCF">
        <w:rPr>
          <w:rFonts w:ascii="Times New Roman" w:eastAsia="Times New Roman" w:hAnsi="Times New Roman" w:cs="Times New Roman"/>
          <w:i/>
          <w:iCs/>
          <w:sz w:val="24"/>
          <w:szCs w:val="24"/>
        </w:rPr>
        <w:t>Lungowe</w:t>
      </w:r>
      <w:r w:rsidR="001148EA" w:rsidRPr="00150F3D">
        <w:rPr>
          <w:rFonts w:ascii="Times New Roman" w:eastAsia="Times New Roman" w:hAnsi="Times New Roman" w:cs="Times New Roman"/>
          <w:sz w:val="24"/>
          <w:szCs w:val="24"/>
        </w:rPr>
        <w:t xml:space="preserve"> </w:t>
      </w:r>
      <w:r w:rsidR="00E97CCF">
        <w:rPr>
          <w:rFonts w:ascii="Times New Roman" w:eastAsia="Times New Roman" w:hAnsi="Times New Roman" w:cs="Times New Roman"/>
          <w:i/>
          <w:iCs/>
          <w:sz w:val="24"/>
          <w:szCs w:val="24"/>
        </w:rPr>
        <w:t>v</w:t>
      </w:r>
      <w:r w:rsidR="001148EA" w:rsidRPr="00150F3D">
        <w:rPr>
          <w:rFonts w:ascii="Times New Roman" w:eastAsia="Times New Roman" w:hAnsi="Times New Roman" w:cs="Times New Roman"/>
          <w:sz w:val="24"/>
          <w:szCs w:val="24"/>
        </w:rPr>
        <w:t xml:space="preserve"> </w:t>
      </w:r>
      <w:r w:rsidR="001148EA" w:rsidRPr="00150F3D">
        <w:rPr>
          <w:rFonts w:ascii="Times New Roman" w:eastAsia="Times New Roman" w:hAnsi="Times New Roman" w:cs="Times New Roman"/>
          <w:i/>
          <w:iCs/>
          <w:sz w:val="24"/>
          <w:szCs w:val="24"/>
        </w:rPr>
        <w:t>Vedanta</w:t>
      </w:r>
      <w:r w:rsidR="001148EA" w:rsidRPr="00150F3D">
        <w:rPr>
          <w:rFonts w:ascii="Times New Roman" w:eastAsia="Times New Roman" w:hAnsi="Times New Roman" w:cs="Times New Roman"/>
          <w:sz w:val="24"/>
          <w:szCs w:val="24"/>
        </w:rPr>
        <w:t xml:space="preserve"> </w:t>
      </w:r>
      <w:r w:rsidR="001148EA" w:rsidRPr="00150F3D">
        <w:rPr>
          <w:rFonts w:ascii="Times New Roman" w:eastAsia="Times New Roman" w:hAnsi="Times New Roman" w:cs="Times New Roman"/>
          <w:i/>
          <w:iCs/>
          <w:sz w:val="24"/>
          <w:szCs w:val="24"/>
        </w:rPr>
        <w:t>Resources</w:t>
      </w:r>
      <w:r w:rsidR="003857B2">
        <w:rPr>
          <w:rFonts w:ascii="Times New Roman" w:eastAsia="Times New Roman" w:hAnsi="Times New Roman" w:cs="Times New Roman"/>
          <w:i/>
          <w:iCs/>
          <w:sz w:val="24"/>
          <w:szCs w:val="24"/>
        </w:rPr>
        <w:t>,</w:t>
      </w:r>
      <w:r w:rsidR="001148EA" w:rsidRPr="00150F3D">
        <w:rPr>
          <w:rFonts w:ascii="Times New Roman" w:eastAsia="Times New Roman" w:hAnsi="Times New Roman" w:cs="Times New Roman"/>
          <w:sz w:val="24"/>
          <w:szCs w:val="24"/>
        </w:rPr>
        <w:t xml:space="preserve"> where the UK Supreme Cour</w:t>
      </w:r>
      <w:r w:rsidR="00A20672" w:rsidRPr="00150F3D">
        <w:rPr>
          <w:rFonts w:ascii="Times New Roman" w:eastAsia="Times New Roman" w:hAnsi="Times New Roman" w:cs="Times New Roman"/>
          <w:sz w:val="24"/>
          <w:szCs w:val="24"/>
        </w:rPr>
        <w:t>t</w:t>
      </w:r>
      <w:r w:rsidR="00833436" w:rsidRPr="00150F3D">
        <w:rPr>
          <w:rFonts w:ascii="Times New Roman" w:eastAsia="Times New Roman" w:hAnsi="Times New Roman" w:cs="Times New Roman"/>
          <w:sz w:val="24"/>
          <w:szCs w:val="24"/>
        </w:rPr>
        <w:t xml:space="preserve"> found that </w:t>
      </w:r>
      <w:r w:rsidR="001148EA" w:rsidRPr="00150F3D">
        <w:rPr>
          <w:rFonts w:ascii="Times New Roman" w:eastAsia="Times New Roman" w:hAnsi="Times New Roman" w:cs="Times New Roman"/>
          <w:sz w:val="24"/>
          <w:szCs w:val="24"/>
        </w:rPr>
        <w:t xml:space="preserve">there </w:t>
      </w:r>
      <w:r w:rsidR="00D263C7" w:rsidRPr="00150F3D">
        <w:rPr>
          <w:rFonts w:ascii="Times New Roman" w:eastAsia="Times New Roman" w:hAnsi="Times New Roman" w:cs="Times New Roman"/>
          <w:sz w:val="24"/>
          <w:szCs w:val="24"/>
        </w:rPr>
        <w:t>is</w:t>
      </w:r>
      <w:r w:rsidR="001148EA" w:rsidRPr="00150F3D">
        <w:rPr>
          <w:rFonts w:ascii="Times New Roman" w:eastAsia="Times New Roman" w:hAnsi="Times New Roman" w:cs="Times New Roman"/>
          <w:sz w:val="24"/>
          <w:szCs w:val="24"/>
        </w:rPr>
        <w:t xml:space="preserve"> an arguable case</w:t>
      </w:r>
      <w:r w:rsidR="00833436" w:rsidRPr="00150F3D">
        <w:rPr>
          <w:rFonts w:ascii="Times New Roman" w:eastAsia="Times New Roman" w:hAnsi="Times New Roman" w:cs="Times New Roman"/>
          <w:sz w:val="24"/>
          <w:szCs w:val="24"/>
        </w:rPr>
        <w:t xml:space="preserve"> </w:t>
      </w:r>
      <w:r w:rsidR="001148EA" w:rsidRPr="00150F3D">
        <w:rPr>
          <w:rFonts w:ascii="Times New Roman" w:eastAsia="Times New Roman" w:hAnsi="Times New Roman" w:cs="Times New Roman"/>
          <w:sz w:val="24"/>
          <w:szCs w:val="24"/>
        </w:rPr>
        <w:t>that a parent company may owe a duty of care to third parties</w:t>
      </w:r>
      <w:r w:rsidR="003857B2">
        <w:rPr>
          <w:rFonts w:ascii="Times New Roman" w:eastAsia="Times New Roman" w:hAnsi="Times New Roman" w:cs="Times New Roman"/>
          <w:sz w:val="24"/>
          <w:szCs w:val="24"/>
        </w:rPr>
        <w:t>,</w:t>
      </w:r>
      <w:r w:rsidR="001148EA" w:rsidRPr="00150F3D">
        <w:rPr>
          <w:rFonts w:ascii="Times New Roman" w:eastAsia="Times New Roman" w:hAnsi="Times New Roman" w:cs="Times New Roman"/>
          <w:sz w:val="24"/>
          <w:szCs w:val="24"/>
        </w:rPr>
        <w:t xml:space="preserve"> where it can be shown that the </w:t>
      </w:r>
      <w:r w:rsidR="00A20672" w:rsidRPr="00150F3D">
        <w:rPr>
          <w:rFonts w:ascii="Times New Roman" w:eastAsia="Times New Roman" w:hAnsi="Times New Roman" w:cs="Times New Roman"/>
          <w:sz w:val="24"/>
          <w:szCs w:val="24"/>
        </w:rPr>
        <w:t>corporation</w:t>
      </w:r>
      <w:r w:rsidR="001148EA" w:rsidRPr="00150F3D">
        <w:rPr>
          <w:rFonts w:ascii="Times New Roman" w:eastAsia="Times New Roman" w:hAnsi="Times New Roman" w:cs="Times New Roman"/>
          <w:sz w:val="24"/>
          <w:szCs w:val="24"/>
        </w:rPr>
        <w:t xml:space="preserve"> took active steps </w:t>
      </w:r>
      <w:r w:rsidR="00714B3C">
        <w:rPr>
          <w:rFonts w:ascii="Times New Roman" w:eastAsia="Times New Roman" w:hAnsi="Times New Roman" w:cs="Times New Roman"/>
          <w:sz w:val="24"/>
          <w:szCs w:val="24"/>
        </w:rPr>
        <w:t>by informing</w:t>
      </w:r>
      <w:r w:rsidR="001148EA" w:rsidRPr="00150F3D">
        <w:rPr>
          <w:rFonts w:ascii="Times New Roman" w:eastAsia="Times New Roman" w:hAnsi="Times New Roman" w:cs="Times New Roman"/>
          <w:sz w:val="24"/>
          <w:szCs w:val="24"/>
        </w:rPr>
        <w:t xml:space="preserve"> its subsidiary about the maintenance of proper standards of environmental control</w:t>
      </w:r>
      <w:r w:rsidR="00C25DCD">
        <w:rPr>
          <w:rFonts w:ascii="Times New Roman" w:eastAsia="Times New Roman" w:hAnsi="Times New Roman" w:cs="Times New Roman"/>
          <w:sz w:val="24"/>
          <w:szCs w:val="24"/>
        </w:rPr>
        <w:t>.</w:t>
      </w:r>
      <w:r w:rsidR="00C440D0" w:rsidRPr="00150F3D">
        <w:rPr>
          <w:rStyle w:val="FootnoteReference"/>
          <w:rFonts w:ascii="Times New Roman" w:eastAsia="Times New Roman" w:hAnsi="Times New Roman" w:cs="Times New Roman"/>
          <w:sz w:val="24"/>
          <w:szCs w:val="24"/>
        </w:rPr>
        <w:footnoteReference w:id="23"/>
      </w:r>
      <w:r w:rsidR="00C14DF2" w:rsidRPr="00150F3D">
        <w:rPr>
          <w:rFonts w:ascii="Times New Roman" w:eastAsia="Times New Roman" w:hAnsi="Times New Roman" w:cs="Times New Roman"/>
          <w:sz w:val="24"/>
          <w:szCs w:val="24"/>
        </w:rPr>
        <w:t xml:space="preserve"> The parent </w:t>
      </w:r>
      <w:r w:rsidR="00A20672" w:rsidRPr="00150F3D">
        <w:rPr>
          <w:rFonts w:ascii="Times New Roman" w:eastAsia="Times New Roman" w:hAnsi="Times New Roman" w:cs="Times New Roman"/>
          <w:sz w:val="24"/>
          <w:szCs w:val="24"/>
        </w:rPr>
        <w:t xml:space="preserve">in </w:t>
      </w:r>
      <w:r w:rsidR="00C14DF2" w:rsidRPr="00150F3D">
        <w:rPr>
          <w:rFonts w:ascii="Times New Roman" w:eastAsia="Times New Roman" w:hAnsi="Times New Roman" w:cs="Times New Roman"/>
          <w:i/>
          <w:iCs/>
          <w:sz w:val="24"/>
          <w:szCs w:val="24"/>
        </w:rPr>
        <w:t>Vedanta</w:t>
      </w:r>
      <w:r w:rsidR="00C14DF2" w:rsidRPr="00150F3D">
        <w:rPr>
          <w:rFonts w:ascii="Times New Roman" w:eastAsia="Times New Roman" w:hAnsi="Times New Roman" w:cs="Times New Roman"/>
          <w:sz w:val="24"/>
          <w:szCs w:val="24"/>
        </w:rPr>
        <w:t xml:space="preserve"> did </w:t>
      </w:r>
      <w:r w:rsidR="001148EA" w:rsidRPr="00150F3D">
        <w:rPr>
          <w:rFonts w:ascii="Times New Roman" w:hAnsi="Times New Roman" w:cs="Times New Roman"/>
          <w:sz w:val="24"/>
          <w:szCs w:val="24"/>
        </w:rPr>
        <w:t>not merely la</w:t>
      </w:r>
      <w:r w:rsidR="00C14DF2" w:rsidRPr="00150F3D">
        <w:rPr>
          <w:rFonts w:ascii="Times New Roman" w:hAnsi="Times New Roman" w:cs="Times New Roman"/>
          <w:sz w:val="24"/>
          <w:szCs w:val="24"/>
        </w:rPr>
        <w:t>y</w:t>
      </w:r>
      <w:r w:rsidR="001148EA" w:rsidRPr="00150F3D">
        <w:rPr>
          <w:rFonts w:ascii="Times New Roman" w:hAnsi="Times New Roman" w:cs="Times New Roman"/>
          <w:sz w:val="24"/>
          <w:szCs w:val="24"/>
        </w:rPr>
        <w:t xml:space="preserve"> down but also </w:t>
      </w:r>
      <w:r w:rsidR="00D765DA">
        <w:rPr>
          <w:rFonts w:ascii="Times New Roman" w:hAnsi="Times New Roman" w:cs="Times New Roman"/>
          <w:sz w:val="24"/>
          <w:szCs w:val="24"/>
        </w:rPr>
        <w:t>‘</w:t>
      </w:r>
      <w:r w:rsidR="001148EA" w:rsidRPr="00150F3D">
        <w:rPr>
          <w:rFonts w:ascii="Times New Roman" w:hAnsi="Times New Roman" w:cs="Times New Roman"/>
          <w:sz w:val="24"/>
          <w:szCs w:val="24"/>
        </w:rPr>
        <w:t>implemented those standards by training, monitoring and enforcement, as sufficient on their own</w:t>
      </w:r>
      <w:r w:rsidR="00D765DA">
        <w:rPr>
          <w:rFonts w:ascii="Times New Roman" w:hAnsi="Times New Roman" w:cs="Times New Roman"/>
          <w:sz w:val="24"/>
          <w:szCs w:val="24"/>
        </w:rPr>
        <w:t>’</w:t>
      </w:r>
      <w:r w:rsidR="001148EA" w:rsidRPr="00150F3D">
        <w:rPr>
          <w:rFonts w:ascii="Times New Roman" w:hAnsi="Times New Roman" w:cs="Times New Roman"/>
          <w:sz w:val="24"/>
          <w:szCs w:val="24"/>
        </w:rPr>
        <w:t xml:space="preserve"> to show that it is </w:t>
      </w:r>
      <w:r w:rsidR="00D765DA">
        <w:rPr>
          <w:rFonts w:ascii="Times New Roman" w:hAnsi="Times New Roman" w:cs="Times New Roman"/>
          <w:sz w:val="24"/>
          <w:szCs w:val="24"/>
        </w:rPr>
        <w:t>‘</w:t>
      </w:r>
      <w:r w:rsidR="001148EA" w:rsidRPr="00150F3D">
        <w:rPr>
          <w:rFonts w:ascii="Times New Roman" w:hAnsi="Times New Roman" w:cs="Times New Roman"/>
          <w:sz w:val="24"/>
          <w:szCs w:val="24"/>
        </w:rPr>
        <w:t>well arguable</w:t>
      </w:r>
      <w:r w:rsidR="00D765DA">
        <w:rPr>
          <w:rFonts w:ascii="Times New Roman" w:hAnsi="Times New Roman" w:cs="Times New Roman"/>
          <w:sz w:val="24"/>
          <w:szCs w:val="24"/>
        </w:rPr>
        <w:t>’</w:t>
      </w:r>
      <w:r w:rsidR="001148EA" w:rsidRPr="00150F3D">
        <w:rPr>
          <w:rFonts w:ascii="Times New Roman" w:hAnsi="Times New Roman" w:cs="Times New Roman"/>
          <w:sz w:val="24"/>
          <w:szCs w:val="24"/>
        </w:rPr>
        <w:t xml:space="preserve"> that the parent assumed a responsibilit</w:t>
      </w:r>
      <w:r w:rsidR="00833436" w:rsidRPr="00150F3D">
        <w:rPr>
          <w:rFonts w:ascii="Times New Roman" w:hAnsi="Times New Roman" w:cs="Times New Roman"/>
          <w:sz w:val="24"/>
          <w:szCs w:val="24"/>
        </w:rPr>
        <w:t>y of duty of care towards the victims</w:t>
      </w:r>
      <w:r w:rsidR="00C25DCD">
        <w:rPr>
          <w:rFonts w:ascii="Times New Roman" w:hAnsi="Times New Roman" w:cs="Times New Roman"/>
          <w:sz w:val="24"/>
          <w:szCs w:val="24"/>
        </w:rPr>
        <w:t>.</w:t>
      </w:r>
      <w:r w:rsidR="001148EA" w:rsidRPr="00150F3D">
        <w:rPr>
          <w:rFonts w:ascii="Times New Roman" w:hAnsi="Times New Roman" w:cs="Times New Roman"/>
          <w:sz w:val="24"/>
          <w:szCs w:val="24"/>
          <w:vertAlign w:val="superscript"/>
        </w:rPr>
        <w:footnoteReference w:id="24"/>
      </w:r>
      <w:r w:rsidR="001148EA" w:rsidRPr="00150F3D">
        <w:rPr>
          <w:rFonts w:ascii="Times New Roman" w:eastAsia="Times New Roman" w:hAnsi="Times New Roman" w:cs="Times New Roman"/>
          <w:sz w:val="24"/>
          <w:szCs w:val="24"/>
        </w:rPr>
        <w:t xml:space="preserve"> </w:t>
      </w:r>
    </w:p>
    <w:p w14:paraId="034845AA" w14:textId="5C70E352" w:rsidR="00B51E0C" w:rsidRDefault="005F7107" w:rsidP="00B82299">
      <w:pPr>
        <w:spacing w:before="120"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This is a significant </w:t>
      </w:r>
      <w:r w:rsidR="00D263C7" w:rsidRPr="00150F3D">
        <w:rPr>
          <w:rFonts w:ascii="Times New Roman" w:eastAsia="Times New Roman" w:hAnsi="Times New Roman" w:cs="Times New Roman"/>
          <w:sz w:val="24"/>
          <w:szCs w:val="24"/>
        </w:rPr>
        <w:t>victory for victims in international human rights litigation</w:t>
      </w:r>
      <w:r w:rsidR="00B108A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r w:rsidR="00B108A4">
        <w:rPr>
          <w:rFonts w:ascii="Times New Roman" w:eastAsia="Times New Roman" w:hAnsi="Times New Roman" w:cs="Times New Roman"/>
          <w:sz w:val="24"/>
          <w:szCs w:val="24"/>
        </w:rPr>
        <w:t>I</w:t>
      </w:r>
      <w:r w:rsidR="00D263C7" w:rsidRPr="00150F3D">
        <w:rPr>
          <w:rFonts w:ascii="Times New Roman" w:eastAsia="Times New Roman" w:hAnsi="Times New Roman" w:cs="Times New Roman"/>
          <w:sz w:val="24"/>
          <w:szCs w:val="24"/>
        </w:rPr>
        <w:t>t is now acknowledged that</w:t>
      </w:r>
      <w:r w:rsidRPr="00150F3D">
        <w:rPr>
          <w:rFonts w:ascii="Times New Roman" w:eastAsia="Times New Roman" w:hAnsi="Times New Roman" w:cs="Times New Roman"/>
          <w:sz w:val="24"/>
          <w:szCs w:val="24"/>
        </w:rPr>
        <w:t xml:space="preserve"> the proximity requirement </w:t>
      </w:r>
      <w:r w:rsidR="00D263C7" w:rsidRPr="00150F3D">
        <w:rPr>
          <w:rFonts w:ascii="Times New Roman" w:eastAsia="Times New Roman" w:hAnsi="Times New Roman" w:cs="Times New Roman"/>
          <w:sz w:val="24"/>
          <w:szCs w:val="24"/>
        </w:rPr>
        <w:t>could be</w:t>
      </w:r>
      <w:r w:rsidRPr="00150F3D">
        <w:rPr>
          <w:rFonts w:ascii="Times New Roman" w:eastAsia="Times New Roman" w:hAnsi="Times New Roman" w:cs="Times New Roman"/>
          <w:sz w:val="24"/>
          <w:szCs w:val="24"/>
        </w:rPr>
        <w:t xml:space="preserve"> satisfied </w:t>
      </w:r>
      <w:r w:rsidR="00C14DF2" w:rsidRPr="00150F3D">
        <w:rPr>
          <w:rFonts w:ascii="Times New Roman" w:eastAsia="Times New Roman" w:hAnsi="Times New Roman" w:cs="Times New Roman"/>
          <w:sz w:val="24"/>
          <w:szCs w:val="24"/>
        </w:rPr>
        <w:t xml:space="preserve">between a </w:t>
      </w:r>
      <w:r w:rsidR="0035304C">
        <w:rPr>
          <w:rFonts w:ascii="Times New Roman" w:eastAsia="Times New Roman" w:hAnsi="Times New Roman" w:cs="Times New Roman"/>
          <w:sz w:val="24"/>
          <w:szCs w:val="24"/>
        </w:rPr>
        <w:t xml:space="preserve">parent </w:t>
      </w:r>
      <w:r w:rsidR="00C14DF2" w:rsidRPr="00150F3D">
        <w:rPr>
          <w:rFonts w:ascii="Times New Roman" w:eastAsia="Times New Roman" w:hAnsi="Times New Roman" w:cs="Times New Roman"/>
          <w:sz w:val="24"/>
          <w:szCs w:val="24"/>
        </w:rPr>
        <w:t xml:space="preserve">corporation and </w:t>
      </w:r>
      <w:r w:rsidRPr="00150F3D">
        <w:rPr>
          <w:rFonts w:ascii="Times New Roman" w:eastAsia="Times New Roman" w:hAnsi="Times New Roman" w:cs="Times New Roman"/>
          <w:sz w:val="24"/>
          <w:szCs w:val="24"/>
        </w:rPr>
        <w:t xml:space="preserve">a group of victims </w:t>
      </w:r>
      <w:r w:rsidR="0035304C">
        <w:rPr>
          <w:rFonts w:ascii="Times New Roman" w:eastAsia="Times New Roman" w:hAnsi="Times New Roman" w:cs="Times New Roman"/>
          <w:sz w:val="24"/>
          <w:szCs w:val="24"/>
        </w:rPr>
        <w:t>harmed by its subsidiary</w:t>
      </w:r>
      <w:r w:rsidR="00B108A4">
        <w:rPr>
          <w:rFonts w:ascii="Times New Roman" w:eastAsia="Times New Roman" w:hAnsi="Times New Roman" w:cs="Times New Roman"/>
          <w:sz w:val="24"/>
          <w:szCs w:val="24"/>
        </w:rPr>
        <w:t>,</w:t>
      </w:r>
      <w:r w:rsidR="0035304C">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who are </w:t>
      </w:r>
      <w:r w:rsidR="005320FF" w:rsidRPr="00150F3D">
        <w:rPr>
          <w:rFonts w:ascii="Times New Roman" w:eastAsia="Times New Roman" w:hAnsi="Times New Roman" w:cs="Times New Roman"/>
          <w:sz w:val="24"/>
          <w:szCs w:val="24"/>
        </w:rPr>
        <w:t>outside the immediate sphere of influence of the corporation</w:t>
      </w:r>
      <w:r w:rsidR="0084361D">
        <w:rPr>
          <w:rFonts w:ascii="Times New Roman" w:eastAsia="Times New Roman" w:hAnsi="Times New Roman" w:cs="Times New Roman"/>
          <w:sz w:val="24"/>
          <w:szCs w:val="24"/>
        </w:rPr>
        <w:t xml:space="preserve">. This decision </w:t>
      </w:r>
      <w:r w:rsidR="00C440D0" w:rsidRPr="00150F3D">
        <w:rPr>
          <w:rFonts w:ascii="Times New Roman" w:eastAsia="Times New Roman" w:hAnsi="Times New Roman" w:cs="Times New Roman"/>
          <w:sz w:val="24"/>
          <w:szCs w:val="24"/>
        </w:rPr>
        <w:t>expand</w:t>
      </w:r>
      <w:r w:rsidR="0084361D">
        <w:rPr>
          <w:rFonts w:ascii="Times New Roman" w:eastAsia="Times New Roman" w:hAnsi="Times New Roman" w:cs="Times New Roman"/>
          <w:sz w:val="24"/>
          <w:szCs w:val="24"/>
        </w:rPr>
        <w:t>s</w:t>
      </w:r>
      <w:r w:rsidR="00C440D0" w:rsidRPr="00150F3D">
        <w:rPr>
          <w:rFonts w:ascii="Times New Roman" w:eastAsia="Times New Roman" w:hAnsi="Times New Roman" w:cs="Times New Roman"/>
          <w:sz w:val="24"/>
          <w:szCs w:val="24"/>
        </w:rPr>
        <w:t xml:space="preserve"> the situations envisaged under </w:t>
      </w:r>
      <w:r w:rsidR="00C440D0" w:rsidRPr="00150F3D">
        <w:rPr>
          <w:rFonts w:ascii="Times New Roman" w:eastAsia="Times New Roman" w:hAnsi="Times New Roman" w:cs="Times New Roman"/>
          <w:i/>
          <w:iCs/>
          <w:sz w:val="24"/>
          <w:szCs w:val="24"/>
        </w:rPr>
        <w:t>Chandler</w:t>
      </w:r>
      <w:r w:rsidR="00C440D0" w:rsidRPr="00150F3D">
        <w:rPr>
          <w:rFonts w:ascii="Times New Roman" w:eastAsia="Times New Roman" w:hAnsi="Times New Roman" w:cs="Times New Roman"/>
          <w:sz w:val="24"/>
          <w:szCs w:val="24"/>
        </w:rPr>
        <w:t xml:space="preserve"> </w:t>
      </w:r>
      <w:r w:rsidR="00D263C7" w:rsidRPr="00150F3D">
        <w:rPr>
          <w:rFonts w:ascii="Times New Roman" w:eastAsia="Times New Roman" w:hAnsi="Times New Roman" w:cs="Times New Roman"/>
          <w:sz w:val="24"/>
          <w:szCs w:val="24"/>
        </w:rPr>
        <w:lastRenderedPageBreak/>
        <w:t>beyond the employees of</w:t>
      </w:r>
      <w:r w:rsidR="005320FF" w:rsidRPr="00150F3D">
        <w:rPr>
          <w:rFonts w:ascii="Times New Roman" w:eastAsia="Times New Roman" w:hAnsi="Times New Roman" w:cs="Times New Roman"/>
          <w:sz w:val="24"/>
          <w:szCs w:val="24"/>
        </w:rPr>
        <w:t xml:space="preserve"> </w:t>
      </w:r>
      <w:r w:rsidR="00D263C7" w:rsidRPr="00150F3D">
        <w:rPr>
          <w:rFonts w:ascii="Times New Roman" w:eastAsia="Times New Roman" w:hAnsi="Times New Roman" w:cs="Times New Roman"/>
          <w:sz w:val="24"/>
          <w:szCs w:val="24"/>
        </w:rPr>
        <w:t>the p</w:t>
      </w:r>
      <w:r w:rsidR="005320FF" w:rsidRPr="00150F3D">
        <w:rPr>
          <w:rFonts w:ascii="Times New Roman" w:eastAsia="Times New Roman" w:hAnsi="Times New Roman" w:cs="Times New Roman"/>
          <w:sz w:val="24"/>
          <w:szCs w:val="24"/>
        </w:rPr>
        <w:t>arent’s subsidiary</w:t>
      </w:r>
      <w:r w:rsidR="004903CA">
        <w:rPr>
          <w:rFonts w:ascii="Times New Roman" w:eastAsia="Times New Roman" w:hAnsi="Times New Roman" w:cs="Times New Roman"/>
          <w:sz w:val="24"/>
          <w:szCs w:val="24"/>
        </w:rPr>
        <w:t xml:space="preserve"> to situations where the parent company takes active control in supervising or implementing human rights and environmental policies by its subsidiary</w:t>
      </w:r>
      <w:r w:rsidR="00567666">
        <w:rPr>
          <w:rFonts w:ascii="Times New Roman" w:eastAsia="Times New Roman" w:hAnsi="Times New Roman" w:cs="Times New Roman"/>
          <w:sz w:val="24"/>
          <w:szCs w:val="24"/>
        </w:rPr>
        <w:t>,</w:t>
      </w:r>
      <w:r w:rsidR="004903CA">
        <w:rPr>
          <w:rFonts w:ascii="Times New Roman" w:eastAsia="Times New Roman" w:hAnsi="Times New Roman" w:cs="Times New Roman"/>
          <w:sz w:val="24"/>
          <w:szCs w:val="24"/>
        </w:rPr>
        <w:t xml:space="preserve"> or proclaims</w:t>
      </w:r>
      <w:r w:rsidR="00B51E0C">
        <w:rPr>
          <w:rFonts w:ascii="Times New Roman" w:eastAsia="Times New Roman" w:hAnsi="Times New Roman" w:cs="Times New Roman"/>
          <w:sz w:val="24"/>
          <w:szCs w:val="24"/>
        </w:rPr>
        <w:t xml:space="preserve"> in published material </w:t>
      </w:r>
      <w:r w:rsidR="004903CA">
        <w:rPr>
          <w:rFonts w:ascii="Times New Roman" w:eastAsia="Times New Roman" w:hAnsi="Times New Roman" w:cs="Times New Roman"/>
          <w:sz w:val="24"/>
          <w:szCs w:val="24"/>
        </w:rPr>
        <w:t xml:space="preserve">that </w:t>
      </w:r>
      <w:r w:rsidR="00B51E0C">
        <w:rPr>
          <w:rFonts w:ascii="Times New Roman" w:eastAsia="Times New Roman" w:hAnsi="Times New Roman" w:cs="Times New Roman"/>
          <w:sz w:val="24"/>
          <w:szCs w:val="24"/>
        </w:rPr>
        <w:t>it</w:t>
      </w:r>
      <w:r w:rsidR="004903CA">
        <w:rPr>
          <w:rFonts w:ascii="Times New Roman" w:eastAsia="Times New Roman" w:hAnsi="Times New Roman" w:cs="Times New Roman"/>
          <w:sz w:val="24"/>
          <w:szCs w:val="24"/>
        </w:rPr>
        <w:t xml:space="preserve"> exercise</w:t>
      </w:r>
      <w:r w:rsidR="00B51E0C">
        <w:rPr>
          <w:rFonts w:ascii="Times New Roman" w:eastAsia="Times New Roman" w:hAnsi="Times New Roman" w:cs="Times New Roman"/>
          <w:sz w:val="24"/>
          <w:szCs w:val="24"/>
        </w:rPr>
        <w:t>s</w:t>
      </w:r>
      <w:r w:rsidR="004903CA">
        <w:rPr>
          <w:rFonts w:ascii="Times New Roman" w:eastAsia="Times New Roman" w:hAnsi="Times New Roman" w:cs="Times New Roman"/>
          <w:sz w:val="24"/>
          <w:szCs w:val="24"/>
        </w:rPr>
        <w:t xml:space="preserve"> such supervision even when in fact it does not do so</w:t>
      </w:r>
      <w:r w:rsidR="00DA662F">
        <w:rPr>
          <w:rFonts w:ascii="Times New Roman" w:eastAsia="Times New Roman" w:hAnsi="Times New Roman" w:cs="Times New Roman"/>
          <w:sz w:val="24"/>
          <w:szCs w:val="24"/>
        </w:rPr>
        <w:t>.</w:t>
      </w:r>
      <w:r w:rsidR="004903CA">
        <w:rPr>
          <w:rStyle w:val="FootnoteReference"/>
          <w:rFonts w:ascii="Times New Roman" w:eastAsia="Times New Roman" w:hAnsi="Times New Roman" w:cs="Times New Roman"/>
          <w:sz w:val="24"/>
          <w:szCs w:val="24"/>
        </w:rPr>
        <w:footnoteReference w:id="25"/>
      </w:r>
      <w:r w:rsidR="004903CA">
        <w:rPr>
          <w:rFonts w:ascii="Times New Roman" w:eastAsia="Times New Roman" w:hAnsi="Times New Roman" w:cs="Times New Roman"/>
          <w:sz w:val="24"/>
          <w:szCs w:val="24"/>
        </w:rPr>
        <w:t xml:space="preserve"> The latter effectively cover</w:t>
      </w:r>
      <w:r w:rsidR="0084361D">
        <w:rPr>
          <w:rFonts w:ascii="Times New Roman" w:eastAsia="Times New Roman" w:hAnsi="Times New Roman" w:cs="Times New Roman"/>
          <w:sz w:val="24"/>
          <w:szCs w:val="24"/>
        </w:rPr>
        <w:t>s</w:t>
      </w:r>
      <w:r w:rsidR="004903CA">
        <w:rPr>
          <w:rFonts w:ascii="Times New Roman" w:eastAsia="Times New Roman" w:hAnsi="Times New Roman" w:cs="Times New Roman"/>
          <w:sz w:val="24"/>
          <w:szCs w:val="24"/>
        </w:rPr>
        <w:t xml:space="preserve"> situations where the parent company may be held liable as a result of its omission to prevent harm committed by a third party</w:t>
      </w:r>
      <w:r w:rsidR="0084361D">
        <w:rPr>
          <w:rFonts w:ascii="Times New Roman" w:eastAsia="Times New Roman" w:hAnsi="Times New Roman" w:cs="Times New Roman"/>
          <w:sz w:val="24"/>
          <w:szCs w:val="24"/>
        </w:rPr>
        <w:t>.</w:t>
      </w:r>
      <w:r w:rsidR="004903CA">
        <w:rPr>
          <w:rStyle w:val="FootnoteReference"/>
          <w:rFonts w:ascii="Times New Roman" w:eastAsia="Times New Roman" w:hAnsi="Times New Roman" w:cs="Times New Roman"/>
          <w:sz w:val="24"/>
          <w:szCs w:val="24"/>
        </w:rPr>
        <w:footnoteReference w:id="26"/>
      </w:r>
      <w:r w:rsidR="004903CA">
        <w:rPr>
          <w:rFonts w:ascii="Times New Roman" w:eastAsia="Times New Roman" w:hAnsi="Times New Roman" w:cs="Times New Roman"/>
          <w:sz w:val="24"/>
          <w:szCs w:val="24"/>
        </w:rPr>
        <w:t xml:space="preserve"> </w:t>
      </w:r>
      <w:r w:rsidR="0035304C">
        <w:rPr>
          <w:rFonts w:ascii="Times New Roman" w:eastAsia="Times New Roman" w:hAnsi="Times New Roman" w:cs="Times New Roman"/>
          <w:sz w:val="24"/>
          <w:szCs w:val="24"/>
        </w:rPr>
        <w:t>The Court did not find anything special about the parent and subsidiary relationship, and ultimately the test concerned whether the parent company owed a duty of care to the victims</w:t>
      </w:r>
      <w:r w:rsidR="0084361D">
        <w:rPr>
          <w:rFonts w:ascii="Times New Roman" w:eastAsia="Times New Roman" w:hAnsi="Times New Roman" w:cs="Times New Roman"/>
          <w:sz w:val="24"/>
          <w:szCs w:val="24"/>
        </w:rPr>
        <w:t>.</w:t>
      </w:r>
      <w:r w:rsidR="0035304C">
        <w:rPr>
          <w:rStyle w:val="FootnoteReference"/>
          <w:rFonts w:ascii="Times New Roman" w:eastAsia="Times New Roman" w:hAnsi="Times New Roman" w:cs="Times New Roman"/>
          <w:sz w:val="24"/>
          <w:szCs w:val="24"/>
        </w:rPr>
        <w:footnoteReference w:id="27"/>
      </w:r>
      <w:r w:rsidR="0035304C">
        <w:rPr>
          <w:rFonts w:ascii="Times New Roman" w:eastAsia="Times New Roman" w:hAnsi="Times New Roman" w:cs="Times New Roman"/>
          <w:sz w:val="24"/>
          <w:szCs w:val="24"/>
        </w:rPr>
        <w:t xml:space="preserve"> </w:t>
      </w:r>
    </w:p>
    <w:p w14:paraId="582B6EED" w14:textId="6ADB89F4" w:rsidR="005320FF" w:rsidRPr="00150F3D" w:rsidRDefault="00B67036" w:rsidP="00B82299">
      <w:pPr>
        <w:spacing w:before="120" w:after="240" w:line="360" w:lineRule="auto"/>
        <w:jc w:val="both"/>
        <w:rPr>
          <w:rFonts w:ascii="Times New Roman" w:hAnsi="Times New Roman" w:cs="Times New Roman"/>
          <w:sz w:val="24"/>
          <w:szCs w:val="24"/>
        </w:rPr>
      </w:pPr>
      <w:r w:rsidRPr="00150F3D">
        <w:rPr>
          <w:rFonts w:ascii="Times New Roman" w:eastAsia="Times New Roman" w:hAnsi="Times New Roman" w:cs="Times New Roman"/>
          <w:sz w:val="24"/>
          <w:szCs w:val="24"/>
        </w:rPr>
        <w:t>Th</w:t>
      </w:r>
      <w:r w:rsidR="00D263C7" w:rsidRPr="00150F3D">
        <w:rPr>
          <w:rFonts w:ascii="Times New Roman" w:eastAsia="Times New Roman" w:hAnsi="Times New Roman" w:cs="Times New Roman"/>
          <w:sz w:val="24"/>
          <w:szCs w:val="24"/>
        </w:rPr>
        <w:t>e</w:t>
      </w:r>
      <w:r w:rsidRPr="00150F3D">
        <w:rPr>
          <w:rFonts w:ascii="Times New Roman" w:eastAsia="Times New Roman" w:hAnsi="Times New Roman" w:cs="Times New Roman"/>
          <w:sz w:val="24"/>
          <w:szCs w:val="24"/>
        </w:rPr>
        <w:t xml:space="preserve"> </w:t>
      </w:r>
      <w:r w:rsidR="00D263C7" w:rsidRPr="00150F3D">
        <w:rPr>
          <w:rFonts w:ascii="Times New Roman" w:eastAsia="Times New Roman" w:hAnsi="Times New Roman" w:cs="Times New Roman"/>
          <w:sz w:val="24"/>
          <w:szCs w:val="24"/>
        </w:rPr>
        <w:t xml:space="preserve">same reasoning </w:t>
      </w:r>
      <w:r w:rsidRPr="00150F3D">
        <w:rPr>
          <w:rFonts w:ascii="Times New Roman" w:eastAsia="Times New Roman" w:hAnsi="Times New Roman" w:cs="Times New Roman"/>
          <w:sz w:val="24"/>
          <w:szCs w:val="24"/>
        </w:rPr>
        <w:t xml:space="preserve">was </w:t>
      </w:r>
      <w:r w:rsidR="00D263C7" w:rsidRPr="00150F3D">
        <w:rPr>
          <w:rFonts w:ascii="Times New Roman" w:eastAsia="Times New Roman" w:hAnsi="Times New Roman" w:cs="Times New Roman"/>
          <w:sz w:val="24"/>
          <w:szCs w:val="24"/>
        </w:rPr>
        <w:t>followed</w:t>
      </w:r>
      <w:r w:rsidRPr="00150F3D">
        <w:rPr>
          <w:rFonts w:ascii="Times New Roman" w:eastAsia="Times New Roman" w:hAnsi="Times New Roman" w:cs="Times New Roman"/>
          <w:sz w:val="24"/>
          <w:szCs w:val="24"/>
        </w:rPr>
        <w:t xml:space="preserve"> by the Court of Appeal of the Hague with the outcome of cases against Shell in respect of environmental damage in Nigeria’s Niger Delta region and climate change</w:t>
      </w:r>
      <w:bookmarkStart w:id="13" w:name="_Ref131847982"/>
      <w:r w:rsidR="00C25DCD">
        <w:rPr>
          <w:rFonts w:ascii="Times New Roman" w:eastAsia="Times New Roman" w:hAnsi="Times New Roman" w:cs="Times New Roman"/>
          <w:sz w:val="24"/>
          <w:szCs w:val="24"/>
        </w:rPr>
        <w:t>.</w:t>
      </w:r>
      <w:r w:rsidRPr="00150F3D">
        <w:rPr>
          <w:rFonts w:ascii="Times New Roman" w:hAnsi="Times New Roman" w:cs="Times New Roman"/>
          <w:sz w:val="24"/>
          <w:szCs w:val="24"/>
          <w:vertAlign w:val="superscript"/>
        </w:rPr>
        <w:footnoteReference w:id="28"/>
      </w:r>
      <w:bookmarkEnd w:id="13"/>
      <w:r w:rsidRPr="00150F3D">
        <w:rPr>
          <w:rFonts w:ascii="Times New Roman" w:eastAsia="Times New Roman" w:hAnsi="Times New Roman" w:cs="Times New Roman"/>
          <w:sz w:val="24"/>
          <w:szCs w:val="24"/>
        </w:rPr>
        <w:t xml:space="preserve"> There</w:t>
      </w:r>
      <w:r w:rsidR="00C14DF2"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the Court stated that if a parent company knows or ought to </w:t>
      </w:r>
      <w:r w:rsidR="00E254EF" w:rsidRPr="00150F3D">
        <w:rPr>
          <w:rFonts w:ascii="Times New Roman" w:eastAsia="Times New Roman" w:hAnsi="Times New Roman" w:cs="Times New Roman"/>
          <w:sz w:val="24"/>
          <w:szCs w:val="24"/>
        </w:rPr>
        <w:t xml:space="preserve">have </w:t>
      </w:r>
      <w:r w:rsidRPr="00150F3D">
        <w:rPr>
          <w:rFonts w:ascii="Times New Roman" w:eastAsia="Times New Roman" w:hAnsi="Times New Roman" w:cs="Times New Roman"/>
          <w:sz w:val="24"/>
          <w:szCs w:val="24"/>
        </w:rPr>
        <w:t>know</w:t>
      </w:r>
      <w:r w:rsidR="00E254EF" w:rsidRPr="00150F3D">
        <w:rPr>
          <w:rFonts w:ascii="Times New Roman" w:eastAsia="Times New Roman" w:hAnsi="Times New Roman" w:cs="Times New Roman"/>
          <w:sz w:val="24"/>
          <w:szCs w:val="24"/>
        </w:rPr>
        <w:t>n</w:t>
      </w:r>
      <w:r w:rsidRPr="00150F3D">
        <w:rPr>
          <w:rFonts w:ascii="Times New Roman" w:eastAsia="Times New Roman" w:hAnsi="Times New Roman" w:cs="Times New Roman"/>
          <w:sz w:val="24"/>
          <w:szCs w:val="24"/>
        </w:rPr>
        <w:t xml:space="preserve"> that its </w:t>
      </w:r>
      <w:r w:rsidR="00C14DF2" w:rsidRPr="00150F3D">
        <w:rPr>
          <w:rFonts w:ascii="Times New Roman" w:eastAsia="Times New Roman" w:hAnsi="Times New Roman" w:cs="Times New Roman"/>
          <w:sz w:val="24"/>
          <w:szCs w:val="24"/>
        </w:rPr>
        <w:t>subsidiary</w:t>
      </w:r>
      <w:r w:rsidRPr="00150F3D">
        <w:rPr>
          <w:rFonts w:ascii="Times New Roman" w:eastAsia="Times New Roman" w:hAnsi="Times New Roman" w:cs="Times New Roman"/>
          <w:sz w:val="24"/>
          <w:szCs w:val="24"/>
        </w:rPr>
        <w:t xml:space="preserve"> is unlawfully harming third parties in an area in which the parent company interferes with the subsidiary, then the parent’s starting point is a duty of care </w:t>
      </w:r>
      <w:r w:rsidR="00C14DF2" w:rsidRPr="00150F3D">
        <w:rPr>
          <w:rFonts w:ascii="Times New Roman" w:eastAsia="Times New Roman" w:hAnsi="Times New Roman" w:cs="Times New Roman"/>
          <w:sz w:val="24"/>
          <w:szCs w:val="24"/>
        </w:rPr>
        <w:t xml:space="preserve">to </w:t>
      </w:r>
      <w:r w:rsidRPr="00150F3D">
        <w:rPr>
          <w:rFonts w:ascii="Times New Roman" w:eastAsia="Times New Roman" w:hAnsi="Times New Roman" w:cs="Times New Roman"/>
          <w:sz w:val="24"/>
          <w:szCs w:val="24"/>
        </w:rPr>
        <w:t>those third parties to intervene</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29"/>
      </w:r>
      <w:r w:rsidRPr="00150F3D">
        <w:rPr>
          <w:rFonts w:ascii="Times New Roman" w:eastAsia="Times New Roman" w:hAnsi="Times New Roman" w:cs="Times New Roman"/>
          <w:sz w:val="24"/>
          <w:szCs w:val="24"/>
        </w:rPr>
        <w:t xml:space="preserve"> </w:t>
      </w:r>
      <w:r w:rsidRPr="00150F3D">
        <w:rPr>
          <w:rFonts w:ascii="Times New Roman" w:hAnsi="Times New Roman" w:cs="Times New Roman"/>
          <w:sz w:val="24"/>
          <w:szCs w:val="24"/>
        </w:rPr>
        <w:t xml:space="preserve"> </w:t>
      </w:r>
    </w:p>
    <w:p w14:paraId="138C6A93" w14:textId="0411EEF5" w:rsidR="00847A3C" w:rsidRDefault="005320FF"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Thus, </w:t>
      </w:r>
      <w:r w:rsidR="00E254EF" w:rsidRPr="00150F3D">
        <w:rPr>
          <w:rFonts w:ascii="Times New Roman" w:eastAsia="Times New Roman" w:hAnsi="Times New Roman" w:cs="Times New Roman"/>
          <w:sz w:val="24"/>
          <w:szCs w:val="24"/>
        </w:rPr>
        <w:t>in principle</w:t>
      </w:r>
      <w:r w:rsidR="00BB5F55">
        <w:rPr>
          <w:rFonts w:ascii="Times New Roman" w:eastAsia="Times New Roman" w:hAnsi="Times New Roman" w:cs="Times New Roman"/>
          <w:sz w:val="24"/>
          <w:szCs w:val="24"/>
        </w:rPr>
        <w:t>,</w:t>
      </w:r>
      <w:r w:rsidR="001753D7" w:rsidRPr="00150F3D">
        <w:rPr>
          <w:rFonts w:ascii="Times New Roman" w:eastAsia="Times New Roman" w:hAnsi="Times New Roman" w:cs="Times New Roman"/>
          <w:sz w:val="24"/>
          <w:szCs w:val="24"/>
        </w:rPr>
        <w:t xml:space="preserve"> a </w:t>
      </w:r>
      <w:r w:rsidRPr="00150F3D">
        <w:rPr>
          <w:rFonts w:ascii="Times New Roman" w:eastAsia="Times New Roman" w:hAnsi="Times New Roman" w:cs="Times New Roman"/>
          <w:sz w:val="24"/>
          <w:szCs w:val="24"/>
        </w:rPr>
        <w:t xml:space="preserve">court </w:t>
      </w:r>
      <w:r w:rsidR="001753D7" w:rsidRPr="00150F3D">
        <w:rPr>
          <w:rFonts w:ascii="Times New Roman" w:eastAsia="Times New Roman" w:hAnsi="Times New Roman" w:cs="Times New Roman"/>
          <w:sz w:val="24"/>
          <w:szCs w:val="24"/>
        </w:rPr>
        <w:t xml:space="preserve">could </w:t>
      </w:r>
      <w:r w:rsidRPr="00150F3D">
        <w:rPr>
          <w:rFonts w:ascii="Times New Roman" w:eastAsia="Times New Roman" w:hAnsi="Times New Roman" w:cs="Times New Roman"/>
          <w:sz w:val="24"/>
          <w:szCs w:val="24"/>
        </w:rPr>
        <w:t>recognis</w:t>
      </w:r>
      <w:r w:rsidR="001753D7" w:rsidRPr="00150F3D">
        <w:rPr>
          <w:rFonts w:ascii="Times New Roman" w:eastAsia="Times New Roman" w:hAnsi="Times New Roman" w:cs="Times New Roman"/>
          <w:sz w:val="24"/>
          <w:szCs w:val="24"/>
        </w:rPr>
        <w:t>e</w:t>
      </w:r>
      <w:r w:rsidRPr="00150F3D">
        <w:rPr>
          <w:rFonts w:ascii="Times New Roman" w:eastAsia="Times New Roman" w:hAnsi="Times New Roman" w:cs="Times New Roman"/>
          <w:sz w:val="24"/>
          <w:szCs w:val="24"/>
        </w:rPr>
        <w:t xml:space="preserve"> a duty of care o</w:t>
      </w:r>
      <w:r w:rsidR="00342121" w:rsidRPr="00150F3D">
        <w:rPr>
          <w:rFonts w:ascii="Times New Roman" w:eastAsia="Times New Roman" w:hAnsi="Times New Roman" w:cs="Times New Roman"/>
          <w:sz w:val="24"/>
          <w:szCs w:val="24"/>
        </w:rPr>
        <w:t>utside the parent/subsidiary situation</w:t>
      </w:r>
      <w:r w:rsidR="004F756E" w:rsidRPr="00150F3D">
        <w:rPr>
          <w:rFonts w:ascii="Times New Roman" w:eastAsia="Times New Roman" w:hAnsi="Times New Roman" w:cs="Times New Roman"/>
          <w:sz w:val="24"/>
          <w:szCs w:val="24"/>
        </w:rPr>
        <w:t>, for example where the harm is committed by a third party</w:t>
      </w:r>
      <w:r w:rsidR="00847A3C">
        <w:rPr>
          <w:rFonts w:ascii="Times New Roman" w:eastAsia="Times New Roman" w:hAnsi="Times New Roman" w:cs="Times New Roman"/>
          <w:sz w:val="24"/>
          <w:szCs w:val="24"/>
        </w:rPr>
        <w:t>, even in</w:t>
      </w:r>
      <w:r w:rsidR="0084025D">
        <w:rPr>
          <w:rFonts w:ascii="Times New Roman" w:eastAsia="Times New Roman" w:hAnsi="Times New Roman" w:cs="Times New Roman"/>
          <w:sz w:val="24"/>
          <w:szCs w:val="24"/>
        </w:rPr>
        <w:t xml:space="preserve"> the context of</w:t>
      </w:r>
      <w:r w:rsidR="00847A3C">
        <w:rPr>
          <w:rFonts w:ascii="Times New Roman" w:eastAsia="Times New Roman" w:hAnsi="Times New Roman" w:cs="Times New Roman"/>
          <w:sz w:val="24"/>
          <w:szCs w:val="24"/>
        </w:rPr>
        <w:t xml:space="preserve"> supply or value chain</w:t>
      </w:r>
      <w:r w:rsidR="0084025D">
        <w:rPr>
          <w:rFonts w:ascii="Times New Roman" w:eastAsia="Times New Roman" w:hAnsi="Times New Roman" w:cs="Times New Roman"/>
          <w:sz w:val="24"/>
          <w:szCs w:val="24"/>
        </w:rPr>
        <w:t>s</w:t>
      </w:r>
      <w:r w:rsidR="00847A3C">
        <w:rPr>
          <w:rFonts w:ascii="Times New Roman" w:eastAsia="Times New Roman" w:hAnsi="Times New Roman" w:cs="Times New Roman"/>
          <w:sz w:val="24"/>
          <w:szCs w:val="24"/>
        </w:rPr>
        <w:t xml:space="preserve">. </w:t>
      </w:r>
      <w:r w:rsidR="00E254EF" w:rsidRPr="00150F3D">
        <w:rPr>
          <w:rFonts w:ascii="Times New Roman" w:eastAsia="Times New Roman" w:hAnsi="Times New Roman" w:cs="Times New Roman"/>
          <w:sz w:val="24"/>
          <w:szCs w:val="24"/>
        </w:rPr>
        <w:t xml:space="preserve"> </w:t>
      </w:r>
      <w:r w:rsidR="000E040C" w:rsidRPr="00150F3D">
        <w:rPr>
          <w:rFonts w:ascii="Times New Roman" w:eastAsia="Times New Roman" w:hAnsi="Times New Roman" w:cs="Times New Roman"/>
          <w:sz w:val="24"/>
          <w:szCs w:val="24"/>
        </w:rPr>
        <w:t xml:space="preserve">However, the prospect for their success </w:t>
      </w:r>
      <w:r w:rsidR="00171321" w:rsidRPr="00150F3D">
        <w:rPr>
          <w:rFonts w:ascii="Times New Roman" w:eastAsia="Times New Roman" w:hAnsi="Times New Roman" w:cs="Times New Roman"/>
          <w:sz w:val="24"/>
          <w:szCs w:val="24"/>
        </w:rPr>
        <w:t>might</w:t>
      </w:r>
      <w:r w:rsidR="001753D7" w:rsidRPr="00150F3D">
        <w:rPr>
          <w:rFonts w:ascii="Times New Roman" w:eastAsia="Times New Roman" w:hAnsi="Times New Roman" w:cs="Times New Roman"/>
          <w:sz w:val="24"/>
          <w:szCs w:val="24"/>
        </w:rPr>
        <w:t xml:space="preserve"> </w:t>
      </w:r>
      <w:r w:rsidR="00E254EF" w:rsidRPr="00150F3D">
        <w:rPr>
          <w:rFonts w:ascii="Times New Roman" w:eastAsia="Times New Roman" w:hAnsi="Times New Roman" w:cs="Times New Roman"/>
          <w:sz w:val="24"/>
          <w:szCs w:val="24"/>
        </w:rPr>
        <w:t xml:space="preserve">not </w:t>
      </w:r>
      <w:r w:rsidR="00171321" w:rsidRPr="00150F3D">
        <w:rPr>
          <w:rFonts w:ascii="Times New Roman" w:eastAsia="Times New Roman" w:hAnsi="Times New Roman" w:cs="Times New Roman"/>
          <w:sz w:val="24"/>
          <w:szCs w:val="24"/>
        </w:rPr>
        <w:t xml:space="preserve">be as </w:t>
      </w:r>
      <w:r w:rsidR="00E254EF" w:rsidRPr="00150F3D">
        <w:rPr>
          <w:rFonts w:ascii="Times New Roman" w:eastAsia="Times New Roman" w:hAnsi="Times New Roman" w:cs="Times New Roman"/>
          <w:sz w:val="24"/>
          <w:szCs w:val="24"/>
        </w:rPr>
        <w:t xml:space="preserve">clear </w:t>
      </w:r>
      <w:r w:rsidR="00171321" w:rsidRPr="00150F3D">
        <w:rPr>
          <w:rFonts w:ascii="Times New Roman" w:eastAsia="Times New Roman" w:hAnsi="Times New Roman" w:cs="Times New Roman"/>
          <w:sz w:val="24"/>
          <w:szCs w:val="24"/>
        </w:rPr>
        <w:t>as victims would hope for</w:t>
      </w:r>
      <w:r w:rsidRPr="00150F3D">
        <w:rPr>
          <w:rFonts w:ascii="Times New Roman" w:eastAsia="Times New Roman" w:hAnsi="Times New Roman" w:cs="Times New Roman"/>
          <w:sz w:val="24"/>
          <w:szCs w:val="24"/>
        </w:rPr>
        <w:t xml:space="preserve">. </w:t>
      </w:r>
      <w:r w:rsidR="00171321" w:rsidRPr="00150F3D">
        <w:rPr>
          <w:rFonts w:ascii="Times New Roman" w:eastAsia="Times New Roman" w:hAnsi="Times New Roman" w:cs="Times New Roman"/>
          <w:sz w:val="24"/>
          <w:szCs w:val="24"/>
        </w:rPr>
        <w:t>This is because u</w:t>
      </w:r>
      <w:r w:rsidRPr="00150F3D">
        <w:rPr>
          <w:rFonts w:ascii="Times New Roman" w:eastAsia="Times New Roman" w:hAnsi="Times New Roman" w:cs="Times New Roman"/>
          <w:sz w:val="24"/>
          <w:szCs w:val="24"/>
        </w:rPr>
        <w:t xml:space="preserve">nder </w:t>
      </w:r>
      <w:r w:rsidR="00BB5F55">
        <w:rPr>
          <w:rFonts w:ascii="Times New Roman" w:eastAsia="Times New Roman" w:hAnsi="Times New Roman" w:cs="Times New Roman"/>
          <w:sz w:val="24"/>
          <w:szCs w:val="24"/>
        </w:rPr>
        <w:t xml:space="preserve">the </w:t>
      </w:r>
      <w:r w:rsidRPr="00150F3D">
        <w:rPr>
          <w:rFonts w:ascii="Times New Roman" w:eastAsia="Times New Roman" w:hAnsi="Times New Roman" w:cs="Times New Roman"/>
          <w:sz w:val="24"/>
          <w:szCs w:val="24"/>
        </w:rPr>
        <w:t>English tort</w:t>
      </w:r>
      <w:r w:rsidR="00E254EF" w:rsidRPr="00150F3D">
        <w:rPr>
          <w:rFonts w:ascii="Times New Roman" w:eastAsia="Times New Roman" w:hAnsi="Times New Roman" w:cs="Times New Roman"/>
          <w:sz w:val="24"/>
          <w:szCs w:val="24"/>
        </w:rPr>
        <w:t xml:space="preserve"> of negligence</w:t>
      </w:r>
      <w:r w:rsidR="00BB5F55">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there </w:t>
      </w:r>
      <w:r w:rsidR="004F756E" w:rsidRPr="00150F3D">
        <w:rPr>
          <w:rFonts w:ascii="Times New Roman" w:eastAsia="Times New Roman" w:hAnsi="Times New Roman" w:cs="Times New Roman"/>
          <w:sz w:val="24"/>
          <w:szCs w:val="24"/>
        </w:rPr>
        <w:t>is</w:t>
      </w:r>
      <w:r w:rsidR="00D80A64">
        <w:rPr>
          <w:rFonts w:ascii="Times New Roman" w:eastAsia="Times New Roman" w:hAnsi="Times New Roman" w:cs="Times New Roman"/>
          <w:sz w:val="24"/>
          <w:szCs w:val="24"/>
        </w:rPr>
        <w:t xml:space="preserve"> </w:t>
      </w:r>
      <w:r w:rsidR="00BB5F55">
        <w:rPr>
          <w:rFonts w:ascii="Times New Roman" w:eastAsia="Times New Roman" w:hAnsi="Times New Roman" w:cs="Times New Roman"/>
          <w:sz w:val="24"/>
          <w:szCs w:val="24"/>
        </w:rPr>
        <w:t>no</w:t>
      </w:r>
      <w:r w:rsidR="004F756E"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general duty to prevent harm committed by a third party to others</w:t>
      </w:r>
      <w:r w:rsidR="00C25DCD">
        <w:rPr>
          <w:rFonts w:ascii="Times New Roman" w:eastAsia="Times New Roman" w:hAnsi="Times New Roman" w:cs="Times New Roman"/>
          <w:sz w:val="24"/>
          <w:szCs w:val="24"/>
        </w:rPr>
        <w:t>.</w:t>
      </w:r>
      <w:bookmarkStart w:id="15" w:name="_Ref141965044"/>
      <w:r w:rsidRPr="00150F3D">
        <w:rPr>
          <w:rFonts w:ascii="Times New Roman" w:hAnsi="Times New Roman" w:cs="Times New Roman"/>
          <w:sz w:val="24"/>
          <w:szCs w:val="24"/>
          <w:vertAlign w:val="superscript"/>
        </w:rPr>
        <w:footnoteReference w:id="30"/>
      </w:r>
      <w:bookmarkEnd w:id="15"/>
      <w:r w:rsidRPr="00150F3D">
        <w:rPr>
          <w:rFonts w:ascii="Times New Roman" w:eastAsia="Times New Roman" w:hAnsi="Times New Roman" w:cs="Times New Roman"/>
          <w:sz w:val="24"/>
          <w:szCs w:val="24"/>
        </w:rPr>
        <w:t xml:space="preserve"> </w:t>
      </w:r>
      <w:r w:rsidR="00171321" w:rsidRPr="00150F3D">
        <w:rPr>
          <w:rFonts w:ascii="Times New Roman" w:eastAsia="Times New Roman" w:hAnsi="Times New Roman" w:cs="Times New Roman"/>
          <w:sz w:val="24"/>
          <w:szCs w:val="24"/>
        </w:rPr>
        <w:t>For</w:t>
      </w:r>
      <w:r w:rsidR="000E040C" w:rsidRPr="00150F3D">
        <w:rPr>
          <w:rFonts w:ascii="Times New Roman" w:eastAsia="Times New Roman" w:hAnsi="Times New Roman" w:cs="Times New Roman"/>
          <w:sz w:val="24"/>
          <w:szCs w:val="24"/>
        </w:rPr>
        <w:t xml:space="preserve"> </w:t>
      </w:r>
      <w:r w:rsidR="00171321" w:rsidRPr="00150F3D">
        <w:rPr>
          <w:rFonts w:ascii="Times New Roman" w:eastAsia="Times New Roman" w:hAnsi="Times New Roman" w:cs="Times New Roman"/>
          <w:sz w:val="24"/>
          <w:szCs w:val="24"/>
        </w:rPr>
        <w:t xml:space="preserve">a </w:t>
      </w:r>
      <w:r w:rsidR="000E040C" w:rsidRPr="00150F3D">
        <w:rPr>
          <w:rFonts w:ascii="Times New Roman" w:eastAsia="Times New Roman" w:hAnsi="Times New Roman" w:cs="Times New Roman"/>
          <w:sz w:val="24"/>
          <w:szCs w:val="24"/>
        </w:rPr>
        <w:t xml:space="preserve">duty to exist, </w:t>
      </w:r>
      <w:r w:rsidR="00171321" w:rsidRPr="00150F3D">
        <w:rPr>
          <w:rFonts w:ascii="Times New Roman" w:eastAsia="Times New Roman" w:hAnsi="Times New Roman" w:cs="Times New Roman"/>
          <w:sz w:val="24"/>
          <w:szCs w:val="24"/>
        </w:rPr>
        <w:t xml:space="preserve">the clearest path is </w:t>
      </w:r>
      <w:r w:rsidR="004F756E" w:rsidRPr="00150F3D">
        <w:rPr>
          <w:rFonts w:ascii="Times New Roman" w:eastAsia="Times New Roman" w:hAnsi="Times New Roman" w:cs="Times New Roman"/>
          <w:sz w:val="24"/>
          <w:szCs w:val="24"/>
        </w:rPr>
        <w:t xml:space="preserve">therefore </w:t>
      </w:r>
      <w:r w:rsidR="00171321" w:rsidRPr="00150F3D">
        <w:rPr>
          <w:rFonts w:ascii="Times New Roman" w:eastAsia="Times New Roman" w:hAnsi="Times New Roman" w:cs="Times New Roman"/>
          <w:sz w:val="24"/>
          <w:szCs w:val="24"/>
        </w:rPr>
        <w:t xml:space="preserve">to show that the </w:t>
      </w:r>
      <w:r w:rsidR="00E254EF" w:rsidRPr="00150F3D">
        <w:rPr>
          <w:rFonts w:ascii="Times New Roman" w:eastAsia="Times New Roman" w:hAnsi="Times New Roman" w:cs="Times New Roman"/>
          <w:sz w:val="24"/>
          <w:szCs w:val="24"/>
        </w:rPr>
        <w:t>corporation</w:t>
      </w:r>
      <w:r w:rsidR="00171321" w:rsidRPr="00150F3D">
        <w:rPr>
          <w:rFonts w:ascii="Times New Roman" w:eastAsia="Times New Roman" w:hAnsi="Times New Roman" w:cs="Times New Roman"/>
          <w:sz w:val="24"/>
          <w:szCs w:val="24"/>
        </w:rPr>
        <w:t xml:space="preserve"> assumed a duty of care to the claimant</w:t>
      </w:r>
      <w:r w:rsidR="00735DEB">
        <w:rPr>
          <w:rFonts w:ascii="Times New Roman" w:eastAsia="Times New Roman" w:hAnsi="Times New Roman" w:cs="Times New Roman"/>
          <w:sz w:val="24"/>
          <w:szCs w:val="24"/>
        </w:rPr>
        <w:t>.</w:t>
      </w:r>
      <w:r w:rsidR="00847A3C">
        <w:rPr>
          <w:rStyle w:val="FootnoteReference"/>
          <w:rFonts w:ascii="Times New Roman" w:eastAsia="Times New Roman" w:hAnsi="Times New Roman" w:cs="Times New Roman"/>
          <w:sz w:val="24"/>
          <w:szCs w:val="24"/>
        </w:rPr>
        <w:footnoteReference w:id="31"/>
      </w:r>
      <w:r w:rsidR="000E040C"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This assumption of responsibility is a matter which the claimant will have to prove</w:t>
      </w:r>
      <w:r w:rsidR="00D80A6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relying on factors which show </w:t>
      </w:r>
      <w:r w:rsidR="000E040C" w:rsidRPr="00150F3D">
        <w:rPr>
          <w:rFonts w:ascii="Times New Roman" w:eastAsia="Times New Roman" w:hAnsi="Times New Roman" w:cs="Times New Roman"/>
          <w:sz w:val="24"/>
          <w:szCs w:val="24"/>
        </w:rPr>
        <w:t>either a</w:t>
      </w:r>
      <w:r w:rsidRPr="00150F3D">
        <w:rPr>
          <w:rFonts w:ascii="Times New Roman" w:eastAsia="Times New Roman" w:hAnsi="Times New Roman" w:cs="Times New Roman"/>
          <w:sz w:val="24"/>
          <w:szCs w:val="24"/>
        </w:rPr>
        <w:t xml:space="preserve"> control relationship </w:t>
      </w:r>
      <w:r w:rsidR="000E040C" w:rsidRPr="00150F3D">
        <w:rPr>
          <w:rFonts w:ascii="Times New Roman" w:eastAsia="Times New Roman" w:hAnsi="Times New Roman" w:cs="Times New Roman"/>
          <w:sz w:val="24"/>
          <w:szCs w:val="24"/>
        </w:rPr>
        <w:t xml:space="preserve">sufficiently close </w:t>
      </w:r>
      <w:r w:rsidRPr="00150F3D">
        <w:rPr>
          <w:rFonts w:ascii="Times New Roman" w:eastAsia="Times New Roman" w:hAnsi="Times New Roman" w:cs="Times New Roman"/>
          <w:sz w:val="24"/>
          <w:szCs w:val="24"/>
        </w:rPr>
        <w:t>in the context of the violation that the</w:t>
      </w:r>
      <w:r w:rsidR="000E040C" w:rsidRPr="00150F3D">
        <w:rPr>
          <w:rFonts w:ascii="Times New Roman" w:eastAsia="Times New Roman" w:hAnsi="Times New Roman" w:cs="Times New Roman"/>
          <w:sz w:val="24"/>
          <w:szCs w:val="24"/>
        </w:rPr>
        <w:t xml:space="preserve"> </w:t>
      </w:r>
      <w:r w:rsidR="004F756E" w:rsidRPr="00150F3D">
        <w:rPr>
          <w:rFonts w:ascii="Times New Roman" w:eastAsia="Times New Roman" w:hAnsi="Times New Roman" w:cs="Times New Roman"/>
          <w:sz w:val="24"/>
          <w:szCs w:val="24"/>
        </w:rPr>
        <w:t>c</w:t>
      </w:r>
      <w:r w:rsidR="000E040C" w:rsidRPr="00150F3D">
        <w:rPr>
          <w:rFonts w:ascii="Times New Roman" w:eastAsia="Times New Roman" w:hAnsi="Times New Roman" w:cs="Times New Roman"/>
          <w:sz w:val="24"/>
          <w:szCs w:val="24"/>
        </w:rPr>
        <w:t>orporation</w:t>
      </w:r>
      <w:r w:rsidRPr="00150F3D">
        <w:rPr>
          <w:rFonts w:ascii="Times New Roman" w:eastAsia="Times New Roman" w:hAnsi="Times New Roman" w:cs="Times New Roman"/>
          <w:sz w:val="24"/>
          <w:szCs w:val="24"/>
        </w:rPr>
        <w:t xml:space="preserve"> was aware of the risk</w:t>
      </w:r>
      <w:r w:rsidR="00B108A4">
        <w:rPr>
          <w:rFonts w:ascii="Times New Roman" w:eastAsia="Times New Roman" w:hAnsi="Times New Roman" w:cs="Times New Roman"/>
          <w:sz w:val="24"/>
          <w:szCs w:val="24"/>
        </w:rPr>
        <w:t>. In addition, the claimants will need to show</w:t>
      </w:r>
      <w:r w:rsidRPr="00150F3D">
        <w:rPr>
          <w:rFonts w:ascii="Times New Roman" w:eastAsia="Times New Roman" w:hAnsi="Times New Roman" w:cs="Times New Roman"/>
          <w:sz w:val="24"/>
          <w:szCs w:val="24"/>
        </w:rPr>
        <w:t xml:space="preserve"> that they represented</w:t>
      </w:r>
      <w:r w:rsidR="00B108A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via policy or actions</w:t>
      </w:r>
      <w:r w:rsidR="00B108A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that </w:t>
      </w:r>
      <w:r w:rsidR="00B108A4">
        <w:rPr>
          <w:rFonts w:ascii="Times New Roman" w:eastAsia="Times New Roman" w:hAnsi="Times New Roman" w:cs="Times New Roman"/>
          <w:sz w:val="24"/>
          <w:szCs w:val="24"/>
        </w:rPr>
        <w:t>they</w:t>
      </w:r>
      <w:r w:rsidRPr="00150F3D">
        <w:rPr>
          <w:rFonts w:ascii="Times New Roman" w:eastAsia="Times New Roman" w:hAnsi="Times New Roman" w:cs="Times New Roman"/>
          <w:sz w:val="24"/>
          <w:szCs w:val="24"/>
        </w:rPr>
        <w:t xml:space="preserve"> assumed the responsibility of </w:t>
      </w:r>
      <w:r w:rsidR="00171321" w:rsidRPr="00150F3D">
        <w:rPr>
          <w:rFonts w:ascii="Times New Roman" w:eastAsia="Times New Roman" w:hAnsi="Times New Roman" w:cs="Times New Roman"/>
          <w:sz w:val="24"/>
          <w:szCs w:val="24"/>
        </w:rPr>
        <w:t xml:space="preserve">the </w:t>
      </w:r>
      <w:r w:rsidRPr="00150F3D">
        <w:rPr>
          <w:rFonts w:ascii="Times New Roman" w:eastAsia="Times New Roman" w:hAnsi="Times New Roman" w:cs="Times New Roman"/>
          <w:sz w:val="24"/>
          <w:szCs w:val="24"/>
        </w:rPr>
        <w:t xml:space="preserve">protection </w:t>
      </w:r>
      <w:r w:rsidR="00CA4117" w:rsidRPr="00150F3D">
        <w:rPr>
          <w:rFonts w:ascii="Times New Roman" w:eastAsia="Times New Roman" w:hAnsi="Times New Roman" w:cs="Times New Roman"/>
          <w:sz w:val="24"/>
          <w:szCs w:val="24"/>
        </w:rPr>
        <w:t xml:space="preserve">of </w:t>
      </w:r>
      <w:r w:rsidRPr="00150F3D">
        <w:rPr>
          <w:rFonts w:ascii="Times New Roman" w:eastAsia="Times New Roman" w:hAnsi="Times New Roman" w:cs="Times New Roman"/>
          <w:sz w:val="24"/>
          <w:szCs w:val="24"/>
        </w:rPr>
        <w:t xml:space="preserve">the </w:t>
      </w:r>
      <w:r w:rsidR="00D80A6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others’ from the </w:t>
      </w:r>
      <w:r w:rsidR="001753D7" w:rsidRPr="00150F3D">
        <w:rPr>
          <w:rFonts w:ascii="Times New Roman" w:eastAsia="Times New Roman" w:hAnsi="Times New Roman" w:cs="Times New Roman"/>
          <w:sz w:val="24"/>
          <w:szCs w:val="24"/>
        </w:rPr>
        <w:t xml:space="preserve">harmful </w:t>
      </w:r>
      <w:r w:rsidRPr="00150F3D">
        <w:rPr>
          <w:rFonts w:ascii="Times New Roman" w:eastAsia="Times New Roman" w:hAnsi="Times New Roman" w:cs="Times New Roman"/>
          <w:sz w:val="24"/>
          <w:szCs w:val="24"/>
        </w:rPr>
        <w:t xml:space="preserve">conduct of </w:t>
      </w:r>
      <w:r w:rsidR="001753D7" w:rsidRPr="00150F3D">
        <w:rPr>
          <w:rFonts w:ascii="Times New Roman" w:eastAsia="Times New Roman" w:hAnsi="Times New Roman" w:cs="Times New Roman"/>
          <w:sz w:val="24"/>
          <w:szCs w:val="24"/>
        </w:rPr>
        <w:t>the third party.</w:t>
      </w:r>
      <w:r w:rsidR="00847A3C">
        <w:rPr>
          <w:rFonts w:ascii="Times New Roman" w:eastAsia="Times New Roman" w:hAnsi="Times New Roman" w:cs="Times New Roman"/>
          <w:sz w:val="24"/>
          <w:szCs w:val="24"/>
        </w:rPr>
        <w:t xml:space="preserve"> </w:t>
      </w:r>
    </w:p>
    <w:p w14:paraId="23F65A5F" w14:textId="3F894432" w:rsidR="0001084A" w:rsidRPr="00150F3D" w:rsidRDefault="00847A3C" w:rsidP="00735DEB">
      <w:pPr>
        <w:pStyle w:val="NoSpacing"/>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Another recognised exception to the </w:t>
      </w:r>
      <w:r w:rsidR="00A31DA3">
        <w:rPr>
          <w:rFonts w:ascii="Times New Roman" w:eastAsia="Times New Roman" w:hAnsi="Times New Roman" w:cs="Times New Roman"/>
          <w:sz w:val="24"/>
          <w:szCs w:val="24"/>
        </w:rPr>
        <w:t>third-party</w:t>
      </w:r>
      <w:r>
        <w:rPr>
          <w:rFonts w:ascii="Times New Roman" w:eastAsia="Times New Roman" w:hAnsi="Times New Roman" w:cs="Times New Roman"/>
          <w:sz w:val="24"/>
          <w:szCs w:val="24"/>
        </w:rPr>
        <w:t xml:space="preserve"> situation is where the corporation </w:t>
      </w:r>
      <w:r w:rsidR="0063396F">
        <w:rPr>
          <w:rFonts w:ascii="Times New Roman" w:eastAsia="Times New Roman" w:hAnsi="Times New Roman" w:cs="Times New Roman"/>
          <w:sz w:val="24"/>
          <w:szCs w:val="24"/>
        </w:rPr>
        <w:t xml:space="preserve">negligently </w:t>
      </w:r>
      <w:r>
        <w:rPr>
          <w:rFonts w:ascii="Times New Roman" w:eastAsia="Times New Roman" w:hAnsi="Times New Roman" w:cs="Times New Roman"/>
          <w:sz w:val="24"/>
          <w:szCs w:val="24"/>
        </w:rPr>
        <w:t xml:space="preserve">creates a danger </w:t>
      </w:r>
      <w:r w:rsidR="0063396F" w:rsidRPr="00F46361">
        <w:rPr>
          <w:rFonts w:ascii="Times New Roman" w:hAnsi="Times New Roman" w:cs="Times New Roman"/>
          <w:color w:val="000000"/>
          <w:sz w:val="24"/>
          <w:szCs w:val="24"/>
        </w:rPr>
        <w:t xml:space="preserve">or permits </w:t>
      </w:r>
      <w:r w:rsidR="0063396F">
        <w:rPr>
          <w:rFonts w:ascii="Times New Roman" w:hAnsi="Times New Roman" w:cs="Times New Roman"/>
          <w:color w:val="000000"/>
          <w:sz w:val="24"/>
          <w:szCs w:val="24"/>
        </w:rPr>
        <w:t>the creation of a source of danger</w:t>
      </w:r>
      <w:r w:rsidR="0063396F" w:rsidRPr="00F46361">
        <w:rPr>
          <w:rFonts w:ascii="Times New Roman" w:hAnsi="Times New Roman" w:cs="Times New Roman"/>
          <w:color w:val="000000"/>
          <w:sz w:val="24"/>
          <w:szCs w:val="24"/>
        </w:rPr>
        <w:t xml:space="preserve">, </w:t>
      </w:r>
      <w:r w:rsidR="00735DEB">
        <w:rPr>
          <w:rFonts w:ascii="Times New Roman" w:hAnsi="Times New Roman" w:cs="Times New Roman"/>
          <w:color w:val="000000"/>
          <w:sz w:val="24"/>
          <w:szCs w:val="24"/>
        </w:rPr>
        <w:t>‘</w:t>
      </w:r>
      <w:r w:rsidR="0063396F" w:rsidRPr="00F46361">
        <w:rPr>
          <w:rFonts w:ascii="Times New Roman" w:hAnsi="Times New Roman" w:cs="Times New Roman"/>
          <w:color w:val="000000"/>
          <w:sz w:val="24"/>
          <w:szCs w:val="24"/>
        </w:rPr>
        <w:t>and it is reasonably foreseeable that third parties may interfere with it and, sparking off the danger, thereby cause damage to persons in the position of the pursuer</w:t>
      </w:r>
      <w:r w:rsidR="00735DEB">
        <w:rPr>
          <w:rFonts w:ascii="Times New Roman" w:hAnsi="Times New Roman" w:cs="Times New Roman"/>
          <w:color w:val="000000"/>
          <w:sz w:val="24"/>
          <w:szCs w:val="24"/>
        </w:rPr>
        <w:t>’.</w:t>
      </w:r>
      <w:r w:rsidR="0063396F">
        <w:rPr>
          <w:rStyle w:val="FootnoteReference"/>
          <w:rFonts w:ascii="Times New Roman" w:hAnsi="Times New Roman" w:cs="Times New Roman"/>
          <w:color w:val="000000"/>
          <w:sz w:val="24"/>
          <w:szCs w:val="24"/>
        </w:rPr>
        <w:footnoteReference w:id="32"/>
      </w:r>
      <w:r w:rsidR="0063396F">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As explained by L</w:t>
      </w:r>
      <w:r w:rsidR="0084025D">
        <w:rPr>
          <w:rFonts w:ascii="Times New Roman" w:eastAsia="Times New Roman" w:hAnsi="Times New Roman" w:cs="Times New Roman"/>
          <w:sz w:val="24"/>
          <w:szCs w:val="24"/>
        </w:rPr>
        <w:t xml:space="preserve">ord </w:t>
      </w:r>
      <w:r>
        <w:rPr>
          <w:rFonts w:ascii="Times New Roman" w:eastAsia="Times New Roman" w:hAnsi="Times New Roman" w:cs="Times New Roman"/>
          <w:sz w:val="24"/>
          <w:szCs w:val="24"/>
        </w:rPr>
        <w:t>J</w:t>
      </w:r>
      <w:r w:rsidR="0084025D">
        <w:rPr>
          <w:rFonts w:ascii="Times New Roman" w:eastAsia="Times New Roman" w:hAnsi="Times New Roman" w:cs="Times New Roman"/>
          <w:sz w:val="24"/>
          <w:szCs w:val="24"/>
        </w:rPr>
        <w:t>ustice</w:t>
      </w:r>
      <w:r>
        <w:rPr>
          <w:rFonts w:ascii="Times New Roman" w:eastAsia="Times New Roman" w:hAnsi="Times New Roman" w:cs="Times New Roman"/>
          <w:sz w:val="24"/>
          <w:szCs w:val="24"/>
        </w:rPr>
        <w:t xml:space="preserve"> Coulson in </w:t>
      </w:r>
      <w:r w:rsidRPr="007E454D">
        <w:rPr>
          <w:rFonts w:ascii="Times New Roman" w:eastAsia="Times New Roman" w:hAnsi="Times New Roman" w:cs="Times New Roman"/>
          <w:i/>
          <w:iCs/>
          <w:sz w:val="24"/>
          <w:szCs w:val="24"/>
        </w:rPr>
        <w:t>Begum</w:t>
      </w:r>
      <w:r>
        <w:rPr>
          <w:rFonts w:ascii="Times New Roman" w:eastAsia="Times New Roman" w:hAnsi="Times New Roman" w:cs="Times New Roman"/>
          <w:sz w:val="24"/>
          <w:szCs w:val="24"/>
        </w:rPr>
        <w:t xml:space="preserve"> v </w:t>
      </w:r>
      <w:r w:rsidRPr="007E454D">
        <w:rPr>
          <w:rFonts w:ascii="Times New Roman" w:eastAsia="Times New Roman" w:hAnsi="Times New Roman" w:cs="Times New Roman"/>
          <w:i/>
          <w:iCs/>
          <w:sz w:val="24"/>
          <w:szCs w:val="24"/>
        </w:rPr>
        <w:t>Moran</w:t>
      </w:r>
      <w:r w:rsidR="00A31DA3">
        <w:rPr>
          <w:rFonts w:ascii="Times New Roman" w:eastAsia="Times New Roman" w:hAnsi="Times New Roman" w:cs="Times New Roman"/>
          <w:i/>
          <w:iCs/>
          <w:sz w:val="24"/>
          <w:szCs w:val="24"/>
        </w:rPr>
        <w:t xml:space="preserve"> UK Ltd</w:t>
      </w:r>
      <w:r w:rsidR="00735DEB">
        <w:rPr>
          <w:rFonts w:ascii="Times New Roman" w:eastAsia="Times New Roman" w:hAnsi="Times New Roman" w:cs="Times New Roman"/>
          <w:sz w:val="24"/>
          <w:szCs w:val="24"/>
        </w:rPr>
        <w:t>,</w:t>
      </w:r>
      <w:r w:rsidR="006339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law is fast developing in this area</w:t>
      </w:r>
      <w:r w:rsidR="0063396F">
        <w:rPr>
          <w:rFonts w:ascii="Times New Roman" w:eastAsia="Times New Roman" w:hAnsi="Times New Roman" w:cs="Times New Roman"/>
          <w:sz w:val="24"/>
          <w:szCs w:val="24"/>
        </w:rPr>
        <w:t xml:space="preserve"> of law</w:t>
      </w:r>
      <w:r w:rsidR="00A31DA3">
        <w:rPr>
          <w:rFonts w:ascii="Times New Roman" w:eastAsia="Times New Roman" w:hAnsi="Times New Roman" w:cs="Times New Roman"/>
          <w:sz w:val="24"/>
          <w:szCs w:val="24"/>
        </w:rPr>
        <w:t xml:space="preserve">. This should also affect the development of common law tort liabilities of corporation arising in the context of the corporation’s value chain. The High Court in </w:t>
      </w:r>
      <w:r w:rsidR="00A31DA3" w:rsidRPr="00721810">
        <w:rPr>
          <w:rFonts w:ascii="Times New Roman" w:eastAsia="Times New Roman" w:hAnsi="Times New Roman" w:cs="Times New Roman"/>
          <w:i/>
          <w:iCs/>
          <w:sz w:val="24"/>
          <w:szCs w:val="24"/>
        </w:rPr>
        <w:t>Begum v Moran UK Ltd</w:t>
      </w:r>
      <w:r w:rsidR="00A31DA3">
        <w:rPr>
          <w:rFonts w:ascii="Times New Roman" w:eastAsia="Times New Roman" w:hAnsi="Times New Roman" w:cs="Times New Roman"/>
          <w:sz w:val="24"/>
          <w:szCs w:val="24"/>
        </w:rPr>
        <w:t xml:space="preserve"> found that </w:t>
      </w:r>
      <w:r w:rsidR="0063396F">
        <w:rPr>
          <w:rFonts w:ascii="Times New Roman" w:eastAsia="Times New Roman" w:hAnsi="Times New Roman" w:cs="Times New Roman"/>
          <w:sz w:val="24"/>
          <w:szCs w:val="24"/>
        </w:rPr>
        <w:t xml:space="preserve">it is arguable that a shipowner who sold </w:t>
      </w:r>
      <w:r w:rsidR="00A21165">
        <w:rPr>
          <w:rFonts w:ascii="Times New Roman" w:eastAsia="Times New Roman" w:hAnsi="Times New Roman" w:cs="Times New Roman"/>
          <w:sz w:val="24"/>
          <w:szCs w:val="24"/>
        </w:rPr>
        <w:t xml:space="preserve">a </w:t>
      </w:r>
      <w:r w:rsidR="00A31DA3">
        <w:rPr>
          <w:rFonts w:ascii="Times New Roman" w:eastAsia="Times New Roman" w:hAnsi="Times New Roman" w:cs="Times New Roman"/>
          <w:sz w:val="24"/>
          <w:szCs w:val="24"/>
        </w:rPr>
        <w:t>v</w:t>
      </w:r>
      <w:r w:rsidR="00A21165">
        <w:rPr>
          <w:rFonts w:ascii="Times New Roman" w:eastAsia="Times New Roman" w:hAnsi="Times New Roman" w:cs="Times New Roman"/>
          <w:sz w:val="24"/>
          <w:szCs w:val="24"/>
        </w:rPr>
        <w:t xml:space="preserve">essel </w:t>
      </w:r>
      <w:r w:rsidR="00B108A4">
        <w:rPr>
          <w:rFonts w:ascii="Times New Roman" w:eastAsia="Times New Roman" w:hAnsi="Times New Roman" w:cs="Times New Roman"/>
          <w:sz w:val="24"/>
          <w:szCs w:val="24"/>
        </w:rPr>
        <w:t xml:space="preserve">in circumstances </w:t>
      </w:r>
      <w:r w:rsidR="00A21165">
        <w:rPr>
          <w:rFonts w:ascii="Times New Roman" w:eastAsia="Times New Roman" w:hAnsi="Times New Roman" w:cs="Times New Roman"/>
          <w:sz w:val="24"/>
          <w:szCs w:val="24"/>
        </w:rPr>
        <w:t xml:space="preserve">where it was foreseeable that it </w:t>
      </w:r>
      <w:r w:rsidR="00B108A4">
        <w:rPr>
          <w:rFonts w:ascii="Times New Roman" w:eastAsia="Times New Roman" w:hAnsi="Times New Roman" w:cs="Times New Roman"/>
          <w:sz w:val="24"/>
          <w:szCs w:val="24"/>
        </w:rPr>
        <w:t>would</w:t>
      </w:r>
      <w:r w:rsidR="00A21165">
        <w:rPr>
          <w:rFonts w:ascii="Times New Roman" w:eastAsia="Times New Roman" w:hAnsi="Times New Roman" w:cs="Times New Roman"/>
          <w:sz w:val="24"/>
          <w:szCs w:val="24"/>
        </w:rPr>
        <w:t xml:space="preserve"> be broken up in a place where working practices are known to be  notoriously unsafe, owes a duty of care to victims who have suffered harm as a result of working in those conditions</w:t>
      </w:r>
      <w:r w:rsidR="00735DEB">
        <w:rPr>
          <w:rFonts w:ascii="Times New Roman" w:eastAsia="Times New Roman" w:hAnsi="Times New Roman" w:cs="Times New Roman"/>
          <w:sz w:val="24"/>
          <w:szCs w:val="24"/>
        </w:rPr>
        <w:t>.</w:t>
      </w:r>
      <w:r w:rsidR="00A21165">
        <w:rPr>
          <w:rStyle w:val="FootnoteReference"/>
          <w:rFonts w:ascii="Times New Roman" w:eastAsia="Times New Roman" w:hAnsi="Times New Roman" w:cs="Times New Roman"/>
          <w:sz w:val="24"/>
          <w:szCs w:val="24"/>
        </w:rPr>
        <w:footnoteReference w:id="33"/>
      </w:r>
      <w:r w:rsidR="00A21165">
        <w:rPr>
          <w:rFonts w:ascii="Times New Roman" w:eastAsia="Times New Roman" w:hAnsi="Times New Roman" w:cs="Times New Roman"/>
          <w:sz w:val="24"/>
          <w:szCs w:val="24"/>
        </w:rPr>
        <w:t xml:space="preserve"> The court stated that this</w:t>
      </w:r>
      <w:r w:rsidR="00A31DA3">
        <w:rPr>
          <w:rFonts w:ascii="Times New Roman" w:eastAsia="Times New Roman" w:hAnsi="Times New Roman" w:cs="Times New Roman"/>
          <w:sz w:val="24"/>
          <w:szCs w:val="24"/>
        </w:rPr>
        <w:t xml:space="preserve"> is</w:t>
      </w:r>
      <w:r w:rsidR="00A21165">
        <w:rPr>
          <w:rFonts w:ascii="Times New Roman" w:eastAsia="Times New Roman" w:hAnsi="Times New Roman" w:cs="Times New Roman"/>
          <w:sz w:val="24"/>
          <w:szCs w:val="24"/>
        </w:rPr>
        <w:t xml:space="preserve"> not an entirely</w:t>
      </w:r>
      <w:r w:rsidR="00A31DA3">
        <w:rPr>
          <w:rFonts w:ascii="Times New Roman" w:eastAsia="Times New Roman" w:hAnsi="Times New Roman" w:cs="Times New Roman"/>
          <w:sz w:val="24"/>
          <w:szCs w:val="24"/>
        </w:rPr>
        <w:t xml:space="preserve"> </w:t>
      </w:r>
      <w:r w:rsidR="00A21165">
        <w:rPr>
          <w:rFonts w:ascii="Times New Roman" w:eastAsia="Times New Roman" w:hAnsi="Times New Roman" w:cs="Times New Roman"/>
          <w:sz w:val="24"/>
          <w:szCs w:val="24"/>
        </w:rPr>
        <w:t>new basis of tort liability but rather an ‘unusual’ extension of existing categories where a duty has been found</w:t>
      </w:r>
      <w:r w:rsidR="00A21165">
        <w:rPr>
          <w:rStyle w:val="FootnoteReference"/>
          <w:rFonts w:ascii="Times New Roman" w:eastAsia="Times New Roman" w:hAnsi="Times New Roman" w:cs="Times New Roman"/>
          <w:sz w:val="24"/>
          <w:szCs w:val="24"/>
        </w:rPr>
        <w:footnoteReference w:id="34"/>
      </w:r>
      <w:r w:rsidR="00A21165">
        <w:rPr>
          <w:rFonts w:ascii="Times New Roman" w:eastAsia="Times New Roman" w:hAnsi="Times New Roman" w:cs="Times New Roman"/>
          <w:sz w:val="24"/>
          <w:szCs w:val="24"/>
        </w:rPr>
        <w:t xml:space="preserve">.   </w:t>
      </w:r>
    </w:p>
    <w:p w14:paraId="469A902E" w14:textId="1009F9CC" w:rsidR="00430BEF" w:rsidRPr="00150F3D" w:rsidRDefault="000A5927"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I</w:t>
      </w:r>
      <w:r w:rsidR="005F7107" w:rsidRPr="00150F3D">
        <w:rPr>
          <w:rFonts w:ascii="Times New Roman" w:eastAsia="Times New Roman" w:hAnsi="Times New Roman" w:cs="Times New Roman"/>
          <w:sz w:val="24"/>
          <w:szCs w:val="24"/>
        </w:rPr>
        <w:t>ronically</w:t>
      </w:r>
      <w:r w:rsidR="00E254EF"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r w:rsidR="005F7107" w:rsidRPr="00150F3D">
        <w:rPr>
          <w:rFonts w:ascii="Times New Roman" w:eastAsia="Times New Roman" w:hAnsi="Times New Roman" w:cs="Times New Roman"/>
          <w:sz w:val="24"/>
          <w:szCs w:val="24"/>
        </w:rPr>
        <w:t xml:space="preserve">whilst under the civil liability </w:t>
      </w:r>
      <w:r w:rsidR="00E254EF" w:rsidRPr="00150F3D">
        <w:rPr>
          <w:rFonts w:ascii="Times New Roman" w:eastAsia="Times New Roman" w:hAnsi="Times New Roman" w:cs="Times New Roman"/>
          <w:sz w:val="24"/>
          <w:szCs w:val="24"/>
        </w:rPr>
        <w:t>parallel routes</w:t>
      </w:r>
      <w:r w:rsidR="005F7107" w:rsidRPr="00150F3D">
        <w:rPr>
          <w:rFonts w:ascii="Times New Roman" w:eastAsia="Times New Roman" w:hAnsi="Times New Roman" w:cs="Times New Roman"/>
          <w:sz w:val="24"/>
          <w:szCs w:val="24"/>
        </w:rPr>
        <w:t xml:space="preserve"> we explore in the next part, a corporation which complies with its </w:t>
      </w:r>
      <w:r w:rsidR="00430BEF" w:rsidRPr="00150F3D">
        <w:rPr>
          <w:rFonts w:ascii="Times New Roman" w:eastAsia="Times New Roman" w:hAnsi="Times New Roman" w:cs="Times New Roman"/>
          <w:sz w:val="24"/>
          <w:szCs w:val="24"/>
        </w:rPr>
        <w:t>human rights and environmental</w:t>
      </w:r>
      <w:r w:rsidR="005F7107" w:rsidRPr="00150F3D">
        <w:rPr>
          <w:rFonts w:ascii="Times New Roman" w:eastAsia="Times New Roman" w:hAnsi="Times New Roman" w:cs="Times New Roman"/>
          <w:sz w:val="24"/>
          <w:szCs w:val="24"/>
        </w:rPr>
        <w:t xml:space="preserve"> obligations may avoid civil liability even in relation to harm which occurs along its value</w:t>
      </w:r>
      <w:r w:rsidR="00981799" w:rsidRPr="00150F3D">
        <w:rPr>
          <w:rFonts w:ascii="Times New Roman" w:eastAsia="Times New Roman" w:hAnsi="Times New Roman" w:cs="Times New Roman"/>
          <w:sz w:val="24"/>
          <w:szCs w:val="24"/>
        </w:rPr>
        <w:t xml:space="preserve"> chain</w:t>
      </w:r>
      <w:r w:rsidR="005F7107" w:rsidRPr="00150F3D">
        <w:rPr>
          <w:rFonts w:ascii="Times New Roman" w:eastAsia="Times New Roman" w:hAnsi="Times New Roman" w:cs="Times New Roman"/>
          <w:sz w:val="24"/>
          <w:szCs w:val="24"/>
        </w:rPr>
        <w:t xml:space="preserve">, </w:t>
      </w:r>
      <w:r w:rsidR="00171321" w:rsidRPr="00150F3D">
        <w:rPr>
          <w:rFonts w:ascii="Times New Roman" w:eastAsia="Times New Roman" w:hAnsi="Times New Roman" w:cs="Times New Roman"/>
          <w:sz w:val="24"/>
          <w:szCs w:val="24"/>
        </w:rPr>
        <w:t xml:space="preserve">under </w:t>
      </w:r>
      <w:r w:rsidR="004F756E" w:rsidRPr="00150F3D">
        <w:rPr>
          <w:rFonts w:ascii="Times New Roman" w:eastAsia="Times New Roman" w:hAnsi="Times New Roman" w:cs="Times New Roman"/>
          <w:sz w:val="24"/>
          <w:szCs w:val="24"/>
        </w:rPr>
        <w:t xml:space="preserve">the </w:t>
      </w:r>
      <w:r w:rsidR="00171321" w:rsidRPr="00150F3D">
        <w:rPr>
          <w:rFonts w:ascii="Times New Roman" w:eastAsia="Times New Roman" w:hAnsi="Times New Roman" w:cs="Times New Roman"/>
          <w:sz w:val="24"/>
          <w:szCs w:val="24"/>
        </w:rPr>
        <w:t>common law route</w:t>
      </w:r>
      <w:r w:rsidR="00B108A4">
        <w:rPr>
          <w:rFonts w:ascii="Times New Roman" w:eastAsia="Times New Roman" w:hAnsi="Times New Roman" w:cs="Times New Roman"/>
          <w:sz w:val="24"/>
          <w:szCs w:val="24"/>
        </w:rPr>
        <w:t>,</w:t>
      </w:r>
      <w:r w:rsidR="00171321" w:rsidRPr="00150F3D">
        <w:rPr>
          <w:rFonts w:ascii="Times New Roman" w:eastAsia="Times New Roman" w:hAnsi="Times New Roman" w:cs="Times New Roman"/>
          <w:sz w:val="24"/>
          <w:szCs w:val="24"/>
        </w:rPr>
        <w:t xml:space="preserve"> </w:t>
      </w:r>
      <w:r w:rsidR="004F756E" w:rsidRPr="00150F3D">
        <w:rPr>
          <w:rFonts w:ascii="Times New Roman" w:eastAsia="Times New Roman" w:hAnsi="Times New Roman" w:cs="Times New Roman"/>
          <w:sz w:val="24"/>
          <w:szCs w:val="24"/>
        </w:rPr>
        <w:t xml:space="preserve">which we analysed above, </w:t>
      </w:r>
      <w:r w:rsidR="005F7107" w:rsidRPr="00150F3D">
        <w:rPr>
          <w:rFonts w:ascii="Times New Roman" w:eastAsia="Times New Roman" w:hAnsi="Times New Roman" w:cs="Times New Roman"/>
          <w:sz w:val="24"/>
          <w:szCs w:val="24"/>
        </w:rPr>
        <w:t xml:space="preserve">acting responsibly </w:t>
      </w:r>
      <w:r w:rsidR="004F756E" w:rsidRPr="00150F3D">
        <w:rPr>
          <w:rFonts w:ascii="Times New Roman" w:eastAsia="Times New Roman" w:hAnsi="Times New Roman" w:cs="Times New Roman"/>
          <w:sz w:val="24"/>
          <w:szCs w:val="24"/>
        </w:rPr>
        <w:t xml:space="preserve">by </w:t>
      </w:r>
      <w:r w:rsidR="005F7107" w:rsidRPr="00150F3D">
        <w:rPr>
          <w:rFonts w:ascii="Times New Roman" w:eastAsia="Times New Roman" w:hAnsi="Times New Roman" w:cs="Times New Roman"/>
          <w:sz w:val="24"/>
          <w:szCs w:val="24"/>
        </w:rPr>
        <w:t xml:space="preserve">conducting </w:t>
      </w:r>
      <w:r w:rsidR="00E254EF" w:rsidRPr="00150F3D">
        <w:rPr>
          <w:rFonts w:ascii="Times New Roman" w:eastAsia="Times New Roman" w:hAnsi="Times New Roman" w:cs="Times New Roman"/>
          <w:sz w:val="24"/>
          <w:szCs w:val="24"/>
        </w:rPr>
        <w:t>due diligence</w:t>
      </w:r>
      <w:r w:rsidR="005F7107" w:rsidRPr="00150F3D">
        <w:rPr>
          <w:rFonts w:ascii="Times New Roman" w:eastAsia="Times New Roman" w:hAnsi="Times New Roman" w:cs="Times New Roman"/>
          <w:sz w:val="24"/>
          <w:szCs w:val="24"/>
        </w:rPr>
        <w:t xml:space="preserve"> </w:t>
      </w:r>
      <w:r w:rsidR="004F756E" w:rsidRPr="00150F3D">
        <w:rPr>
          <w:rFonts w:ascii="Times New Roman" w:eastAsia="Times New Roman" w:hAnsi="Times New Roman" w:cs="Times New Roman"/>
          <w:sz w:val="24"/>
          <w:szCs w:val="24"/>
        </w:rPr>
        <w:t xml:space="preserve">along the value chain, operational cycles, and contract with third parties, </w:t>
      </w:r>
      <w:r w:rsidR="005F7107" w:rsidRPr="00150F3D">
        <w:rPr>
          <w:rFonts w:ascii="Times New Roman" w:eastAsia="Times New Roman" w:hAnsi="Times New Roman" w:cs="Times New Roman"/>
          <w:sz w:val="24"/>
          <w:szCs w:val="24"/>
        </w:rPr>
        <w:t>may</w:t>
      </w:r>
      <w:r w:rsidR="00BB5F55">
        <w:rPr>
          <w:rFonts w:ascii="Times New Roman" w:eastAsia="Times New Roman" w:hAnsi="Times New Roman" w:cs="Times New Roman"/>
          <w:sz w:val="24"/>
          <w:szCs w:val="24"/>
        </w:rPr>
        <w:t>, in fact,</w:t>
      </w:r>
      <w:r w:rsidR="004F756E" w:rsidRPr="00150F3D">
        <w:rPr>
          <w:rFonts w:ascii="Times New Roman" w:eastAsia="Times New Roman" w:hAnsi="Times New Roman" w:cs="Times New Roman"/>
          <w:sz w:val="24"/>
          <w:szCs w:val="24"/>
        </w:rPr>
        <w:t xml:space="preserve"> </w:t>
      </w:r>
      <w:r w:rsidR="00E254EF" w:rsidRPr="00150F3D">
        <w:rPr>
          <w:rFonts w:ascii="Times New Roman" w:eastAsia="Times New Roman" w:hAnsi="Times New Roman" w:cs="Times New Roman"/>
          <w:sz w:val="24"/>
          <w:szCs w:val="24"/>
        </w:rPr>
        <w:t>bring</w:t>
      </w:r>
      <w:r w:rsidR="005F7107" w:rsidRPr="00150F3D">
        <w:rPr>
          <w:rFonts w:ascii="Times New Roman" w:eastAsia="Times New Roman" w:hAnsi="Times New Roman" w:cs="Times New Roman"/>
          <w:sz w:val="24"/>
          <w:szCs w:val="24"/>
        </w:rPr>
        <w:t xml:space="preserve"> the corporation within the situations which common law considers </w:t>
      </w:r>
      <w:r w:rsidR="00171321" w:rsidRPr="00150F3D">
        <w:rPr>
          <w:rFonts w:ascii="Times New Roman" w:eastAsia="Times New Roman" w:hAnsi="Times New Roman" w:cs="Times New Roman"/>
          <w:sz w:val="24"/>
          <w:szCs w:val="24"/>
        </w:rPr>
        <w:t xml:space="preserve">as </w:t>
      </w:r>
      <w:r w:rsidR="00E254EF" w:rsidRPr="00150F3D">
        <w:rPr>
          <w:rFonts w:ascii="Times New Roman" w:eastAsia="Times New Roman" w:hAnsi="Times New Roman" w:cs="Times New Roman"/>
          <w:sz w:val="24"/>
          <w:szCs w:val="24"/>
        </w:rPr>
        <w:t>satisfying</w:t>
      </w:r>
      <w:r w:rsidR="005F7107" w:rsidRPr="00150F3D">
        <w:rPr>
          <w:rFonts w:ascii="Times New Roman" w:eastAsia="Times New Roman" w:hAnsi="Times New Roman" w:cs="Times New Roman"/>
          <w:sz w:val="24"/>
          <w:szCs w:val="24"/>
        </w:rPr>
        <w:t xml:space="preserve"> the proximity requirement</w:t>
      </w:r>
      <w:r w:rsidR="004F756E" w:rsidRPr="00150F3D">
        <w:rPr>
          <w:rFonts w:ascii="Times New Roman" w:eastAsia="Times New Roman" w:hAnsi="Times New Roman" w:cs="Times New Roman"/>
          <w:sz w:val="24"/>
          <w:szCs w:val="24"/>
        </w:rPr>
        <w:t xml:space="preserve"> through the assumption of responsibility</w:t>
      </w:r>
      <w:r w:rsidR="005F7107"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In other words</w:t>
      </w:r>
      <w:r w:rsidR="000E040C"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there is a</w:t>
      </w:r>
      <w:r w:rsidR="00171321" w:rsidRPr="00150F3D">
        <w:rPr>
          <w:rFonts w:ascii="Times New Roman" w:eastAsia="Times New Roman" w:hAnsi="Times New Roman" w:cs="Times New Roman"/>
          <w:sz w:val="24"/>
          <w:szCs w:val="24"/>
        </w:rPr>
        <w:t>rguably a</w:t>
      </w:r>
      <w:r w:rsidRPr="00150F3D">
        <w:rPr>
          <w:rFonts w:ascii="Times New Roman" w:eastAsia="Times New Roman" w:hAnsi="Times New Roman" w:cs="Times New Roman"/>
          <w:sz w:val="24"/>
          <w:szCs w:val="24"/>
        </w:rPr>
        <w:t xml:space="preserve"> disincentive </w:t>
      </w:r>
      <w:r w:rsidR="000E040C" w:rsidRPr="00150F3D">
        <w:rPr>
          <w:rFonts w:ascii="Times New Roman" w:eastAsia="Times New Roman" w:hAnsi="Times New Roman" w:cs="Times New Roman"/>
          <w:sz w:val="24"/>
          <w:szCs w:val="24"/>
        </w:rPr>
        <w:t xml:space="preserve">for the corporation </w:t>
      </w:r>
      <w:r w:rsidRPr="00150F3D">
        <w:rPr>
          <w:rFonts w:ascii="Times New Roman" w:eastAsia="Times New Roman" w:hAnsi="Times New Roman" w:cs="Times New Roman"/>
          <w:sz w:val="24"/>
          <w:szCs w:val="24"/>
        </w:rPr>
        <w:t xml:space="preserve">to want to know about what occurs on </w:t>
      </w:r>
      <w:r w:rsidR="00430BEF" w:rsidRPr="00150F3D">
        <w:rPr>
          <w:rFonts w:ascii="Times New Roman" w:eastAsia="Times New Roman" w:hAnsi="Times New Roman" w:cs="Times New Roman"/>
          <w:sz w:val="24"/>
          <w:szCs w:val="24"/>
        </w:rPr>
        <w:t>their</w:t>
      </w:r>
      <w:r w:rsidR="00E254EF" w:rsidRPr="00150F3D">
        <w:rPr>
          <w:rFonts w:ascii="Times New Roman" w:eastAsia="Times New Roman" w:hAnsi="Times New Roman" w:cs="Times New Roman"/>
          <w:sz w:val="24"/>
          <w:szCs w:val="24"/>
        </w:rPr>
        <w:t xml:space="preserve"> </w:t>
      </w:r>
      <w:r w:rsidR="00430BEF" w:rsidRPr="00150F3D">
        <w:rPr>
          <w:rFonts w:ascii="Times New Roman" w:eastAsia="Times New Roman" w:hAnsi="Times New Roman" w:cs="Times New Roman"/>
          <w:sz w:val="24"/>
          <w:szCs w:val="24"/>
        </w:rPr>
        <w:t>value</w:t>
      </w:r>
      <w:r w:rsidR="00981799" w:rsidRPr="00150F3D">
        <w:rPr>
          <w:rFonts w:ascii="Times New Roman" w:eastAsia="Times New Roman" w:hAnsi="Times New Roman" w:cs="Times New Roman"/>
          <w:sz w:val="24"/>
          <w:szCs w:val="24"/>
        </w:rPr>
        <w:t xml:space="preserve"> chain</w:t>
      </w:r>
      <w:r w:rsidR="00171321" w:rsidRPr="00150F3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p>
    <w:p w14:paraId="328E8A04" w14:textId="7D0EA561" w:rsidR="002A6530" w:rsidRDefault="00F738AF"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Perhaps </w:t>
      </w:r>
      <w:r w:rsidR="006E0C22" w:rsidRPr="00150F3D">
        <w:rPr>
          <w:rFonts w:ascii="Times New Roman" w:eastAsia="Times New Roman" w:hAnsi="Times New Roman" w:cs="Times New Roman"/>
          <w:sz w:val="24"/>
          <w:szCs w:val="24"/>
        </w:rPr>
        <w:t>a</w:t>
      </w:r>
      <w:r w:rsidRPr="00150F3D">
        <w:rPr>
          <w:rFonts w:ascii="Times New Roman" w:eastAsia="Times New Roman" w:hAnsi="Times New Roman" w:cs="Times New Roman"/>
          <w:sz w:val="24"/>
          <w:szCs w:val="24"/>
        </w:rPr>
        <w:t xml:space="preserve"> better </w:t>
      </w:r>
      <w:r w:rsidR="006E0C22" w:rsidRPr="00150F3D">
        <w:rPr>
          <w:rFonts w:ascii="Times New Roman" w:eastAsia="Times New Roman" w:hAnsi="Times New Roman" w:cs="Times New Roman"/>
          <w:sz w:val="24"/>
          <w:szCs w:val="24"/>
        </w:rPr>
        <w:t xml:space="preserve">civil liability </w:t>
      </w:r>
      <w:r w:rsidRPr="00150F3D">
        <w:rPr>
          <w:rFonts w:ascii="Times New Roman" w:eastAsia="Times New Roman" w:hAnsi="Times New Roman" w:cs="Times New Roman"/>
          <w:sz w:val="24"/>
          <w:szCs w:val="24"/>
        </w:rPr>
        <w:t>route</w:t>
      </w:r>
      <w:r w:rsidR="00D20B78">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t>
      </w:r>
      <w:r w:rsidR="002760B0" w:rsidRPr="00150F3D">
        <w:rPr>
          <w:rFonts w:ascii="Times New Roman" w:eastAsia="Times New Roman" w:hAnsi="Times New Roman" w:cs="Times New Roman"/>
          <w:sz w:val="24"/>
          <w:szCs w:val="24"/>
        </w:rPr>
        <w:t>aside from the ones we raise in part C</w:t>
      </w:r>
      <w:r w:rsidR="00D20B78">
        <w:rPr>
          <w:rFonts w:ascii="Times New Roman" w:eastAsia="Times New Roman" w:hAnsi="Times New Roman" w:cs="Times New Roman"/>
          <w:sz w:val="24"/>
          <w:szCs w:val="24"/>
        </w:rPr>
        <w:t>,</w:t>
      </w:r>
      <w:r w:rsidR="002760B0" w:rsidRPr="00150F3D">
        <w:rPr>
          <w:rFonts w:ascii="Times New Roman" w:eastAsia="Times New Roman" w:hAnsi="Times New Roman" w:cs="Times New Roman"/>
          <w:sz w:val="24"/>
          <w:szCs w:val="24"/>
        </w:rPr>
        <w:t xml:space="preserve"> i</w:t>
      </w:r>
      <w:r w:rsidRPr="00150F3D">
        <w:rPr>
          <w:rFonts w:ascii="Times New Roman" w:eastAsia="Times New Roman" w:hAnsi="Times New Roman" w:cs="Times New Roman"/>
          <w:sz w:val="24"/>
          <w:szCs w:val="24"/>
        </w:rPr>
        <w:t xml:space="preserve">s </w:t>
      </w:r>
      <w:r w:rsidR="002760B0" w:rsidRPr="00150F3D">
        <w:rPr>
          <w:rFonts w:ascii="Times New Roman" w:eastAsia="Times New Roman" w:hAnsi="Times New Roman" w:cs="Times New Roman"/>
          <w:sz w:val="24"/>
          <w:szCs w:val="24"/>
        </w:rPr>
        <w:t xml:space="preserve">to </w:t>
      </w:r>
      <w:r w:rsidR="00BB5F55">
        <w:rPr>
          <w:rFonts w:ascii="Times New Roman" w:eastAsia="Times New Roman" w:hAnsi="Times New Roman" w:cs="Times New Roman"/>
          <w:sz w:val="24"/>
          <w:szCs w:val="24"/>
        </w:rPr>
        <w:t>first</w:t>
      </w:r>
      <w:r w:rsidR="002760B0" w:rsidRPr="00150F3D">
        <w:rPr>
          <w:rFonts w:ascii="Times New Roman" w:eastAsia="Times New Roman" w:hAnsi="Times New Roman" w:cs="Times New Roman"/>
          <w:sz w:val="24"/>
          <w:szCs w:val="24"/>
        </w:rPr>
        <w:t xml:space="preserve"> recognise that corporations are subject to internationally recognised human rights and then develop a common law </w:t>
      </w:r>
      <w:r w:rsidR="00DE457B">
        <w:rPr>
          <w:rFonts w:ascii="Times New Roman" w:eastAsia="Times New Roman" w:hAnsi="Times New Roman" w:cs="Times New Roman"/>
          <w:sz w:val="24"/>
          <w:szCs w:val="24"/>
        </w:rPr>
        <w:t xml:space="preserve">civil </w:t>
      </w:r>
      <w:r w:rsidR="002760B0" w:rsidRPr="00150F3D">
        <w:rPr>
          <w:rFonts w:ascii="Times New Roman" w:eastAsia="Times New Roman" w:hAnsi="Times New Roman" w:cs="Times New Roman"/>
          <w:sz w:val="24"/>
          <w:szCs w:val="24"/>
        </w:rPr>
        <w:t xml:space="preserve">remedy for the reparation of the harm. </w:t>
      </w:r>
      <w:r w:rsidR="00D060AF">
        <w:rPr>
          <w:rFonts w:ascii="Times New Roman" w:eastAsia="Times New Roman" w:hAnsi="Times New Roman" w:cs="Times New Roman"/>
          <w:sz w:val="24"/>
          <w:szCs w:val="24"/>
        </w:rPr>
        <w:t>S</w:t>
      </w:r>
      <w:r w:rsidR="00DE457B">
        <w:rPr>
          <w:rFonts w:ascii="Times New Roman" w:eastAsia="Times New Roman" w:hAnsi="Times New Roman" w:cs="Times New Roman"/>
          <w:sz w:val="24"/>
          <w:szCs w:val="24"/>
        </w:rPr>
        <w:t xml:space="preserve">uch recognition is </w:t>
      </w:r>
      <w:r w:rsidR="00D060AF">
        <w:rPr>
          <w:rFonts w:ascii="Times New Roman" w:eastAsia="Times New Roman" w:hAnsi="Times New Roman" w:cs="Times New Roman"/>
          <w:sz w:val="24"/>
          <w:szCs w:val="24"/>
        </w:rPr>
        <w:t>also symbolically</w:t>
      </w:r>
      <w:r w:rsidR="00DE457B">
        <w:rPr>
          <w:rFonts w:ascii="Times New Roman" w:eastAsia="Times New Roman" w:hAnsi="Times New Roman" w:cs="Times New Roman"/>
          <w:sz w:val="24"/>
          <w:szCs w:val="24"/>
        </w:rPr>
        <w:t xml:space="preserve"> crucial for the victims</w:t>
      </w:r>
      <w:r w:rsidR="00DE457B">
        <w:rPr>
          <w:rStyle w:val="FootnoteReference"/>
          <w:rFonts w:ascii="Times New Roman" w:eastAsia="Times New Roman" w:hAnsi="Times New Roman" w:cs="Times New Roman"/>
          <w:sz w:val="24"/>
          <w:szCs w:val="24"/>
        </w:rPr>
        <w:footnoteReference w:id="35"/>
      </w:r>
      <w:r w:rsidR="00DE457B">
        <w:t>.</w:t>
      </w:r>
      <w:r w:rsidR="00DE457B">
        <w:rPr>
          <w:rFonts w:ascii="Times New Roman" w:eastAsia="Times New Roman" w:hAnsi="Times New Roman" w:cs="Times New Roman"/>
          <w:sz w:val="24"/>
          <w:szCs w:val="24"/>
        </w:rPr>
        <w:t xml:space="preserve"> </w:t>
      </w:r>
      <w:r w:rsidR="00D060AF">
        <w:rPr>
          <w:rFonts w:ascii="Times New Roman" w:eastAsia="Times New Roman" w:hAnsi="Times New Roman" w:cs="Times New Roman"/>
          <w:sz w:val="24"/>
          <w:szCs w:val="24"/>
        </w:rPr>
        <w:t>Unfortunately, i</w:t>
      </w:r>
      <w:r w:rsidR="00836F60">
        <w:rPr>
          <w:rFonts w:ascii="Times New Roman" w:eastAsia="Times New Roman" w:hAnsi="Times New Roman" w:cs="Times New Roman"/>
          <w:sz w:val="24"/>
          <w:szCs w:val="24"/>
        </w:rPr>
        <w:t xml:space="preserve">n England and Wales, </w:t>
      </w:r>
      <w:r w:rsidR="0013780C">
        <w:rPr>
          <w:rFonts w:ascii="Times New Roman" w:eastAsia="Times New Roman" w:hAnsi="Times New Roman" w:cs="Times New Roman"/>
          <w:sz w:val="24"/>
          <w:szCs w:val="24"/>
        </w:rPr>
        <w:t xml:space="preserve">tort law does not provide specific named torts for ‘human rights violations </w:t>
      </w:r>
      <w:r w:rsidR="0013780C" w:rsidRPr="007E454D">
        <w:rPr>
          <w:rFonts w:ascii="Times New Roman" w:eastAsia="Times New Roman" w:hAnsi="Times New Roman" w:cs="Times New Roman"/>
          <w:i/>
          <w:iCs/>
          <w:sz w:val="24"/>
          <w:szCs w:val="24"/>
        </w:rPr>
        <w:t>per se</w:t>
      </w:r>
      <w:r w:rsidR="0013780C">
        <w:rPr>
          <w:rFonts w:ascii="Times New Roman" w:eastAsia="Times New Roman" w:hAnsi="Times New Roman" w:cs="Times New Roman"/>
          <w:sz w:val="24"/>
          <w:szCs w:val="24"/>
        </w:rPr>
        <w:t>.</w:t>
      </w:r>
      <w:r w:rsidR="0013780C">
        <w:rPr>
          <w:rStyle w:val="FootnoteReference"/>
          <w:rFonts w:ascii="Times New Roman" w:eastAsia="Times New Roman" w:hAnsi="Times New Roman" w:cs="Times New Roman"/>
          <w:sz w:val="24"/>
          <w:szCs w:val="24"/>
        </w:rPr>
        <w:footnoteReference w:id="36"/>
      </w:r>
      <w:r w:rsidR="0084025D">
        <w:rPr>
          <w:rFonts w:ascii="Times New Roman" w:eastAsia="Times New Roman" w:hAnsi="Times New Roman" w:cs="Times New Roman"/>
          <w:sz w:val="24"/>
          <w:szCs w:val="24"/>
        </w:rPr>
        <w:t xml:space="preserve"> D</w:t>
      </w:r>
      <w:r w:rsidR="00836F60">
        <w:rPr>
          <w:rFonts w:ascii="Times New Roman" w:eastAsia="Times New Roman" w:hAnsi="Times New Roman" w:cs="Times New Roman"/>
          <w:sz w:val="24"/>
          <w:szCs w:val="24"/>
        </w:rPr>
        <w:t>ue to the incremental nature of common law</w:t>
      </w:r>
      <w:r w:rsidR="002A6530">
        <w:rPr>
          <w:rFonts w:ascii="Times New Roman" w:eastAsia="Times New Roman" w:hAnsi="Times New Roman" w:cs="Times New Roman"/>
          <w:sz w:val="24"/>
          <w:szCs w:val="24"/>
        </w:rPr>
        <w:t xml:space="preserve">, it is a theoretical possibility that </w:t>
      </w:r>
      <w:r w:rsidR="0084025D">
        <w:rPr>
          <w:rFonts w:ascii="Times New Roman" w:eastAsia="Times New Roman" w:hAnsi="Times New Roman" w:cs="Times New Roman"/>
          <w:sz w:val="24"/>
          <w:szCs w:val="24"/>
        </w:rPr>
        <w:t>an</w:t>
      </w:r>
      <w:r w:rsidR="002A6530">
        <w:rPr>
          <w:rFonts w:ascii="Times New Roman" w:eastAsia="Times New Roman" w:hAnsi="Times New Roman" w:cs="Times New Roman"/>
          <w:sz w:val="24"/>
          <w:szCs w:val="24"/>
        </w:rPr>
        <w:t xml:space="preserve"> English </w:t>
      </w:r>
      <w:r w:rsidR="00D060AF">
        <w:rPr>
          <w:rFonts w:ascii="Times New Roman" w:eastAsia="Times New Roman" w:hAnsi="Times New Roman" w:cs="Times New Roman"/>
          <w:sz w:val="24"/>
          <w:szCs w:val="24"/>
        </w:rPr>
        <w:t>c</w:t>
      </w:r>
      <w:r w:rsidR="002A6530">
        <w:rPr>
          <w:rFonts w:ascii="Times New Roman" w:eastAsia="Times New Roman" w:hAnsi="Times New Roman" w:cs="Times New Roman"/>
          <w:sz w:val="24"/>
          <w:szCs w:val="24"/>
        </w:rPr>
        <w:t xml:space="preserve">ourt </w:t>
      </w:r>
      <w:r w:rsidR="0084025D">
        <w:rPr>
          <w:rFonts w:ascii="Times New Roman" w:eastAsia="Times New Roman" w:hAnsi="Times New Roman" w:cs="Times New Roman"/>
          <w:sz w:val="24"/>
          <w:szCs w:val="24"/>
        </w:rPr>
        <w:t>will</w:t>
      </w:r>
      <w:r w:rsidR="002A6530">
        <w:rPr>
          <w:rFonts w:ascii="Times New Roman" w:eastAsia="Times New Roman" w:hAnsi="Times New Roman" w:cs="Times New Roman"/>
          <w:sz w:val="24"/>
          <w:szCs w:val="24"/>
        </w:rPr>
        <w:t xml:space="preserve"> develop specific tor</w:t>
      </w:r>
      <w:r w:rsidR="00F82DD4">
        <w:rPr>
          <w:rFonts w:ascii="Times New Roman" w:eastAsia="Times New Roman" w:hAnsi="Times New Roman" w:cs="Times New Roman"/>
          <w:sz w:val="24"/>
          <w:szCs w:val="24"/>
        </w:rPr>
        <w:t>t</w:t>
      </w:r>
      <w:r w:rsidR="002A6530">
        <w:rPr>
          <w:rFonts w:ascii="Times New Roman" w:eastAsia="Times New Roman" w:hAnsi="Times New Roman" w:cs="Times New Roman"/>
          <w:sz w:val="24"/>
          <w:szCs w:val="24"/>
        </w:rPr>
        <w:t>s for human rights violations</w:t>
      </w:r>
      <w:r w:rsidR="0084025D">
        <w:rPr>
          <w:rFonts w:ascii="Times New Roman" w:eastAsia="Times New Roman" w:hAnsi="Times New Roman" w:cs="Times New Roman"/>
          <w:sz w:val="24"/>
          <w:szCs w:val="24"/>
        </w:rPr>
        <w:t>. I</w:t>
      </w:r>
      <w:r w:rsidR="002A6530">
        <w:rPr>
          <w:rFonts w:ascii="Times New Roman" w:eastAsia="Times New Roman" w:hAnsi="Times New Roman" w:cs="Times New Roman"/>
          <w:sz w:val="24"/>
          <w:szCs w:val="24"/>
        </w:rPr>
        <w:t>n practice</w:t>
      </w:r>
      <w:r w:rsidR="0084025D">
        <w:rPr>
          <w:rFonts w:ascii="Times New Roman" w:eastAsia="Times New Roman" w:hAnsi="Times New Roman" w:cs="Times New Roman"/>
          <w:sz w:val="24"/>
          <w:szCs w:val="24"/>
        </w:rPr>
        <w:t>, however,</w:t>
      </w:r>
      <w:r w:rsidR="002A6530">
        <w:rPr>
          <w:rFonts w:ascii="Times New Roman" w:eastAsia="Times New Roman" w:hAnsi="Times New Roman" w:cs="Times New Roman"/>
          <w:sz w:val="24"/>
          <w:szCs w:val="24"/>
        </w:rPr>
        <w:t xml:space="preserve"> </w:t>
      </w:r>
      <w:r w:rsidR="0084025D">
        <w:rPr>
          <w:rFonts w:ascii="Times New Roman" w:eastAsia="Times New Roman" w:hAnsi="Times New Roman" w:cs="Times New Roman"/>
          <w:sz w:val="24"/>
          <w:szCs w:val="24"/>
        </w:rPr>
        <w:t>such a development</w:t>
      </w:r>
      <w:r w:rsidR="00DE457B">
        <w:rPr>
          <w:rFonts w:ascii="Times New Roman" w:eastAsia="Times New Roman" w:hAnsi="Times New Roman" w:cs="Times New Roman"/>
          <w:sz w:val="24"/>
          <w:szCs w:val="24"/>
        </w:rPr>
        <w:t xml:space="preserve"> </w:t>
      </w:r>
      <w:r w:rsidR="00F82DD4">
        <w:rPr>
          <w:rFonts w:ascii="Times New Roman" w:eastAsia="Times New Roman" w:hAnsi="Times New Roman" w:cs="Times New Roman"/>
          <w:sz w:val="24"/>
          <w:szCs w:val="24"/>
        </w:rPr>
        <w:t xml:space="preserve">is extremely unlikely </w:t>
      </w:r>
      <w:r w:rsidR="00D060AF">
        <w:rPr>
          <w:rFonts w:ascii="Times New Roman" w:eastAsia="Times New Roman" w:hAnsi="Times New Roman" w:cs="Times New Roman"/>
          <w:sz w:val="24"/>
          <w:szCs w:val="24"/>
        </w:rPr>
        <w:t>in the absence of</w:t>
      </w:r>
      <w:r w:rsidR="00836F60">
        <w:rPr>
          <w:rFonts w:ascii="Times New Roman" w:eastAsia="Times New Roman" w:hAnsi="Times New Roman" w:cs="Times New Roman"/>
          <w:sz w:val="24"/>
          <w:szCs w:val="24"/>
        </w:rPr>
        <w:t xml:space="preserve"> policy intervention from parliament. </w:t>
      </w:r>
      <w:r w:rsidR="00DE457B">
        <w:rPr>
          <w:rFonts w:ascii="Times New Roman" w:eastAsia="Times New Roman" w:hAnsi="Times New Roman" w:cs="Times New Roman"/>
          <w:sz w:val="24"/>
          <w:szCs w:val="24"/>
        </w:rPr>
        <w:t>Yet</w:t>
      </w:r>
      <w:r w:rsidR="00D060AF">
        <w:rPr>
          <w:rFonts w:ascii="Times New Roman" w:eastAsia="Times New Roman" w:hAnsi="Times New Roman" w:cs="Times New Roman"/>
          <w:sz w:val="24"/>
          <w:szCs w:val="24"/>
        </w:rPr>
        <w:t>,</w:t>
      </w:r>
      <w:r w:rsidR="00DE457B">
        <w:rPr>
          <w:rFonts w:ascii="Times New Roman" w:eastAsia="Times New Roman" w:hAnsi="Times New Roman" w:cs="Times New Roman"/>
          <w:sz w:val="24"/>
          <w:szCs w:val="24"/>
        </w:rPr>
        <w:t xml:space="preserve"> there has not been </w:t>
      </w:r>
      <w:r w:rsidR="00B108A4">
        <w:rPr>
          <w:rFonts w:ascii="Times New Roman" w:eastAsia="Times New Roman" w:hAnsi="Times New Roman" w:cs="Times New Roman"/>
          <w:sz w:val="24"/>
          <w:szCs w:val="24"/>
        </w:rPr>
        <w:t xml:space="preserve">a </w:t>
      </w:r>
      <w:r w:rsidR="00DE457B">
        <w:rPr>
          <w:rFonts w:ascii="Times New Roman" w:eastAsia="Times New Roman" w:hAnsi="Times New Roman" w:cs="Times New Roman"/>
          <w:sz w:val="24"/>
          <w:szCs w:val="24"/>
        </w:rPr>
        <w:t xml:space="preserve">time </w:t>
      </w:r>
      <w:r w:rsidR="00D060AF">
        <w:rPr>
          <w:rFonts w:ascii="Times New Roman" w:eastAsia="Times New Roman" w:hAnsi="Times New Roman" w:cs="Times New Roman"/>
          <w:sz w:val="24"/>
          <w:szCs w:val="24"/>
        </w:rPr>
        <w:t xml:space="preserve">more compelling in the face of corporate increasing power, and their impact on society and environment, </w:t>
      </w:r>
      <w:r w:rsidR="00DE457B">
        <w:rPr>
          <w:rFonts w:ascii="Times New Roman" w:eastAsia="Times New Roman" w:hAnsi="Times New Roman" w:cs="Times New Roman"/>
          <w:sz w:val="24"/>
          <w:szCs w:val="24"/>
        </w:rPr>
        <w:t xml:space="preserve">where </w:t>
      </w:r>
      <w:r w:rsidR="00DE457B">
        <w:rPr>
          <w:rFonts w:ascii="Times New Roman" w:eastAsia="Times New Roman" w:hAnsi="Times New Roman" w:cs="Times New Roman"/>
          <w:sz w:val="24"/>
          <w:szCs w:val="24"/>
        </w:rPr>
        <w:lastRenderedPageBreak/>
        <w:t xml:space="preserve">such recognition is </w:t>
      </w:r>
      <w:r w:rsidR="00D060AF">
        <w:rPr>
          <w:rFonts w:ascii="Times New Roman" w:eastAsia="Times New Roman" w:hAnsi="Times New Roman" w:cs="Times New Roman"/>
          <w:sz w:val="24"/>
          <w:szCs w:val="24"/>
        </w:rPr>
        <w:t xml:space="preserve">more </w:t>
      </w:r>
      <w:r w:rsidR="00DE457B">
        <w:rPr>
          <w:rFonts w:ascii="Times New Roman" w:eastAsia="Times New Roman" w:hAnsi="Times New Roman" w:cs="Times New Roman"/>
          <w:sz w:val="24"/>
          <w:szCs w:val="24"/>
        </w:rPr>
        <w:t>needed in order to bring common law into tandem with social development, and the need to address injustice</w:t>
      </w:r>
      <w:r w:rsidR="003824F2">
        <w:rPr>
          <w:rStyle w:val="FootnoteReference"/>
          <w:rFonts w:ascii="Times New Roman" w:eastAsia="Times New Roman" w:hAnsi="Times New Roman" w:cs="Times New Roman"/>
          <w:sz w:val="24"/>
          <w:szCs w:val="24"/>
        </w:rPr>
        <w:footnoteReference w:id="37"/>
      </w:r>
      <w:r w:rsidR="00DE457B">
        <w:rPr>
          <w:rFonts w:ascii="Times New Roman" w:eastAsia="Times New Roman" w:hAnsi="Times New Roman" w:cs="Times New Roman"/>
          <w:sz w:val="24"/>
          <w:szCs w:val="24"/>
        </w:rPr>
        <w:t xml:space="preserve">. </w:t>
      </w:r>
      <w:r w:rsidR="0084025D">
        <w:rPr>
          <w:rFonts w:ascii="Times New Roman" w:eastAsia="Times New Roman" w:hAnsi="Times New Roman" w:cs="Times New Roman"/>
          <w:sz w:val="24"/>
          <w:szCs w:val="24"/>
        </w:rPr>
        <w:t>T</w:t>
      </w:r>
      <w:r w:rsidR="00DE457B">
        <w:rPr>
          <w:rFonts w:ascii="Times New Roman" w:eastAsia="Times New Roman" w:hAnsi="Times New Roman" w:cs="Times New Roman"/>
          <w:sz w:val="24"/>
          <w:szCs w:val="24"/>
        </w:rPr>
        <w:t>his</w:t>
      </w:r>
      <w:r w:rsidR="00D060AF">
        <w:rPr>
          <w:rFonts w:ascii="Times New Roman" w:eastAsia="Times New Roman" w:hAnsi="Times New Roman" w:cs="Times New Roman"/>
          <w:sz w:val="24"/>
          <w:szCs w:val="24"/>
        </w:rPr>
        <w:t xml:space="preserve"> development</w:t>
      </w:r>
      <w:r w:rsidR="00DE457B">
        <w:rPr>
          <w:rFonts w:ascii="Times New Roman" w:eastAsia="Times New Roman" w:hAnsi="Times New Roman" w:cs="Times New Roman"/>
          <w:sz w:val="24"/>
          <w:szCs w:val="24"/>
        </w:rPr>
        <w:t xml:space="preserve"> is contingent on first recognising that corporations have an obligation to respect internationally recognised human rights. </w:t>
      </w:r>
    </w:p>
    <w:p w14:paraId="3E7664BF" w14:textId="4D940084" w:rsidR="0043308D" w:rsidRPr="007E454D" w:rsidRDefault="00D060AF" w:rsidP="007E454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w:t>
      </w:r>
      <w:r w:rsidR="00836F60">
        <w:rPr>
          <w:rFonts w:ascii="Times New Roman" w:eastAsia="Times New Roman" w:hAnsi="Times New Roman" w:cs="Times New Roman"/>
          <w:sz w:val="24"/>
          <w:szCs w:val="24"/>
        </w:rPr>
        <w:t xml:space="preserve">here has been </w:t>
      </w:r>
      <w:r w:rsidR="0084025D">
        <w:rPr>
          <w:rFonts w:ascii="Times New Roman" w:eastAsia="Times New Roman" w:hAnsi="Times New Roman" w:cs="Times New Roman"/>
          <w:sz w:val="24"/>
          <w:szCs w:val="24"/>
        </w:rPr>
        <w:t xml:space="preserve">a welcomed </w:t>
      </w:r>
      <w:r w:rsidR="00836F60">
        <w:rPr>
          <w:rFonts w:ascii="Times New Roman" w:eastAsia="Times New Roman" w:hAnsi="Times New Roman" w:cs="Times New Roman"/>
          <w:sz w:val="24"/>
          <w:szCs w:val="24"/>
        </w:rPr>
        <w:t>development in</w:t>
      </w:r>
      <w:r w:rsidR="00F738AF" w:rsidRPr="00150F3D">
        <w:rPr>
          <w:rFonts w:ascii="Times New Roman" w:eastAsia="Times New Roman" w:hAnsi="Times New Roman" w:cs="Times New Roman"/>
          <w:sz w:val="24"/>
          <w:szCs w:val="24"/>
        </w:rPr>
        <w:t xml:space="preserve"> </w:t>
      </w:r>
      <w:r w:rsidR="001148EA" w:rsidRPr="00150F3D">
        <w:rPr>
          <w:rFonts w:ascii="Times New Roman" w:eastAsia="Times New Roman" w:hAnsi="Times New Roman" w:cs="Times New Roman"/>
          <w:sz w:val="24"/>
          <w:szCs w:val="24"/>
        </w:rPr>
        <w:t>Canada</w:t>
      </w:r>
      <w:r w:rsidR="0098698B">
        <w:rPr>
          <w:rFonts w:ascii="Times New Roman" w:eastAsia="Times New Roman" w:hAnsi="Times New Roman" w:cs="Times New Roman"/>
          <w:sz w:val="24"/>
          <w:szCs w:val="24"/>
        </w:rPr>
        <w:t xml:space="preserve"> following the decision </w:t>
      </w:r>
      <w:r>
        <w:rPr>
          <w:rFonts w:ascii="Times New Roman" w:eastAsia="Times New Roman" w:hAnsi="Times New Roman" w:cs="Times New Roman"/>
          <w:sz w:val="24"/>
          <w:szCs w:val="24"/>
        </w:rPr>
        <w:t xml:space="preserve">of </w:t>
      </w:r>
      <w:r w:rsidR="0098698B">
        <w:rPr>
          <w:rFonts w:ascii="Times New Roman" w:eastAsia="Times New Roman" w:hAnsi="Times New Roman" w:cs="Times New Roman"/>
          <w:sz w:val="24"/>
          <w:szCs w:val="24"/>
        </w:rPr>
        <w:t>Nevsun</w:t>
      </w:r>
      <w:r>
        <w:rPr>
          <w:rFonts w:ascii="Times New Roman" w:eastAsia="Times New Roman" w:hAnsi="Times New Roman" w:cs="Times New Roman"/>
          <w:sz w:val="24"/>
          <w:szCs w:val="24"/>
        </w:rPr>
        <w:t xml:space="preserve">, which concerned </w:t>
      </w:r>
      <w:r w:rsidR="0043308D">
        <w:rPr>
          <w:rFonts w:ascii="Times New Roman" w:eastAsia="Times New Roman" w:hAnsi="Times New Roman" w:cs="Times New Roman"/>
          <w:sz w:val="24"/>
          <w:szCs w:val="24"/>
        </w:rPr>
        <w:t>a civil claim</w:t>
      </w:r>
      <w:r w:rsidR="0043308D" w:rsidRPr="00426969">
        <w:rPr>
          <w:rFonts w:ascii="Times New Roman" w:hAnsi="Times New Roman" w:cs="Times New Roman"/>
          <w:color w:val="000000"/>
          <w:sz w:val="24"/>
          <w:szCs w:val="24"/>
        </w:rPr>
        <w:t xml:space="preserve"> </w:t>
      </w:r>
      <w:r w:rsidR="0043308D">
        <w:rPr>
          <w:rFonts w:ascii="Times New Roman" w:hAnsi="Times New Roman" w:cs="Times New Roman"/>
          <w:color w:val="000000"/>
          <w:sz w:val="24"/>
          <w:szCs w:val="24"/>
        </w:rPr>
        <w:t xml:space="preserve">brought by three Eritrean workers </w:t>
      </w:r>
      <w:r w:rsidR="0043308D" w:rsidRPr="00426969">
        <w:rPr>
          <w:rFonts w:ascii="Times New Roman" w:hAnsi="Times New Roman" w:cs="Times New Roman"/>
          <w:color w:val="000000"/>
          <w:sz w:val="24"/>
          <w:szCs w:val="24"/>
        </w:rPr>
        <w:t xml:space="preserve">in British Columbia </w:t>
      </w:r>
      <w:r w:rsidR="0043308D" w:rsidRPr="00721810">
        <w:rPr>
          <w:rFonts w:ascii="Times New Roman" w:hAnsi="Times New Roman"/>
          <w:color w:val="000000"/>
          <w:sz w:val="24"/>
        </w:rPr>
        <w:t>against Nevsun</w:t>
      </w:r>
      <w:r w:rsidR="0084025D">
        <w:rPr>
          <w:rFonts w:ascii="Times New Roman" w:hAnsi="Times New Roman"/>
          <w:color w:val="000000"/>
          <w:sz w:val="24"/>
        </w:rPr>
        <w:t xml:space="preserve"> </w:t>
      </w:r>
      <w:r w:rsidR="0043308D" w:rsidRPr="00426969">
        <w:rPr>
          <w:rFonts w:ascii="Times New Roman" w:hAnsi="Times New Roman" w:cs="Times New Roman"/>
          <w:color w:val="000000"/>
          <w:sz w:val="24"/>
          <w:szCs w:val="24"/>
        </w:rPr>
        <w:t>Resources Lt</w:t>
      </w:r>
      <w:r w:rsidR="0043308D" w:rsidRPr="0098698B">
        <w:rPr>
          <w:rFonts w:ascii="Times New Roman" w:hAnsi="Times New Roman" w:cs="Times New Roman"/>
          <w:color w:val="000000"/>
          <w:sz w:val="24"/>
          <w:szCs w:val="24"/>
        </w:rPr>
        <w:t>d</w:t>
      </w:r>
      <w:r w:rsidR="00F82DD4" w:rsidRPr="0098698B">
        <w:rPr>
          <w:rFonts w:ascii="Times New Roman" w:hAnsi="Times New Roman" w:cs="Times New Roman"/>
          <w:color w:val="000000"/>
          <w:sz w:val="24"/>
          <w:szCs w:val="24"/>
        </w:rPr>
        <w:t xml:space="preserve">, </w:t>
      </w:r>
      <w:r w:rsidR="00F82DD4" w:rsidRPr="007E454D">
        <w:rPr>
          <w:rFonts w:ascii="Times New Roman" w:hAnsi="Times New Roman" w:cs="Times New Roman"/>
          <w:sz w:val="24"/>
          <w:szCs w:val="24"/>
        </w:rPr>
        <w:t xml:space="preserve">a </w:t>
      </w:r>
      <w:r w:rsidR="0084025D">
        <w:rPr>
          <w:rFonts w:ascii="Times New Roman" w:hAnsi="Times New Roman" w:cs="Times New Roman"/>
          <w:sz w:val="24"/>
          <w:szCs w:val="24"/>
        </w:rPr>
        <w:t>Canadian company</w:t>
      </w:r>
      <w:r>
        <w:rPr>
          <w:rFonts w:ascii="Times New Roman" w:hAnsi="Times New Roman" w:cs="Times New Roman"/>
          <w:sz w:val="24"/>
          <w:szCs w:val="24"/>
        </w:rPr>
        <w:t>. The claimants sought</w:t>
      </w:r>
      <w:r w:rsidR="0043308D" w:rsidRPr="0098698B">
        <w:rPr>
          <w:rFonts w:ascii="Times New Roman" w:hAnsi="Times New Roman" w:cs="Times New Roman"/>
          <w:color w:val="000000"/>
          <w:sz w:val="24"/>
          <w:szCs w:val="24"/>
        </w:rPr>
        <w:t xml:space="preserve"> damages for br</w:t>
      </w:r>
      <w:r w:rsidR="0043308D" w:rsidRPr="00426969">
        <w:rPr>
          <w:rFonts w:ascii="Times New Roman" w:hAnsi="Times New Roman" w:cs="Times New Roman"/>
          <w:color w:val="000000"/>
          <w:sz w:val="24"/>
          <w:szCs w:val="24"/>
        </w:rPr>
        <w:t xml:space="preserve">each of </w:t>
      </w:r>
      <w:r w:rsidR="0043308D" w:rsidRPr="00721810">
        <w:rPr>
          <w:rFonts w:ascii="Times New Roman" w:hAnsi="Times New Roman"/>
          <w:color w:val="000000"/>
          <w:sz w:val="24"/>
        </w:rPr>
        <w:t>customary international law prohibitions against forced labour</w:t>
      </w:r>
      <w:r w:rsidR="0043308D" w:rsidRPr="00426969">
        <w:rPr>
          <w:rFonts w:ascii="Times New Roman" w:hAnsi="Times New Roman" w:cs="Times New Roman"/>
          <w:color w:val="000000"/>
          <w:sz w:val="24"/>
          <w:szCs w:val="24"/>
        </w:rPr>
        <w:t>,</w:t>
      </w:r>
      <w:r w:rsidR="0043308D" w:rsidRPr="00721810">
        <w:rPr>
          <w:rFonts w:ascii="Times New Roman" w:hAnsi="Times New Roman"/>
          <w:color w:val="000000"/>
          <w:sz w:val="24"/>
        </w:rPr>
        <w:t xml:space="preserve"> slavery</w:t>
      </w:r>
      <w:r w:rsidR="0043308D" w:rsidRPr="00426969">
        <w:rPr>
          <w:rFonts w:ascii="Times New Roman" w:hAnsi="Times New Roman" w:cs="Times New Roman"/>
          <w:color w:val="000000"/>
          <w:sz w:val="24"/>
          <w:szCs w:val="24"/>
        </w:rPr>
        <w:t>,</w:t>
      </w:r>
      <w:r w:rsidR="0043308D" w:rsidRPr="00721810">
        <w:rPr>
          <w:rFonts w:ascii="Times New Roman" w:hAnsi="Times New Roman"/>
          <w:color w:val="000000"/>
          <w:sz w:val="24"/>
        </w:rPr>
        <w:t xml:space="preserve"> cruel inhuman or degrading treatment and crimes against humanity</w:t>
      </w:r>
      <w:bookmarkStart w:id="18" w:name="_Ref131848052"/>
      <w:r w:rsidR="0043308D" w:rsidRPr="00721810">
        <w:rPr>
          <w:rFonts w:ascii="Times New Roman" w:hAnsi="Times New Roman"/>
          <w:color w:val="000000"/>
          <w:sz w:val="24"/>
        </w:rPr>
        <w:t>.</w:t>
      </w:r>
      <w:r w:rsidR="001148EA" w:rsidRPr="00150F3D">
        <w:rPr>
          <w:rFonts w:ascii="Times New Roman" w:hAnsi="Times New Roman" w:cs="Times New Roman"/>
          <w:sz w:val="24"/>
          <w:szCs w:val="24"/>
          <w:vertAlign w:val="superscript"/>
        </w:rPr>
        <w:footnoteReference w:id="38"/>
      </w:r>
      <w:bookmarkEnd w:id="18"/>
      <w:r w:rsidR="001148EA" w:rsidRPr="00150F3D">
        <w:rPr>
          <w:rFonts w:ascii="Times New Roman" w:eastAsia="Times New Roman" w:hAnsi="Times New Roman" w:cs="Times New Roman"/>
          <w:sz w:val="24"/>
          <w:szCs w:val="24"/>
        </w:rPr>
        <w:t>Notably, the claimant</w:t>
      </w:r>
      <w:r w:rsidR="002760B0" w:rsidRPr="00150F3D">
        <w:rPr>
          <w:rFonts w:ascii="Times New Roman" w:eastAsia="Times New Roman" w:hAnsi="Times New Roman" w:cs="Times New Roman"/>
          <w:sz w:val="24"/>
          <w:szCs w:val="24"/>
        </w:rPr>
        <w:t>s</w:t>
      </w:r>
      <w:r w:rsidR="001148EA" w:rsidRPr="00150F3D">
        <w:rPr>
          <w:rFonts w:ascii="Times New Roman" w:eastAsia="Times New Roman" w:hAnsi="Times New Roman" w:cs="Times New Roman"/>
          <w:sz w:val="24"/>
          <w:szCs w:val="24"/>
        </w:rPr>
        <w:t xml:space="preserve"> relied on tort law in seeking damages for domestic </w:t>
      </w:r>
      <w:r w:rsidR="0043308D" w:rsidRPr="00721810">
        <w:rPr>
          <w:rFonts w:ascii="Times New Roman" w:hAnsi="Times New Roman"/>
          <w:color w:val="000000"/>
          <w:sz w:val="24"/>
        </w:rPr>
        <w:t xml:space="preserve">torts including conversion, battery, </w:t>
      </w:r>
      <w:r w:rsidR="0043308D" w:rsidRPr="00426969">
        <w:rPr>
          <w:rFonts w:ascii="Times New Roman" w:hAnsi="Times New Roman" w:cs="Times New Roman"/>
          <w:color w:val="000000"/>
          <w:sz w:val="24"/>
          <w:szCs w:val="24"/>
        </w:rPr>
        <w:t>unlawful confinement</w:t>
      </w:r>
      <w:r w:rsidR="0043308D" w:rsidRPr="00721810">
        <w:rPr>
          <w:rFonts w:ascii="Times New Roman" w:hAnsi="Times New Roman"/>
          <w:color w:val="000000"/>
          <w:sz w:val="24"/>
        </w:rPr>
        <w:t>, conspiracy and negligence</w:t>
      </w:r>
      <w:r w:rsidR="00BD403F">
        <w:rPr>
          <w:rFonts w:ascii="Times New Roman" w:eastAsia="Times New Roman" w:hAnsi="Times New Roman" w:cs="Times New Roman"/>
          <w:sz w:val="24"/>
          <w:szCs w:val="24"/>
        </w:rPr>
        <w:t>.</w:t>
      </w:r>
      <w:r>
        <w:rPr>
          <w:rStyle w:val="FootnoteReference"/>
          <w:rFonts w:ascii="Times New Roman" w:hAnsi="Times New Roman" w:cs="Times New Roman"/>
          <w:color w:val="000000"/>
          <w:sz w:val="24"/>
          <w:szCs w:val="24"/>
        </w:rPr>
        <w:footnoteReference w:id="39"/>
      </w:r>
      <w:r w:rsidR="0043308D" w:rsidRPr="00426969">
        <w:rPr>
          <w:rFonts w:ascii="Times New Roman" w:hAnsi="Times New Roman" w:cs="Times New Roman"/>
          <w:color w:val="000000"/>
          <w:sz w:val="24"/>
          <w:szCs w:val="24"/>
        </w:rPr>
        <w:t xml:space="preserve"> They claimed that they were indefinitely conscripted through Eritrea’s military service into a forced labour regime where they were required to work at a mine in Eritrea which is </w:t>
      </w:r>
      <w:r w:rsidR="00F82DD4">
        <w:rPr>
          <w:rFonts w:ascii="Times New Roman" w:hAnsi="Times New Roman" w:cs="Times New Roman"/>
          <w:color w:val="000000"/>
          <w:sz w:val="24"/>
          <w:szCs w:val="24"/>
        </w:rPr>
        <w:t>60%</w:t>
      </w:r>
      <w:r w:rsidR="0043308D" w:rsidRPr="00426969">
        <w:rPr>
          <w:rFonts w:ascii="Times New Roman" w:hAnsi="Times New Roman" w:cs="Times New Roman"/>
          <w:color w:val="000000"/>
          <w:sz w:val="24"/>
          <w:szCs w:val="24"/>
        </w:rPr>
        <w:t xml:space="preserve"> owned by Nevsun Resources Ltd</w:t>
      </w:r>
      <w:r w:rsidR="00F82DD4">
        <w:rPr>
          <w:rFonts w:ascii="Times New Roman" w:hAnsi="Times New Roman" w:cs="Times New Roman"/>
          <w:color w:val="000000"/>
          <w:sz w:val="24"/>
          <w:szCs w:val="24"/>
        </w:rPr>
        <w:t xml:space="preserve"> through subsidiaries</w:t>
      </w:r>
      <w:r w:rsidR="0043308D" w:rsidRPr="00426969">
        <w:rPr>
          <w:rFonts w:ascii="Times New Roman" w:hAnsi="Times New Roman" w:cs="Times New Roman"/>
          <w:color w:val="000000"/>
          <w:sz w:val="24"/>
          <w:szCs w:val="24"/>
        </w:rPr>
        <w:t xml:space="preserve">. </w:t>
      </w:r>
      <w:r w:rsidR="0098698B">
        <w:rPr>
          <w:rFonts w:ascii="Times New Roman" w:hAnsi="Times New Roman" w:cs="Times New Roman"/>
          <w:color w:val="000000"/>
          <w:sz w:val="24"/>
          <w:szCs w:val="24"/>
        </w:rPr>
        <w:t xml:space="preserve">Nevsum sought to strike the </w:t>
      </w:r>
      <w:r>
        <w:rPr>
          <w:rFonts w:ascii="Times New Roman" w:hAnsi="Times New Roman" w:cs="Times New Roman"/>
          <w:color w:val="000000"/>
          <w:sz w:val="24"/>
          <w:szCs w:val="24"/>
        </w:rPr>
        <w:t>customary</w:t>
      </w:r>
      <w:r w:rsidR="0098698B">
        <w:rPr>
          <w:rFonts w:ascii="Times New Roman" w:hAnsi="Times New Roman" w:cs="Times New Roman"/>
          <w:color w:val="000000"/>
          <w:sz w:val="24"/>
          <w:szCs w:val="24"/>
        </w:rPr>
        <w:t xml:space="preserve"> international law claims based on British Columbia’s Supreme Court Civil Rules permitting pleadings to be struck if they disclose no reasonable claim </w:t>
      </w:r>
      <w:r w:rsidR="00F557C5">
        <w:rPr>
          <w:rFonts w:ascii="Times New Roman" w:hAnsi="Times New Roman" w:cs="Times New Roman"/>
          <w:color w:val="000000"/>
          <w:sz w:val="24"/>
          <w:szCs w:val="24"/>
        </w:rPr>
        <w:t>in the sense that it is plain and obvious tha</w:t>
      </w:r>
      <w:r>
        <w:rPr>
          <w:rFonts w:ascii="Times New Roman" w:hAnsi="Times New Roman" w:cs="Times New Roman"/>
          <w:color w:val="000000"/>
          <w:sz w:val="24"/>
          <w:szCs w:val="24"/>
        </w:rPr>
        <w:t>t</w:t>
      </w:r>
      <w:r w:rsidR="00F557C5">
        <w:rPr>
          <w:rFonts w:ascii="Times New Roman" w:hAnsi="Times New Roman" w:cs="Times New Roman"/>
          <w:color w:val="000000"/>
          <w:sz w:val="24"/>
          <w:szCs w:val="24"/>
        </w:rPr>
        <w:t xml:space="preserve"> the claim</w:t>
      </w:r>
      <w:r>
        <w:rPr>
          <w:rFonts w:ascii="Times New Roman" w:hAnsi="Times New Roman" w:cs="Times New Roman"/>
          <w:color w:val="000000"/>
          <w:sz w:val="24"/>
          <w:szCs w:val="24"/>
        </w:rPr>
        <w:t>s</w:t>
      </w:r>
      <w:r w:rsidR="00F557C5">
        <w:rPr>
          <w:rFonts w:ascii="Times New Roman" w:hAnsi="Times New Roman" w:cs="Times New Roman"/>
          <w:color w:val="000000"/>
          <w:sz w:val="24"/>
          <w:szCs w:val="24"/>
        </w:rPr>
        <w:t xml:space="preserve"> </w:t>
      </w:r>
      <w:r w:rsidR="00EA5853">
        <w:rPr>
          <w:rFonts w:ascii="Times New Roman" w:hAnsi="Times New Roman" w:cs="Times New Roman"/>
          <w:color w:val="000000"/>
          <w:sz w:val="24"/>
          <w:szCs w:val="24"/>
        </w:rPr>
        <w:t>have</w:t>
      </w:r>
      <w:r w:rsidR="00F557C5">
        <w:rPr>
          <w:rFonts w:ascii="Times New Roman" w:hAnsi="Times New Roman" w:cs="Times New Roman"/>
          <w:color w:val="000000"/>
          <w:sz w:val="24"/>
          <w:szCs w:val="24"/>
        </w:rPr>
        <w:t xml:space="preserve"> no reasonable prospect of success </w:t>
      </w:r>
      <w:r w:rsidR="0098698B">
        <w:rPr>
          <w:rFonts w:ascii="Times New Roman" w:hAnsi="Times New Roman" w:cs="Times New Roman"/>
          <w:color w:val="000000"/>
          <w:sz w:val="24"/>
          <w:szCs w:val="24"/>
        </w:rPr>
        <w:t>or are unnecessary.</w:t>
      </w:r>
      <w:r w:rsidR="0098698B">
        <w:rPr>
          <w:rStyle w:val="FootnoteReference"/>
          <w:rFonts w:ascii="Times New Roman" w:hAnsi="Times New Roman" w:cs="Times New Roman"/>
          <w:color w:val="000000"/>
          <w:sz w:val="24"/>
          <w:szCs w:val="24"/>
        </w:rPr>
        <w:footnoteReference w:id="40"/>
      </w:r>
      <w:r w:rsidR="0043308D" w:rsidRPr="00426969">
        <w:rPr>
          <w:rFonts w:ascii="Times New Roman" w:hAnsi="Times New Roman" w:cs="Times New Roman"/>
          <w:color w:val="000000"/>
          <w:sz w:val="24"/>
          <w:szCs w:val="24"/>
        </w:rPr>
        <w:t xml:space="preserve">   </w:t>
      </w:r>
    </w:p>
    <w:p w14:paraId="714FC2EF" w14:textId="6F9BCFC9" w:rsidR="00D45DCE" w:rsidRPr="00721810" w:rsidRDefault="00D45DCE" w:rsidP="007E454D">
      <w:pPr>
        <w:spacing w:line="360" w:lineRule="auto"/>
        <w:jc w:val="both"/>
        <w:rPr>
          <w:rFonts w:ascii="Times New Roman" w:hAnsi="Times New Roman" w:cs="Times New Roman"/>
          <w:color w:val="000000"/>
          <w:sz w:val="24"/>
          <w:szCs w:val="24"/>
        </w:rPr>
      </w:pPr>
      <w:r w:rsidRPr="00287E5E">
        <w:rPr>
          <w:rFonts w:ascii="Times New Roman" w:hAnsi="Times New Roman" w:cs="Times New Roman"/>
          <w:color w:val="000000"/>
          <w:sz w:val="24"/>
          <w:szCs w:val="24"/>
        </w:rPr>
        <w:t xml:space="preserve">The </w:t>
      </w:r>
      <w:r w:rsidR="00DF7885">
        <w:rPr>
          <w:rFonts w:ascii="Times New Roman" w:hAnsi="Times New Roman" w:cs="Times New Roman"/>
          <w:color w:val="000000"/>
          <w:sz w:val="24"/>
          <w:szCs w:val="24"/>
        </w:rPr>
        <w:t xml:space="preserve">Canadian </w:t>
      </w:r>
      <w:r w:rsidRPr="00287E5E">
        <w:rPr>
          <w:rFonts w:ascii="Times New Roman" w:hAnsi="Times New Roman" w:cs="Times New Roman"/>
          <w:color w:val="000000"/>
          <w:sz w:val="24"/>
          <w:szCs w:val="24"/>
        </w:rPr>
        <w:t xml:space="preserve">Supreme Court </w:t>
      </w:r>
      <w:r w:rsidR="00C67FC3">
        <w:rPr>
          <w:rFonts w:ascii="Times New Roman" w:hAnsi="Times New Roman" w:cs="Times New Roman"/>
          <w:color w:val="000000"/>
          <w:sz w:val="24"/>
          <w:szCs w:val="24"/>
        </w:rPr>
        <w:t>found</w:t>
      </w:r>
      <w:r w:rsidRPr="00287E5E">
        <w:rPr>
          <w:rFonts w:ascii="Times New Roman" w:hAnsi="Times New Roman" w:cs="Times New Roman"/>
          <w:color w:val="000000"/>
          <w:sz w:val="24"/>
          <w:szCs w:val="24"/>
        </w:rPr>
        <w:t xml:space="preserve"> that </w:t>
      </w:r>
      <w:r w:rsidR="00B70D6C">
        <w:rPr>
          <w:rFonts w:ascii="Times New Roman" w:hAnsi="Times New Roman" w:cs="Times New Roman"/>
          <w:color w:val="000000"/>
          <w:sz w:val="24"/>
          <w:szCs w:val="24"/>
        </w:rPr>
        <w:t>w</w:t>
      </w:r>
      <w:r w:rsidRPr="00287E5E">
        <w:rPr>
          <w:rFonts w:ascii="Times New Roman" w:hAnsi="Times New Roman" w:cs="Times New Roman"/>
          <w:color w:val="000000"/>
          <w:sz w:val="24"/>
          <w:szCs w:val="24"/>
        </w:rPr>
        <w:t xml:space="preserve">hile states were historically the main subjects of international law, this </w:t>
      </w:r>
      <w:r w:rsidR="00C67FC3">
        <w:rPr>
          <w:rFonts w:ascii="Times New Roman" w:hAnsi="Times New Roman" w:cs="Times New Roman"/>
          <w:color w:val="000000"/>
          <w:sz w:val="24"/>
          <w:szCs w:val="24"/>
        </w:rPr>
        <w:t>‘</w:t>
      </w:r>
      <w:r w:rsidRPr="00287E5E">
        <w:rPr>
          <w:rFonts w:ascii="Times New Roman" w:hAnsi="Times New Roman" w:cs="Times New Roman"/>
          <w:color w:val="000000"/>
          <w:sz w:val="24"/>
          <w:szCs w:val="24"/>
        </w:rPr>
        <w:t>state-centric template</w:t>
      </w:r>
      <w:r w:rsidR="00C67FC3">
        <w:rPr>
          <w:rFonts w:ascii="Times New Roman" w:hAnsi="Times New Roman" w:cs="Times New Roman"/>
          <w:color w:val="000000"/>
          <w:sz w:val="24"/>
          <w:szCs w:val="24"/>
        </w:rPr>
        <w:t>’</w:t>
      </w:r>
      <w:r w:rsidR="00BD403F">
        <w:rPr>
          <w:rFonts w:ascii="Times New Roman" w:hAnsi="Times New Roman" w:cs="Times New Roman"/>
          <w:color w:val="000000"/>
          <w:sz w:val="24"/>
          <w:szCs w:val="24"/>
        </w:rPr>
        <w:t xml:space="preserve"> </w:t>
      </w:r>
      <w:r w:rsidR="00BD403F" w:rsidRPr="00287E5E">
        <w:rPr>
          <w:rFonts w:ascii="Times New Roman" w:hAnsi="Times New Roman" w:cs="Times New Roman"/>
          <w:color w:val="000000"/>
          <w:sz w:val="24"/>
          <w:szCs w:val="24"/>
        </w:rPr>
        <w:t>ha</w:t>
      </w:r>
      <w:r w:rsidR="00BD403F">
        <w:rPr>
          <w:rFonts w:ascii="Times New Roman" w:hAnsi="Times New Roman" w:cs="Times New Roman"/>
          <w:color w:val="000000"/>
          <w:sz w:val="24"/>
          <w:szCs w:val="24"/>
        </w:rPr>
        <w:t>d</w:t>
      </w:r>
      <w:r w:rsidR="00BD403F" w:rsidRPr="00287E5E">
        <w:rPr>
          <w:rFonts w:ascii="Times New Roman" w:hAnsi="Times New Roman" w:cs="Times New Roman"/>
          <w:color w:val="000000"/>
          <w:sz w:val="24"/>
          <w:szCs w:val="24"/>
        </w:rPr>
        <w:t xml:space="preserve"> long-since evolved</w:t>
      </w:r>
      <w:r w:rsidRPr="00287E5E">
        <w:rPr>
          <w:rFonts w:ascii="Times New Roman" w:hAnsi="Times New Roman" w:cs="Times New Roman"/>
          <w:color w:val="000000"/>
          <w:sz w:val="24"/>
          <w:szCs w:val="24"/>
        </w:rPr>
        <w:t>, and the rapid emergence of human rights signifie</w:t>
      </w:r>
      <w:r w:rsidR="00BD403F">
        <w:rPr>
          <w:rFonts w:ascii="Times New Roman" w:hAnsi="Times New Roman" w:cs="Times New Roman"/>
          <w:color w:val="000000"/>
          <w:sz w:val="24"/>
          <w:szCs w:val="24"/>
        </w:rPr>
        <w:t>s</w:t>
      </w:r>
      <w:r w:rsidRPr="00287E5E">
        <w:rPr>
          <w:rFonts w:ascii="Times New Roman" w:hAnsi="Times New Roman" w:cs="Times New Roman"/>
          <w:color w:val="000000"/>
          <w:sz w:val="24"/>
          <w:szCs w:val="24"/>
        </w:rPr>
        <w:t xml:space="preserve"> a revolutionary shift in international law to a </w:t>
      </w:r>
      <w:r w:rsidR="00C67FC3">
        <w:rPr>
          <w:rFonts w:ascii="Times New Roman" w:hAnsi="Times New Roman" w:cs="Times New Roman"/>
          <w:color w:val="000000"/>
          <w:sz w:val="24"/>
          <w:szCs w:val="24"/>
        </w:rPr>
        <w:t>‘</w:t>
      </w:r>
      <w:r w:rsidRPr="00287E5E">
        <w:rPr>
          <w:rFonts w:ascii="Times New Roman" w:hAnsi="Times New Roman" w:cs="Times New Roman"/>
          <w:color w:val="000000"/>
          <w:sz w:val="24"/>
          <w:szCs w:val="24"/>
        </w:rPr>
        <w:t>human-centric conception of global order</w:t>
      </w:r>
      <w:r w:rsidR="00C67FC3">
        <w:rPr>
          <w:rFonts w:ascii="Times New Roman" w:hAnsi="Times New Roman" w:cs="Times New Roman"/>
          <w:color w:val="000000"/>
          <w:sz w:val="24"/>
          <w:szCs w:val="24"/>
        </w:rPr>
        <w:t>’</w:t>
      </w:r>
      <w:r w:rsidR="00BD403F">
        <w:rPr>
          <w:rFonts w:ascii="Times New Roman" w:hAnsi="Times New Roman" w:cs="Times New Roman"/>
          <w:color w:val="000000"/>
          <w:sz w:val="24"/>
          <w:szCs w:val="24"/>
        </w:rPr>
        <w:t>.</w:t>
      </w:r>
      <w:r w:rsidR="008612EB">
        <w:rPr>
          <w:rStyle w:val="FootnoteReference"/>
          <w:rFonts w:ascii="Times New Roman" w:hAnsi="Times New Roman" w:cs="Times New Roman"/>
          <w:color w:val="000000"/>
          <w:sz w:val="24"/>
          <w:szCs w:val="24"/>
        </w:rPr>
        <w:footnoteReference w:id="41"/>
      </w:r>
      <w:r w:rsidRPr="00287E5E">
        <w:rPr>
          <w:rFonts w:ascii="Times New Roman" w:hAnsi="Times New Roman" w:cs="Times New Roman"/>
          <w:color w:val="000000"/>
          <w:sz w:val="24"/>
          <w:szCs w:val="24"/>
        </w:rPr>
        <w:t xml:space="preserve"> Therefore, </w:t>
      </w:r>
      <w:r w:rsidR="00BD403F">
        <w:rPr>
          <w:rFonts w:ascii="Times New Roman" w:hAnsi="Times New Roman" w:cs="Times New Roman"/>
          <w:color w:val="000000"/>
          <w:sz w:val="24"/>
          <w:szCs w:val="24"/>
        </w:rPr>
        <w:t xml:space="preserve">according to the Canadian Supreme Court </w:t>
      </w:r>
      <w:r w:rsidRPr="00287E5E">
        <w:rPr>
          <w:rFonts w:ascii="Times New Roman" w:hAnsi="Times New Roman" w:cs="Times New Roman"/>
          <w:color w:val="000000"/>
          <w:sz w:val="24"/>
          <w:szCs w:val="24"/>
        </w:rPr>
        <w:t xml:space="preserve">international human rights norms are applicable to private actors. In deciding whether the claim </w:t>
      </w:r>
      <w:r w:rsidR="00DF7885" w:rsidRPr="00287E5E">
        <w:rPr>
          <w:rFonts w:ascii="Times New Roman" w:hAnsi="Times New Roman" w:cs="Times New Roman"/>
          <w:color w:val="000000"/>
          <w:sz w:val="24"/>
          <w:szCs w:val="24"/>
        </w:rPr>
        <w:t xml:space="preserve">against </w:t>
      </w:r>
      <w:r w:rsidR="00DF7885" w:rsidRPr="00721810">
        <w:rPr>
          <w:rFonts w:ascii="Times New Roman" w:hAnsi="Times New Roman" w:cs="Times New Roman"/>
          <w:color w:val="000000"/>
          <w:sz w:val="24"/>
          <w:szCs w:val="24"/>
        </w:rPr>
        <w:t>Nevsum</w:t>
      </w:r>
      <w:r w:rsidR="00DF7885" w:rsidRPr="00287E5E">
        <w:rPr>
          <w:rFonts w:ascii="Times New Roman" w:hAnsi="Times New Roman" w:cs="Times New Roman"/>
          <w:color w:val="000000"/>
          <w:sz w:val="24"/>
          <w:szCs w:val="24"/>
        </w:rPr>
        <w:t xml:space="preserve"> </w:t>
      </w:r>
      <w:r w:rsidRPr="00287E5E">
        <w:rPr>
          <w:rFonts w:ascii="Times New Roman" w:hAnsi="Times New Roman" w:cs="Times New Roman"/>
          <w:color w:val="000000"/>
          <w:sz w:val="24"/>
          <w:szCs w:val="24"/>
        </w:rPr>
        <w:t>should proceed before Canadian Court</w:t>
      </w:r>
      <w:r w:rsidR="00B70D6C">
        <w:rPr>
          <w:rFonts w:ascii="Times New Roman" w:hAnsi="Times New Roman" w:cs="Times New Roman"/>
          <w:color w:val="000000"/>
          <w:sz w:val="24"/>
          <w:szCs w:val="24"/>
        </w:rPr>
        <w:t>s</w:t>
      </w:r>
      <w:r w:rsidR="00DF7885">
        <w:rPr>
          <w:rFonts w:ascii="Times New Roman" w:hAnsi="Times New Roman" w:cs="Times New Roman"/>
          <w:color w:val="000000"/>
          <w:sz w:val="24"/>
          <w:szCs w:val="24"/>
        </w:rPr>
        <w:t>,</w:t>
      </w:r>
      <w:r w:rsidRPr="00287E5E">
        <w:rPr>
          <w:rFonts w:ascii="Times New Roman" w:hAnsi="Times New Roman" w:cs="Times New Roman"/>
          <w:color w:val="000000"/>
          <w:sz w:val="24"/>
          <w:szCs w:val="24"/>
        </w:rPr>
        <w:t xml:space="preserve"> the Court found that it is not plain and obvious that </w:t>
      </w:r>
      <w:r w:rsidR="00DF7885">
        <w:rPr>
          <w:rFonts w:ascii="Times New Roman" w:hAnsi="Times New Roman" w:cs="Times New Roman"/>
          <w:color w:val="000000"/>
          <w:sz w:val="24"/>
          <w:szCs w:val="24"/>
        </w:rPr>
        <w:t>‘</w:t>
      </w:r>
      <w:r w:rsidRPr="00287E5E">
        <w:rPr>
          <w:rFonts w:ascii="Times New Roman" w:hAnsi="Times New Roman" w:cs="Times New Roman"/>
          <w:color w:val="000000"/>
          <w:sz w:val="24"/>
          <w:szCs w:val="24"/>
        </w:rPr>
        <w:t>corporations today enjoy a blanket exclusion under customary international law from direct liability for violations of obligatory, definable, and universal norms of international law.</w:t>
      </w:r>
      <w:r w:rsidR="00DF7885">
        <w:rPr>
          <w:rFonts w:ascii="Times New Roman" w:hAnsi="Times New Roman" w:cs="Times New Roman"/>
          <w:color w:val="000000"/>
          <w:sz w:val="24"/>
          <w:szCs w:val="24"/>
        </w:rPr>
        <w:t>’</w:t>
      </w:r>
      <w:r w:rsidR="00513153">
        <w:rPr>
          <w:rStyle w:val="FootnoteReference"/>
          <w:rFonts w:ascii="Times New Roman" w:hAnsi="Times New Roman" w:cs="Times New Roman"/>
          <w:color w:val="000000"/>
          <w:sz w:val="24"/>
          <w:szCs w:val="24"/>
        </w:rPr>
        <w:footnoteReference w:id="42"/>
      </w:r>
      <w:r w:rsidRPr="00287E5E">
        <w:rPr>
          <w:rFonts w:ascii="Times New Roman" w:hAnsi="Times New Roman" w:cs="Times New Roman"/>
          <w:color w:val="000000"/>
          <w:sz w:val="24"/>
          <w:szCs w:val="24"/>
        </w:rPr>
        <w:t xml:space="preserve"> </w:t>
      </w:r>
      <w:r w:rsidR="005877B8">
        <w:rPr>
          <w:rFonts w:ascii="Times New Roman" w:hAnsi="Times New Roman" w:cs="Times New Roman"/>
          <w:color w:val="000000"/>
          <w:sz w:val="24"/>
          <w:szCs w:val="24"/>
        </w:rPr>
        <w:t xml:space="preserve">Key to the </w:t>
      </w:r>
      <w:r w:rsidR="00C67FC3">
        <w:rPr>
          <w:rFonts w:ascii="Times New Roman" w:hAnsi="Times New Roman" w:cs="Times New Roman"/>
          <w:color w:val="000000"/>
          <w:sz w:val="24"/>
          <w:szCs w:val="24"/>
        </w:rPr>
        <w:t>ability to brin</w:t>
      </w:r>
      <w:r w:rsidR="00265E3B">
        <w:rPr>
          <w:rFonts w:ascii="Times New Roman" w:hAnsi="Times New Roman" w:cs="Times New Roman"/>
          <w:color w:val="000000"/>
          <w:sz w:val="24"/>
          <w:szCs w:val="24"/>
        </w:rPr>
        <w:t>g</w:t>
      </w:r>
      <w:r w:rsidR="00C67FC3">
        <w:rPr>
          <w:rFonts w:ascii="Times New Roman" w:hAnsi="Times New Roman" w:cs="Times New Roman"/>
          <w:color w:val="000000"/>
          <w:sz w:val="24"/>
          <w:szCs w:val="24"/>
        </w:rPr>
        <w:t xml:space="preserve"> direct </w:t>
      </w:r>
      <w:r w:rsidR="00F72A0A">
        <w:rPr>
          <w:rFonts w:ascii="Times New Roman" w:hAnsi="Times New Roman" w:cs="Times New Roman"/>
          <w:color w:val="000000"/>
          <w:sz w:val="24"/>
          <w:szCs w:val="24"/>
        </w:rPr>
        <w:t xml:space="preserve">domestic </w:t>
      </w:r>
      <w:r w:rsidR="00C67FC3">
        <w:rPr>
          <w:rFonts w:ascii="Times New Roman" w:hAnsi="Times New Roman" w:cs="Times New Roman"/>
          <w:color w:val="000000"/>
          <w:sz w:val="24"/>
          <w:szCs w:val="24"/>
        </w:rPr>
        <w:t xml:space="preserve">civil liability claims under </w:t>
      </w:r>
      <w:r w:rsidR="00F72A0A">
        <w:rPr>
          <w:rFonts w:ascii="Times New Roman" w:hAnsi="Times New Roman" w:cs="Times New Roman"/>
          <w:color w:val="000000"/>
          <w:sz w:val="24"/>
          <w:szCs w:val="24"/>
        </w:rPr>
        <w:lastRenderedPageBreak/>
        <w:t>c</w:t>
      </w:r>
      <w:r w:rsidR="00C67FC3">
        <w:rPr>
          <w:rFonts w:ascii="Times New Roman" w:hAnsi="Times New Roman" w:cs="Times New Roman"/>
          <w:color w:val="000000"/>
          <w:sz w:val="24"/>
          <w:szCs w:val="24"/>
        </w:rPr>
        <w:t xml:space="preserve">ommon law </w:t>
      </w:r>
      <w:r w:rsidR="00F72A0A">
        <w:rPr>
          <w:rFonts w:ascii="Times New Roman" w:hAnsi="Times New Roman" w:cs="Times New Roman"/>
          <w:color w:val="000000"/>
          <w:sz w:val="24"/>
          <w:szCs w:val="24"/>
        </w:rPr>
        <w:t>for breach of customary international law</w:t>
      </w:r>
      <w:r w:rsidR="00265E3B">
        <w:rPr>
          <w:rFonts w:ascii="Times New Roman" w:hAnsi="Times New Roman" w:cs="Times New Roman"/>
          <w:color w:val="000000"/>
          <w:sz w:val="24"/>
          <w:szCs w:val="24"/>
        </w:rPr>
        <w:t>,</w:t>
      </w:r>
      <w:r w:rsidR="00F72A0A">
        <w:rPr>
          <w:rFonts w:ascii="Times New Roman" w:hAnsi="Times New Roman" w:cs="Times New Roman"/>
          <w:color w:val="000000"/>
          <w:sz w:val="24"/>
          <w:szCs w:val="24"/>
        </w:rPr>
        <w:t xml:space="preserve"> </w:t>
      </w:r>
      <w:r w:rsidR="005877B8">
        <w:rPr>
          <w:rFonts w:ascii="Times New Roman" w:hAnsi="Times New Roman" w:cs="Times New Roman"/>
          <w:color w:val="000000"/>
          <w:sz w:val="24"/>
          <w:szCs w:val="24"/>
        </w:rPr>
        <w:t xml:space="preserve">is that customary international law is </w:t>
      </w:r>
      <w:r w:rsidR="00B70D6C">
        <w:rPr>
          <w:rFonts w:ascii="Times New Roman" w:hAnsi="Times New Roman" w:cs="Times New Roman"/>
          <w:color w:val="000000"/>
          <w:sz w:val="24"/>
          <w:szCs w:val="24"/>
        </w:rPr>
        <w:t>i</w:t>
      </w:r>
      <w:r w:rsidR="005877B8">
        <w:rPr>
          <w:rFonts w:ascii="Times New Roman" w:hAnsi="Times New Roman" w:cs="Times New Roman"/>
          <w:color w:val="000000"/>
          <w:sz w:val="24"/>
          <w:szCs w:val="24"/>
        </w:rPr>
        <w:t>ncorporated into and forms part of the Can</w:t>
      </w:r>
      <w:r w:rsidR="00B70D6C">
        <w:rPr>
          <w:rFonts w:ascii="Times New Roman" w:hAnsi="Times New Roman" w:cs="Times New Roman"/>
          <w:color w:val="000000"/>
          <w:sz w:val="24"/>
          <w:szCs w:val="24"/>
        </w:rPr>
        <w:t>a</w:t>
      </w:r>
      <w:r w:rsidR="005877B8">
        <w:rPr>
          <w:rFonts w:ascii="Times New Roman" w:hAnsi="Times New Roman" w:cs="Times New Roman"/>
          <w:color w:val="000000"/>
          <w:sz w:val="24"/>
          <w:szCs w:val="24"/>
        </w:rPr>
        <w:t>dian comm</w:t>
      </w:r>
      <w:r w:rsidR="00B70D6C">
        <w:rPr>
          <w:rFonts w:ascii="Times New Roman" w:hAnsi="Times New Roman" w:cs="Times New Roman"/>
          <w:color w:val="000000"/>
          <w:sz w:val="24"/>
          <w:szCs w:val="24"/>
        </w:rPr>
        <w:t>o</w:t>
      </w:r>
      <w:r w:rsidR="005877B8">
        <w:rPr>
          <w:rFonts w:ascii="Times New Roman" w:hAnsi="Times New Roman" w:cs="Times New Roman"/>
          <w:color w:val="000000"/>
          <w:sz w:val="24"/>
          <w:szCs w:val="24"/>
        </w:rPr>
        <w:t>n law</w:t>
      </w:r>
      <w:r w:rsidR="00265E3B">
        <w:rPr>
          <w:rFonts w:ascii="Times New Roman" w:hAnsi="Times New Roman" w:cs="Times New Roman"/>
          <w:color w:val="000000"/>
          <w:sz w:val="24"/>
          <w:szCs w:val="24"/>
        </w:rPr>
        <w:t>.</w:t>
      </w:r>
      <w:r w:rsidR="005877B8">
        <w:rPr>
          <w:rFonts w:ascii="Times New Roman" w:hAnsi="Times New Roman" w:cs="Times New Roman"/>
          <w:color w:val="000000"/>
          <w:sz w:val="24"/>
          <w:szCs w:val="24"/>
        </w:rPr>
        <w:t xml:space="preserve"> </w:t>
      </w:r>
      <w:r w:rsidR="00265E3B">
        <w:rPr>
          <w:rFonts w:ascii="Times New Roman" w:hAnsi="Times New Roman" w:cs="Times New Roman"/>
          <w:color w:val="000000"/>
          <w:sz w:val="24"/>
          <w:szCs w:val="24"/>
        </w:rPr>
        <w:t>U</w:t>
      </w:r>
      <w:r w:rsidR="005877B8">
        <w:rPr>
          <w:rFonts w:ascii="Times New Roman" w:hAnsi="Times New Roman" w:cs="Times New Roman"/>
          <w:color w:val="000000"/>
          <w:sz w:val="24"/>
          <w:szCs w:val="24"/>
        </w:rPr>
        <w:t>nless</w:t>
      </w:r>
      <w:r w:rsidR="00265E3B">
        <w:rPr>
          <w:rFonts w:ascii="Times New Roman" w:hAnsi="Times New Roman" w:cs="Times New Roman"/>
          <w:color w:val="000000"/>
          <w:sz w:val="24"/>
          <w:szCs w:val="24"/>
        </w:rPr>
        <w:t>,</w:t>
      </w:r>
      <w:r w:rsidR="005877B8">
        <w:rPr>
          <w:rFonts w:ascii="Times New Roman" w:hAnsi="Times New Roman" w:cs="Times New Roman"/>
          <w:color w:val="000000"/>
          <w:sz w:val="24"/>
          <w:szCs w:val="24"/>
        </w:rPr>
        <w:t xml:space="preserve"> there is a </w:t>
      </w:r>
      <w:r w:rsidR="00B70D6C">
        <w:rPr>
          <w:rFonts w:ascii="Times New Roman" w:hAnsi="Times New Roman" w:cs="Times New Roman"/>
          <w:color w:val="000000"/>
          <w:sz w:val="24"/>
          <w:szCs w:val="24"/>
        </w:rPr>
        <w:t xml:space="preserve">domestic </w:t>
      </w:r>
      <w:r w:rsidR="005877B8">
        <w:rPr>
          <w:rFonts w:ascii="Times New Roman" w:hAnsi="Times New Roman" w:cs="Times New Roman"/>
          <w:color w:val="000000"/>
          <w:sz w:val="24"/>
          <w:szCs w:val="24"/>
        </w:rPr>
        <w:t>regulation</w:t>
      </w:r>
      <w:r w:rsidR="00B70D6C">
        <w:rPr>
          <w:rFonts w:ascii="Times New Roman" w:hAnsi="Times New Roman" w:cs="Times New Roman"/>
          <w:color w:val="000000"/>
          <w:sz w:val="24"/>
          <w:szCs w:val="24"/>
        </w:rPr>
        <w:t xml:space="preserve"> to the </w:t>
      </w:r>
      <w:r w:rsidR="005877B8">
        <w:rPr>
          <w:rFonts w:ascii="Times New Roman" w:hAnsi="Times New Roman" w:cs="Times New Roman"/>
          <w:color w:val="000000"/>
          <w:sz w:val="24"/>
          <w:szCs w:val="24"/>
        </w:rPr>
        <w:t>contrary.</w:t>
      </w:r>
      <w:r w:rsidR="005877B8">
        <w:rPr>
          <w:rStyle w:val="FootnoteReference"/>
          <w:rFonts w:ascii="Times New Roman" w:hAnsi="Times New Roman" w:cs="Times New Roman"/>
          <w:color w:val="000000"/>
          <w:sz w:val="24"/>
          <w:szCs w:val="24"/>
        </w:rPr>
        <w:footnoteReference w:id="43"/>
      </w:r>
      <w:r w:rsidR="00F72A0A">
        <w:rPr>
          <w:rFonts w:ascii="Times New Roman" w:hAnsi="Times New Roman" w:cs="Times New Roman"/>
          <w:color w:val="000000"/>
          <w:sz w:val="24"/>
          <w:szCs w:val="24"/>
        </w:rPr>
        <w:t xml:space="preserve"> This also means that it is unclear whether the claimant would have been able to bring civil claims under Canadian common law in relation to breaches of international human rights which have not acquired the status of customary international law. </w:t>
      </w:r>
    </w:p>
    <w:p w14:paraId="0618F844" w14:textId="4ABFB23C" w:rsidR="00F738AF" w:rsidRPr="00150F3D" w:rsidRDefault="004E1266"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Although </w:t>
      </w:r>
      <w:r w:rsidR="005D0500">
        <w:rPr>
          <w:rFonts w:ascii="Times New Roman" w:eastAsia="Times New Roman" w:hAnsi="Times New Roman" w:cs="Times New Roman"/>
          <w:sz w:val="24"/>
          <w:szCs w:val="24"/>
        </w:rPr>
        <w:t xml:space="preserve">the </w:t>
      </w:r>
      <w:r w:rsidRPr="00721810">
        <w:rPr>
          <w:rFonts w:ascii="Times New Roman" w:eastAsia="Times New Roman" w:hAnsi="Times New Roman" w:cs="Times New Roman"/>
          <w:i/>
          <w:iCs/>
          <w:sz w:val="24"/>
          <w:szCs w:val="24"/>
        </w:rPr>
        <w:t>Nevsum</w:t>
      </w:r>
      <w:r w:rsidRPr="00150F3D">
        <w:rPr>
          <w:rFonts w:ascii="Times New Roman" w:eastAsia="Times New Roman" w:hAnsi="Times New Roman" w:cs="Times New Roman"/>
          <w:sz w:val="24"/>
          <w:szCs w:val="24"/>
        </w:rPr>
        <w:t xml:space="preserve"> </w:t>
      </w:r>
      <w:r w:rsidR="005D0500">
        <w:rPr>
          <w:rFonts w:ascii="Times New Roman" w:eastAsia="Times New Roman" w:hAnsi="Times New Roman" w:cs="Times New Roman"/>
          <w:sz w:val="24"/>
          <w:szCs w:val="24"/>
        </w:rPr>
        <w:t xml:space="preserve">case </w:t>
      </w:r>
      <w:r w:rsidR="00F72A0A">
        <w:rPr>
          <w:rFonts w:ascii="Times New Roman" w:eastAsia="Times New Roman" w:hAnsi="Times New Roman" w:cs="Times New Roman"/>
          <w:sz w:val="24"/>
          <w:szCs w:val="24"/>
        </w:rPr>
        <w:t>concerned a determination of a motion to strike request by Nevsum and was not</w:t>
      </w:r>
      <w:r w:rsidRPr="00150F3D">
        <w:rPr>
          <w:rFonts w:ascii="Times New Roman" w:eastAsia="Times New Roman" w:hAnsi="Times New Roman" w:cs="Times New Roman"/>
          <w:sz w:val="24"/>
          <w:szCs w:val="24"/>
        </w:rPr>
        <w:t xml:space="preserve"> decided on the merits</w:t>
      </w:r>
      <w:r w:rsidR="002760B0" w:rsidRPr="00150F3D">
        <w:rPr>
          <w:rFonts w:ascii="Times New Roman" w:eastAsia="Times New Roman" w:hAnsi="Times New Roman" w:cs="Times New Roman"/>
          <w:sz w:val="24"/>
          <w:szCs w:val="24"/>
        </w:rPr>
        <w:t>,</w:t>
      </w:r>
      <w:r w:rsidR="00F738AF"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it is revolutionary in the sense that the </w:t>
      </w:r>
      <w:r w:rsidR="005D0500">
        <w:rPr>
          <w:rFonts w:ascii="Times New Roman" w:eastAsia="Times New Roman" w:hAnsi="Times New Roman" w:cs="Times New Roman"/>
          <w:sz w:val="24"/>
          <w:szCs w:val="24"/>
        </w:rPr>
        <w:t xml:space="preserve">Canadian </w:t>
      </w:r>
      <w:r w:rsidRPr="00150F3D">
        <w:rPr>
          <w:rFonts w:ascii="Times New Roman" w:eastAsia="Times New Roman" w:hAnsi="Times New Roman" w:cs="Times New Roman"/>
          <w:sz w:val="24"/>
          <w:szCs w:val="24"/>
        </w:rPr>
        <w:t>Supreme Court acknowledged that</w:t>
      </w:r>
      <w:r w:rsidR="00077D0A" w:rsidRPr="00150F3D">
        <w:rPr>
          <w:rFonts w:ascii="Times New Roman" w:hAnsi="Times New Roman" w:cs="Times New Roman"/>
          <w:sz w:val="24"/>
          <w:szCs w:val="24"/>
        </w:rPr>
        <w:t xml:space="preserve"> </w:t>
      </w:r>
      <w:r w:rsidR="00D45DCE">
        <w:rPr>
          <w:rFonts w:ascii="Times New Roman" w:hAnsi="Times New Roman" w:cs="Times New Roman"/>
          <w:sz w:val="24"/>
          <w:szCs w:val="24"/>
        </w:rPr>
        <w:t xml:space="preserve">corporations may be found directly liable for international human rights violations that have acquired the status of customary international law, and </w:t>
      </w:r>
      <w:r w:rsidR="00077D0A" w:rsidRPr="00150F3D">
        <w:rPr>
          <w:rFonts w:ascii="Times New Roman" w:hAnsi="Times New Roman" w:cs="Times New Roman"/>
          <w:sz w:val="24"/>
          <w:szCs w:val="24"/>
        </w:rPr>
        <w:t xml:space="preserve">Canadian courts could potentially develop a civil </w:t>
      </w:r>
      <w:r w:rsidRPr="00150F3D">
        <w:rPr>
          <w:rFonts w:ascii="Times New Roman" w:hAnsi="Times New Roman" w:cs="Times New Roman"/>
          <w:sz w:val="24"/>
          <w:szCs w:val="24"/>
        </w:rPr>
        <w:t xml:space="preserve">common law </w:t>
      </w:r>
      <w:r w:rsidR="00077D0A" w:rsidRPr="00150F3D">
        <w:rPr>
          <w:rFonts w:ascii="Times New Roman" w:hAnsi="Times New Roman" w:cs="Times New Roman"/>
          <w:sz w:val="24"/>
          <w:szCs w:val="24"/>
        </w:rPr>
        <w:t xml:space="preserve">remedy </w:t>
      </w:r>
      <w:r w:rsidRPr="00150F3D">
        <w:rPr>
          <w:rFonts w:ascii="Times New Roman" w:hAnsi="Times New Roman" w:cs="Times New Roman"/>
          <w:sz w:val="24"/>
          <w:szCs w:val="24"/>
        </w:rPr>
        <w:t xml:space="preserve">under Canadian law </w:t>
      </w:r>
      <w:r w:rsidR="00077D0A" w:rsidRPr="00150F3D">
        <w:rPr>
          <w:rFonts w:ascii="Times New Roman" w:hAnsi="Times New Roman" w:cs="Times New Roman"/>
          <w:sz w:val="24"/>
          <w:szCs w:val="24"/>
        </w:rPr>
        <w:t>for corporate violations of customary international law</w:t>
      </w:r>
      <w:r w:rsidR="00C25DCD">
        <w:rPr>
          <w:rFonts w:ascii="Times New Roman" w:hAnsi="Times New Roman" w:cs="Times New Roman"/>
          <w:sz w:val="24"/>
          <w:szCs w:val="24"/>
        </w:rPr>
        <w:t>.</w:t>
      </w:r>
      <w:r w:rsidR="00077D0A" w:rsidRPr="00150F3D">
        <w:rPr>
          <w:rStyle w:val="FootnoteReference"/>
          <w:rFonts w:ascii="Times New Roman" w:hAnsi="Times New Roman" w:cs="Times New Roman"/>
          <w:sz w:val="24"/>
          <w:szCs w:val="24"/>
        </w:rPr>
        <w:footnoteReference w:id="44"/>
      </w:r>
      <w:r w:rsidR="002D5243" w:rsidRPr="00150F3D">
        <w:rPr>
          <w:rFonts w:ascii="Times New Roman" w:hAnsi="Times New Roman" w:cs="Times New Roman"/>
          <w:sz w:val="24"/>
          <w:szCs w:val="24"/>
        </w:rPr>
        <w:t xml:space="preserve"> This would </w:t>
      </w:r>
      <w:r w:rsidR="00F738AF" w:rsidRPr="00150F3D">
        <w:rPr>
          <w:rFonts w:ascii="Times New Roman" w:hAnsi="Times New Roman" w:cs="Times New Roman"/>
          <w:sz w:val="24"/>
          <w:szCs w:val="24"/>
        </w:rPr>
        <w:t xml:space="preserve">potentially </w:t>
      </w:r>
      <w:r w:rsidR="002D5243" w:rsidRPr="00150F3D">
        <w:rPr>
          <w:rFonts w:ascii="Times New Roman" w:hAnsi="Times New Roman" w:cs="Times New Roman"/>
          <w:sz w:val="24"/>
          <w:szCs w:val="24"/>
        </w:rPr>
        <w:t>be a far more effective remediation regime than has been developed under the tort of negligence</w:t>
      </w:r>
      <w:r w:rsidR="00F738AF" w:rsidRPr="00150F3D">
        <w:rPr>
          <w:rFonts w:ascii="Times New Roman" w:hAnsi="Times New Roman" w:cs="Times New Roman"/>
          <w:sz w:val="24"/>
          <w:szCs w:val="24"/>
        </w:rPr>
        <w:t>, which</w:t>
      </w:r>
      <w:r w:rsidR="00D80A64">
        <w:rPr>
          <w:rFonts w:ascii="Times New Roman" w:hAnsi="Times New Roman" w:cs="Times New Roman"/>
          <w:sz w:val="24"/>
          <w:szCs w:val="24"/>
        </w:rPr>
        <w:t>,</w:t>
      </w:r>
      <w:r w:rsidR="00F738AF" w:rsidRPr="00150F3D">
        <w:rPr>
          <w:rFonts w:ascii="Times New Roman" w:hAnsi="Times New Roman" w:cs="Times New Roman"/>
          <w:sz w:val="24"/>
          <w:szCs w:val="24"/>
        </w:rPr>
        <w:t xml:space="preserve"> as we showed</w:t>
      </w:r>
      <w:r w:rsidR="002760B0" w:rsidRPr="00150F3D">
        <w:rPr>
          <w:rFonts w:ascii="Times New Roman" w:hAnsi="Times New Roman" w:cs="Times New Roman"/>
          <w:sz w:val="24"/>
          <w:szCs w:val="24"/>
        </w:rPr>
        <w:t>,</w:t>
      </w:r>
      <w:r w:rsidR="00F738AF" w:rsidRPr="00150F3D">
        <w:rPr>
          <w:rFonts w:ascii="Times New Roman" w:hAnsi="Times New Roman" w:cs="Times New Roman"/>
          <w:sz w:val="24"/>
          <w:szCs w:val="24"/>
        </w:rPr>
        <w:t xml:space="preserve"> its scope is constrained by an inflexible and underdeveloped requirement of proximity. </w:t>
      </w:r>
      <w:r w:rsidR="002D5243" w:rsidRPr="00150F3D">
        <w:rPr>
          <w:rFonts w:ascii="Times New Roman" w:hAnsi="Times New Roman" w:cs="Times New Roman"/>
          <w:sz w:val="24"/>
          <w:szCs w:val="24"/>
        </w:rPr>
        <w:t xml:space="preserve">  </w:t>
      </w:r>
    </w:p>
    <w:p w14:paraId="241380E5" w14:textId="0501CE00" w:rsidR="000A5927" w:rsidRPr="00150F3D" w:rsidRDefault="001148EA" w:rsidP="00B82299">
      <w:pPr>
        <w:pStyle w:val="Heading3"/>
        <w:numPr>
          <w:ilvl w:val="0"/>
          <w:numId w:val="15"/>
        </w:numPr>
        <w:spacing w:after="240"/>
        <w:rPr>
          <w:rFonts w:ascii="Times New Roman" w:hAnsi="Times New Roman" w:cs="Times New Roman"/>
        </w:rPr>
      </w:pPr>
      <w:r w:rsidRPr="00150F3D">
        <w:rPr>
          <w:rFonts w:ascii="Times New Roman" w:hAnsi="Times New Roman" w:cs="Times New Roman"/>
        </w:rPr>
        <w:t>ATS litigation</w:t>
      </w:r>
    </w:p>
    <w:p w14:paraId="3A40250B" w14:textId="372592A5" w:rsidR="001148EA" w:rsidRPr="00150F3D" w:rsidRDefault="001148EA" w:rsidP="00B82299">
      <w:pPr>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ATS litigation concerns a civil law action in tort</w:t>
      </w:r>
      <w:r w:rsidR="00D80A64">
        <w:rPr>
          <w:rFonts w:ascii="Times New Roman" w:hAnsi="Times New Roman" w:cs="Times New Roman"/>
          <w:sz w:val="24"/>
          <w:szCs w:val="24"/>
        </w:rPr>
        <w:t xml:space="preserve"> under the Law of the United States</w:t>
      </w:r>
      <w:r w:rsidRPr="00150F3D">
        <w:rPr>
          <w:rFonts w:ascii="Times New Roman" w:hAnsi="Times New Roman" w:cs="Times New Roman"/>
          <w:sz w:val="24"/>
          <w:szCs w:val="24"/>
        </w:rPr>
        <w:t>. The Statute provides that ‘the district courts shall have original jurisdiction of any civil action by an alien for a tort only, committed in violation of the law of nations or a treaty of the United States’.</w:t>
      </w:r>
      <w:r w:rsidRPr="00150F3D">
        <w:rPr>
          <w:rFonts w:ascii="Times New Roman" w:hAnsi="Times New Roman" w:cs="Times New Roman"/>
          <w:sz w:val="24"/>
          <w:szCs w:val="24"/>
          <w:vertAlign w:val="superscript"/>
        </w:rPr>
        <w:footnoteReference w:id="45"/>
      </w:r>
      <w:r w:rsidRPr="00150F3D">
        <w:rPr>
          <w:rFonts w:ascii="Times New Roman" w:hAnsi="Times New Roman" w:cs="Times New Roman"/>
          <w:sz w:val="24"/>
          <w:szCs w:val="24"/>
        </w:rPr>
        <w:t xml:space="preserve"> The early years of ATS litigation involved lawsuits brought by victims who had suffered harm at the hand of other individuals. Such was the case in </w:t>
      </w:r>
      <w:r w:rsidRPr="00150F3D">
        <w:rPr>
          <w:rFonts w:ascii="Times New Roman" w:hAnsi="Times New Roman" w:cs="Times New Roman"/>
          <w:i/>
          <w:iCs/>
          <w:sz w:val="24"/>
          <w:szCs w:val="24"/>
        </w:rPr>
        <w:t>Kadic v. Karadžić</w:t>
      </w:r>
      <w:r w:rsidRPr="00150F3D">
        <w:rPr>
          <w:rFonts w:ascii="Times New Roman" w:hAnsi="Times New Roman" w:cs="Times New Roman"/>
          <w:sz w:val="24"/>
          <w:szCs w:val="24"/>
        </w:rPr>
        <w:t xml:space="preserve"> where the claimant established the federal court’s jurisdiction by bringing a claim under ATS litigation alleging that the defendant breached the law of nations by committing or aiding and abetting torture, rape</w:t>
      </w:r>
      <w:r w:rsidR="00393803" w:rsidRPr="00150F3D">
        <w:rPr>
          <w:rFonts w:ascii="Times New Roman" w:hAnsi="Times New Roman" w:cs="Times New Roman"/>
          <w:sz w:val="24"/>
          <w:szCs w:val="24"/>
        </w:rPr>
        <w:t>,</w:t>
      </w:r>
      <w:r w:rsidRPr="00150F3D">
        <w:rPr>
          <w:rFonts w:ascii="Times New Roman" w:hAnsi="Times New Roman" w:cs="Times New Roman"/>
          <w:sz w:val="24"/>
          <w:szCs w:val="24"/>
        </w:rPr>
        <w:t xml:space="preserve"> and genocide.</w:t>
      </w:r>
      <w:r w:rsidRPr="00150F3D">
        <w:rPr>
          <w:rFonts w:ascii="Times New Roman" w:hAnsi="Times New Roman" w:cs="Times New Roman"/>
          <w:sz w:val="24"/>
          <w:szCs w:val="24"/>
          <w:vertAlign w:val="superscript"/>
        </w:rPr>
        <w:footnoteReference w:id="46"/>
      </w:r>
      <w:r w:rsidRPr="00150F3D">
        <w:rPr>
          <w:rFonts w:ascii="Times New Roman" w:hAnsi="Times New Roman" w:cs="Times New Roman"/>
          <w:sz w:val="24"/>
          <w:szCs w:val="24"/>
        </w:rPr>
        <w:t xml:space="preserve"> Mr Karadzic claimed that only states were subject to international law. The second circuit rejected this submission arguing that certain international norms apply to non-state actors, and that in any case individuals could be found liable for aiding and abetting state actors in the violation of international law.</w:t>
      </w:r>
      <w:r w:rsidRPr="00150F3D">
        <w:rPr>
          <w:rFonts w:ascii="Times New Roman" w:hAnsi="Times New Roman" w:cs="Times New Roman"/>
          <w:sz w:val="24"/>
          <w:szCs w:val="24"/>
          <w:vertAlign w:val="superscript"/>
        </w:rPr>
        <w:footnoteReference w:id="47"/>
      </w:r>
      <w:r w:rsidRPr="00150F3D">
        <w:rPr>
          <w:rFonts w:ascii="Times New Roman" w:hAnsi="Times New Roman" w:cs="Times New Roman"/>
          <w:sz w:val="24"/>
          <w:szCs w:val="24"/>
        </w:rPr>
        <w:t xml:space="preserve"> This potential for accessorial liability brought a wave of cases against corporations under the ATS, by victims who tried to take advantage of </w:t>
      </w:r>
      <w:r w:rsidRPr="00150F3D">
        <w:rPr>
          <w:rFonts w:ascii="Times New Roman" w:hAnsi="Times New Roman" w:cs="Times New Roman"/>
          <w:sz w:val="24"/>
          <w:szCs w:val="24"/>
        </w:rPr>
        <w:lastRenderedPageBreak/>
        <w:t xml:space="preserve">what seemed to be a civil liability route </w:t>
      </w:r>
      <w:r w:rsidR="00393803" w:rsidRPr="00150F3D">
        <w:rPr>
          <w:rFonts w:ascii="Times New Roman" w:hAnsi="Times New Roman" w:cs="Times New Roman"/>
          <w:sz w:val="24"/>
          <w:szCs w:val="24"/>
        </w:rPr>
        <w:t>enabling</w:t>
      </w:r>
      <w:r w:rsidRPr="00150F3D">
        <w:rPr>
          <w:rFonts w:ascii="Times New Roman" w:hAnsi="Times New Roman" w:cs="Times New Roman"/>
          <w:sz w:val="24"/>
          <w:szCs w:val="24"/>
        </w:rPr>
        <w:t xml:space="preserve"> extra-territorial claims in a jurisdiction which is </w:t>
      </w:r>
      <w:r w:rsidR="00BB5F55">
        <w:rPr>
          <w:rFonts w:ascii="Times New Roman" w:hAnsi="Times New Roman" w:cs="Times New Roman"/>
          <w:sz w:val="24"/>
          <w:szCs w:val="24"/>
        </w:rPr>
        <w:t>plaintiff-friendly</w:t>
      </w:r>
      <w:r w:rsidRPr="00150F3D">
        <w:rPr>
          <w:rFonts w:ascii="Times New Roman" w:hAnsi="Times New Roman" w:cs="Times New Roman"/>
          <w:sz w:val="24"/>
          <w:szCs w:val="24"/>
        </w:rPr>
        <w:t xml:space="preserve"> such as the U</w:t>
      </w:r>
      <w:r w:rsidR="00393803" w:rsidRPr="00150F3D">
        <w:rPr>
          <w:rFonts w:ascii="Times New Roman" w:hAnsi="Times New Roman" w:cs="Times New Roman"/>
          <w:sz w:val="24"/>
          <w:szCs w:val="24"/>
        </w:rPr>
        <w:t>.</w:t>
      </w:r>
      <w:r w:rsidRPr="00150F3D">
        <w:rPr>
          <w:rFonts w:ascii="Times New Roman" w:hAnsi="Times New Roman" w:cs="Times New Roman"/>
          <w:sz w:val="24"/>
          <w:szCs w:val="24"/>
        </w:rPr>
        <w:t>S</w:t>
      </w:r>
      <w:r w:rsidR="00393803" w:rsidRPr="00150F3D">
        <w:rPr>
          <w:rFonts w:ascii="Times New Roman" w:hAnsi="Times New Roman" w:cs="Times New Roman"/>
          <w:sz w:val="24"/>
          <w:szCs w:val="24"/>
        </w:rPr>
        <w:t>.</w:t>
      </w:r>
      <w:r w:rsidRPr="00150F3D">
        <w:rPr>
          <w:rFonts w:ascii="Times New Roman" w:hAnsi="Times New Roman" w:cs="Times New Roman"/>
          <w:sz w:val="24"/>
          <w:szCs w:val="24"/>
          <w:vertAlign w:val="superscript"/>
        </w:rPr>
        <w:footnoteReference w:id="48"/>
      </w:r>
    </w:p>
    <w:p w14:paraId="49D9DEED" w14:textId="6CD1B3E7" w:rsidR="001148EA" w:rsidRPr="00150F3D" w:rsidRDefault="002D5243" w:rsidP="00B82299">
      <w:pPr>
        <w:spacing w:before="120" w:after="240" w:line="360" w:lineRule="auto"/>
        <w:jc w:val="both"/>
        <w:rPr>
          <w:rFonts w:ascii="Times New Roman" w:hAnsi="Times New Roman" w:cs="Times New Roman"/>
          <w:color w:val="000000"/>
          <w:sz w:val="24"/>
          <w:szCs w:val="24"/>
          <w:shd w:val="clear" w:color="auto" w:fill="FFFFFF"/>
        </w:rPr>
      </w:pPr>
      <w:r w:rsidRPr="00150F3D">
        <w:rPr>
          <w:rFonts w:ascii="Times New Roman" w:hAnsi="Times New Roman" w:cs="Times New Roman"/>
          <w:sz w:val="24"/>
          <w:szCs w:val="24"/>
        </w:rPr>
        <w:t>However, t</w:t>
      </w:r>
      <w:r w:rsidR="001148EA" w:rsidRPr="00150F3D">
        <w:rPr>
          <w:rFonts w:ascii="Times New Roman" w:hAnsi="Times New Roman" w:cs="Times New Roman"/>
          <w:sz w:val="24"/>
          <w:szCs w:val="24"/>
        </w:rPr>
        <w:t xml:space="preserve">he Supreme Court in </w:t>
      </w:r>
      <w:r w:rsidR="001148EA" w:rsidRPr="00150F3D">
        <w:rPr>
          <w:rFonts w:ascii="Times New Roman" w:hAnsi="Times New Roman" w:cs="Times New Roman"/>
          <w:i/>
          <w:iCs/>
          <w:sz w:val="24"/>
          <w:szCs w:val="24"/>
        </w:rPr>
        <w:t>Sosa</w:t>
      </w:r>
      <w:r w:rsidR="00D80A64">
        <w:rPr>
          <w:rFonts w:ascii="Times New Roman" w:hAnsi="Times New Roman" w:cs="Times New Roman"/>
          <w:i/>
          <w:iCs/>
          <w:sz w:val="24"/>
          <w:szCs w:val="24"/>
        </w:rPr>
        <w:t xml:space="preserve"> v Alvarez-Machain</w:t>
      </w:r>
      <w:r w:rsidR="001148EA" w:rsidRPr="00150F3D">
        <w:rPr>
          <w:rFonts w:ascii="Times New Roman" w:hAnsi="Times New Roman" w:cs="Times New Roman"/>
          <w:sz w:val="24"/>
          <w:szCs w:val="24"/>
        </w:rPr>
        <w:t xml:space="preserve"> held that the ATS is purely jurisdictional.</w:t>
      </w:r>
      <w:bookmarkStart w:id="21" w:name="_Ref131848332"/>
      <w:r w:rsidR="001148EA" w:rsidRPr="00150F3D">
        <w:rPr>
          <w:rFonts w:ascii="Times New Roman" w:hAnsi="Times New Roman" w:cs="Times New Roman"/>
          <w:sz w:val="24"/>
          <w:szCs w:val="24"/>
          <w:vertAlign w:val="superscript"/>
        </w:rPr>
        <w:footnoteReference w:id="49"/>
      </w:r>
      <w:bookmarkEnd w:id="21"/>
      <w:r w:rsidR="001148EA" w:rsidRPr="00150F3D">
        <w:rPr>
          <w:rFonts w:ascii="Times New Roman" w:hAnsi="Times New Roman" w:cs="Times New Roman"/>
          <w:sz w:val="24"/>
          <w:szCs w:val="24"/>
        </w:rPr>
        <w:t xml:space="preserve"> In other words, it does not create </w:t>
      </w:r>
      <w:r w:rsidRPr="00150F3D">
        <w:rPr>
          <w:rFonts w:ascii="Times New Roman" w:hAnsi="Times New Roman" w:cs="Times New Roman"/>
          <w:sz w:val="24"/>
          <w:szCs w:val="24"/>
        </w:rPr>
        <w:t xml:space="preserve">new </w:t>
      </w:r>
      <w:r w:rsidR="001148EA" w:rsidRPr="00150F3D">
        <w:rPr>
          <w:rFonts w:ascii="Times New Roman" w:hAnsi="Times New Roman" w:cs="Times New Roman"/>
          <w:sz w:val="24"/>
          <w:szCs w:val="24"/>
        </w:rPr>
        <w:t xml:space="preserve">substantive obligations. This is a significant finding because </w:t>
      </w:r>
      <w:r w:rsidRPr="00150F3D">
        <w:rPr>
          <w:rFonts w:ascii="Times New Roman" w:hAnsi="Times New Roman" w:cs="Times New Roman"/>
          <w:sz w:val="24"/>
          <w:szCs w:val="24"/>
        </w:rPr>
        <w:t>for</w:t>
      </w:r>
      <w:r w:rsidR="001148EA" w:rsidRPr="00150F3D">
        <w:rPr>
          <w:rFonts w:ascii="Times New Roman" w:hAnsi="Times New Roman" w:cs="Times New Roman"/>
          <w:sz w:val="24"/>
          <w:szCs w:val="24"/>
        </w:rPr>
        <w:t xml:space="preserve"> the ATS to have any effect</w:t>
      </w:r>
      <w:r w:rsidRPr="00150F3D">
        <w:rPr>
          <w:rFonts w:ascii="Times New Roman" w:hAnsi="Times New Roman" w:cs="Times New Roman"/>
          <w:sz w:val="24"/>
          <w:szCs w:val="24"/>
        </w:rPr>
        <w:t>,</w:t>
      </w:r>
      <w:r w:rsidR="001148EA" w:rsidRPr="00150F3D">
        <w:rPr>
          <w:rFonts w:ascii="Times New Roman" w:hAnsi="Times New Roman" w:cs="Times New Roman"/>
          <w:sz w:val="24"/>
          <w:szCs w:val="24"/>
        </w:rPr>
        <w:t xml:space="preserve"> the court should develop private law </w:t>
      </w:r>
      <w:r w:rsidR="00CD6060" w:rsidRPr="00150F3D">
        <w:rPr>
          <w:rFonts w:ascii="Times New Roman" w:hAnsi="Times New Roman" w:cs="Times New Roman"/>
          <w:sz w:val="24"/>
          <w:szCs w:val="24"/>
        </w:rPr>
        <w:t>remedies</w:t>
      </w:r>
      <w:r w:rsidR="001148EA" w:rsidRPr="00150F3D">
        <w:rPr>
          <w:rFonts w:ascii="Times New Roman" w:hAnsi="Times New Roman" w:cs="Times New Roman"/>
          <w:sz w:val="24"/>
          <w:szCs w:val="24"/>
        </w:rPr>
        <w:t xml:space="preserve"> for torts committed in breach of the law of nations. </w:t>
      </w:r>
      <w:r w:rsidR="001148EA" w:rsidRPr="00150F3D">
        <w:rPr>
          <w:rFonts w:ascii="Times New Roman" w:hAnsi="Times New Roman" w:cs="Times New Roman"/>
          <w:i/>
          <w:sz w:val="24"/>
          <w:szCs w:val="24"/>
        </w:rPr>
        <w:t>Sosa</w:t>
      </w:r>
      <w:r w:rsidR="001148EA" w:rsidRPr="00150F3D">
        <w:rPr>
          <w:rFonts w:ascii="Times New Roman" w:hAnsi="Times New Roman" w:cs="Times New Roman"/>
          <w:sz w:val="24"/>
          <w:szCs w:val="24"/>
        </w:rPr>
        <w:t xml:space="preserve"> further held that </w:t>
      </w:r>
      <w:r w:rsidR="00C25DCD">
        <w:rPr>
          <w:rFonts w:ascii="Times New Roman" w:hAnsi="Times New Roman" w:cs="Times New Roman"/>
          <w:sz w:val="24"/>
          <w:szCs w:val="24"/>
        </w:rPr>
        <w:t>‘</w:t>
      </w:r>
      <w:r w:rsidR="001148EA" w:rsidRPr="00150F3D">
        <w:rPr>
          <w:rFonts w:ascii="Times New Roman" w:hAnsi="Times New Roman" w:cs="Times New Roman"/>
          <w:sz w:val="24"/>
          <w:szCs w:val="24"/>
        </w:rPr>
        <w:t>t</w:t>
      </w:r>
      <w:r w:rsidR="001148EA" w:rsidRPr="00150F3D">
        <w:rPr>
          <w:rFonts w:ascii="Times New Roman" w:hAnsi="Times New Roman" w:cs="Times New Roman"/>
          <w:color w:val="000000"/>
          <w:sz w:val="24"/>
          <w:szCs w:val="24"/>
          <w:shd w:val="clear" w:color="auto" w:fill="FFFFFF"/>
        </w:rPr>
        <w:t>he jurisdictional grant is best read as having been enacted on the understanding that the common law would provide a cause of action for the modest number of international law violations with a potential for personal liability at the time</w:t>
      </w:r>
      <w:r w:rsidR="00C25DCD">
        <w:rPr>
          <w:rFonts w:ascii="Times New Roman" w:hAnsi="Times New Roman" w:cs="Times New Roman"/>
          <w:color w:val="000000"/>
          <w:sz w:val="24"/>
          <w:szCs w:val="24"/>
          <w:shd w:val="clear" w:color="auto" w:fill="FFFFFF"/>
        </w:rPr>
        <w:t>’.</w:t>
      </w:r>
      <w:r w:rsidR="00A40596" w:rsidRPr="00150F3D">
        <w:rPr>
          <w:rStyle w:val="FootnoteReference"/>
          <w:rFonts w:ascii="Times New Roman" w:hAnsi="Times New Roman" w:cs="Times New Roman"/>
          <w:color w:val="000000"/>
          <w:sz w:val="24"/>
          <w:szCs w:val="24"/>
          <w:shd w:val="clear" w:color="auto" w:fill="FFFFFF"/>
        </w:rPr>
        <w:footnoteReference w:id="50"/>
      </w:r>
      <w:r w:rsidR="001148EA" w:rsidRPr="00150F3D">
        <w:rPr>
          <w:rFonts w:ascii="Times New Roman" w:hAnsi="Times New Roman" w:cs="Times New Roman"/>
          <w:color w:val="000000"/>
          <w:sz w:val="24"/>
          <w:szCs w:val="24"/>
          <w:shd w:val="clear" w:color="auto" w:fill="FFFFFF"/>
        </w:rPr>
        <w:t xml:space="preserve"> Thus</w:t>
      </w:r>
      <w:r w:rsidR="008E0288" w:rsidRPr="00150F3D">
        <w:rPr>
          <w:rFonts w:ascii="Times New Roman" w:hAnsi="Times New Roman" w:cs="Times New Roman"/>
          <w:color w:val="000000"/>
          <w:sz w:val="24"/>
          <w:szCs w:val="24"/>
          <w:shd w:val="clear" w:color="auto" w:fill="FFFFFF"/>
        </w:rPr>
        <w:t>,</w:t>
      </w:r>
      <w:r w:rsidR="001148EA" w:rsidRPr="00150F3D">
        <w:rPr>
          <w:rFonts w:ascii="Times New Roman" w:hAnsi="Times New Roman" w:cs="Times New Roman"/>
          <w:color w:val="000000"/>
          <w:sz w:val="24"/>
          <w:szCs w:val="24"/>
          <w:shd w:val="clear" w:color="auto" w:fill="FFFFFF"/>
        </w:rPr>
        <w:t xml:space="preserve"> whilst the door was still ajar for recognising private remedies for the breach of </w:t>
      </w:r>
      <w:r w:rsidR="00393803" w:rsidRPr="00150F3D">
        <w:rPr>
          <w:rFonts w:ascii="Times New Roman" w:hAnsi="Times New Roman" w:cs="Times New Roman"/>
          <w:color w:val="000000"/>
          <w:sz w:val="24"/>
          <w:szCs w:val="24"/>
          <w:shd w:val="clear" w:color="auto" w:fill="FFFFFF"/>
        </w:rPr>
        <w:t xml:space="preserve">the </w:t>
      </w:r>
      <w:r w:rsidR="001148EA" w:rsidRPr="00150F3D">
        <w:rPr>
          <w:rFonts w:ascii="Times New Roman" w:hAnsi="Times New Roman" w:cs="Times New Roman"/>
          <w:color w:val="000000"/>
          <w:sz w:val="24"/>
          <w:szCs w:val="24"/>
          <w:shd w:val="clear" w:color="auto" w:fill="FFFFFF"/>
        </w:rPr>
        <w:t>law of nations, the court cautioned that this is subject to ‘vigilant door</w:t>
      </w:r>
      <w:r w:rsidR="008E0288" w:rsidRPr="00150F3D">
        <w:rPr>
          <w:rFonts w:ascii="Times New Roman" w:hAnsi="Times New Roman" w:cs="Times New Roman"/>
          <w:color w:val="000000"/>
          <w:sz w:val="24"/>
          <w:szCs w:val="24"/>
          <w:shd w:val="clear" w:color="auto" w:fill="FFFFFF"/>
        </w:rPr>
        <w:t xml:space="preserve"> </w:t>
      </w:r>
      <w:r w:rsidR="001148EA" w:rsidRPr="00150F3D">
        <w:rPr>
          <w:rFonts w:ascii="Times New Roman" w:hAnsi="Times New Roman" w:cs="Times New Roman"/>
          <w:color w:val="000000"/>
          <w:sz w:val="24"/>
          <w:szCs w:val="24"/>
          <w:shd w:val="clear" w:color="auto" w:fill="FFFFFF"/>
        </w:rPr>
        <w:t>keeping, and thus open to a narrow class of international norms today’</w:t>
      </w:r>
      <w:r w:rsidR="00C25DCD">
        <w:rPr>
          <w:rFonts w:ascii="Times New Roman" w:hAnsi="Times New Roman" w:cs="Times New Roman"/>
          <w:color w:val="000000"/>
          <w:sz w:val="24"/>
          <w:szCs w:val="24"/>
          <w:shd w:val="clear" w:color="auto" w:fill="FFFFFF"/>
        </w:rPr>
        <w:t>.</w:t>
      </w:r>
      <w:r w:rsidR="001148EA" w:rsidRPr="00150F3D">
        <w:rPr>
          <w:rFonts w:ascii="Times New Roman" w:hAnsi="Times New Roman" w:cs="Times New Roman"/>
          <w:color w:val="000000"/>
          <w:sz w:val="24"/>
          <w:szCs w:val="24"/>
          <w:shd w:val="clear" w:color="auto" w:fill="FFFFFF"/>
          <w:vertAlign w:val="superscript"/>
        </w:rPr>
        <w:footnoteReference w:id="51"/>
      </w:r>
      <w:r w:rsidR="001148EA" w:rsidRPr="00150F3D">
        <w:rPr>
          <w:rFonts w:ascii="Times New Roman" w:hAnsi="Times New Roman" w:cs="Times New Roman"/>
          <w:color w:val="000000"/>
          <w:sz w:val="24"/>
          <w:szCs w:val="24"/>
          <w:shd w:val="clear" w:color="auto" w:fill="FFFFFF"/>
        </w:rPr>
        <w:t> </w:t>
      </w:r>
      <w:r w:rsidR="00393803" w:rsidRPr="00150F3D">
        <w:rPr>
          <w:rFonts w:ascii="Times New Roman" w:hAnsi="Times New Roman" w:cs="Times New Roman"/>
          <w:color w:val="000000"/>
          <w:sz w:val="24"/>
          <w:szCs w:val="24"/>
          <w:shd w:val="clear" w:color="auto" w:fill="FFFFFF"/>
        </w:rPr>
        <w:t xml:space="preserve">This stipulation does in principle </w:t>
      </w:r>
      <w:r w:rsidR="00693A89" w:rsidRPr="00150F3D">
        <w:rPr>
          <w:rFonts w:ascii="Times New Roman" w:hAnsi="Times New Roman" w:cs="Times New Roman"/>
          <w:color w:val="000000"/>
          <w:sz w:val="24"/>
          <w:szCs w:val="24"/>
          <w:shd w:val="clear" w:color="auto" w:fill="FFFFFF"/>
        </w:rPr>
        <w:t xml:space="preserve">potentially </w:t>
      </w:r>
      <w:r w:rsidR="00393803" w:rsidRPr="00150F3D">
        <w:rPr>
          <w:rFonts w:ascii="Times New Roman" w:hAnsi="Times New Roman" w:cs="Times New Roman"/>
          <w:color w:val="000000"/>
          <w:sz w:val="24"/>
          <w:szCs w:val="24"/>
          <w:shd w:val="clear" w:color="auto" w:fill="FFFFFF"/>
        </w:rPr>
        <w:t xml:space="preserve">clash with the </w:t>
      </w:r>
      <w:r w:rsidR="001148EA" w:rsidRPr="00150F3D">
        <w:rPr>
          <w:rFonts w:ascii="Times New Roman" w:hAnsi="Times New Roman" w:cs="Times New Roman"/>
          <w:i/>
          <w:iCs/>
          <w:color w:val="000000"/>
          <w:sz w:val="24"/>
          <w:szCs w:val="24"/>
          <w:shd w:val="clear" w:color="auto" w:fill="FFFFFF"/>
        </w:rPr>
        <w:t>Erie</w:t>
      </w:r>
      <w:r w:rsidR="001148EA" w:rsidRPr="00150F3D">
        <w:rPr>
          <w:rFonts w:ascii="Times New Roman" w:hAnsi="Times New Roman" w:cs="Times New Roman"/>
          <w:color w:val="000000"/>
          <w:sz w:val="24"/>
          <w:szCs w:val="24"/>
          <w:shd w:val="clear" w:color="auto" w:fill="FFFFFF"/>
        </w:rPr>
        <w:t> </w:t>
      </w:r>
      <w:r w:rsidR="00CD6060" w:rsidRPr="00150F3D">
        <w:rPr>
          <w:rFonts w:ascii="Times New Roman" w:hAnsi="Times New Roman" w:cs="Times New Roman"/>
          <w:color w:val="000000"/>
          <w:sz w:val="24"/>
          <w:szCs w:val="24"/>
          <w:shd w:val="clear" w:color="auto" w:fill="FFFFFF"/>
        </w:rPr>
        <w:t xml:space="preserve">v </w:t>
      </w:r>
      <w:r w:rsidR="00CD6060" w:rsidRPr="00150F3D">
        <w:rPr>
          <w:rFonts w:ascii="Times New Roman" w:hAnsi="Times New Roman" w:cs="Times New Roman"/>
          <w:i/>
          <w:iCs/>
          <w:color w:val="000000"/>
          <w:sz w:val="24"/>
          <w:szCs w:val="24"/>
          <w:shd w:val="clear" w:color="auto" w:fill="FFFFFF"/>
        </w:rPr>
        <w:t>Tompkins</w:t>
      </w:r>
      <w:r w:rsidR="00CD6060" w:rsidRPr="00150F3D">
        <w:rPr>
          <w:rFonts w:ascii="Times New Roman" w:hAnsi="Times New Roman" w:cs="Times New Roman"/>
          <w:color w:val="000000"/>
          <w:sz w:val="24"/>
          <w:szCs w:val="24"/>
          <w:shd w:val="clear" w:color="auto" w:fill="FFFFFF"/>
        </w:rPr>
        <w:t xml:space="preserve"> </w:t>
      </w:r>
      <w:r w:rsidR="00393803" w:rsidRPr="00150F3D">
        <w:rPr>
          <w:rFonts w:ascii="Times New Roman" w:hAnsi="Times New Roman" w:cs="Times New Roman"/>
          <w:color w:val="000000"/>
          <w:sz w:val="24"/>
          <w:szCs w:val="24"/>
          <w:shd w:val="clear" w:color="auto" w:fill="FFFFFF"/>
        </w:rPr>
        <w:t>doctrine</w:t>
      </w:r>
      <w:r w:rsidR="00265E3B">
        <w:rPr>
          <w:rFonts w:ascii="Times New Roman" w:hAnsi="Times New Roman" w:cs="Times New Roman"/>
          <w:color w:val="000000"/>
          <w:sz w:val="24"/>
          <w:szCs w:val="24"/>
          <w:shd w:val="clear" w:color="auto" w:fill="FFFFFF"/>
        </w:rPr>
        <w:t>,</w:t>
      </w:r>
      <w:r w:rsidR="00393803" w:rsidRPr="00150F3D">
        <w:rPr>
          <w:rFonts w:ascii="Times New Roman" w:hAnsi="Times New Roman" w:cs="Times New Roman"/>
          <w:color w:val="000000"/>
          <w:sz w:val="24"/>
          <w:szCs w:val="24"/>
          <w:shd w:val="clear" w:color="auto" w:fill="FFFFFF"/>
        </w:rPr>
        <w:t xml:space="preserve"> which basically </w:t>
      </w:r>
      <w:r w:rsidR="00A40596" w:rsidRPr="00150F3D">
        <w:rPr>
          <w:rFonts w:ascii="Times New Roman" w:hAnsi="Times New Roman" w:cs="Times New Roman"/>
          <w:color w:val="000000"/>
          <w:sz w:val="24"/>
          <w:szCs w:val="24"/>
          <w:shd w:val="clear" w:color="auto" w:fill="FFFFFF"/>
        </w:rPr>
        <w:t>limited</w:t>
      </w:r>
      <w:r w:rsidR="00CD6060" w:rsidRPr="00150F3D">
        <w:rPr>
          <w:rFonts w:ascii="Times New Roman" w:hAnsi="Times New Roman" w:cs="Times New Roman"/>
          <w:color w:val="000000"/>
          <w:sz w:val="24"/>
          <w:szCs w:val="24"/>
          <w:shd w:val="clear" w:color="auto" w:fill="FFFFFF"/>
        </w:rPr>
        <w:t xml:space="preserve"> the court’s ability </w:t>
      </w:r>
      <w:r w:rsidR="00A40596" w:rsidRPr="00150F3D">
        <w:rPr>
          <w:rFonts w:ascii="Times New Roman" w:hAnsi="Times New Roman" w:cs="Times New Roman"/>
          <w:color w:val="000000"/>
          <w:sz w:val="24"/>
          <w:szCs w:val="24"/>
          <w:shd w:val="clear" w:color="auto" w:fill="FFFFFF"/>
        </w:rPr>
        <w:t>to</w:t>
      </w:r>
      <w:r w:rsidR="00CD6060" w:rsidRPr="00150F3D">
        <w:rPr>
          <w:rFonts w:ascii="Times New Roman" w:hAnsi="Times New Roman" w:cs="Times New Roman"/>
          <w:color w:val="000000"/>
          <w:sz w:val="24"/>
          <w:szCs w:val="24"/>
          <w:shd w:val="clear" w:color="auto" w:fill="FFFFFF"/>
        </w:rPr>
        <w:t xml:space="preserve"> </w:t>
      </w:r>
      <w:r w:rsidR="00831BAF">
        <w:rPr>
          <w:rFonts w:ascii="Times New Roman" w:hAnsi="Times New Roman" w:cs="Times New Roman"/>
          <w:color w:val="000000"/>
          <w:sz w:val="24"/>
          <w:szCs w:val="24"/>
          <w:shd w:val="clear" w:color="auto" w:fill="FFFFFF"/>
        </w:rPr>
        <w:t>create</w:t>
      </w:r>
      <w:r w:rsidR="00CD6060" w:rsidRPr="00150F3D">
        <w:rPr>
          <w:rFonts w:ascii="Times New Roman" w:hAnsi="Times New Roman" w:cs="Times New Roman"/>
          <w:color w:val="000000"/>
          <w:sz w:val="24"/>
          <w:szCs w:val="24"/>
          <w:shd w:val="clear" w:color="auto" w:fill="FFFFFF"/>
        </w:rPr>
        <w:t xml:space="preserve"> </w:t>
      </w:r>
      <w:r w:rsidR="00393803" w:rsidRPr="00150F3D">
        <w:rPr>
          <w:rFonts w:ascii="Times New Roman" w:hAnsi="Times New Roman" w:cs="Times New Roman"/>
          <w:color w:val="000000"/>
          <w:sz w:val="24"/>
          <w:szCs w:val="24"/>
          <w:shd w:val="clear" w:color="auto" w:fill="FFFFFF"/>
        </w:rPr>
        <w:t xml:space="preserve">a general </w:t>
      </w:r>
      <w:r w:rsidR="00CD6060" w:rsidRPr="00150F3D">
        <w:rPr>
          <w:rFonts w:ascii="Times New Roman" w:hAnsi="Times New Roman" w:cs="Times New Roman"/>
          <w:color w:val="000000"/>
          <w:sz w:val="24"/>
          <w:szCs w:val="24"/>
          <w:shd w:val="clear" w:color="auto" w:fill="FFFFFF"/>
        </w:rPr>
        <w:t>federal common law</w:t>
      </w:r>
      <w:r w:rsidR="00C25DCD">
        <w:rPr>
          <w:rFonts w:ascii="Times New Roman" w:hAnsi="Times New Roman" w:cs="Times New Roman"/>
          <w:color w:val="000000"/>
          <w:sz w:val="24"/>
          <w:szCs w:val="24"/>
          <w:shd w:val="clear" w:color="auto" w:fill="FFFFFF"/>
        </w:rPr>
        <w:t>.</w:t>
      </w:r>
      <w:r w:rsidR="00CD6060" w:rsidRPr="00150F3D">
        <w:rPr>
          <w:rStyle w:val="FootnoteReference"/>
          <w:rFonts w:ascii="Times New Roman" w:hAnsi="Times New Roman" w:cs="Times New Roman"/>
          <w:color w:val="000000"/>
          <w:sz w:val="24"/>
          <w:szCs w:val="24"/>
          <w:shd w:val="clear" w:color="auto" w:fill="FFFFFF"/>
        </w:rPr>
        <w:footnoteReference w:id="52"/>
      </w:r>
      <w:r w:rsidR="00393803" w:rsidRPr="00150F3D">
        <w:rPr>
          <w:rFonts w:ascii="Times New Roman" w:hAnsi="Times New Roman" w:cs="Times New Roman"/>
          <w:color w:val="000000"/>
          <w:sz w:val="24"/>
          <w:szCs w:val="24"/>
          <w:shd w:val="clear" w:color="auto" w:fill="FFFFFF"/>
        </w:rPr>
        <w:t xml:space="preserve"> </w:t>
      </w:r>
      <w:r w:rsidR="00693A89" w:rsidRPr="00150F3D">
        <w:rPr>
          <w:rFonts w:ascii="Times New Roman" w:hAnsi="Times New Roman" w:cs="Times New Roman"/>
          <w:color w:val="000000"/>
          <w:sz w:val="24"/>
          <w:szCs w:val="24"/>
          <w:shd w:val="clear" w:color="auto" w:fill="FFFFFF"/>
        </w:rPr>
        <w:t xml:space="preserve">However, </w:t>
      </w:r>
      <w:r w:rsidR="00CD6060" w:rsidRPr="00150F3D">
        <w:rPr>
          <w:rFonts w:ascii="Times New Roman" w:hAnsi="Times New Roman" w:cs="Times New Roman"/>
          <w:i/>
          <w:iCs/>
          <w:color w:val="000000"/>
          <w:sz w:val="24"/>
          <w:szCs w:val="24"/>
          <w:shd w:val="clear" w:color="auto" w:fill="FFFFFF"/>
        </w:rPr>
        <w:t>Erie</w:t>
      </w:r>
      <w:r w:rsidR="00CD6060" w:rsidRPr="00150F3D">
        <w:rPr>
          <w:rFonts w:ascii="Times New Roman" w:hAnsi="Times New Roman" w:cs="Times New Roman"/>
          <w:color w:val="000000"/>
          <w:sz w:val="24"/>
          <w:szCs w:val="24"/>
          <w:shd w:val="clear" w:color="auto" w:fill="FFFFFF"/>
        </w:rPr>
        <w:t xml:space="preserve"> </w:t>
      </w:r>
      <w:r w:rsidR="001148EA" w:rsidRPr="00150F3D">
        <w:rPr>
          <w:rFonts w:ascii="Times New Roman" w:hAnsi="Times New Roman" w:cs="Times New Roman"/>
          <w:color w:val="000000"/>
          <w:sz w:val="24"/>
          <w:szCs w:val="24"/>
          <w:shd w:val="clear" w:color="auto" w:fill="FFFFFF"/>
        </w:rPr>
        <w:t xml:space="preserve">did not </w:t>
      </w:r>
      <w:r w:rsidR="00A40596" w:rsidRPr="00150F3D">
        <w:rPr>
          <w:rFonts w:ascii="Times New Roman" w:hAnsi="Times New Roman" w:cs="Times New Roman"/>
          <w:color w:val="000000"/>
          <w:sz w:val="24"/>
          <w:szCs w:val="24"/>
          <w:shd w:val="clear" w:color="auto" w:fill="FFFFFF"/>
        </w:rPr>
        <w:t xml:space="preserve">categorically </w:t>
      </w:r>
      <w:r w:rsidR="00C25DCD">
        <w:rPr>
          <w:rFonts w:ascii="Times New Roman" w:hAnsi="Times New Roman" w:cs="Times New Roman"/>
          <w:color w:val="000000"/>
          <w:sz w:val="24"/>
          <w:szCs w:val="24"/>
          <w:shd w:val="clear" w:color="auto" w:fill="FFFFFF"/>
        </w:rPr>
        <w:t>‘</w:t>
      </w:r>
      <w:r w:rsidR="001148EA" w:rsidRPr="00150F3D">
        <w:rPr>
          <w:rFonts w:ascii="Times New Roman" w:hAnsi="Times New Roman" w:cs="Times New Roman"/>
          <w:color w:val="000000"/>
          <w:sz w:val="24"/>
          <w:szCs w:val="24"/>
          <w:shd w:val="clear" w:color="auto" w:fill="FFFFFF"/>
        </w:rPr>
        <w:t>bar any judicial recognition of new substantive rules</w:t>
      </w:r>
      <w:r w:rsidR="00A40596" w:rsidRPr="00150F3D">
        <w:rPr>
          <w:rFonts w:ascii="Times New Roman" w:hAnsi="Times New Roman" w:cs="Times New Roman"/>
          <w:color w:val="000000"/>
          <w:sz w:val="24"/>
          <w:szCs w:val="24"/>
          <w:shd w:val="clear" w:color="auto" w:fill="FFFFFF"/>
        </w:rPr>
        <w:t xml:space="preserve">, </w:t>
      </w:r>
      <w:r w:rsidR="001148EA" w:rsidRPr="00150F3D">
        <w:rPr>
          <w:rFonts w:ascii="Times New Roman" w:hAnsi="Times New Roman" w:cs="Times New Roman"/>
          <w:color w:val="000000"/>
          <w:sz w:val="24"/>
          <w:szCs w:val="24"/>
          <w:shd w:val="clear" w:color="auto" w:fill="FFFFFF"/>
        </w:rPr>
        <w:t>no matter what the circumstances</w:t>
      </w:r>
      <w:r w:rsidR="00A40596" w:rsidRPr="00150F3D">
        <w:rPr>
          <w:rFonts w:ascii="Times New Roman" w:hAnsi="Times New Roman" w:cs="Times New Roman"/>
          <w:color w:val="000000"/>
          <w:sz w:val="24"/>
          <w:szCs w:val="24"/>
          <w:shd w:val="clear" w:color="auto" w:fill="FFFFFF"/>
        </w:rPr>
        <w:t xml:space="preserve"> are</w:t>
      </w:r>
      <w:r w:rsidR="001148EA" w:rsidRPr="00150F3D">
        <w:rPr>
          <w:rFonts w:ascii="Times New Roman" w:hAnsi="Times New Roman" w:cs="Times New Roman"/>
          <w:color w:val="000000"/>
          <w:sz w:val="24"/>
          <w:szCs w:val="24"/>
          <w:shd w:val="clear" w:color="auto" w:fill="FFFFFF"/>
        </w:rPr>
        <w:t>, and post-</w:t>
      </w:r>
      <w:r w:rsidR="001148EA" w:rsidRPr="00150F3D">
        <w:rPr>
          <w:rFonts w:ascii="Times New Roman" w:hAnsi="Times New Roman" w:cs="Times New Roman"/>
          <w:i/>
          <w:iCs/>
          <w:color w:val="000000"/>
          <w:sz w:val="24"/>
          <w:szCs w:val="24"/>
          <w:shd w:val="clear" w:color="auto" w:fill="FFFFFF"/>
        </w:rPr>
        <w:t>Erie</w:t>
      </w:r>
      <w:r w:rsidR="001148EA" w:rsidRPr="00150F3D">
        <w:rPr>
          <w:rFonts w:ascii="Times New Roman" w:hAnsi="Times New Roman" w:cs="Times New Roman"/>
          <w:color w:val="000000"/>
          <w:sz w:val="24"/>
          <w:szCs w:val="24"/>
          <w:shd w:val="clear" w:color="auto" w:fill="FFFFFF"/>
        </w:rPr>
        <w:t> understanding has identified limited enclaves in which federal courts may derive some substantive law in a common law way</w:t>
      </w:r>
      <w:r w:rsidR="00C25DCD">
        <w:rPr>
          <w:rFonts w:ascii="Times New Roman" w:hAnsi="Times New Roman" w:cs="Times New Roman"/>
          <w:color w:val="000000"/>
          <w:sz w:val="24"/>
          <w:szCs w:val="24"/>
          <w:shd w:val="clear" w:color="auto" w:fill="FFFFFF"/>
        </w:rPr>
        <w:t>’.</w:t>
      </w:r>
      <w:r w:rsidR="00A40596" w:rsidRPr="00150F3D">
        <w:rPr>
          <w:rStyle w:val="FootnoteReference"/>
          <w:rFonts w:ascii="Times New Roman" w:hAnsi="Times New Roman" w:cs="Times New Roman"/>
          <w:color w:val="000000"/>
          <w:sz w:val="24"/>
          <w:szCs w:val="24"/>
          <w:shd w:val="clear" w:color="auto" w:fill="FFFFFF"/>
        </w:rPr>
        <w:footnoteReference w:id="53"/>
      </w:r>
    </w:p>
    <w:p w14:paraId="464A1253" w14:textId="37779E88" w:rsidR="001148EA" w:rsidRPr="00150F3D" w:rsidRDefault="001148EA" w:rsidP="00B82299">
      <w:pPr>
        <w:spacing w:before="120" w:after="240" w:line="360" w:lineRule="auto"/>
        <w:jc w:val="both"/>
        <w:rPr>
          <w:rFonts w:ascii="Times New Roman" w:hAnsi="Times New Roman" w:cs="Times New Roman"/>
          <w:color w:val="000000"/>
          <w:sz w:val="24"/>
          <w:szCs w:val="24"/>
          <w:shd w:val="clear" w:color="auto" w:fill="FFFFFF"/>
        </w:rPr>
      </w:pPr>
      <w:r w:rsidRPr="00150F3D">
        <w:rPr>
          <w:rFonts w:ascii="Times New Roman" w:hAnsi="Times New Roman" w:cs="Times New Roman"/>
          <w:color w:val="000000"/>
          <w:sz w:val="24"/>
          <w:szCs w:val="24"/>
          <w:shd w:val="clear" w:color="auto" w:fill="FFFFFF"/>
        </w:rPr>
        <w:t xml:space="preserve"> Justice So</w:t>
      </w:r>
      <w:r w:rsidR="00CC1BD5" w:rsidRPr="00150F3D">
        <w:rPr>
          <w:rFonts w:ascii="Times New Roman" w:hAnsi="Times New Roman" w:cs="Times New Roman"/>
          <w:color w:val="000000"/>
          <w:sz w:val="24"/>
          <w:szCs w:val="24"/>
          <w:shd w:val="clear" w:color="auto" w:fill="FFFFFF"/>
        </w:rPr>
        <w:t>to</w:t>
      </w:r>
      <w:r w:rsidRPr="00150F3D">
        <w:rPr>
          <w:rFonts w:ascii="Times New Roman" w:hAnsi="Times New Roman" w:cs="Times New Roman"/>
          <w:color w:val="000000"/>
          <w:sz w:val="24"/>
          <w:szCs w:val="24"/>
          <w:shd w:val="clear" w:color="auto" w:fill="FFFFFF"/>
        </w:rPr>
        <w:t>ma</w:t>
      </w:r>
      <w:r w:rsidR="00CC1BD5" w:rsidRPr="00150F3D">
        <w:rPr>
          <w:rFonts w:ascii="Times New Roman" w:hAnsi="Times New Roman" w:cs="Times New Roman"/>
          <w:color w:val="000000"/>
          <w:sz w:val="24"/>
          <w:szCs w:val="24"/>
          <w:shd w:val="clear" w:color="auto" w:fill="FFFFFF"/>
        </w:rPr>
        <w:t>y</w:t>
      </w:r>
      <w:r w:rsidRPr="00150F3D">
        <w:rPr>
          <w:rFonts w:ascii="Times New Roman" w:hAnsi="Times New Roman" w:cs="Times New Roman"/>
          <w:color w:val="000000"/>
          <w:sz w:val="24"/>
          <w:szCs w:val="24"/>
          <w:shd w:val="clear" w:color="auto" w:fill="FFFFFF"/>
        </w:rPr>
        <w:t xml:space="preserve">or in </w:t>
      </w:r>
      <w:r w:rsidR="00CC1BD5" w:rsidRPr="00150F3D">
        <w:rPr>
          <w:rFonts w:ascii="Times New Roman" w:hAnsi="Times New Roman" w:cs="Times New Roman"/>
          <w:i/>
          <w:iCs/>
          <w:color w:val="000000"/>
          <w:sz w:val="24"/>
          <w:szCs w:val="24"/>
          <w:shd w:val="clear" w:color="auto" w:fill="FFFFFF"/>
        </w:rPr>
        <w:t>Jesner</w:t>
      </w:r>
      <w:r w:rsidR="00CC1BD5" w:rsidRPr="00150F3D">
        <w:rPr>
          <w:rFonts w:ascii="Times New Roman" w:hAnsi="Times New Roman" w:cs="Times New Roman"/>
          <w:color w:val="000000"/>
          <w:sz w:val="24"/>
          <w:szCs w:val="24"/>
          <w:shd w:val="clear" w:color="auto" w:fill="FFFFFF"/>
        </w:rPr>
        <w:t xml:space="preserve"> v. </w:t>
      </w:r>
      <w:r w:rsidRPr="00150F3D">
        <w:rPr>
          <w:rFonts w:ascii="Times New Roman" w:hAnsi="Times New Roman" w:cs="Times New Roman"/>
          <w:i/>
          <w:iCs/>
          <w:color w:val="000000"/>
          <w:sz w:val="24"/>
          <w:szCs w:val="24"/>
          <w:shd w:val="clear" w:color="auto" w:fill="FFFFFF"/>
        </w:rPr>
        <w:t>Arab Bank</w:t>
      </w:r>
      <w:r w:rsidRPr="00150F3D">
        <w:rPr>
          <w:rFonts w:ascii="Times New Roman" w:hAnsi="Times New Roman" w:cs="Times New Roman"/>
          <w:color w:val="000000"/>
          <w:sz w:val="24"/>
          <w:szCs w:val="24"/>
          <w:shd w:val="clear" w:color="auto" w:fill="FFFFFF"/>
        </w:rPr>
        <w:t xml:space="preserve"> </w:t>
      </w:r>
      <w:r w:rsidR="00F67F1D" w:rsidRPr="00150F3D">
        <w:rPr>
          <w:rFonts w:ascii="Times New Roman" w:hAnsi="Times New Roman" w:cs="Times New Roman"/>
          <w:color w:val="000000"/>
          <w:sz w:val="24"/>
          <w:szCs w:val="24"/>
          <w:shd w:val="clear" w:color="auto" w:fill="FFFFFF"/>
        </w:rPr>
        <w:t xml:space="preserve">understood </w:t>
      </w:r>
      <w:r w:rsidR="00F67F1D" w:rsidRPr="00150F3D">
        <w:rPr>
          <w:rFonts w:ascii="Times New Roman" w:hAnsi="Times New Roman" w:cs="Times New Roman"/>
          <w:i/>
          <w:iCs/>
          <w:color w:val="000000"/>
          <w:sz w:val="24"/>
          <w:szCs w:val="24"/>
          <w:shd w:val="clear" w:color="auto" w:fill="FFFFFF"/>
        </w:rPr>
        <w:t>Sosa</w:t>
      </w:r>
      <w:r w:rsidR="00F67F1D" w:rsidRPr="00150F3D">
        <w:rPr>
          <w:rFonts w:ascii="Times New Roman" w:hAnsi="Times New Roman" w:cs="Times New Roman"/>
          <w:color w:val="000000"/>
          <w:sz w:val="24"/>
          <w:szCs w:val="24"/>
          <w:shd w:val="clear" w:color="auto" w:fill="FFFFFF"/>
        </w:rPr>
        <w:t xml:space="preserve"> to impose a </w:t>
      </w:r>
      <w:r w:rsidRPr="00150F3D">
        <w:rPr>
          <w:rFonts w:ascii="Times New Roman" w:hAnsi="Times New Roman" w:cs="Times New Roman"/>
          <w:color w:val="000000"/>
          <w:sz w:val="24"/>
          <w:szCs w:val="24"/>
          <w:shd w:val="clear" w:color="auto" w:fill="FFFFFF"/>
        </w:rPr>
        <w:t xml:space="preserve">two-step </w:t>
      </w:r>
      <w:r w:rsidR="00F67F1D" w:rsidRPr="00150F3D">
        <w:rPr>
          <w:rFonts w:ascii="Times New Roman" w:hAnsi="Times New Roman" w:cs="Times New Roman"/>
          <w:color w:val="000000"/>
          <w:sz w:val="24"/>
          <w:szCs w:val="24"/>
          <w:shd w:val="clear" w:color="auto" w:fill="FFFFFF"/>
        </w:rPr>
        <w:t>enquiry,</w:t>
      </w:r>
      <w:r w:rsidRPr="00150F3D">
        <w:rPr>
          <w:rFonts w:ascii="Times New Roman" w:hAnsi="Times New Roman" w:cs="Times New Roman"/>
          <w:color w:val="000000"/>
          <w:sz w:val="24"/>
          <w:szCs w:val="24"/>
          <w:shd w:val="clear" w:color="auto" w:fill="FFFFFF"/>
        </w:rPr>
        <w:t xml:space="preserve"> which will guide the enquiry when recognizing private causes of action</w:t>
      </w:r>
      <w:bookmarkStart w:id="25" w:name="_Ref131848390"/>
      <w:r w:rsidR="00C25DCD">
        <w:rPr>
          <w:rFonts w:ascii="Times New Roman" w:hAnsi="Times New Roman" w:cs="Times New Roman"/>
          <w:color w:val="000000"/>
          <w:sz w:val="24"/>
          <w:szCs w:val="24"/>
          <w:shd w:val="clear" w:color="auto" w:fill="FFFFFF"/>
        </w:rPr>
        <w:t>.</w:t>
      </w:r>
      <w:r w:rsidRPr="00150F3D">
        <w:rPr>
          <w:rStyle w:val="FootnoteReference"/>
          <w:rFonts w:ascii="Times New Roman" w:hAnsi="Times New Roman" w:cs="Times New Roman"/>
          <w:color w:val="000000"/>
          <w:sz w:val="24"/>
          <w:szCs w:val="24"/>
          <w:shd w:val="clear" w:color="auto" w:fill="FFFFFF"/>
        </w:rPr>
        <w:footnoteReference w:id="54"/>
      </w:r>
      <w:bookmarkEnd w:id="25"/>
      <w:r w:rsidRPr="00150F3D">
        <w:rPr>
          <w:rFonts w:ascii="Times New Roman" w:hAnsi="Times New Roman" w:cs="Times New Roman"/>
          <w:color w:val="000000"/>
          <w:sz w:val="24"/>
          <w:szCs w:val="24"/>
          <w:shd w:val="clear" w:color="auto" w:fill="FFFFFF"/>
        </w:rPr>
        <w:t xml:space="preserve"> First, a court must determine whether the particular international law norm alleged to have been violate</w:t>
      </w:r>
      <w:r w:rsidR="008E0288" w:rsidRPr="00150F3D">
        <w:rPr>
          <w:rFonts w:ascii="Times New Roman" w:hAnsi="Times New Roman" w:cs="Times New Roman"/>
          <w:color w:val="000000"/>
          <w:sz w:val="24"/>
          <w:szCs w:val="24"/>
          <w:shd w:val="clear" w:color="auto" w:fill="FFFFFF"/>
        </w:rPr>
        <w:t>d</w:t>
      </w:r>
      <w:r w:rsidRPr="00150F3D">
        <w:rPr>
          <w:rFonts w:ascii="Times New Roman" w:hAnsi="Times New Roman" w:cs="Times New Roman"/>
          <w:color w:val="000000"/>
          <w:sz w:val="24"/>
          <w:szCs w:val="24"/>
          <w:shd w:val="clear" w:color="auto" w:fill="FFFFFF"/>
        </w:rPr>
        <w:t xml:space="preserve"> is accepted by the </w:t>
      </w:r>
      <w:r w:rsidR="00B108A4" w:rsidRPr="00150F3D">
        <w:rPr>
          <w:rFonts w:ascii="Times New Roman" w:hAnsi="Times New Roman" w:cs="Times New Roman"/>
          <w:color w:val="000000"/>
          <w:sz w:val="24"/>
          <w:szCs w:val="24"/>
          <w:shd w:val="clear" w:color="auto" w:fill="FFFFFF"/>
        </w:rPr>
        <w:t>civili</w:t>
      </w:r>
      <w:r w:rsidR="00B108A4">
        <w:rPr>
          <w:rFonts w:ascii="Times New Roman" w:hAnsi="Times New Roman" w:cs="Times New Roman"/>
          <w:color w:val="000000"/>
          <w:sz w:val="24"/>
          <w:szCs w:val="24"/>
          <w:shd w:val="clear" w:color="auto" w:fill="FFFFFF"/>
        </w:rPr>
        <w:t>s</w:t>
      </w:r>
      <w:r w:rsidR="00B108A4" w:rsidRPr="00150F3D">
        <w:rPr>
          <w:rFonts w:ascii="Times New Roman" w:hAnsi="Times New Roman" w:cs="Times New Roman"/>
          <w:color w:val="000000"/>
          <w:sz w:val="24"/>
          <w:szCs w:val="24"/>
          <w:shd w:val="clear" w:color="auto" w:fill="FFFFFF"/>
        </w:rPr>
        <w:t xml:space="preserve">ed </w:t>
      </w:r>
      <w:r w:rsidRPr="00150F3D">
        <w:rPr>
          <w:rFonts w:ascii="Times New Roman" w:hAnsi="Times New Roman" w:cs="Times New Roman"/>
          <w:color w:val="000000"/>
          <w:sz w:val="24"/>
          <w:szCs w:val="24"/>
          <w:shd w:val="clear" w:color="auto" w:fill="FFFFFF"/>
        </w:rPr>
        <w:t xml:space="preserve">world and defined with </w:t>
      </w:r>
      <w:r w:rsidR="00BB5F55">
        <w:rPr>
          <w:rFonts w:ascii="Times New Roman" w:hAnsi="Times New Roman" w:cs="Times New Roman"/>
          <w:color w:val="000000"/>
          <w:sz w:val="24"/>
          <w:szCs w:val="24"/>
          <w:shd w:val="clear" w:color="auto" w:fill="FFFFFF"/>
        </w:rPr>
        <w:t xml:space="preserve">a </w:t>
      </w:r>
      <w:r w:rsidR="00CC1BD5" w:rsidRPr="00150F3D">
        <w:rPr>
          <w:rFonts w:ascii="Times New Roman" w:hAnsi="Times New Roman" w:cs="Times New Roman"/>
          <w:color w:val="000000"/>
          <w:sz w:val="24"/>
          <w:szCs w:val="24"/>
          <w:shd w:val="clear" w:color="auto" w:fill="FFFFFF"/>
        </w:rPr>
        <w:t>specificity</w:t>
      </w:r>
      <w:r w:rsidRPr="00150F3D">
        <w:rPr>
          <w:rFonts w:ascii="Times New Roman" w:hAnsi="Times New Roman" w:cs="Times New Roman"/>
          <w:color w:val="000000"/>
          <w:sz w:val="24"/>
          <w:szCs w:val="24"/>
          <w:shd w:val="clear" w:color="auto" w:fill="FFFFFF"/>
        </w:rPr>
        <w:t xml:space="preserve"> comparable to the features of the </w:t>
      </w:r>
      <w:r w:rsidR="00831BAF">
        <w:rPr>
          <w:rFonts w:ascii="Times New Roman" w:hAnsi="Times New Roman" w:cs="Times New Roman"/>
          <w:color w:val="000000"/>
          <w:sz w:val="24"/>
          <w:szCs w:val="24"/>
          <w:shd w:val="clear" w:color="auto" w:fill="FFFFFF"/>
        </w:rPr>
        <w:t>18</w:t>
      </w:r>
      <w:r w:rsidR="00831BAF" w:rsidRPr="00831BAF">
        <w:rPr>
          <w:rFonts w:ascii="Times New Roman" w:hAnsi="Times New Roman" w:cs="Times New Roman"/>
          <w:color w:val="000000"/>
          <w:sz w:val="24"/>
          <w:szCs w:val="24"/>
          <w:shd w:val="clear" w:color="auto" w:fill="FFFFFF"/>
          <w:vertAlign w:val="superscript"/>
        </w:rPr>
        <w:t>th</w:t>
      </w:r>
      <w:r w:rsidR="00831BAF">
        <w:rPr>
          <w:rFonts w:ascii="Times New Roman" w:hAnsi="Times New Roman" w:cs="Times New Roman"/>
          <w:color w:val="000000"/>
          <w:sz w:val="24"/>
          <w:szCs w:val="24"/>
          <w:shd w:val="clear" w:color="auto" w:fill="FFFFFF"/>
        </w:rPr>
        <w:t>-century</w:t>
      </w:r>
      <w:r w:rsidRPr="00150F3D">
        <w:rPr>
          <w:rFonts w:ascii="Times New Roman" w:hAnsi="Times New Roman" w:cs="Times New Roman"/>
          <w:color w:val="000000"/>
          <w:sz w:val="24"/>
          <w:szCs w:val="24"/>
          <w:shd w:val="clear" w:color="auto" w:fill="FFFFFF"/>
        </w:rPr>
        <w:t xml:space="preserve"> paradigms, i</w:t>
      </w:r>
      <w:r w:rsidR="003E5320">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e</w:t>
      </w:r>
      <w:r w:rsidR="003E5320">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the violation of safe conduct, infringement of the rights of ambassadors, and piracy. Only if the norm is ‘specific, universal, and obligatory’, may federal courts recogni</w:t>
      </w:r>
      <w:r w:rsidR="008E0288" w:rsidRPr="00150F3D">
        <w:rPr>
          <w:rFonts w:ascii="Times New Roman" w:hAnsi="Times New Roman" w:cs="Times New Roman"/>
          <w:color w:val="000000"/>
          <w:sz w:val="24"/>
          <w:szCs w:val="24"/>
          <w:shd w:val="clear" w:color="auto" w:fill="FFFFFF"/>
        </w:rPr>
        <w:t>s</w:t>
      </w:r>
      <w:r w:rsidRPr="00150F3D">
        <w:rPr>
          <w:rFonts w:ascii="Times New Roman" w:hAnsi="Times New Roman" w:cs="Times New Roman"/>
          <w:color w:val="000000"/>
          <w:sz w:val="24"/>
          <w:szCs w:val="24"/>
          <w:shd w:val="clear" w:color="auto" w:fill="FFFFFF"/>
        </w:rPr>
        <w:t>e a cause for its violation</w:t>
      </w:r>
      <w:r w:rsidR="00C25DCD">
        <w:rPr>
          <w:rFonts w:ascii="Times New Roman" w:hAnsi="Times New Roman" w:cs="Times New Roman"/>
          <w:color w:val="000000"/>
          <w:sz w:val="24"/>
          <w:szCs w:val="24"/>
          <w:shd w:val="clear" w:color="auto" w:fill="FFFFFF"/>
        </w:rPr>
        <w:t>.</w:t>
      </w:r>
      <w:r w:rsidRPr="00150F3D">
        <w:rPr>
          <w:rFonts w:ascii="Times New Roman" w:hAnsi="Times New Roman" w:cs="Times New Roman"/>
          <w:sz w:val="24"/>
          <w:szCs w:val="24"/>
          <w:shd w:val="clear" w:color="auto" w:fill="FFFFFF"/>
          <w:vertAlign w:val="superscript"/>
        </w:rPr>
        <w:footnoteReference w:id="55"/>
      </w:r>
      <w:r w:rsidRPr="00150F3D">
        <w:rPr>
          <w:rFonts w:ascii="Times New Roman" w:hAnsi="Times New Roman" w:cs="Times New Roman"/>
          <w:color w:val="000000"/>
          <w:sz w:val="24"/>
          <w:szCs w:val="24"/>
          <w:shd w:val="clear" w:color="auto" w:fill="FFFFFF"/>
        </w:rPr>
        <w:t xml:space="preserve"> Second, if that threshold is satisfied, a court should consider whether allowing a particular case to proceed is an appropriate exercise of judicial discretion. In relation to the latter</w:t>
      </w:r>
      <w:r w:rsidR="003E5320">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there are good reasons for a restrained conception of the discretion a federal court should exercise in considering such a new cause of action, </w:t>
      </w:r>
      <w:r w:rsidR="00F67F1D" w:rsidRPr="00150F3D">
        <w:rPr>
          <w:rFonts w:ascii="Times New Roman" w:hAnsi="Times New Roman" w:cs="Times New Roman"/>
          <w:color w:val="000000"/>
          <w:sz w:val="24"/>
          <w:szCs w:val="24"/>
          <w:shd w:val="clear" w:color="auto" w:fill="FFFFFF"/>
        </w:rPr>
        <w:t>because it</w:t>
      </w:r>
      <w:r w:rsidRPr="00150F3D">
        <w:rPr>
          <w:rFonts w:ascii="Times New Roman" w:hAnsi="Times New Roman" w:cs="Times New Roman"/>
          <w:color w:val="000000"/>
          <w:sz w:val="24"/>
          <w:szCs w:val="24"/>
          <w:shd w:val="clear" w:color="auto" w:fill="FFFFFF"/>
        </w:rPr>
        <w:t xml:space="preserve"> </w:t>
      </w:r>
      <w:r w:rsidRPr="00150F3D">
        <w:rPr>
          <w:rFonts w:ascii="Times New Roman" w:hAnsi="Times New Roman" w:cs="Times New Roman"/>
          <w:color w:val="000000"/>
          <w:sz w:val="24"/>
          <w:szCs w:val="24"/>
          <w:shd w:val="clear" w:color="auto" w:fill="FFFFFF"/>
        </w:rPr>
        <w:lastRenderedPageBreak/>
        <w:t>may interfere with foreign relations, or other statutory regimes</w:t>
      </w:r>
      <w:r w:rsidR="00F67F1D" w:rsidRPr="00150F3D">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which are best left for the </w:t>
      </w:r>
      <w:r w:rsidR="00831BAF">
        <w:rPr>
          <w:rFonts w:ascii="Times New Roman" w:hAnsi="Times New Roman" w:cs="Times New Roman"/>
          <w:color w:val="000000"/>
          <w:sz w:val="24"/>
          <w:szCs w:val="24"/>
          <w:shd w:val="clear" w:color="auto" w:fill="FFFFFF"/>
        </w:rPr>
        <w:t>Congress</w:t>
      </w:r>
      <w:r w:rsidR="008E0288" w:rsidRPr="00150F3D">
        <w:rPr>
          <w:rFonts w:ascii="Times New Roman" w:hAnsi="Times New Roman" w:cs="Times New Roman"/>
          <w:color w:val="000000"/>
          <w:sz w:val="24"/>
          <w:szCs w:val="24"/>
          <w:shd w:val="clear" w:color="auto" w:fill="FFFFFF"/>
        </w:rPr>
        <w:t xml:space="preserve"> to regulate</w:t>
      </w:r>
      <w:r w:rsidRPr="00150F3D">
        <w:rPr>
          <w:rFonts w:ascii="Times New Roman" w:hAnsi="Times New Roman" w:cs="Times New Roman"/>
          <w:color w:val="000000"/>
          <w:sz w:val="24"/>
          <w:szCs w:val="24"/>
          <w:shd w:val="clear" w:color="auto" w:fill="FFFFFF"/>
        </w:rPr>
        <w:t>.</w:t>
      </w:r>
    </w:p>
    <w:p w14:paraId="2AEEABCA" w14:textId="6B9AB289" w:rsidR="00D56D05" w:rsidRPr="00150F3D" w:rsidRDefault="001148EA" w:rsidP="00B82299">
      <w:pPr>
        <w:spacing w:before="120" w:after="240" w:line="360" w:lineRule="auto"/>
        <w:jc w:val="both"/>
        <w:rPr>
          <w:rFonts w:ascii="Times New Roman" w:hAnsi="Times New Roman" w:cs="Times New Roman"/>
          <w:sz w:val="24"/>
          <w:szCs w:val="24"/>
        </w:rPr>
      </w:pPr>
      <w:r w:rsidRPr="00150F3D">
        <w:rPr>
          <w:rFonts w:ascii="Times New Roman" w:hAnsi="Times New Roman" w:cs="Times New Roman"/>
          <w:color w:val="000000"/>
          <w:sz w:val="24"/>
          <w:szCs w:val="24"/>
          <w:shd w:val="clear" w:color="auto" w:fill="FFFFFF"/>
        </w:rPr>
        <w:t xml:space="preserve">For example, in the case of </w:t>
      </w:r>
      <w:r w:rsidR="00CC1BD5" w:rsidRPr="00150F3D">
        <w:rPr>
          <w:rFonts w:ascii="Times New Roman" w:hAnsi="Times New Roman" w:cs="Times New Roman"/>
          <w:i/>
          <w:iCs/>
          <w:color w:val="000000"/>
          <w:sz w:val="24"/>
          <w:szCs w:val="24"/>
          <w:shd w:val="clear" w:color="auto" w:fill="FFFFFF"/>
        </w:rPr>
        <w:t>Jesner</w:t>
      </w:r>
      <w:r w:rsidR="00CC1BD5" w:rsidRPr="00150F3D">
        <w:rPr>
          <w:rFonts w:ascii="Times New Roman" w:hAnsi="Times New Roman" w:cs="Times New Roman"/>
          <w:color w:val="000000"/>
          <w:sz w:val="24"/>
          <w:szCs w:val="24"/>
          <w:shd w:val="clear" w:color="auto" w:fill="FFFFFF"/>
        </w:rPr>
        <w:t xml:space="preserve"> v. </w:t>
      </w:r>
      <w:r w:rsidRPr="00150F3D">
        <w:rPr>
          <w:rFonts w:ascii="Times New Roman" w:hAnsi="Times New Roman" w:cs="Times New Roman"/>
          <w:i/>
          <w:iCs/>
          <w:color w:val="000000"/>
          <w:sz w:val="24"/>
          <w:szCs w:val="24"/>
          <w:shd w:val="clear" w:color="auto" w:fill="FFFFFF"/>
        </w:rPr>
        <w:t>Arab Bank</w:t>
      </w:r>
      <w:r w:rsidRPr="00150F3D">
        <w:rPr>
          <w:rFonts w:ascii="Times New Roman" w:hAnsi="Times New Roman" w:cs="Times New Roman"/>
          <w:color w:val="000000"/>
          <w:sz w:val="24"/>
          <w:szCs w:val="24"/>
          <w:shd w:val="clear" w:color="auto" w:fill="FFFFFF"/>
        </w:rPr>
        <w:t xml:space="preserve"> the US Supreme Court </w:t>
      </w:r>
      <w:r w:rsidR="00F67F1D" w:rsidRPr="00150F3D">
        <w:rPr>
          <w:rFonts w:ascii="Times New Roman" w:hAnsi="Times New Roman" w:cs="Times New Roman"/>
          <w:color w:val="000000"/>
          <w:sz w:val="24"/>
          <w:szCs w:val="24"/>
          <w:shd w:val="clear" w:color="auto" w:fill="FFFFFF"/>
        </w:rPr>
        <w:t>concluded</w:t>
      </w:r>
      <w:r w:rsidR="00B108A4">
        <w:rPr>
          <w:rFonts w:ascii="Times New Roman" w:hAnsi="Times New Roman" w:cs="Times New Roman"/>
          <w:color w:val="000000"/>
          <w:sz w:val="24"/>
          <w:szCs w:val="24"/>
          <w:shd w:val="clear" w:color="auto" w:fill="FFFFFF"/>
        </w:rPr>
        <w:t xml:space="preserve">, </w:t>
      </w:r>
      <w:r w:rsidR="00B108A4" w:rsidRPr="00150F3D">
        <w:rPr>
          <w:rFonts w:ascii="Times New Roman" w:hAnsi="Times New Roman" w:cs="Times New Roman"/>
          <w:color w:val="000000"/>
          <w:sz w:val="24"/>
          <w:szCs w:val="24"/>
          <w:shd w:val="clear" w:color="auto" w:fill="FFFFFF"/>
        </w:rPr>
        <w:t>applying the second enquiry</w:t>
      </w:r>
      <w:r w:rsidR="00B108A4">
        <w:rPr>
          <w:rFonts w:ascii="Times New Roman" w:hAnsi="Times New Roman" w:cs="Times New Roman"/>
          <w:color w:val="000000"/>
          <w:sz w:val="24"/>
          <w:szCs w:val="24"/>
          <w:shd w:val="clear" w:color="auto" w:fill="FFFFFF"/>
        </w:rPr>
        <w:t>,</w:t>
      </w:r>
      <w:r w:rsidR="00F67F1D" w:rsidRPr="00150F3D">
        <w:rPr>
          <w:rFonts w:ascii="Times New Roman" w:hAnsi="Times New Roman" w:cs="Times New Roman"/>
          <w:color w:val="000000"/>
          <w:sz w:val="24"/>
          <w:szCs w:val="24"/>
          <w:shd w:val="clear" w:color="auto" w:fill="FFFFFF"/>
        </w:rPr>
        <w:t xml:space="preserve"> </w:t>
      </w:r>
      <w:r w:rsidRPr="00150F3D">
        <w:rPr>
          <w:rFonts w:ascii="Times New Roman" w:hAnsi="Times New Roman" w:cs="Times New Roman"/>
          <w:color w:val="000000"/>
          <w:sz w:val="24"/>
          <w:szCs w:val="24"/>
          <w:shd w:val="clear" w:color="auto" w:fill="FFFFFF"/>
        </w:rPr>
        <w:t>that a foreign corporation is not subject to ATS litigation</w:t>
      </w:r>
      <w:r w:rsidR="00B108A4">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w:t>
      </w:r>
      <w:r w:rsidR="00B108A4">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fearing that the imposition of such an obligation runs contrary to one of the objectives of the ATS</w:t>
      </w:r>
      <w:r w:rsidR="00B108A4">
        <w:rPr>
          <w:rFonts w:ascii="Times New Roman" w:hAnsi="Times New Roman" w:cs="Times New Roman"/>
          <w:color w:val="000000"/>
          <w:sz w:val="24"/>
          <w:szCs w:val="24"/>
          <w:shd w:val="clear" w:color="auto" w:fill="FFFFFF"/>
        </w:rPr>
        <w:t>, namely</w:t>
      </w:r>
      <w:r w:rsidRPr="00150F3D">
        <w:rPr>
          <w:rFonts w:ascii="Times New Roman" w:hAnsi="Times New Roman" w:cs="Times New Roman"/>
          <w:color w:val="000000"/>
          <w:sz w:val="24"/>
          <w:szCs w:val="24"/>
          <w:shd w:val="clear" w:color="auto" w:fill="FFFFFF"/>
        </w:rPr>
        <w:t xml:space="preserve"> to avoid diplomatic rift</w:t>
      </w:r>
      <w:r w:rsidR="00B108A4">
        <w:rPr>
          <w:rFonts w:ascii="Times New Roman" w:hAnsi="Times New Roman" w:cs="Times New Roman"/>
          <w:color w:val="000000"/>
          <w:sz w:val="24"/>
          <w:szCs w:val="24"/>
          <w:shd w:val="clear" w:color="auto" w:fill="FFFFFF"/>
        </w:rPr>
        <w:t>s</w:t>
      </w:r>
      <w:r w:rsidRPr="00150F3D">
        <w:rPr>
          <w:rFonts w:ascii="Times New Roman" w:hAnsi="Times New Roman" w:cs="Times New Roman"/>
          <w:color w:val="000000"/>
          <w:sz w:val="24"/>
          <w:szCs w:val="24"/>
          <w:shd w:val="clear" w:color="auto" w:fill="FFFFFF"/>
        </w:rPr>
        <w:t xml:space="preserve"> between the US and other nations. Whilst the </w:t>
      </w:r>
      <w:r w:rsidR="008E0288" w:rsidRPr="00150F3D">
        <w:rPr>
          <w:rFonts w:ascii="Times New Roman" w:hAnsi="Times New Roman" w:cs="Times New Roman"/>
          <w:color w:val="000000"/>
          <w:sz w:val="24"/>
          <w:szCs w:val="24"/>
          <w:shd w:val="clear" w:color="auto" w:fill="FFFFFF"/>
        </w:rPr>
        <w:t xml:space="preserve">plurality opinion </w:t>
      </w:r>
      <w:r w:rsidRPr="00150F3D">
        <w:rPr>
          <w:rFonts w:ascii="Times New Roman" w:hAnsi="Times New Roman" w:cs="Times New Roman"/>
          <w:color w:val="000000"/>
          <w:sz w:val="24"/>
          <w:szCs w:val="24"/>
          <w:shd w:val="clear" w:color="auto" w:fill="FFFFFF"/>
        </w:rPr>
        <w:t xml:space="preserve">also stated in strong terms that foreign corporations are not liable for civil actions for breach of the law of nations under international law, this very question was not conclusively decided by the </w:t>
      </w:r>
      <w:r w:rsidR="008E0288" w:rsidRPr="00150F3D">
        <w:rPr>
          <w:rFonts w:ascii="Times New Roman" w:hAnsi="Times New Roman" w:cs="Times New Roman"/>
          <w:color w:val="000000"/>
          <w:sz w:val="24"/>
          <w:szCs w:val="24"/>
          <w:shd w:val="clear" w:color="auto" w:fill="FFFFFF"/>
        </w:rPr>
        <w:t>Supreme Court</w:t>
      </w:r>
      <w:r w:rsidR="00C25DCD">
        <w:rPr>
          <w:rFonts w:ascii="Times New Roman" w:hAnsi="Times New Roman" w:cs="Times New Roman"/>
          <w:color w:val="000000"/>
          <w:sz w:val="24"/>
          <w:szCs w:val="24"/>
          <w:shd w:val="clear" w:color="auto" w:fill="FFFFFF"/>
        </w:rPr>
        <w:t>.</w:t>
      </w:r>
      <w:r w:rsidR="00F67F1D" w:rsidRPr="00150F3D">
        <w:rPr>
          <w:rStyle w:val="FootnoteReference"/>
          <w:rFonts w:ascii="Times New Roman" w:hAnsi="Times New Roman" w:cs="Times New Roman"/>
          <w:color w:val="000000"/>
          <w:sz w:val="24"/>
          <w:szCs w:val="24"/>
          <w:shd w:val="clear" w:color="auto" w:fill="FFFFFF"/>
        </w:rPr>
        <w:footnoteReference w:id="56"/>
      </w:r>
      <w:r w:rsidRPr="00150F3D">
        <w:rPr>
          <w:rFonts w:ascii="Times New Roman" w:hAnsi="Times New Roman" w:cs="Times New Roman"/>
          <w:color w:val="000000"/>
          <w:sz w:val="24"/>
          <w:szCs w:val="24"/>
          <w:shd w:val="clear" w:color="auto" w:fill="FFFFFF"/>
        </w:rPr>
        <w:t xml:space="preserve"> </w:t>
      </w:r>
      <w:r w:rsidR="00BD4E96" w:rsidRPr="00150F3D">
        <w:rPr>
          <w:rFonts w:ascii="Times New Roman" w:hAnsi="Times New Roman" w:cs="Times New Roman"/>
          <w:color w:val="000000"/>
          <w:sz w:val="24"/>
          <w:szCs w:val="24"/>
          <w:shd w:val="clear" w:color="auto" w:fill="FFFFFF"/>
        </w:rPr>
        <w:t>Though</w:t>
      </w:r>
      <w:r w:rsidR="006C5F4C">
        <w:rPr>
          <w:rFonts w:ascii="Times New Roman" w:hAnsi="Times New Roman" w:cs="Times New Roman"/>
          <w:color w:val="000000"/>
          <w:sz w:val="24"/>
          <w:szCs w:val="24"/>
          <w:shd w:val="clear" w:color="auto" w:fill="FFFFFF"/>
        </w:rPr>
        <w:t>,</w:t>
      </w:r>
      <w:r w:rsidR="00BD4E96" w:rsidRPr="00150F3D">
        <w:rPr>
          <w:rFonts w:ascii="Times New Roman" w:hAnsi="Times New Roman" w:cs="Times New Roman"/>
          <w:color w:val="000000"/>
          <w:sz w:val="24"/>
          <w:szCs w:val="24"/>
          <w:shd w:val="clear" w:color="auto" w:fill="FFFFFF"/>
        </w:rPr>
        <w:t xml:space="preserve"> it is worth noting that t</w:t>
      </w:r>
      <w:r w:rsidRPr="00150F3D">
        <w:rPr>
          <w:rFonts w:ascii="Times New Roman" w:hAnsi="Times New Roman" w:cs="Times New Roman"/>
          <w:sz w:val="24"/>
          <w:szCs w:val="24"/>
        </w:rPr>
        <w:t xml:space="preserve">he US Court of Appeal for the second circuit in </w:t>
      </w:r>
      <w:r w:rsidRPr="00150F3D">
        <w:rPr>
          <w:rFonts w:ascii="Times New Roman" w:hAnsi="Times New Roman" w:cs="Times New Roman"/>
          <w:i/>
          <w:sz w:val="24"/>
          <w:szCs w:val="24"/>
        </w:rPr>
        <w:t>Kiobel</w:t>
      </w:r>
      <w:r w:rsidR="00BD4E96" w:rsidRPr="00150F3D">
        <w:rPr>
          <w:rFonts w:ascii="Times New Roman" w:hAnsi="Times New Roman" w:cs="Times New Roman"/>
          <w:i/>
          <w:sz w:val="24"/>
          <w:szCs w:val="24"/>
        </w:rPr>
        <w:t xml:space="preserve"> </w:t>
      </w:r>
      <w:r w:rsidRPr="00150F3D">
        <w:rPr>
          <w:rFonts w:ascii="Times New Roman" w:hAnsi="Times New Roman" w:cs="Times New Roman"/>
          <w:sz w:val="24"/>
          <w:szCs w:val="24"/>
        </w:rPr>
        <w:t xml:space="preserve">decided that corporations are not subject to the law of nations, and therefore victims cannot bring </w:t>
      </w:r>
      <w:r w:rsidR="00D62129" w:rsidRPr="00150F3D">
        <w:rPr>
          <w:rFonts w:ascii="Times New Roman" w:hAnsi="Times New Roman" w:cs="Times New Roman"/>
          <w:sz w:val="24"/>
          <w:szCs w:val="24"/>
        </w:rPr>
        <w:t xml:space="preserve">tort </w:t>
      </w:r>
      <w:r w:rsidRPr="00150F3D">
        <w:rPr>
          <w:rFonts w:ascii="Times New Roman" w:hAnsi="Times New Roman" w:cs="Times New Roman"/>
          <w:sz w:val="24"/>
          <w:szCs w:val="24"/>
        </w:rPr>
        <w:t>causes of action for breach of customary international law under the ATS</w:t>
      </w:r>
      <w:r w:rsidR="00C25DCD">
        <w:rPr>
          <w:rFonts w:ascii="Times New Roman" w:hAnsi="Times New Roman" w:cs="Times New Roman"/>
          <w:sz w:val="24"/>
          <w:szCs w:val="24"/>
        </w:rPr>
        <w:t>.</w:t>
      </w:r>
      <w:r w:rsidR="00D56D05" w:rsidRPr="00150F3D">
        <w:rPr>
          <w:rFonts w:ascii="Times New Roman" w:hAnsi="Times New Roman" w:cs="Times New Roman"/>
          <w:sz w:val="24"/>
          <w:szCs w:val="24"/>
          <w:vertAlign w:val="superscript"/>
        </w:rPr>
        <w:footnoteReference w:id="57"/>
      </w:r>
      <w:r w:rsidRPr="00150F3D">
        <w:rPr>
          <w:rFonts w:ascii="Times New Roman" w:hAnsi="Times New Roman" w:cs="Times New Roman"/>
          <w:sz w:val="24"/>
          <w:szCs w:val="24"/>
        </w:rPr>
        <w:t xml:space="preserve"> The Court stated that the assessment of the nature and scope of liability under ATS is subject to international law. It went on to conclude that no international tribunal until now has found a corporation to be in breach of the law of nations.</w:t>
      </w:r>
      <w:r w:rsidRPr="00150F3D">
        <w:rPr>
          <w:rFonts w:ascii="Times New Roman" w:hAnsi="Times New Roman" w:cs="Times New Roman"/>
          <w:sz w:val="24"/>
          <w:szCs w:val="24"/>
          <w:vertAlign w:val="superscript"/>
        </w:rPr>
        <w:footnoteReference w:id="58"/>
      </w:r>
      <w:r w:rsidRPr="00150F3D">
        <w:rPr>
          <w:rFonts w:ascii="Times New Roman" w:hAnsi="Times New Roman" w:cs="Times New Roman"/>
          <w:sz w:val="24"/>
          <w:szCs w:val="24"/>
        </w:rPr>
        <w:t xml:space="preserve"> </w:t>
      </w:r>
    </w:p>
    <w:p w14:paraId="7FB93F51" w14:textId="28C017AC" w:rsidR="001148EA" w:rsidRPr="00150F3D" w:rsidRDefault="001148EA" w:rsidP="00B82299">
      <w:pPr>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On appeal to the US Supreme Court, the</w:t>
      </w:r>
      <w:r w:rsidRPr="00150F3D">
        <w:rPr>
          <w:rFonts w:ascii="Times New Roman" w:hAnsi="Times New Roman" w:cs="Times New Roman"/>
          <w:color w:val="000000"/>
          <w:sz w:val="24"/>
          <w:szCs w:val="24"/>
          <w:shd w:val="clear" w:color="auto" w:fill="FFFFFF"/>
        </w:rPr>
        <w:t xml:space="preserve"> parties were directed to supplement briefs addressing the following question: ‘Whether and under what circumstances the Alien Tort Statute allows courts to </w:t>
      </w:r>
      <w:r w:rsidR="00B108A4" w:rsidRPr="00150F3D">
        <w:rPr>
          <w:rFonts w:ascii="Times New Roman" w:hAnsi="Times New Roman" w:cs="Times New Roman"/>
          <w:color w:val="000000"/>
          <w:sz w:val="24"/>
          <w:szCs w:val="24"/>
          <w:shd w:val="clear" w:color="auto" w:fill="FFFFFF"/>
        </w:rPr>
        <w:t>recogni</w:t>
      </w:r>
      <w:r w:rsidR="00B108A4">
        <w:rPr>
          <w:rFonts w:ascii="Times New Roman" w:hAnsi="Times New Roman" w:cs="Times New Roman"/>
          <w:color w:val="000000"/>
          <w:sz w:val="24"/>
          <w:szCs w:val="24"/>
          <w:shd w:val="clear" w:color="auto" w:fill="FFFFFF"/>
        </w:rPr>
        <w:t>s</w:t>
      </w:r>
      <w:r w:rsidR="00B108A4" w:rsidRPr="00150F3D">
        <w:rPr>
          <w:rFonts w:ascii="Times New Roman" w:hAnsi="Times New Roman" w:cs="Times New Roman"/>
          <w:color w:val="000000"/>
          <w:sz w:val="24"/>
          <w:szCs w:val="24"/>
          <w:shd w:val="clear" w:color="auto" w:fill="FFFFFF"/>
        </w:rPr>
        <w:t>e</w:t>
      </w:r>
      <w:r w:rsidRPr="00150F3D">
        <w:rPr>
          <w:rFonts w:ascii="Times New Roman" w:hAnsi="Times New Roman" w:cs="Times New Roman"/>
          <w:color w:val="000000"/>
          <w:sz w:val="24"/>
          <w:szCs w:val="24"/>
          <w:shd w:val="clear" w:color="auto" w:fill="FFFFFF"/>
        </w:rPr>
        <w:t xml:space="preserve"> a cause of action for violations of the law of nations occurring within the territory of a sovereign other than the United States’.</w:t>
      </w:r>
      <w:r w:rsidRPr="00150F3D">
        <w:rPr>
          <w:rFonts w:ascii="Times New Roman" w:hAnsi="Times New Roman" w:cs="Times New Roman"/>
          <w:color w:val="000000"/>
          <w:sz w:val="24"/>
          <w:szCs w:val="24"/>
          <w:shd w:val="clear" w:color="auto" w:fill="FFFFFF"/>
          <w:vertAlign w:val="superscript"/>
        </w:rPr>
        <w:footnoteReference w:id="59"/>
      </w:r>
      <w:r w:rsidRPr="00150F3D">
        <w:rPr>
          <w:rFonts w:ascii="Times New Roman" w:hAnsi="Times New Roman" w:cs="Times New Roman"/>
          <w:color w:val="000000"/>
          <w:sz w:val="24"/>
          <w:szCs w:val="24"/>
          <w:shd w:val="clear" w:color="auto" w:fill="FFFFFF"/>
        </w:rPr>
        <w:t xml:space="preserve"> </w:t>
      </w:r>
      <w:r w:rsidRPr="00150F3D">
        <w:rPr>
          <w:rFonts w:ascii="Times New Roman" w:hAnsi="Times New Roman" w:cs="Times New Roman"/>
          <w:sz w:val="24"/>
          <w:szCs w:val="24"/>
        </w:rPr>
        <w:t>The Supreme Court, relying on statutory construction, reasoned that ‘when a statute gives no clear indication of an extraterritorial application, it has none’.</w:t>
      </w:r>
      <w:r w:rsidRPr="00150F3D">
        <w:rPr>
          <w:rFonts w:ascii="Times New Roman" w:hAnsi="Times New Roman" w:cs="Times New Roman"/>
          <w:sz w:val="24"/>
          <w:szCs w:val="24"/>
          <w:vertAlign w:val="superscript"/>
        </w:rPr>
        <w:footnoteReference w:id="60"/>
      </w:r>
      <w:r w:rsidRPr="00150F3D">
        <w:rPr>
          <w:rFonts w:ascii="Times New Roman" w:hAnsi="Times New Roman" w:cs="Times New Roman"/>
          <w:sz w:val="24"/>
          <w:szCs w:val="24"/>
        </w:rPr>
        <w:t xml:space="preserve"> The Supreme Court also elaborated that in order to displace this presumption against extraterritoriality</w:t>
      </w:r>
      <w:r w:rsidR="006C5F4C">
        <w:rPr>
          <w:rFonts w:ascii="Times New Roman" w:hAnsi="Times New Roman" w:cs="Times New Roman"/>
          <w:sz w:val="24"/>
          <w:szCs w:val="24"/>
        </w:rPr>
        <w:t>,</w:t>
      </w:r>
      <w:r w:rsidRPr="00150F3D">
        <w:rPr>
          <w:rFonts w:ascii="Times New Roman" w:hAnsi="Times New Roman" w:cs="Times New Roman"/>
          <w:sz w:val="24"/>
          <w:szCs w:val="24"/>
        </w:rPr>
        <w:t xml:space="preserve"> the claimants must show that the claims touch and concern the territory of the United States with sufficient force</w:t>
      </w:r>
      <w:r w:rsidR="00C25DCD">
        <w:rPr>
          <w:rFonts w:ascii="Times New Roman" w:hAnsi="Times New Roman" w:cs="Times New Roman"/>
          <w:sz w:val="24"/>
          <w:szCs w:val="24"/>
        </w:rPr>
        <w:t>.</w:t>
      </w:r>
      <w:r w:rsidRPr="00150F3D">
        <w:rPr>
          <w:rFonts w:ascii="Times New Roman" w:hAnsi="Times New Roman" w:cs="Times New Roman"/>
          <w:sz w:val="24"/>
          <w:szCs w:val="24"/>
          <w:vertAlign w:val="superscript"/>
        </w:rPr>
        <w:footnoteReference w:id="61"/>
      </w:r>
      <w:r w:rsidRPr="00150F3D">
        <w:rPr>
          <w:rFonts w:ascii="Times New Roman" w:hAnsi="Times New Roman" w:cs="Times New Roman"/>
          <w:sz w:val="24"/>
          <w:szCs w:val="24"/>
        </w:rPr>
        <w:t xml:space="preserve"> However, on the facts of </w:t>
      </w:r>
      <w:r w:rsidRPr="00150F3D">
        <w:rPr>
          <w:rFonts w:ascii="Times New Roman" w:hAnsi="Times New Roman" w:cs="Times New Roman"/>
          <w:i/>
          <w:sz w:val="24"/>
          <w:szCs w:val="24"/>
        </w:rPr>
        <w:t>Kiobel</w:t>
      </w:r>
      <w:r w:rsidRPr="00150F3D">
        <w:rPr>
          <w:rFonts w:ascii="Times New Roman" w:hAnsi="Times New Roman" w:cs="Times New Roman"/>
          <w:sz w:val="24"/>
          <w:szCs w:val="24"/>
        </w:rPr>
        <w:t xml:space="preserve"> the majority reasoned that the plaintiffs did not displace the presumption against extraterritoriality because their claims ‘occurred on the soil of a foreign sovereign state and none of the conduct took place within U.S. jurisdiction’.</w:t>
      </w:r>
      <w:r w:rsidRPr="00150F3D">
        <w:rPr>
          <w:rFonts w:ascii="Times New Roman" w:hAnsi="Times New Roman" w:cs="Times New Roman"/>
          <w:sz w:val="24"/>
          <w:szCs w:val="24"/>
          <w:vertAlign w:val="superscript"/>
        </w:rPr>
        <w:footnoteReference w:id="62"/>
      </w:r>
      <w:r w:rsidR="00C25DCD">
        <w:rPr>
          <w:rFonts w:ascii="Times New Roman" w:hAnsi="Times New Roman" w:cs="Times New Roman"/>
          <w:sz w:val="24"/>
          <w:szCs w:val="24"/>
        </w:rPr>
        <w:t xml:space="preserve"> In </w:t>
      </w:r>
      <w:r w:rsidR="00D56D05" w:rsidRPr="00BD5289">
        <w:rPr>
          <w:rFonts w:ascii="Times New Roman" w:hAnsi="Times New Roman" w:cs="Times New Roman"/>
          <w:i/>
          <w:iCs/>
          <w:sz w:val="24"/>
          <w:szCs w:val="24"/>
        </w:rPr>
        <w:t>Kiobel</w:t>
      </w:r>
      <w:r w:rsidR="00D56D05" w:rsidRPr="00150F3D">
        <w:rPr>
          <w:rFonts w:ascii="Times New Roman" w:hAnsi="Times New Roman" w:cs="Times New Roman"/>
          <w:sz w:val="24"/>
          <w:szCs w:val="24"/>
        </w:rPr>
        <w:t xml:space="preserve">, however, </w:t>
      </w:r>
      <w:r w:rsidR="00C25DCD">
        <w:rPr>
          <w:rFonts w:ascii="Times New Roman" w:hAnsi="Times New Roman" w:cs="Times New Roman"/>
          <w:sz w:val="24"/>
          <w:szCs w:val="24"/>
        </w:rPr>
        <w:t xml:space="preserve">the Court </w:t>
      </w:r>
      <w:r w:rsidR="00D56D05" w:rsidRPr="00150F3D">
        <w:rPr>
          <w:rFonts w:ascii="Times New Roman" w:hAnsi="Times New Roman" w:cs="Times New Roman"/>
          <w:sz w:val="24"/>
          <w:szCs w:val="24"/>
        </w:rPr>
        <w:t>managed to avoid</w:t>
      </w:r>
      <w:r w:rsidR="00D62129" w:rsidRPr="00150F3D">
        <w:rPr>
          <w:rFonts w:ascii="Times New Roman" w:hAnsi="Times New Roman" w:cs="Times New Roman"/>
          <w:sz w:val="24"/>
          <w:szCs w:val="24"/>
        </w:rPr>
        <w:t xml:space="preserve"> a</w:t>
      </w:r>
      <w:r w:rsidR="00D56D05" w:rsidRPr="00150F3D">
        <w:rPr>
          <w:rFonts w:ascii="Times New Roman" w:hAnsi="Times New Roman" w:cs="Times New Roman"/>
          <w:sz w:val="24"/>
          <w:szCs w:val="24"/>
        </w:rPr>
        <w:t xml:space="preserve"> ruling on whether corporations are subject to international law.</w:t>
      </w:r>
    </w:p>
    <w:p w14:paraId="00BEF639" w14:textId="2CDC6EC2" w:rsidR="001148EA" w:rsidRPr="00150F3D" w:rsidRDefault="001148EA" w:rsidP="00B82299">
      <w:pPr>
        <w:autoSpaceDE w:val="0"/>
        <w:autoSpaceDN w:val="0"/>
        <w:adjustRightInd w:val="0"/>
        <w:spacing w:before="120" w:after="240" w:line="360" w:lineRule="auto"/>
        <w:jc w:val="both"/>
        <w:rPr>
          <w:rFonts w:ascii="Times New Roman" w:hAnsi="Times New Roman" w:cs="Times New Roman"/>
          <w:sz w:val="24"/>
          <w:szCs w:val="24"/>
          <w:shd w:val="clear" w:color="auto" w:fill="FFFFFF"/>
        </w:rPr>
      </w:pPr>
      <w:r w:rsidRPr="00150F3D">
        <w:rPr>
          <w:rFonts w:ascii="Times New Roman" w:hAnsi="Times New Roman" w:cs="Times New Roman"/>
          <w:color w:val="000000"/>
          <w:sz w:val="24"/>
          <w:szCs w:val="24"/>
          <w:shd w:val="clear" w:color="auto" w:fill="FFFFFF"/>
        </w:rPr>
        <w:t xml:space="preserve">As a result of the </w:t>
      </w:r>
      <w:r w:rsidR="00D56D05" w:rsidRPr="00150F3D">
        <w:rPr>
          <w:rFonts w:ascii="Times New Roman" w:hAnsi="Times New Roman" w:cs="Times New Roman"/>
          <w:color w:val="000000"/>
          <w:sz w:val="24"/>
          <w:szCs w:val="24"/>
          <w:shd w:val="clear" w:color="auto" w:fill="FFFFFF"/>
        </w:rPr>
        <w:t xml:space="preserve">extraterritorial </w:t>
      </w:r>
      <w:r w:rsidRPr="00150F3D">
        <w:rPr>
          <w:rFonts w:ascii="Times New Roman" w:hAnsi="Times New Roman" w:cs="Times New Roman"/>
          <w:color w:val="000000"/>
          <w:sz w:val="24"/>
          <w:szCs w:val="24"/>
          <w:shd w:val="clear" w:color="auto" w:fill="FFFFFF"/>
        </w:rPr>
        <w:t xml:space="preserve">limitations made by </w:t>
      </w:r>
      <w:r w:rsidRPr="00150F3D">
        <w:rPr>
          <w:rFonts w:ascii="Times New Roman" w:hAnsi="Times New Roman" w:cs="Times New Roman"/>
          <w:i/>
          <w:color w:val="000000"/>
          <w:sz w:val="24"/>
          <w:szCs w:val="24"/>
          <w:shd w:val="clear" w:color="auto" w:fill="FFFFFF"/>
        </w:rPr>
        <w:t>Kiobel</w:t>
      </w:r>
      <w:r w:rsidRPr="00150F3D">
        <w:rPr>
          <w:rFonts w:ascii="Times New Roman" w:hAnsi="Times New Roman" w:cs="Times New Roman"/>
          <w:color w:val="000000"/>
          <w:sz w:val="24"/>
          <w:szCs w:val="24"/>
          <w:shd w:val="clear" w:color="auto" w:fill="FFFFFF"/>
        </w:rPr>
        <w:t xml:space="preserve">, a successful path through ATS litigation looks to be incredibly narrow. Perhaps it is safe to argue that where all relevant factors </w:t>
      </w:r>
      <w:r w:rsidRPr="00150F3D">
        <w:rPr>
          <w:rFonts w:ascii="Times New Roman" w:hAnsi="Times New Roman" w:cs="Times New Roman"/>
          <w:color w:val="000000"/>
          <w:sz w:val="24"/>
          <w:szCs w:val="24"/>
          <w:shd w:val="clear" w:color="auto" w:fill="FFFFFF"/>
        </w:rPr>
        <w:lastRenderedPageBreak/>
        <w:t xml:space="preserve">to the dispute are outside </w:t>
      </w:r>
      <w:r w:rsidR="004E68BE">
        <w:rPr>
          <w:rFonts w:ascii="Times New Roman" w:hAnsi="Times New Roman" w:cs="Times New Roman"/>
          <w:color w:val="000000"/>
          <w:sz w:val="24"/>
          <w:szCs w:val="24"/>
          <w:shd w:val="clear" w:color="auto" w:fill="FFFFFF"/>
        </w:rPr>
        <w:t>US jurisdiction,</w:t>
      </w:r>
      <w:r w:rsidRPr="00150F3D">
        <w:rPr>
          <w:rFonts w:ascii="Times New Roman" w:hAnsi="Times New Roman" w:cs="Times New Roman"/>
          <w:color w:val="000000"/>
          <w:sz w:val="24"/>
          <w:szCs w:val="24"/>
          <w:shd w:val="clear" w:color="auto" w:fill="FFFFFF"/>
        </w:rPr>
        <w:t xml:space="preserve"> the ATS will not have an extraterritorial application. Moreover, even where the allegations touch and concern the territory of the US</w:t>
      </w:r>
      <w:r w:rsidR="00D56D05" w:rsidRPr="00150F3D">
        <w:rPr>
          <w:rFonts w:ascii="Times New Roman" w:hAnsi="Times New Roman" w:cs="Times New Roman"/>
          <w:color w:val="000000"/>
          <w:sz w:val="24"/>
          <w:szCs w:val="24"/>
          <w:shd w:val="clear" w:color="auto" w:fill="FFFFFF"/>
        </w:rPr>
        <w:t>,</w:t>
      </w:r>
      <w:r w:rsidRPr="00150F3D">
        <w:rPr>
          <w:rFonts w:ascii="Times New Roman" w:hAnsi="Times New Roman" w:cs="Times New Roman"/>
          <w:color w:val="000000"/>
          <w:sz w:val="24"/>
          <w:szCs w:val="24"/>
          <w:shd w:val="clear" w:color="auto" w:fill="FFFFFF"/>
        </w:rPr>
        <w:t xml:space="preserve"> they must do so with ‘sufficient force’,</w:t>
      </w:r>
      <w:r w:rsidRPr="00150F3D">
        <w:rPr>
          <w:rFonts w:ascii="Times New Roman" w:hAnsi="Times New Roman" w:cs="Times New Roman"/>
          <w:sz w:val="24"/>
          <w:szCs w:val="24"/>
          <w:shd w:val="clear" w:color="auto" w:fill="FFFFFF"/>
        </w:rPr>
        <w:t xml:space="preserve"> which makes displacing the presumption against extraterritoriality </w:t>
      </w:r>
      <w:r w:rsidR="00D56D05" w:rsidRPr="00150F3D">
        <w:rPr>
          <w:rFonts w:ascii="Times New Roman" w:hAnsi="Times New Roman" w:cs="Times New Roman"/>
          <w:sz w:val="24"/>
          <w:szCs w:val="24"/>
          <w:shd w:val="clear" w:color="auto" w:fill="FFFFFF"/>
        </w:rPr>
        <w:t xml:space="preserve">a </w:t>
      </w:r>
      <w:r w:rsidRPr="00150F3D">
        <w:rPr>
          <w:rFonts w:ascii="Times New Roman" w:hAnsi="Times New Roman" w:cs="Times New Roman"/>
          <w:sz w:val="24"/>
          <w:szCs w:val="24"/>
          <w:shd w:val="clear" w:color="auto" w:fill="FFFFFF"/>
        </w:rPr>
        <w:t>very difficult</w:t>
      </w:r>
      <w:r w:rsidR="00D56D05" w:rsidRPr="00150F3D">
        <w:rPr>
          <w:rFonts w:ascii="Times New Roman" w:hAnsi="Times New Roman" w:cs="Times New Roman"/>
          <w:sz w:val="24"/>
          <w:szCs w:val="24"/>
          <w:shd w:val="clear" w:color="auto" w:fill="FFFFFF"/>
        </w:rPr>
        <w:t xml:space="preserve"> task indeed</w:t>
      </w:r>
      <w:r w:rsidRPr="00150F3D">
        <w:rPr>
          <w:rFonts w:ascii="Times New Roman" w:hAnsi="Times New Roman" w:cs="Times New Roman"/>
          <w:sz w:val="24"/>
          <w:szCs w:val="24"/>
          <w:shd w:val="clear" w:color="auto" w:fill="FFFFFF"/>
        </w:rPr>
        <w:t>.</w:t>
      </w:r>
      <w:r w:rsidR="00D56D05" w:rsidRPr="00150F3D">
        <w:rPr>
          <w:rFonts w:ascii="Times New Roman" w:hAnsi="Times New Roman" w:cs="Times New Roman"/>
          <w:sz w:val="24"/>
          <w:szCs w:val="24"/>
          <w:shd w:val="clear" w:color="auto" w:fill="FFFFFF"/>
        </w:rPr>
        <w:t xml:space="preserve"> </w:t>
      </w:r>
      <w:r w:rsidRPr="00150F3D">
        <w:rPr>
          <w:rFonts w:ascii="Times New Roman" w:hAnsi="Times New Roman" w:cs="Times New Roman"/>
          <w:sz w:val="24"/>
          <w:szCs w:val="24"/>
          <w:shd w:val="clear" w:color="auto" w:fill="FFFFFF"/>
        </w:rPr>
        <w:t xml:space="preserve">For example, in the case of </w:t>
      </w:r>
      <w:r w:rsidRPr="00150F3D">
        <w:rPr>
          <w:rFonts w:ascii="Times New Roman" w:hAnsi="Times New Roman" w:cs="Times New Roman"/>
          <w:i/>
          <w:iCs/>
          <w:sz w:val="24"/>
          <w:szCs w:val="24"/>
          <w:shd w:val="clear" w:color="auto" w:fill="FFFFFF"/>
        </w:rPr>
        <w:t>C</w:t>
      </w:r>
      <w:r w:rsidRPr="00150F3D">
        <w:rPr>
          <w:rFonts w:ascii="Times New Roman" w:hAnsi="Times New Roman" w:cs="Times New Roman"/>
          <w:i/>
          <w:iCs/>
          <w:sz w:val="24"/>
          <w:szCs w:val="24"/>
        </w:rPr>
        <w:t>ardona v. Chiquita Brands International, Inc.</w:t>
      </w:r>
      <w:r w:rsidRPr="00150F3D">
        <w:rPr>
          <w:rFonts w:ascii="Times New Roman" w:hAnsi="Times New Roman" w:cs="Times New Roman"/>
          <w:iCs/>
          <w:sz w:val="24"/>
          <w:szCs w:val="24"/>
        </w:rPr>
        <w:t xml:space="preserve"> the eleventh circuit, relying on </w:t>
      </w:r>
      <w:r w:rsidRPr="00150F3D">
        <w:rPr>
          <w:rFonts w:ascii="Times New Roman" w:hAnsi="Times New Roman" w:cs="Times New Roman"/>
          <w:i/>
          <w:iCs/>
          <w:sz w:val="24"/>
          <w:szCs w:val="24"/>
        </w:rPr>
        <w:t>Kiobel,</w:t>
      </w:r>
      <w:r w:rsidRPr="00150F3D">
        <w:rPr>
          <w:rFonts w:ascii="Times New Roman" w:hAnsi="Times New Roman" w:cs="Times New Roman"/>
          <w:iCs/>
          <w:sz w:val="24"/>
          <w:szCs w:val="24"/>
        </w:rPr>
        <w:t xml:space="preserve"> dismissed a claim made under the ATS in relation to complicity of the appellant in relation to torture, death, and personal injury occurring in Columbia.</w:t>
      </w:r>
      <w:r w:rsidRPr="00150F3D">
        <w:rPr>
          <w:rFonts w:ascii="Times New Roman" w:hAnsi="Times New Roman" w:cs="Times New Roman"/>
          <w:iCs/>
          <w:sz w:val="24"/>
          <w:szCs w:val="24"/>
          <w:vertAlign w:val="superscript"/>
        </w:rPr>
        <w:footnoteReference w:id="63"/>
      </w:r>
      <w:r w:rsidRPr="00150F3D">
        <w:rPr>
          <w:rFonts w:ascii="Times New Roman" w:hAnsi="Times New Roman" w:cs="Times New Roman"/>
          <w:iCs/>
          <w:sz w:val="24"/>
          <w:szCs w:val="24"/>
        </w:rPr>
        <w:t xml:space="preserve"> The </w:t>
      </w:r>
      <w:r w:rsidR="00B108A4">
        <w:rPr>
          <w:rFonts w:ascii="Times New Roman" w:hAnsi="Times New Roman" w:cs="Times New Roman"/>
          <w:iCs/>
          <w:sz w:val="24"/>
          <w:szCs w:val="24"/>
        </w:rPr>
        <w:t>C</w:t>
      </w:r>
      <w:r w:rsidR="00B108A4" w:rsidRPr="00150F3D">
        <w:rPr>
          <w:rFonts w:ascii="Times New Roman" w:hAnsi="Times New Roman" w:cs="Times New Roman"/>
          <w:iCs/>
          <w:sz w:val="24"/>
          <w:szCs w:val="24"/>
        </w:rPr>
        <w:t xml:space="preserve">ourt </w:t>
      </w:r>
      <w:r w:rsidRPr="00150F3D">
        <w:rPr>
          <w:rFonts w:ascii="Times New Roman" w:hAnsi="Times New Roman" w:cs="Times New Roman"/>
          <w:iCs/>
          <w:sz w:val="24"/>
          <w:szCs w:val="24"/>
        </w:rPr>
        <w:t>reasoned that based on the facts of the case there was</w:t>
      </w:r>
      <w:r w:rsidR="004E68BE">
        <w:rPr>
          <w:rFonts w:ascii="Times New Roman" w:hAnsi="Times New Roman" w:cs="Times New Roman"/>
          <w:iCs/>
          <w:sz w:val="24"/>
          <w:szCs w:val="24"/>
        </w:rPr>
        <w:t xml:space="preserve"> </w:t>
      </w:r>
      <w:r w:rsidRPr="00150F3D">
        <w:rPr>
          <w:rFonts w:ascii="Times New Roman" w:hAnsi="Times New Roman" w:cs="Times New Roman"/>
          <w:iCs/>
          <w:sz w:val="24"/>
          <w:szCs w:val="24"/>
        </w:rPr>
        <w:t>n</w:t>
      </w:r>
      <w:r w:rsidR="004E68BE">
        <w:rPr>
          <w:rFonts w:ascii="Times New Roman" w:hAnsi="Times New Roman" w:cs="Times New Roman"/>
          <w:iCs/>
          <w:sz w:val="24"/>
          <w:szCs w:val="24"/>
        </w:rPr>
        <w:t>o</w:t>
      </w:r>
      <w:r w:rsidRPr="00150F3D">
        <w:rPr>
          <w:rFonts w:ascii="Times New Roman" w:hAnsi="Times New Roman" w:cs="Times New Roman"/>
          <w:iCs/>
          <w:sz w:val="24"/>
          <w:szCs w:val="24"/>
        </w:rPr>
        <w:t>t an</w:t>
      </w:r>
      <w:r w:rsidRPr="00150F3D">
        <w:rPr>
          <w:rFonts w:ascii="Times New Roman" w:hAnsi="Times New Roman" w:cs="Times New Roman"/>
          <w:i/>
          <w:iCs/>
          <w:sz w:val="24"/>
          <w:szCs w:val="24"/>
        </w:rPr>
        <w:t xml:space="preserve"> </w:t>
      </w:r>
      <w:r w:rsidRPr="00150F3D">
        <w:rPr>
          <w:rFonts w:ascii="Times New Roman" w:hAnsi="Times New Roman" w:cs="Times New Roman"/>
          <w:sz w:val="24"/>
          <w:szCs w:val="24"/>
        </w:rPr>
        <w:t xml:space="preserve">act constituting a tort </w:t>
      </w:r>
      <w:r w:rsidR="004E68BE">
        <w:rPr>
          <w:rFonts w:ascii="Times New Roman" w:hAnsi="Times New Roman" w:cs="Times New Roman"/>
          <w:sz w:val="24"/>
          <w:szCs w:val="24"/>
        </w:rPr>
        <w:t xml:space="preserve"> </w:t>
      </w:r>
      <w:r w:rsidRPr="00150F3D">
        <w:rPr>
          <w:rFonts w:ascii="Times New Roman" w:hAnsi="Times New Roman" w:cs="Times New Roman"/>
          <w:sz w:val="24"/>
          <w:szCs w:val="24"/>
        </w:rPr>
        <w:t>which ‘touched or concerned the territory of the United States with any force’.</w:t>
      </w:r>
      <w:r w:rsidRPr="00150F3D">
        <w:rPr>
          <w:rFonts w:ascii="Times New Roman" w:hAnsi="Times New Roman" w:cs="Times New Roman"/>
          <w:sz w:val="24"/>
          <w:szCs w:val="24"/>
          <w:vertAlign w:val="superscript"/>
        </w:rPr>
        <w:footnoteReference w:id="64"/>
      </w:r>
      <w:r w:rsidRPr="00150F3D">
        <w:rPr>
          <w:rFonts w:ascii="Times New Roman" w:hAnsi="Times New Roman" w:cs="Times New Roman"/>
          <w:sz w:val="24"/>
          <w:szCs w:val="24"/>
        </w:rPr>
        <w:t xml:space="preserve"> This is so</w:t>
      </w:r>
      <w:r w:rsidR="00E915B0">
        <w:rPr>
          <w:rFonts w:ascii="Times New Roman" w:hAnsi="Times New Roman" w:cs="Times New Roman"/>
          <w:sz w:val="24"/>
          <w:szCs w:val="24"/>
        </w:rPr>
        <w:t>,</w:t>
      </w:r>
      <w:r w:rsidRPr="00150F3D">
        <w:rPr>
          <w:rFonts w:ascii="Times New Roman" w:hAnsi="Times New Roman" w:cs="Times New Roman"/>
          <w:sz w:val="24"/>
          <w:szCs w:val="24"/>
        </w:rPr>
        <w:t xml:space="preserve"> despite the defendant being a US corporation. The </w:t>
      </w:r>
      <w:r w:rsidR="00B108A4">
        <w:rPr>
          <w:rFonts w:ascii="Times New Roman" w:hAnsi="Times New Roman" w:cs="Times New Roman"/>
          <w:sz w:val="24"/>
          <w:szCs w:val="24"/>
        </w:rPr>
        <w:t>C</w:t>
      </w:r>
      <w:r w:rsidR="00B108A4" w:rsidRPr="00150F3D">
        <w:rPr>
          <w:rFonts w:ascii="Times New Roman" w:hAnsi="Times New Roman" w:cs="Times New Roman"/>
          <w:sz w:val="24"/>
          <w:szCs w:val="24"/>
        </w:rPr>
        <w:t>ourt</w:t>
      </w:r>
      <w:r w:rsidRPr="00150F3D">
        <w:rPr>
          <w:rFonts w:ascii="Times New Roman" w:hAnsi="Times New Roman" w:cs="Times New Roman"/>
          <w:sz w:val="24"/>
          <w:szCs w:val="24"/>
        </w:rPr>
        <w:t xml:space="preserve"> stated that the mere presence of the corporation in the US did not displace the presumption against extra territoriality.</w:t>
      </w:r>
      <w:r w:rsidRPr="00150F3D">
        <w:rPr>
          <w:rFonts w:ascii="Times New Roman" w:hAnsi="Times New Roman" w:cs="Times New Roman"/>
          <w:sz w:val="24"/>
          <w:szCs w:val="24"/>
          <w:vertAlign w:val="superscript"/>
        </w:rPr>
        <w:footnoteReference w:id="65"/>
      </w:r>
      <w:r w:rsidRPr="00150F3D">
        <w:rPr>
          <w:rFonts w:ascii="Times New Roman" w:hAnsi="Times New Roman" w:cs="Times New Roman"/>
          <w:sz w:val="24"/>
          <w:szCs w:val="24"/>
        </w:rPr>
        <w:t xml:space="preserve"> It appears from the case law post </w:t>
      </w:r>
      <w:r w:rsidRPr="00150F3D">
        <w:rPr>
          <w:rFonts w:ascii="Times New Roman" w:hAnsi="Times New Roman" w:cs="Times New Roman"/>
          <w:i/>
          <w:sz w:val="24"/>
          <w:szCs w:val="24"/>
        </w:rPr>
        <w:t>Kiobel</w:t>
      </w:r>
      <w:r w:rsidRPr="00150F3D">
        <w:rPr>
          <w:rFonts w:ascii="Times New Roman" w:hAnsi="Times New Roman" w:cs="Times New Roman"/>
          <w:sz w:val="24"/>
          <w:szCs w:val="24"/>
        </w:rPr>
        <w:t xml:space="preserve"> that</w:t>
      </w:r>
      <w:r w:rsidR="00E915B0">
        <w:rPr>
          <w:rFonts w:ascii="Times New Roman" w:hAnsi="Times New Roman" w:cs="Times New Roman"/>
          <w:sz w:val="24"/>
          <w:szCs w:val="24"/>
        </w:rPr>
        <w:t>,</w:t>
      </w:r>
      <w:r w:rsidRPr="00150F3D">
        <w:rPr>
          <w:rFonts w:ascii="Times New Roman" w:hAnsi="Times New Roman" w:cs="Times New Roman"/>
          <w:sz w:val="24"/>
          <w:szCs w:val="24"/>
        </w:rPr>
        <w:t xml:space="preserve"> in order to satisfy the test</w:t>
      </w:r>
      <w:r w:rsidR="00E915B0">
        <w:rPr>
          <w:rFonts w:ascii="Times New Roman" w:hAnsi="Times New Roman" w:cs="Times New Roman"/>
          <w:sz w:val="24"/>
          <w:szCs w:val="24"/>
        </w:rPr>
        <w:t>,</w:t>
      </w:r>
      <w:r w:rsidRPr="00150F3D">
        <w:rPr>
          <w:rFonts w:ascii="Times New Roman" w:hAnsi="Times New Roman" w:cs="Times New Roman"/>
          <w:sz w:val="24"/>
          <w:szCs w:val="24"/>
        </w:rPr>
        <w:t xml:space="preserve"> the Court must find a link between the alleged unlawful conduct and the US corporate presence.</w:t>
      </w:r>
      <w:r w:rsidRPr="00150F3D">
        <w:rPr>
          <w:rFonts w:ascii="Times New Roman" w:hAnsi="Times New Roman" w:cs="Times New Roman"/>
          <w:sz w:val="24"/>
          <w:szCs w:val="24"/>
          <w:vertAlign w:val="superscript"/>
        </w:rPr>
        <w:footnoteReference w:id="66"/>
      </w:r>
      <w:r w:rsidRPr="00150F3D">
        <w:rPr>
          <w:rFonts w:ascii="Times New Roman" w:hAnsi="Times New Roman" w:cs="Times New Roman"/>
          <w:sz w:val="24"/>
          <w:szCs w:val="24"/>
        </w:rPr>
        <w:t xml:space="preserve"> </w:t>
      </w:r>
    </w:p>
    <w:p w14:paraId="38F89C7C" w14:textId="4112629A" w:rsidR="001148EA" w:rsidRPr="00150F3D" w:rsidRDefault="001148EA" w:rsidP="00B82299">
      <w:pPr>
        <w:autoSpaceDE w:val="0"/>
        <w:autoSpaceDN w:val="0"/>
        <w:adjustRightInd w:val="0"/>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 xml:space="preserve">There have been however successful cases, such as in </w:t>
      </w:r>
      <w:r w:rsidRPr="00150F3D">
        <w:rPr>
          <w:rFonts w:ascii="Times New Roman" w:hAnsi="Times New Roman" w:cs="Times New Roman"/>
          <w:i/>
          <w:sz w:val="24"/>
          <w:szCs w:val="24"/>
        </w:rPr>
        <w:t>Al Shimari</w:t>
      </w:r>
      <w:r w:rsidR="00E915B0">
        <w:rPr>
          <w:rFonts w:ascii="Times New Roman" w:hAnsi="Times New Roman" w:cs="Times New Roman"/>
          <w:i/>
          <w:sz w:val="24"/>
          <w:szCs w:val="24"/>
        </w:rPr>
        <w:t>,</w:t>
      </w:r>
      <w:r w:rsidRPr="00150F3D">
        <w:rPr>
          <w:rFonts w:ascii="Times New Roman" w:hAnsi="Times New Roman" w:cs="Times New Roman"/>
          <w:sz w:val="24"/>
          <w:szCs w:val="24"/>
        </w:rPr>
        <w:t xml:space="preserve"> where the claimants managed to convince the court that the allegations touched and concerned the US with sufficient force.</w:t>
      </w:r>
      <w:r w:rsidRPr="00150F3D">
        <w:rPr>
          <w:rFonts w:ascii="Times New Roman" w:hAnsi="Times New Roman" w:cs="Times New Roman"/>
          <w:sz w:val="24"/>
          <w:szCs w:val="24"/>
          <w:vertAlign w:val="superscript"/>
        </w:rPr>
        <w:footnoteReference w:id="67"/>
      </w:r>
      <w:r w:rsidRPr="00150F3D">
        <w:rPr>
          <w:rFonts w:ascii="Times New Roman" w:hAnsi="Times New Roman" w:cs="Times New Roman"/>
          <w:sz w:val="24"/>
          <w:szCs w:val="24"/>
        </w:rPr>
        <w:t xml:space="preserve"> In the latter case, the court concluded that a number of factors were sufficient to displace the presumption, such as, </w:t>
      </w:r>
      <w:r w:rsidRPr="00150F3D">
        <w:rPr>
          <w:rFonts w:ascii="Times New Roman" w:hAnsi="Times New Roman" w:cs="Times New Roman"/>
          <w:i/>
          <w:sz w:val="24"/>
          <w:szCs w:val="24"/>
        </w:rPr>
        <w:t>inter alia</w:t>
      </w:r>
      <w:r w:rsidRPr="00150F3D">
        <w:rPr>
          <w:rFonts w:ascii="Times New Roman" w:hAnsi="Times New Roman" w:cs="Times New Roman"/>
          <w:sz w:val="24"/>
          <w:szCs w:val="24"/>
        </w:rPr>
        <w:t>, the fact that the</w:t>
      </w:r>
      <w:r w:rsidRPr="00150F3D">
        <w:rPr>
          <w:rFonts w:ascii="Times New Roman" w:hAnsi="Times New Roman" w:cs="Times New Roman"/>
          <w:i/>
          <w:sz w:val="24"/>
          <w:szCs w:val="24"/>
        </w:rPr>
        <w:t xml:space="preserve"> </w:t>
      </w:r>
      <w:r w:rsidRPr="00150F3D">
        <w:rPr>
          <w:rFonts w:ascii="Times New Roman" w:hAnsi="Times New Roman" w:cs="Times New Roman"/>
          <w:sz w:val="24"/>
          <w:szCs w:val="24"/>
        </w:rPr>
        <w:t>unlawful torture of prisoners in Iraq occurred with the knowledge of the US based firm, and was committed by US citizens who were employed by the defendant.</w:t>
      </w:r>
      <w:r w:rsidRPr="00150F3D">
        <w:rPr>
          <w:rFonts w:ascii="Times New Roman" w:hAnsi="Times New Roman" w:cs="Times New Roman"/>
          <w:sz w:val="24"/>
          <w:szCs w:val="24"/>
          <w:vertAlign w:val="superscript"/>
        </w:rPr>
        <w:footnoteReference w:id="68"/>
      </w:r>
    </w:p>
    <w:p w14:paraId="208E7ABA" w14:textId="3676BF35" w:rsidR="00D62129" w:rsidRPr="00150F3D" w:rsidRDefault="001148EA" w:rsidP="00B82299">
      <w:pPr>
        <w:autoSpaceDE w:val="0"/>
        <w:autoSpaceDN w:val="0"/>
        <w:adjustRightInd w:val="0"/>
        <w:spacing w:before="120" w:after="240" w:line="360" w:lineRule="auto"/>
        <w:jc w:val="both"/>
        <w:rPr>
          <w:rFonts w:ascii="Times New Roman" w:hAnsi="Times New Roman" w:cs="Times New Roman"/>
          <w:sz w:val="24"/>
          <w:szCs w:val="24"/>
        </w:rPr>
      </w:pPr>
      <w:r w:rsidRPr="00150F3D">
        <w:rPr>
          <w:rFonts w:ascii="Times New Roman" w:hAnsi="Times New Roman" w:cs="Times New Roman"/>
          <w:sz w:val="24"/>
          <w:szCs w:val="24"/>
        </w:rPr>
        <w:t>The above analysis confirms that despite the door of ATS litigation still</w:t>
      </w:r>
      <w:r w:rsidR="00B108A4">
        <w:rPr>
          <w:rFonts w:ascii="Times New Roman" w:hAnsi="Times New Roman" w:cs="Times New Roman"/>
          <w:sz w:val="24"/>
          <w:szCs w:val="24"/>
        </w:rPr>
        <w:t xml:space="preserve"> being</w:t>
      </w:r>
      <w:r w:rsidRPr="00150F3D">
        <w:rPr>
          <w:rFonts w:ascii="Times New Roman" w:hAnsi="Times New Roman" w:cs="Times New Roman"/>
          <w:sz w:val="24"/>
          <w:szCs w:val="24"/>
        </w:rPr>
        <w:t xml:space="preserve"> ajar, in practice it has been b</w:t>
      </w:r>
      <w:r w:rsidR="008E0288" w:rsidRPr="00150F3D">
        <w:rPr>
          <w:rFonts w:ascii="Times New Roman" w:hAnsi="Times New Roman" w:cs="Times New Roman"/>
          <w:sz w:val="24"/>
          <w:szCs w:val="24"/>
        </w:rPr>
        <w:t>ar</w:t>
      </w:r>
      <w:r w:rsidRPr="00150F3D">
        <w:rPr>
          <w:rFonts w:ascii="Times New Roman" w:hAnsi="Times New Roman" w:cs="Times New Roman"/>
          <w:sz w:val="24"/>
          <w:szCs w:val="24"/>
        </w:rPr>
        <w:t>b</w:t>
      </w:r>
      <w:r w:rsidR="008E0288" w:rsidRPr="00150F3D">
        <w:rPr>
          <w:rFonts w:ascii="Times New Roman" w:hAnsi="Times New Roman" w:cs="Times New Roman"/>
          <w:sz w:val="24"/>
          <w:szCs w:val="24"/>
        </w:rPr>
        <w:t>e</w:t>
      </w:r>
      <w:r w:rsidR="00E915B0">
        <w:rPr>
          <w:rFonts w:ascii="Times New Roman" w:hAnsi="Times New Roman" w:cs="Times New Roman"/>
          <w:sz w:val="24"/>
          <w:szCs w:val="24"/>
        </w:rPr>
        <w:t>-</w:t>
      </w:r>
      <w:r w:rsidRPr="00150F3D">
        <w:rPr>
          <w:rFonts w:ascii="Times New Roman" w:hAnsi="Times New Roman" w:cs="Times New Roman"/>
          <w:sz w:val="24"/>
          <w:szCs w:val="24"/>
        </w:rPr>
        <w:t xml:space="preserve">wired by </w:t>
      </w:r>
      <w:r w:rsidR="00E31D07" w:rsidRPr="00150F3D">
        <w:rPr>
          <w:rFonts w:ascii="Times New Roman" w:hAnsi="Times New Roman" w:cs="Times New Roman"/>
          <w:sz w:val="24"/>
          <w:szCs w:val="24"/>
        </w:rPr>
        <w:t xml:space="preserve">the decisions in </w:t>
      </w:r>
      <w:r w:rsidRPr="00150F3D">
        <w:rPr>
          <w:rFonts w:ascii="Times New Roman" w:hAnsi="Times New Roman" w:cs="Times New Roman"/>
          <w:i/>
          <w:iCs/>
          <w:sz w:val="24"/>
          <w:szCs w:val="24"/>
        </w:rPr>
        <w:t>Kiobel</w:t>
      </w:r>
      <w:r w:rsidRPr="00150F3D">
        <w:rPr>
          <w:rFonts w:ascii="Times New Roman" w:hAnsi="Times New Roman" w:cs="Times New Roman"/>
          <w:sz w:val="24"/>
          <w:szCs w:val="24"/>
        </w:rPr>
        <w:t xml:space="preserve"> and </w:t>
      </w:r>
      <w:r w:rsidRPr="00150F3D">
        <w:rPr>
          <w:rFonts w:ascii="Times New Roman" w:hAnsi="Times New Roman" w:cs="Times New Roman"/>
          <w:i/>
          <w:iCs/>
          <w:sz w:val="24"/>
          <w:szCs w:val="24"/>
        </w:rPr>
        <w:t>Arab Bank</w:t>
      </w:r>
      <w:r w:rsidRPr="00150F3D">
        <w:rPr>
          <w:rFonts w:ascii="Times New Roman" w:hAnsi="Times New Roman" w:cs="Times New Roman"/>
          <w:sz w:val="24"/>
          <w:szCs w:val="24"/>
        </w:rPr>
        <w:t xml:space="preserve"> to the extent that it would not be cost efficient to pursue such claims in situations where there are </w:t>
      </w:r>
      <w:r w:rsidR="008E0288" w:rsidRPr="00150F3D">
        <w:rPr>
          <w:rFonts w:ascii="Times New Roman" w:hAnsi="Times New Roman" w:cs="Times New Roman"/>
          <w:sz w:val="24"/>
          <w:szCs w:val="24"/>
        </w:rPr>
        <w:t xml:space="preserve">no </w:t>
      </w:r>
      <w:r w:rsidRPr="00150F3D">
        <w:rPr>
          <w:rFonts w:ascii="Times New Roman" w:hAnsi="Times New Roman" w:cs="Times New Roman"/>
          <w:sz w:val="24"/>
          <w:szCs w:val="24"/>
        </w:rPr>
        <w:t xml:space="preserve">strong links between the dispute and the US, and </w:t>
      </w:r>
      <w:r w:rsidR="00E31D07" w:rsidRPr="00150F3D">
        <w:rPr>
          <w:rFonts w:ascii="Times New Roman" w:hAnsi="Times New Roman" w:cs="Times New Roman"/>
          <w:sz w:val="24"/>
          <w:szCs w:val="24"/>
        </w:rPr>
        <w:t xml:space="preserve">if pursuit is possible, </w:t>
      </w:r>
      <w:r w:rsidRPr="00150F3D">
        <w:rPr>
          <w:rFonts w:ascii="Times New Roman" w:hAnsi="Times New Roman" w:cs="Times New Roman"/>
          <w:sz w:val="24"/>
          <w:szCs w:val="24"/>
        </w:rPr>
        <w:t>only in relation to U</w:t>
      </w:r>
      <w:r w:rsidR="00E31D07" w:rsidRPr="00150F3D">
        <w:rPr>
          <w:rFonts w:ascii="Times New Roman" w:hAnsi="Times New Roman" w:cs="Times New Roman"/>
          <w:sz w:val="24"/>
          <w:szCs w:val="24"/>
        </w:rPr>
        <w:t>.</w:t>
      </w:r>
      <w:r w:rsidRPr="00150F3D">
        <w:rPr>
          <w:rFonts w:ascii="Times New Roman" w:hAnsi="Times New Roman" w:cs="Times New Roman"/>
          <w:sz w:val="24"/>
          <w:szCs w:val="24"/>
        </w:rPr>
        <w:t>S</w:t>
      </w:r>
      <w:r w:rsidR="00E31D07" w:rsidRPr="00150F3D">
        <w:rPr>
          <w:rFonts w:ascii="Times New Roman" w:hAnsi="Times New Roman" w:cs="Times New Roman"/>
          <w:sz w:val="24"/>
          <w:szCs w:val="24"/>
        </w:rPr>
        <w:t>.</w:t>
      </w:r>
      <w:r w:rsidRPr="00150F3D">
        <w:rPr>
          <w:rFonts w:ascii="Times New Roman" w:hAnsi="Times New Roman" w:cs="Times New Roman"/>
          <w:sz w:val="24"/>
          <w:szCs w:val="24"/>
        </w:rPr>
        <w:t xml:space="preserve"> based corporations. Even in relation to the latter</w:t>
      </w:r>
      <w:r w:rsidR="00E915B0">
        <w:rPr>
          <w:rFonts w:ascii="Times New Roman" w:hAnsi="Times New Roman" w:cs="Times New Roman"/>
          <w:sz w:val="24"/>
          <w:szCs w:val="24"/>
        </w:rPr>
        <w:t>,</w:t>
      </w:r>
      <w:r w:rsidRPr="00150F3D">
        <w:rPr>
          <w:rFonts w:ascii="Times New Roman" w:hAnsi="Times New Roman" w:cs="Times New Roman"/>
          <w:sz w:val="24"/>
          <w:szCs w:val="24"/>
        </w:rPr>
        <w:t xml:space="preserve"> the ‘touch and concern’ test applied in </w:t>
      </w:r>
      <w:r w:rsidRPr="00150F3D">
        <w:rPr>
          <w:rFonts w:ascii="Times New Roman" w:hAnsi="Times New Roman" w:cs="Times New Roman"/>
          <w:i/>
          <w:sz w:val="24"/>
          <w:szCs w:val="24"/>
        </w:rPr>
        <w:t>Kiobel</w:t>
      </w:r>
      <w:r w:rsidRPr="00150F3D">
        <w:rPr>
          <w:rFonts w:ascii="Times New Roman" w:hAnsi="Times New Roman" w:cs="Times New Roman"/>
          <w:sz w:val="24"/>
          <w:szCs w:val="24"/>
        </w:rPr>
        <w:t xml:space="preserve"> requires more than ordinary corporate activities</w:t>
      </w:r>
      <w:bookmarkStart w:id="27" w:name="_Ref131860701"/>
      <w:r w:rsidR="00C25DCD">
        <w:rPr>
          <w:rFonts w:ascii="Times New Roman" w:hAnsi="Times New Roman" w:cs="Times New Roman"/>
          <w:sz w:val="24"/>
          <w:szCs w:val="24"/>
        </w:rPr>
        <w:t>.</w:t>
      </w:r>
      <w:bookmarkStart w:id="28" w:name="_Ref141965407"/>
      <w:r w:rsidRPr="00150F3D">
        <w:rPr>
          <w:rFonts w:ascii="Times New Roman" w:hAnsi="Times New Roman" w:cs="Times New Roman"/>
          <w:sz w:val="24"/>
          <w:szCs w:val="24"/>
          <w:vertAlign w:val="superscript"/>
        </w:rPr>
        <w:footnoteReference w:id="69"/>
      </w:r>
      <w:bookmarkEnd w:id="27"/>
      <w:bookmarkEnd w:id="28"/>
      <w:r w:rsidRPr="00150F3D">
        <w:rPr>
          <w:rFonts w:ascii="Times New Roman" w:hAnsi="Times New Roman" w:cs="Times New Roman"/>
          <w:sz w:val="24"/>
          <w:szCs w:val="24"/>
        </w:rPr>
        <w:t xml:space="preserve"> </w:t>
      </w:r>
      <w:r w:rsidR="00E31D07" w:rsidRPr="00150F3D">
        <w:rPr>
          <w:rFonts w:ascii="Times New Roman" w:hAnsi="Times New Roman" w:cs="Times New Roman"/>
          <w:sz w:val="24"/>
          <w:szCs w:val="24"/>
        </w:rPr>
        <w:t xml:space="preserve">In </w:t>
      </w:r>
      <w:r w:rsidRPr="00150F3D">
        <w:rPr>
          <w:rFonts w:ascii="Times New Roman" w:hAnsi="Times New Roman" w:cs="Times New Roman"/>
          <w:i/>
          <w:iCs/>
          <w:sz w:val="24"/>
          <w:szCs w:val="24"/>
        </w:rPr>
        <w:t>Nestle</w:t>
      </w:r>
      <w:r w:rsidR="00C25DCD">
        <w:rPr>
          <w:rFonts w:ascii="Times New Roman" w:hAnsi="Times New Roman" w:cs="Times New Roman"/>
          <w:i/>
          <w:iCs/>
          <w:sz w:val="24"/>
          <w:szCs w:val="24"/>
        </w:rPr>
        <w:t xml:space="preserve"> v Doe,</w:t>
      </w:r>
      <w:r w:rsidRPr="00150F3D">
        <w:rPr>
          <w:rFonts w:ascii="Times New Roman" w:hAnsi="Times New Roman" w:cs="Times New Roman"/>
          <w:sz w:val="24"/>
          <w:szCs w:val="24"/>
        </w:rPr>
        <w:t xml:space="preserve"> </w:t>
      </w:r>
      <w:r w:rsidR="00E31D07" w:rsidRPr="00150F3D">
        <w:rPr>
          <w:rFonts w:ascii="Times New Roman" w:hAnsi="Times New Roman" w:cs="Times New Roman"/>
          <w:sz w:val="24"/>
          <w:szCs w:val="24"/>
        </w:rPr>
        <w:t xml:space="preserve">the </w:t>
      </w:r>
      <w:r w:rsidRPr="00150F3D">
        <w:rPr>
          <w:rFonts w:ascii="Times New Roman" w:hAnsi="Times New Roman" w:cs="Times New Roman"/>
          <w:sz w:val="24"/>
          <w:szCs w:val="24"/>
        </w:rPr>
        <w:t xml:space="preserve">Court held that </w:t>
      </w:r>
      <w:r w:rsidR="00C25DCD">
        <w:rPr>
          <w:rFonts w:ascii="Times New Roman" w:hAnsi="Times New Roman" w:cs="Times New Roman"/>
          <w:sz w:val="24"/>
          <w:szCs w:val="24"/>
        </w:rPr>
        <w:t>‘</w:t>
      </w:r>
      <w:r w:rsidRPr="00150F3D">
        <w:rPr>
          <w:rFonts w:ascii="Times New Roman" w:hAnsi="Times New Roman" w:cs="Times New Roman"/>
          <w:sz w:val="24"/>
          <w:szCs w:val="24"/>
        </w:rPr>
        <w:t>activities common to most corporations such as domestic financial transactions and lobbying were insufficient to overcome the presumption against extraterritorial application.</w:t>
      </w:r>
      <w:r w:rsidR="00C25DCD">
        <w:rPr>
          <w:rFonts w:ascii="Times New Roman" w:hAnsi="Times New Roman" w:cs="Times New Roman"/>
          <w:sz w:val="24"/>
          <w:szCs w:val="24"/>
        </w:rPr>
        <w:t>’</w:t>
      </w:r>
      <w:r w:rsidRPr="00150F3D">
        <w:rPr>
          <w:rFonts w:ascii="Times New Roman" w:hAnsi="Times New Roman" w:cs="Times New Roman"/>
          <w:sz w:val="24"/>
          <w:szCs w:val="24"/>
          <w:vertAlign w:val="superscript"/>
        </w:rPr>
        <w:footnoteReference w:id="70"/>
      </w:r>
    </w:p>
    <w:p w14:paraId="2FF0A628" w14:textId="2256F597" w:rsidR="00D05C33" w:rsidRPr="00150F3D" w:rsidRDefault="00882B31" w:rsidP="00B82299">
      <w:pPr>
        <w:pStyle w:val="Heading3"/>
        <w:numPr>
          <w:ilvl w:val="0"/>
          <w:numId w:val="15"/>
        </w:numPr>
        <w:spacing w:after="240"/>
        <w:rPr>
          <w:rFonts w:ascii="Times New Roman" w:eastAsia="Times New Roman" w:hAnsi="Times New Roman" w:cs="Times New Roman"/>
        </w:rPr>
      </w:pPr>
      <w:r>
        <w:rPr>
          <w:rFonts w:ascii="Times New Roman" w:eastAsia="Times New Roman" w:hAnsi="Times New Roman" w:cs="Times New Roman"/>
        </w:rPr>
        <w:lastRenderedPageBreak/>
        <w:t>Interim conclusion</w:t>
      </w:r>
    </w:p>
    <w:p w14:paraId="0664FF5F" w14:textId="76B463C0" w:rsidR="00D745B4" w:rsidRPr="00150F3D" w:rsidRDefault="00D05C33"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The biggest challenge to civil litigation</w:t>
      </w:r>
      <w:r w:rsidR="00AD35F9">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whether in the UK, U.S. or other common law jurisdictions</w:t>
      </w:r>
      <w:r w:rsidR="00AD35F9">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is the inability to point to</w:t>
      </w:r>
      <w:r w:rsidR="0060733A" w:rsidRPr="00150F3D">
        <w:rPr>
          <w:rFonts w:ascii="Times New Roman" w:eastAsia="Times New Roman" w:hAnsi="Times New Roman" w:cs="Times New Roman"/>
          <w:sz w:val="24"/>
          <w:szCs w:val="24"/>
        </w:rPr>
        <w:t xml:space="preserve"> a</w:t>
      </w:r>
      <w:r w:rsidRPr="00150F3D">
        <w:rPr>
          <w:rFonts w:ascii="Times New Roman" w:eastAsia="Times New Roman" w:hAnsi="Times New Roman" w:cs="Times New Roman"/>
          <w:sz w:val="24"/>
          <w:szCs w:val="24"/>
        </w:rPr>
        <w:t xml:space="preserve"> binding obligation stipulated in law that </w:t>
      </w:r>
      <w:r w:rsidR="00613AF5">
        <w:rPr>
          <w:rFonts w:ascii="Times New Roman" w:eastAsia="Times New Roman" w:hAnsi="Times New Roman" w:cs="Times New Roman"/>
          <w:sz w:val="24"/>
          <w:szCs w:val="24"/>
        </w:rPr>
        <w:t>holds</w:t>
      </w:r>
      <w:r w:rsidRPr="00150F3D">
        <w:rPr>
          <w:rFonts w:ascii="Times New Roman" w:eastAsia="Times New Roman" w:hAnsi="Times New Roman" w:cs="Times New Roman"/>
          <w:sz w:val="24"/>
          <w:szCs w:val="24"/>
        </w:rPr>
        <w:t xml:space="preserve"> corporations accountable </w:t>
      </w:r>
      <w:r w:rsidR="00613AF5">
        <w:rPr>
          <w:rFonts w:ascii="Times New Roman" w:eastAsia="Times New Roman" w:hAnsi="Times New Roman" w:cs="Times New Roman"/>
          <w:sz w:val="24"/>
          <w:szCs w:val="24"/>
        </w:rPr>
        <w:t>for</w:t>
      </w:r>
      <w:r w:rsidRPr="00150F3D">
        <w:rPr>
          <w:rFonts w:ascii="Times New Roman" w:eastAsia="Times New Roman" w:hAnsi="Times New Roman" w:cs="Times New Roman"/>
          <w:sz w:val="24"/>
          <w:szCs w:val="24"/>
        </w:rPr>
        <w:t xml:space="preserve"> the violation of internationally recognised human rights</w:t>
      </w:r>
      <w:r w:rsidR="00AD35F9">
        <w:rPr>
          <w:rFonts w:ascii="Times New Roman" w:eastAsia="Times New Roman" w:hAnsi="Times New Roman" w:cs="Times New Roman"/>
          <w:sz w:val="24"/>
          <w:szCs w:val="24"/>
        </w:rPr>
        <w:t>. This</w:t>
      </w:r>
      <w:r w:rsidR="0060733A" w:rsidRPr="00150F3D">
        <w:rPr>
          <w:rFonts w:ascii="Times New Roman" w:eastAsia="Times New Roman" w:hAnsi="Times New Roman" w:cs="Times New Roman"/>
          <w:sz w:val="24"/>
          <w:szCs w:val="24"/>
        </w:rPr>
        <w:t xml:space="preserve"> makes the </w:t>
      </w:r>
      <w:r w:rsidR="00261000" w:rsidRPr="00150F3D">
        <w:rPr>
          <w:rFonts w:ascii="Times New Roman" w:eastAsia="Times New Roman" w:hAnsi="Times New Roman" w:cs="Times New Roman"/>
          <w:sz w:val="24"/>
          <w:szCs w:val="24"/>
        </w:rPr>
        <w:t xml:space="preserve">civil </w:t>
      </w:r>
      <w:r w:rsidR="0060733A" w:rsidRPr="00150F3D">
        <w:rPr>
          <w:rFonts w:ascii="Times New Roman" w:eastAsia="Times New Roman" w:hAnsi="Times New Roman" w:cs="Times New Roman"/>
          <w:sz w:val="24"/>
          <w:szCs w:val="24"/>
        </w:rPr>
        <w:t xml:space="preserve">claims </w:t>
      </w:r>
      <w:r w:rsidR="00261000" w:rsidRPr="00150F3D">
        <w:rPr>
          <w:rFonts w:ascii="Times New Roman" w:eastAsia="Times New Roman" w:hAnsi="Times New Roman" w:cs="Times New Roman"/>
          <w:sz w:val="24"/>
          <w:szCs w:val="24"/>
        </w:rPr>
        <w:t xml:space="preserve">based entirely on common law </w:t>
      </w:r>
      <w:r w:rsidR="0060733A" w:rsidRPr="00150F3D">
        <w:rPr>
          <w:rFonts w:ascii="Times New Roman" w:eastAsia="Times New Roman" w:hAnsi="Times New Roman" w:cs="Times New Roman"/>
          <w:sz w:val="24"/>
          <w:szCs w:val="24"/>
        </w:rPr>
        <w:t>incredibly complex, and costly.</w:t>
      </w:r>
      <w:r w:rsidRPr="00150F3D">
        <w:rPr>
          <w:rFonts w:ascii="Times New Roman" w:eastAsia="Times New Roman" w:hAnsi="Times New Roman" w:cs="Times New Roman"/>
          <w:sz w:val="24"/>
          <w:szCs w:val="24"/>
        </w:rPr>
        <w:t xml:space="preserve"> </w:t>
      </w:r>
      <w:r w:rsidR="00261000" w:rsidRPr="00150F3D">
        <w:rPr>
          <w:rFonts w:ascii="Times New Roman" w:eastAsia="Times New Roman" w:hAnsi="Times New Roman" w:cs="Times New Roman"/>
          <w:sz w:val="24"/>
          <w:szCs w:val="24"/>
        </w:rPr>
        <w:t>E</w:t>
      </w:r>
      <w:r w:rsidR="00683CF2" w:rsidRPr="00150F3D">
        <w:rPr>
          <w:rFonts w:ascii="Times New Roman" w:eastAsia="Times New Roman" w:hAnsi="Times New Roman" w:cs="Times New Roman"/>
          <w:sz w:val="24"/>
          <w:szCs w:val="24"/>
        </w:rPr>
        <w:t>ven when they succeed</w:t>
      </w:r>
      <w:r w:rsidR="00261000" w:rsidRPr="00150F3D">
        <w:rPr>
          <w:rFonts w:ascii="Times New Roman" w:eastAsia="Times New Roman" w:hAnsi="Times New Roman" w:cs="Times New Roman"/>
          <w:sz w:val="24"/>
          <w:szCs w:val="24"/>
        </w:rPr>
        <w:t>,</w:t>
      </w:r>
      <w:r w:rsidR="00683CF2" w:rsidRPr="00150F3D">
        <w:rPr>
          <w:rFonts w:ascii="Times New Roman" w:eastAsia="Times New Roman" w:hAnsi="Times New Roman" w:cs="Times New Roman"/>
          <w:sz w:val="24"/>
          <w:szCs w:val="24"/>
        </w:rPr>
        <w:t xml:space="preserve"> </w:t>
      </w:r>
      <w:r w:rsidR="00261000" w:rsidRPr="00150F3D">
        <w:rPr>
          <w:rFonts w:ascii="Times New Roman" w:eastAsia="Times New Roman" w:hAnsi="Times New Roman" w:cs="Times New Roman"/>
          <w:sz w:val="24"/>
          <w:szCs w:val="24"/>
        </w:rPr>
        <w:t xml:space="preserve">they </w:t>
      </w:r>
      <w:r w:rsidR="00683CF2" w:rsidRPr="00150F3D">
        <w:rPr>
          <w:rFonts w:ascii="Times New Roman" w:eastAsia="Times New Roman" w:hAnsi="Times New Roman" w:cs="Times New Roman"/>
          <w:sz w:val="24"/>
          <w:szCs w:val="24"/>
        </w:rPr>
        <w:t>offer piecemeal and targeted solutions which are reactive to the needs of the individual case. It</w:t>
      </w:r>
      <w:r w:rsidR="00261000" w:rsidRPr="00150F3D">
        <w:rPr>
          <w:rFonts w:ascii="Times New Roman" w:eastAsia="Times New Roman" w:hAnsi="Times New Roman" w:cs="Times New Roman"/>
          <w:sz w:val="24"/>
          <w:szCs w:val="24"/>
        </w:rPr>
        <w:t xml:space="preserve"> i</w:t>
      </w:r>
      <w:r w:rsidR="00683CF2" w:rsidRPr="00150F3D">
        <w:rPr>
          <w:rFonts w:ascii="Times New Roman" w:eastAsia="Times New Roman" w:hAnsi="Times New Roman" w:cs="Times New Roman"/>
          <w:sz w:val="24"/>
          <w:szCs w:val="24"/>
        </w:rPr>
        <w:t xml:space="preserve">s indisputable that some business managers will stand in the line and conform with internationally recognised human rights and environmental </w:t>
      </w:r>
      <w:r w:rsidR="008E4BFD">
        <w:rPr>
          <w:rFonts w:ascii="Times New Roman" w:eastAsia="Times New Roman" w:hAnsi="Times New Roman" w:cs="Times New Roman"/>
          <w:sz w:val="24"/>
          <w:szCs w:val="24"/>
        </w:rPr>
        <w:t>standards</w:t>
      </w:r>
      <w:r w:rsidRPr="00150F3D">
        <w:rPr>
          <w:rFonts w:ascii="Times New Roman" w:eastAsia="Times New Roman" w:hAnsi="Times New Roman" w:cs="Times New Roman"/>
          <w:sz w:val="24"/>
          <w:szCs w:val="24"/>
        </w:rPr>
        <w:t xml:space="preserve"> due to the threat of civil litigation</w:t>
      </w:r>
      <w:r w:rsidR="00683CF2" w:rsidRPr="00150F3D">
        <w:rPr>
          <w:rFonts w:ascii="Times New Roman" w:eastAsia="Times New Roman" w:hAnsi="Times New Roman" w:cs="Times New Roman"/>
          <w:sz w:val="24"/>
          <w:szCs w:val="24"/>
        </w:rPr>
        <w:t>, however</w:t>
      </w:r>
      <w:r w:rsidRPr="00150F3D">
        <w:rPr>
          <w:rFonts w:ascii="Times New Roman" w:eastAsia="Times New Roman" w:hAnsi="Times New Roman" w:cs="Times New Roman"/>
          <w:sz w:val="24"/>
          <w:szCs w:val="24"/>
        </w:rPr>
        <w:t>,</w:t>
      </w:r>
      <w:r w:rsidR="00683CF2" w:rsidRPr="00150F3D">
        <w:rPr>
          <w:rFonts w:ascii="Times New Roman" w:eastAsia="Times New Roman" w:hAnsi="Times New Roman" w:cs="Times New Roman"/>
          <w:sz w:val="24"/>
          <w:szCs w:val="24"/>
        </w:rPr>
        <w:t xml:space="preserve"> the incentives </w:t>
      </w:r>
      <w:r w:rsidRPr="00150F3D">
        <w:rPr>
          <w:rFonts w:ascii="Times New Roman" w:eastAsia="Times New Roman" w:hAnsi="Times New Roman" w:cs="Times New Roman"/>
          <w:sz w:val="24"/>
          <w:szCs w:val="24"/>
        </w:rPr>
        <w:t xml:space="preserve">to conform </w:t>
      </w:r>
      <w:r w:rsidR="00683CF2" w:rsidRPr="00150F3D">
        <w:rPr>
          <w:rFonts w:ascii="Times New Roman" w:eastAsia="Times New Roman" w:hAnsi="Times New Roman" w:cs="Times New Roman"/>
          <w:sz w:val="24"/>
          <w:szCs w:val="24"/>
        </w:rPr>
        <w:t xml:space="preserve">are not great enough </w:t>
      </w:r>
      <w:r w:rsidRPr="00150F3D">
        <w:rPr>
          <w:rFonts w:ascii="Times New Roman" w:eastAsia="Times New Roman" w:hAnsi="Times New Roman" w:cs="Times New Roman"/>
          <w:sz w:val="24"/>
          <w:szCs w:val="24"/>
        </w:rPr>
        <w:t xml:space="preserve">and will not have the </w:t>
      </w:r>
      <w:r w:rsidR="00261000" w:rsidRPr="00150F3D">
        <w:rPr>
          <w:rFonts w:ascii="Times New Roman" w:eastAsia="Times New Roman" w:hAnsi="Times New Roman" w:cs="Times New Roman"/>
          <w:sz w:val="24"/>
          <w:szCs w:val="24"/>
        </w:rPr>
        <w:t>much-required</w:t>
      </w:r>
      <w:r w:rsidRPr="00150F3D">
        <w:rPr>
          <w:rFonts w:ascii="Times New Roman" w:eastAsia="Times New Roman" w:hAnsi="Times New Roman" w:cs="Times New Roman"/>
          <w:sz w:val="24"/>
          <w:szCs w:val="24"/>
        </w:rPr>
        <w:t xml:space="preserve"> </w:t>
      </w:r>
      <w:r w:rsidR="00D745B4" w:rsidRPr="00150F3D">
        <w:rPr>
          <w:rFonts w:ascii="Times New Roman" w:eastAsia="Times New Roman" w:hAnsi="Times New Roman" w:cs="Times New Roman"/>
          <w:sz w:val="24"/>
          <w:szCs w:val="24"/>
        </w:rPr>
        <w:t xml:space="preserve">wider </w:t>
      </w:r>
      <w:r w:rsidR="00683CF2" w:rsidRPr="00150F3D">
        <w:rPr>
          <w:rFonts w:ascii="Times New Roman" w:eastAsia="Times New Roman" w:hAnsi="Times New Roman" w:cs="Times New Roman"/>
          <w:sz w:val="24"/>
          <w:szCs w:val="24"/>
        </w:rPr>
        <w:t>culture change</w:t>
      </w:r>
      <w:r w:rsidRPr="00150F3D">
        <w:rPr>
          <w:rFonts w:ascii="Times New Roman" w:eastAsia="Times New Roman" w:hAnsi="Times New Roman" w:cs="Times New Roman"/>
          <w:sz w:val="24"/>
          <w:szCs w:val="24"/>
        </w:rPr>
        <w:t xml:space="preserve">, </w:t>
      </w:r>
      <w:r w:rsidR="00261000" w:rsidRPr="00150F3D">
        <w:rPr>
          <w:rFonts w:ascii="Times New Roman" w:eastAsia="Times New Roman" w:hAnsi="Times New Roman" w:cs="Times New Roman"/>
          <w:sz w:val="24"/>
          <w:szCs w:val="24"/>
        </w:rPr>
        <w:t>much needed in order to remove the threat of</w:t>
      </w:r>
      <w:r w:rsidRPr="00150F3D">
        <w:rPr>
          <w:rFonts w:ascii="Times New Roman" w:eastAsia="Times New Roman" w:hAnsi="Times New Roman" w:cs="Times New Roman"/>
          <w:sz w:val="24"/>
          <w:szCs w:val="24"/>
        </w:rPr>
        <w:t xml:space="preserve"> adverse </w:t>
      </w:r>
      <w:r w:rsidR="00D745B4" w:rsidRPr="00150F3D">
        <w:rPr>
          <w:rFonts w:ascii="Times New Roman" w:eastAsia="Times New Roman" w:hAnsi="Times New Roman" w:cs="Times New Roman"/>
          <w:sz w:val="24"/>
          <w:szCs w:val="24"/>
        </w:rPr>
        <w:t xml:space="preserve">human rights </w:t>
      </w:r>
      <w:r w:rsidR="00261000" w:rsidRPr="00150F3D">
        <w:rPr>
          <w:rFonts w:ascii="Times New Roman" w:eastAsia="Times New Roman" w:hAnsi="Times New Roman" w:cs="Times New Roman"/>
          <w:sz w:val="24"/>
          <w:szCs w:val="24"/>
        </w:rPr>
        <w:t>on peoples</w:t>
      </w:r>
      <w:r w:rsidR="00D745B4" w:rsidRPr="00150F3D">
        <w:rPr>
          <w:rFonts w:ascii="Times New Roman" w:eastAsia="Times New Roman" w:hAnsi="Times New Roman" w:cs="Times New Roman"/>
          <w:sz w:val="24"/>
          <w:szCs w:val="24"/>
        </w:rPr>
        <w:t xml:space="preserve">. </w:t>
      </w:r>
    </w:p>
    <w:p w14:paraId="4EC6D4B2" w14:textId="7247692E" w:rsidR="00983222" w:rsidRDefault="00EF025F"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D745B4" w:rsidRPr="00150F3D">
        <w:rPr>
          <w:rFonts w:ascii="Times New Roman" w:eastAsia="Times New Roman" w:hAnsi="Times New Roman" w:cs="Times New Roman"/>
          <w:sz w:val="24"/>
          <w:szCs w:val="24"/>
        </w:rPr>
        <w:t xml:space="preserve">olding corporations to account in situations which have not been recognised and which seem to affect their conduct along the entire </w:t>
      </w:r>
      <w:r w:rsidR="00981799" w:rsidRPr="00150F3D">
        <w:rPr>
          <w:rFonts w:ascii="Times New Roman" w:eastAsia="Times New Roman" w:hAnsi="Times New Roman" w:cs="Times New Roman"/>
          <w:sz w:val="24"/>
          <w:szCs w:val="24"/>
        </w:rPr>
        <w:t>value chain</w:t>
      </w:r>
      <w:r w:rsidR="00D745B4" w:rsidRPr="00150F3D">
        <w:rPr>
          <w:rFonts w:ascii="Times New Roman" w:eastAsia="Times New Roman" w:hAnsi="Times New Roman" w:cs="Times New Roman"/>
          <w:sz w:val="24"/>
          <w:szCs w:val="24"/>
        </w:rPr>
        <w:t>, requires a</w:t>
      </w:r>
      <w:r w:rsidR="002970E5" w:rsidRPr="00150F3D">
        <w:rPr>
          <w:rFonts w:ascii="Times New Roman" w:eastAsia="Times New Roman" w:hAnsi="Times New Roman" w:cs="Times New Roman"/>
          <w:sz w:val="24"/>
          <w:szCs w:val="24"/>
        </w:rPr>
        <w:t xml:space="preserve"> policy </w:t>
      </w:r>
      <w:r w:rsidR="00D745B4" w:rsidRPr="00150F3D">
        <w:rPr>
          <w:rFonts w:ascii="Times New Roman" w:eastAsia="Times New Roman" w:hAnsi="Times New Roman" w:cs="Times New Roman"/>
          <w:sz w:val="24"/>
          <w:szCs w:val="24"/>
        </w:rPr>
        <w:t xml:space="preserve">decision which is more likely to be justified </w:t>
      </w:r>
      <w:r w:rsidR="00261000" w:rsidRPr="00150F3D">
        <w:rPr>
          <w:rFonts w:ascii="Times New Roman" w:eastAsia="Times New Roman" w:hAnsi="Times New Roman" w:cs="Times New Roman"/>
          <w:sz w:val="24"/>
          <w:szCs w:val="24"/>
        </w:rPr>
        <w:t xml:space="preserve">(and accepted by all stakeholders) </w:t>
      </w:r>
      <w:r w:rsidR="00D745B4" w:rsidRPr="00150F3D">
        <w:rPr>
          <w:rFonts w:ascii="Times New Roman" w:eastAsia="Times New Roman" w:hAnsi="Times New Roman" w:cs="Times New Roman"/>
          <w:sz w:val="24"/>
          <w:szCs w:val="24"/>
        </w:rPr>
        <w:t xml:space="preserve">if made by </w:t>
      </w:r>
      <w:r>
        <w:rPr>
          <w:rFonts w:ascii="Times New Roman" w:eastAsia="Times New Roman" w:hAnsi="Times New Roman" w:cs="Times New Roman"/>
          <w:sz w:val="24"/>
          <w:szCs w:val="24"/>
        </w:rPr>
        <w:t>the lawmaker</w:t>
      </w:r>
      <w:r w:rsidR="00D745B4" w:rsidRPr="00150F3D">
        <w:rPr>
          <w:rFonts w:ascii="Times New Roman" w:eastAsia="Times New Roman" w:hAnsi="Times New Roman" w:cs="Times New Roman"/>
          <w:sz w:val="24"/>
          <w:szCs w:val="24"/>
        </w:rPr>
        <w:t xml:space="preserve">. This will be a significant step because it </w:t>
      </w:r>
      <w:r w:rsidR="006D0334" w:rsidRPr="00150F3D">
        <w:rPr>
          <w:rFonts w:ascii="Times New Roman" w:eastAsia="Times New Roman" w:hAnsi="Times New Roman" w:cs="Times New Roman"/>
          <w:sz w:val="24"/>
          <w:szCs w:val="24"/>
        </w:rPr>
        <w:t xml:space="preserve">should </w:t>
      </w:r>
      <w:r w:rsidR="00D745B4" w:rsidRPr="00150F3D">
        <w:rPr>
          <w:rFonts w:ascii="Times New Roman" w:eastAsia="Times New Roman" w:hAnsi="Times New Roman" w:cs="Times New Roman"/>
          <w:sz w:val="24"/>
          <w:szCs w:val="24"/>
        </w:rPr>
        <w:t xml:space="preserve">pave a clearer and more efficient civil liability route than </w:t>
      </w:r>
      <w:r w:rsidR="006D0334" w:rsidRPr="00150F3D">
        <w:rPr>
          <w:rFonts w:ascii="Times New Roman" w:eastAsia="Times New Roman" w:hAnsi="Times New Roman" w:cs="Times New Roman"/>
          <w:sz w:val="24"/>
          <w:szCs w:val="24"/>
        </w:rPr>
        <w:t xml:space="preserve">the ones which </w:t>
      </w:r>
      <w:r w:rsidR="00D745B4" w:rsidRPr="00150F3D">
        <w:rPr>
          <w:rFonts w:ascii="Times New Roman" w:eastAsia="Times New Roman" w:hAnsi="Times New Roman" w:cs="Times New Roman"/>
          <w:sz w:val="24"/>
          <w:szCs w:val="24"/>
        </w:rPr>
        <w:t>ha</w:t>
      </w:r>
      <w:r w:rsidR="006D0334" w:rsidRPr="00150F3D">
        <w:rPr>
          <w:rFonts w:ascii="Times New Roman" w:eastAsia="Times New Roman" w:hAnsi="Times New Roman" w:cs="Times New Roman"/>
          <w:sz w:val="24"/>
          <w:szCs w:val="24"/>
        </w:rPr>
        <w:t>ve</w:t>
      </w:r>
      <w:r w:rsidR="00D745B4" w:rsidRPr="00150F3D">
        <w:rPr>
          <w:rFonts w:ascii="Times New Roman" w:eastAsia="Times New Roman" w:hAnsi="Times New Roman" w:cs="Times New Roman"/>
          <w:sz w:val="24"/>
          <w:szCs w:val="24"/>
        </w:rPr>
        <w:t xml:space="preserve"> existed under common law or ATS litigation.</w:t>
      </w:r>
      <w:r w:rsidR="00BD78F9">
        <w:rPr>
          <w:rFonts w:ascii="Times New Roman" w:eastAsia="Times New Roman" w:hAnsi="Times New Roman" w:cs="Times New Roman"/>
          <w:sz w:val="24"/>
          <w:szCs w:val="24"/>
        </w:rPr>
        <w:t xml:space="preserve"> </w:t>
      </w:r>
    </w:p>
    <w:p w14:paraId="6FBC3EF3" w14:textId="77777777" w:rsidR="00454A36" w:rsidRDefault="00EF025F"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promising way forward, we claim, is found in a recent emerging </w:t>
      </w:r>
      <w:r w:rsidR="00983222">
        <w:rPr>
          <w:rFonts w:ascii="Times New Roman" w:eastAsia="Times New Roman" w:hAnsi="Times New Roman" w:cs="Times New Roman"/>
          <w:sz w:val="24"/>
          <w:szCs w:val="24"/>
        </w:rPr>
        <w:t>trend</w:t>
      </w:r>
      <w:r>
        <w:rPr>
          <w:rFonts w:ascii="Times New Roman" w:eastAsia="Times New Roman" w:hAnsi="Times New Roman" w:cs="Times New Roman"/>
          <w:sz w:val="24"/>
          <w:szCs w:val="24"/>
        </w:rPr>
        <w:t>,</w:t>
      </w:r>
      <w:r w:rsidR="00CA1B7E">
        <w:rPr>
          <w:rFonts w:ascii="Times New Roman" w:eastAsia="Times New Roman" w:hAnsi="Times New Roman" w:cs="Times New Roman"/>
          <w:sz w:val="24"/>
          <w:szCs w:val="24"/>
        </w:rPr>
        <w:t xml:space="preserve"> which may overcome some of the difficulties discussed above</w:t>
      </w:r>
      <w:r w:rsidR="00983222">
        <w:rPr>
          <w:rFonts w:ascii="Times New Roman" w:eastAsia="Times New Roman" w:hAnsi="Times New Roman" w:cs="Times New Roman"/>
          <w:sz w:val="24"/>
          <w:szCs w:val="24"/>
        </w:rPr>
        <w:t xml:space="preserve">: the legislation of sustainability due diligence laws. </w:t>
      </w:r>
      <w:r>
        <w:rPr>
          <w:rFonts w:ascii="Times New Roman" w:eastAsia="Times New Roman" w:hAnsi="Times New Roman" w:cs="Times New Roman"/>
          <w:sz w:val="24"/>
          <w:szCs w:val="24"/>
        </w:rPr>
        <w:t>This new type of laws could potentially support</w:t>
      </w:r>
      <w:r w:rsidR="00CA1B7E">
        <w:rPr>
          <w:rFonts w:ascii="Times New Roman" w:eastAsia="Times New Roman" w:hAnsi="Times New Roman" w:cs="Times New Roman"/>
          <w:sz w:val="24"/>
          <w:szCs w:val="24"/>
        </w:rPr>
        <w:t xml:space="preserve"> future claimants</w:t>
      </w:r>
      <w:r>
        <w:rPr>
          <w:rFonts w:ascii="Times New Roman" w:eastAsia="Times New Roman" w:hAnsi="Times New Roman" w:cs="Times New Roman"/>
          <w:sz w:val="24"/>
          <w:szCs w:val="24"/>
        </w:rPr>
        <w:t xml:space="preserve"> on several levels</w:t>
      </w:r>
      <w:r w:rsidR="00CA1B7E">
        <w:rPr>
          <w:rFonts w:ascii="Times New Roman" w:eastAsia="Times New Roman" w:hAnsi="Times New Roman" w:cs="Times New Roman"/>
          <w:sz w:val="24"/>
          <w:szCs w:val="24"/>
        </w:rPr>
        <w:t xml:space="preserve">. To begin with, where MNCs are obliged to publicly identify their sustainability risks, it will be harder for them to </w:t>
      </w:r>
      <w:r w:rsidR="00454A36">
        <w:rPr>
          <w:rFonts w:ascii="Times New Roman" w:eastAsia="Times New Roman" w:hAnsi="Times New Roman" w:cs="Times New Roman"/>
          <w:sz w:val="24"/>
          <w:szCs w:val="24"/>
        </w:rPr>
        <w:t>defend</w:t>
      </w:r>
      <w:r w:rsidR="00CA1B7E">
        <w:rPr>
          <w:rFonts w:ascii="Times New Roman" w:eastAsia="Times New Roman" w:hAnsi="Times New Roman" w:cs="Times New Roman"/>
          <w:sz w:val="24"/>
          <w:szCs w:val="24"/>
        </w:rPr>
        <w:t xml:space="preserve"> the lack of effective prevention and mitigation of </w:t>
      </w:r>
      <w:r w:rsidR="00454A36">
        <w:rPr>
          <w:rFonts w:ascii="Times New Roman" w:eastAsia="Times New Roman" w:hAnsi="Times New Roman" w:cs="Times New Roman"/>
          <w:sz w:val="24"/>
          <w:szCs w:val="24"/>
        </w:rPr>
        <w:t>identified</w:t>
      </w:r>
      <w:r w:rsidR="00CA1B7E">
        <w:rPr>
          <w:rFonts w:ascii="Times New Roman" w:eastAsia="Times New Roman" w:hAnsi="Times New Roman" w:cs="Times New Roman"/>
          <w:sz w:val="24"/>
          <w:szCs w:val="24"/>
        </w:rPr>
        <w:t xml:space="preserve"> harms before courts</w:t>
      </w:r>
      <w:r w:rsidR="00454A36">
        <w:rPr>
          <w:rFonts w:ascii="Times New Roman" w:eastAsia="Times New Roman" w:hAnsi="Times New Roman" w:cs="Times New Roman"/>
          <w:sz w:val="24"/>
          <w:szCs w:val="24"/>
        </w:rPr>
        <w:t xml:space="preserve">. This could be meaningful in addressing issues such as causal link, or claims regarding MNCs’ lack of awareness and control over the harm. </w:t>
      </w:r>
    </w:p>
    <w:p w14:paraId="6AF1965B" w14:textId="11168C8A" w:rsidR="00454A36" w:rsidRDefault="00CA1B7E"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in some cases, </w:t>
      </w:r>
      <w:r w:rsidR="00454A36">
        <w:rPr>
          <w:rFonts w:ascii="Times New Roman" w:eastAsia="Times New Roman" w:hAnsi="Times New Roman" w:cs="Times New Roman"/>
          <w:sz w:val="24"/>
          <w:szCs w:val="24"/>
        </w:rPr>
        <w:t xml:space="preserve">sustainability due diligence </w:t>
      </w:r>
      <w:r>
        <w:rPr>
          <w:rFonts w:ascii="Times New Roman" w:eastAsia="Times New Roman" w:hAnsi="Times New Roman" w:cs="Times New Roman"/>
          <w:sz w:val="24"/>
          <w:szCs w:val="24"/>
        </w:rPr>
        <w:t xml:space="preserve">laws are accompanied </w:t>
      </w:r>
      <w:r w:rsidR="00613AF5">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civil liability mechanisms, explicitly permitting victims the right to seek justice in </w:t>
      </w:r>
      <w:r w:rsidR="001B31F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courts</w:t>
      </w:r>
      <w:r w:rsidR="001B31F8">
        <w:rPr>
          <w:rFonts w:ascii="Times New Roman" w:eastAsia="Times New Roman" w:hAnsi="Times New Roman" w:cs="Times New Roman"/>
          <w:sz w:val="24"/>
          <w:szCs w:val="24"/>
        </w:rPr>
        <w:t xml:space="preserve"> of the </w:t>
      </w:r>
      <w:r w:rsidR="00613AF5">
        <w:rPr>
          <w:rFonts w:ascii="Times New Roman" w:eastAsia="Times New Roman" w:hAnsi="Times New Roman" w:cs="Times New Roman"/>
          <w:sz w:val="24"/>
          <w:szCs w:val="24"/>
        </w:rPr>
        <w:t>MNCs’</w:t>
      </w:r>
      <w:r w:rsidR="001B31F8">
        <w:rPr>
          <w:rFonts w:ascii="Times New Roman" w:eastAsia="Times New Roman" w:hAnsi="Times New Roman" w:cs="Times New Roman"/>
          <w:sz w:val="24"/>
          <w:szCs w:val="24"/>
        </w:rPr>
        <w:t xml:space="preserve"> home state</w:t>
      </w:r>
      <w:r>
        <w:rPr>
          <w:rFonts w:ascii="Times New Roman" w:eastAsia="Times New Roman" w:hAnsi="Times New Roman" w:cs="Times New Roman"/>
          <w:sz w:val="24"/>
          <w:szCs w:val="24"/>
        </w:rPr>
        <w:t xml:space="preserve">. </w:t>
      </w:r>
      <w:r w:rsidR="00454A36">
        <w:rPr>
          <w:rFonts w:ascii="Times New Roman" w:eastAsia="Times New Roman" w:hAnsi="Times New Roman" w:cs="Times New Roman"/>
          <w:sz w:val="24"/>
          <w:szCs w:val="24"/>
        </w:rPr>
        <w:t xml:space="preserve">If designed properly, this addition could revolutionise victims’ access to justice and remedies, removing the barriers discussed above.   </w:t>
      </w:r>
    </w:p>
    <w:p w14:paraId="10CAF4D4" w14:textId="10682BBD" w:rsidR="00F66331" w:rsidRDefault="00CA1B7E"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Thirdly, again, in some cases (notably the CSDDD), the title ‘sustainability due diligence’ is misleading: the legal obligations</w:t>
      </w:r>
      <w:r w:rsidR="00F66331">
        <w:rPr>
          <w:rFonts w:ascii="Times New Roman" w:eastAsia="Times New Roman" w:hAnsi="Times New Roman" w:cs="Times New Roman"/>
          <w:sz w:val="24"/>
          <w:szCs w:val="24"/>
        </w:rPr>
        <w:t xml:space="preserve"> found in the more ambitious examples</w:t>
      </w:r>
      <w:r>
        <w:rPr>
          <w:rFonts w:ascii="Times New Roman" w:eastAsia="Times New Roman" w:hAnsi="Times New Roman" w:cs="Times New Roman"/>
          <w:sz w:val="24"/>
          <w:szCs w:val="24"/>
        </w:rPr>
        <w:t xml:space="preserve"> go </w:t>
      </w:r>
      <w:r w:rsidR="001B31F8">
        <w:rPr>
          <w:rFonts w:ascii="Times New Roman" w:eastAsia="Times New Roman" w:hAnsi="Times New Roman" w:cs="Times New Roman"/>
          <w:sz w:val="24"/>
          <w:szCs w:val="24"/>
        </w:rPr>
        <w:t xml:space="preserve">far </w:t>
      </w:r>
      <w:r>
        <w:rPr>
          <w:rFonts w:ascii="Times New Roman" w:eastAsia="Times New Roman" w:hAnsi="Times New Roman" w:cs="Times New Roman"/>
          <w:sz w:val="24"/>
          <w:szCs w:val="24"/>
        </w:rPr>
        <w:t xml:space="preserve">beyond mere </w:t>
      </w:r>
      <w:r w:rsidR="00F66331">
        <w:rPr>
          <w:rFonts w:ascii="Times New Roman" w:eastAsia="Times New Roman" w:hAnsi="Times New Roman" w:cs="Times New Roman"/>
          <w:sz w:val="24"/>
          <w:szCs w:val="24"/>
        </w:rPr>
        <w:t>duties</w:t>
      </w:r>
      <w:r>
        <w:rPr>
          <w:rFonts w:ascii="Times New Roman" w:eastAsia="Times New Roman" w:hAnsi="Times New Roman" w:cs="Times New Roman"/>
          <w:sz w:val="24"/>
          <w:szCs w:val="24"/>
        </w:rPr>
        <w:t xml:space="preserve"> to identify </w:t>
      </w:r>
      <w:r w:rsidR="00F66331">
        <w:rPr>
          <w:rFonts w:ascii="Times New Roman" w:eastAsia="Times New Roman" w:hAnsi="Times New Roman" w:cs="Times New Roman"/>
          <w:sz w:val="24"/>
          <w:szCs w:val="24"/>
        </w:rPr>
        <w:t>risks and</w:t>
      </w:r>
      <w:r>
        <w:rPr>
          <w:rFonts w:ascii="Times New Roman" w:eastAsia="Times New Roman" w:hAnsi="Times New Roman" w:cs="Times New Roman"/>
          <w:sz w:val="24"/>
          <w:szCs w:val="24"/>
        </w:rPr>
        <w:t xml:space="preserve"> include also explicit obligations to prevent risks from materialising and mitigate harms where such have occurred. </w:t>
      </w:r>
    </w:p>
    <w:p w14:paraId="71927F48" w14:textId="0EE49893" w:rsidR="00D14519" w:rsidRPr="00BD5289" w:rsidRDefault="00A8074F" w:rsidP="00B82299">
      <w:pPr>
        <w:spacing w:after="24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In short, it could be that under the unassuming and somewhat technocratic title</w:t>
      </w:r>
      <w:r w:rsidR="00F66331">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‘due diligence’, </w:t>
      </w:r>
      <w:r w:rsidR="00417916">
        <w:rPr>
          <w:rFonts w:ascii="Times New Roman" w:eastAsia="Times New Roman" w:hAnsi="Times New Roman" w:cs="Times New Roman"/>
          <w:sz w:val="24"/>
          <w:szCs w:val="24"/>
        </w:rPr>
        <w:t xml:space="preserve">quietly </w:t>
      </w:r>
      <w:r>
        <w:rPr>
          <w:rFonts w:ascii="Times New Roman" w:eastAsia="Times New Roman" w:hAnsi="Times New Roman" w:cs="Times New Roman"/>
          <w:sz w:val="24"/>
          <w:szCs w:val="24"/>
        </w:rPr>
        <w:t>hides a revolutionary legal instrument that will transform the access to justice and remedy</w:t>
      </w:r>
      <w:r w:rsidR="00AD35F9">
        <w:rPr>
          <w:rFonts w:ascii="Times New Roman" w:eastAsia="Times New Roman" w:hAnsi="Times New Roman" w:cs="Times New Roman"/>
          <w:sz w:val="24"/>
          <w:szCs w:val="24"/>
        </w:rPr>
        <w:t xml:space="preserve"> for MNCs victims</w:t>
      </w:r>
      <w:r>
        <w:rPr>
          <w:rFonts w:ascii="Times New Roman" w:eastAsia="Times New Roman" w:hAnsi="Times New Roman" w:cs="Times New Roman"/>
          <w:sz w:val="24"/>
          <w:szCs w:val="24"/>
        </w:rPr>
        <w:t xml:space="preserve">. </w:t>
      </w:r>
      <w:r>
        <w:rPr>
          <w:rFonts w:ascii="Times New Roman" w:hAnsi="Times New Roman" w:cs="Times New Roman"/>
          <w:sz w:val="24"/>
          <w:szCs w:val="24"/>
        </w:rPr>
        <w:t>In the following part</w:t>
      </w:r>
      <w:r w:rsidR="00613AF5">
        <w:rPr>
          <w:rFonts w:ascii="Times New Roman" w:hAnsi="Times New Roman" w:cs="Times New Roman"/>
          <w:sz w:val="24"/>
          <w:szCs w:val="24"/>
        </w:rPr>
        <w:t>,</w:t>
      </w:r>
      <w:r>
        <w:rPr>
          <w:rFonts w:ascii="Times New Roman" w:hAnsi="Times New Roman" w:cs="Times New Roman"/>
          <w:sz w:val="24"/>
          <w:szCs w:val="24"/>
        </w:rPr>
        <w:t xml:space="preserve"> we will assess this emerging parallel route</w:t>
      </w:r>
      <w:r w:rsidR="00417916">
        <w:rPr>
          <w:rFonts w:ascii="Times New Roman" w:hAnsi="Times New Roman" w:cs="Times New Roman"/>
          <w:sz w:val="24"/>
          <w:szCs w:val="24"/>
        </w:rPr>
        <w:t>.</w:t>
      </w:r>
      <w:r>
        <w:rPr>
          <w:rFonts w:ascii="Times New Roman" w:hAnsi="Times New Roman" w:cs="Times New Roman"/>
          <w:sz w:val="24"/>
          <w:szCs w:val="24"/>
        </w:rPr>
        <w:t xml:space="preserve"> </w:t>
      </w:r>
      <w:r w:rsidR="00417916">
        <w:rPr>
          <w:rFonts w:ascii="Times New Roman" w:hAnsi="Times New Roman" w:cs="Times New Roman"/>
          <w:sz w:val="24"/>
          <w:szCs w:val="24"/>
        </w:rPr>
        <w:t>We will</w:t>
      </w:r>
      <w:r>
        <w:rPr>
          <w:rFonts w:ascii="Times New Roman" w:hAnsi="Times New Roman" w:cs="Times New Roman"/>
          <w:sz w:val="24"/>
          <w:szCs w:val="24"/>
        </w:rPr>
        <w:t xml:space="preserve"> ask whether indeed </w:t>
      </w:r>
      <w:r w:rsidR="00D8524D">
        <w:rPr>
          <w:rFonts w:ascii="Times New Roman" w:hAnsi="Times New Roman" w:cs="Times New Roman"/>
          <w:sz w:val="24"/>
          <w:szCs w:val="24"/>
        </w:rPr>
        <w:t xml:space="preserve">the modern model of sustainability due diligence legislation </w:t>
      </w:r>
      <w:r w:rsidR="00417916">
        <w:rPr>
          <w:rFonts w:ascii="Times New Roman" w:hAnsi="Times New Roman" w:cs="Times New Roman"/>
          <w:sz w:val="24"/>
          <w:szCs w:val="24"/>
        </w:rPr>
        <w:t xml:space="preserve">is bringing </w:t>
      </w:r>
      <w:r w:rsidR="00882B31">
        <w:rPr>
          <w:rFonts w:ascii="Times New Roman" w:hAnsi="Times New Roman" w:cs="Times New Roman"/>
          <w:sz w:val="24"/>
          <w:szCs w:val="24"/>
        </w:rPr>
        <w:t xml:space="preserve">a ‘quiet revolution’ </w:t>
      </w:r>
      <w:r w:rsidR="00417916">
        <w:rPr>
          <w:rFonts w:ascii="Times New Roman" w:hAnsi="Times New Roman" w:cs="Times New Roman"/>
          <w:sz w:val="24"/>
          <w:szCs w:val="24"/>
        </w:rPr>
        <w:t>for victims’</w:t>
      </w:r>
      <w:r w:rsidR="00882B31">
        <w:rPr>
          <w:rFonts w:ascii="Times New Roman" w:hAnsi="Times New Roman" w:cs="Times New Roman"/>
          <w:sz w:val="24"/>
          <w:szCs w:val="24"/>
        </w:rPr>
        <w:t xml:space="preserve"> access to justice and remedy </w:t>
      </w:r>
      <w:r w:rsidR="00417916">
        <w:rPr>
          <w:rFonts w:ascii="Times New Roman" w:hAnsi="Times New Roman" w:cs="Times New Roman"/>
          <w:sz w:val="24"/>
          <w:szCs w:val="24"/>
        </w:rPr>
        <w:t>in the context of</w:t>
      </w:r>
      <w:r w:rsidR="00882B31">
        <w:rPr>
          <w:rFonts w:ascii="Times New Roman" w:hAnsi="Times New Roman" w:cs="Times New Roman"/>
          <w:sz w:val="24"/>
          <w:szCs w:val="24"/>
        </w:rPr>
        <w:t xml:space="preserve"> transnational human rights and environmental harms. </w:t>
      </w:r>
    </w:p>
    <w:p w14:paraId="3508BCED" w14:textId="3FB6CE4E" w:rsidR="00911CAC" w:rsidRPr="00150F3D" w:rsidRDefault="00C10202" w:rsidP="00B82299">
      <w:pPr>
        <w:pStyle w:val="Heading2"/>
        <w:numPr>
          <w:ilvl w:val="0"/>
          <w:numId w:val="14"/>
        </w:numPr>
        <w:spacing w:after="240"/>
        <w:rPr>
          <w:rFonts w:ascii="Times New Roman" w:eastAsia="Times New Roman" w:hAnsi="Times New Roman" w:cs="Times New Roman"/>
        </w:rPr>
      </w:pPr>
      <w:r>
        <w:rPr>
          <w:rFonts w:ascii="Times New Roman" w:eastAsia="Times New Roman" w:hAnsi="Times New Roman" w:cs="Times New Roman"/>
        </w:rPr>
        <w:t>S</w:t>
      </w:r>
      <w:r w:rsidR="008D0A9C" w:rsidRPr="00150F3D">
        <w:rPr>
          <w:rFonts w:ascii="Times New Roman" w:eastAsia="Times New Roman" w:hAnsi="Times New Roman" w:cs="Times New Roman"/>
        </w:rPr>
        <w:t xml:space="preserve">ustainability due-diligence </w:t>
      </w:r>
      <w:r w:rsidR="00BD78F9">
        <w:rPr>
          <w:rFonts w:ascii="Times New Roman" w:eastAsia="Times New Roman" w:hAnsi="Times New Roman" w:cs="Times New Roman"/>
        </w:rPr>
        <w:t>legislation</w:t>
      </w:r>
      <w:r>
        <w:rPr>
          <w:rFonts w:ascii="Times New Roman" w:eastAsia="Times New Roman" w:hAnsi="Times New Roman" w:cs="Times New Roman"/>
        </w:rPr>
        <w:t>: a</w:t>
      </w:r>
      <w:r w:rsidR="006345EE">
        <w:rPr>
          <w:rFonts w:ascii="Times New Roman" w:eastAsia="Times New Roman" w:hAnsi="Times New Roman" w:cs="Times New Roman"/>
        </w:rPr>
        <w:t>n effective</w:t>
      </w:r>
      <w:r>
        <w:rPr>
          <w:rFonts w:ascii="Times New Roman" w:eastAsia="Times New Roman" w:hAnsi="Times New Roman" w:cs="Times New Roman"/>
        </w:rPr>
        <w:t xml:space="preserve"> p</w:t>
      </w:r>
      <w:r w:rsidRPr="00150F3D">
        <w:rPr>
          <w:rFonts w:ascii="Times New Roman" w:eastAsia="Times New Roman" w:hAnsi="Times New Roman" w:cs="Times New Roman"/>
        </w:rPr>
        <w:t>arallel route for civil liability</w:t>
      </w:r>
      <w:r>
        <w:rPr>
          <w:rFonts w:ascii="Times New Roman" w:eastAsia="Times New Roman" w:hAnsi="Times New Roman" w:cs="Times New Roman"/>
        </w:rPr>
        <w:t>?</w:t>
      </w:r>
    </w:p>
    <w:p w14:paraId="38418718" w14:textId="55111368" w:rsidR="00B66A19" w:rsidRPr="00150F3D"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Arguably, one of the main drivers of the civil liability regime is the growing consensus about the need to prioritise the actualisation of th</w:t>
      </w:r>
      <w:r w:rsidR="007D434C">
        <w:rPr>
          <w:rFonts w:ascii="Times New Roman" w:eastAsia="Times New Roman" w:hAnsi="Times New Roman" w:cs="Times New Roman"/>
          <w:sz w:val="24"/>
          <w:szCs w:val="24"/>
        </w:rPr>
        <w:t>e</w:t>
      </w:r>
      <w:r w:rsidRPr="00150F3D">
        <w:rPr>
          <w:rFonts w:ascii="Times New Roman" w:eastAsia="Times New Roman" w:hAnsi="Times New Roman" w:cs="Times New Roman"/>
          <w:sz w:val="24"/>
          <w:szCs w:val="24"/>
        </w:rPr>
        <w:t xml:space="preserve"> right to </w:t>
      </w:r>
      <w:r w:rsidR="00613AF5">
        <w:rPr>
          <w:rFonts w:ascii="Times New Roman" w:eastAsia="Times New Roman" w:hAnsi="Times New Roman" w:cs="Times New Roman"/>
          <w:sz w:val="24"/>
          <w:szCs w:val="24"/>
        </w:rPr>
        <w:t xml:space="preserve">an </w:t>
      </w:r>
      <w:r w:rsidRPr="00150F3D">
        <w:rPr>
          <w:rFonts w:ascii="Times New Roman" w:eastAsia="Times New Roman" w:hAnsi="Times New Roman" w:cs="Times New Roman"/>
          <w:sz w:val="24"/>
          <w:szCs w:val="24"/>
        </w:rPr>
        <w:t>effective remedy as part of steps to address sustainability risks posed by adverse impacts of business activities on people and the planet. The right to remedy</w:t>
      </w:r>
      <w:r w:rsidR="00CB4FCC">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as recognised in wide-ranging international human rights treaties</w:t>
      </w:r>
      <w:r w:rsidR="00CB4FCC">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connotes bringing perpetrators to justice and provision of reparation to victims</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71"/>
      </w:r>
      <w:r w:rsidRPr="00150F3D">
        <w:rPr>
          <w:rFonts w:ascii="Times New Roman" w:eastAsia="Times New Roman" w:hAnsi="Times New Roman" w:cs="Times New Roman"/>
          <w:sz w:val="24"/>
          <w:szCs w:val="24"/>
        </w:rPr>
        <w:t xml:space="preserve"> However, </w:t>
      </w:r>
      <w:r w:rsidR="00811AF3" w:rsidRPr="00150F3D">
        <w:rPr>
          <w:rFonts w:ascii="Times New Roman" w:eastAsia="Times New Roman" w:hAnsi="Times New Roman" w:cs="Times New Roman"/>
          <w:sz w:val="24"/>
          <w:szCs w:val="24"/>
        </w:rPr>
        <w:t>as was seen in part B</w:t>
      </w:r>
      <w:r w:rsidR="00BD78F9">
        <w:rPr>
          <w:rFonts w:ascii="Times New Roman" w:eastAsia="Times New Roman" w:hAnsi="Times New Roman" w:cs="Times New Roman"/>
          <w:sz w:val="24"/>
          <w:szCs w:val="24"/>
        </w:rPr>
        <w:t>,</w:t>
      </w:r>
      <w:r w:rsidR="00811AF3" w:rsidRPr="00150F3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 xml:space="preserve">barriers to access effective </w:t>
      </w:r>
      <w:r w:rsidR="00613AF5">
        <w:rPr>
          <w:rFonts w:ascii="Times New Roman" w:eastAsia="Times New Roman" w:hAnsi="Times New Roman" w:cs="Times New Roman"/>
          <w:sz w:val="24"/>
          <w:szCs w:val="24"/>
        </w:rPr>
        <w:t>remedies</w:t>
      </w:r>
      <w:r w:rsidRPr="00150F3D">
        <w:rPr>
          <w:rFonts w:ascii="Times New Roman" w:eastAsia="Times New Roman" w:hAnsi="Times New Roman" w:cs="Times New Roman"/>
          <w:sz w:val="24"/>
          <w:szCs w:val="24"/>
        </w:rPr>
        <w:t xml:space="preserve"> remain a challenge for right holders seeking to hold corporations to account for human rights abuses</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72"/>
      </w:r>
      <w:r w:rsidRPr="00150F3D">
        <w:rPr>
          <w:rFonts w:ascii="Times New Roman" w:eastAsia="Times New Roman" w:hAnsi="Times New Roman" w:cs="Times New Roman"/>
          <w:sz w:val="24"/>
          <w:szCs w:val="24"/>
        </w:rPr>
        <w:t xml:space="preserve"> </w:t>
      </w:r>
    </w:p>
    <w:p w14:paraId="14512D18" w14:textId="0B22543A" w:rsidR="00B66A19" w:rsidRPr="00150F3D" w:rsidRDefault="00F41207"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66A19" w:rsidRPr="00150F3D">
        <w:rPr>
          <w:rFonts w:ascii="Times New Roman" w:eastAsia="Times New Roman" w:hAnsi="Times New Roman" w:cs="Times New Roman"/>
          <w:sz w:val="24"/>
          <w:szCs w:val="24"/>
        </w:rPr>
        <w:t>he landscape is changing with the growing list of jurisdictions legislating sustainability due diligence as part of measures aimed at addressing sustainability risks arising from negative impacts connected to business activities</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3"/>
      </w:r>
      <w:r w:rsidR="00B66A19" w:rsidRPr="00150F3D">
        <w:rPr>
          <w:rFonts w:ascii="Times New Roman" w:eastAsia="Times New Roman" w:hAnsi="Times New Roman" w:cs="Times New Roman"/>
          <w:sz w:val="24"/>
          <w:szCs w:val="24"/>
        </w:rPr>
        <w:t xml:space="preserve"> The common thread cutting through the due diligence frameworks provided for under these legislations are mandatory provisions on sustainability due diligence, but mostly with a fragmented approach </w:t>
      </w:r>
      <w:r w:rsidR="006D0225">
        <w:rPr>
          <w:rFonts w:ascii="Times New Roman" w:eastAsia="Times New Roman" w:hAnsi="Times New Roman" w:cs="Times New Roman"/>
          <w:sz w:val="24"/>
          <w:szCs w:val="24"/>
        </w:rPr>
        <w:t>to</w:t>
      </w:r>
      <w:r w:rsidR="00B66A19" w:rsidRPr="00150F3D">
        <w:rPr>
          <w:rFonts w:ascii="Times New Roman" w:eastAsia="Times New Roman" w:hAnsi="Times New Roman" w:cs="Times New Roman"/>
          <w:sz w:val="24"/>
          <w:szCs w:val="24"/>
        </w:rPr>
        <w:t xml:space="preserve"> civil liability</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4"/>
      </w:r>
    </w:p>
    <w:p w14:paraId="686285DB" w14:textId="36EE9EDB" w:rsidR="00B66A19" w:rsidRPr="00150F3D" w:rsidRDefault="000A58C1"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B66A19" w:rsidRPr="00150F3D">
        <w:rPr>
          <w:rFonts w:ascii="Times New Roman" w:eastAsia="Times New Roman" w:hAnsi="Times New Roman" w:cs="Times New Roman"/>
          <w:sz w:val="24"/>
          <w:szCs w:val="24"/>
        </w:rPr>
        <w:t xml:space="preserve">he first set of due diligence laws </w:t>
      </w:r>
      <w:r w:rsidR="006D0225">
        <w:rPr>
          <w:rFonts w:ascii="Times New Roman" w:eastAsia="Times New Roman" w:hAnsi="Times New Roman" w:cs="Times New Roman"/>
          <w:sz w:val="24"/>
          <w:szCs w:val="24"/>
        </w:rPr>
        <w:t>was</w:t>
      </w:r>
      <w:r w:rsidR="00B66A19" w:rsidRPr="00150F3D">
        <w:rPr>
          <w:rFonts w:ascii="Times New Roman" w:eastAsia="Times New Roman" w:hAnsi="Times New Roman" w:cs="Times New Roman"/>
          <w:sz w:val="24"/>
          <w:szCs w:val="24"/>
        </w:rPr>
        <w:t xml:space="preserve"> limited to disclosure of information about steps taken by companies to address human rights risks within their supply chain</w:t>
      </w:r>
      <w:r w:rsidR="0072190E">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rPr>
        <w:t xml:space="preserve"> without a mechanism for providing civil remedies for victims of </w:t>
      </w:r>
      <w:r w:rsidR="00613AF5">
        <w:rPr>
          <w:rFonts w:ascii="Times New Roman" w:eastAsia="Times New Roman" w:hAnsi="Times New Roman" w:cs="Times New Roman"/>
          <w:sz w:val="24"/>
          <w:szCs w:val="24"/>
        </w:rPr>
        <w:t>harm</w:t>
      </w:r>
      <w:r w:rsidR="00B66A19" w:rsidRPr="00150F3D">
        <w:rPr>
          <w:rFonts w:ascii="Times New Roman" w:eastAsia="Times New Roman" w:hAnsi="Times New Roman" w:cs="Times New Roman"/>
          <w:sz w:val="24"/>
          <w:szCs w:val="24"/>
        </w:rPr>
        <w:t xml:space="preserve"> resulting from failure to conduct due </w:t>
      </w:r>
      <w:r w:rsidR="00B66A19" w:rsidRPr="00150F3D">
        <w:rPr>
          <w:rFonts w:ascii="Times New Roman" w:eastAsia="Times New Roman" w:hAnsi="Times New Roman" w:cs="Times New Roman"/>
          <w:sz w:val="24"/>
          <w:szCs w:val="24"/>
        </w:rPr>
        <w:lastRenderedPageBreak/>
        <w:t>diligence</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5"/>
      </w:r>
      <w:r w:rsidR="00B66A19" w:rsidRPr="00150F3D">
        <w:rPr>
          <w:rFonts w:ascii="Times New Roman" w:eastAsia="Times New Roman" w:hAnsi="Times New Roman" w:cs="Times New Roman"/>
          <w:sz w:val="24"/>
          <w:szCs w:val="24"/>
        </w:rPr>
        <w:t xml:space="preserve"> </w:t>
      </w:r>
      <w:r w:rsidR="00061AEE">
        <w:rPr>
          <w:rFonts w:ascii="Times New Roman" w:eastAsia="Times New Roman" w:hAnsi="Times New Roman" w:cs="Times New Roman"/>
          <w:sz w:val="24"/>
          <w:szCs w:val="24"/>
        </w:rPr>
        <w:t xml:space="preserve">Notable examples of such limited laws include </w:t>
      </w:r>
      <w:r w:rsidR="00B66A19" w:rsidRPr="00150F3D">
        <w:rPr>
          <w:rFonts w:ascii="Times New Roman" w:eastAsia="Times New Roman" w:hAnsi="Times New Roman" w:cs="Times New Roman"/>
          <w:sz w:val="24"/>
          <w:szCs w:val="24"/>
        </w:rPr>
        <w:t xml:space="preserve"> the </w:t>
      </w:r>
      <w:r w:rsidR="004D0ADD">
        <w:rPr>
          <w:rFonts w:ascii="Times New Roman" w:eastAsia="Times New Roman" w:hAnsi="Times New Roman" w:cs="Times New Roman"/>
          <w:sz w:val="24"/>
          <w:szCs w:val="24"/>
        </w:rPr>
        <w:t>recent</w:t>
      </w:r>
      <w:r w:rsidR="004D0ADD" w:rsidRPr="00150F3D">
        <w:rPr>
          <w:rFonts w:ascii="Times New Roman" w:eastAsia="Times New Roman" w:hAnsi="Times New Roman" w:cs="Times New Roman"/>
          <w:sz w:val="24"/>
          <w:szCs w:val="24"/>
        </w:rPr>
        <w:t xml:space="preserve"> </w:t>
      </w:r>
      <w:r w:rsidR="00B66A19" w:rsidRPr="00150F3D">
        <w:rPr>
          <w:rFonts w:ascii="Times New Roman" w:eastAsia="Times New Roman" w:hAnsi="Times New Roman" w:cs="Times New Roman"/>
          <w:sz w:val="24"/>
          <w:szCs w:val="24"/>
        </w:rPr>
        <w:t>German Supply Chain Due Diligence Act 2021</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6"/>
      </w:r>
      <w:r w:rsidR="00B66A19" w:rsidRPr="00150F3D">
        <w:rPr>
          <w:rFonts w:ascii="Times New Roman" w:eastAsia="Times New Roman" w:hAnsi="Times New Roman" w:cs="Times New Roman"/>
          <w:sz w:val="24"/>
          <w:szCs w:val="24"/>
        </w:rPr>
        <w:t xml:space="preserve"> the Dutch Child Labour Due Diligence Law 2019</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7"/>
      </w:r>
      <w:r w:rsidR="00B66A19" w:rsidRPr="00150F3D">
        <w:rPr>
          <w:rFonts w:ascii="Times New Roman" w:eastAsia="Times New Roman" w:hAnsi="Times New Roman" w:cs="Times New Roman"/>
          <w:sz w:val="24"/>
          <w:szCs w:val="24"/>
        </w:rPr>
        <w:t xml:space="preserve"> the Australian Modern Slavery Act 2018</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8"/>
      </w:r>
      <w:r w:rsidR="00B66A19" w:rsidRPr="00150F3D">
        <w:rPr>
          <w:rFonts w:ascii="Times New Roman" w:eastAsia="Times New Roman" w:hAnsi="Times New Roman" w:cs="Times New Roman"/>
          <w:sz w:val="24"/>
          <w:szCs w:val="24"/>
        </w:rPr>
        <w:t xml:space="preserve"> UK Modern Slavery Act 2015</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79"/>
      </w:r>
      <w:r w:rsidR="00B66A19" w:rsidRPr="00150F3D">
        <w:rPr>
          <w:rFonts w:ascii="Times New Roman" w:eastAsia="Times New Roman" w:hAnsi="Times New Roman" w:cs="Times New Roman"/>
          <w:sz w:val="24"/>
          <w:szCs w:val="24"/>
        </w:rPr>
        <w:t xml:space="preserve"> and the California Transparency in Supply Chain Act 2010</w:t>
      </w:r>
      <w:r w:rsidR="00B66A19" w:rsidRPr="00150F3D">
        <w:rPr>
          <w:rFonts w:ascii="Times New Roman" w:eastAsia="Times New Roman" w:hAnsi="Times New Roman" w:cs="Times New Roman"/>
          <w:sz w:val="24"/>
          <w:szCs w:val="24"/>
          <w:vertAlign w:val="superscript"/>
        </w:rPr>
        <w:footnoteReference w:id="80"/>
      </w:r>
      <w:r w:rsidR="00B66A19" w:rsidRPr="00150F3D">
        <w:rPr>
          <w:rFonts w:ascii="Times New Roman" w:eastAsia="Times New Roman" w:hAnsi="Times New Roman" w:cs="Times New Roman"/>
          <w:sz w:val="24"/>
          <w:szCs w:val="24"/>
        </w:rPr>
        <w:t xml:space="preserve"> among others. </w:t>
      </w:r>
    </w:p>
    <w:p w14:paraId="300236D2" w14:textId="4101B8E3" w:rsidR="00B66A19" w:rsidRPr="00150F3D"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However, due diligence legislative frameworks are rapidly evolving across jurisdictions</w:t>
      </w:r>
      <w:r w:rsidR="00284A2A">
        <w:rPr>
          <w:rFonts w:ascii="Times New Roman" w:eastAsia="Times New Roman" w:hAnsi="Times New Roman" w:cs="Times New Roman"/>
          <w:sz w:val="24"/>
          <w:szCs w:val="24"/>
        </w:rPr>
        <w:t>, in some cases,</w:t>
      </w:r>
      <w:r w:rsidRPr="00150F3D">
        <w:rPr>
          <w:rFonts w:ascii="Times New Roman" w:eastAsia="Times New Roman" w:hAnsi="Times New Roman" w:cs="Times New Roman"/>
          <w:sz w:val="24"/>
          <w:szCs w:val="24"/>
        </w:rPr>
        <w:t xml:space="preserve"> with remarkable emphasis on civil liability mechanisms as a parallel route for remediation of negative impacts of business activities on the society and the environment</w:t>
      </w:r>
      <w:r w:rsidR="006345EE">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81"/>
      </w:r>
      <w:r w:rsidRPr="00150F3D">
        <w:rPr>
          <w:rFonts w:ascii="Times New Roman" w:eastAsia="Times New Roman" w:hAnsi="Times New Roman" w:cs="Times New Roman"/>
          <w:sz w:val="24"/>
          <w:szCs w:val="24"/>
        </w:rPr>
        <w:t xml:space="preserve"> </w:t>
      </w:r>
      <w:r w:rsidR="00B846A5">
        <w:rPr>
          <w:rFonts w:ascii="Times New Roman" w:eastAsia="Times New Roman" w:hAnsi="Times New Roman" w:cs="Times New Roman"/>
          <w:sz w:val="24"/>
          <w:szCs w:val="24"/>
        </w:rPr>
        <w:t>Examples</w:t>
      </w:r>
      <w:r w:rsidRPr="00150F3D">
        <w:rPr>
          <w:rFonts w:ascii="Times New Roman" w:eastAsia="Times New Roman" w:hAnsi="Times New Roman" w:cs="Times New Roman"/>
          <w:sz w:val="24"/>
          <w:szCs w:val="24"/>
        </w:rPr>
        <w:t xml:space="preserve"> include the current French Duty of Vigilance Law 2017</w:t>
      </w:r>
      <w:bookmarkStart w:id="29" w:name="_Ref131849494"/>
      <w:r w:rsidR="00C25DCD">
        <w:rPr>
          <w:rFonts w:ascii="Times New Roman" w:eastAsia="Times New Roman" w:hAnsi="Times New Roman" w:cs="Times New Roman"/>
          <w:sz w:val="24"/>
          <w:szCs w:val="24"/>
        </w:rPr>
        <w:t>,</w:t>
      </w:r>
      <w:bookmarkStart w:id="30" w:name="_Ref141965573"/>
      <w:r w:rsidRPr="00150F3D">
        <w:rPr>
          <w:rFonts w:ascii="Times New Roman" w:eastAsia="Times New Roman" w:hAnsi="Times New Roman" w:cs="Times New Roman"/>
          <w:sz w:val="24"/>
          <w:szCs w:val="24"/>
          <w:vertAlign w:val="superscript"/>
        </w:rPr>
        <w:footnoteReference w:id="82"/>
      </w:r>
      <w:bookmarkEnd w:id="29"/>
      <w:bookmarkEnd w:id="30"/>
      <w:r w:rsidRPr="00150F3D">
        <w:rPr>
          <w:rFonts w:ascii="Times New Roman" w:eastAsia="Times New Roman" w:hAnsi="Times New Roman" w:cs="Times New Roman"/>
          <w:sz w:val="24"/>
          <w:szCs w:val="24"/>
        </w:rPr>
        <w:t xml:space="preserve"> the </w:t>
      </w:r>
      <w:r w:rsidR="004D0ADD">
        <w:rPr>
          <w:rFonts w:ascii="Times New Roman" w:eastAsia="Times New Roman" w:hAnsi="Times New Roman" w:cs="Times New Roman"/>
          <w:sz w:val="24"/>
          <w:szCs w:val="24"/>
        </w:rPr>
        <w:t xml:space="preserve">(currently negotiated) </w:t>
      </w:r>
      <w:r w:rsidR="00284A2A">
        <w:rPr>
          <w:rFonts w:ascii="Times New Roman" w:eastAsia="Times New Roman" w:hAnsi="Times New Roman" w:cs="Times New Roman"/>
          <w:sz w:val="24"/>
          <w:szCs w:val="24"/>
        </w:rPr>
        <w:t xml:space="preserve">EU’s </w:t>
      </w:r>
      <w:r w:rsidR="00284A2A" w:rsidRPr="00150F3D">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vertAlign w:val="superscript"/>
        </w:rPr>
        <w:footnoteReference w:id="83"/>
      </w:r>
      <w:r w:rsidRPr="00150F3D">
        <w:rPr>
          <w:rFonts w:ascii="Times New Roman" w:eastAsia="Times New Roman" w:hAnsi="Times New Roman" w:cs="Times New Roman"/>
          <w:sz w:val="24"/>
          <w:szCs w:val="24"/>
        </w:rPr>
        <w:t xml:space="preserve"> and other upcoming legislative frameworks in Belgium</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84"/>
      </w:r>
      <w:r w:rsidRPr="00150F3D">
        <w:rPr>
          <w:rFonts w:ascii="Times New Roman" w:eastAsia="Times New Roman" w:hAnsi="Times New Roman" w:cs="Times New Roman"/>
          <w:sz w:val="24"/>
          <w:szCs w:val="24"/>
        </w:rPr>
        <w:t xml:space="preserve"> Austria</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85"/>
      </w:r>
      <w:r w:rsidRPr="00150F3D">
        <w:rPr>
          <w:rFonts w:ascii="Times New Roman" w:eastAsia="Times New Roman" w:hAnsi="Times New Roman" w:cs="Times New Roman"/>
          <w:sz w:val="24"/>
          <w:szCs w:val="24"/>
        </w:rPr>
        <w:t xml:space="preserve"> and Netherlands</w:t>
      </w:r>
      <w:r w:rsidRPr="00150F3D">
        <w:rPr>
          <w:rFonts w:ascii="Times New Roman" w:eastAsia="Times New Roman" w:hAnsi="Times New Roman" w:cs="Times New Roman"/>
          <w:sz w:val="24"/>
          <w:szCs w:val="24"/>
          <w:vertAlign w:val="superscript"/>
        </w:rPr>
        <w:footnoteReference w:id="86"/>
      </w:r>
      <w:r w:rsidRPr="00150F3D">
        <w:rPr>
          <w:rFonts w:ascii="Times New Roman" w:eastAsia="Times New Roman" w:hAnsi="Times New Roman" w:cs="Times New Roman"/>
          <w:sz w:val="24"/>
          <w:szCs w:val="24"/>
        </w:rPr>
        <w:t xml:space="preserve"> among others.</w:t>
      </w:r>
    </w:p>
    <w:p w14:paraId="32FEE8BA" w14:textId="6F26B275" w:rsidR="00DF2066" w:rsidRDefault="00DF2066"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analysis below will focus on two leading examples of sustainability due diligence </w:t>
      </w:r>
      <w:r w:rsidR="00613AF5">
        <w:rPr>
          <w:rFonts w:ascii="Times New Roman" w:eastAsia="Times New Roman" w:hAnsi="Times New Roman" w:cs="Times New Roman"/>
          <w:sz w:val="24"/>
          <w:szCs w:val="24"/>
        </w:rPr>
        <w:t>legislation</w:t>
      </w:r>
      <w:r>
        <w:rPr>
          <w:rFonts w:ascii="Times New Roman" w:eastAsia="Times New Roman" w:hAnsi="Times New Roman" w:cs="Times New Roman"/>
          <w:sz w:val="24"/>
          <w:szCs w:val="24"/>
        </w:rPr>
        <w:t>, which may shed some light on the potential impact and promise that the new model of sustainability due diligence legislation may hold. First, we will discuss the Fren</w:t>
      </w:r>
      <w:r w:rsidR="00470721">
        <w:rPr>
          <w:rFonts w:ascii="Times New Roman" w:eastAsia="Times New Roman" w:hAnsi="Times New Roman" w:cs="Times New Roman"/>
          <w:sz w:val="24"/>
          <w:szCs w:val="24"/>
        </w:rPr>
        <w:t>ch Duty of Vigilance Law, which was the first in this new wave of modern sustainability due diligence laws, and under which the first case to be based on such legislation was launched</w:t>
      </w:r>
      <w:r w:rsidR="008D6B8A">
        <w:rPr>
          <w:rFonts w:ascii="Times New Roman" w:eastAsia="Times New Roman" w:hAnsi="Times New Roman" w:cs="Times New Roman"/>
          <w:sz w:val="24"/>
          <w:szCs w:val="24"/>
        </w:rPr>
        <w:t xml:space="preserve"> and recently decided</w:t>
      </w:r>
      <w:r w:rsidR="00470721">
        <w:rPr>
          <w:rFonts w:ascii="Times New Roman" w:eastAsia="Times New Roman" w:hAnsi="Times New Roman" w:cs="Times New Roman"/>
          <w:sz w:val="24"/>
          <w:szCs w:val="24"/>
        </w:rPr>
        <w:t>. We will then turn to discuss the proposed CSDDD, which will significantly increase the scope of existing laws in terms of covered entities and legal obligations.</w:t>
      </w:r>
      <w:r w:rsidR="0017458D">
        <w:rPr>
          <w:rFonts w:ascii="Times New Roman" w:eastAsia="Times New Roman" w:hAnsi="Times New Roman" w:cs="Times New Roman"/>
          <w:sz w:val="24"/>
          <w:szCs w:val="24"/>
        </w:rPr>
        <w:t xml:space="preserve"> These examples, we hope, will shed light on </w:t>
      </w:r>
      <w:r w:rsidR="006345EE">
        <w:rPr>
          <w:rFonts w:ascii="Times New Roman" w:eastAsia="Times New Roman" w:hAnsi="Times New Roman" w:cs="Times New Roman"/>
          <w:sz w:val="24"/>
          <w:szCs w:val="24"/>
        </w:rPr>
        <w:t xml:space="preserve">the </w:t>
      </w:r>
      <w:r w:rsidR="0017458D">
        <w:rPr>
          <w:rFonts w:ascii="Times New Roman" w:eastAsia="Times New Roman" w:hAnsi="Times New Roman" w:cs="Times New Roman"/>
          <w:sz w:val="24"/>
          <w:szCs w:val="24"/>
        </w:rPr>
        <w:t xml:space="preserve">potential </w:t>
      </w:r>
      <w:r w:rsidR="006345EE">
        <w:rPr>
          <w:rFonts w:ascii="Times New Roman" w:eastAsia="Times New Roman" w:hAnsi="Times New Roman" w:cs="Times New Roman"/>
          <w:sz w:val="24"/>
          <w:szCs w:val="24"/>
        </w:rPr>
        <w:t>that</w:t>
      </w:r>
      <w:r w:rsidR="0017458D">
        <w:rPr>
          <w:rFonts w:ascii="Times New Roman" w:eastAsia="Times New Roman" w:hAnsi="Times New Roman" w:cs="Times New Roman"/>
          <w:sz w:val="24"/>
          <w:szCs w:val="24"/>
        </w:rPr>
        <w:t xml:space="preserve"> this type of legislation </w:t>
      </w:r>
      <w:r w:rsidR="006345EE">
        <w:rPr>
          <w:rFonts w:ascii="Times New Roman" w:eastAsia="Times New Roman" w:hAnsi="Times New Roman" w:cs="Times New Roman"/>
          <w:sz w:val="24"/>
          <w:szCs w:val="24"/>
        </w:rPr>
        <w:t xml:space="preserve">may hold, </w:t>
      </w:r>
      <w:r w:rsidR="0017458D">
        <w:rPr>
          <w:rFonts w:ascii="Times New Roman" w:eastAsia="Times New Roman" w:hAnsi="Times New Roman" w:cs="Times New Roman"/>
          <w:sz w:val="24"/>
          <w:szCs w:val="24"/>
        </w:rPr>
        <w:t>in addressing access to justice and remedy</w:t>
      </w:r>
      <w:r w:rsidR="00AD35F9">
        <w:rPr>
          <w:rFonts w:ascii="Times New Roman" w:eastAsia="Times New Roman" w:hAnsi="Times New Roman" w:cs="Times New Roman"/>
          <w:sz w:val="24"/>
          <w:szCs w:val="24"/>
        </w:rPr>
        <w:t xml:space="preserve"> for victims of transnational harms</w:t>
      </w:r>
      <w:r w:rsidR="0017458D">
        <w:rPr>
          <w:rFonts w:ascii="Times New Roman" w:eastAsia="Times New Roman" w:hAnsi="Times New Roman" w:cs="Times New Roman"/>
          <w:sz w:val="24"/>
          <w:szCs w:val="24"/>
        </w:rPr>
        <w:t xml:space="preserve">. </w:t>
      </w:r>
    </w:p>
    <w:p w14:paraId="15A7ACEE" w14:textId="732E05C0" w:rsidR="00B66A19" w:rsidRPr="00150F3D" w:rsidRDefault="00D964B6" w:rsidP="00BD5289">
      <w:pPr>
        <w:pStyle w:val="Heading3"/>
        <w:numPr>
          <w:ilvl w:val="0"/>
          <w:numId w:val="22"/>
        </w:numPr>
        <w:spacing w:after="240"/>
        <w:rPr>
          <w:rFonts w:ascii="Times New Roman" w:eastAsia="Times New Roman" w:hAnsi="Times New Roman" w:cs="Times New Roman"/>
        </w:rPr>
      </w:pPr>
      <w:r w:rsidRPr="00150F3D">
        <w:rPr>
          <w:rFonts w:ascii="Times New Roman" w:eastAsia="Times New Roman" w:hAnsi="Times New Roman" w:cs="Times New Roman"/>
        </w:rPr>
        <w:lastRenderedPageBreak/>
        <w:t xml:space="preserve">   </w:t>
      </w:r>
      <w:r w:rsidR="00B66A19" w:rsidRPr="00150F3D">
        <w:rPr>
          <w:rFonts w:ascii="Times New Roman" w:eastAsia="Times New Roman" w:hAnsi="Times New Roman" w:cs="Times New Roman"/>
        </w:rPr>
        <w:t xml:space="preserve">Civil liability in practice – insights from the French duty of Vigilance Law </w:t>
      </w:r>
    </w:p>
    <w:p w14:paraId="44AC5519" w14:textId="310A4CA4" w:rsidR="0085625B"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The French Duty of Vigilance Law (</w:t>
      </w:r>
      <w:r w:rsidRPr="008924F1">
        <w:rPr>
          <w:rFonts w:ascii="Times New Roman" w:eastAsia="Times New Roman" w:hAnsi="Times New Roman" w:cs="Times New Roman"/>
          <w:sz w:val="24"/>
          <w:szCs w:val="24"/>
        </w:rPr>
        <w:t>Vigilance Law</w:t>
      </w:r>
      <w:r w:rsidRPr="00150F3D">
        <w:rPr>
          <w:rFonts w:ascii="Times New Roman" w:eastAsia="Times New Roman" w:hAnsi="Times New Roman" w:cs="Times New Roman"/>
          <w:sz w:val="24"/>
          <w:szCs w:val="24"/>
        </w:rPr>
        <w:t>) which came into force in March 2017</w:t>
      </w:r>
      <w:r w:rsidRPr="00150F3D">
        <w:rPr>
          <w:rFonts w:ascii="Times New Roman" w:eastAsia="Times New Roman" w:hAnsi="Times New Roman" w:cs="Times New Roman"/>
          <w:sz w:val="24"/>
          <w:szCs w:val="24"/>
          <w:vertAlign w:val="superscript"/>
        </w:rPr>
        <w:footnoteReference w:id="87"/>
      </w:r>
      <w:r w:rsidRPr="00150F3D">
        <w:rPr>
          <w:rFonts w:ascii="Times New Roman" w:eastAsia="Times New Roman" w:hAnsi="Times New Roman" w:cs="Times New Roman"/>
          <w:sz w:val="24"/>
          <w:szCs w:val="24"/>
        </w:rPr>
        <w:t xml:space="preserve"> is perhaps the forerunner of current or imminent sustainability-related due diligence </w:t>
      </w:r>
      <w:r w:rsidR="00613AF5">
        <w:rPr>
          <w:rFonts w:ascii="Times New Roman" w:eastAsia="Times New Roman" w:hAnsi="Times New Roman" w:cs="Times New Roman"/>
          <w:sz w:val="24"/>
          <w:szCs w:val="24"/>
        </w:rPr>
        <w:t>legislation</w:t>
      </w:r>
      <w:r w:rsidRPr="00150F3D">
        <w:rPr>
          <w:rFonts w:ascii="Times New Roman" w:eastAsia="Times New Roman" w:hAnsi="Times New Roman" w:cs="Times New Roman"/>
          <w:sz w:val="24"/>
          <w:szCs w:val="24"/>
        </w:rPr>
        <w:t xml:space="preserve"> which </w:t>
      </w:r>
      <w:r w:rsidR="00613AF5">
        <w:rPr>
          <w:rFonts w:ascii="Times New Roman" w:eastAsia="Times New Roman" w:hAnsi="Times New Roman" w:cs="Times New Roman"/>
          <w:sz w:val="24"/>
          <w:szCs w:val="24"/>
        </w:rPr>
        <w:t>provides</w:t>
      </w:r>
      <w:r w:rsidRPr="00150F3D">
        <w:rPr>
          <w:rFonts w:ascii="Times New Roman" w:eastAsia="Times New Roman" w:hAnsi="Times New Roman" w:cs="Times New Roman"/>
          <w:sz w:val="24"/>
          <w:szCs w:val="24"/>
        </w:rPr>
        <w:t xml:space="preserve"> for a civil liability mechanism.</w:t>
      </w:r>
      <w:r w:rsidR="0085625B">
        <w:rPr>
          <w:rFonts w:ascii="Times New Roman" w:eastAsia="Times New Roman" w:hAnsi="Times New Roman" w:cs="Times New Roman"/>
          <w:sz w:val="24"/>
          <w:szCs w:val="24"/>
        </w:rPr>
        <w:t xml:space="preserve"> It is also the early model based on which </w:t>
      </w:r>
      <w:r w:rsidR="001D27FF">
        <w:rPr>
          <w:rFonts w:ascii="Times New Roman" w:eastAsia="Times New Roman" w:hAnsi="Times New Roman" w:cs="Times New Roman"/>
          <w:sz w:val="24"/>
          <w:szCs w:val="24"/>
        </w:rPr>
        <w:t xml:space="preserve">modern version sustainability due diligence </w:t>
      </w:r>
      <w:r w:rsidR="0085625B">
        <w:rPr>
          <w:rFonts w:ascii="Times New Roman" w:eastAsia="Times New Roman" w:hAnsi="Times New Roman" w:cs="Times New Roman"/>
          <w:sz w:val="24"/>
          <w:szCs w:val="24"/>
        </w:rPr>
        <w:t>laws were drafted and adjusted, including the EU CSDDD which we will discuss further below.</w:t>
      </w:r>
    </w:p>
    <w:p w14:paraId="494C512F" w14:textId="21B121B6" w:rsidR="00B66A19" w:rsidRPr="00150F3D" w:rsidRDefault="00F41207" w:rsidP="00B82299">
      <w:pPr>
        <w:spacing w:after="240" w:line="36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T</w:t>
      </w:r>
      <w:r w:rsidR="00B66A19" w:rsidRPr="00150F3D">
        <w:rPr>
          <w:rFonts w:ascii="Times New Roman" w:eastAsia="Times New Roman" w:hAnsi="Times New Roman" w:cs="Times New Roman"/>
          <w:sz w:val="24"/>
          <w:szCs w:val="24"/>
        </w:rPr>
        <w:t xml:space="preserve">he Vigilance Law requires </w:t>
      </w:r>
      <w:r w:rsidR="00B846A5">
        <w:rPr>
          <w:rFonts w:ascii="Times New Roman" w:eastAsia="Times New Roman" w:hAnsi="Times New Roman" w:cs="Times New Roman"/>
          <w:sz w:val="24"/>
          <w:szCs w:val="24"/>
        </w:rPr>
        <w:t xml:space="preserve">very large </w:t>
      </w:r>
      <w:r w:rsidR="00B66A19" w:rsidRPr="00150F3D">
        <w:rPr>
          <w:rFonts w:ascii="Times New Roman" w:eastAsia="Times New Roman" w:hAnsi="Times New Roman" w:cs="Times New Roman"/>
          <w:sz w:val="24"/>
          <w:szCs w:val="24"/>
        </w:rPr>
        <w:t xml:space="preserve">companies </w:t>
      </w:r>
      <w:r w:rsidR="00B846A5">
        <w:rPr>
          <w:rFonts w:ascii="Times New Roman" w:eastAsia="Times New Roman" w:hAnsi="Times New Roman" w:cs="Times New Roman"/>
          <w:sz w:val="24"/>
          <w:szCs w:val="24"/>
        </w:rPr>
        <w:t>(5000 employees and above)</w:t>
      </w:r>
      <w:r w:rsidR="00B66A19" w:rsidRPr="00150F3D">
        <w:rPr>
          <w:rFonts w:ascii="Times New Roman" w:eastAsia="Times New Roman" w:hAnsi="Times New Roman" w:cs="Times New Roman"/>
          <w:sz w:val="24"/>
          <w:szCs w:val="24"/>
        </w:rPr>
        <w:t xml:space="preserve"> to publish in their management report a vigilance plan on the reasonable measures taken to identify risks and prevent potential serious violations of human rights and fundamental freedoms, human and environmental health and safety</w:t>
      </w:r>
      <w:r w:rsidR="00AD35F9">
        <w:rPr>
          <w:rFonts w:ascii="Times New Roman" w:eastAsia="Times New Roman" w:hAnsi="Times New Roman" w:cs="Times New Roman"/>
          <w:sz w:val="24"/>
          <w:szCs w:val="24"/>
        </w:rPr>
        <w:t>. This applies</w:t>
      </w:r>
      <w:r w:rsidR="00AD35F9" w:rsidRPr="00150F3D">
        <w:rPr>
          <w:rFonts w:ascii="Times New Roman" w:eastAsia="Times New Roman" w:hAnsi="Times New Roman" w:cs="Times New Roman"/>
          <w:sz w:val="24"/>
          <w:szCs w:val="24"/>
        </w:rPr>
        <w:t xml:space="preserve"> </w:t>
      </w:r>
      <w:r w:rsidR="00B66A19" w:rsidRPr="00150F3D">
        <w:rPr>
          <w:rFonts w:ascii="Times New Roman" w:eastAsia="Times New Roman" w:hAnsi="Times New Roman" w:cs="Times New Roman"/>
          <w:sz w:val="24"/>
          <w:szCs w:val="24"/>
        </w:rPr>
        <w:t>not only in relation to the company's own activities</w:t>
      </w:r>
      <w:r w:rsidR="00AD35F9">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rPr>
        <w:t xml:space="preserve"> but also those of its subcontractors and suppliers with whom it has an established commercial relationship</w:t>
      </w:r>
      <w:r w:rsidR="00B66A19" w:rsidRPr="00150F3D">
        <w:rPr>
          <w:rFonts w:ascii="Times New Roman" w:eastAsia="Times New Roman" w:hAnsi="Times New Roman" w:cs="Times New Roman"/>
          <w:sz w:val="24"/>
          <w:szCs w:val="24"/>
          <w:vertAlign w:val="superscript"/>
        </w:rPr>
        <w:footnoteReference w:id="88"/>
      </w:r>
      <w:r w:rsidR="00B66A19" w:rsidRPr="00150F3D">
        <w:rPr>
          <w:rFonts w:ascii="Times New Roman" w:eastAsia="Times New Roman" w:hAnsi="Times New Roman" w:cs="Times New Roman"/>
          <w:sz w:val="24"/>
          <w:szCs w:val="24"/>
        </w:rPr>
        <w:t>.</w:t>
      </w:r>
      <w:r w:rsidR="00B66A19" w:rsidRPr="00150F3D">
        <w:rPr>
          <w:rFonts w:ascii="Times New Roman" w:hAnsi="Times New Roman" w:cs="Times New Roman"/>
          <w:color w:val="000000"/>
          <w:sz w:val="24"/>
          <w:szCs w:val="24"/>
        </w:rPr>
        <w:t xml:space="preserve"> </w:t>
      </w:r>
      <w:r w:rsidR="00C70799">
        <w:rPr>
          <w:rFonts w:ascii="Times New Roman" w:hAnsi="Times New Roman" w:cs="Times New Roman"/>
          <w:color w:val="000000"/>
          <w:sz w:val="24"/>
          <w:szCs w:val="24"/>
        </w:rPr>
        <w:t xml:space="preserve">Unlike the EU or German models, the French law is not limited to violations of </w:t>
      </w:r>
      <w:r w:rsidR="001D27FF">
        <w:rPr>
          <w:rFonts w:ascii="Times New Roman" w:hAnsi="Times New Roman" w:cs="Times New Roman"/>
          <w:color w:val="000000"/>
          <w:sz w:val="24"/>
          <w:szCs w:val="24"/>
        </w:rPr>
        <w:t>specifically listed</w:t>
      </w:r>
      <w:r w:rsidR="00C70799">
        <w:rPr>
          <w:rFonts w:ascii="Times New Roman" w:hAnsi="Times New Roman" w:cs="Times New Roman"/>
          <w:color w:val="000000"/>
          <w:sz w:val="24"/>
          <w:szCs w:val="24"/>
        </w:rPr>
        <w:t xml:space="preserve"> human rights and environmental </w:t>
      </w:r>
      <w:r w:rsidR="0076467A">
        <w:rPr>
          <w:rFonts w:ascii="Times New Roman" w:hAnsi="Times New Roman" w:cs="Times New Roman"/>
          <w:color w:val="000000"/>
          <w:sz w:val="24"/>
          <w:szCs w:val="24"/>
        </w:rPr>
        <w:t>harms</w:t>
      </w:r>
      <w:r w:rsidR="00C70799">
        <w:rPr>
          <w:rFonts w:ascii="Times New Roman" w:hAnsi="Times New Roman" w:cs="Times New Roman"/>
          <w:color w:val="000000"/>
          <w:sz w:val="24"/>
          <w:szCs w:val="24"/>
        </w:rPr>
        <w:t xml:space="preserve">, and </w:t>
      </w:r>
      <w:r w:rsidR="008D6B8A">
        <w:rPr>
          <w:rFonts w:ascii="Times New Roman" w:hAnsi="Times New Roman" w:cs="Times New Roman"/>
          <w:color w:val="000000"/>
          <w:sz w:val="24"/>
          <w:szCs w:val="24"/>
        </w:rPr>
        <w:t>covers any significant harms to human rights and the environment</w:t>
      </w:r>
      <w:r w:rsidR="00C70799">
        <w:rPr>
          <w:rFonts w:ascii="Times New Roman" w:hAnsi="Times New Roman" w:cs="Times New Roman"/>
          <w:color w:val="000000"/>
          <w:sz w:val="24"/>
          <w:szCs w:val="24"/>
        </w:rPr>
        <w:t>.</w:t>
      </w:r>
      <w:r w:rsidR="0076467A">
        <w:rPr>
          <w:rStyle w:val="FootnoteReference"/>
          <w:rFonts w:ascii="Times New Roman" w:hAnsi="Times New Roman" w:cs="Times New Roman"/>
          <w:color w:val="000000"/>
          <w:sz w:val="24"/>
          <w:szCs w:val="24"/>
        </w:rPr>
        <w:footnoteReference w:id="89"/>
      </w:r>
      <w:r w:rsidR="00C70799">
        <w:rPr>
          <w:rFonts w:ascii="Times New Roman" w:hAnsi="Times New Roman" w:cs="Times New Roman"/>
          <w:color w:val="000000"/>
          <w:sz w:val="24"/>
          <w:szCs w:val="24"/>
        </w:rPr>
        <w:t xml:space="preserve"> </w:t>
      </w:r>
    </w:p>
    <w:p w14:paraId="3BA0B129" w14:textId="732AED8B" w:rsidR="00B66A19" w:rsidRPr="00150F3D"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hAnsi="Times New Roman" w:cs="Times New Roman"/>
          <w:color w:val="000000"/>
          <w:sz w:val="24"/>
          <w:szCs w:val="24"/>
        </w:rPr>
        <w:t>The Vigilance Law provides for two pathways for enforcement</w:t>
      </w:r>
      <w:r w:rsidRPr="00150F3D">
        <w:rPr>
          <w:rFonts w:ascii="Times New Roman" w:eastAsia="Times New Roman" w:hAnsi="Times New Roman" w:cs="Times New Roman"/>
          <w:sz w:val="24"/>
          <w:szCs w:val="24"/>
        </w:rPr>
        <w:t xml:space="preserve"> and access to remedy: any interested party can seek (i) an injunction from the court to order the corporation to comply with the law; and (ii) damages for the corporation’s failure to comply with its vigilance obligation causing preventable harm</w:t>
      </w:r>
      <w:r w:rsidRPr="00150F3D">
        <w:rPr>
          <w:rFonts w:ascii="Times New Roman" w:eastAsia="Times New Roman" w:hAnsi="Times New Roman" w:cs="Times New Roman"/>
          <w:sz w:val="24"/>
          <w:szCs w:val="24"/>
          <w:vertAlign w:val="superscript"/>
        </w:rPr>
        <w:footnoteReference w:id="90"/>
      </w:r>
      <w:r w:rsidRPr="00150F3D">
        <w:rPr>
          <w:rFonts w:ascii="Times New Roman" w:eastAsia="Times New Roman" w:hAnsi="Times New Roman" w:cs="Times New Roman"/>
          <w:sz w:val="24"/>
          <w:szCs w:val="24"/>
        </w:rPr>
        <w:t>. Arguably, the Vigilance Law might have raised the bar for corporate accountability</w:t>
      </w:r>
      <w:r w:rsidR="00C70799">
        <w:rPr>
          <w:rFonts w:ascii="Times New Roman" w:eastAsia="Times New Roman" w:hAnsi="Times New Roman" w:cs="Times New Roman"/>
          <w:sz w:val="24"/>
          <w:szCs w:val="24"/>
        </w:rPr>
        <w:t xml:space="preserve">, allowing victims a direct route to courts and remedies. </w:t>
      </w:r>
      <w:r w:rsidRPr="00150F3D">
        <w:rPr>
          <w:rFonts w:ascii="Times New Roman" w:eastAsia="Times New Roman" w:hAnsi="Times New Roman" w:cs="Times New Roman"/>
          <w:sz w:val="24"/>
          <w:szCs w:val="24"/>
        </w:rPr>
        <w:t xml:space="preserve">However, the first case decided by the French Court under the </w:t>
      </w:r>
      <w:r w:rsidR="004A0844">
        <w:rPr>
          <w:rFonts w:ascii="Times New Roman" w:eastAsia="Times New Roman" w:hAnsi="Times New Roman" w:cs="Times New Roman"/>
          <w:sz w:val="24"/>
          <w:szCs w:val="24"/>
        </w:rPr>
        <w:t>Vigilance</w:t>
      </w:r>
      <w:r w:rsidR="004A0844" w:rsidRPr="00150F3D">
        <w:rPr>
          <w:rFonts w:ascii="Times New Roman" w:eastAsia="Times New Roman" w:hAnsi="Times New Roman" w:cs="Times New Roman"/>
          <w:sz w:val="24"/>
          <w:szCs w:val="24"/>
        </w:rPr>
        <w:t xml:space="preserve"> </w:t>
      </w:r>
      <w:r w:rsidR="004A0844">
        <w:rPr>
          <w:rFonts w:ascii="Times New Roman" w:eastAsia="Times New Roman" w:hAnsi="Times New Roman" w:cs="Times New Roman"/>
          <w:sz w:val="24"/>
          <w:szCs w:val="24"/>
        </w:rPr>
        <w:t>L</w:t>
      </w:r>
      <w:r w:rsidRPr="00150F3D">
        <w:rPr>
          <w:rFonts w:ascii="Times New Roman" w:eastAsia="Times New Roman" w:hAnsi="Times New Roman" w:cs="Times New Roman"/>
          <w:sz w:val="24"/>
          <w:szCs w:val="24"/>
        </w:rPr>
        <w:t xml:space="preserve">aw seems to highlight gaps in its civil liability mechanism or its implementation within the context of access to remedy for right holders. </w:t>
      </w:r>
    </w:p>
    <w:p w14:paraId="43849506" w14:textId="5459D7B4" w:rsidR="00B66A19" w:rsidRPr="00150F3D" w:rsidRDefault="00B66A19" w:rsidP="00BD5289">
      <w:pPr>
        <w:pStyle w:val="Heading4"/>
        <w:numPr>
          <w:ilvl w:val="0"/>
          <w:numId w:val="24"/>
        </w:numPr>
        <w:spacing w:after="240"/>
        <w:rPr>
          <w:rFonts w:eastAsia="Times New Roman"/>
        </w:rPr>
      </w:pPr>
      <w:r w:rsidRPr="00150F3D">
        <w:rPr>
          <w:rFonts w:eastAsia="Times New Roman"/>
        </w:rPr>
        <w:t>Friends of the Earth Paris and Others v. TotalEnergies SE</w:t>
      </w:r>
      <w:r w:rsidR="00740898">
        <w:rPr>
          <w:rFonts w:eastAsia="Times New Roman"/>
        </w:rPr>
        <w:t>.</w:t>
      </w:r>
    </w:p>
    <w:p w14:paraId="09785090" w14:textId="7955FF12" w:rsidR="00B66A19" w:rsidRPr="00150F3D"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The case was instituted by six NGOs based in Uganda and France seeking an order </w:t>
      </w:r>
      <w:r w:rsidR="000D2C94">
        <w:rPr>
          <w:rFonts w:ascii="Times New Roman" w:eastAsia="Times New Roman" w:hAnsi="Times New Roman" w:cs="Times New Roman"/>
          <w:sz w:val="24"/>
          <w:szCs w:val="24"/>
        </w:rPr>
        <w:t xml:space="preserve">from </w:t>
      </w:r>
      <w:r w:rsidRPr="00150F3D">
        <w:rPr>
          <w:rFonts w:ascii="Times New Roman" w:eastAsia="Times New Roman" w:hAnsi="Times New Roman" w:cs="Times New Roman"/>
          <w:sz w:val="24"/>
          <w:szCs w:val="24"/>
        </w:rPr>
        <w:t>the Paris Civil Court (the Court) to compel TotalEnergies to comply with its duty of care under the Vigilance Law</w:t>
      </w:r>
      <w:r w:rsidR="004A0844">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by suspending works in relation to the East Africa Crude Oil Pipeline (EACOP) and Tilenga projects in Uganda and Tanzania respectively due to their alleged negative impacts </w:t>
      </w:r>
      <w:r w:rsidRPr="00150F3D">
        <w:rPr>
          <w:rFonts w:ascii="Times New Roman" w:eastAsia="Times New Roman" w:hAnsi="Times New Roman" w:cs="Times New Roman"/>
          <w:sz w:val="24"/>
          <w:szCs w:val="24"/>
        </w:rPr>
        <w:lastRenderedPageBreak/>
        <w:t>on the environment and local populations</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1"/>
      </w:r>
      <w:r w:rsidRPr="00150F3D">
        <w:rPr>
          <w:rFonts w:ascii="Times New Roman" w:eastAsia="Times New Roman" w:hAnsi="Times New Roman" w:cs="Times New Roman"/>
          <w:sz w:val="24"/>
          <w:szCs w:val="24"/>
        </w:rPr>
        <w:t xml:space="preserve"> Further, the Plaintiffs sought an order of </w:t>
      </w:r>
      <w:r w:rsidR="00613AF5">
        <w:rPr>
          <w:rFonts w:ascii="Times New Roman" w:eastAsia="Times New Roman" w:hAnsi="Times New Roman" w:cs="Times New Roman"/>
          <w:sz w:val="24"/>
          <w:szCs w:val="24"/>
        </w:rPr>
        <w:t xml:space="preserve">the </w:t>
      </w:r>
      <w:r w:rsidRPr="00150F3D">
        <w:rPr>
          <w:rFonts w:ascii="Times New Roman" w:eastAsia="Times New Roman" w:hAnsi="Times New Roman" w:cs="Times New Roman"/>
          <w:sz w:val="24"/>
          <w:szCs w:val="24"/>
        </w:rPr>
        <w:t xml:space="preserve">Court to compel the Defendant to disclose </w:t>
      </w:r>
      <w:r w:rsidR="00AD35F9">
        <w:rPr>
          <w:rFonts w:ascii="Times New Roman" w:eastAsia="Times New Roman" w:hAnsi="Times New Roman" w:cs="Times New Roman"/>
          <w:sz w:val="24"/>
          <w:szCs w:val="24"/>
        </w:rPr>
        <w:t>with</w:t>
      </w:r>
      <w:r w:rsidRPr="00150F3D">
        <w:rPr>
          <w:rFonts w:ascii="Times New Roman" w:eastAsia="Times New Roman" w:hAnsi="Times New Roman" w:cs="Times New Roman"/>
          <w:sz w:val="24"/>
          <w:szCs w:val="24"/>
        </w:rPr>
        <w:t>in its next vigilance plan steps taken to identify and manage the social and environmental impacts of the Tilenga and EACOP projects</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2"/>
      </w:r>
      <w:r w:rsidRPr="00150F3D">
        <w:rPr>
          <w:rFonts w:ascii="Times New Roman" w:eastAsia="Times New Roman" w:hAnsi="Times New Roman" w:cs="Times New Roman"/>
          <w:sz w:val="24"/>
          <w:szCs w:val="24"/>
        </w:rPr>
        <w:t xml:space="preserve"> </w:t>
      </w:r>
    </w:p>
    <w:p w14:paraId="7E008573" w14:textId="2367031C" w:rsidR="00B66A19"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Following </w:t>
      </w:r>
      <w:r w:rsidR="00AD35F9">
        <w:rPr>
          <w:rFonts w:ascii="Times New Roman" w:eastAsia="Times New Roman" w:hAnsi="Times New Roman" w:cs="Times New Roman"/>
          <w:sz w:val="24"/>
          <w:szCs w:val="24"/>
        </w:rPr>
        <w:t xml:space="preserve">an </w:t>
      </w:r>
      <w:r w:rsidRPr="00150F3D">
        <w:rPr>
          <w:rFonts w:ascii="Times New Roman" w:eastAsia="Times New Roman" w:hAnsi="Times New Roman" w:cs="Times New Roman"/>
          <w:sz w:val="24"/>
          <w:szCs w:val="24"/>
        </w:rPr>
        <w:t>initial jurisdictional challenge</w:t>
      </w:r>
      <w:r w:rsidR="00AD35F9">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resolved in favour of the Plaintiffs, the Court ultimately held the Plaintiffs’ case to be inadmissible citing two </w:t>
      </w:r>
      <w:r w:rsidR="00AD35F9">
        <w:rPr>
          <w:rFonts w:ascii="Times New Roman" w:eastAsia="Times New Roman" w:hAnsi="Times New Roman" w:cs="Times New Roman"/>
          <w:sz w:val="24"/>
          <w:szCs w:val="24"/>
        </w:rPr>
        <w:t xml:space="preserve">key </w:t>
      </w:r>
      <w:r w:rsidRPr="00150F3D">
        <w:rPr>
          <w:rFonts w:ascii="Times New Roman" w:eastAsia="Times New Roman" w:hAnsi="Times New Roman" w:cs="Times New Roman"/>
          <w:sz w:val="24"/>
          <w:szCs w:val="24"/>
        </w:rPr>
        <w:t>technical grounds. First, the Court held that Plaintiffs’ claim was materially different from the issues raised in the formal notice served on the Defendant by the Plaintiffs</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3"/>
      </w:r>
      <w:r w:rsidRPr="00150F3D">
        <w:rPr>
          <w:rFonts w:ascii="Times New Roman" w:eastAsia="Times New Roman" w:hAnsi="Times New Roman" w:cs="Times New Roman"/>
          <w:sz w:val="24"/>
          <w:szCs w:val="24"/>
        </w:rPr>
        <w:t xml:space="preserve"> In this connection, the Court clarified that the purpose of the formal notice was to enable possible amicable settlement of disputes out of Court</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4"/>
      </w:r>
      <w:r w:rsidRPr="00150F3D">
        <w:rPr>
          <w:rFonts w:ascii="Times New Roman" w:eastAsia="Times New Roman" w:hAnsi="Times New Roman" w:cs="Times New Roman"/>
          <w:sz w:val="24"/>
          <w:szCs w:val="24"/>
        </w:rPr>
        <w:t xml:space="preserve"> Second, the Court held that </w:t>
      </w:r>
      <w:r w:rsidR="00206B48">
        <w:rPr>
          <w:rFonts w:ascii="Times New Roman" w:eastAsia="Times New Roman" w:hAnsi="Times New Roman" w:cs="Times New Roman"/>
          <w:sz w:val="24"/>
          <w:szCs w:val="24"/>
        </w:rPr>
        <w:t>it cannot grant an</w:t>
      </w:r>
      <w:r w:rsidRPr="00150F3D">
        <w:rPr>
          <w:rFonts w:ascii="Times New Roman" w:eastAsia="Times New Roman" w:hAnsi="Times New Roman" w:cs="Times New Roman"/>
          <w:sz w:val="24"/>
          <w:szCs w:val="24"/>
        </w:rPr>
        <w:t xml:space="preserve"> interim </w:t>
      </w:r>
      <w:r w:rsidR="00206B48">
        <w:rPr>
          <w:rFonts w:ascii="Times New Roman" w:eastAsia="Times New Roman" w:hAnsi="Times New Roman" w:cs="Times New Roman"/>
          <w:sz w:val="24"/>
          <w:szCs w:val="24"/>
        </w:rPr>
        <w:t>relief: as the existence of serious damage was not established</w:t>
      </w:r>
      <w:r w:rsidRPr="00150F3D">
        <w:rPr>
          <w:rFonts w:ascii="Times New Roman" w:eastAsia="Times New Roman" w:hAnsi="Times New Roman" w:cs="Times New Roman"/>
          <w:sz w:val="24"/>
          <w:szCs w:val="24"/>
        </w:rPr>
        <w:t xml:space="preserve">, </w:t>
      </w:r>
      <w:r w:rsidR="00206B48">
        <w:rPr>
          <w:rFonts w:ascii="Times New Roman" w:eastAsia="Times New Roman" w:hAnsi="Times New Roman" w:cs="Times New Roman"/>
          <w:sz w:val="24"/>
          <w:szCs w:val="24"/>
        </w:rPr>
        <w:t>the judge cannot conclude that the plan and preventive measures were insufficient</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5"/>
      </w:r>
      <w:r w:rsidRPr="00150F3D">
        <w:rPr>
          <w:rFonts w:ascii="Times New Roman" w:eastAsia="Times New Roman" w:hAnsi="Times New Roman" w:cs="Times New Roman"/>
          <w:sz w:val="24"/>
          <w:szCs w:val="24"/>
        </w:rPr>
        <w:t xml:space="preserve">  According to the Court, the interim order procedure would only permit limited inquiry aimed at ascertaining whether a vigilance plan has been put in place and meets the criteria set out in the law</w:t>
      </w:r>
      <w:r w:rsidR="00C25DCD">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6"/>
      </w:r>
    </w:p>
    <w:p w14:paraId="3232A836" w14:textId="091175F6" w:rsidR="00206B48" w:rsidRDefault="00912D03"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lessons that could be learned from the </w:t>
      </w:r>
      <w:r w:rsidRPr="00E25909">
        <w:rPr>
          <w:rFonts w:ascii="Times New Roman" w:eastAsia="Times New Roman" w:hAnsi="Times New Roman" w:cs="Times New Roman"/>
          <w:i/>
          <w:iCs/>
          <w:sz w:val="24"/>
          <w:szCs w:val="24"/>
        </w:rPr>
        <w:t>TotalEnergies</w:t>
      </w:r>
      <w:r w:rsidDel="00EA58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decision. First, r</w:t>
      </w:r>
      <w:r w:rsidR="00B66A19" w:rsidRPr="00150F3D">
        <w:rPr>
          <w:rFonts w:ascii="Times New Roman" w:eastAsia="Times New Roman" w:hAnsi="Times New Roman" w:cs="Times New Roman"/>
          <w:sz w:val="24"/>
          <w:szCs w:val="24"/>
        </w:rPr>
        <w:t>eacting to the Court</w:t>
      </w:r>
      <w:r w:rsidR="00843BFE" w:rsidRPr="00150F3D">
        <w:rPr>
          <w:rFonts w:ascii="Times New Roman" w:eastAsia="Times New Roman" w:hAnsi="Times New Roman" w:cs="Times New Roman"/>
          <w:sz w:val="24"/>
          <w:szCs w:val="24"/>
        </w:rPr>
        <w:t>’s</w:t>
      </w:r>
      <w:r w:rsidR="00B66A19" w:rsidRPr="00150F3D">
        <w:rPr>
          <w:rFonts w:ascii="Times New Roman" w:eastAsia="Times New Roman" w:hAnsi="Times New Roman" w:cs="Times New Roman"/>
          <w:sz w:val="24"/>
          <w:szCs w:val="24"/>
        </w:rPr>
        <w:t xml:space="preserve"> ruling, a Senior Campaigner at the Friends of the Earth (one of the Plaintiffs) </w:t>
      </w:r>
      <w:r w:rsidR="00206B48">
        <w:rPr>
          <w:rFonts w:ascii="Times New Roman" w:eastAsia="Times New Roman" w:hAnsi="Times New Roman" w:cs="Times New Roman"/>
          <w:sz w:val="24"/>
          <w:szCs w:val="24"/>
        </w:rPr>
        <w:t>commented</w:t>
      </w:r>
      <w:r w:rsidR="00B66A19" w:rsidRPr="00150F3D">
        <w:rPr>
          <w:rFonts w:ascii="Times New Roman" w:eastAsia="Times New Roman" w:hAnsi="Times New Roman" w:cs="Times New Roman"/>
          <w:sz w:val="24"/>
          <w:szCs w:val="24"/>
        </w:rPr>
        <w:t xml:space="preserve">: </w:t>
      </w:r>
    </w:p>
    <w:p w14:paraId="5410E1E8" w14:textId="2687476A" w:rsidR="005752F0" w:rsidRDefault="00206B48" w:rsidP="00B82299">
      <w:pPr>
        <w:spacing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We </w:t>
      </w:r>
      <w:r w:rsidR="00B66A19" w:rsidRPr="00150F3D">
        <w:rPr>
          <w:rFonts w:ascii="Times New Roman" w:eastAsia="Times New Roman" w:hAnsi="Times New Roman" w:cs="Times New Roman"/>
          <w:sz w:val="24"/>
          <w:szCs w:val="24"/>
        </w:rPr>
        <w:t>strongly deplore this decision. Once again, the French courts have missed an opportunity to put an end to the multiple violations taking place in Uganda and Tanzania. It is essential that this summary judgment procedure, which allows for faster judgments, be effective in order to achieve the central objective of this law: to prevent human rights violations and environmental damage before they occur. Judicial delays are piling up, and every passing month is wasted time in putting an end to the serious human rights violations caused by Total’s mega-oil project in Uganda and Tanzania, and preventing an environmental and climate disaster from occurring</w:t>
      </w:r>
      <w:r w:rsidRPr="00150F3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vertAlign w:val="superscript"/>
        </w:rPr>
        <w:footnoteReference w:id="97"/>
      </w:r>
    </w:p>
    <w:p w14:paraId="1E32E24F" w14:textId="3735949A" w:rsidR="00602496" w:rsidRDefault="009E0B52" w:rsidP="005752F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statement </w:t>
      </w:r>
      <w:r w:rsidR="00BD74B0">
        <w:rPr>
          <w:rFonts w:ascii="Times New Roman" w:eastAsia="Times New Roman" w:hAnsi="Times New Roman" w:cs="Times New Roman"/>
          <w:sz w:val="24"/>
          <w:szCs w:val="24"/>
        </w:rPr>
        <w:t>quoted above inherently</w:t>
      </w:r>
      <w:r>
        <w:rPr>
          <w:rFonts w:ascii="Times New Roman" w:eastAsia="Times New Roman" w:hAnsi="Times New Roman" w:cs="Times New Roman"/>
          <w:sz w:val="24"/>
          <w:szCs w:val="24"/>
        </w:rPr>
        <w:t xml:space="preserve"> reflects the losing party’s </w:t>
      </w:r>
      <w:r w:rsidR="00602496">
        <w:rPr>
          <w:rFonts w:ascii="Times New Roman" w:eastAsia="Times New Roman" w:hAnsi="Times New Roman" w:cs="Times New Roman"/>
          <w:sz w:val="24"/>
          <w:szCs w:val="24"/>
        </w:rPr>
        <w:t>disappointment,</w:t>
      </w:r>
      <w:r w:rsidR="00E02474">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E02474">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should be read in this light. </w:t>
      </w:r>
      <w:r w:rsidR="005752F0" w:rsidRPr="005752F0">
        <w:rPr>
          <w:rFonts w:ascii="Times New Roman" w:eastAsia="Times New Roman" w:hAnsi="Times New Roman" w:cs="Times New Roman"/>
          <w:sz w:val="24"/>
          <w:szCs w:val="24"/>
        </w:rPr>
        <w:t xml:space="preserve">This statement nevertheless also encapsulates the exceedingly protracted </w:t>
      </w:r>
      <w:r w:rsidR="005752F0" w:rsidRPr="005752F0">
        <w:rPr>
          <w:rFonts w:ascii="Times New Roman" w:eastAsia="Times New Roman" w:hAnsi="Times New Roman" w:cs="Times New Roman"/>
          <w:sz w:val="24"/>
          <w:szCs w:val="24"/>
        </w:rPr>
        <w:lastRenderedPageBreak/>
        <w:t xml:space="preserve">and frustrating journey – spanning a total of four years – that transpired from the commencement of the lawsuit, </w:t>
      </w:r>
      <w:r w:rsidR="00CD1C35">
        <w:rPr>
          <w:rFonts w:ascii="Times New Roman" w:eastAsia="Times New Roman" w:hAnsi="Times New Roman" w:cs="Times New Roman"/>
          <w:sz w:val="24"/>
          <w:szCs w:val="24"/>
        </w:rPr>
        <w:t>through</w:t>
      </w:r>
      <w:r w:rsidR="005752F0" w:rsidRPr="005752F0">
        <w:rPr>
          <w:rFonts w:ascii="Times New Roman" w:eastAsia="Times New Roman" w:hAnsi="Times New Roman" w:cs="Times New Roman"/>
          <w:sz w:val="24"/>
          <w:szCs w:val="24"/>
        </w:rPr>
        <w:t xml:space="preserve"> litigation before four different courts, until a dismissal was ultimately reached, grounded on procedural reasons.</w:t>
      </w:r>
      <w:r w:rsidR="005752F0">
        <w:t xml:space="preserve"> </w:t>
      </w:r>
      <w:r w:rsidR="005752F0">
        <w:rPr>
          <w:rFonts w:ascii="Times New Roman" w:eastAsia="Times New Roman" w:hAnsi="Times New Roman" w:cs="Times New Roman"/>
          <w:sz w:val="24"/>
          <w:szCs w:val="24"/>
        </w:rPr>
        <w:t>As stated by the Plaintiffs, the pass</w:t>
      </w:r>
      <w:r w:rsidR="009428DF">
        <w:rPr>
          <w:rFonts w:ascii="Times New Roman" w:eastAsia="Times New Roman" w:hAnsi="Times New Roman" w:cs="Times New Roman"/>
          <w:sz w:val="24"/>
          <w:szCs w:val="24"/>
        </w:rPr>
        <w:t>age</w:t>
      </w:r>
      <w:r w:rsidR="005752F0">
        <w:rPr>
          <w:rFonts w:ascii="Times New Roman" w:eastAsia="Times New Roman" w:hAnsi="Times New Roman" w:cs="Times New Roman"/>
          <w:sz w:val="24"/>
          <w:szCs w:val="24"/>
        </w:rPr>
        <w:t xml:space="preserve"> of time </w:t>
      </w:r>
      <w:r w:rsidR="009428DF">
        <w:rPr>
          <w:rFonts w:ascii="Times New Roman" w:eastAsia="Times New Roman" w:hAnsi="Times New Roman" w:cs="Times New Roman"/>
          <w:sz w:val="24"/>
          <w:szCs w:val="24"/>
        </w:rPr>
        <w:t xml:space="preserve">presents a significant problem </w:t>
      </w:r>
      <w:r w:rsidR="00EA5853">
        <w:rPr>
          <w:rFonts w:ascii="Times New Roman" w:eastAsia="Times New Roman" w:hAnsi="Times New Roman" w:cs="Times New Roman"/>
          <w:sz w:val="24"/>
          <w:szCs w:val="24"/>
        </w:rPr>
        <w:t>given the urgency</w:t>
      </w:r>
      <w:r w:rsidR="005752F0">
        <w:rPr>
          <w:rFonts w:ascii="Times New Roman" w:eastAsia="Times New Roman" w:hAnsi="Times New Roman" w:cs="Times New Roman"/>
          <w:sz w:val="24"/>
          <w:szCs w:val="24"/>
        </w:rPr>
        <w:t xml:space="preserve"> of CSDD violations</w:t>
      </w:r>
      <w:r w:rsidR="00EA5853">
        <w:rPr>
          <w:rFonts w:ascii="Times New Roman" w:eastAsia="Times New Roman" w:hAnsi="Times New Roman" w:cs="Times New Roman"/>
          <w:sz w:val="24"/>
          <w:szCs w:val="24"/>
        </w:rPr>
        <w:t xml:space="preserve">. Combined with </w:t>
      </w:r>
      <w:r w:rsidR="005752F0">
        <w:rPr>
          <w:rFonts w:ascii="Times New Roman" w:eastAsia="Times New Roman" w:hAnsi="Times New Roman" w:cs="Times New Roman"/>
          <w:sz w:val="24"/>
          <w:szCs w:val="24"/>
        </w:rPr>
        <w:t xml:space="preserve">the </w:t>
      </w:r>
      <w:r w:rsidR="00194E74">
        <w:rPr>
          <w:rFonts w:ascii="Times New Roman" w:eastAsia="Times New Roman" w:hAnsi="Times New Roman" w:cs="Times New Roman"/>
          <w:sz w:val="24"/>
          <w:szCs w:val="24"/>
        </w:rPr>
        <w:t xml:space="preserve">inherent </w:t>
      </w:r>
      <w:r w:rsidR="005752F0">
        <w:rPr>
          <w:rFonts w:ascii="Times New Roman" w:eastAsia="Times New Roman" w:hAnsi="Times New Roman" w:cs="Times New Roman"/>
          <w:sz w:val="24"/>
          <w:szCs w:val="24"/>
        </w:rPr>
        <w:t xml:space="preserve">financial costs </w:t>
      </w:r>
      <w:r w:rsidR="00194E74">
        <w:rPr>
          <w:rFonts w:ascii="Times New Roman" w:eastAsia="Times New Roman" w:hAnsi="Times New Roman" w:cs="Times New Roman"/>
          <w:sz w:val="24"/>
          <w:szCs w:val="24"/>
        </w:rPr>
        <w:t>of</w:t>
      </w:r>
      <w:r w:rsidR="005752F0">
        <w:rPr>
          <w:rFonts w:ascii="Times New Roman" w:eastAsia="Times New Roman" w:hAnsi="Times New Roman" w:cs="Times New Roman"/>
          <w:sz w:val="24"/>
          <w:szCs w:val="24"/>
        </w:rPr>
        <w:t xml:space="preserve"> lengthy litigation</w:t>
      </w:r>
      <w:r w:rsidR="00EA5853">
        <w:rPr>
          <w:rFonts w:ascii="Times New Roman" w:eastAsia="Times New Roman" w:hAnsi="Times New Roman" w:cs="Times New Roman"/>
          <w:sz w:val="24"/>
          <w:szCs w:val="24"/>
        </w:rPr>
        <w:t>, it could be regarded as a barrier on access to justice</w:t>
      </w:r>
      <w:r w:rsidR="005752F0">
        <w:rPr>
          <w:rFonts w:ascii="Times New Roman" w:eastAsia="Times New Roman" w:hAnsi="Times New Roman" w:cs="Times New Roman"/>
          <w:sz w:val="24"/>
          <w:szCs w:val="24"/>
        </w:rPr>
        <w:t>.</w:t>
      </w:r>
      <w:bookmarkStart w:id="32" w:name="_Ref141965955"/>
      <w:r w:rsidR="00CD1C35">
        <w:rPr>
          <w:rStyle w:val="FootnoteReference"/>
          <w:rFonts w:ascii="Times New Roman" w:eastAsia="Times New Roman" w:hAnsi="Times New Roman" w:cs="Times New Roman"/>
          <w:sz w:val="24"/>
          <w:szCs w:val="24"/>
        </w:rPr>
        <w:footnoteReference w:id="98"/>
      </w:r>
      <w:bookmarkEnd w:id="32"/>
      <w:r w:rsidR="005752F0">
        <w:rPr>
          <w:rFonts w:ascii="Times New Roman" w:eastAsia="Times New Roman" w:hAnsi="Times New Roman" w:cs="Times New Roman"/>
          <w:sz w:val="24"/>
          <w:szCs w:val="24"/>
        </w:rPr>
        <w:t xml:space="preserve"> </w:t>
      </w:r>
    </w:p>
    <w:p w14:paraId="14C0B6A5" w14:textId="38B329AA" w:rsidR="002B1BE0" w:rsidRDefault="002B1BE0" w:rsidP="005752F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the Court is critical of the French law</w:t>
      </w:r>
      <w:r w:rsidR="000F557E">
        <w:rPr>
          <w:rFonts w:ascii="Times New Roman" w:eastAsia="Times New Roman" w:hAnsi="Times New Roman" w:cs="Times New Roman"/>
          <w:sz w:val="24"/>
          <w:szCs w:val="24"/>
        </w:rPr>
        <w:t>’s lack of clarity</w:t>
      </w:r>
      <w:r>
        <w:rPr>
          <w:rFonts w:ascii="Times New Roman" w:eastAsia="Times New Roman" w:hAnsi="Times New Roman" w:cs="Times New Roman"/>
          <w:sz w:val="24"/>
          <w:szCs w:val="24"/>
        </w:rPr>
        <w:t xml:space="preserve"> and the difficulty in </w:t>
      </w:r>
      <w:r w:rsidR="009428DF">
        <w:rPr>
          <w:rFonts w:ascii="Times New Roman" w:eastAsia="Times New Roman" w:hAnsi="Times New Roman" w:cs="Times New Roman"/>
          <w:sz w:val="24"/>
          <w:szCs w:val="24"/>
        </w:rPr>
        <w:t>complying with the due diligence requirement</w:t>
      </w:r>
      <w:r>
        <w:rPr>
          <w:rFonts w:ascii="Times New Roman" w:eastAsia="Times New Roman" w:hAnsi="Times New Roman" w:cs="Times New Roman"/>
          <w:sz w:val="24"/>
          <w:szCs w:val="24"/>
        </w:rPr>
        <w:t xml:space="preserve"> without specific standards and instructions. </w:t>
      </w:r>
      <w:r w:rsidR="009428DF">
        <w:rPr>
          <w:rFonts w:ascii="Times New Roman" w:eastAsia="Times New Roman" w:hAnsi="Times New Roman" w:cs="Times New Roman"/>
          <w:sz w:val="24"/>
          <w:szCs w:val="24"/>
        </w:rPr>
        <w:t>A s</w:t>
      </w:r>
      <w:r>
        <w:rPr>
          <w:rFonts w:ascii="Times New Roman" w:eastAsia="Times New Roman" w:hAnsi="Times New Roman" w:cs="Times New Roman"/>
          <w:sz w:val="24"/>
          <w:szCs w:val="24"/>
        </w:rPr>
        <w:t>imilar criticism was made also in the literature more widely regarding CSDD laws,</w:t>
      </w:r>
      <w:bookmarkStart w:id="33" w:name="_Ref141965690"/>
      <w:r>
        <w:rPr>
          <w:rStyle w:val="FootnoteReference"/>
          <w:rFonts w:ascii="Times New Roman" w:eastAsia="Times New Roman" w:hAnsi="Times New Roman" w:cs="Times New Roman"/>
          <w:sz w:val="24"/>
          <w:szCs w:val="24"/>
        </w:rPr>
        <w:footnoteReference w:id="99"/>
      </w:r>
      <w:bookmarkEnd w:id="33"/>
      <w:r>
        <w:rPr>
          <w:rFonts w:ascii="Times New Roman" w:eastAsia="Times New Roman" w:hAnsi="Times New Roman" w:cs="Times New Roman"/>
          <w:sz w:val="24"/>
          <w:szCs w:val="24"/>
        </w:rPr>
        <w:t xml:space="preserve"> and, perhaps, coming from the Court’s mouth, </w:t>
      </w:r>
      <w:r w:rsidR="009428DF">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will</w:t>
      </w:r>
      <w:r w:rsidR="009428DF">
        <w:rPr>
          <w:rFonts w:ascii="Times New Roman" w:eastAsia="Times New Roman" w:hAnsi="Times New Roman" w:cs="Times New Roman"/>
          <w:sz w:val="24"/>
          <w:szCs w:val="24"/>
        </w:rPr>
        <w:t xml:space="preserve"> now</w:t>
      </w:r>
      <w:r>
        <w:rPr>
          <w:rFonts w:ascii="Times New Roman" w:eastAsia="Times New Roman" w:hAnsi="Times New Roman" w:cs="Times New Roman"/>
          <w:sz w:val="24"/>
          <w:szCs w:val="24"/>
        </w:rPr>
        <w:t xml:space="preserve"> find </w:t>
      </w:r>
      <w:r w:rsidR="009428DF">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traction.   </w:t>
      </w:r>
    </w:p>
    <w:p w14:paraId="12CDA8E1" w14:textId="3532CB93" w:rsidR="009428DF" w:rsidRPr="005752F0" w:rsidRDefault="009428DF" w:rsidP="005752F0">
      <w:pPr>
        <w:spacing w:line="360" w:lineRule="auto"/>
        <w:jc w:val="both"/>
      </w:pPr>
      <w:r>
        <w:rPr>
          <w:rFonts w:ascii="Times New Roman" w:eastAsia="Times New Roman" w:hAnsi="Times New Roman" w:cs="Times New Roman"/>
          <w:sz w:val="24"/>
          <w:szCs w:val="24"/>
        </w:rPr>
        <w:t xml:space="preserve">Thirdly, the </w:t>
      </w:r>
      <w:r w:rsidRPr="00E25909">
        <w:rPr>
          <w:rFonts w:ascii="Times New Roman" w:eastAsia="Times New Roman" w:hAnsi="Times New Roman" w:cs="Times New Roman"/>
          <w:i/>
          <w:iCs/>
          <w:sz w:val="24"/>
          <w:szCs w:val="24"/>
        </w:rPr>
        <w:t>TotalEnergies</w:t>
      </w:r>
      <w:r w:rsidDel="00EA58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decision points at the importance of relevant procedural steps</w:t>
      </w:r>
      <w:r w:rsidR="000F557E">
        <w:rPr>
          <w:rFonts w:ascii="Times New Roman" w:eastAsia="Times New Roman" w:hAnsi="Times New Roman" w:cs="Times New Roman"/>
          <w:sz w:val="24"/>
          <w:szCs w:val="24"/>
        </w:rPr>
        <w:t>, notably the notice requirement. G</w:t>
      </w:r>
      <w:r>
        <w:rPr>
          <w:rFonts w:ascii="Times New Roman" w:eastAsia="Times New Roman" w:hAnsi="Times New Roman" w:cs="Times New Roman"/>
          <w:sz w:val="24"/>
          <w:szCs w:val="24"/>
        </w:rPr>
        <w:t>iven the drastic outcome in this case, future litigants are unlikely to forget</w:t>
      </w:r>
      <w:r w:rsidR="000F557E">
        <w:rPr>
          <w:rFonts w:ascii="Times New Roman" w:eastAsia="Times New Roman" w:hAnsi="Times New Roman" w:cs="Times New Roman"/>
          <w:sz w:val="24"/>
          <w:szCs w:val="24"/>
        </w:rPr>
        <w:t xml:space="preserve"> this lesson and its importance</w:t>
      </w:r>
      <w:r>
        <w:rPr>
          <w:rFonts w:ascii="Times New Roman" w:eastAsia="Times New Roman" w:hAnsi="Times New Roman" w:cs="Times New Roman"/>
          <w:sz w:val="24"/>
          <w:szCs w:val="24"/>
        </w:rPr>
        <w:t xml:space="preserve">.  </w:t>
      </w:r>
    </w:p>
    <w:p w14:paraId="310F2A7B" w14:textId="671CF6E3" w:rsidR="00DB27EA" w:rsidRDefault="002B1BE0" w:rsidP="005752F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912D03">
        <w:rPr>
          <w:rFonts w:ascii="Times New Roman" w:eastAsia="Times New Roman" w:hAnsi="Times New Roman" w:cs="Times New Roman"/>
          <w:sz w:val="24"/>
          <w:szCs w:val="24"/>
        </w:rPr>
        <w:t>some may question whether the Court’s adherence to clear procedural requirements did lead to a result that is conflicting the law’s main aims and objective</w:t>
      </w:r>
      <w:r w:rsidR="00DB27EA" w:rsidRPr="00150F3D">
        <w:rPr>
          <w:rFonts w:ascii="Times New Roman" w:eastAsia="Times New Roman" w:hAnsi="Times New Roman" w:cs="Times New Roman"/>
          <w:sz w:val="24"/>
          <w:szCs w:val="24"/>
        </w:rPr>
        <w:t xml:space="preserve">. </w:t>
      </w:r>
      <w:r w:rsidR="000F557E">
        <w:rPr>
          <w:rFonts w:ascii="Times New Roman" w:eastAsia="Times New Roman" w:hAnsi="Times New Roman" w:cs="Times New Roman"/>
          <w:sz w:val="24"/>
          <w:szCs w:val="24"/>
        </w:rPr>
        <w:t xml:space="preserve">More specifically, </w:t>
      </w:r>
      <w:r w:rsidR="00DB27EA" w:rsidRPr="00150F3D">
        <w:rPr>
          <w:rFonts w:ascii="Times New Roman" w:eastAsia="Times New Roman" w:hAnsi="Times New Roman" w:cs="Times New Roman"/>
          <w:sz w:val="24"/>
          <w:szCs w:val="24"/>
        </w:rPr>
        <w:t xml:space="preserve">it </w:t>
      </w:r>
      <w:r w:rsidR="000F557E">
        <w:rPr>
          <w:rFonts w:ascii="Times New Roman" w:eastAsia="Times New Roman" w:hAnsi="Times New Roman" w:cs="Times New Roman"/>
          <w:sz w:val="24"/>
          <w:szCs w:val="24"/>
        </w:rPr>
        <w:t xml:space="preserve">could be questioned </w:t>
      </w:r>
      <w:r w:rsidR="00C50C82">
        <w:rPr>
          <w:rFonts w:ascii="Times New Roman" w:eastAsia="Times New Roman" w:hAnsi="Times New Roman" w:cs="Times New Roman"/>
          <w:sz w:val="24"/>
          <w:szCs w:val="24"/>
        </w:rPr>
        <w:t>whether</w:t>
      </w:r>
      <w:r w:rsidR="00C50C82" w:rsidRPr="00150F3D">
        <w:rPr>
          <w:rFonts w:ascii="Times New Roman" w:eastAsia="Times New Roman" w:hAnsi="Times New Roman" w:cs="Times New Roman"/>
          <w:sz w:val="24"/>
          <w:szCs w:val="24"/>
        </w:rPr>
        <w:t xml:space="preserve"> </w:t>
      </w:r>
      <w:r w:rsidR="00DB27EA" w:rsidRPr="00150F3D">
        <w:rPr>
          <w:rFonts w:ascii="Times New Roman" w:eastAsia="Times New Roman" w:hAnsi="Times New Roman" w:cs="Times New Roman"/>
          <w:sz w:val="24"/>
          <w:szCs w:val="24"/>
        </w:rPr>
        <w:t>this ought to constitute sufficient grounds for inadmissibility of the Plaintiffs’ action</w:t>
      </w:r>
      <w:r w:rsidR="00DB27EA">
        <w:rPr>
          <w:rFonts w:ascii="Times New Roman" w:eastAsia="Times New Roman" w:hAnsi="Times New Roman" w:cs="Times New Roman"/>
          <w:sz w:val="24"/>
          <w:szCs w:val="24"/>
        </w:rPr>
        <w:t xml:space="preserve">, </w:t>
      </w:r>
      <w:r w:rsidR="000F557E">
        <w:rPr>
          <w:rFonts w:ascii="Times New Roman" w:eastAsia="Times New Roman" w:hAnsi="Times New Roman" w:cs="Times New Roman"/>
          <w:sz w:val="24"/>
          <w:szCs w:val="24"/>
        </w:rPr>
        <w:t xml:space="preserve">especially </w:t>
      </w:r>
      <w:r w:rsidR="00DB27EA">
        <w:rPr>
          <w:rFonts w:ascii="Times New Roman" w:eastAsia="Times New Roman" w:hAnsi="Times New Roman" w:cs="Times New Roman"/>
          <w:sz w:val="24"/>
          <w:szCs w:val="24"/>
        </w:rPr>
        <w:t xml:space="preserve">given the </w:t>
      </w:r>
      <w:r w:rsidR="00F9108C">
        <w:rPr>
          <w:rFonts w:ascii="Times New Roman" w:eastAsia="Times New Roman" w:hAnsi="Times New Roman" w:cs="Times New Roman"/>
          <w:sz w:val="24"/>
          <w:szCs w:val="24"/>
        </w:rPr>
        <w:t>fact that this case has already been litigated for a number of years, and in light</w:t>
      </w:r>
      <w:r w:rsidR="00DB27EA">
        <w:rPr>
          <w:rFonts w:ascii="Times New Roman" w:eastAsia="Times New Roman" w:hAnsi="Times New Roman" w:cs="Times New Roman"/>
          <w:sz w:val="24"/>
          <w:szCs w:val="24"/>
        </w:rPr>
        <w:t xml:space="preserve"> the urgency involved in stopping environmental and human rights harms</w:t>
      </w:r>
      <w:r w:rsidR="00DB27EA" w:rsidRPr="00150F3D">
        <w:rPr>
          <w:rFonts w:ascii="Times New Roman" w:eastAsia="Times New Roman" w:hAnsi="Times New Roman" w:cs="Times New Roman"/>
          <w:sz w:val="24"/>
          <w:szCs w:val="24"/>
        </w:rPr>
        <w:t xml:space="preserve">.  </w:t>
      </w:r>
    </w:p>
    <w:p w14:paraId="193FC32A" w14:textId="4FF014B9" w:rsidR="00891E75" w:rsidRDefault="00891E75" w:rsidP="007315F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 interim relief sought by the Plaintiffs</w:t>
      </w:r>
      <w:r w:rsidR="005B1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asking the court to order the Defendant</w:t>
      </w:r>
      <w:r w:rsidR="00466CED">
        <w:rPr>
          <w:rFonts w:ascii="Times New Roman" w:eastAsia="Times New Roman" w:hAnsi="Times New Roman" w:cs="Times New Roman"/>
          <w:sz w:val="24"/>
          <w:szCs w:val="24"/>
        </w:rPr>
        <w:t xml:space="preserve"> to suspend the</w:t>
      </w:r>
      <w:r>
        <w:rPr>
          <w:rFonts w:ascii="Times New Roman" w:eastAsia="Times New Roman" w:hAnsi="Times New Roman" w:cs="Times New Roman"/>
          <w:sz w:val="24"/>
          <w:szCs w:val="24"/>
        </w:rPr>
        <w:t xml:space="preserve"> EACOP and Tilenga projects</w:t>
      </w:r>
      <w:r w:rsidR="00466CED">
        <w:rPr>
          <w:rFonts w:ascii="Times New Roman" w:eastAsia="Times New Roman" w:hAnsi="Times New Roman" w:cs="Times New Roman"/>
          <w:sz w:val="24"/>
          <w:szCs w:val="24"/>
        </w:rPr>
        <w:t xml:space="preserve"> pending the determination of the substantive suit</w:t>
      </w:r>
      <w:r w:rsidR="005B6A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due to </w:t>
      </w:r>
      <w:r w:rsidRPr="00177A43">
        <w:rPr>
          <w:rFonts w:ascii="Times New Roman" w:eastAsia="Times New Roman" w:hAnsi="Times New Roman" w:cs="Times New Roman"/>
          <w:sz w:val="24"/>
          <w:szCs w:val="24"/>
        </w:rPr>
        <w:t>alleged negative impacts on the environment and local populations</w:t>
      </w:r>
      <w:r>
        <w:rPr>
          <w:rFonts w:ascii="Times New Roman" w:eastAsia="Times New Roman" w:hAnsi="Times New Roman" w:cs="Times New Roman"/>
          <w:sz w:val="24"/>
          <w:szCs w:val="24"/>
        </w:rPr>
        <w:t xml:space="preserve">, </w:t>
      </w:r>
      <w:r w:rsidRPr="004B273F">
        <w:rPr>
          <w:rFonts w:ascii="Times New Roman" w:eastAsia="Times New Roman" w:hAnsi="Times New Roman" w:cs="Times New Roman"/>
          <w:sz w:val="24"/>
          <w:szCs w:val="24"/>
        </w:rPr>
        <w:t xml:space="preserve">the normative question may be asked whether the ends of justice would have been served had the French Court granted an </w:t>
      </w:r>
      <w:r w:rsidR="001A2984">
        <w:rPr>
          <w:rFonts w:ascii="Times New Roman" w:eastAsia="Times New Roman" w:hAnsi="Times New Roman" w:cs="Times New Roman"/>
          <w:sz w:val="24"/>
          <w:szCs w:val="24"/>
        </w:rPr>
        <w:t>interims o</w:t>
      </w:r>
      <w:r w:rsidRPr="004B273F">
        <w:rPr>
          <w:rFonts w:ascii="Times New Roman" w:eastAsia="Times New Roman" w:hAnsi="Times New Roman" w:cs="Times New Roman"/>
          <w:sz w:val="24"/>
          <w:szCs w:val="24"/>
        </w:rPr>
        <w:t>rder suspending the project for a specified duration</w:t>
      </w:r>
      <w:r w:rsidR="00B05792">
        <w:rPr>
          <w:rFonts w:ascii="Times New Roman" w:eastAsia="Times New Roman" w:hAnsi="Times New Roman" w:cs="Times New Roman"/>
          <w:sz w:val="24"/>
          <w:szCs w:val="24"/>
        </w:rPr>
        <w:t xml:space="preserve"> to prevent continuation of </w:t>
      </w:r>
      <w:r w:rsidR="00F322C8">
        <w:rPr>
          <w:rFonts w:ascii="Times New Roman" w:eastAsia="Times New Roman" w:hAnsi="Times New Roman" w:cs="Times New Roman"/>
          <w:sz w:val="24"/>
          <w:szCs w:val="24"/>
        </w:rPr>
        <w:t xml:space="preserve">alleged negative impacts. </w:t>
      </w:r>
      <w:r w:rsidRPr="004B273F">
        <w:rPr>
          <w:rFonts w:ascii="Times New Roman" w:eastAsia="Times New Roman" w:hAnsi="Times New Roman" w:cs="Times New Roman"/>
          <w:sz w:val="24"/>
          <w:szCs w:val="24"/>
        </w:rPr>
        <w:t xml:space="preserve"> </w:t>
      </w:r>
    </w:p>
    <w:p w14:paraId="180A690C" w14:textId="6BB3925F" w:rsidR="001A2984" w:rsidRDefault="00391901" w:rsidP="007315F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decision might have put into perspective the often competing tendencies between rigid and technical application of the law versus the</w:t>
      </w:r>
      <w:r w:rsidR="00237835">
        <w:rPr>
          <w:rFonts w:ascii="Times New Roman" w:eastAsia="Times New Roman" w:hAnsi="Times New Roman" w:cs="Times New Roman"/>
          <w:sz w:val="24"/>
          <w:szCs w:val="24"/>
        </w:rPr>
        <w:t xml:space="preserve"> imperative of</w:t>
      </w:r>
      <w:r>
        <w:rPr>
          <w:rFonts w:ascii="Times New Roman" w:eastAsia="Times New Roman" w:hAnsi="Times New Roman" w:cs="Times New Roman"/>
          <w:sz w:val="24"/>
          <w:szCs w:val="24"/>
        </w:rPr>
        <w:t xml:space="preserve"> </w:t>
      </w:r>
      <w:r w:rsidR="00581251">
        <w:rPr>
          <w:rFonts w:ascii="Times New Roman" w:eastAsia="Times New Roman" w:hAnsi="Times New Roman" w:cs="Times New Roman"/>
          <w:sz w:val="24"/>
          <w:szCs w:val="24"/>
        </w:rPr>
        <w:t xml:space="preserve">access to </w:t>
      </w:r>
      <w:r w:rsidR="008F7B03">
        <w:rPr>
          <w:rFonts w:ascii="Times New Roman" w:eastAsia="Times New Roman" w:hAnsi="Times New Roman" w:cs="Times New Roman"/>
          <w:sz w:val="24"/>
          <w:szCs w:val="24"/>
        </w:rPr>
        <w:t>substantial</w:t>
      </w:r>
      <w:r>
        <w:rPr>
          <w:rFonts w:ascii="Times New Roman" w:eastAsia="Times New Roman" w:hAnsi="Times New Roman" w:cs="Times New Roman"/>
          <w:sz w:val="24"/>
          <w:szCs w:val="24"/>
        </w:rPr>
        <w:t xml:space="preserve"> justice for right holders</w:t>
      </w:r>
      <w:r w:rsidR="00E857A7">
        <w:rPr>
          <w:rFonts w:ascii="Times New Roman" w:eastAsia="Times New Roman" w:hAnsi="Times New Roman" w:cs="Times New Roman"/>
          <w:sz w:val="24"/>
          <w:szCs w:val="24"/>
        </w:rPr>
        <w:t xml:space="preserve">, which is </w:t>
      </w:r>
      <w:r w:rsidR="00A9326E">
        <w:rPr>
          <w:rFonts w:ascii="Times New Roman" w:eastAsia="Times New Roman" w:hAnsi="Times New Roman" w:cs="Times New Roman"/>
          <w:sz w:val="24"/>
          <w:szCs w:val="24"/>
        </w:rPr>
        <w:t xml:space="preserve">arguably </w:t>
      </w:r>
      <w:r w:rsidR="00E857A7">
        <w:rPr>
          <w:rFonts w:ascii="Times New Roman" w:eastAsia="Times New Roman" w:hAnsi="Times New Roman" w:cs="Times New Roman"/>
          <w:sz w:val="24"/>
          <w:szCs w:val="24"/>
        </w:rPr>
        <w:t xml:space="preserve">the </w:t>
      </w:r>
      <w:r w:rsidR="00B9436C">
        <w:rPr>
          <w:rFonts w:ascii="Times New Roman" w:eastAsia="Times New Roman" w:hAnsi="Times New Roman" w:cs="Times New Roman"/>
          <w:sz w:val="24"/>
          <w:szCs w:val="24"/>
        </w:rPr>
        <w:t xml:space="preserve">underpinning philosophy of </w:t>
      </w:r>
      <w:r w:rsidR="008E0ABE">
        <w:rPr>
          <w:rFonts w:ascii="Times New Roman" w:eastAsia="Times New Roman" w:hAnsi="Times New Roman" w:cs="Times New Roman"/>
          <w:sz w:val="24"/>
          <w:szCs w:val="24"/>
        </w:rPr>
        <w:t>the business and human rights</w:t>
      </w:r>
      <w:r w:rsidR="00237835">
        <w:rPr>
          <w:rFonts w:ascii="Times New Roman" w:eastAsia="Times New Roman" w:hAnsi="Times New Roman" w:cs="Times New Roman"/>
          <w:sz w:val="24"/>
          <w:szCs w:val="24"/>
        </w:rPr>
        <w:t xml:space="preserve"> agenda</w:t>
      </w:r>
      <w:r>
        <w:rPr>
          <w:rFonts w:ascii="Times New Roman" w:eastAsia="Times New Roman" w:hAnsi="Times New Roman" w:cs="Times New Roman"/>
          <w:sz w:val="24"/>
          <w:szCs w:val="24"/>
        </w:rPr>
        <w:t>. In two emblematic cases, the UK Supreme Court (UKSC) seem</w:t>
      </w:r>
      <w:r w:rsidR="00D6594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have </w:t>
      </w:r>
      <w:r w:rsidR="005237DB">
        <w:rPr>
          <w:rFonts w:ascii="Times New Roman" w:eastAsia="Times New Roman" w:hAnsi="Times New Roman" w:cs="Times New Roman"/>
          <w:sz w:val="24"/>
          <w:szCs w:val="24"/>
        </w:rPr>
        <w:lastRenderedPageBreak/>
        <w:t>favoured</w:t>
      </w:r>
      <w:r w:rsidR="00887369">
        <w:rPr>
          <w:rFonts w:ascii="Times New Roman" w:eastAsia="Times New Roman" w:hAnsi="Times New Roman" w:cs="Times New Roman"/>
          <w:sz w:val="24"/>
          <w:szCs w:val="24"/>
        </w:rPr>
        <w:t xml:space="preserve"> </w:t>
      </w:r>
      <w:r w:rsidR="002C7D3A">
        <w:rPr>
          <w:rFonts w:ascii="Times New Roman" w:eastAsia="Times New Roman" w:hAnsi="Times New Roman" w:cs="Times New Roman"/>
          <w:sz w:val="24"/>
          <w:szCs w:val="24"/>
        </w:rPr>
        <w:t xml:space="preserve">substantial justice for victims of </w:t>
      </w:r>
      <w:r w:rsidR="00A43B21">
        <w:rPr>
          <w:rFonts w:ascii="Times New Roman" w:eastAsia="Times New Roman" w:hAnsi="Times New Roman" w:cs="Times New Roman"/>
          <w:sz w:val="24"/>
          <w:szCs w:val="24"/>
        </w:rPr>
        <w:t>human rights abuses by multinational corporations</w:t>
      </w:r>
      <w:r w:rsidR="005237DB">
        <w:rPr>
          <w:rFonts w:ascii="Times New Roman" w:eastAsia="Times New Roman" w:hAnsi="Times New Roman" w:cs="Times New Roman"/>
          <w:sz w:val="24"/>
          <w:szCs w:val="24"/>
        </w:rPr>
        <w:t xml:space="preserve"> over technical application of the letters of the law</w:t>
      </w:r>
      <w:r w:rsidR="00A43B21">
        <w:rPr>
          <w:rFonts w:ascii="Times New Roman" w:eastAsia="Times New Roman" w:hAnsi="Times New Roman" w:cs="Times New Roman"/>
          <w:sz w:val="24"/>
          <w:szCs w:val="24"/>
        </w:rPr>
        <w:t>.</w:t>
      </w:r>
      <w:r w:rsidRPr="00721810">
        <w:rPr>
          <w:rStyle w:val="FootnoteReference"/>
        </w:rPr>
        <w:footnoteReference w:id="100"/>
      </w:r>
      <w:r>
        <w:rPr>
          <w:rFonts w:ascii="Times New Roman" w:eastAsia="Times New Roman" w:hAnsi="Times New Roman" w:cs="Times New Roman"/>
          <w:sz w:val="24"/>
          <w:szCs w:val="24"/>
        </w:rPr>
        <w:t xml:space="preserve"> </w:t>
      </w:r>
    </w:p>
    <w:p w14:paraId="1345F505" w14:textId="54CEC828" w:rsidR="002013FA" w:rsidRDefault="00391901" w:rsidP="007315F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particular, in </w:t>
      </w:r>
      <w:r w:rsidR="00D75BDC" w:rsidRPr="00142A03">
        <w:rPr>
          <w:rFonts w:ascii="Times New Roman" w:eastAsia="Times New Roman" w:hAnsi="Times New Roman" w:cs="Times New Roman"/>
          <w:i/>
          <w:iCs/>
          <w:sz w:val="24"/>
          <w:szCs w:val="24"/>
        </w:rPr>
        <w:t>Vedanta</w:t>
      </w:r>
      <w:r w:rsidR="00B131AE" w:rsidRPr="00142A03">
        <w:rPr>
          <w:rFonts w:ascii="Times New Roman" w:eastAsia="Times New Roman" w:hAnsi="Times New Roman" w:cs="Times New Roman"/>
          <w:i/>
          <w:iCs/>
          <w:sz w:val="24"/>
          <w:szCs w:val="24"/>
        </w:rPr>
        <w:t xml:space="preserve"> Resources vs Lungowe</w:t>
      </w:r>
      <w:r w:rsidR="00B131AE">
        <w:rPr>
          <w:rFonts w:ascii="Times New Roman" w:eastAsia="Times New Roman" w:hAnsi="Times New Roman" w:cs="Times New Roman"/>
          <w:sz w:val="24"/>
          <w:szCs w:val="24"/>
        </w:rPr>
        <w:t xml:space="preserve">, </w:t>
      </w:r>
      <w:r w:rsidR="00AB1B8B">
        <w:rPr>
          <w:rFonts w:ascii="Times New Roman" w:eastAsia="Times New Roman" w:hAnsi="Times New Roman" w:cs="Times New Roman"/>
          <w:sz w:val="24"/>
          <w:szCs w:val="24"/>
        </w:rPr>
        <w:t>in its determination of</w:t>
      </w:r>
      <w:r w:rsidR="00E00C72">
        <w:rPr>
          <w:rFonts w:ascii="Times New Roman" w:eastAsia="Times New Roman" w:hAnsi="Times New Roman" w:cs="Times New Roman"/>
          <w:sz w:val="24"/>
          <w:szCs w:val="24"/>
        </w:rPr>
        <w:t xml:space="preserve"> </w:t>
      </w:r>
      <w:r w:rsidR="0015504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appeal filed by Vedanta Resources against the decisions </w:t>
      </w:r>
      <w:r w:rsidR="0015504A">
        <w:rPr>
          <w:rFonts w:ascii="Times New Roman" w:eastAsia="Times New Roman" w:hAnsi="Times New Roman" w:cs="Times New Roman"/>
          <w:sz w:val="24"/>
          <w:szCs w:val="24"/>
        </w:rPr>
        <w:t xml:space="preserve">of </w:t>
      </w:r>
      <w:r w:rsidR="00446B48">
        <w:rPr>
          <w:rFonts w:ascii="Times New Roman" w:eastAsia="Times New Roman" w:hAnsi="Times New Roman" w:cs="Times New Roman"/>
          <w:sz w:val="24"/>
          <w:szCs w:val="24"/>
        </w:rPr>
        <w:t>the UK High Court and Court of Appeal</w:t>
      </w:r>
      <w:r>
        <w:rPr>
          <w:rFonts w:ascii="Times New Roman" w:eastAsia="Times New Roman" w:hAnsi="Times New Roman" w:cs="Times New Roman"/>
          <w:sz w:val="24"/>
          <w:szCs w:val="24"/>
        </w:rPr>
        <w:t xml:space="preserve"> on jurisdiction, the UKSC held that although the UK Court did not have jurisdiction to hear the claimants’ suit, the UK Court should assume jurisdiction because</w:t>
      </w:r>
      <w:r w:rsidR="00E76FB5">
        <w:rPr>
          <w:rFonts w:ascii="Times New Roman" w:eastAsia="Times New Roman" w:hAnsi="Times New Roman" w:cs="Times New Roman"/>
          <w:sz w:val="24"/>
          <w:szCs w:val="24"/>
        </w:rPr>
        <w:t>, among other reasons</w:t>
      </w:r>
      <w:r>
        <w:rPr>
          <w:rFonts w:ascii="Times New Roman" w:eastAsia="Times New Roman" w:hAnsi="Times New Roman" w:cs="Times New Roman"/>
          <w:sz w:val="24"/>
          <w:szCs w:val="24"/>
        </w:rPr>
        <w:t xml:space="preserve"> the claimants may not get </w:t>
      </w:r>
      <w:r w:rsidR="00D8519B">
        <w:rPr>
          <w:rFonts w:ascii="Times New Roman" w:eastAsia="Times New Roman" w:hAnsi="Times New Roman" w:cs="Times New Roman"/>
          <w:sz w:val="24"/>
          <w:szCs w:val="24"/>
        </w:rPr>
        <w:t xml:space="preserve">substantial </w:t>
      </w:r>
      <w:r>
        <w:rPr>
          <w:rFonts w:ascii="Times New Roman" w:eastAsia="Times New Roman" w:hAnsi="Times New Roman" w:cs="Times New Roman"/>
          <w:sz w:val="24"/>
          <w:szCs w:val="24"/>
        </w:rPr>
        <w:t>justice in Zambian Courts</w:t>
      </w:r>
      <w:r w:rsidR="00E23DA7">
        <w:rPr>
          <w:rStyle w:val="FootnoteReference"/>
          <w:rFonts w:ascii="Times New Roman" w:eastAsia="Times New Roman" w:hAnsi="Times New Roman" w:cs="Times New Roman"/>
          <w:sz w:val="24"/>
          <w:szCs w:val="24"/>
        </w:rPr>
        <w:footnoteReference w:id="101"/>
      </w:r>
      <w:r>
        <w:rPr>
          <w:rFonts w:ascii="Times New Roman" w:eastAsia="Times New Roman" w:hAnsi="Times New Roman" w:cs="Times New Roman"/>
          <w:sz w:val="24"/>
          <w:szCs w:val="24"/>
        </w:rPr>
        <w:t>.</w:t>
      </w:r>
      <w:r w:rsidR="007F0ADC">
        <w:rPr>
          <w:rFonts w:ascii="Times New Roman" w:eastAsia="Times New Roman" w:hAnsi="Times New Roman" w:cs="Times New Roman"/>
          <w:sz w:val="24"/>
          <w:szCs w:val="24"/>
        </w:rPr>
        <w:t xml:space="preserve"> </w:t>
      </w:r>
      <w:r w:rsidR="003C7FF9">
        <w:rPr>
          <w:rFonts w:ascii="Times New Roman" w:eastAsia="Times New Roman" w:hAnsi="Times New Roman" w:cs="Times New Roman"/>
          <w:sz w:val="24"/>
          <w:szCs w:val="24"/>
        </w:rPr>
        <w:t xml:space="preserve">The case was instituted by Zambian </w:t>
      </w:r>
      <w:r w:rsidR="003C18E0">
        <w:rPr>
          <w:rFonts w:ascii="Times New Roman" w:eastAsia="Times New Roman" w:hAnsi="Times New Roman" w:cs="Times New Roman"/>
          <w:sz w:val="24"/>
          <w:szCs w:val="24"/>
        </w:rPr>
        <w:t>Plaintiffs</w:t>
      </w:r>
      <w:r w:rsidR="009027C9">
        <w:rPr>
          <w:rFonts w:ascii="Times New Roman" w:eastAsia="Times New Roman" w:hAnsi="Times New Roman" w:cs="Times New Roman"/>
          <w:sz w:val="24"/>
          <w:szCs w:val="24"/>
        </w:rPr>
        <w:t xml:space="preserve"> </w:t>
      </w:r>
      <w:r w:rsidR="0065569E">
        <w:rPr>
          <w:rFonts w:ascii="Times New Roman" w:eastAsia="Times New Roman" w:hAnsi="Times New Roman" w:cs="Times New Roman"/>
          <w:sz w:val="24"/>
          <w:szCs w:val="24"/>
        </w:rPr>
        <w:t xml:space="preserve">to seek </w:t>
      </w:r>
      <w:r w:rsidR="00B14DEC">
        <w:rPr>
          <w:rFonts w:ascii="Times New Roman" w:eastAsia="Times New Roman" w:hAnsi="Times New Roman" w:cs="Times New Roman"/>
          <w:sz w:val="24"/>
          <w:szCs w:val="24"/>
        </w:rPr>
        <w:t xml:space="preserve">damages </w:t>
      </w:r>
      <w:r w:rsidR="009027C9">
        <w:rPr>
          <w:rFonts w:ascii="Times New Roman" w:eastAsia="Times New Roman" w:hAnsi="Times New Roman" w:cs="Times New Roman"/>
          <w:sz w:val="24"/>
          <w:szCs w:val="24"/>
        </w:rPr>
        <w:t xml:space="preserve">against Vedanta </w:t>
      </w:r>
      <w:r w:rsidR="00866455">
        <w:rPr>
          <w:rFonts w:ascii="Times New Roman" w:eastAsia="Times New Roman" w:hAnsi="Times New Roman" w:cs="Times New Roman"/>
          <w:sz w:val="24"/>
          <w:szCs w:val="24"/>
        </w:rPr>
        <w:t xml:space="preserve">Resources </w:t>
      </w:r>
      <w:r w:rsidR="009027C9">
        <w:rPr>
          <w:rFonts w:ascii="Times New Roman" w:eastAsia="Times New Roman" w:hAnsi="Times New Roman" w:cs="Times New Roman"/>
          <w:sz w:val="24"/>
          <w:szCs w:val="24"/>
        </w:rPr>
        <w:t>and its Zambian subsidiary operating the Zchanga mine</w:t>
      </w:r>
      <w:r w:rsidR="00E87CAA">
        <w:rPr>
          <w:rFonts w:ascii="Times New Roman" w:eastAsia="Times New Roman" w:hAnsi="Times New Roman" w:cs="Times New Roman"/>
          <w:sz w:val="24"/>
          <w:szCs w:val="24"/>
        </w:rPr>
        <w:t xml:space="preserve"> for </w:t>
      </w:r>
      <w:r w:rsidR="000065B8">
        <w:rPr>
          <w:rFonts w:ascii="Times New Roman" w:eastAsia="Times New Roman" w:hAnsi="Times New Roman" w:cs="Times New Roman"/>
          <w:sz w:val="24"/>
          <w:szCs w:val="24"/>
        </w:rPr>
        <w:t xml:space="preserve">alleged </w:t>
      </w:r>
      <w:r w:rsidR="00E87CAA">
        <w:rPr>
          <w:rFonts w:ascii="Times New Roman" w:eastAsia="Times New Roman" w:hAnsi="Times New Roman" w:cs="Times New Roman"/>
          <w:sz w:val="24"/>
          <w:szCs w:val="24"/>
        </w:rPr>
        <w:t xml:space="preserve">pollution of watercourses over the </w:t>
      </w:r>
      <w:r w:rsidR="000065B8">
        <w:rPr>
          <w:rFonts w:ascii="Times New Roman" w:eastAsia="Times New Roman" w:hAnsi="Times New Roman" w:cs="Times New Roman"/>
          <w:sz w:val="24"/>
          <w:szCs w:val="24"/>
        </w:rPr>
        <w:t>course of 15 years which resulted in harm to residents</w:t>
      </w:r>
      <w:r w:rsidR="000808F1">
        <w:rPr>
          <w:rFonts w:ascii="Times New Roman" w:eastAsia="Times New Roman" w:hAnsi="Times New Roman" w:cs="Times New Roman"/>
          <w:sz w:val="24"/>
          <w:szCs w:val="24"/>
        </w:rPr>
        <w:t>’ health, livelihood and land</w:t>
      </w:r>
      <w:r w:rsidR="006910A8">
        <w:rPr>
          <w:rFonts w:ascii="Times New Roman" w:eastAsia="Times New Roman" w:hAnsi="Times New Roman" w:cs="Times New Roman"/>
          <w:sz w:val="24"/>
          <w:szCs w:val="24"/>
        </w:rPr>
        <w:t>.</w:t>
      </w:r>
      <w:r w:rsidR="008F09F0">
        <w:rPr>
          <w:rStyle w:val="FootnoteReference"/>
          <w:rFonts w:ascii="Times New Roman" w:eastAsia="Times New Roman" w:hAnsi="Times New Roman" w:cs="Times New Roman"/>
          <w:sz w:val="24"/>
          <w:szCs w:val="24"/>
        </w:rPr>
        <w:footnoteReference w:id="102"/>
      </w:r>
      <w:r w:rsidR="00866455">
        <w:rPr>
          <w:rFonts w:ascii="Times New Roman" w:eastAsia="Times New Roman" w:hAnsi="Times New Roman" w:cs="Times New Roman"/>
          <w:sz w:val="24"/>
          <w:szCs w:val="24"/>
        </w:rPr>
        <w:t xml:space="preserve"> </w:t>
      </w:r>
      <w:r w:rsidR="00EB1C50">
        <w:rPr>
          <w:rFonts w:ascii="Times New Roman" w:eastAsia="Times New Roman" w:hAnsi="Times New Roman" w:cs="Times New Roman"/>
          <w:sz w:val="24"/>
          <w:szCs w:val="24"/>
        </w:rPr>
        <w:t xml:space="preserve">The UK Supreme Court toed the same path in the case of </w:t>
      </w:r>
      <w:r w:rsidR="00EB1C50" w:rsidRPr="00142A03">
        <w:rPr>
          <w:rFonts w:ascii="Times New Roman" w:eastAsia="Times New Roman" w:hAnsi="Times New Roman" w:cs="Times New Roman"/>
          <w:i/>
          <w:iCs/>
          <w:sz w:val="24"/>
          <w:szCs w:val="24"/>
        </w:rPr>
        <w:t xml:space="preserve">Okpabi </w:t>
      </w:r>
      <w:r w:rsidR="00F21816" w:rsidRPr="00142A03">
        <w:rPr>
          <w:rFonts w:ascii="Times New Roman" w:eastAsia="Times New Roman" w:hAnsi="Times New Roman" w:cs="Times New Roman"/>
          <w:i/>
          <w:iCs/>
          <w:sz w:val="24"/>
          <w:szCs w:val="24"/>
        </w:rPr>
        <w:t xml:space="preserve">&amp; Ors </w:t>
      </w:r>
      <w:r w:rsidR="00EB1C50" w:rsidRPr="00142A03">
        <w:rPr>
          <w:rFonts w:ascii="Times New Roman" w:eastAsia="Times New Roman" w:hAnsi="Times New Roman" w:cs="Times New Roman"/>
          <w:i/>
          <w:iCs/>
          <w:sz w:val="24"/>
          <w:szCs w:val="24"/>
        </w:rPr>
        <w:t xml:space="preserve">vs </w:t>
      </w:r>
      <w:r w:rsidR="00F21816" w:rsidRPr="00142A03">
        <w:rPr>
          <w:rFonts w:ascii="Times New Roman" w:eastAsia="Times New Roman" w:hAnsi="Times New Roman" w:cs="Times New Roman"/>
          <w:i/>
          <w:iCs/>
          <w:sz w:val="24"/>
          <w:szCs w:val="24"/>
        </w:rPr>
        <w:t>Royal Dutch Shell</w:t>
      </w:r>
      <w:r w:rsidR="00F21816">
        <w:rPr>
          <w:rFonts w:ascii="Times New Roman" w:eastAsia="Times New Roman" w:hAnsi="Times New Roman" w:cs="Times New Roman"/>
          <w:sz w:val="24"/>
          <w:szCs w:val="24"/>
        </w:rPr>
        <w:t xml:space="preserve"> which inv</w:t>
      </w:r>
      <w:r w:rsidR="005B31A9">
        <w:rPr>
          <w:rFonts w:ascii="Times New Roman" w:eastAsia="Times New Roman" w:hAnsi="Times New Roman" w:cs="Times New Roman"/>
          <w:sz w:val="24"/>
          <w:szCs w:val="24"/>
        </w:rPr>
        <w:t xml:space="preserve">olved a suit against Royal Dutch Shell for environmental </w:t>
      </w:r>
      <w:r w:rsidR="00193627">
        <w:rPr>
          <w:rFonts w:ascii="Times New Roman" w:eastAsia="Times New Roman" w:hAnsi="Times New Roman" w:cs="Times New Roman"/>
          <w:sz w:val="24"/>
          <w:szCs w:val="24"/>
        </w:rPr>
        <w:t xml:space="preserve">pollution and related human rights abuses. </w:t>
      </w:r>
    </w:p>
    <w:p w14:paraId="72732EB3" w14:textId="1298D376" w:rsidR="00391901" w:rsidRDefault="00F158F8" w:rsidP="007315F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tendency </w:t>
      </w:r>
      <w:r w:rsidR="00F4267F">
        <w:rPr>
          <w:rFonts w:ascii="Times New Roman" w:eastAsia="Times New Roman" w:hAnsi="Times New Roman" w:cs="Times New Roman"/>
          <w:sz w:val="24"/>
          <w:szCs w:val="24"/>
        </w:rPr>
        <w:t>towards ‘</w:t>
      </w:r>
      <w:r w:rsidR="00017787">
        <w:rPr>
          <w:rFonts w:ascii="Times New Roman" w:eastAsia="Times New Roman" w:hAnsi="Times New Roman" w:cs="Times New Roman"/>
          <w:sz w:val="24"/>
          <w:szCs w:val="24"/>
        </w:rPr>
        <w:t xml:space="preserve">judicial </w:t>
      </w:r>
      <w:r w:rsidR="00F4267F">
        <w:rPr>
          <w:rFonts w:ascii="Times New Roman" w:eastAsia="Times New Roman" w:hAnsi="Times New Roman" w:cs="Times New Roman"/>
          <w:sz w:val="24"/>
          <w:szCs w:val="24"/>
        </w:rPr>
        <w:t>activism’</w:t>
      </w:r>
      <w:r w:rsidR="00017787">
        <w:rPr>
          <w:rFonts w:ascii="Times New Roman" w:eastAsia="Times New Roman" w:hAnsi="Times New Roman" w:cs="Times New Roman"/>
          <w:sz w:val="24"/>
          <w:szCs w:val="24"/>
        </w:rPr>
        <w:t xml:space="preserve"> </w:t>
      </w:r>
      <w:r w:rsidR="000A7B1B">
        <w:rPr>
          <w:rFonts w:ascii="Times New Roman" w:eastAsia="Times New Roman" w:hAnsi="Times New Roman" w:cs="Times New Roman"/>
          <w:sz w:val="24"/>
          <w:szCs w:val="24"/>
        </w:rPr>
        <w:t xml:space="preserve">was </w:t>
      </w:r>
      <w:r w:rsidR="00017787">
        <w:rPr>
          <w:rFonts w:ascii="Times New Roman" w:eastAsia="Times New Roman" w:hAnsi="Times New Roman" w:cs="Times New Roman"/>
          <w:sz w:val="24"/>
          <w:szCs w:val="24"/>
        </w:rPr>
        <w:t xml:space="preserve">seen in Canada with the decision in </w:t>
      </w:r>
      <w:r w:rsidR="00D8519B">
        <w:rPr>
          <w:rFonts w:ascii="Times New Roman" w:eastAsia="Times New Roman" w:hAnsi="Times New Roman" w:cs="Times New Roman"/>
          <w:sz w:val="24"/>
          <w:szCs w:val="24"/>
        </w:rPr>
        <w:t xml:space="preserve">the </w:t>
      </w:r>
      <w:r w:rsidR="00017787" w:rsidRPr="00142A03">
        <w:rPr>
          <w:rFonts w:ascii="Times New Roman" w:eastAsia="Times New Roman" w:hAnsi="Times New Roman" w:cs="Times New Roman"/>
          <w:i/>
          <w:iCs/>
          <w:sz w:val="24"/>
          <w:szCs w:val="24"/>
        </w:rPr>
        <w:t>Ne</w:t>
      </w:r>
      <w:r w:rsidR="00601ED8" w:rsidRPr="00142A03">
        <w:rPr>
          <w:rFonts w:ascii="Times New Roman" w:eastAsia="Times New Roman" w:hAnsi="Times New Roman" w:cs="Times New Roman"/>
          <w:i/>
          <w:iCs/>
          <w:sz w:val="24"/>
          <w:szCs w:val="24"/>
        </w:rPr>
        <w:t>vsun Resources vs Araya</w:t>
      </w:r>
      <w:r w:rsidR="00601ED8">
        <w:rPr>
          <w:rFonts w:ascii="Times New Roman" w:eastAsia="Times New Roman" w:hAnsi="Times New Roman" w:cs="Times New Roman"/>
          <w:sz w:val="24"/>
          <w:szCs w:val="24"/>
        </w:rPr>
        <w:t xml:space="preserve"> case where the </w:t>
      </w:r>
      <w:r w:rsidR="003334D5">
        <w:rPr>
          <w:rFonts w:ascii="Times New Roman" w:eastAsia="Times New Roman" w:hAnsi="Times New Roman" w:cs="Times New Roman"/>
          <w:sz w:val="24"/>
          <w:szCs w:val="24"/>
        </w:rPr>
        <w:t xml:space="preserve">Canadian Supreme Court </w:t>
      </w:r>
      <w:r w:rsidR="007315F0">
        <w:rPr>
          <w:rFonts w:ascii="Times New Roman" w:eastAsia="Times New Roman" w:hAnsi="Times New Roman" w:cs="Times New Roman"/>
          <w:sz w:val="24"/>
          <w:szCs w:val="24"/>
        </w:rPr>
        <w:t xml:space="preserve">seemingly created a </w:t>
      </w:r>
      <w:r w:rsidR="00AA66E4">
        <w:rPr>
          <w:rFonts w:ascii="Times New Roman" w:eastAsia="Times New Roman" w:hAnsi="Times New Roman" w:cs="Times New Roman"/>
          <w:sz w:val="24"/>
          <w:szCs w:val="24"/>
        </w:rPr>
        <w:t>‘</w:t>
      </w:r>
      <w:r w:rsidR="007315F0" w:rsidRPr="007315F0">
        <w:rPr>
          <w:rFonts w:ascii="Times New Roman" w:eastAsia="Times New Roman" w:hAnsi="Times New Roman" w:cs="Times New Roman"/>
          <w:sz w:val="24"/>
          <w:szCs w:val="24"/>
        </w:rPr>
        <w:t>new tort of breach of customary international law</w:t>
      </w:r>
      <w:r w:rsidR="00510BA4">
        <w:rPr>
          <w:rFonts w:ascii="Times New Roman" w:eastAsia="Times New Roman" w:hAnsi="Times New Roman" w:cs="Times New Roman"/>
          <w:sz w:val="24"/>
          <w:szCs w:val="24"/>
        </w:rPr>
        <w:t>’</w:t>
      </w:r>
      <w:r w:rsidR="00176116">
        <w:rPr>
          <w:rFonts w:ascii="Times New Roman" w:eastAsia="Times New Roman" w:hAnsi="Times New Roman" w:cs="Times New Roman"/>
          <w:sz w:val="24"/>
          <w:szCs w:val="24"/>
        </w:rPr>
        <w:t xml:space="preserve"> which according to the Court was applicable to corporation</w:t>
      </w:r>
      <w:r w:rsidR="00525790">
        <w:rPr>
          <w:rFonts w:ascii="Times New Roman" w:eastAsia="Times New Roman" w:hAnsi="Times New Roman" w:cs="Times New Roman"/>
          <w:sz w:val="24"/>
          <w:szCs w:val="24"/>
        </w:rPr>
        <w:t>s</w:t>
      </w:r>
      <w:r w:rsidR="00D77052">
        <w:rPr>
          <w:rFonts w:ascii="Times New Roman" w:eastAsia="Times New Roman" w:hAnsi="Times New Roman" w:cs="Times New Roman"/>
          <w:sz w:val="24"/>
          <w:szCs w:val="24"/>
        </w:rPr>
        <w:t>.</w:t>
      </w:r>
      <w:r w:rsidR="00E61EC0">
        <w:rPr>
          <w:rStyle w:val="FootnoteReference"/>
          <w:rFonts w:ascii="Times New Roman" w:eastAsia="Times New Roman" w:hAnsi="Times New Roman" w:cs="Times New Roman"/>
          <w:sz w:val="24"/>
          <w:szCs w:val="24"/>
        </w:rPr>
        <w:footnoteReference w:id="103"/>
      </w:r>
      <w:r w:rsidR="00176116">
        <w:rPr>
          <w:rFonts w:ascii="Times New Roman" w:eastAsia="Times New Roman" w:hAnsi="Times New Roman" w:cs="Times New Roman"/>
          <w:sz w:val="24"/>
          <w:szCs w:val="24"/>
        </w:rPr>
        <w:t xml:space="preserve"> </w:t>
      </w:r>
      <w:r w:rsidR="00951818" w:rsidRPr="00951818">
        <w:rPr>
          <w:rFonts w:ascii="Times New Roman" w:eastAsia="Times New Roman" w:hAnsi="Times New Roman" w:cs="Times New Roman"/>
          <w:sz w:val="24"/>
          <w:szCs w:val="24"/>
        </w:rPr>
        <w:t xml:space="preserve">The case involved a suit filed by three Eritreans seeking damages against Nevsun Resources and its Eritrean subsidiary which allegedly subjected the </w:t>
      </w:r>
      <w:r w:rsidR="003C18E0">
        <w:rPr>
          <w:rFonts w:ascii="Times New Roman" w:eastAsia="Times New Roman" w:hAnsi="Times New Roman" w:cs="Times New Roman"/>
          <w:sz w:val="24"/>
          <w:szCs w:val="24"/>
        </w:rPr>
        <w:t>plaintiffs</w:t>
      </w:r>
      <w:r w:rsidR="00951818" w:rsidRPr="00951818">
        <w:rPr>
          <w:rFonts w:ascii="Times New Roman" w:eastAsia="Times New Roman" w:hAnsi="Times New Roman" w:cs="Times New Roman"/>
          <w:sz w:val="24"/>
          <w:szCs w:val="24"/>
        </w:rPr>
        <w:t xml:space="preserve"> to forced labour, torture, slavery in the construction of its mine</w:t>
      </w:r>
      <w:r w:rsidR="003D66AC">
        <w:rPr>
          <w:rFonts w:ascii="Times New Roman" w:eastAsia="Times New Roman" w:hAnsi="Times New Roman" w:cs="Times New Roman"/>
          <w:sz w:val="24"/>
          <w:szCs w:val="24"/>
        </w:rPr>
        <w:t>.</w:t>
      </w:r>
      <w:r w:rsidR="00951818" w:rsidRPr="00951818">
        <w:rPr>
          <w:rFonts w:ascii="Times New Roman" w:eastAsia="Times New Roman" w:hAnsi="Times New Roman" w:cs="Times New Roman"/>
          <w:sz w:val="24"/>
          <w:szCs w:val="24"/>
          <w:vertAlign w:val="superscript"/>
        </w:rPr>
        <w:footnoteReference w:id="104"/>
      </w:r>
      <w:r w:rsidR="00951818" w:rsidRPr="00951818">
        <w:rPr>
          <w:rFonts w:ascii="Times New Roman" w:eastAsia="Times New Roman" w:hAnsi="Times New Roman" w:cs="Times New Roman"/>
          <w:sz w:val="24"/>
          <w:szCs w:val="24"/>
        </w:rPr>
        <w:t xml:space="preserve"> </w:t>
      </w:r>
    </w:p>
    <w:p w14:paraId="7E3AA8E1" w14:textId="6D264211" w:rsidR="00B66A19" w:rsidRPr="00150F3D" w:rsidRDefault="00B66A19" w:rsidP="00BD5289">
      <w:pPr>
        <w:pStyle w:val="Heading4"/>
        <w:numPr>
          <w:ilvl w:val="0"/>
          <w:numId w:val="24"/>
        </w:numPr>
        <w:spacing w:after="240"/>
        <w:rPr>
          <w:rFonts w:eastAsia="Times New Roman"/>
        </w:rPr>
      </w:pPr>
      <w:r w:rsidRPr="00150F3D">
        <w:rPr>
          <w:rFonts w:eastAsia="Times New Roman"/>
        </w:rPr>
        <w:t>Access to justice as the hallmark of the civil liability mechanism</w:t>
      </w:r>
    </w:p>
    <w:p w14:paraId="1F0A21A3" w14:textId="0325FC64" w:rsidR="00B66A19" w:rsidRPr="00150F3D" w:rsidRDefault="00DB27EA" w:rsidP="00B82299">
      <w:pPr>
        <w:autoSpaceDE w:val="0"/>
        <w:autoSpaceDN w:val="0"/>
        <w:adjustRightInd w:val="0"/>
        <w:spacing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w:t>
      </w:r>
      <w:r w:rsidR="00B66A19" w:rsidRPr="00150F3D">
        <w:rPr>
          <w:rFonts w:ascii="Times New Roman" w:hAnsi="Times New Roman" w:cs="Times New Roman"/>
          <w:color w:val="000000"/>
          <w:sz w:val="24"/>
          <w:szCs w:val="24"/>
        </w:rPr>
        <w:t xml:space="preserve">material challenges with ensuring compliance with the vigilance obligation or holding corporations accountable for </w:t>
      </w:r>
      <w:r w:rsidR="00613AF5">
        <w:rPr>
          <w:rFonts w:ascii="Times New Roman" w:hAnsi="Times New Roman" w:cs="Times New Roman"/>
          <w:color w:val="000000"/>
          <w:sz w:val="24"/>
          <w:szCs w:val="24"/>
        </w:rPr>
        <w:t xml:space="preserve">a </w:t>
      </w:r>
      <w:r w:rsidR="00B66A19" w:rsidRPr="00150F3D">
        <w:rPr>
          <w:rFonts w:ascii="Times New Roman" w:hAnsi="Times New Roman" w:cs="Times New Roman"/>
          <w:color w:val="000000"/>
          <w:sz w:val="24"/>
          <w:szCs w:val="24"/>
        </w:rPr>
        <w:t>breach of this obligation under the Vigilance Law have been identified</w:t>
      </w:r>
      <w:r>
        <w:rPr>
          <w:rFonts w:ascii="Times New Roman" w:hAnsi="Times New Roman" w:cs="Times New Roman"/>
          <w:color w:val="000000"/>
          <w:sz w:val="24"/>
          <w:szCs w:val="24"/>
        </w:rPr>
        <w:t xml:space="preserve"> by authors. For example, </w:t>
      </w:r>
      <w:r w:rsidR="00B66A19" w:rsidRPr="00150F3D">
        <w:rPr>
          <w:rFonts w:ascii="Times New Roman" w:hAnsi="Times New Roman" w:cs="Times New Roman"/>
          <w:color w:val="000000"/>
          <w:sz w:val="24"/>
          <w:szCs w:val="24"/>
        </w:rPr>
        <w:t>the burden of proof under French law is still on the claimants ‘to prove a fault by the company and a causal link between the fault and the damage they have suffered’</w:t>
      </w:r>
      <w:r w:rsidR="00C25DCD">
        <w:rPr>
          <w:rFonts w:ascii="Times New Roman" w:hAnsi="Times New Roman" w:cs="Times New Roman"/>
          <w:color w:val="000000"/>
          <w:sz w:val="24"/>
          <w:szCs w:val="24"/>
        </w:rPr>
        <w:t>.</w:t>
      </w:r>
      <w:r w:rsidR="00B66A19" w:rsidRPr="00150F3D">
        <w:rPr>
          <w:rFonts w:ascii="Times New Roman" w:hAnsi="Times New Roman" w:cs="Times New Roman"/>
          <w:color w:val="000000"/>
          <w:sz w:val="24"/>
          <w:szCs w:val="24"/>
          <w:vertAlign w:val="superscript"/>
        </w:rPr>
        <w:footnoteReference w:id="105"/>
      </w:r>
      <w:r w:rsidR="00B66A19" w:rsidRPr="00150F3D">
        <w:rPr>
          <w:rFonts w:ascii="Times New Roman" w:hAnsi="Times New Roman" w:cs="Times New Roman"/>
          <w:color w:val="000000"/>
          <w:sz w:val="24"/>
          <w:szCs w:val="24"/>
        </w:rPr>
        <w:t xml:space="preserve"> Further, the law merely imposes an obligation of process and not of results as the law does not insist on corporations achieving certain outcomes; failure to draw </w:t>
      </w:r>
      <w:r w:rsidR="00B66A19" w:rsidRPr="00150F3D">
        <w:rPr>
          <w:rFonts w:ascii="Times New Roman" w:hAnsi="Times New Roman" w:cs="Times New Roman"/>
          <w:color w:val="000000"/>
          <w:sz w:val="24"/>
          <w:szCs w:val="24"/>
        </w:rPr>
        <w:lastRenderedPageBreak/>
        <w:t>any red line or try to address the asymmetries in power, information and resources between MNCs and the affected rightsholders</w:t>
      </w:r>
      <w:r w:rsidR="00C25DCD">
        <w:rPr>
          <w:rFonts w:ascii="Times New Roman" w:hAnsi="Times New Roman" w:cs="Times New Roman"/>
          <w:color w:val="000000"/>
          <w:sz w:val="24"/>
          <w:szCs w:val="24"/>
        </w:rPr>
        <w:t>.</w:t>
      </w:r>
      <w:r w:rsidR="00B66A19" w:rsidRPr="00150F3D">
        <w:rPr>
          <w:rFonts w:ascii="Times New Roman" w:hAnsi="Times New Roman" w:cs="Times New Roman"/>
          <w:color w:val="000000"/>
          <w:sz w:val="24"/>
          <w:szCs w:val="24"/>
          <w:vertAlign w:val="superscript"/>
        </w:rPr>
        <w:footnoteReference w:id="106"/>
      </w:r>
      <w:r w:rsidR="00A3469B">
        <w:rPr>
          <w:rFonts w:ascii="Times New Roman" w:hAnsi="Times New Roman" w:cs="Times New Roman"/>
          <w:color w:val="000000"/>
          <w:sz w:val="24"/>
          <w:szCs w:val="24"/>
        </w:rPr>
        <w:t xml:space="preserve"> Finally, the Vigilance Law covers only very few, and very big companies (5000 employees and above), leaving most actors outside of its scope.</w:t>
      </w:r>
    </w:p>
    <w:p w14:paraId="32D07032" w14:textId="2DC9E32B" w:rsidR="00A3469B" w:rsidRDefault="00B66A19"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The above issues</w:t>
      </w:r>
      <w:r w:rsidR="007C1FB0">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as exemplified by the Vigilance Law and its application in practice</w:t>
      </w:r>
      <w:r w:rsidR="007C1FB0">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appear to suggest that while the civil liability mechanism provided for under specific current and upcoming sustainability due diligence legislations present right holders with alternative routes for access to remedy, there are concerning gaps which should be prioritised for action by the relevant stakeholders and regulatory, policy and </w:t>
      </w:r>
      <w:r w:rsidR="0084259B" w:rsidRPr="00150F3D">
        <w:rPr>
          <w:rFonts w:ascii="Times New Roman" w:eastAsia="Times New Roman" w:hAnsi="Times New Roman" w:cs="Times New Roman"/>
          <w:sz w:val="24"/>
          <w:szCs w:val="24"/>
        </w:rPr>
        <w:t>law-making</w:t>
      </w:r>
      <w:r w:rsidRPr="00150F3D">
        <w:rPr>
          <w:rFonts w:ascii="Times New Roman" w:eastAsia="Times New Roman" w:hAnsi="Times New Roman" w:cs="Times New Roman"/>
          <w:sz w:val="24"/>
          <w:szCs w:val="24"/>
        </w:rPr>
        <w:t xml:space="preserve"> bodies. </w:t>
      </w:r>
    </w:p>
    <w:p w14:paraId="0F7AA811" w14:textId="7304E00E" w:rsidR="007C1FB0" w:rsidRDefault="007C1FB0"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discussed further below, the EU institutions are minded of these issues and address these to a certain extent. Indeed</w:t>
      </w:r>
      <w:r w:rsidR="00B66A19" w:rsidRPr="00150F3D">
        <w:rPr>
          <w:rFonts w:ascii="Times New Roman" w:eastAsia="Times New Roman" w:hAnsi="Times New Roman" w:cs="Times New Roman"/>
          <w:sz w:val="24"/>
          <w:szCs w:val="24"/>
        </w:rPr>
        <w:t xml:space="preserve">, there is some optimism that </w:t>
      </w:r>
      <w:r w:rsidR="00613AF5">
        <w:rPr>
          <w:rFonts w:ascii="Times New Roman" w:eastAsia="Times New Roman" w:hAnsi="Times New Roman" w:cs="Times New Roman"/>
          <w:sz w:val="24"/>
          <w:szCs w:val="24"/>
        </w:rPr>
        <w:t>the p</w:t>
      </w:r>
      <w:r w:rsidR="00B66A19" w:rsidRPr="00150F3D">
        <w:rPr>
          <w:rFonts w:ascii="Times New Roman" w:eastAsia="Times New Roman" w:hAnsi="Times New Roman" w:cs="Times New Roman"/>
          <w:sz w:val="24"/>
          <w:szCs w:val="24"/>
        </w:rPr>
        <w:t xml:space="preserve">roposed </w:t>
      </w:r>
      <w:r>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w:t>
      </w:r>
      <w:r w:rsidR="00B66A19" w:rsidRPr="00150F3D">
        <w:rPr>
          <w:rFonts w:ascii="Times New Roman" w:eastAsia="Times New Roman" w:hAnsi="Times New Roman" w:cs="Times New Roman"/>
          <w:sz w:val="24"/>
          <w:szCs w:val="24"/>
        </w:rPr>
        <w:t>may serve as an operative benchmark for the Vigilance Law when it comes into force</w:t>
      </w:r>
      <w:r w:rsidR="00C25DCD">
        <w:rPr>
          <w:rFonts w:ascii="Times New Roman" w:eastAsia="Times New Roman" w:hAnsi="Times New Roman" w:cs="Times New Roman"/>
          <w:sz w:val="24"/>
          <w:szCs w:val="24"/>
        </w:rPr>
        <w:t>.</w:t>
      </w:r>
      <w:r w:rsidR="00B66A19" w:rsidRPr="00150F3D">
        <w:rPr>
          <w:rFonts w:ascii="Times New Roman" w:eastAsia="Times New Roman" w:hAnsi="Times New Roman" w:cs="Times New Roman"/>
          <w:sz w:val="24"/>
          <w:szCs w:val="24"/>
          <w:vertAlign w:val="superscript"/>
        </w:rPr>
        <w:footnoteReference w:id="107"/>
      </w:r>
      <w:r w:rsidR="00B66A19" w:rsidRPr="00150F3D">
        <w:rPr>
          <w:rFonts w:ascii="Times New Roman" w:eastAsia="Times New Roman" w:hAnsi="Times New Roman" w:cs="Times New Roman"/>
          <w:sz w:val="24"/>
          <w:szCs w:val="24"/>
        </w:rPr>
        <w:t xml:space="preserve"> </w:t>
      </w:r>
      <w:r w:rsidR="00604D6C">
        <w:rPr>
          <w:rFonts w:ascii="Times New Roman" w:eastAsia="Times New Roman" w:hAnsi="Times New Roman" w:cs="Times New Roman"/>
          <w:sz w:val="24"/>
          <w:szCs w:val="24"/>
        </w:rPr>
        <w:t xml:space="preserve">The following part will address the CSDDD and address these issues in turn. </w:t>
      </w:r>
    </w:p>
    <w:p w14:paraId="7419427D" w14:textId="72530F39" w:rsidR="00B82299" w:rsidRPr="00BD5289" w:rsidRDefault="003A38C7" w:rsidP="00BD5289">
      <w:pPr>
        <w:pStyle w:val="Heading3"/>
        <w:numPr>
          <w:ilvl w:val="0"/>
          <w:numId w:val="22"/>
        </w:numPr>
        <w:spacing w:after="240"/>
        <w:rPr>
          <w:rFonts w:ascii="Times New Roman" w:eastAsia="Times New Roman" w:hAnsi="Times New Roman" w:cs="Times New Roman"/>
        </w:rPr>
      </w:pPr>
      <w:r w:rsidRPr="00150F3D">
        <w:rPr>
          <w:rFonts w:eastAsia="Times New Roman"/>
        </w:rPr>
        <w:t xml:space="preserve">Civil liability mechanism under the </w:t>
      </w:r>
      <w:r w:rsidR="00FC4DCD" w:rsidRPr="00150F3D">
        <w:rPr>
          <w:rFonts w:eastAsia="Times New Roman"/>
        </w:rPr>
        <w:t xml:space="preserve">CSDDD </w:t>
      </w:r>
    </w:p>
    <w:p w14:paraId="1EC4FEDB" w14:textId="721CB7C0" w:rsidR="00074DBB" w:rsidRPr="00150F3D" w:rsidRDefault="00074DBB"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50F3D">
        <w:rPr>
          <w:rFonts w:ascii="Times New Roman" w:eastAsia="Times New Roman" w:hAnsi="Times New Roman" w:cs="Times New Roman"/>
          <w:sz w:val="24"/>
          <w:szCs w:val="24"/>
        </w:rPr>
        <w:t xml:space="preserve">he civil liability framework under the </w:t>
      </w:r>
      <w:r>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is commendable for key provisions which have direct positive implications for access to remedy for victims of business-related human rights impacts including those in the Global South. For instance, by the combined reading of Article 22(5) and recital 61 of the </w:t>
      </w:r>
      <w:r w:rsidR="00B82299">
        <w:rPr>
          <w:rFonts w:ascii="Times New Roman" w:eastAsia="Times New Roman" w:hAnsi="Times New Roman" w:cs="Times New Roman"/>
          <w:sz w:val="24"/>
          <w:szCs w:val="24"/>
        </w:rPr>
        <w:t>Commission’s proposed draft of the CSDDD</w:t>
      </w:r>
      <w:r w:rsidRPr="00150F3D">
        <w:rPr>
          <w:rFonts w:ascii="Times New Roman" w:eastAsia="Times New Roman" w:hAnsi="Times New Roman" w:cs="Times New Roman"/>
          <w:sz w:val="24"/>
          <w:szCs w:val="24"/>
        </w:rPr>
        <w:t xml:space="preserve">, Member States shall ensure that the liability provided for in provisions of national law transposing the civil liability provisions of the </w:t>
      </w:r>
      <w:r w:rsidR="001E7662">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overrides the law applicable to dispute under private international law rules</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08"/>
      </w:r>
      <w:r w:rsidRPr="00150F3D">
        <w:rPr>
          <w:rFonts w:ascii="Times New Roman" w:eastAsia="Times New Roman" w:hAnsi="Times New Roman" w:cs="Times New Roman"/>
          <w:sz w:val="24"/>
          <w:szCs w:val="24"/>
        </w:rPr>
        <w:t xml:space="preserve"> </w:t>
      </w:r>
    </w:p>
    <w:p w14:paraId="0671DEE5" w14:textId="028E51C4" w:rsidR="00074DBB" w:rsidRPr="00150F3D" w:rsidRDefault="00074DBB"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By implication, the </w:t>
      </w:r>
      <w:r w:rsidR="001E7662">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seeks to address access to remedy challenges faced by victims where the applicable law to a civil liability claim is prejudicial to the claimant</w:t>
      </w:r>
      <w:bookmarkStart w:id="34" w:name="_Ref131760593"/>
      <w:r w:rsidR="00C25DCD">
        <w:rPr>
          <w:rFonts w:ascii="Times New Roman" w:eastAsia="Times New Roman" w:hAnsi="Times New Roman" w:cs="Times New Roman"/>
          <w:sz w:val="24"/>
          <w:szCs w:val="24"/>
        </w:rPr>
        <w:t>.</w:t>
      </w:r>
      <w:bookmarkStart w:id="35" w:name="_Ref141965866"/>
      <w:r w:rsidRPr="00150F3D">
        <w:rPr>
          <w:rStyle w:val="FootnoteReference"/>
          <w:rFonts w:ascii="Times New Roman" w:eastAsia="Times New Roman" w:hAnsi="Times New Roman" w:cs="Times New Roman"/>
          <w:sz w:val="24"/>
          <w:szCs w:val="24"/>
        </w:rPr>
        <w:footnoteReference w:id="109"/>
      </w:r>
      <w:bookmarkEnd w:id="34"/>
      <w:bookmarkEnd w:id="35"/>
      <w:r w:rsidRPr="00150F3D">
        <w:rPr>
          <w:rFonts w:ascii="Times New Roman" w:eastAsia="Times New Roman" w:hAnsi="Times New Roman" w:cs="Times New Roman"/>
          <w:sz w:val="24"/>
          <w:szCs w:val="24"/>
        </w:rPr>
        <w:t xml:space="preserve"> An example of such prejudicial circumstances is the decision of the German Court in the </w:t>
      </w:r>
      <w:r w:rsidRPr="00BD5289">
        <w:rPr>
          <w:rFonts w:ascii="Times New Roman" w:eastAsia="Times New Roman" w:hAnsi="Times New Roman" w:cs="Times New Roman"/>
          <w:i/>
          <w:iCs/>
          <w:sz w:val="24"/>
          <w:szCs w:val="24"/>
        </w:rPr>
        <w:t xml:space="preserve">KiK </w:t>
      </w:r>
      <w:r w:rsidRPr="00150F3D">
        <w:rPr>
          <w:rFonts w:ascii="Times New Roman" w:eastAsia="Times New Roman" w:hAnsi="Times New Roman" w:cs="Times New Roman"/>
          <w:sz w:val="24"/>
          <w:szCs w:val="24"/>
        </w:rPr>
        <w:t>case</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10"/>
      </w:r>
      <w:r w:rsidRPr="00150F3D">
        <w:rPr>
          <w:rFonts w:ascii="Times New Roman" w:eastAsia="Times New Roman" w:hAnsi="Times New Roman" w:cs="Times New Roman"/>
          <w:sz w:val="24"/>
          <w:szCs w:val="24"/>
        </w:rPr>
        <w:t xml:space="preserve"> </w:t>
      </w:r>
      <w:r w:rsidR="00302CF6">
        <w:rPr>
          <w:rFonts w:ascii="Times New Roman" w:eastAsia="Times New Roman" w:hAnsi="Times New Roman" w:cs="Times New Roman"/>
          <w:sz w:val="24"/>
          <w:szCs w:val="24"/>
        </w:rPr>
        <w:t xml:space="preserve">The claimants </w:t>
      </w:r>
      <w:r w:rsidR="0023329D">
        <w:rPr>
          <w:rFonts w:ascii="Times New Roman" w:eastAsia="Times New Roman" w:hAnsi="Times New Roman" w:cs="Times New Roman"/>
          <w:sz w:val="24"/>
          <w:szCs w:val="24"/>
        </w:rPr>
        <w:t xml:space="preserve">instituted the suit </w:t>
      </w:r>
      <w:r w:rsidR="009E5AD7">
        <w:rPr>
          <w:rFonts w:ascii="Times New Roman" w:eastAsia="Times New Roman" w:hAnsi="Times New Roman" w:cs="Times New Roman"/>
          <w:sz w:val="24"/>
          <w:szCs w:val="24"/>
        </w:rPr>
        <w:t xml:space="preserve">seeking damages against KiK </w:t>
      </w:r>
      <w:r w:rsidR="00F26241">
        <w:rPr>
          <w:rFonts w:ascii="Times New Roman" w:eastAsia="Times New Roman" w:hAnsi="Times New Roman" w:cs="Times New Roman"/>
          <w:sz w:val="24"/>
          <w:szCs w:val="24"/>
        </w:rPr>
        <w:t xml:space="preserve">for alleged failure of </w:t>
      </w:r>
      <w:r w:rsidR="003C6C47">
        <w:rPr>
          <w:rFonts w:ascii="Times New Roman" w:eastAsia="Times New Roman" w:hAnsi="Times New Roman" w:cs="Times New Roman"/>
          <w:sz w:val="24"/>
          <w:szCs w:val="24"/>
        </w:rPr>
        <w:t xml:space="preserve">KiK’s overseas supplier </w:t>
      </w:r>
      <w:r w:rsidR="005A4FAA">
        <w:rPr>
          <w:rFonts w:ascii="Times New Roman" w:eastAsia="Times New Roman" w:hAnsi="Times New Roman" w:cs="Times New Roman"/>
          <w:sz w:val="24"/>
          <w:szCs w:val="24"/>
        </w:rPr>
        <w:t xml:space="preserve">to ensure </w:t>
      </w:r>
      <w:r w:rsidR="00223D81">
        <w:rPr>
          <w:rFonts w:ascii="Times New Roman" w:eastAsia="Times New Roman" w:hAnsi="Times New Roman" w:cs="Times New Roman"/>
          <w:sz w:val="24"/>
          <w:szCs w:val="24"/>
        </w:rPr>
        <w:t>occupational safety at its</w:t>
      </w:r>
      <w:r w:rsidR="002F56DB">
        <w:rPr>
          <w:rFonts w:ascii="Times New Roman" w:eastAsia="Times New Roman" w:hAnsi="Times New Roman" w:cs="Times New Roman"/>
          <w:sz w:val="24"/>
          <w:szCs w:val="24"/>
        </w:rPr>
        <w:t xml:space="preserve"> textile</w:t>
      </w:r>
      <w:r w:rsidR="00223D81">
        <w:rPr>
          <w:rFonts w:ascii="Times New Roman" w:eastAsia="Times New Roman" w:hAnsi="Times New Roman" w:cs="Times New Roman"/>
          <w:sz w:val="24"/>
          <w:szCs w:val="24"/>
        </w:rPr>
        <w:t xml:space="preserve"> factory </w:t>
      </w:r>
      <w:r w:rsidR="002F56DB">
        <w:rPr>
          <w:rFonts w:ascii="Times New Roman" w:eastAsia="Times New Roman" w:hAnsi="Times New Roman" w:cs="Times New Roman"/>
          <w:sz w:val="24"/>
          <w:szCs w:val="24"/>
        </w:rPr>
        <w:t xml:space="preserve">located </w:t>
      </w:r>
      <w:r w:rsidR="00857DAE">
        <w:rPr>
          <w:rFonts w:ascii="Times New Roman" w:eastAsia="Times New Roman" w:hAnsi="Times New Roman" w:cs="Times New Roman"/>
          <w:sz w:val="24"/>
          <w:szCs w:val="24"/>
        </w:rPr>
        <w:t xml:space="preserve">in Pakistan. </w:t>
      </w:r>
      <w:r w:rsidR="00FE1736">
        <w:rPr>
          <w:rFonts w:ascii="Times New Roman" w:eastAsia="Times New Roman" w:hAnsi="Times New Roman" w:cs="Times New Roman"/>
          <w:sz w:val="24"/>
          <w:szCs w:val="24"/>
        </w:rPr>
        <w:t xml:space="preserve">The claimants </w:t>
      </w:r>
      <w:r w:rsidR="00FE1736">
        <w:rPr>
          <w:rFonts w:ascii="Times New Roman" w:eastAsia="Times New Roman" w:hAnsi="Times New Roman" w:cs="Times New Roman"/>
          <w:sz w:val="24"/>
          <w:szCs w:val="24"/>
        </w:rPr>
        <w:lastRenderedPageBreak/>
        <w:t xml:space="preserve">alleged that </w:t>
      </w:r>
      <w:r w:rsidR="00532705">
        <w:rPr>
          <w:rFonts w:ascii="Times New Roman" w:eastAsia="Times New Roman" w:hAnsi="Times New Roman" w:cs="Times New Roman"/>
          <w:sz w:val="24"/>
          <w:szCs w:val="24"/>
        </w:rPr>
        <w:t xml:space="preserve">the supplier’s </w:t>
      </w:r>
      <w:r w:rsidR="003070AE">
        <w:rPr>
          <w:rFonts w:ascii="Times New Roman" w:eastAsia="Times New Roman" w:hAnsi="Times New Roman" w:cs="Times New Roman"/>
          <w:sz w:val="24"/>
          <w:szCs w:val="24"/>
        </w:rPr>
        <w:t>fai</w:t>
      </w:r>
      <w:r w:rsidR="00496E65">
        <w:rPr>
          <w:rFonts w:ascii="Times New Roman" w:eastAsia="Times New Roman" w:hAnsi="Times New Roman" w:cs="Times New Roman"/>
          <w:sz w:val="24"/>
          <w:szCs w:val="24"/>
        </w:rPr>
        <w:t>lure led to the factory fire incident causing harm to the claimants.</w:t>
      </w:r>
      <w:r w:rsidR="00555E11">
        <w:rPr>
          <w:rStyle w:val="FootnoteReference"/>
          <w:rFonts w:ascii="Times New Roman" w:eastAsia="Times New Roman" w:hAnsi="Times New Roman" w:cs="Times New Roman"/>
          <w:sz w:val="24"/>
          <w:szCs w:val="24"/>
        </w:rPr>
        <w:footnoteReference w:id="111"/>
      </w:r>
      <w:r w:rsidR="00C25DCD">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The Court dismissed the claim mainly on the ground that it had become statute barred under the applicable Pakistani law having been filed two years after the cause of action arose</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12"/>
      </w:r>
      <w:r w:rsidRPr="00150F3D">
        <w:rPr>
          <w:rFonts w:ascii="Times New Roman" w:eastAsia="Times New Roman" w:hAnsi="Times New Roman" w:cs="Times New Roman"/>
          <w:sz w:val="24"/>
          <w:szCs w:val="24"/>
        </w:rPr>
        <w:t xml:space="preserve"> </w:t>
      </w:r>
    </w:p>
    <w:p w14:paraId="5980A7AB" w14:textId="03062C86" w:rsidR="00074DBB" w:rsidRPr="00150F3D" w:rsidRDefault="00074DBB"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Further, the provisions of the </w:t>
      </w:r>
      <w:r w:rsidR="001E7662">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on civil liability potentially </w:t>
      </w:r>
      <w:r w:rsidR="00613AF5">
        <w:rPr>
          <w:rFonts w:ascii="Times New Roman" w:eastAsia="Times New Roman" w:hAnsi="Times New Roman" w:cs="Times New Roman"/>
          <w:sz w:val="24"/>
          <w:szCs w:val="24"/>
        </w:rPr>
        <w:t>allow</w:t>
      </w:r>
      <w:r w:rsidRPr="00150F3D">
        <w:rPr>
          <w:rFonts w:ascii="Times New Roman" w:eastAsia="Times New Roman" w:hAnsi="Times New Roman" w:cs="Times New Roman"/>
          <w:sz w:val="24"/>
          <w:szCs w:val="24"/>
        </w:rPr>
        <w:t xml:space="preserve"> victims of business-related human rights impacts in the Global South to institute civil liability claims against </w:t>
      </w:r>
      <w:r w:rsidR="00613AF5">
        <w:rPr>
          <w:rFonts w:ascii="Times New Roman" w:eastAsia="Times New Roman" w:hAnsi="Times New Roman" w:cs="Times New Roman"/>
          <w:sz w:val="24"/>
          <w:szCs w:val="24"/>
        </w:rPr>
        <w:t>EU-domiciled</w:t>
      </w:r>
      <w:r w:rsidRPr="00150F3D">
        <w:rPr>
          <w:rFonts w:ascii="Times New Roman" w:eastAsia="Times New Roman" w:hAnsi="Times New Roman" w:cs="Times New Roman"/>
          <w:sz w:val="24"/>
          <w:szCs w:val="24"/>
        </w:rPr>
        <w:t xml:space="preserve"> parent companies of overseas subsidiaries responsible for the adverse human rights impacts. This is already obtainable under</w:t>
      </w:r>
      <w:r w:rsidR="001E7662">
        <w:rPr>
          <w:rFonts w:ascii="Times New Roman" w:eastAsia="Times New Roman" w:hAnsi="Times New Roman" w:cs="Times New Roman"/>
          <w:sz w:val="24"/>
          <w:szCs w:val="24"/>
        </w:rPr>
        <w:t xml:space="preserve"> certain </w:t>
      </w:r>
      <w:r w:rsidR="00613AF5">
        <w:rPr>
          <w:rFonts w:ascii="Times New Roman" w:eastAsia="Times New Roman" w:hAnsi="Times New Roman" w:cs="Times New Roman"/>
          <w:sz w:val="24"/>
          <w:szCs w:val="24"/>
        </w:rPr>
        <w:t>jurisdictions</w:t>
      </w:r>
      <w:r w:rsidR="00B6482B">
        <w:rPr>
          <w:rFonts w:ascii="Times New Roman" w:eastAsia="Times New Roman" w:hAnsi="Times New Roman" w:cs="Times New Roman"/>
          <w:sz w:val="24"/>
          <w:szCs w:val="24"/>
        </w:rPr>
        <w:t xml:space="preserve"> such as the</w:t>
      </w:r>
      <w:r w:rsidRPr="00150F3D">
        <w:rPr>
          <w:rFonts w:ascii="Times New Roman" w:eastAsia="Times New Roman" w:hAnsi="Times New Roman" w:cs="Times New Roman"/>
          <w:sz w:val="24"/>
          <w:szCs w:val="24"/>
        </w:rPr>
        <w:t xml:space="preserve"> UK </w:t>
      </w:r>
      <w:r w:rsidR="00B6482B">
        <w:rPr>
          <w:rFonts w:ascii="Times New Roman" w:eastAsia="Times New Roman" w:hAnsi="Times New Roman" w:cs="Times New Roman"/>
          <w:sz w:val="24"/>
          <w:szCs w:val="24"/>
        </w:rPr>
        <w:t xml:space="preserve">(see </w:t>
      </w:r>
      <w:r w:rsidR="00E8312E">
        <w:rPr>
          <w:rFonts w:ascii="Times New Roman" w:eastAsia="Times New Roman" w:hAnsi="Times New Roman" w:cs="Times New Roman"/>
          <w:sz w:val="24"/>
          <w:szCs w:val="24"/>
        </w:rPr>
        <w:t xml:space="preserve">above </w:t>
      </w:r>
      <w:r w:rsidR="00B6482B">
        <w:rPr>
          <w:rFonts w:ascii="Times New Roman" w:eastAsia="Times New Roman" w:hAnsi="Times New Roman" w:cs="Times New Roman"/>
          <w:sz w:val="24"/>
          <w:szCs w:val="24"/>
        </w:rPr>
        <w:t>discussion on</w:t>
      </w:r>
      <w:r w:rsidR="00E8312E">
        <w:rPr>
          <w:rFonts w:ascii="Times New Roman" w:eastAsia="Times New Roman" w:hAnsi="Times New Roman" w:cs="Times New Roman"/>
          <w:sz w:val="24"/>
          <w:szCs w:val="24"/>
        </w:rPr>
        <w:t xml:space="preserve"> the</w:t>
      </w:r>
      <w:r w:rsidR="001E7662">
        <w:rPr>
          <w:rFonts w:ascii="Times New Roman" w:eastAsia="Times New Roman" w:hAnsi="Times New Roman" w:cs="Times New Roman"/>
          <w:sz w:val="24"/>
          <w:szCs w:val="24"/>
        </w:rPr>
        <w:t xml:space="preserve"> </w:t>
      </w:r>
      <w:r w:rsidRPr="001E7662">
        <w:rPr>
          <w:rFonts w:ascii="Times New Roman" w:eastAsia="Times New Roman" w:hAnsi="Times New Roman" w:cs="Times New Roman"/>
          <w:i/>
          <w:iCs/>
          <w:sz w:val="24"/>
          <w:szCs w:val="24"/>
        </w:rPr>
        <w:t>Okpabi</w:t>
      </w:r>
      <w:r w:rsidR="001E7662">
        <w:rPr>
          <w:rFonts w:ascii="Times New Roman" w:eastAsia="Times New Roman" w:hAnsi="Times New Roman" w:cs="Times New Roman"/>
          <w:sz w:val="24"/>
          <w:szCs w:val="24"/>
        </w:rPr>
        <w:t xml:space="preserve"> and </w:t>
      </w:r>
      <w:r w:rsidRPr="001E7662">
        <w:rPr>
          <w:rFonts w:ascii="Times New Roman" w:eastAsia="Times New Roman" w:hAnsi="Times New Roman" w:cs="Times New Roman"/>
          <w:i/>
          <w:iCs/>
          <w:sz w:val="24"/>
          <w:szCs w:val="24"/>
        </w:rPr>
        <w:t>Vedanta</w:t>
      </w:r>
      <w:r w:rsidR="00E8312E">
        <w:rPr>
          <w:rFonts w:ascii="Times New Roman" w:eastAsia="Times New Roman" w:hAnsi="Times New Roman" w:cs="Times New Roman"/>
          <w:i/>
          <w:iCs/>
          <w:sz w:val="24"/>
          <w:szCs w:val="24"/>
        </w:rPr>
        <w:t xml:space="preserve"> </w:t>
      </w:r>
      <w:r w:rsidR="00E8312E">
        <w:rPr>
          <w:rFonts w:ascii="Times New Roman" w:eastAsia="Times New Roman" w:hAnsi="Times New Roman" w:cs="Times New Roman"/>
          <w:sz w:val="24"/>
          <w:szCs w:val="24"/>
        </w:rPr>
        <w:t>cases</w:t>
      </w:r>
      <w:r w:rsidR="00B6482B">
        <w:rPr>
          <w:rFonts w:ascii="Times New Roman" w:eastAsia="Times New Roman" w:hAnsi="Times New Roman" w:cs="Times New Roman"/>
          <w:i/>
          <w:iCs/>
          <w:sz w:val="24"/>
          <w:szCs w:val="24"/>
        </w:rPr>
        <w:t>,</w:t>
      </w:r>
      <w:r w:rsidR="00B6482B">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referenced above</w:t>
      </w:r>
      <w:r w:rsidR="001E7662">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and similarly operational in France under the Duty of Vigilance Law with at least five civil liability suits already instituted before French Courts</w:t>
      </w:r>
      <w:r w:rsidR="00C25DCD">
        <w:rPr>
          <w:rFonts w:ascii="Times New Roman" w:eastAsia="Times New Roman" w:hAnsi="Times New Roman" w:cs="Times New Roman"/>
          <w:sz w:val="24"/>
          <w:szCs w:val="24"/>
        </w:rPr>
        <w:t>.</w:t>
      </w:r>
      <w:r w:rsidRPr="00150F3D">
        <w:rPr>
          <w:rStyle w:val="FootnoteReference"/>
          <w:rFonts w:ascii="Times New Roman" w:eastAsia="Times New Roman" w:hAnsi="Times New Roman" w:cs="Times New Roman"/>
          <w:sz w:val="24"/>
          <w:szCs w:val="24"/>
        </w:rPr>
        <w:footnoteReference w:id="113"/>
      </w:r>
      <w:r w:rsidRPr="00150F3D">
        <w:rPr>
          <w:rFonts w:ascii="Times New Roman" w:eastAsia="Times New Roman" w:hAnsi="Times New Roman" w:cs="Times New Roman"/>
          <w:sz w:val="24"/>
          <w:szCs w:val="24"/>
        </w:rPr>
        <w:t xml:space="preserve"> </w:t>
      </w:r>
    </w:p>
    <w:p w14:paraId="0B6F4083" w14:textId="246E0F0E" w:rsidR="00074DBB" w:rsidRPr="00150F3D" w:rsidRDefault="00074DBB" w:rsidP="00E8312E">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In a related dimension, the </w:t>
      </w:r>
      <w:r w:rsidR="00BD0BB7">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perhaps </w:t>
      </w:r>
      <w:r w:rsidR="00B108A4" w:rsidRPr="00150F3D">
        <w:rPr>
          <w:rFonts w:ascii="Times New Roman" w:eastAsia="Times New Roman" w:hAnsi="Times New Roman" w:cs="Times New Roman"/>
          <w:sz w:val="24"/>
          <w:szCs w:val="24"/>
        </w:rPr>
        <w:t>disincentivi</w:t>
      </w:r>
      <w:r w:rsidR="00B108A4">
        <w:rPr>
          <w:rFonts w:ascii="Times New Roman" w:eastAsia="Times New Roman" w:hAnsi="Times New Roman" w:cs="Times New Roman"/>
          <w:sz w:val="24"/>
          <w:szCs w:val="24"/>
        </w:rPr>
        <w:t>s</w:t>
      </w:r>
      <w:r w:rsidR="00B108A4" w:rsidRPr="00150F3D">
        <w:rPr>
          <w:rFonts w:ascii="Times New Roman" w:eastAsia="Times New Roman" w:hAnsi="Times New Roman" w:cs="Times New Roman"/>
          <w:sz w:val="24"/>
          <w:szCs w:val="24"/>
        </w:rPr>
        <w:t>es</w:t>
      </w:r>
      <w:r w:rsidRPr="00150F3D">
        <w:rPr>
          <w:rFonts w:ascii="Times New Roman" w:eastAsia="Times New Roman" w:hAnsi="Times New Roman" w:cs="Times New Roman"/>
          <w:sz w:val="24"/>
          <w:szCs w:val="24"/>
        </w:rPr>
        <w:t xml:space="preserve"> the tendency for MNEs and their overseas subsidiaries to cause adverse human rights impacts with impunity and without remediation given the possibility of cumulative liability in respect of such adverse impact. Specifically, Article 22 (3) &amp; (4) provide that the civil liability regime under the </w:t>
      </w:r>
      <w:r w:rsidR="00BD0BB7">
        <w:rPr>
          <w:rFonts w:ascii="Times New Roman" w:eastAsia="Times New Roman" w:hAnsi="Times New Roman" w:cs="Times New Roman"/>
          <w:sz w:val="24"/>
          <w:szCs w:val="24"/>
        </w:rPr>
        <w:t>CSDDD</w:t>
      </w:r>
      <w:r w:rsidRPr="00150F3D">
        <w:rPr>
          <w:rFonts w:ascii="Times New Roman" w:eastAsia="Times New Roman" w:hAnsi="Times New Roman" w:cs="Times New Roman"/>
          <w:sz w:val="24"/>
          <w:szCs w:val="24"/>
        </w:rPr>
        <w:t xml:space="preserve"> shall be without prejudice to civil liabilities which are otherwise accruable under relevant national law (within and outside the EU) or the EU Environmental Liability Directive</w:t>
      </w:r>
      <w:r w:rsidR="00D002A7">
        <w:rPr>
          <w:rFonts w:ascii="Times New Roman" w:eastAsia="Times New Roman" w:hAnsi="Times New Roman" w:cs="Times New Roman"/>
          <w:sz w:val="24"/>
          <w:szCs w:val="24"/>
        </w:rPr>
        <w:t>. This includes</w:t>
      </w:r>
      <w:r w:rsidRPr="00150F3D">
        <w:rPr>
          <w:rFonts w:ascii="Times New Roman" w:eastAsia="Times New Roman" w:hAnsi="Times New Roman" w:cs="Times New Roman"/>
          <w:sz w:val="24"/>
          <w:szCs w:val="24"/>
        </w:rPr>
        <w:t xml:space="preserve"> laws that provide for liability in situations not covered by or providing for stricter liability than under the Proposed Directive.</w:t>
      </w:r>
      <w:r w:rsidR="00E8312E">
        <w:rPr>
          <w:rFonts w:ascii="Times New Roman" w:eastAsia="Times New Roman" w:hAnsi="Times New Roman" w:cs="Times New Roman"/>
          <w:sz w:val="24"/>
          <w:szCs w:val="24"/>
        </w:rPr>
        <w:t xml:space="preserve"> </w:t>
      </w:r>
      <w:r w:rsidRPr="00150F3D">
        <w:rPr>
          <w:rFonts w:ascii="Times New Roman" w:eastAsia="Times New Roman" w:hAnsi="Times New Roman" w:cs="Times New Roman"/>
          <w:sz w:val="24"/>
          <w:szCs w:val="24"/>
        </w:rPr>
        <w:t>It appears that this implies that a victim of business-related human rights abuses in the Global South can institute a civil liability suit in the local jurisdiction</w:t>
      </w:r>
      <w:r w:rsidR="00104DD2">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against the subsidiary of an </w:t>
      </w:r>
      <w:r w:rsidR="00613AF5">
        <w:rPr>
          <w:rFonts w:ascii="Times New Roman" w:eastAsia="Times New Roman" w:hAnsi="Times New Roman" w:cs="Times New Roman"/>
          <w:sz w:val="24"/>
          <w:szCs w:val="24"/>
        </w:rPr>
        <w:t>EU-domiciled</w:t>
      </w:r>
      <w:r w:rsidRPr="00150F3D">
        <w:rPr>
          <w:rFonts w:ascii="Times New Roman" w:eastAsia="Times New Roman" w:hAnsi="Times New Roman" w:cs="Times New Roman"/>
          <w:sz w:val="24"/>
          <w:szCs w:val="24"/>
        </w:rPr>
        <w:t xml:space="preserve"> parent company</w:t>
      </w:r>
      <w:r w:rsidR="00104DD2">
        <w:rPr>
          <w:rFonts w:ascii="Times New Roman" w:eastAsia="Times New Roman" w:hAnsi="Times New Roman" w:cs="Times New Roman"/>
          <w:sz w:val="24"/>
          <w:szCs w:val="24"/>
        </w:rPr>
        <w:t>,</w:t>
      </w:r>
      <w:r w:rsidRPr="00150F3D">
        <w:rPr>
          <w:rFonts w:ascii="Times New Roman" w:eastAsia="Times New Roman" w:hAnsi="Times New Roman" w:cs="Times New Roman"/>
          <w:sz w:val="24"/>
          <w:szCs w:val="24"/>
        </w:rPr>
        <w:t xml:space="preserve"> and still institute a similar civil liability claim against the parent before the appropriate courts in the home State of the parent company.  </w:t>
      </w:r>
    </w:p>
    <w:p w14:paraId="6D735ECC" w14:textId="3B9B5B2A" w:rsidR="008F6B0D" w:rsidRDefault="00074DBB"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017A2" w:rsidRPr="00150F3D">
        <w:rPr>
          <w:rFonts w:ascii="Times New Roman" w:eastAsia="Times New Roman" w:hAnsi="Times New Roman" w:cs="Times New Roman"/>
          <w:sz w:val="24"/>
          <w:szCs w:val="24"/>
        </w:rPr>
        <w:t xml:space="preserve">he intended harmonisation of </w:t>
      </w:r>
      <w:r w:rsidR="00DF2066">
        <w:rPr>
          <w:rFonts w:ascii="Times New Roman" w:eastAsia="Times New Roman" w:hAnsi="Times New Roman" w:cs="Times New Roman"/>
          <w:sz w:val="24"/>
          <w:szCs w:val="24"/>
        </w:rPr>
        <w:t>sustainability due diligence</w:t>
      </w:r>
      <w:r w:rsidR="00DF2066" w:rsidRPr="00150F3D">
        <w:rPr>
          <w:rFonts w:ascii="Times New Roman" w:eastAsia="Times New Roman" w:hAnsi="Times New Roman" w:cs="Times New Roman"/>
          <w:sz w:val="24"/>
          <w:szCs w:val="24"/>
        </w:rPr>
        <w:t xml:space="preserve"> </w:t>
      </w:r>
      <w:r w:rsidR="00D94DDB" w:rsidRPr="00150F3D">
        <w:rPr>
          <w:rFonts w:ascii="Times New Roman" w:eastAsia="Times New Roman" w:hAnsi="Times New Roman" w:cs="Times New Roman"/>
          <w:sz w:val="24"/>
          <w:szCs w:val="24"/>
        </w:rPr>
        <w:t xml:space="preserve">laws </w:t>
      </w:r>
      <w:r w:rsidR="00B27ABB" w:rsidRPr="00150F3D">
        <w:rPr>
          <w:rFonts w:ascii="Times New Roman" w:eastAsia="Times New Roman" w:hAnsi="Times New Roman" w:cs="Times New Roman"/>
          <w:sz w:val="24"/>
          <w:szCs w:val="24"/>
        </w:rPr>
        <w:t xml:space="preserve">under the Proposed </w:t>
      </w:r>
      <w:r w:rsidR="00FC4DCD" w:rsidRPr="00150F3D">
        <w:rPr>
          <w:rFonts w:ascii="Times New Roman" w:eastAsia="Times New Roman" w:hAnsi="Times New Roman" w:cs="Times New Roman"/>
          <w:sz w:val="24"/>
          <w:szCs w:val="24"/>
        </w:rPr>
        <w:t>CSDDD</w:t>
      </w:r>
      <w:r w:rsidR="00B27ABB" w:rsidRPr="00150F3D">
        <w:rPr>
          <w:rFonts w:ascii="Times New Roman" w:eastAsia="Times New Roman" w:hAnsi="Times New Roman" w:cs="Times New Roman"/>
          <w:sz w:val="24"/>
          <w:szCs w:val="24"/>
        </w:rPr>
        <w:t xml:space="preserve"> </w:t>
      </w:r>
      <w:r w:rsidR="00911B3D" w:rsidRPr="00150F3D">
        <w:rPr>
          <w:rFonts w:ascii="Times New Roman" w:eastAsia="Times New Roman" w:hAnsi="Times New Roman" w:cs="Times New Roman"/>
          <w:sz w:val="24"/>
          <w:szCs w:val="24"/>
        </w:rPr>
        <w:t xml:space="preserve">holds </w:t>
      </w:r>
      <w:r w:rsidR="00DD08E0" w:rsidRPr="00150F3D">
        <w:rPr>
          <w:rFonts w:ascii="Times New Roman" w:eastAsia="Times New Roman" w:hAnsi="Times New Roman" w:cs="Times New Roman"/>
          <w:sz w:val="24"/>
          <w:szCs w:val="24"/>
        </w:rPr>
        <w:t xml:space="preserve">remarkable prospects for </w:t>
      </w:r>
      <w:r w:rsidR="003D4F1E" w:rsidRPr="00150F3D">
        <w:rPr>
          <w:rFonts w:ascii="Times New Roman" w:eastAsia="Times New Roman" w:hAnsi="Times New Roman" w:cs="Times New Roman"/>
          <w:sz w:val="24"/>
          <w:szCs w:val="24"/>
        </w:rPr>
        <w:t xml:space="preserve">victims of human rights abuses </w:t>
      </w:r>
      <w:r w:rsidR="0038486D" w:rsidRPr="00150F3D">
        <w:rPr>
          <w:rFonts w:ascii="Times New Roman" w:eastAsia="Times New Roman" w:hAnsi="Times New Roman" w:cs="Times New Roman"/>
          <w:sz w:val="24"/>
          <w:szCs w:val="24"/>
        </w:rPr>
        <w:t>resulting from failure by in-</w:t>
      </w:r>
      <w:r w:rsidR="0038486D" w:rsidRPr="00150F3D">
        <w:rPr>
          <w:rFonts w:ascii="Times New Roman" w:eastAsia="Times New Roman" w:hAnsi="Times New Roman" w:cs="Times New Roman"/>
          <w:sz w:val="24"/>
          <w:szCs w:val="24"/>
        </w:rPr>
        <w:lastRenderedPageBreak/>
        <w:t xml:space="preserve">scope companies to comply with </w:t>
      </w:r>
      <w:r w:rsidR="0084259B">
        <w:rPr>
          <w:rFonts w:ascii="Times New Roman" w:eastAsia="Times New Roman" w:hAnsi="Times New Roman" w:cs="Times New Roman"/>
          <w:sz w:val="24"/>
          <w:szCs w:val="24"/>
        </w:rPr>
        <w:t>sustainability due diligence</w:t>
      </w:r>
      <w:r w:rsidR="0084259B" w:rsidRPr="00150F3D">
        <w:rPr>
          <w:rFonts w:ascii="Times New Roman" w:eastAsia="Times New Roman" w:hAnsi="Times New Roman" w:cs="Times New Roman"/>
          <w:sz w:val="24"/>
          <w:szCs w:val="24"/>
        </w:rPr>
        <w:t xml:space="preserve"> </w:t>
      </w:r>
      <w:r w:rsidR="008E0E30" w:rsidRPr="00150F3D">
        <w:rPr>
          <w:rFonts w:ascii="Times New Roman" w:eastAsia="Times New Roman" w:hAnsi="Times New Roman" w:cs="Times New Roman"/>
          <w:sz w:val="24"/>
          <w:szCs w:val="24"/>
        </w:rPr>
        <w:t>obligations</w:t>
      </w:r>
      <w:r w:rsidR="003B487C" w:rsidRPr="00150F3D">
        <w:rPr>
          <w:rFonts w:ascii="Times New Roman" w:eastAsia="Times New Roman" w:hAnsi="Times New Roman" w:cs="Times New Roman"/>
          <w:sz w:val="24"/>
          <w:szCs w:val="24"/>
        </w:rPr>
        <w:t xml:space="preserve"> to the extent that </w:t>
      </w:r>
      <w:r w:rsidR="001C515A" w:rsidRPr="00150F3D">
        <w:rPr>
          <w:rFonts w:ascii="Times New Roman" w:eastAsia="Times New Roman" w:hAnsi="Times New Roman" w:cs="Times New Roman"/>
          <w:sz w:val="24"/>
          <w:szCs w:val="24"/>
        </w:rPr>
        <w:t>it provides for a civil liability framework</w:t>
      </w:r>
      <w:r w:rsidR="0038486D" w:rsidRPr="00150F3D">
        <w:rPr>
          <w:rFonts w:ascii="Times New Roman" w:eastAsia="Times New Roman" w:hAnsi="Times New Roman" w:cs="Times New Roman"/>
          <w:sz w:val="24"/>
          <w:szCs w:val="24"/>
        </w:rPr>
        <w:t xml:space="preserve">. </w:t>
      </w:r>
      <w:r w:rsidR="000C1C5B">
        <w:rPr>
          <w:rFonts w:ascii="Times New Roman" w:eastAsia="Times New Roman" w:hAnsi="Times New Roman" w:cs="Times New Roman"/>
          <w:sz w:val="24"/>
          <w:szCs w:val="24"/>
        </w:rPr>
        <w:t>The devil, however, is always in the details and h</w:t>
      </w:r>
      <w:r w:rsidR="008F6B0D">
        <w:rPr>
          <w:rFonts w:ascii="Times New Roman" w:eastAsia="Times New Roman" w:hAnsi="Times New Roman" w:cs="Times New Roman"/>
          <w:sz w:val="24"/>
          <w:szCs w:val="24"/>
        </w:rPr>
        <w:t xml:space="preserve">ow effective this mechanism will be, </w:t>
      </w:r>
      <w:r w:rsidR="00C749EF">
        <w:rPr>
          <w:rFonts w:ascii="Times New Roman" w:eastAsia="Times New Roman" w:hAnsi="Times New Roman" w:cs="Times New Roman"/>
          <w:sz w:val="24"/>
          <w:szCs w:val="24"/>
        </w:rPr>
        <w:t>will</w:t>
      </w:r>
      <w:r w:rsidR="008F6B0D">
        <w:rPr>
          <w:rFonts w:ascii="Times New Roman" w:eastAsia="Times New Roman" w:hAnsi="Times New Roman" w:cs="Times New Roman"/>
          <w:sz w:val="24"/>
          <w:szCs w:val="24"/>
        </w:rPr>
        <w:t xml:space="preserve"> depend on several factors. </w:t>
      </w:r>
      <w:r w:rsidR="00B06730">
        <w:rPr>
          <w:rFonts w:ascii="Times New Roman" w:eastAsia="Times New Roman" w:hAnsi="Times New Roman" w:cs="Times New Roman"/>
          <w:sz w:val="24"/>
          <w:szCs w:val="24"/>
        </w:rPr>
        <w:t xml:space="preserve">The below discuss a representative, yet </w:t>
      </w:r>
      <w:r w:rsidR="00613AF5">
        <w:rPr>
          <w:rFonts w:ascii="Times New Roman" w:eastAsia="Times New Roman" w:hAnsi="Times New Roman" w:cs="Times New Roman"/>
          <w:sz w:val="24"/>
          <w:szCs w:val="24"/>
        </w:rPr>
        <w:t xml:space="preserve">a </w:t>
      </w:r>
      <w:r w:rsidR="00B06730">
        <w:rPr>
          <w:rFonts w:ascii="Times New Roman" w:eastAsia="Times New Roman" w:hAnsi="Times New Roman" w:cs="Times New Roman"/>
          <w:sz w:val="24"/>
          <w:szCs w:val="24"/>
        </w:rPr>
        <w:t xml:space="preserve">non-exhaustive list of the issues that can impact the effectiveness of civil liability mechanisms under sustainability due diligence </w:t>
      </w:r>
      <w:r w:rsidR="00613AF5">
        <w:rPr>
          <w:rFonts w:ascii="Times New Roman" w:eastAsia="Times New Roman" w:hAnsi="Times New Roman" w:cs="Times New Roman"/>
          <w:sz w:val="24"/>
          <w:szCs w:val="24"/>
        </w:rPr>
        <w:t>legislation</w:t>
      </w:r>
      <w:r w:rsidR="00B06730">
        <w:rPr>
          <w:rFonts w:ascii="Times New Roman" w:eastAsia="Times New Roman" w:hAnsi="Times New Roman" w:cs="Times New Roman"/>
          <w:sz w:val="24"/>
          <w:szCs w:val="24"/>
        </w:rPr>
        <w:t xml:space="preserve">, as demonstrated by the CSDDD example. </w:t>
      </w:r>
    </w:p>
    <w:p w14:paraId="1DA48B53" w14:textId="77B85E9C" w:rsidR="00397708" w:rsidRDefault="00397708" w:rsidP="00BD5289">
      <w:pPr>
        <w:pStyle w:val="Heading4"/>
        <w:spacing w:after="240"/>
        <w:rPr>
          <w:rFonts w:eastAsia="Times New Roman"/>
        </w:rPr>
      </w:pPr>
      <w:r>
        <w:rPr>
          <w:rFonts w:eastAsia="Times New Roman"/>
        </w:rPr>
        <w:t>Burden of proof</w:t>
      </w:r>
    </w:p>
    <w:p w14:paraId="57129E87" w14:textId="15652E0F" w:rsidR="009267DA" w:rsidRDefault="008F6B0D"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there is the issue of </w:t>
      </w:r>
      <w:r w:rsidR="00613A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burden of proof. </w:t>
      </w:r>
      <w:r w:rsidR="001010EB">
        <w:rPr>
          <w:rFonts w:ascii="Times New Roman" w:eastAsia="Times New Roman" w:hAnsi="Times New Roman" w:cs="Times New Roman"/>
          <w:sz w:val="24"/>
          <w:szCs w:val="24"/>
        </w:rPr>
        <w:t>As discussed above, t</w:t>
      </w:r>
      <w:r w:rsidR="00E222BE" w:rsidRPr="00150F3D">
        <w:rPr>
          <w:rFonts w:ascii="Times New Roman" w:eastAsia="Times New Roman" w:hAnsi="Times New Roman" w:cs="Times New Roman"/>
          <w:sz w:val="24"/>
          <w:szCs w:val="24"/>
        </w:rPr>
        <w:t xml:space="preserve">he French Duty of Vigilance </w:t>
      </w:r>
      <w:r w:rsidR="00612159" w:rsidRPr="00150F3D">
        <w:rPr>
          <w:rFonts w:ascii="Times New Roman" w:eastAsia="Times New Roman" w:hAnsi="Times New Roman" w:cs="Times New Roman"/>
          <w:sz w:val="24"/>
          <w:szCs w:val="24"/>
        </w:rPr>
        <w:t xml:space="preserve">Law </w:t>
      </w:r>
      <w:r w:rsidR="00F5505E" w:rsidRPr="00150F3D">
        <w:rPr>
          <w:rFonts w:ascii="Times New Roman" w:eastAsia="Times New Roman" w:hAnsi="Times New Roman" w:cs="Times New Roman"/>
          <w:sz w:val="24"/>
          <w:szCs w:val="24"/>
        </w:rPr>
        <w:t xml:space="preserve">2017 </w:t>
      </w:r>
      <w:r w:rsidR="0038486D" w:rsidRPr="00150F3D">
        <w:rPr>
          <w:rFonts w:ascii="Times New Roman" w:eastAsia="Times New Roman" w:hAnsi="Times New Roman" w:cs="Times New Roman"/>
          <w:sz w:val="24"/>
          <w:szCs w:val="24"/>
        </w:rPr>
        <w:t xml:space="preserve">already </w:t>
      </w:r>
      <w:r w:rsidR="00F5505E" w:rsidRPr="00150F3D">
        <w:rPr>
          <w:rFonts w:ascii="Times New Roman" w:eastAsia="Times New Roman" w:hAnsi="Times New Roman" w:cs="Times New Roman"/>
          <w:sz w:val="24"/>
          <w:szCs w:val="24"/>
        </w:rPr>
        <w:t xml:space="preserve">provides for </w:t>
      </w:r>
      <w:r w:rsidR="00201A8F" w:rsidRPr="00150F3D">
        <w:rPr>
          <w:rFonts w:ascii="Times New Roman" w:eastAsia="Times New Roman" w:hAnsi="Times New Roman" w:cs="Times New Roman"/>
          <w:sz w:val="24"/>
          <w:szCs w:val="24"/>
        </w:rPr>
        <w:t>a civil liability regime</w:t>
      </w:r>
      <w:r w:rsidR="00104DD2">
        <w:rPr>
          <w:rFonts w:ascii="Times New Roman" w:eastAsia="Times New Roman" w:hAnsi="Times New Roman" w:cs="Times New Roman"/>
          <w:sz w:val="24"/>
          <w:szCs w:val="24"/>
        </w:rPr>
        <w:t>,</w:t>
      </w:r>
      <w:r w:rsidR="00E37F22" w:rsidRPr="00150F3D">
        <w:rPr>
          <w:rFonts w:ascii="Times New Roman" w:eastAsia="Times New Roman" w:hAnsi="Times New Roman" w:cs="Times New Roman"/>
          <w:sz w:val="24"/>
          <w:szCs w:val="24"/>
        </w:rPr>
        <w:t xml:space="preserve"> </w:t>
      </w:r>
      <w:r w:rsidR="005E6121" w:rsidRPr="00150F3D">
        <w:rPr>
          <w:rFonts w:ascii="Times New Roman" w:eastAsia="Times New Roman" w:hAnsi="Times New Roman" w:cs="Times New Roman"/>
          <w:sz w:val="24"/>
          <w:szCs w:val="24"/>
        </w:rPr>
        <w:t xml:space="preserve">under which victims of adverse human rights impacts resulting from </w:t>
      </w:r>
      <w:r w:rsidR="00613AF5">
        <w:rPr>
          <w:rFonts w:ascii="Times New Roman" w:eastAsia="Times New Roman" w:hAnsi="Times New Roman" w:cs="Times New Roman"/>
          <w:sz w:val="24"/>
          <w:szCs w:val="24"/>
        </w:rPr>
        <w:t xml:space="preserve">the </w:t>
      </w:r>
      <w:r w:rsidR="005E6121" w:rsidRPr="00150F3D">
        <w:rPr>
          <w:rFonts w:ascii="Times New Roman" w:eastAsia="Times New Roman" w:hAnsi="Times New Roman" w:cs="Times New Roman"/>
          <w:sz w:val="24"/>
          <w:szCs w:val="24"/>
        </w:rPr>
        <w:t>failure of an in-scope company to comply with the duty of vigilance obligation can bring a civil liability claim</w:t>
      </w:r>
      <w:r w:rsidR="00104DD2">
        <w:rPr>
          <w:rFonts w:ascii="Times New Roman" w:eastAsia="Times New Roman" w:hAnsi="Times New Roman" w:cs="Times New Roman"/>
          <w:sz w:val="24"/>
          <w:szCs w:val="24"/>
        </w:rPr>
        <w:t>,</w:t>
      </w:r>
      <w:r w:rsidR="005E6121" w:rsidRPr="00150F3D">
        <w:rPr>
          <w:rFonts w:ascii="Times New Roman" w:eastAsia="Times New Roman" w:hAnsi="Times New Roman" w:cs="Times New Roman"/>
          <w:sz w:val="24"/>
          <w:szCs w:val="24"/>
        </w:rPr>
        <w:t xml:space="preserve"> either for an injunction or for remediation of damages caused</w:t>
      </w:r>
      <w:r w:rsidR="00573B07">
        <w:rPr>
          <w:rFonts w:ascii="Times New Roman" w:eastAsia="Times New Roman" w:hAnsi="Times New Roman" w:cs="Times New Roman"/>
          <w:sz w:val="24"/>
          <w:szCs w:val="24"/>
        </w:rPr>
        <w:t>.</w:t>
      </w:r>
      <w:r w:rsidR="005E6121" w:rsidRPr="00150F3D">
        <w:rPr>
          <w:rStyle w:val="FootnoteReference"/>
          <w:rFonts w:ascii="Times New Roman" w:eastAsia="Times New Roman" w:hAnsi="Times New Roman" w:cs="Times New Roman"/>
          <w:sz w:val="24"/>
          <w:szCs w:val="24"/>
        </w:rPr>
        <w:footnoteReference w:id="114"/>
      </w:r>
      <w:r w:rsidR="005E6121" w:rsidRPr="00150F3D">
        <w:rPr>
          <w:rFonts w:ascii="Times New Roman" w:eastAsia="Times New Roman" w:hAnsi="Times New Roman" w:cs="Times New Roman"/>
          <w:sz w:val="24"/>
          <w:szCs w:val="24"/>
        </w:rPr>
        <w:t xml:space="preserve"> </w:t>
      </w:r>
      <w:r w:rsidR="00FE797A" w:rsidRPr="00150F3D">
        <w:rPr>
          <w:rFonts w:ascii="Times New Roman" w:eastAsia="Times New Roman" w:hAnsi="Times New Roman" w:cs="Times New Roman"/>
          <w:sz w:val="24"/>
          <w:szCs w:val="24"/>
        </w:rPr>
        <w:t xml:space="preserve">However, the civil liability regime under the French Duty of Vigilance Law </w:t>
      </w:r>
      <w:r w:rsidR="00D002A7">
        <w:rPr>
          <w:rFonts w:ascii="Times New Roman" w:eastAsia="Times New Roman" w:hAnsi="Times New Roman" w:cs="Times New Roman"/>
          <w:sz w:val="24"/>
          <w:szCs w:val="24"/>
        </w:rPr>
        <w:t xml:space="preserve">places </w:t>
      </w:r>
      <w:r w:rsidR="00505CF8" w:rsidRPr="00150F3D">
        <w:rPr>
          <w:rFonts w:ascii="Times New Roman" w:eastAsia="Times New Roman" w:hAnsi="Times New Roman" w:cs="Times New Roman"/>
          <w:sz w:val="24"/>
          <w:szCs w:val="24"/>
        </w:rPr>
        <w:t xml:space="preserve">burden of proof </w:t>
      </w:r>
      <w:r>
        <w:rPr>
          <w:rFonts w:ascii="Times New Roman" w:eastAsia="Times New Roman" w:hAnsi="Times New Roman" w:cs="Times New Roman"/>
          <w:sz w:val="24"/>
          <w:szCs w:val="24"/>
        </w:rPr>
        <w:t xml:space="preserve">on </w:t>
      </w:r>
      <w:r w:rsidR="00505CF8" w:rsidRPr="00150F3D">
        <w:rPr>
          <w:rFonts w:ascii="Times New Roman" w:eastAsia="Times New Roman" w:hAnsi="Times New Roman" w:cs="Times New Roman"/>
          <w:sz w:val="24"/>
          <w:szCs w:val="24"/>
        </w:rPr>
        <w:t>victims</w:t>
      </w:r>
      <w:r>
        <w:rPr>
          <w:rFonts w:ascii="Times New Roman" w:eastAsia="Times New Roman" w:hAnsi="Times New Roman" w:cs="Times New Roman"/>
          <w:sz w:val="24"/>
          <w:szCs w:val="24"/>
        </w:rPr>
        <w:t xml:space="preserve">. This is problematic due to </w:t>
      </w:r>
      <w:r w:rsidR="00355F2A">
        <w:rPr>
          <w:rFonts w:ascii="Times New Roman" w:eastAsia="Times New Roman" w:hAnsi="Times New Roman" w:cs="Times New Roman"/>
          <w:sz w:val="24"/>
          <w:szCs w:val="24"/>
        </w:rPr>
        <w:t>several reasons</w:t>
      </w:r>
      <w:r w:rsidR="009267DA">
        <w:rPr>
          <w:rFonts w:ascii="Times New Roman" w:eastAsia="Times New Roman" w:hAnsi="Times New Roman" w:cs="Times New Roman"/>
          <w:sz w:val="24"/>
          <w:szCs w:val="24"/>
        </w:rPr>
        <w:t xml:space="preserve">. As </w:t>
      </w:r>
      <w:r w:rsidR="00355F2A">
        <w:rPr>
          <w:rFonts w:ascii="Times New Roman" w:eastAsia="Times New Roman" w:hAnsi="Times New Roman" w:cs="Times New Roman"/>
          <w:sz w:val="24"/>
          <w:szCs w:val="24"/>
        </w:rPr>
        <w:t>explained</w:t>
      </w:r>
      <w:r w:rsidR="009267DA">
        <w:rPr>
          <w:rFonts w:ascii="Times New Roman" w:eastAsia="Times New Roman" w:hAnsi="Times New Roman" w:cs="Times New Roman"/>
          <w:sz w:val="24"/>
          <w:szCs w:val="24"/>
        </w:rPr>
        <w:t xml:space="preserve"> elsewhere:</w:t>
      </w:r>
      <w:r w:rsidR="009267DA">
        <w:rPr>
          <w:rStyle w:val="FootnoteReference"/>
          <w:rFonts w:ascii="Times New Roman" w:eastAsia="Times New Roman" w:hAnsi="Times New Roman" w:cs="Times New Roman"/>
          <w:sz w:val="24"/>
          <w:szCs w:val="24"/>
        </w:rPr>
        <w:footnoteReference w:id="115"/>
      </w:r>
    </w:p>
    <w:p w14:paraId="70866157" w14:textId="2FB7386F" w:rsidR="008F6B0D" w:rsidRDefault="00355F2A" w:rsidP="00BD5289">
      <w:pPr>
        <w:spacing w:after="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267DA">
        <w:rPr>
          <w:rFonts w:ascii="Times New Roman" w:eastAsia="Times New Roman" w:hAnsi="Times New Roman" w:cs="Times New Roman"/>
          <w:sz w:val="24"/>
          <w:szCs w:val="24"/>
        </w:rPr>
        <w:t xml:space="preserve">The more </w:t>
      </w:r>
      <w:r>
        <w:rPr>
          <w:rFonts w:ascii="Times New Roman" w:eastAsia="Times New Roman" w:hAnsi="Times New Roman" w:cs="Times New Roman"/>
          <w:sz w:val="24"/>
          <w:szCs w:val="24"/>
        </w:rPr>
        <w:t xml:space="preserve">remote in the supply chain the damage, the harder </w:t>
      </w:r>
      <w:r w:rsidR="00D002A7">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may be for the claimant to prove that the damage has occurred as a result of a breach of the Viligance Obligations and that there is a causal link between such a breach and the resulting damage. </w:t>
      </w:r>
      <w:r w:rsidR="00D002A7">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is also to be expected that the claimant would have to prove that the Vigilance Law is applicable to her/his situation. This includes proving that the defendant enters into the scope of the Vigiliance Law and that the damage occurred within the ambit </w:t>
      </w:r>
      <w:r>
        <w:rPr>
          <w:rFonts w:ascii="Times New Roman" w:eastAsia="Times New Roman" w:hAnsi="Times New Roman" w:cs="Times New Roman"/>
          <w:i/>
          <w:iCs/>
          <w:sz w:val="24"/>
          <w:szCs w:val="24"/>
        </w:rPr>
        <w:t xml:space="preserve">rationae personae </w:t>
      </w:r>
      <w:r>
        <w:rPr>
          <w:rFonts w:ascii="Times New Roman" w:eastAsia="Times New Roman" w:hAnsi="Times New Roman" w:cs="Times New Roman"/>
          <w:sz w:val="24"/>
          <w:szCs w:val="24"/>
        </w:rPr>
        <w:t>of the Vigiliance plan.’</w:t>
      </w:r>
      <w:r w:rsidR="009267DA">
        <w:rPr>
          <w:rFonts w:ascii="Times New Roman" w:eastAsia="Times New Roman" w:hAnsi="Times New Roman" w:cs="Times New Roman"/>
          <w:sz w:val="24"/>
          <w:szCs w:val="24"/>
        </w:rPr>
        <w:t xml:space="preserve"> </w:t>
      </w:r>
      <w:r w:rsidR="008F6B0D">
        <w:rPr>
          <w:rFonts w:ascii="Times New Roman" w:eastAsia="Times New Roman" w:hAnsi="Times New Roman" w:cs="Times New Roman"/>
          <w:sz w:val="24"/>
          <w:szCs w:val="24"/>
        </w:rPr>
        <w:t xml:space="preserve"> </w:t>
      </w:r>
    </w:p>
    <w:p w14:paraId="4512C335" w14:textId="22FCB6F1" w:rsidR="00114EF4" w:rsidRDefault="00700150"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00F7145B" w:rsidRPr="00150F3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Commission’s draft of the</w:t>
      </w:r>
      <w:r w:rsidR="00F7145B" w:rsidRPr="00150F3D">
        <w:rPr>
          <w:rFonts w:ascii="Times New Roman" w:eastAsia="Times New Roman" w:hAnsi="Times New Roman" w:cs="Times New Roman"/>
          <w:sz w:val="24"/>
          <w:szCs w:val="24"/>
        </w:rPr>
        <w:t xml:space="preserve"> </w:t>
      </w:r>
      <w:r w:rsidR="008F6B0D">
        <w:rPr>
          <w:rFonts w:ascii="Times New Roman" w:eastAsia="Times New Roman" w:hAnsi="Times New Roman" w:cs="Times New Roman"/>
          <w:sz w:val="24"/>
          <w:szCs w:val="24"/>
        </w:rPr>
        <w:t>CSDDD</w:t>
      </w:r>
      <w:r>
        <w:rPr>
          <w:rFonts w:ascii="Times New Roman" w:eastAsia="Times New Roman" w:hAnsi="Times New Roman" w:cs="Times New Roman"/>
          <w:sz w:val="24"/>
          <w:szCs w:val="24"/>
        </w:rPr>
        <w:t>,</w:t>
      </w:r>
      <w:r w:rsidR="00F7145B" w:rsidRPr="00150F3D">
        <w:rPr>
          <w:rFonts w:ascii="Times New Roman" w:eastAsia="Times New Roman" w:hAnsi="Times New Roman" w:cs="Times New Roman"/>
          <w:sz w:val="24"/>
          <w:szCs w:val="24"/>
        </w:rPr>
        <w:t xml:space="preserve"> the question of burden of proof was reserved for determination under relevant national law</w:t>
      </w:r>
      <w:r w:rsidR="00015B8D">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F7145B" w:rsidRPr="00150F3D">
        <w:rPr>
          <w:rStyle w:val="FootnoteReference"/>
          <w:rFonts w:ascii="Times New Roman" w:eastAsia="Times New Roman" w:hAnsi="Times New Roman" w:cs="Times New Roman"/>
          <w:sz w:val="24"/>
          <w:szCs w:val="24"/>
        </w:rPr>
        <w:footnoteReference w:id="116"/>
      </w:r>
      <w:r>
        <w:rPr>
          <w:rFonts w:ascii="Times New Roman" w:eastAsia="Times New Roman" w:hAnsi="Times New Roman" w:cs="Times New Roman"/>
          <w:sz w:val="24"/>
          <w:szCs w:val="24"/>
        </w:rPr>
        <w:t xml:space="preserve"> some of which may decide to reverse it and place it on the company</w:t>
      </w:r>
      <w:r w:rsidR="00F7145B" w:rsidRPr="00150F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10EB">
        <w:rPr>
          <w:rFonts w:ascii="Times New Roman" w:eastAsia="Times New Roman" w:hAnsi="Times New Roman" w:cs="Times New Roman"/>
          <w:sz w:val="24"/>
          <w:szCs w:val="24"/>
        </w:rPr>
        <w:t>The EU Parliament’s Committee on Legal Affairs version goes even further</w:t>
      </w:r>
      <w:r w:rsidR="00BE7103">
        <w:rPr>
          <w:rFonts w:ascii="Times New Roman" w:eastAsia="Times New Roman" w:hAnsi="Times New Roman" w:cs="Times New Roman"/>
          <w:sz w:val="24"/>
          <w:szCs w:val="24"/>
        </w:rPr>
        <w:t>, proposing</w:t>
      </w:r>
      <w:r w:rsidR="00062376">
        <w:rPr>
          <w:rFonts w:ascii="Times New Roman" w:eastAsia="Times New Roman" w:hAnsi="Times New Roman" w:cs="Times New Roman"/>
          <w:sz w:val="24"/>
          <w:szCs w:val="24"/>
        </w:rPr>
        <w:t xml:space="preserve"> that where the claimant has provided ‘elements substantiating the likelihood of a company’s liability’, but in need of further evidence that lies in the control of the company, the court will be able to order the discloser of such evidence by </w:t>
      </w:r>
      <w:r w:rsidR="00062376">
        <w:rPr>
          <w:rFonts w:ascii="Times New Roman" w:eastAsia="Times New Roman" w:hAnsi="Times New Roman" w:cs="Times New Roman"/>
          <w:sz w:val="24"/>
          <w:szCs w:val="24"/>
        </w:rPr>
        <w:lastRenderedPageBreak/>
        <w:t>the company.</w:t>
      </w:r>
      <w:bookmarkStart w:id="36" w:name="_Ref131859214"/>
      <w:r w:rsidR="00062376">
        <w:rPr>
          <w:rStyle w:val="FootnoteReference"/>
          <w:rFonts w:ascii="Times New Roman" w:eastAsia="Times New Roman" w:hAnsi="Times New Roman" w:cs="Times New Roman"/>
          <w:sz w:val="24"/>
          <w:szCs w:val="24"/>
        </w:rPr>
        <w:footnoteReference w:id="117"/>
      </w:r>
      <w:bookmarkEnd w:id="36"/>
      <w:r w:rsidR="00062376">
        <w:rPr>
          <w:rFonts w:ascii="Times New Roman" w:eastAsia="Times New Roman" w:hAnsi="Times New Roman" w:cs="Times New Roman"/>
          <w:sz w:val="24"/>
          <w:szCs w:val="24"/>
        </w:rPr>
        <w:t xml:space="preserve"> </w:t>
      </w:r>
      <w:r w:rsidR="00397708">
        <w:rPr>
          <w:rFonts w:ascii="Times New Roman" w:eastAsia="Times New Roman" w:hAnsi="Times New Roman" w:cs="Times New Roman"/>
          <w:sz w:val="24"/>
          <w:szCs w:val="24"/>
        </w:rPr>
        <w:t>Th</w:t>
      </w:r>
      <w:r w:rsidR="00015B8D">
        <w:rPr>
          <w:rFonts w:ascii="Times New Roman" w:eastAsia="Times New Roman" w:hAnsi="Times New Roman" w:cs="Times New Roman"/>
          <w:sz w:val="24"/>
          <w:szCs w:val="24"/>
        </w:rPr>
        <w:t>e latter</w:t>
      </w:r>
      <w:r w:rsidR="00397708">
        <w:rPr>
          <w:rFonts w:ascii="Times New Roman" w:eastAsia="Times New Roman" w:hAnsi="Times New Roman" w:cs="Times New Roman"/>
          <w:sz w:val="24"/>
          <w:szCs w:val="24"/>
        </w:rPr>
        <w:t xml:space="preserve"> propos</w:t>
      </w:r>
      <w:r w:rsidR="00D002A7">
        <w:rPr>
          <w:rFonts w:ascii="Times New Roman" w:eastAsia="Times New Roman" w:hAnsi="Times New Roman" w:cs="Times New Roman"/>
          <w:sz w:val="24"/>
          <w:szCs w:val="24"/>
        </w:rPr>
        <w:t>ed</w:t>
      </w:r>
      <w:r w:rsidR="00397708">
        <w:rPr>
          <w:rFonts w:ascii="Times New Roman" w:eastAsia="Times New Roman" w:hAnsi="Times New Roman" w:cs="Times New Roman"/>
          <w:sz w:val="24"/>
          <w:szCs w:val="24"/>
        </w:rPr>
        <w:t xml:space="preserve"> solution</w:t>
      </w:r>
      <w:r w:rsidR="00015B8D">
        <w:rPr>
          <w:rFonts w:ascii="Times New Roman" w:eastAsia="Times New Roman" w:hAnsi="Times New Roman" w:cs="Times New Roman"/>
          <w:sz w:val="24"/>
          <w:szCs w:val="24"/>
        </w:rPr>
        <w:t xml:space="preserve"> seems balanced</w:t>
      </w:r>
      <w:r w:rsidR="00397708">
        <w:rPr>
          <w:rFonts w:ascii="Times New Roman" w:eastAsia="Times New Roman" w:hAnsi="Times New Roman" w:cs="Times New Roman"/>
          <w:sz w:val="24"/>
          <w:szCs w:val="24"/>
        </w:rPr>
        <w:t xml:space="preserve">; lowering the initial threshold imposed on victims to the mere demonstration of ‘likelihood’, and allowing them easier access to documents and information which are often under the control of the MNC.  </w:t>
      </w:r>
    </w:p>
    <w:p w14:paraId="39943ED3" w14:textId="4645C5AA" w:rsidR="00114EF4" w:rsidRDefault="00D002A7"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o</w:t>
      </w:r>
      <w:r w:rsidR="00114EF4">
        <w:rPr>
          <w:rFonts w:ascii="Times New Roman" w:eastAsia="Times New Roman" w:hAnsi="Times New Roman" w:cs="Times New Roman"/>
          <w:sz w:val="24"/>
          <w:szCs w:val="24"/>
        </w:rPr>
        <w:t xml:space="preserve">thers </w:t>
      </w:r>
      <w:r w:rsidR="00BE7103">
        <w:rPr>
          <w:rFonts w:ascii="Times New Roman" w:eastAsia="Times New Roman" w:hAnsi="Times New Roman" w:cs="Times New Roman"/>
          <w:sz w:val="24"/>
          <w:szCs w:val="24"/>
        </w:rPr>
        <w:t xml:space="preserve">have </w:t>
      </w:r>
      <w:r w:rsidR="00114EF4">
        <w:rPr>
          <w:rFonts w:ascii="Times New Roman" w:eastAsia="Times New Roman" w:hAnsi="Times New Roman" w:cs="Times New Roman"/>
          <w:sz w:val="24"/>
          <w:szCs w:val="24"/>
        </w:rPr>
        <w:t>mentioned</w:t>
      </w:r>
      <w:r w:rsidR="001A1883">
        <w:rPr>
          <w:rFonts w:ascii="Times New Roman" w:eastAsia="Times New Roman" w:hAnsi="Times New Roman" w:cs="Times New Roman"/>
          <w:sz w:val="24"/>
          <w:szCs w:val="24"/>
        </w:rPr>
        <w:t>,</w:t>
      </w:r>
      <w:r w:rsidR="00114EF4">
        <w:rPr>
          <w:rFonts w:ascii="Times New Roman" w:eastAsia="Times New Roman" w:hAnsi="Times New Roman" w:cs="Times New Roman"/>
          <w:sz w:val="24"/>
          <w:szCs w:val="24"/>
        </w:rPr>
        <w:t xml:space="preserve"> with respect to the</w:t>
      </w:r>
      <w:r w:rsidR="001E61A7">
        <w:rPr>
          <w:rFonts w:ascii="Times New Roman" w:eastAsia="Times New Roman" w:hAnsi="Times New Roman" w:cs="Times New Roman"/>
          <w:sz w:val="24"/>
          <w:szCs w:val="24"/>
        </w:rPr>
        <w:t xml:space="preserve"> question of</w:t>
      </w:r>
      <w:r w:rsidR="00114EF4">
        <w:rPr>
          <w:rFonts w:ascii="Times New Roman" w:eastAsia="Times New Roman" w:hAnsi="Times New Roman" w:cs="Times New Roman"/>
          <w:sz w:val="24"/>
          <w:szCs w:val="24"/>
        </w:rPr>
        <w:t xml:space="preserve"> </w:t>
      </w:r>
      <w:r w:rsidR="00613AF5">
        <w:rPr>
          <w:rFonts w:ascii="Times New Roman" w:eastAsia="Times New Roman" w:hAnsi="Times New Roman" w:cs="Times New Roman"/>
          <w:sz w:val="24"/>
          <w:szCs w:val="24"/>
        </w:rPr>
        <w:t xml:space="preserve">the </w:t>
      </w:r>
      <w:r w:rsidR="00114EF4">
        <w:rPr>
          <w:rFonts w:ascii="Times New Roman" w:eastAsia="Times New Roman" w:hAnsi="Times New Roman" w:cs="Times New Roman"/>
          <w:sz w:val="24"/>
          <w:szCs w:val="24"/>
        </w:rPr>
        <w:t>burden of proof</w:t>
      </w:r>
      <w:r w:rsidR="001A1883">
        <w:rPr>
          <w:rFonts w:ascii="Times New Roman" w:eastAsia="Times New Roman" w:hAnsi="Times New Roman" w:cs="Times New Roman"/>
          <w:sz w:val="24"/>
          <w:szCs w:val="24"/>
        </w:rPr>
        <w:t>,</w:t>
      </w:r>
      <w:r w:rsidR="00114EF4">
        <w:rPr>
          <w:rFonts w:ascii="Times New Roman" w:eastAsia="Times New Roman" w:hAnsi="Times New Roman" w:cs="Times New Roman"/>
          <w:sz w:val="24"/>
          <w:szCs w:val="24"/>
        </w:rPr>
        <w:t xml:space="preserve"> </w:t>
      </w:r>
      <w:r w:rsidR="00397708">
        <w:rPr>
          <w:rFonts w:ascii="Times New Roman" w:eastAsia="Times New Roman" w:hAnsi="Times New Roman" w:cs="Times New Roman"/>
          <w:sz w:val="24"/>
          <w:szCs w:val="24"/>
        </w:rPr>
        <w:t xml:space="preserve">the issue of access to effective </w:t>
      </w:r>
      <w:r w:rsidR="00015B8D">
        <w:rPr>
          <w:rFonts w:ascii="Times New Roman" w:eastAsia="Times New Roman" w:hAnsi="Times New Roman" w:cs="Times New Roman"/>
          <w:sz w:val="24"/>
          <w:szCs w:val="24"/>
        </w:rPr>
        <w:t xml:space="preserve">and meaningful </w:t>
      </w:r>
      <w:r w:rsidR="00397708">
        <w:rPr>
          <w:rFonts w:ascii="Times New Roman" w:eastAsia="Times New Roman" w:hAnsi="Times New Roman" w:cs="Times New Roman"/>
          <w:sz w:val="24"/>
          <w:szCs w:val="24"/>
        </w:rPr>
        <w:t xml:space="preserve">legal representation. </w:t>
      </w:r>
      <w:r w:rsidR="00015B8D">
        <w:rPr>
          <w:rFonts w:ascii="Times New Roman" w:eastAsia="Times New Roman" w:hAnsi="Times New Roman" w:cs="Times New Roman"/>
          <w:sz w:val="24"/>
          <w:szCs w:val="24"/>
        </w:rPr>
        <w:t>Ngangjoh-</w:t>
      </w:r>
      <w:r w:rsidR="00397708">
        <w:rPr>
          <w:rFonts w:ascii="Times New Roman" w:eastAsia="Times New Roman" w:hAnsi="Times New Roman" w:cs="Times New Roman"/>
          <w:sz w:val="24"/>
          <w:szCs w:val="24"/>
        </w:rPr>
        <w:t xml:space="preserve">Hodu et al mention </w:t>
      </w:r>
      <w:r w:rsidR="00114EF4">
        <w:rPr>
          <w:rFonts w:ascii="Times New Roman" w:eastAsia="Times New Roman" w:hAnsi="Times New Roman" w:cs="Times New Roman"/>
          <w:sz w:val="24"/>
          <w:szCs w:val="24"/>
        </w:rPr>
        <w:t xml:space="preserve">the significant financial costs that are involved in meeting </w:t>
      </w:r>
      <w:r w:rsidR="001E61A7">
        <w:rPr>
          <w:rFonts w:ascii="Times New Roman" w:eastAsia="Times New Roman" w:hAnsi="Times New Roman" w:cs="Times New Roman"/>
          <w:sz w:val="24"/>
          <w:szCs w:val="24"/>
        </w:rPr>
        <w:t>the burden of proof</w:t>
      </w:r>
      <w:r w:rsidR="00114EF4">
        <w:rPr>
          <w:rFonts w:ascii="Times New Roman" w:eastAsia="Times New Roman" w:hAnsi="Times New Roman" w:cs="Times New Roman"/>
          <w:sz w:val="24"/>
          <w:szCs w:val="24"/>
        </w:rPr>
        <w:t xml:space="preserve">, </w:t>
      </w:r>
      <w:r w:rsidR="00114EF4">
        <w:rPr>
          <w:rFonts w:ascii="Times New Roman" w:eastAsia="Times New Roman" w:hAnsi="Times New Roman" w:cs="Times New Roman"/>
          <w:i/>
          <w:iCs/>
          <w:sz w:val="24"/>
          <w:szCs w:val="24"/>
        </w:rPr>
        <w:t xml:space="preserve">inter alia </w:t>
      </w:r>
      <w:r w:rsidR="00114EF4">
        <w:rPr>
          <w:rFonts w:ascii="Times New Roman" w:eastAsia="Times New Roman" w:hAnsi="Times New Roman" w:cs="Times New Roman"/>
          <w:sz w:val="24"/>
          <w:szCs w:val="24"/>
        </w:rPr>
        <w:t xml:space="preserve">in terms of </w:t>
      </w:r>
      <w:r w:rsidR="00BE7103">
        <w:rPr>
          <w:rFonts w:ascii="Times New Roman" w:eastAsia="Times New Roman" w:hAnsi="Times New Roman" w:cs="Times New Roman"/>
          <w:sz w:val="24"/>
          <w:szCs w:val="24"/>
        </w:rPr>
        <w:t xml:space="preserve">requiring </w:t>
      </w:r>
      <w:r w:rsidR="001E61A7">
        <w:rPr>
          <w:rFonts w:ascii="Times New Roman" w:eastAsia="Times New Roman" w:hAnsi="Times New Roman" w:cs="Times New Roman"/>
          <w:sz w:val="24"/>
          <w:szCs w:val="24"/>
        </w:rPr>
        <w:t xml:space="preserve">effective </w:t>
      </w:r>
      <w:r w:rsidR="00114EF4">
        <w:rPr>
          <w:rFonts w:ascii="Times New Roman" w:eastAsia="Times New Roman" w:hAnsi="Times New Roman" w:cs="Times New Roman"/>
          <w:sz w:val="24"/>
          <w:szCs w:val="24"/>
        </w:rPr>
        <w:t xml:space="preserve">legal counselling and </w:t>
      </w:r>
      <w:r w:rsidR="00BE7103">
        <w:rPr>
          <w:rFonts w:ascii="Times New Roman" w:eastAsia="Times New Roman" w:hAnsi="Times New Roman" w:cs="Times New Roman"/>
          <w:sz w:val="24"/>
          <w:szCs w:val="24"/>
        </w:rPr>
        <w:t>gaining</w:t>
      </w:r>
      <w:r w:rsidR="00114EF4">
        <w:rPr>
          <w:rFonts w:ascii="Times New Roman" w:eastAsia="Times New Roman" w:hAnsi="Times New Roman" w:cs="Times New Roman"/>
          <w:sz w:val="24"/>
          <w:szCs w:val="24"/>
        </w:rPr>
        <w:t xml:space="preserve"> access to information and documentation.</w:t>
      </w:r>
      <w:bookmarkStart w:id="37" w:name="_Ref131757992"/>
      <w:r w:rsidR="00114EF4">
        <w:rPr>
          <w:rStyle w:val="FootnoteReference"/>
          <w:rFonts w:ascii="Times New Roman" w:eastAsia="Times New Roman" w:hAnsi="Times New Roman" w:cs="Times New Roman"/>
          <w:sz w:val="24"/>
          <w:szCs w:val="24"/>
        </w:rPr>
        <w:footnoteReference w:id="118"/>
      </w:r>
      <w:bookmarkEnd w:id="37"/>
      <w:r w:rsidR="00114EF4">
        <w:rPr>
          <w:rFonts w:ascii="Times New Roman" w:eastAsia="Times New Roman" w:hAnsi="Times New Roman" w:cs="Times New Roman"/>
          <w:sz w:val="24"/>
          <w:szCs w:val="24"/>
        </w:rPr>
        <w:t xml:space="preserve"> Here, the Parliament’s Legal Affairs Committee proposes to alleviate this problem by allowing victims’ </w:t>
      </w:r>
      <w:r>
        <w:rPr>
          <w:rFonts w:ascii="Times New Roman" w:eastAsia="Times New Roman" w:hAnsi="Times New Roman" w:cs="Times New Roman"/>
          <w:sz w:val="24"/>
          <w:szCs w:val="24"/>
        </w:rPr>
        <w:t xml:space="preserve">to be represented </w:t>
      </w:r>
      <w:r w:rsidR="00114EF4">
        <w:rPr>
          <w:rFonts w:ascii="Times New Roman" w:eastAsia="Times New Roman" w:hAnsi="Times New Roman" w:cs="Times New Roman"/>
          <w:sz w:val="24"/>
          <w:szCs w:val="24"/>
        </w:rPr>
        <w:t>by NGOs and trade unions.</w:t>
      </w:r>
      <w:r w:rsidR="00114EF4">
        <w:rPr>
          <w:rStyle w:val="FootnoteReference"/>
          <w:rFonts w:ascii="Times New Roman" w:eastAsia="Times New Roman" w:hAnsi="Times New Roman" w:cs="Times New Roman"/>
          <w:sz w:val="24"/>
          <w:szCs w:val="24"/>
        </w:rPr>
        <w:footnoteReference w:id="119"/>
      </w:r>
      <w:r w:rsidR="001E61A7">
        <w:rPr>
          <w:rFonts w:ascii="Times New Roman" w:eastAsia="Times New Roman" w:hAnsi="Times New Roman" w:cs="Times New Roman"/>
          <w:sz w:val="24"/>
          <w:szCs w:val="24"/>
        </w:rPr>
        <w:t xml:space="preserve"> This proposal </w:t>
      </w:r>
      <w:r>
        <w:rPr>
          <w:rFonts w:ascii="Times New Roman" w:eastAsia="Times New Roman" w:hAnsi="Times New Roman" w:cs="Times New Roman"/>
          <w:sz w:val="24"/>
          <w:szCs w:val="24"/>
        </w:rPr>
        <w:t>also</w:t>
      </w:r>
      <w:r w:rsidR="001E61A7">
        <w:rPr>
          <w:rFonts w:ascii="Times New Roman" w:eastAsia="Times New Roman" w:hAnsi="Times New Roman" w:cs="Times New Roman"/>
          <w:sz w:val="24"/>
          <w:szCs w:val="24"/>
        </w:rPr>
        <w:t>seems reasonable, and given the CSDDD’s purpose and objective, it is hard to think of reasons to deny it.</w:t>
      </w:r>
      <w:r w:rsidR="00015B8D">
        <w:rPr>
          <w:rFonts w:ascii="Times New Roman" w:eastAsia="Times New Roman" w:hAnsi="Times New Roman" w:cs="Times New Roman"/>
          <w:sz w:val="24"/>
          <w:szCs w:val="24"/>
        </w:rPr>
        <w:t xml:space="preserve"> Whether </w:t>
      </w:r>
      <w:r>
        <w:rPr>
          <w:rFonts w:ascii="Times New Roman" w:eastAsia="Times New Roman" w:hAnsi="Times New Roman" w:cs="Times New Roman"/>
          <w:sz w:val="24"/>
          <w:szCs w:val="24"/>
        </w:rPr>
        <w:t xml:space="preserve">allowing victims to be represented by </w:t>
      </w:r>
      <w:r w:rsidR="00015B8D">
        <w:rPr>
          <w:rFonts w:ascii="Times New Roman" w:eastAsia="Times New Roman" w:hAnsi="Times New Roman" w:cs="Times New Roman"/>
          <w:sz w:val="24"/>
          <w:szCs w:val="24"/>
        </w:rPr>
        <w:t>NGOs</w:t>
      </w:r>
      <w:r>
        <w:rPr>
          <w:rFonts w:ascii="Times New Roman" w:eastAsia="Times New Roman" w:hAnsi="Times New Roman" w:cs="Times New Roman"/>
          <w:sz w:val="24"/>
          <w:szCs w:val="24"/>
        </w:rPr>
        <w:t xml:space="preserve">, </w:t>
      </w:r>
      <w:r w:rsidR="00015B8D">
        <w:rPr>
          <w:rFonts w:ascii="Times New Roman" w:eastAsia="Times New Roman" w:hAnsi="Times New Roman" w:cs="Times New Roman"/>
          <w:sz w:val="24"/>
          <w:szCs w:val="24"/>
        </w:rPr>
        <w:t>on its own</w:t>
      </w:r>
      <w:r>
        <w:rPr>
          <w:rFonts w:ascii="Times New Roman" w:eastAsia="Times New Roman" w:hAnsi="Times New Roman" w:cs="Times New Roman"/>
          <w:sz w:val="24"/>
          <w:szCs w:val="24"/>
        </w:rPr>
        <w:t>,</w:t>
      </w:r>
      <w:r w:rsidR="00015B8D">
        <w:rPr>
          <w:rFonts w:ascii="Times New Roman" w:eastAsia="Times New Roman" w:hAnsi="Times New Roman" w:cs="Times New Roman"/>
          <w:sz w:val="24"/>
          <w:szCs w:val="24"/>
        </w:rPr>
        <w:t xml:space="preserve"> will fill the gap of access to effective legal representation remains questionable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20"/>
      </w:r>
      <w:r>
        <w:rPr>
          <w:rFonts w:ascii="Times New Roman" w:eastAsia="Times New Roman" w:hAnsi="Times New Roman" w:cs="Times New Roman"/>
          <w:sz w:val="24"/>
          <w:szCs w:val="24"/>
        </w:rPr>
        <w:t xml:space="preserve"> L</w:t>
      </w:r>
      <w:r w:rsidR="005A5E8C">
        <w:rPr>
          <w:rFonts w:ascii="Times New Roman" w:eastAsia="Times New Roman" w:hAnsi="Times New Roman" w:cs="Times New Roman"/>
          <w:sz w:val="24"/>
          <w:szCs w:val="24"/>
        </w:rPr>
        <w:t>awmakers will do well to dedicate further thought to this issue.</w:t>
      </w:r>
    </w:p>
    <w:p w14:paraId="62C0BF29" w14:textId="3C029842" w:rsidR="00397708" w:rsidRDefault="00397708" w:rsidP="00BD5289">
      <w:pPr>
        <w:pStyle w:val="Heading4"/>
        <w:spacing w:after="240"/>
        <w:rPr>
          <w:rFonts w:eastAsia="Times New Roman"/>
        </w:rPr>
      </w:pPr>
      <w:r>
        <w:rPr>
          <w:rFonts w:eastAsia="Times New Roman"/>
        </w:rPr>
        <w:t xml:space="preserve">Who is covered? </w:t>
      </w:r>
    </w:p>
    <w:p w14:paraId="534CC476" w14:textId="125011ED" w:rsidR="001E61A7" w:rsidRDefault="00114EF4"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w:t>
      </w:r>
      <w:r w:rsidR="002E607A">
        <w:rPr>
          <w:rFonts w:ascii="Times New Roman" w:eastAsia="Times New Roman" w:hAnsi="Times New Roman" w:cs="Times New Roman"/>
          <w:sz w:val="24"/>
          <w:szCs w:val="24"/>
        </w:rPr>
        <w:t>noteworthy</w:t>
      </w:r>
      <w:r>
        <w:rPr>
          <w:rFonts w:ascii="Times New Roman" w:eastAsia="Times New Roman" w:hAnsi="Times New Roman" w:cs="Times New Roman"/>
          <w:sz w:val="24"/>
          <w:szCs w:val="24"/>
        </w:rPr>
        <w:t xml:space="preserve"> point is related to the CSDDD’s scope, which will determine </w:t>
      </w:r>
      <w:r w:rsidR="00F15A3D">
        <w:rPr>
          <w:rFonts w:ascii="Times New Roman" w:eastAsia="Times New Roman" w:hAnsi="Times New Roman" w:cs="Times New Roman"/>
          <w:sz w:val="24"/>
          <w:szCs w:val="24"/>
        </w:rPr>
        <w:t>how wide the pool of potential defendants will be</w:t>
      </w:r>
      <w:r>
        <w:rPr>
          <w:rFonts w:ascii="Times New Roman" w:eastAsia="Times New Roman" w:hAnsi="Times New Roman" w:cs="Times New Roman"/>
          <w:sz w:val="24"/>
          <w:szCs w:val="24"/>
        </w:rPr>
        <w:t xml:space="preserve">. </w:t>
      </w:r>
      <w:r w:rsidR="00F662AD">
        <w:rPr>
          <w:rFonts w:ascii="Times New Roman" w:eastAsia="Times New Roman" w:hAnsi="Times New Roman" w:cs="Times New Roman"/>
          <w:sz w:val="24"/>
          <w:szCs w:val="24"/>
        </w:rPr>
        <w:t xml:space="preserve">While the French law covers </w:t>
      </w:r>
      <w:r w:rsidR="002E607A">
        <w:rPr>
          <w:rFonts w:ascii="Times New Roman" w:eastAsia="Times New Roman" w:hAnsi="Times New Roman" w:cs="Times New Roman"/>
          <w:sz w:val="24"/>
          <w:szCs w:val="24"/>
        </w:rPr>
        <w:t xml:space="preserve">only ‘mega’ </w:t>
      </w:r>
      <w:r w:rsidR="00F662AD">
        <w:rPr>
          <w:rFonts w:ascii="Times New Roman" w:eastAsia="Times New Roman" w:hAnsi="Times New Roman" w:cs="Times New Roman"/>
          <w:sz w:val="24"/>
          <w:szCs w:val="24"/>
        </w:rPr>
        <w:t xml:space="preserve">companies </w:t>
      </w:r>
      <w:r w:rsidR="002E607A">
        <w:rPr>
          <w:rFonts w:ascii="Times New Roman" w:eastAsia="Times New Roman" w:hAnsi="Times New Roman" w:cs="Times New Roman"/>
          <w:sz w:val="24"/>
          <w:szCs w:val="24"/>
        </w:rPr>
        <w:t>(</w:t>
      </w:r>
      <w:r w:rsidR="00F662AD">
        <w:rPr>
          <w:rFonts w:ascii="Times New Roman" w:eastAsia="Times New Roman" w:hAnsi="Times New Roman" w:cs="Times New Roman"/>
          <w:sz w:val="24"/>
          <w:szCs w:val="24"/>
        </w:rPr>
        <w:t>5000 employees</w:t>
      </w:r>
      <w:r w:rsidR="002E607A">
        <w:rPr>
          <w:rFonts w:ascii="Times New Roman" w:eastAsia="Times New Roman" w:hAnsi="Times New Roman" w:cs="Times New Roman"/>
          <w:sz w:val="24"/>
          <w:szCs w:val="24"/>
        </w:rPr>
        <w:t xml:space="preserve"> and above)</w:t>
      </w:r>
      <w:r w:rsidR="00F662AD">
        <w:rPr>
          <w:rFonts w:ascii="Times New Roman" w:eastAsia="Times New Roman" w:hAnsi="Times New Roman" w:cs="Times New Roman"/>
          <w:sz w:val="24"/>
          <w:szCs w:val="24"/>
        </w:rPr>
        <w:t xml:space="preserve">, the Commission has proposed a </w:t>
      </w:r>
      <w:r w:rsidR="00C33E44">
        <w:rPr>
          <w:rFonts w:ascii="Times New Roman" w:eastAsia="Times New Roman" w:hAnsi="Times New Roman" w:cs="Times New Roman"/>
          <w:sz w:val="24"/>
          <w:szCs w:val="24"/>
        </w:rPr>
        <w:t>significantly</w:t>
      </w:r>
      <w:r w:rsidR="002E607A">
        <w:rPr>
          <w:rFonts w:ascii="Times New Roman" w:eastAsia="Times New Roman" w:hAnsi="Times New Roman" w:cs="Times New Roman"/>
          <w:sz w:val="24"/>
          <w:szCs w:val="24"/>
        </w:rPr>
        <w:t xml:space="preserve"> lower threshold</w:t>
      </w:r>
      <w:r w:rsidR="00F662AD">
        <w:rPr>
          <w:rFonts w:ascii="Times New Roman" w:eastAsia="Times New Roman" w:hAnsi="Times New Roman" w:cs="Times New Roman"/>
          <w:sz w:val="24"/>
          <w:szCs w:val="24"/>
        </w:rPr>
        <w:t xml:space="preserve">: </w:t>
      </w:r>
      <w:r w:rsidR="00F662AD" w:rsidRPr="00BD5289">
        <w:rPr>
          <w:rFonts w:ascii="Times New Roman" w:eastAsia="Times New Roman" w:hAnsi="Times New Roman" w:cs="Times New Roman"/>
          <w:sz w:val="24"/>
          <w:szCs w:val="24"/>
        </w:rPr>
        <w:t>companies with more than 500 employees and turnover of more than EUR 150 million</w:t>
      </w:r>
      <w:r w:rsidR="00F662AD">
        <w:rPr>
          <w:rFonts w:ascii="Times New Roman" w:eastAsia="Times New Roman" w:hAnsi="Times New Roman" w:cs="Times New Roman"/>
          <w:sz w:val="24"/>
          <w:szCs w:val="24"/>
        </w:rPr>
        <w:t>. In ‘high risk’ sectors</w:t>
      </w:r>
      <w:r w:rsidR="00B62B3F">
        <w:rPr>
          <w:rFonts w:ascii="Times New Roman" w:eastAsia="Times New Roman" w:hAnsi="Times New Roman" w:cs="Times New Roman"/>
          <w:sz w:val="24"/>
          <w:szCs w:val="24"/>
        </w:rPr>
        <w:t>,</w:t>
      </w:r>
      <w:r w:rsidR="00F662AD">
        <w:rPr>
          <w:rFonts w:ascii="Times New Roman" w:eastAsia="Times New Roman" w:hAnsi="Times New Roman" w:cs="Times New Roman"/>
          <w:sz w:val="24"/>
          <w:szCs w:val="24"/>
        </w:rPr>
        <w:t xml:space="preserve"> the CSDDD will </w:t>
      </w:r>
      <w:r w:rsidR="00676BAA">
        <w:rPr>
          <w:rFonts w:ascii="Times New Roman" w:eastAsia="Times New Roman" w:hAnsi="Times New Roman" w:cs="Times New Roman"/>
          <w:sz w:val="24"/>
          <w:szCs w:val="24"/>
        </w:rPr>
        <w:t>cover companies with 250 employees and above, with a minimum net turnover of EUR 40 million.</w:t>
      </w:r>
      <w:r w:rsidR="00F662AD">
        <w:rPr>
          <w:rFonts w:ascii="Times New Roman" w:eastAsia="Times New Roman" w:hAnsi="Times New Roman" w:cs="Times New Roman"/>
          <w:sz w:val="24"/>
          <w:szCs w:val="24"/>
        </w:rPr>
        <w:t xml:space="preserve"> The </w:t>
      </w:r>
      <w:r w:rsidR="00676BAA">
        <w:rPr>
          <w:rFonts w:ascii="Times New Roman" w:eastAsia="Times New Roman" w:hAnsi="Times New Roman" w:cs="Times New Roman"/>
          <w:sz w:val="24"/>
          <w:szCs w:val="24"/>
        </w:rPr>
        <w:t xml:space="preserve">EU </w:t>
      </w:r>
      <w:r w:rsidR="00F662AD">
        <w:rPr>
          <w:rFonts w:ascii="Times New Roman" w:eastAsia="Times New Roman" w:hAnsi="Times New Roman" w:cs="Times New Roman"/>
          <w:sz w:val="24"/>
          <w:szCs w:val="24"/>
        </w:rPr>
        <w:t>Parliament</w:t>
      </w:r>
      <w:r w:rsidR="00676BAA">
        <w:rPr>
          <w:rFonts w:ascii="Times New Roman" w:eastAsia="Times New Roman" w:hAnsi="Times New Roman" w:cs="Times New Roman"/>
          <w:sz w:val="24"/>
          <w:szCs w:val="24"/>
        </w:rPr>
        <w:t xml:space="preserve">’s </w:t>
      </w:r>
      <w:r w:rsidR="00077B53">
        <w:rPr>
          <w:rFonts w:ascii="Times New Roman" w:eastAsia="Times New Roman" w:hAnsi="Times New Roman" w:cs="Times New Roman"/>
          <w:sz w:val="24"/>
          <w:szCs w:val="24"/>
        </w:rPr>
        <w:t>L</w:t>
      </w:r>
      <w:r w:rsidR="00676BAA">
        <w:rPr>
          <w:rFonts w:ascii="Times New Roman" w:eastAsia="Times New Roman" w:hAnsi="Times New Roman" w:cs="Times New Roman"/>
          <w:sz w:val="24"/>
          <w:szCs w:val="24"/>
        </w:rPr>
        <w:t xml:space="preserve">egal </w:t>
      </w:r>
      <w:r w:rsidR="00077B53">
        <w:rPr>
          <w:rFonts w:ascii="Times New Roman" w:eastAsia="Times New Roman" w:hAnsi="Times New Roman" w:cs="Times New Roman"/>
          <w:sz w:val="24"/>
          <w:szCs w:val="24"/>
        </w:rPr>
        <w:t>A</w:t>
      </w:r>
      <w:r w:rsidR="00676BAA">
        <w:rPr>
          <w:rFonts w:ascii="Times New Roman" w:eastAsia="Times New Roman" w:hAnsi="Times New Roman" w:cs="Times New Roman"/>
          <w:sz w:val="24"/>
          <w:szCs w:val="24"/>
        </w:rPr>
        <w:t xml:space="preserve">ffairs </w:t>
      </w:r>
      <w:r w:rsidR="00077B53">
        <w:rPr>
          <w:rFonts w:ascii="Times New Roman" w:eastAsia="Times New Roman" w:hAnsi="Times New Roman" w:cs="Times New Roman"/>
          <w:sz w:val="24"/>
          <w:szCs w:val="24"/>
        </w:rPr>
        <w:t>C</w:t>
      </w:r>
      <w:r w:rsidR="00676BAA">
        <w:rPr>
          <w:rFonts w:ascii="Times New Roman" w:eastAsia="Times New Roman" w:hAnsi="Times New Roman" w:cs="Times New Roman"/>
          <w:sz w:val="24"/>
          <w:szCs w:val="24"/>
        </w:rPr>
        <w:t>ommittee</w:t>
      </w:r>
      <w:r w:rsidR="00F662AD">
        <w:rPr>
          <w:rFonts w:ascii="Times New Roman" w:eastAsia="Times New Roman" w:hAnsi="Times New Roman" w:cs="Times New Roman"/>
          <w:sz w:val="24"/>
          <w:szCs w:val="24"/>
        </w:rPr>
        <w:t xml:space="preserve"> is advocating for an even wider coverage</w:t>
      </w:r>
      <w:r w:rsidR="00676BAA">
        <w:rPr>
          <w:rFonts w:ascii="Times New Roman" w:eastAsia="Times New Roman" w:hAnsi="Times New Roman" w:cs="Times New Roman"/>
          <w:sz w:val="24"/>
          <w:szCs w:val="24"/>
        </w:rPr>
        <w:t xml:space="preserve">: 250 employees and above, with a net turnover of EUR 40 million and over. </w:t>
      </w:r>
      <w:r w:rsidR="00B62B3F">
        <w:rPr>
          <w:rFonts w:ascii="Times New Roman" w:eastAsia="Times New Roman" w:hAnsi="Times New Roman" w:cs="Times New Roman"/>
          <w:sz w:val="24"/>
          <w:szCs w:val="24"/>
        </w:rPr>
        <w:t>In</w:t>
      </w:r>
      <w:r w:rsidR="00676BAA">
        <w:rPr>
          <w:rFonts w:ascii="Times New Roman" w:eastAsia="Times New Roman" w:hAnsi="Times New Roman" w:cs="Times New Roman"/>
          <w:sz w:val="24"/>
          <w:szCs w:val="24"/>
        </w:rPr>
        <w:t xml:space="preserve"> ‘high risk’ sectors, the </w:t>
      </w:r>
      <w:r w:rsidR="00740E0B">
        <w:rPr>
          <w:rFonts w:ascii="Times New Roman" w:eastAsia="Times New Roman" w:hAnsi="Times New Roman" w:cs="Times New Roman"/>
          <w:sz w:val="24"/>
          <w:szCs w:val="24"/>
        </w:rPr>
        <w:t xml:space="preserve">Parliament </w:t>
      </w:r>
      <w:r w:rsidR="00077B53">
        <w:rPr>
          <w:rFonts w:ascii="Times New Roman" w:eastAsia="Times New Roman" w:hAnsi="Times New Roman" w:cs="Times New Roman"/>
          <w:sz w:val="24"/>
          <w:szCs w:val="24"/>
        </w:rPr>
        <w:t>L</w:t>
      </w:r>
      <w:r w:rsidR="00676BAA">
        <w:rPr>
          <w:rFonts w:ascii="Times New Roman" w:eastAsia="Times New Roman" w:hAnsi="Times New Roman" w:cs="Times New Roman"/>
          <w:sz w:val="24"/>
          <w:szCs w:val="24"/>
        </w:rPr>
        <w:t xml:space="preserve">egal </w:t>
      </w:r>
      <w:r w:rsidR="00077B53">
        <w:rPr>
          <w:rFonts w:ascii="Times New Roman" w:eastAsia="Times New Roman" w:hAnsi="Times New Roman" w:cs="Times New Roman"/>
          <w:sz w:val="24"/>
          <w:szCs w:val="24"/>
        </w:rPr>
        <w:t>A</w:t>
      </w:r>
      <w:r w:rsidR="00676BAA">
        <w:rPr>
          <w:rFonts w:ascii="Times New Roman" w:eastAsia="Times New Roman" w:hAnsi="Times New Roman" w:cs="Times New Roman"/>
          <w:sz w:val="24"/>
          <w:szCs w:val="24"/>
        </w:rPr>
        <w:t xml:space="preserve">ffairs </w:t>
      </w:r>
      <w:r w:rsidR="00077B53">
        <w:rPr>
          <w:rFonts w:ascii="Times New Roman" w:eastAsia="Times New Roman" w:hAnsi="Times New Roman" w:cs="Times New Roman"/>
          <w:sz w:val="24"/>
          <w:szCs w:val="24"/>
        </w:rPr>
        <w:t>C</w:t>
      </w:r>
      <w:r w:rsidR="00676BAA">
        <w:rPr>
          <w:rFonts w:ascii="Times New Roman" w:eastAsia="Times New Roman" w:hAnsi="Times New Roman" w:cs="Times New Roman"/>
          <w:sz w:val="24"/>
          <w:szCs w:val="24"/>
        </w:rPr>
        <w:t xml:space="preserve">ommittee is asking for a very minimal threshold: 50 employees, and EUR 8 million net turnover. </w:t>
      </w:r>
    </w:p>
    <w:p w14:paraId="501693C8" w14:textId="02BEBE81" w:rsidR="00A97E31" w:rsidRDefault="00676BAA"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can be seen, it</w:t>
      </w:r>
      <w:r w:rsidR="00B62B3F">
        <w:rPr>
          <w:rFonts w:ascii="Times New Roman" w:eastAsia="Times New Roman" w:hAnsi="Times New Roman" w:cs="Times New Roman"/>
          <w:sz w:val="24"/>
          <w:szCs w:val="24"/>
        </w:rPr>
        <w:t xml:space="preserve"> seems certain that </w:t>
      </w:r>
      <w:r w:rsidR="006F2D2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no longer only</w:t>
      </w:r>
      <w:r w:rsidR="005C1B6E">
        <w:rPr>
          <w:rFonts w:ascii="Times New Roman" w:eastAsia="Times New Roman" w:hAnsi="Times New Roman" w:cs="Times New Roman"/>
          <w:sz w:val="24"/>
          <w:szCs w:val="24"/>
        </w:rPr>
        <w:t xml:space="preserve"> the ‘super-large’ companies who will </w:t>
      </w:r>
      <w:r w:rsidR="006F2D2A">
        <w:rPr>
          <w:rFonts w:ascii="Times New Roman" w:eastAsia="Times New Roman" w:hAnsi="Times New Roman" w:cs="Times New Roman"/>
          <w:sz w:val="24"/>
          <w:szCs w:val="24"/>
        </w:rPr>
        <w:t>be subjected to civil liability</w:t>
      </w:r>
      <w:r w:rsidR="005C1B6E">
        <w:rPr>
          <w:rFonts w:ascii="Times New Roman" w:eastAsia="Times New Roman" w:hAnsi="Times New Roman" w:cs="Times New Roman"/>
          <w:sz w:val="24"/>
          <w:szCs w:val="24"/>
        </w:rPr>
        <w:t>, but</w:t>
      </w:r>
      <w:r w:rsidR="006F2D2A">
        <w:rPr>
          <w:rFonts w:ascii="Times New Roman" w:eastAsia="Times New Roman" w:hAnsi="Times New Roman" w:cs="Times New Roman"/>
          <w:sz w:val="24"/>
          <w:szCs w:val="24"/>
        </w:rPr>
        <w:t xml:space="preserve"> also SMEs</w:t>
      </w:r>
      <w:r w:rsidR="005C1B6E">
        <w:rPr>
          <w:rFonts w:ascii="Times New Roman" w:eastAsia="Times New Roman" w:hAnsi="Times New Roman" w:cs="Times New Roman"/>
          <w:sz w:val="24"/>
          <w:szCs w:val="24"/>
        </w:rPr>
        <w:t xml:space="preserve"> (especially of the Parliament’s version is accepted).</w:t>
      </w:r>
      <w:r w:rsidR="00B62B3F">
        <w:rPr>
          <w:rFonts w:ascii="Times New Roman" w:eastAsia="Times New Roman" w:hAnsi="Times New Roman" w:cs="Times New Roman"/>
          <w:sz w:val="24"/>
          <w:szCs w:val="24"/>
        </w:rPr>
        <w:t xml:space="preserve"> The pool of potential </w:t>
      </w:r>
      <w:r w:rsidR="001E61A7">
        <w:rPr>
          <w:rFonts w:ascii="Times New Roman" w:eastAsia="Times New Roman" w:hAnsi="Times New Roman" w:cs="Times New Roman"/>
          <w:sz w:val="24"/>
          <w:szCs w:val="24"/>
        </w:rPr>
        <w:t xml:space="preserve">European </w:t>
      </w:r>
      <w:r w:rsidR="00B62B3F">
        <w:rPr>
          <w:rFonts w:ascii="Times New Roman" w:eastAsia="Times New Roman" w:hAnsi="Times New Roman" w:cs="Times New Roman"/>
          <w:sz w:val="24"/>
          <w:szCs w:val="24"/>
        </w:rPr>
        <w:t xml:space="preserve">defendants, therefore, is expected to </w:t>
      </w:r>
      <w:r w:rsidR="006F2D2A">
        <w:rPr>
          <w:rFonts w:ascii="Times New Roman" w:eastAsia="Times New Roman" w:hAnsi="Times New Roman" w:cs="Times New Roman"/>
          <w:sz w:val="24"/>
          <w:szCs w:val="24"/>
        </w:rPr>
        <w:t>grow</w:t>
      </w:r>
      <w:r w:rsidR="00B62B3F">
        <w:rPr>
          <w:rFonts w:ascii="Times New Roman" w:eastAsia="Times New Roman" w:hAnsi="Times New Roman" w:cs="Times New Roman"/>
          <w:sz w:val="24"/>
          <w:szCs w:val="24"/>
        </w:rPr>
        <w:t xml:space="preserve"> significant</w:t>
      </w:r>
      <w:r w:rsidR="006F2D2A">
        <w:rPr>
          <w:rFonts w:ascii="Times New Roman" w:eastAsia="Times New Roman" w:hAnsi="Times New Roman" w:cs="Times New Roman"/>
          <w:sz w:val="24"/>
          <w:szCs w:val="24"/>
        </w:rPr>
        <w:t>ly</w:t>
      </w:r>
      <w:r w:rsidR="00B62B3F">
        <w:rPr>
          <w:rFonts w:ascii="Times New Roman" w:eastAsia="Times New Roman" w:hAnsi="Times New Roman" w:cs="Times New Roman"/>
          <w:sz w:val="24"/>
          <w:szCs w:val="24"/>
        </w:rPr>
        <w:t xml:space="preserve">. </w:t>
      </w:r>
    </w:p>
    <w:p w14:paraId="6A4ECF38" w14:textId="2213D6EB" w:rsidR="00397708" w:rsidRDefault="00397708" w:rsidP="00BD5289">
      <w:pPr>
        <w:pStyle w:val="Heading4"/>
        <w:spacing w:after="240"/>
        <w:rPr>
          <w:rFonts w:eastAsia="Times New Roman"/>
        </w:rPr>
      </w:pPr>
      <w:r>
        <w:rPr>
          <w:rFonts w:eastAsia="Times New Roman"/>
        </w:rPr>
        <w:lastRenderedPageBreak/>
        <w:t xml:space="preserve">What is the scope of the obligations? </w:t>
      </w:r>
    </w:p>
    <w:p w14:paraId="0BB6F38D" w14:textId="621B8A7B" w:rsidR="001E61A7" w:rsidRDefault="008F4A65"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point to notice concerns the scope of the CSDDD</w:t>
      </w:r>
      <w:r w:rsidR="00B62B3F">
        <w:rPr>
          <w:rFonts w:ascii="Times New Roman" w:eastAsia="Times New Roman" w:hAnsi="Times New Roman" w:cs="Times New Roman"/>
          <w:sz w:val="24"/>
          <w:szCs w:val="24"/>
        </w:rPr>
        <w:t xml:space="preserve"> obligations</w:t>
      </w:r>
      <w:r>
        <w:rPr>
          <w:rFonts w:ascii="Times New Roman" w:eastAsia="Times New Roman" w:hAnsi="Times New Roman" w:cs="Times New Roman"/>
          <w:sz w:val="24"/>
          <w:szCs w:val="24"/>
        </w:rPr>
        <w:t>, i.e. the types of violations that the CSDDD will address</w:t>
      </w:r>
      <w:r w:rsidR="00C33E44">
        <w:rPr>
          <w:rFonts w:ascii="Times New Roman" w:eastAsia="Times New Roman" w:hAnsi="Times New Roman" w:cs="Times New Roman"/>
          <w:sz w:val="24"/>
          <w:szCs w:val="24"/>
        </w:rPr>
        <w:t xml:space="preserve"> and will be subject to potential civil litigation</w:t>
      </w:r>
      <w:r>
        <w:rPr>
          <w:rFonts w:ascii="Times New Roman" w:eastAsia="Times New Roman" w:hAnsi="Times New Roman" w:cs="Times New Roman"/>
          <w:sz w:val="24"/>
          <w:szCs w:val="24"/>
        </w:rPr>
        <w:t xml:space="preserve">. </w:t>
      </w:r>
      <w:r w:rsidR="001E61A7">
        <w:rPr>
          <w:rFonts w:ascii="Times New Roman" w:eastAsia="Times New Roman" w:hAnsi="Times New Roman" w:cs="Times New Roman"/>
          <w:sz w:val="24"/>
          <w:szCs w:val="24"/>
        </w:rPr>
        <w:t>Examples of lawmakers</w:t>
      </w:r>
      <w:r w:rsidR="00C33E44">
        <w:rPr>
          <w:rFonts w:ascii="Times New Roman" w:eastAsia="Times New Roman" w:hAnsi="Times New Roman" w:cs="Times New Roman"/>
          <w:sz w:val="24"/>
          <w:szCs w:val="24"/>
        </w:rPr>
        <w:t>’</w:t>
      </w:r>
      <w:r w:rsidR="001E61A7">
        <w:rPr>
          <w:rFonts w:ascii="Times New Roman" w:eastAsia="Times New Roman" w:hAnsi="Times New Roman" w:cs="Times New Roman"/>
          <w:sz w:val="24"/>
          <w:szCs w:val="24"/>
        </w:rPr>
        <w:t xml:space="preserve"> ambition in this respect vary to a great extent:</w:t>
      </w:r>
      <w:r>
        <w:rPr>
          <w:rFonts w:ascii="Times New Roman" w:eastAsia="Times New Roman" w:hAnsi="Times New Roman" w:cs="Times New Roman"/>
          <w:sz w:val="24"/>
          <w:szCs w:val="24"/>
        </w:rPr>
        <w:t xml:space="preserve"> </w:t>
      </w:r>
      <w:r w:rsidR="00C33E44">
        <w:rPr>
          <w:rFonts w:ascii="Times New Roman" w:eastAsia="Times New Roman" w:hAnsi="Times New Roman" w:cs="Times New Roman"/>
          <w:sz w:val="24"/>
          <w:szCs w:val="24"/>
        </w:rPr>
        <w:t>T</w:t>
      </w:r>
      <w:r>
        <w:rPr>
          <w:rFonts w:ascii="Times New Roman" w:eastAsia="Times New Roman" w:hAnsi="Times New Roman" w:cs="Times New Roman"/>
          <w:sz w:val="24"/>
          <w:szCs w:val="24"/>
        </w:rPr>
        <w:t>he</w:t>
      </w:r>
      <w:r w:rsidR="00C33E44">
        <w:rPr>
          <w:rFonts w:ascii="Times New Roman" w:eastAsia="Times New Roman" w:hAnsi="Times New Roman" w:cs="Times New Roman"/>
          <w:sz w:val="24"/>
          <w:szCs w:val="24"/>
        </w:rPr>
        <w:t xml:space="preserve"> above-discussed</w:t>
      </w:r>
      <w:r>
        <w:rPr>
          <w:rFonts w:ascii="Times New Roman" w:eastAsia="Times New Roman" w:hAnsi="Times New Roman" w:cs="Times New Roman"/>
          <w:sz w:val="24"/>
          <w:szCs w:val="24"/>
        </w:rPr>
        <w:t xml:space="preserve"> French Vigilance Law</w:t>
      </w:r>
      <w:r w:rsidR="00C33E44">
        <w:rPr>
          <w:rFonts w:ascii="Times New Roman" w:eastAsia="Times New Roman" w:hAnsi="Times New Roman" w:cs="Times New Roman"/>
          <w:sz w:val="24"/>
          <w:szCs w:val="24"/>
        </w:rPr>
        <w:t xml:space="preserve"> provides a very generous model,</w:t>
      </w:r>
      <w:r>
        <w:rPr>
          <w:rFonts w:ascii="Times New Roman" w:eastAsia="Times New Roman" w:hAnsi="Times New Roman" w:cs="Times New Roman"/>
          <w:sz w:val="24"/>
          <w:szCs w:val="24"/>
        </w:rPr>
        <w:t xml:space="preserve"> cover</w:t>
      </w:r>
      <w:r w:rsidR="00C33E44">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Pr="00BD5289">
        <w:rPr>
          <w:rFonts w:ascii="Times New Roman" w:eastAsia="Times New Roman" w:hAnsi="Times New Roman" w:cs="Times New Roman"/>
          <w:i/>
          <w:iCs/>
          <w:sz w:val="24"/>
          <w:szCs w:val="24"/>
        </w:rPr>
        <w:t>any</w:t>
      </w:r>
      <w:r>
        <w:rPr>
          <w:rFonts w:ascii="Times New Roman" w:eastAsia="Times New Roman" w:hAnsi="Times New Roman" w:cs="Times New Roman"/>
          <w:sz w:val="24"/>
          <w:szCs w:val="24"/>
        </w:rPr>
        <w:t xml:space="preserve"> significant harm to human rights and the environment</w:t>
      </w:r>
      <w:r w:rsidR="00C33E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EU </w:t>
      </w:r>
      <w:r w:rsidR="00C33E44">
        <w:rPr>
          <w:rFonts w:ascii="Times New Roman" w:eastAsia="Times New Roman" w:hAnsi="Times New Roman" w:cs="Times New Roman"/>
          <w:sz w:val="24"/>
          <w:szCs w:val="24"/>
        </w:rPr>
        <w:t>lawmakers, on the other hand,</w:t>
      </w:r>
      <w:r>
        <w:rPr>
          <w:rFonts w:ascii="Times New Roman" w:eastAsia="Times New Roman" w:hAnsi="Times New Roman" w:cs="Times New Roman"/>
          <w:sz w:val="24"/>
          <w:szCs w:val="24"/>
        </w:rPr>
        <w:t xml:space="preserve"> have </w:t>
      </w:r>
      <w:r w:rsidR="00C33E44">
        <w:rPr>
          <w:rFonts w:ascii="Times New Roman" w:eastAsia="Times New Roman" w:hAnsi="Times New Roman" w:cs="Times New Roman"/>
          <w:sz w:val="24"/>
          <w:szCs w:val="24"/>
        </w:rPr>
        <w:t>decided</w:t>
      </w:r>
      <w:r>
        <w:rPr>
          <w:rFonts w:ascii="Times New Roman" w:eastAsia="Times New Roman" w:hAnsi="Times New Roman" w:cs="Times New Roman"/>
          <w:sz w:val="24"/>
          <w:szCs w:val="24"/>
        </w:rPr>
        <w:t xml:space="preserve"> to follow the</w:t>
      </w:r>
      <w:r w:rsidR="00C33E44">
        <w:rPr>
          <w:rFonts w:ascii="Times New Roman" w:eastAsia="Times New Roman" w:hAnsi="Times New Roman" w:cs="Times New Roman"/>
          <w:sz w:val="24"/>
          <w:szCs w:val="24"/>
        </w:rPr>
        <w:t xml:space="preserve"> more limited</w:t>
      </w:r>
      <w:r>
        <w:rPr>
          <w:rFonts w:ascii="Times New Roman" w:eastAsia="Times New Roman" w:hAnsi="Times New Roman" w:cs="Times New Roman"/>
          <w:sz w:val="24"/>
          <w:szCs w:val="24"/>
        </w:rPr>
        <w:t xml:space="preserve"> </w:t>
      </w:r>
      <w:r w:rsidR="00C33E44">
        <w:rPr>
          <w:rFonts w:ascii="Times New Roman" w:eastAsia="Times New Roman" w:hAnsi="Times New Roman" w:cs="Times New Roman"/>
          <w:sz w:val="24"/>
          <w:szCs w:val="24"/>
        </w:rPr>
        <w:t xml:space="preserve">example of the </w:t>
      </w:r>
      <w:r>
        <w:rPr>
          <w:rFonts w:ascii="Times New Roman" w:eastAsia="Times New Roman" w:hAnsi="Times New Roman" w:cs="Times New Roman"/>
          <w:sz w:val="24"/>
          <w:szCs w:val="24"/>
        </w:rPr>
        <w:t xml:space="preserve">German Supply Chain Act, </w:t>
      </w:r>
      <w:r w:rsidR="00C33E44">
        <w:rPr>
          <w:rFonts w:ascii="Times New Roman" w:eastAsia="Times New Roman" w:hAnsi="Times New Roman" w:cs="Times New Roman"/>
          <w:sz w:val="24"/>
          <w:szCs w:val="24"/>
        </w:rPr>
        <w:t>where only the breach of specific, listed</w:t>
      </w:r>
      <w:r w:rsidR="008C6F95">
        <w:rPr>
          <w:rFonts w:ascii="Times New Roman" w:eastAsia="Times New Roman" w:hAnsi="Times New Roman" w:cs="Times New Roman"/>
          <w:sz w:val="24"/>
          <w:szCs w:val="24"/>
        </w:rPr>
        <w:t xml:space="preserve"> </w:t>
      </w:r>
      <w:r w:rsidR="00C33E44">
        <w:rPr>
          <w:rFonts w:ascii="Times New Roman" w:eastAsia="Times New Roman" w:hAnsi="Times New Roman" w:cs="Times New Roman"/>
          <w:sz w:val="24"/>
          <w:szCs w:val="24"/>
        </w:rPr>
        <w:t xml:space="preserve">provisions of a number of international treaties </w:t>
      </w:r>
      <w:r>
        <w:rPr>
          <w:rFonts w:ascii="Times New Roman" w:eastAsia="Times New Roman" w:hAnsi="Times New Roman" w:cs="Times New Roman"/>
          <w:sz w:val="24"/>
          <w:szCs w:val="24"/>
        </w:rPr>
        <w:t>will be regarded as covered ‘adverse impacts’</w:t>
      </w:r>
      <w:r w:rsidR="00CB5851">
        <w:rPr>
          <w:rFonts w:ascii="Times New Roman" w:eastAsia="Times New Roman" w:hAnsi="Times New Roman" w:cs="Times New Roman"/>
          <w:sz w:val="24"/>
          <w:szCs w:val="24"/>
        </w:rPr>
        <w:t xml:space="preserve"> (i.e. potentially subject to litigation)</w:t>
      </w:r>
      <w:r>
        <w:rPr>
          <w:rFonts w:ascii="Times New Roman" w:eastAsia="Times New Roman" w:hAnsi="Times New Roman" w:cs="Times New Roman"/>
          <w:sz w:val="24"/>
          <w:szCs w:val="24"/>
        </w:rPr>
        <w:t>.</w:t>
      </w:r>
    </w:p>
    <w:p w14:paraId="16F81FA3" w14:textId="19B66A18" w:rsidR="008F4A65" w:rsidRDefault="001E61A7"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Differences in ambition are noticeable also </w:t>
      </w:r>
      <w:r w:rsidR="00ED7D72">
        <w:rPr>
          <w:rFonts w:ascii="Times New Roman" w:eastAsia="Times New Roman" w:hAnsi="Times New Roman" w:cs="Times New Roman"/>
          <w:sz w:val="24"/>
          <w:szCs w:val="24"/>
        </w:rPr>
        <w:t>in the different versions promoted by</w:t>
      </w:r>
      <w:r>
        <w:rPr>
          <w:rFonts w:ascii="Times New Roman" w:eastAsia="Times New Roman" w:hAnsi="Times New Roman" w:cs="Times New Roman"/>
          <w:sz w:val="24"/>
          <w:szCs w:val="24"/>
        </w:rPr>
        <w:t xml:space="preserve"> the EU institutions. </w:t>
      </w:r>
      <w:r w:rsidR="008F4A65">
        <w:rPr>
          <w:rFonts w:ascii="Times New Roman" w:eastAsia="Times New Roman" w:hAnsi="Times New Roman" w:cs="Times New Roman"/>
          <w:sz w:val="24"/>
          <w:szCs w:val="24"/>
        </w:rPr>
        <w:t>The Commission and the Council have both proposed fairly modest lists of treaties</w:t>
      </w:r>
      <w:r w:rsidR="00F81E37">
        <w:rPr>
          <w:rFonts w:ascii="Times New Roman" w:eastAsia="Times New Roman" w:hAnsi="Times New Roman" w:cs="Times New Roman"/>
          <w:sz w:val="24"/>
          <w:szCs w:val="24"/>
        </w:rPr>
        <w:t xml:space="preserve"> (especially in the context of environmental protection</w:t>
      </w:r>
      <w:r w:rsidR="00F81E37">
        <w:rPr>
          <w:rStyle w:val="FootnoteReference"/>
          <w:rFonts w:ascii="Times New Roman" w:eastAsia="Times New Roman" w:hAnsi="Times New Roman" w:cs="Times New Roman"/>
          <w:sz w:val="24"/>
          <w:szCs w:val="24"/>
        </w:rPr>
        <w:footnoteReference w:id="121"/>
      </w:r>
      <w:r w:rsidR="00F81E37">
        <w:rPr>
          <w:rFonts w:ascii="Times New Roman" w:eastAsia="Times New Roman" w:hAnsi="Times New Roman" w:cs="Times New Roman"/>
          <w:sz w:val="24"/>
          <w:szCs w:val="24"/>
        </w:rPr>
        <w:t>)</w:t>
      </w:r>
      <w:r w:rsidR="00F959C2">
        <w:rPr>
          <w:rFonts w:ascii="Times New Roman" w:eastAsia="Times New Roman" w:hAnsi="Times New Roman" w:cs="Times New Roman"/>
          <w:sz w:val="24"/>
          <w:szCs w:val="24"/>
        </w:rPr>
        <w:t>.</w:t>
      </w:r>
      <w:r w:rsidR="00F81E37">
        <w:rPr>
          <w:rFonts w:ascii="Times New Roman" w:eastAsia="Times New Roman" w:hAnsi="Times New Roman" w:cs="Times New Roman"/>
          <w:sz w:val="24"/>
          <w:szCs w:val="24"/>
        </w:rPr>
        <w:t xml:space="preserve"> </w:t>
      </w:r>
      <w:r w:rsidR="00F959C2">
        <w:rPr>
          <w:rFonts w:ascii="Times New Roman" w:eastAsia="Times New Roman" w:hAnsi="Times New Roman" w:cs="Times New Roman"/>
          <w:sz w:val="24"/>
          <w:szCs w:val="24"/>
        </w:rPr>
        <w:t xml:space="preserve">The EU </w:t>
      </w:r>
      <w:r w:rsidR="00F81E37">
        <w:rPr>
          <w:rFonts w:ascii="Times New Roman" w:eastAsia="Times New Roman" w:hAnsi="Times New Roman" w:cs="Times New Roman"/>
          <w:sz w:val="24"/>
          <w:szCs w:val="24"/>
        </w:rPr>
        <w:t>Parliament</w:t>
      </w:r>
      <w:r w:rsidR="00F959C2">
        <w:rPr>
          <w:rFonts w:ascii="Times New Roman" w:eastAsia="Times New Roman" w:hAnsi="Times New Roman" w:cs="Times New Roman"/>
          <w:sz w:val="24"/>
          <w:szCs w:val="24"/>
        </w:rPr>
        <w:t xml:space="preserve"> Legal Affairs Committee</w:t>
      </w:r>
      <w:r w:rsidR="00F81E37">
        <w:rPr>
          <w:rFonts w:ascii="Times New Roman" w:eastAsia="Times New Roman" w:hAnsi="Times New Roman" w:cs="Times New Roman"/>
          <w:sz w:val="24"/>
          <w:szCs w:val="24"/>
        </w:rPr>
        <w:t xml:space="preserve">’s </w:t>
      </w:r>
      <w:r w:rsidR="00F50DDE">
        <w:rPr>
          <w:rFonts w:ascii="Times New Roman" w:eastAsia="Times New Roman" w:hAnsi="Times New Roman" w:cs="Times New Roman"/>
          <w:sz w:val="24"/>
          <w:szCs w:val="24"/>
        </w:rPr>
        <w:t>list</w:t>
      </w:r>
      <w:r w:rsidR="00F81E37">
        <w:rPr>
          <w:rFonts w:ascii="Times New Roman" w:eastAsia="Times New Roman" w:hAnsi="Times New Roman" w:cs="Times New Roman"/>
          <w:sz w:val="24"/>
          <w:szCs w:val="24"/>
        </w:rPr>
        <w:t xml:space="preserve"> is far wider, including </w:t>
      </w:r>
      <w:r w:rsidR="00F81E37">
        <w:rPr>
          <w:rFonts w:ascii="Times New Roman" w:eastAsia="Times New Roman" w:hAnsi="Times New Roman" w:cs="Times New Roman"/>
          <w:i/>
          <w:iCs/>
          <w:sz w:val="24"/>
          <w:szCs w:val="24"/>
        </w:rPr>
        <w:t xml:space="preserve">inter alia </w:t>
      </w:r>
      <w:r w:rsidR="00F81E37">
        <w:rPr>
          <w:rFonts w:ascii="Times New Roman" w:eastAsia="Times New Roman" w:hAnsi="Times New Roman" w:cs="Times New Roman"/>
          <w:sz w:val="24"/>
          <w:szCs w:val="24"/>
        </w:rPr>
        <w:t xml:space="preserve">impacts </w:t>
      </w:r>
      <w:r w:rsidR="00F959C2">
        <w:rPr>
          <w:rFonts w:ascii="Times New Roman" w:eastAsia="Times New Roman" w:hAnsi="Times New Roman" w:cs="Times New Roman"/>
          <w:sz w:val="24"/>
          <w:szCs w:val="24"/>
        </w:rPr>
        <w:t>resulting from</w:t>
      </w:r>
      <w:r w:rsidR="00F81E37">
        <w:rPr>
          <w:rFonts w:ascii="Times New Roman" w:eastAsia="Times New Roman" w:hAnsi="Times New Roman" w:cs="Times New Roman"/>
          <w:sz w:val="24"/>
          <w:szCs w:val="24"/>
        </w:rPr>
        <w:t xml:space="preserve"> </w:t>
      </w:r>
      <w:r w:rsidR="00CB5851">
        <w:rPr>
          <w:rFonts w:ascii="Times New Roman" w:eastAsia="Times New Roman" w:hAnsi="Times New Roman" w:cs="Times New Roman"/>
          <w:sz w:val="24"/>
          <w:szCs w:val="24"/>
        </w:rPr>
        <w:t xml:space="preserve">breaches of </w:t>
      </w:r>
      <w:r w:rsidR="00F959C2">
        <w:rPr>
          <w:rFonts w:ascii="Times New Roman" w:eastAsia="Times New Roman" w:hAnsi="Times New Roman" w:cs="Times New Roman"/>
          <w:sz w:val="24"/>
          <w:szCs w:val="24"/>
        </w:rPr>
        <w:t xml:space="preserve">international treaties on climate change, corruption, and, importantly, also </w:t>
      </w:r>
      <w:r w:rsidR="00CB5851">
        <w:rPr>
          <w:rFonts w:ascii="Times New Roman" w:eastAsia="Times New Roman" w:hAnsi="Times New Roman" w:cs="Times New Roman"/>
          <w:sz w:val="24"/>
          <w:szCs w:val="24"/>
        </w:rPr>
        <w:t>the European Convention on Human Rights</w:t>
      </w:r>
      <w:r w:rsidR="00F81E37">
        <w:rPr>
          <w:rFonts w:ascii="Times New Roman" w:eastAsia="Times New Roman" w:hAnsi="Times New Roman" w:cs="Times New Roman"/>
          <w:sz w:val="24"/>
          <w:szCs w:val="24"/>
        </w:rPr>
        <w:t>.</w:t>
      </w:r>
      <w:r w:rsidR="006E6F6B">
        <w:rPr>
          <w:rStyle w:val="FootnoteReference"/>
          <w:rFonts w:ascii="Times New Roman" w:eastAsia="Times New Roman" w:hAnsi="Times New Roman" w:cs="Times New Roman"/>
          <w:sz w:val="24"/>
          <w:szCs w:val="24"/>
        </w:rPr>
        <w:footnoteReference w:id="122"/>
      </w:r>
      <w:r w:rsidR="00F81E37">
        <w:rPr>
          <w:rFonts w:ascii="Times New Roman" w:eastAsia="Times New Roman" w:hAnsi="Times New Roman" w:cs="Times New Roman"/>
          <w:sz w:val="24"/>
          <w:szCs w:val="24"/>
        </w:rPr>
        <w:t xml:space="preserve"> </w:t>
      </w:r>
      <w:r w:rsidR="00CB5851">
        <w:rPr>
          <w:rFonts w:ascii="Times New Roman" w:eastAsia="Times New Roman" w:hAnsi="Times New Roman" w:cs="Times New Roman"/>
          <w:sz w:val="24"/>
          <w:szCs w:val="24"/>
        </w:rPr>
        <w:t xml:space="preserve">The versions </w:t>
      </w:r>
      <w:r w:rsidR="00F959C2">
        <w:rPr>
          <w:rFonts w:ascii="Times New Roman" w:eastAsia="Times New Roman" w:hAnsi="Times New Roman" w:cs="Times New Roman"/>
          <w:sz w:val="24"/>
          <w:szCs w:val="24"/>
        </w:rPr>
        <w:t xml:space="preserve">presented by the three EU institutions </w:t>
      </w:r>
      <w:r w:rsidR="00CB5851">
        <w:rPr>
          <w:rFonts w:ascii="Times New Roman" w:eastAsia="Times New Roman" w:hAnsi="Times New Roman" w:cs="Times New Roman"/>
          <w:sz w:val="24"/>
          <w:szCs w:val="24"/>
        </w:rPr>
        <w:t>are significant</w:t>
      </w:r>
      <w:r w:rsidR="00F959C2">
        <w:rPr>
          <w:rFonts w:ascii="Times New Roman" w:eastAsia="Times New Roman" w:hAnsi="Times New Roman" w:cs="Times New Roman"/>
          <w:sz w:val="24"/>
          <w:szCs w:val="24"/>
        </w:rPr>
        <w:t>ly different, and the result of their negotiations will be crucial: it</w:t>
      </w:r>
      <w:r w:rsidR="00CB5851">
        <w:rPr>
          <w:rFonts w:ascii="Times New Roman" w:eastAsia="Times New Roman" w:hAnsi="Times New Roman" w:cs="Times New Roman"/>
          <w:sz w:val="24"/>
          <w:szCs w:val="24"/>
        </w:rPr>
        <w:t xml:space="preserve"> will determine the effectiveness of </w:t>
      </w:r>
      <w:r w:rsidR="00F959C2">
        <w:rPr>
          <w:rFonts w:ascii="Times New Roman" w:eastAsia="Times New Roman" w:hAnsi="Times New Roman" w:cs="Times New Roman"/>
          <w:sz w:val="24"/>
          <w:szCs w:val="24"/>
        </w:rPr>
        <w:t>CSDDD</w:t>
      </w:r>
      <w:r w:rsidR="00B75465">
        <w:rPr>
          <w:rFonts w:ascii="Times New Roman" w:eastAsia="Times New Roman" w:hAnsi="Times New Roman" w:cs="Times New Roman"/>
          <w:sz w:val="24"/>
          <w:szCs w:val="24"/>
        </w:rPr>
        <w:t xml:space="preserve"> and its usability for future claimants.</w:t>
      </w:r>
    </w:p>
    <w:p w14:paraId="410A8211" w14:textId="0C0E450D" w:rsidR="001E61A7" w:rsidRPr="00F81E37" w:rsidRDefault="001E61A7" w:rsidP="00BD5289">
      <w:pPr>
        <w:pStyle w:val="Heading4"/>
        <w:spacing w:after="240"/>
        <w:rPr>
          <w:rFonts w:eastAsia="Times New Roman"/>
        </w:rPr>
      </w:pPr>
      <w:r>
        <w:rPr>
          <w:rFonts w:eastAsia="Times New Roman"/>
        </w:rPr>
        <w:t>Potential ‘contractual assurances’ defence?</w:t>
      </w:r>
    </w:p>
    <w:p w14:paraId="7DF2AAC4" w14:textId="7623DDB3" w:rsidR="004D08B9" w:rsidRDefault="004D08B9"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85BCD" w:rsidRPr="00150F3D">
        <w:rPr>
          <w:rFonts w:ascii="Times New Roman" w:eastAsia="Times New Roman" w:hAnsi="Times New Roman" w:cs="Times New Roman"/>
          <w:sz w:val="24"/>
          <w:szCs w:val="24"/>
        </w:rPr>
        <w:t xml:space="preserve">he </w:t>
      </w:r>
      <w:r w:rsidR="00EA47E6" w:rsidRPr="00150F3D">
        <w:rPr>
          <w:rFonts w:ascii="Times New Roman" w:eastAsia="Times New Roman" w:hAnsi="Times New Roman" w:cs="Times New Roman"/>
          <w:sz w:val="24"/>
          <w:szCs w:val="24"/>
        </w:rPr>
        <w:t>effectiveness of the civil liability framework</w:t>
      </w:r>
      <w:r w:rsidR="00F655D6">
        <w:rPr>
          <w:rFonts w:ascii="Times New Roman" w:eastAsia="Times New Roman" w:hAnsi="Times New Roman" w:cs="Times New Roman"/>
          <w:sz w:val="24"/>
          <w:szCs w:val="24"/>
        </w:rPr>
        <w:t>s</w:t>
      </w:r>
      <w:r w:rsidR="00EA47E6" w:rsidRPr="00150F3D">
        <w:rPr>
          <w:rFonts w:ascii="Times New Roman" w:eastAsia="Times New Roman" w:hAnsi="Times New Roman" w:cs="Times New Roman"/>
          <w:sz w:val="24"/>
          <w:szCs w:val="24"/>
        </w:rPr>
        <w:t xml:space="preserve"> under </w:t>
      </w:r>
      <w:r w:rsidR="00F655D6">
        <w:rPr>
          <w:rFonts w:ascii="Times New Roman" w:eastAsia="Times New Roman" w:hAnsi="Times New Roman" w:cs="Times New Roman"/>
          <w:sz w:val="24"/>
          <w:szCs w:val="24"/>
        </w:rPr>
        <w:t xml:space="preserve">sustainability due diligence </w:t>
      </w:r>
      <w:r w:rsidR="008C6F95">
        <w:rPr>
          <w:rFonts w:ascii="Times New Roman" w:eastAsia="Times New Roman" w:hAnsi="Times New Roman" w:cs="Times New Roman"/>
          <w:sz w:val="24"/>
          <w:szCs w:val="24"/>
        </w:rPr>
        <w:t>legislation</w:t>
      </w:r>
      <w:r w:rsidR="00F655D6">
        <w:rPr>
          <w:rFonts w:ascii="Times New Roman" w:eastAsia="Times New Roman" w:hAnsi="Times New Roman" w:cs="Times New Roman"/>
          <w:sz w:val="24"/>
          <w:szCs w:val="24"/>
        </w:rPr>
        <w:t xml:space="preserve"> will be determined also in light of the legal defences and exceptions that it will allow regulated companies. The </w:t>
      </w:r>
      <w:r w:rsidR="008C6F95">
        <w:rPr>
          <w:rFonts w:ascii="Times New Roman" w:eastAsia="Times New Roman" w:hAnsi="Times New Roman" w:cs="Times New Roman"/>
          <w:sz w:val="24"/>
          <w:szCs w:val="24"/>
        </w:rPr>
        <w:t>CSDDD’s</w:t>
      </w:r>
      <w:r w:rsidR="00F655D6">
        <w:rPr>
          <w:rFonts w:ascii="Times New Roman" w:eastAsia="Times New Roman" w:hAnsi="Times New Roman" w:cs="Times New Roman"/>
          <w:sz w:val="24"/>
          <w:szCs w:val="24"/>
        </w:rPr>
        <w:t xml:space="preserve"> effectiveness</w:t>
      </w:r>
      <w:r w:rsidRPr="00150F3D">
        <w:rPr>
          <w:rFonts w:ascii="Times New Roman" w:eastAsia="Times New Roman" w:hAnsi="Times New Roman" w:cs="Times New Roman"/>
          <w:sz w:val="24"/>
          <w:szCs w:val="24"/>
        </w:rPr>
        <w:t xml:space="preserve"> </w:t>
      </w:r>
      <w:r w:rsidR="00574279" w:rsidRPr="00150F3D">
        <w:rPr>
          <w:rFonts w:ascii="Times New Roman" w:eastAsia="Times New Roman" w:hAnsi="Times New Roman" w:cs="Times New Roman"/>
          <w:sz w:val="24"/>
          <w:szCs w:val="24"/>
        </w:rPr>
        <w:t>has been que</w:t>
      </w:r>
      <w:r w:rsidR="00D3728C" w:rsidRPr="00150F3D">
        <w:rPr>
          <w:rFonts w:ascii="Times New Roman" w:eastAsia="Times New Roman" w:hAnsi="Times New Roman" w:cs="Times New Roman"/>
          <w:sz w:val="24"/>
          <w:szCs w:val="24"/>
        </w:rPr>
        <w:t>stioned</w:t>
      </w:r>
      <w:r w:rsidR="00F655D6">
        <w:rPr>
          <w:rFonts w:ascii="Times New Roman" w:eastAsia="Times New Roman" w:hAnsi="Times New Roman" w:cs="Times New Roman"/>
          <w:sz w:val="24"/>
          <w:szCs w:val="24"/>
        </w:rPr>
        <w:t xml:space="preserve"> in this respect,</w:t>
      </w:r>
      <w:r w:rsidR="00D3728C" w:rsidRPr="00150F3D">
        <w:rPr>
          <w:rFonts w:ascii="Times New Roman" w:eastAsia="Times New Roman" w:hAnsi="Times New Roman" w:cs="Times New Roman"/>
          <w:sz w:val="24"/>
          <w:szCs w:val="24"/>
        </w:rPr>
        <w:t xml:space="preserve"> on account of the </w:t>
      </w:r>
      <w:r w:rsidR="001C0816" w:rsidRPr="00150F3D">
        <w:rPr>
          <w:rFonts w:ascii="Times New Roman" w:eastAsia="Times New Roman" w:hAnsi="Times New Roman" w:cs="Times New Roman"/>
          <w:sz w:val="24"/>
          <w:szCs w:val="24"/>
        </w:rPr>
        <w:t>quasi-due</w:t>
      </w:r>
      <w:r w:rsidR="00D3728C" w:rsidRPr="00150F3D">
        <w:rPr>
          <w:rFonts w:ascii="Times New Roman" w:eastAsia="Times New Roman" w:hAnsi="Times New Roman" w:cs="Times New Roman"/>
          <w:sz w:val="24"/>
          <w:szCs w:val="24"/>
        </w:rPr>
        <w:t xml:space="preserve"> diligence defence </w:t>
      </w:r>
      <w:r w:rsidR="008C6F95">
        <w:rPr>
          <w:rFonts w:ascii="Times New Roman" w:eastAsia="Times New Roman" w:hAnsi="Times New Roman" w:cs="Times New Roman"/>
          <w:sz w:val="24"/>
          <w:szCs w:val="24"/>
        </w:rPr>
        <w:t>that</w:t>
      </w:r>
      <w:r w:rsidR="00D3728C" w:rsidRPr="00150F3D">
        <w:rPr>
          <w:rFonts w:ascii="Times New Roman" w:eastAsia="Times New Roman" w:hAnsi="Times New Roman" w:cs="Times New Roman"/>
          <w:sz w:val="24"/>
          <w:szCs w:val="24"/>
        </w:rPr>
        <w:t xml:space="preserve"> it affords </w:t>
      </w:r>
      <w:r w:rsidR="00001B44" w:rsidRPr="00150F3D">
        <w:rPr>
          <w:rFonts w:ascii="Times New Roman" w:eastAsia="Times New Roman" w:hAnsi="Times New Roman" w:cs="Times New Roman"/>
          <w:sz w:val="24"/>
          <w:szCs w:val="24"/>
        </w:rPr>
        <w:t xml:space="preserve">in-scope companies. </w:t>
      </w:r>
      <w:r w:rsidR="000F1170" w:rsidRPr="00150F3D">
        <w:rPr>
          <w:rFonts w:ascii="Times New Roman" w:eastAsia="Times New Roman" w:hAnsi="Times New Roman" w:cs="Times New Roman"/>
          <w:sz w:val="24"/>
          <w:szCs w:val="24"/>
        </w:rPr>
        <w:t xml:space="preserve">While Article 22(1) provides </w:t>
      </w:r>
      <w:r w:rsidR="00B63F23" w:rsidRPr="00150F3D">
        <w:rPr>
          <w:rFonts w:ascii="Times New Roman" w:eastAsia="Times New Roman" w:hAnsi="Times New Roman" w:cs="Times New Roman"/>
          <w:sz w:val="24"/>
          <w:szCs w:val="24"/>
        </w:rPr>
        <w:t>that businesses shall be liable for damages resulting from failure to fulfil obligations</w:t>
      </w:r>
      <w:r w:rsidR="00777D6F" w:rsidRPr="00150F3D">
        <w:rPr>
          <w:rFonts w:ascii="Times New Roman" w:eastAsia="Times New Roman" w:hAnsi="Times New Roman" w:cs="Times New Roman"/>
          <w:sz w:val="24"/>
          <w:szCs w:val="24"/>
        </w:rPr>
        <w:t xml:space="preserve"> </w:t>
      </w:r>
      <w:r w:rsidR="00933D7B" w:rsidRPr="00150F3D">
        <w:rPr>
          <w:rFonts w:ascii="Times New Roman" w:eastAsia="Times New Roman" w:hAnsi="Times New Roman" w:cs="Times New Roman"/>
          <w:sz w:val="24"/>
          <w:szCs w:val="24"/>
        </w:rPr>
        <w:t xml:space="preserve">specified under Articles 7 &amp; 8 </w:t>
      </w:r>
      <w:r w:rsidR="00777D6F" w:rsidRPr="00150F3D">
        <w:rPr>
          <w:rFonts w:ascii="Times New Roman" w:eastAsia="Times New Roman" w:hAnsi="Times New Roman" w:cs="Times New Roman"/>
          <w:sz w:val="24"/>
          <w:szCs w:val="24"/>
        </w:rPr>
        <w:t xml:space="preserve">with respect to </w:t>
      </w:r>
      <w:r w:rsidR="008D0752" w:rsidRPr="00150F3D">
        <w:rPr>
          <w:rFonts w:ascii="Times New Roman" w:eastAsia="Times New Roman" w:hAnsi="Times New Roman" w:cs="Times New Roman"/>
          <w:sz w:val="24"/>
          <w:szCs w:val="24"/>
        </w:rPr>
        <w:t xml:space="preserve">preventing potential adverse impacts and </w:t>
      </w:r>
      <w:r w:rsidR="00FF0AA3" w:rsidRPr="00150F3D">
        <w:rPr>
          <w:rFonts w:ascii="Times New Roman" w:eastAsia="Times New Roman" w:hAnsi="Times New Roman" w:cs="Times New Roman"/>
          <w:sz w:val="24"/>
          <w:szCs w:val="24"/>
        </w:rPr>
        <w:t xml:space="preserve">bringing actual adverse impacts to an end respectively, </w:t>
      </w:r>
      <w:r w:rsidR="00876A08" w:rsidRPr="00150F3D">
        <w:rPr>
          <w:rFonts w:ascii="Times New Roman" w:eastAsia="Times New Roman" w:hAnsi="Times New Roman" w:cs="Times New Roman"/>
          <w:sz w:val="24"/>
          <w:szCs w:val="24"/>
        </w:rPr>
        <w:t>Article</w:t>
      </w:r>
      <w:r w:rsidR="00FF0AA3" w:rsidRPr="00150F3D">
        <w:rPr>
          <w:rFonts w:ascii="Times New Roman" w:eastAsia="Times New Roman" w:hAnsi="Times New Roman" w:cs="Times New Roman"/>
          <w:sz w:val="24"/>
          <w:szCs w:val="24"/>
        </w:rPr>
        <w:t xml:space="preserve"> 22(2) </w:t>
      </w:r>
      <w:r w:rsidR="006331FE" w:rsidRPr="00150F3D">
        <w:rPr>
          <w:rFonts w:ascii="Times New Roman" w:eastAsia="Times New Roman" w:hAnsi="Times New Roman" w:cs="Times New Roman"/>
          <w:sz w:val="24"/>
          <w:szCs w:val="24"/>
        </w:rPr>
        <w:t>effectively</w:t>
      </w:r>
      <w:r w:rsidR="00F655D6">
        <w:rPr>
          <w:rFonts w:ascii="Times New Roman" w:eastAsia="Times New Roman" w:hAnsi="Times New Roman" w:cs="Times New Roman"/>
          <w:sz w:val="24"/>
          <w:szCs w:val="24"/>
        </w:rPr>
        <w:t xml:space="preserve"> has somewhat</w:t>
      </w:r>
      <w:r w:rsidR="006331FE" w:rsidRPr="00150F3D">
        <w:rPr>
          <w:rFonts w:ascii="Times New Roman" w:eastAsia="Times New Roman" w:hAnsi="Times New Roman" w:cs="Times New Roman"/>
          <w:sz w:val="24"/>
          <w:szCs w:val="24"/>
        </w:rPr>
        <w:t xml:space="preserve"> eroded the </w:t>
      </w:r>
      <w:r w:rsidR="000F014E" w:rsidRPr="00150F3D">
        <w:rPr>
          <w:rFonts w:ascii="Times New Roman" w:eastAsia="Times New Roman" w:hAnsi="Times New Roman" w:cs="Times New Roman"/>
          <w:sz w:val="24"/>
          <w:szCs w:val="24"/>
        </w:rPr>
        <w:t xml:space="preserve">deterrence effect of the </w:t>
      </w:r>
      <w:r w:rsidR="00876A08" w:rsidRPr="00150F3D">
        <w:rPr>
          <w:rFonts w:ascii="Times New Roman" w:eastAsia="Times New Roman" w:hAnsi="Times New Roman" w:cs="Times New Roman"/>
          <w:sz w:val="24"/>
          <w:szCs w:val="24"/>
        </w:rPr>
        <w:t>civil liability regime</w:t>
      </w:r>
      <w:r w:rsidR="00573B07">
        <w:rPr>
          <w:rFonts w:ascii="Times New Roman" w:eastAsia="Times New Roman" w:hAnsi="Times New Roman" w:cs="Times New Roman"/>
          <w:sz w:val="24"/>
          <w:szCs w:val="24"/>
        </w:rPr>
        <w:t>.</w:t>
      </w:r>
      <w:r w:rsidR="00A5320D" w:rsidRPr="00150F3D">
        <w:rPr>
          <w:rStyle w:val="FootnoteReference"/>
          <w:rFonts w:ascii="Times New Roman" w:eastAsia="Times New Roman" w:hAnsi="Times New Roman" w:cs="Times New Roman"/>
          <w:sz w:val="24"/>
          <w:szCs w:val="24"/>
        </w:rPr>
        <w:footnoteReference w:id="123"/>
      </w:r>
      <w:r w:rsidR="00876A08" w:rsidRPr="00150F3D">
        <w:rPr>
          <w:rFonts w:ascii="Times New Roman" w:eastAsia="Times New Roman" w:hAnsi="Times New Roman" w:cs="Times New Roman"/>
          <w:sz w:val="24"/>
          <w:szCs w:val="24"/>
        </w:rPr>
        <w:t xml:space="preserve"> Essentially, </w:t>
      </w:r>
      <w:r w:rsidR="00980313" w:rsidRPr="00150F3D">
        <w:rPr>
          <w:rFonts w:ascii="Times New Roman" w:eastAsia="Times New Roman" w:hAnsi="Times New Roman" w:cs="Times New Roman"/>
          <w:sz w:val="24"/>
          <w:szCs w:val="24"/>
        </w:rPr>
        <w:t xml:space="preserve">Article 22(2) of </w:t>
      </w:r>
      <w:r w:rsidR="00001B44" w:rsidRPr="00150F3D">
        <w:rPr>
          <w:rFonts w:ascii="Times New Roman" w:eastAsia="Times New Roman" w:hAnsi="Times New Roman" w:cs="Times New Roman"/>
          <w:sz w:val="24"/>
          <w:szCs w:val="24"/>
        </w:rPr>
        <w:t xml:space="preserve">the Proposed Directive </w:t>
      </w:r>
      <w:r w:rsidR="00274D7B" w:rsidRPr="00150F3D">
        <w:rPr>
          <w:rFonts w:ascii="Times New Roman" w:eastAsia="Times New Roman" w:hAnsi="Times New Roman" w:cs="Times New Roman"/>
          <w:sz w:val="24"/>
          <w:szCs w:val="24"/>
        </w:rPr>
        <w:t>excuses a company from liability fo</w:t>
      </w:r>
      <w:r w:rsidR="002075E7" w:rsidRPr="00150F3D">
        <w:rPr>
          <w:rFonts w:ascii="Times New Roman" w:eastAsia="Times New Roman" w:hAnsi="Times New Roman" w:cs="Times New Roman"/>
          <w:sz w:val="24"/>
          <w:szCs w:val="24"/>
        </w:rPr>
        <w:t>r damages caused by an adverse impact arising as a result of the activities of an indirect partner with whom it has an established business relationship,</w:t>
      </w:r>
      <w:r w:rsidR="00C322A7" w:rsidRPr="00150F3D">
        <w:rPr>
          <w:rFonts w:ascii="Times New Roman" w:eastAsia="Times New Roman" w:hAnsi="Times New Roman" w:cs="Times New Roman"/>
          <w:sz w:val="24"/>
          <w:szCs w:val="24"/>
        </w:rPr>
        <w:t xml:space="preserve"> where the </w:t>
      </w:r>
      <w:r w:rsidR="002777C6" w:rsidRPr="00150F3D">
        <w:rPr>
          <w:rFonts w:ascii="Times New Roman" w:eastAsia="Times New Roman" w:hAnsi="Times New Roman" w:cs="Times New Roman"/>
          <w:sz w:val="24"/>
          <w:szCs w:val="24"/>
        </w:rPr>
        <w:t xml:space="preserve">company has taken the </w:t>
      </w:r>
      <w:r w:rsidR="00C007A9" w:rsidRPr="00150F3D">
        <w:rPr>
          <w:rFonts w:ascii="Times New Roman" w:eastAsia="Times New Roman" w:hAnsi="Times New Roman" w:cs="Times New Roman"/>
          <w:sz w:val="24"/>
          <w:szCs w:val="24"/>
        </w:rPr>
        <w:t>due diligence steps r</w:t>
      </w:r>
      <w:r w:rsidR="002777C6" w:rsidRPr="00150F3D">
        <w:rPr>
          <w:rFonts w:ascii="Times New Roman" w:eastAsia="Times New Roman" w:hAnsi="Times New Roman" w:cs="Times New Roman"/>
          <w:sz w:val="24"/>
          <w:szCs w:val="24"/>
        </w:rPr>
        <w:t xml:space="preserve">eferred to in </w:t>
      </w:r>
      <w:bookmarkStart w:id="38" w:name="_Hlk117691732"/>
      <w:r w:rsidR="002777C6" w:rsidRPr="00150F3D">
        <w:rPr>
          <w:rFonts w:ascii="Times New Roman" w:eastAsia="Times New Roman" w:hAnsi="Times New Roman" w:cs="Times New Roman"/>
          <w:sz w:val="24"/>
          <w:szCs w:val="24"/>
        </w:rPr>
        <w:t xml:space="preserve">Article 7(2), </w:t>
      </w:r>
      <w:r w:rsidR="002777C6" w:rsidRPr="00150F3D">
        <w:rPr>
          <w:rFonts w:ascii="Times New Roman" w:eastAsia="Times New Roman" w:hAnsi="Times New Roman" w:cs="Times New Roman"/>
          <w:sz w:val="24"/>
          <w:szCs w:val="24"/>
        </w:rPr>
        <w:lastRenderedPageBreak/>
        <w:t>point (b) and Article 7(4), or Article 8(3), point (c), and Article 8(5)</w:t>
      </w:r>
      <w:r w:rsidR="00BA577D" w:rsidRPr="00150F3D">
        <w:rPr>
          <w:rFonts w:ascii="Times New Roman" w:eastAsia="Times New Roman" w:hAnsi="Times New Roman" w:cs="Times New Roman"/>
          <w:sz w:val="24"/>
          <w:szCs w:val="24"/>
        </w:rPr>
        <w:t xml:space="preserve"> </w:t>
      </w:r>
      <w:bookmarkEnd w:id="38"/>
      <w:r w:rsidR="00BA577D" w:rsidRPr="00150F3D">
        <w:rPr>
          <w:rFonts w:ascii="Times New Roman" w:eastAsia="Times New Roman" w:hAnsi="Times New Roman" w:cs="Times New Roman"/>
          <w:sz w:val="24"/>
          <w:szCs w:val="24"/>
        </w:rPr>
        <w:t>including contractual assurance</w:t>
      </w:r>
      <w:r w:rsidR="00FA1A2F" w:rsidRPr="00150F3D">
        <w:rPr>
          <w:rFonts w:ascii="Times New Roman" w:eastAsia="Times New Roman" w:hAnsi="Times New Roman" w:cs="Times New Roman"/>
          <w:sz w:val="24"/>
          <w:szCs w:val="24"/>
        </w:rPr>
        <w:t xml:space="preserve">s from business partners to comply with </w:t>
      </w:r>
      <w:r w:rsidR="00C4652D" w:rsidRPr="00150F3D">
        <w:rPr>
          <w:rFonts w:ascii="Times New Roman" w:eastAsia="Times New Roman" w:hAnsi="Times New Roman" w:cs="Times New Roman"/>
          <w:sz w:val="24"/>
          <w:szCs w:val="24"/>
        </w:rPr>
        <w:t>the company’s code of conduct</w:t>
      </w:r>
      <w:r w:rsidR="00573B07">
        <w:rPr>
          <w:rFonts w:ascii="Times New Roman" w:eastAsia="Times New Roman" w:hAnsi="Times New Roman" w:cs="Times New Roman"/>
          <w:sz w:val="24"/>
          <w:szCs w:val="24"/>
        </w:rPr>
        <w:t>.</w:t>
      </w:r>
      <w:r w:rsidR="00FA0C3E" w:rsidRPr="00150F3D">
        <w:rPr>
          <w:rStyle w:val="FootnoteReference"/>
          <w:rFonts w:ascii="Times New Roman" w:eastAsia="Times New Roman" w:hAnsi="Times New Roman" w:cs="Times New Roman"/>
          <w:sz w:val="24"/>
          <w:szCs w:val="24"/>
        </w:rPr>
        <w:footnoteReference w:id="124"/>
      </w:r>
    </w:p>
    <w:p w14:paraId="10DD1F36" w14:textId="1D9EA5E6" w:rsidR="00DC7178" w:rsidRPr="00150F3D" w:rsidRDefault="004D08B9" w:rsidP="00B8229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21746" w:rsidRPr="00150F3D">
        <w:rPr>
          <w:rFonts w:ascii="Times New Roman" w:eastAsia="Times New Roman" w:hAnsi="Times New Roman" w:cs="Times New Roman"/>
          <w:sz w:val="24"/>
          <w:szCs w:val="24"/>
        </w:rPr>
        <w:t xml:space="preserve">ontractual assurances </w:t>
      </w:r>
      <w:r w:rsidR="007F1300" w:rsidRPr="00150F3D">
        <w:rPr>
          <w:rFonts w:ascii="Times New Roman" w:eastAsia="Times New Roman" w:hAnsi="Times New Roman" w:cs="Times New Roman"/>
          <w:sz w:val="24"/>
          <w:szCs w:val="24"/>
        </w:rPr>
        <w:t xml:space="preserve">and associated audit/verification processes as referenced in the </w:t>
      </w:r>
      <w:r w:rsidR="00F655D6">
        <w:rPr>
          <w:rFonts w:ascii="Times New Roman" w:eastAsia="Times New Roman" w:hAnsi="Times New Roman" w:cs="Times New Roman"/>
          <w:sz w:val="24"/>
          <w:szCs w:val="24"/>
        </w:rPr>
        <w:t>CSDDD</w:t>
      </w:r>
      <w:r w:rsidR="006D22E5" w:rsidRPr="00150F3D">
        <w:rPr>
          <w:rFonts w:ascii="Times New Roman" w:eastAsia="Times New Roman" w:hAnsi="Times New Roman" w:cs="Times New Roman"/>
          <w:sz w:val="24"/>
          <w:szCs w:val="24"/>
        </w:rPr>
        <w:t xml:space="preserve">, </w:t>
      </w:r>
      <w:r w:rsidR="00290EDA" w:rsidRPr="00150F3D">
        <w:rPr>
          <w:rFonts w:ascii="Times New Roman" w:eastAsia="Times New Roman" w:hAnsi="Times New Roman" w:cs="Times New Roman"/>
          <w:sz w:val="24"/>
          <w:szCs w:val="24"/>
        </w:rPr>
        <w:t xml:space="preserve">have been </w:t>
      </w:r>
      <w:r w:rsidR="000A1AD1" w:rsidRPr="00150F3D">
        <w:rPr>
          <w:rFonts w:ascii="Times New Roman" w:eastAsia="Times New Roman" w:hAnsi="Times New Roman" w:cs="Times New Roman"/>
          <w:sz w:val="24"/>
          <w:szCs w:val="24"/>
        </w:rPr>
        <w:t xml:space="preserve">described </w:t>
      </w:r>
      <w:r>
        <w:rPr>
          <w:rFonts w:ascii="Times New Roman" w:eastAsia="Times New Roman" w:hAnsi="Times New Roman" w:cs="Times New Roman"/>
          <w:sz w:val="24"/>
          <w:szCs w:val="24"/>
        </w:rPr>
        <w:t xml:space="preserve">by some </w:t>
      </w:r>
      <w:r w:rsidR="000A1AD1" w:rsidRPr="00150F3D">
        <w:rPr>
          <w:rFonts w:ascii="Times New Roman" w:eastAsia="Times New Roman" w:hAnsi="Times New Roman" w:cs="Times New Roman"/>
          <w:sz w:val="24"/>
          <w:szCs w:val="24"/>
        </w:rPr>
        <w:t>as having</w:t>
      </w:r>
      <w:r w:rsidR="00290EDA" w:rsidRPr="00150F3D">
        <w:rPr>
          <w:rFonts w:ascii="Times New Roman" w:eastAsia="Times New Roman" w:hAnsi="Times New Roman" w:cs="Times New Roman"/>
          <w:sz w:val="24"/>
          <w:szCs w:val="24"/>
        </w:rPr>
        <w:t xml:space="preserve"> limited efficacy in </w:t>
      </w:r>
      <w:r w:rsidR="000A1AD1" w:rsidRPr="00150F3D">
        <w:rPr>
          <w:rFonts w:ascii="Times New Roman" w:eastAsia="Times New Roman" w:hAnsi="Times New Roman" w:cs="Times New Roman"/>
          <w:sz w:val="24"/>
          <w:szCs w:val="24"/>
        </w:rPr>
        <w:t xml:space="preserve">achieving </w:t>
      </w:r>
      <w:r w:rsidR="00290EDA" w:rsidRPr="00150F3D">
        <w:rPr>
          <w:rFonts w:ascii="Times New Roman" w:eastAsia="Times New Roman" w:hAnsi="Times New Roman" w:cs="Times New Roman"/>
          <w:sz w:val="24"/>
          <w:szCs w:val="24"/>
        </w:rPr>
        <w:t>improved outcomes for people</w:t>
      </w:r>
      <w:r w:rsidR="00BC7091" w:rsidRPr="00150F3D">
        <w:rPr>
          <w:rFonts w:ascii="Times New Roman" w:eastAsia="Times New Roman" w:hAnsi="Times New Roman" w:cs="Times New Roman"/>
          <w:sz w:val="24"/>
          <w:szCs w:val="24"/>
        </w:rPr>
        <w:t xml:space="preserve"> and insufficient to </w:t>
      </w:r>
      <w:r w:rsidR="00092188" w:rsidRPr="00150F3D">
        <w:rPr>
          <w:rFonts w:ascii="Times New Roman" w:eastAsia="Times New Roman" w:hAnsi="Times New Roman" w:cs="Times New Roman"/>
          <w:sz w:val="24"/>
          <w:szCs w:val="24"/>
        </w:rPr>
        <w:t>prevent and address human rights impacts</w:t>
      </w:r>
      <w:r w:rsidR="00573B07">
        <w:rPr>
          <w:rFonts w:ascii="Times New Roman" w:eastAsia="Times New Roman" w:hAnsi="Times New Roman" w:cs="Times New Roman"/>
          <w:sz w:val="24"/>
          <w:szCs w:val="24"/>
        </w:rPr>
        <w:t>.</w:t>
      </w:r>
      <w:bookmarkStart w:id="39" w:name="_Ref141966131"/>
      <w:r w:rsidR="000D3904" w:rsidRPr="00150F3D">
        <w:rPr>
          <w:rStyle w:val="FootnoteReference"/>
          <w:rFonts w:ascii="Times New Roman" w:eastAsia="Times New Roman" w:hAnsi="Times New Roman" w:cs="Times New Roman"/>
          <w:sz w:val="24"/>
          <w:szCs w:val="24"/>
        </w:rPr>
        <w:footnoteReference w:id="125"/>
      </w:r>
      <w:bookmarkEnd w:id="39"/>
      <w:r w:rsidR="006D22E5" w:rsidRPr="00150F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Others have warned that this possible defence will</w:t>
      </w:r>
      <w:r w:rsidR="00DA3DEB">
        <w:rPr>
          <w:rFonts w:ascii="Times New Roman" w:eastAsia="Times New Roman" w:hAnsi="Times New Roman" w:cs="Times New Roman"/>
          <w:sz w:val="24"/>
          <w:szCs w:val="24"/>
        </w:rPr>
        <w:t xml:space="preserve"> lead to ‘checkbox compliance’, effectively transferring the responsibility to ensure compliance</w:t>
      </w:r>
      <w:r w:rsidR="008C6F95">
        <w:rPr>
          <w:rFonts w:ascii="Times New Roman" w:eastAsia="Times New Roman" w:hAnsi="Times New Roman" w:cs="Times New Roman"/>
          <w:sz w:val="24"/>
          <w:szCs w:val="24"/>
        </w:rPr>
        <w:t xml:space="preserve"> to</w:t>
      </w:r>
      <w:r w:rsidR="00DA3DEB">
        <w:rPr>
          <w:rFonts w:ascii="Times New Roman" w:eastAsia="Times New Roman" w:hAnsi="Times New Roman" w:cs="Times New Roman"/>
          <w:sz w:val="24"/>
          <w:szCs w:val="24"/>
        </w:rPr>
        <w:t xml:space="preserve"> </w:t>
      </w:r>
      <w:r w:rsidR="008C6F95">
        <w:rPr>
          <w:rFonts w:ascii="Times New Roman" w:eastAsia="Times New Roman" w:hAnsi="Times New Roman" w:cs="Times New Roman"/>
          <w:sz w:val="24"/>
          <w:szCs w:val="24"/>
        </w:rPr>
        <w:t>MNCs’</w:t>
      </w:r>
      <w:r w:rsidR="00DA3DEB">
        <w:rPr>
          <w:rFonts w:ascii="Times New Roman" w:eastAsia="Times New Roman" w:hAnsi="Times New Roman" w:cs="Times New Roman"/>
          <w:sz w:val="24"/>
          <w:szCs w:val="24"/>
        </w:rPr>
        <w:t xml:space="preserve"> business parties</w:t>
      </w:r>
      <w:r>
        <w:rPr>
          <w:rFonts w:ascii="Times New Roman" w:eastAsia="Times New Roman" w:hAnsi="Times New Roman" w:cs="Times New Roman"/>
          <w:sz w:val="24"/>
          <w:szCs w:val="24"/>
        </w:rPr>
        <w:t>.</w:t>
      </w:r>
      <w:bookmarkStart w:id="40" w:name="_Ref131848978"/>
      <w:r w:rsidR="00DA3DEB">
        <w:rPr>
          <w:rStyle w:val="FootnoteReference"/>
          <w:rFonts w:ascii="Times New Roman" w:eastAsia="Times New Roman" w:hAnsi="Times New Roman" w:cs="Times New Roman"/>
          <w:sz w:val="24"/>
          <w:szCs w:val="24"/>
        </w:rPr>
        <w:footnoteReference w:id="126"/>
      </w:r>
      <w:bookmarkEnd w:id="40"/>
      <w:r>
        <w:rPr>
          <w:rFonts w:ascii="Times New Roman" w:eastAsia="Times New Roman" w:hAnsi="Times New Roman" w:cs="Times New Roman"/>
          <w:sz w:val="24"/>
          <w:szCs w:val="24"/>
        </w:rPr>
        <w:t xml:space="preserve"> </w:t>
      </w:r>
      <w:r w:rsidR="00DC7178" w:rsidRPr="00150F3D">
        <w:rPr>
          <w:rFonts w:ascii="Times New Roman" w:eastAsia="Times New Roman" w:hAnsi="Times New Roman" w:cs="Times New Roman"/>
          <w:sz w:val="24"/>
          <w:szCs w:val="24"/>
        </w:rPr>
        <w:t xml:space="preserve">Further, it has been argued that </w:t>
      </w:r>
      <w:r w:rsidR="00F00B12" w:rsidRPr="00150F3D">
        <w:rPr>
          <w:rFonts w:ascii="Times New Roman" w:eastAsia="Times New Roman" w:hAnsi="Times New Roman" w:cs="Times New Roman"/>
          <w:sz w:val="24"/>
          <w:szCs w:val="24"/>
        </w:rPr>
        <w:t xml:space="preserve">contractual clauses </w:t>
      </w:r>
      <w:r w:rsidR="00C14369" w:rsidRPr="00150F3D">
        <w:rPr>
          <w:rFonts w:ascii="Times New Roman" w:eastAsia="Times New Roman" w:hAnsi="Times New Roman" w:cs="Times New Roman"/>
          <w:sz w:val="24"/>
          <w:szCs w:val="24"/>
        </w:rPr>
        <w:t xml:space="preserve">are unsuitable </w:t>
      </w:r>
      <w:r w:rsidR="00F00B12" w:rsidRPr="00150F3D">
        <w:rPr>
          <w:rFonts w:ascii="Times New Roman" w:eastAsia="Times New Roman" w:hAnsi="Times New Roman" w:cs="Times New Roman"/>
          <w:sz w:val="24"/>
          <w:szCs w:val="24"/>
        </w:rPr>
        <w:t xml:space="preserve">to deliver change due to the failure of contracts to also require the companies that impose them to commit to </w:t>
      </w:r>
      <w:r w:rsidR="008C6F95">
        <w:rPr>
          <w:rFonts w:ascii="Times New Roman" w:eastAsia="Times New Roman" w:hAnsi="Times New Roman" w:cs="Times New Roman"/>
          <w:sz w:val="24"/>
          <w:szCs w:val="24"/>
        </w:rPr>
        <w:t>addressing</w:t>
      </w:r>
      <w:r w:rsidR="00F00B12" w:rsidRPr="00150F3D">
        <w:rPr>
          <w:rFonts w:ascii="Times New Roman" w:eastAsia="Times New Roman" w:hAnsi="Times New Roman" w:cs="Times New Roman"/>
          <w:sz w:val="24"/>
          <w:szCs w:val="24"/>
        </w:rPr>
        <w:t xml:space="preserve"> any of their own practices – such as purchasing practices – that can make it difficult or impossible for their suppliers or other partners to meet the human rights standards expected of them</w:t>
      </w:r>
      <w:r w:rsidR="00573B07">
        <w:rPr>
          <w:rFonts w:ascii="Times New Roman" w:eastAsia="Times New Roman" w:hAnsi="Times New Roman" w:cs="Times New Roman"/>
          <w:sz w:val="24"/>
          <w:szCs w:val="24"/>
        </w:rPr>
        <w:t>.</w:t>
      </w:r>
      <w:r w:rsidR="00391807" w:rsidRPr="00150F3D">
        <w:rPr>
          <w:rStyle w:val="FootnoteReference"/>
          <w:rFonts w:ascii="Times New Roman" w:eastAsia="Times New Roman" w:hAnsi="Times New Roman" w:cs="Times New Roman"/>
          <w:sz w:val="24"/>
          <w:szCs w:val="24"/>
        </w:rPr>
        <w:footnoteReference w:id="127"/>
      </w:r>
    </w:p>
    <w:p w14:paraId="223A3098" w14:textId="4CC9154D" w:rsidR="004628A8" w:rsidRPr="00150F3D" w:rsidRDefault="00BA577D" w:rsidP="00B82299">
      <w:pPr>
        <w:spacing w:after="240" w:line="360" w:lineRule="auto"/>
        <w:jc w:val="both"/>
        <w:rPr>
          <w:rFonts w:ascii="Times New Roman" w:eastAsia="Times New Roman" w:hAnsi="Times New Roman" w:cs="Times New Roman"/>
          <w:sz w:val="24"/>
          <w:szCs w:val="24"/>
        </w:rPr>
      </w:pPr>
      <w:r w:rsidRPr="00F655D6">
        <w:rPr>
          <w:rFonts w:ascii="Times New Roman" w:eastAsia="Times New Roman" w:hAnsi="Times New Roman" w:cs="Times New Roman"/>
          <w:sz w:val="24"/>
          <w:szCs w:val="24"/>
        </w:rPr>
        <w:t xml:space="preserve">While it is acknowledged that </w:t>
      </w:r>
      <w:r w:rsidR="00C4652D" w:rsidRPr="00F655D6">
        <w:rPr>
          <w:rFonts w:ascii="Times New Roman" w:eastAsia="Times New Roman" w:hAnsi="Times New Roman" w:cs="Times New Roman"/>
          <w:sz w:val="24"/>
          <w:szCs w:val="24"/>
        </w:rPr>
        <w:t>the</w:t>
      </w:r>
      <w:r w:rsidR="003D1DF6" w:rsidRPr="00F655D6">
        <w:rPr>
          <w:rFonts w:ascii="Times New Roman" w:eastAsia="Times New Roman" w:hAnsi="Times New Roman" w:cs="Times New Roman"/>
          <w:sz w:val="24"/>
          <w:szCs w:val="24"/>
        </w:rPr>
        <w:t xml:space="preserve"> foregoing pertains to </w:t>
      </w:r>
      <w:r w:rsidR="0099229A" w:rsidRPr="00F655D6">
        <w:rPr>
          <w:rFonts w:ascii="Times New Roman" w:eastAsia="Times New Roman" w:hAnsi="Times New Roman" w:cs="Times New Roman"/>
          <w:sz w:val="24"/>
          <w:szCs w:val="24"/>
        </w:rPr>
        <w:t xml:space="preserve">liability for damages caused by an adverse impact arising </w:t>
      </w:r>
      <w:r w:rsidR="00E516B6" w:rsidRPr="00F655D6">
        <w:rPr>
          <w:rFonts w:ascii="Times New Roman" w:eastAsia="Times New Roman" w:hAnsi="Times New Roman" w:cs="Times New Roman"/>
          <w:sz w:val="24"/>
          <w:szCs w:val="24"/>
        </w:rPr>
        <w:t>because of</w:t>
      </w:r>
      <w:r w:rsidR="0099229A" w:rsidRPr="00F655D6">
        <w:rPr>
          <w:rFonts w:ascii="Times New Roman" w:eastAsia="Times New Roman" w:hAnsi="Times New Roman" w:cs="Times New Roman"/>
          <w:sz w:val="24"/>
          <w:szCs w:val="24"/>
        </w:rPr>
        <w:t xml:space="preserve"> the activities of an indirect partner with whom the company</w:t>
      </w:r>
      <w:r w:rsidR="0099229A" w:rsidRPr="00150F3D">
        <w:rPr>
          <w:rFonts w:ascii="Times New Roman" w:eastAsia="Times New Roman" w:hAnsi="Times New Roman" w:cs="Times New Roman"/>
          <w:sz w:val="24"/>
          <w:szCs w:val="24"/>
        </w:rPr>
        <w:t xml:space="preserve"> has an established business relationship, </w:t>
      </w:r>
      <w:r w:rsidR="00C216AB" w:rsidRPr="00150F3D">
        <w:rPr>
          <w:rFonts w:ascii="Times New Roman" w:eastAsia="Times New Roman" w:hAnsi="Times New Roman" w:cs="Times New Roman"/>
          <w:sz w:val="24"/>
          <w:szCs w:val="24"/>
        </w:rPr>
        <w:t xml:space="preserve">it </w:t>
      </w:r>
      <w:r w:rsidR="00FC07AB" w:rsidRPr="00150F3D">
        <w:rPr>
          <w:rFonts w:ascii="Times New Roman" w:eastAsia="Times New Roman" w:hAnsi="Times New Roman" w:cs="Times New Roman"/>
          <w:sz w:val="24"/>
          <w:szCs w:val="24"/>
        </w:rPr>
        <w:t xml:space="preserve">nonetheless </w:t>
      </w:r>
      <w:r w:rsidR="00C216AB" w:rsidRPr="00150F3D">
        <w:rPr>
          <w:rFonts w:ascii="Times New Roman" w:eastAsia="Times New Roman" w:hAnsi="Times New Roman" w:cs="Times New Roman"/>
          <w:sz w:val="24"/>
          <w:szCs w:val="24"/>
        </w:rPr>
        <w:t>represents an unu</w:t>
      </w:r>
      <w:r w:rsidR="00FC07AB" w:rsidRPr="00150F3D">
        <w:rPr>
          <w:rFonts w:ascii="Times New Roman" w:eastAsia="Times New Roman" w:hAnsi="Times New Roman" w:cs="Times New Roman"/>
          <w:sz w:val="24"/>
          <w:szCs w:val="24"/>
        </w:rPr>
        <w:t>sual ex</w:t>
      </w:r>
      <w:r w:rsidR="00857862" w:rsidRPr="00150F3D">
        <w:rPr>
          <w:rFonts w:ascii="Times New Roman" w:eastAsia="Times New Roman" w:hAnsi="Times New Roman" w:cs="Times New Roman"/>
          <w:sz w:val="24"/>
          <w:szCs w:val="24"/>
        </w:rPr>
        <w:t xml:space="preserve">emption from liability in a manner that is not compatible with the letter and spirit of the UNGPs. </w:t>
      </w:r>
    </w:p>
    <w:p w14:paraId="5057BB40" w14:textId="6E8BE4A3" w:rsidR="00EB0A2B" w:rsidRPr="00150F3D" w:rsidRDefault="00CF32A5" w:rsidP="008C6F95">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Although </w:t>
      </w:r>
      <w:r w:rsidR="00F26B66" w:rsidRPr="00150F3D">
        <w:rPr>
          <w:rFonts w:ascii="Times New Roman" w:eastAsia="Times New Roman" w:hAnsi="Times New Roman" w:cs="Times New Roman"/>
          <w:sz w:val="24"/>
          <w:szCs w:val="24"/>
        </w:rPr>
        <w:t xml:space="preserve">the actions prescribed under Article 7(2), point (b) and Article 7(4), or Article 8(3), point (c), and Article 8(5) including contractual assurances from business partners to comply with the company’s code of conduct satisfy the </w:t>
      </w:r>
      <w:r w:rsidR="00F95F6A" w:rsidRPr="00150F3D">
        <w:rPr>
          <w:rFonts w:ascii="Times New Roman" w:eastAsia="Times New Roman" w:hAnsi="Times New Roman" w:cs="Times New Roman"/>
          <w:sz w:val="24"/>
          <w:szCs w:val="24"/>
        </w:rPr>
        <w:t xml:space="preserve">due diligence </w:t>
      </w:r>
      <w:r w:rsidR="00F26B66" w:rsidRPr="00150F3D">
        <w:rPr>
          <w:rFonts w:ascii="Times New Roman" w:eastAsia="Times New Roman" w:hAnsi="Times New Roman" w:cs="Times New Roman"/>
          <w:sz w:val="24"/>
          <w:szCs w:val="24"/>
        </w:rPr>
        <w:t xml:space="preserve">requirements under </w:t>
      </w:r>
      <w:r w:rsidR="00E91ECC" w:rsidRPr="00150F3D">
        <w:rPr>
          <w:rFonts w:ascii="Times New Roman" w:eastAsia="Times New Roman" w:hAnsi="Times New Roman" w:cs="Times New Roman"/>
          <w:sz w:val="24"/>
          <w:szCs w:val="24"/>
        </w:rPr>
        <w:t>UNGP17</w:t>
      </w:r>
      <w:r w:rsidRPr="00150F3D">
        <w:rPr>
          <w:rFonts w:ascii="Times New Roman" w:eastAsia="Times New Roman" w:hAnsi="Times New Roman" w:cs="Times New Roman"/>
          <w:sz w:val="24"/>
          <w:szCs w:val="24"/>
        </w:rPr>
        <w:t xml:space="preserve">, it does not </w:t>
      </w:r>
      <w:r w:rsidR="00FE0882" w:rsidRPr="00150F3D">
        <w:rPr>
          <w:rFonts w:ascii="Times New Roman" w:eastAsia="Times New Roman" w:hAnsi="Times New Roman" w:cs="Times New Roman"/>
          <w:sz w:val="24"/>
          <w:szCs w:val="24"/>
        </w:rPr>
        <w:t xml:space="preserve">however </w:t>
      </w:r>
      <w:r w:rsidR="00B220F1" w:rsidRPr="00150F3D">
        <w:rPr>
          <w:rFonts w:ascii="Times New Roman" w:eastAsia="Times New Roman" w:hAnsi="Times New Roman" w:cs="Times New Roman"/>
          <w:sz w:val="24"/>
          <w:szCs w:val="24"/>
        </w:rPr>
        <w:t xml:space="preserve">exculpate </w:t>
      </w:r>
      <w:r w:rsidR="00FE0882" w:rsidRPr="00150F3D">
        <w:rPr>
          <w:rFonts w:ascii="Times New Roman" w:eastAsia="Times New Roman" w:hAnsi="Times New Roman" w:cs="Times New Roman"/>
          <w:sz w:val="24"/>
          <w:szCs w:val="24"/>
        </w:rPr>
        <w:t xml:space="preserve">businesses </w:t>
      </w:r>
      <w:r w:rsidR="00B220F1" w:rsidRPr="00150F3D">
        <w:rPr>
          <w:rFonts w:ascii="Times New Roman" w:eastAsia="Times New Roman" w:hAnsi="Times New Roman" w:cs="Times New Roman"/>
          <w:sz w:val="24"/>
          <w:szCs w:val="24"/>
        </w:rPr>
        <w:t>with respect to</w:t>
      </w:r>
      <w:r w:rsidR="00FE0882" w:rsidRPr="00150F3D">
        <w:rPr>
          <w:rFonts w:ascii="Times New Roman" w:eastAsia="Times New Roman" w:hAnsi="Times New Roman" w:cs="Times New Roman"/>
          <w:sz w:val="24"/>
          <w:szCs w:val="24"/>
        </w:rPr>
        <w:t xml:space="preserve"> remediat</w:t>
      </w:r>
      <w:r w:rsidR="00B220F1" w:rsidRPr="00150F3D">
        <w:rPr>
          <w:rFonts w:ascii="Times New Roman" w:eastAsia="Times New Roman" w:hAnsi="Times New Roman" w:cs="Times New Roman"/>
          <w:sz w:val="24"/>
          <w:szCs w:val="24"/>
        </w:rPr>
        <w:t>ion</w:t>
      </w:r>
      <w:r w:rsidR="00FE0882" w:rsidRPr="00150F3D">
        <w:rPr>
          <w:rFonts w:ascii="Times New Roman" w:eastAsia="Times New Roman" w:hAnsi="Times New Roman" w:cs="Times New Roman"/>
          <w:sz w:val="24"/>
          <w:szCs w:val="24"/>
        </w:rPr>
        <w:t xml:space="preserve"> or cooperat</w:t>
      </w:r>
      <w:r w:rsidR="00B220F1" w:rsidRPr="00150F3D">
        <w:rPr>
          <w:rFonts w:ascii="Times New Roman" w:eastAsia="Times New Roman" w:hAnsi="Times New Roman" w:cs="Times New Roman"/>
          <w:sz w:val="24"/>
          <w:szCs w:val="24"/>
        </w:rPr>
        <w:t>ing</w:t>
      </w:r>
      <w:r w:rsidR="00FE0882" w:rsidRPr="00150F3D">
        <w:rPr>
          <w:rFonts w:ascii="Times New Roman" w:eastAsia="Times New Roman" w:hAnsi="Times New Roman" w:cs="Times New Roman"/>
          <w:sz w:val="24"/>
          <w:szCs w:val="24"/>
        </w:rPr>
        <w:t xml:space="preserve"> in the remediation of adverse human rights impacts which they have caused or </w:t>
      </w:r>
      <w:r w:rsidR="008E4F02" w:rsidRPr="00150F3D">
        <w:rPr>
          <w:rFonts w:ascii="Times New Roman" w:eastAsia="Times New Roman" w:hAnsi="Times New Roman" w:cs="Times New Roman"/>
          <w:sz w:val="24"/>
          <w:szCs w:val="24"/>
        </w:rPr>
        <w:t>contributed to</w:t>
      </w:r>
      <w:r w:rsidR="00573B07">
        <w:rPr>
          <w:rFonts w:ascii="Times New Roman" w:eastAsia="Times New Roman" w:hAnsi="Times New Roman" w:cs="Times New Roman"/>
          <w:sz w:val="24"/>
          <w:szCs w:val="24"/>
        </w:rPr>
        <w:t>.</w:t>
      </w:r>
      <w:r w:rsidR="000660F0" w:rsidRPr="00150F3D">
        <w:rPr>
          <w:rStyle w:val="FootnoteReference"/>
          <w:rFonts w:ascii="Times New Roman" w:eastAsia="Times New Roman" w:hAnsi="Times New Roman" w:cs="Times New Roman"/>
          <w:sz w:val="24"/>
          <w:szCs w:val="24"/>
        </w:rPr>
        <w:footnoteReference w:id="128"/>
      </w:r>
      <w:r w:rsidR="008E4F02" w:rsidRPr="00150F3D">
        <w:rPr>
          <w:rFonts w:ascii="Times New Roman" w:eastAsia="Times New Roman" w:hAnsi="Times New Roman" w:cs="Times New Roman"/>
          <w:sz w:val="24"/>
          <w:szCs w:val="24"/>
        </w:rPr>
        <w:t xml:space="preserve"> </w:t>
      </w:r>
      <w:r w:rsidR="005A7904" w:rsidRPr="00150F3D">
        <w:rPr>
          <w:rFonts w:ascii="Times New Roman" w:eastAsia="Times New Roman" w:hAnsi="Times New Roman" w:cs="Times New Roman"/>
          <w:sz w:val="24"/>
          <w:szCs w:val="24"/>
        </w:rPr>
        <w:t xml:space="preserve"> </w:t>
      </w:r>
    </w:p>
    <w:p w14:paraId="4C77BABF" w14:textId="78D7F282" w:rsidR="00752865" w:rsidRPr="00150F3D" w:rsidRDefault="00EB0A2B" w:rsidP="00B82299">
      <w:pPr>
        <w:spacing w:after="240" w:line="360" w:lineRule="auto"/>
        <w:jc w:val="both"/>
        <w:rPr>
          <w:rFonts w:ascii="Times New Roman" w:eastAsia="Times New Roman" w:hAnsi="Times New Roman" w:cs="Times New Roman"/>
          <w:sz w:val="24"/>
          <w:szCs w:val="24"/>
        </w:rPr>
      </w:pPr>
      <w:r w:rsidRPr="00150F3D">
        <w:rPr>
          <w:rFonts w:ascii="Times New Roman" w:eastAsia="Times New Roman" w:hAnsi="Times New Roman" w:cs="Times New Roman"/>
          <w:sz w:val="24"/>
          <w:szCs w:val="24"/>
        </w:rPr>
        <w:t xml:space="preserve">Rather than the current approach </w:t>
      </w:r>
      <w:r w:rsidR="006D09CC" w:rsidRPr="00150F3D">
        <w:rPr>
          <w:rFonts w:ascii="Times New Roman" w:eastAsia="Times New Roman" w:hAnsi="Times New Roman" w:cs="Times New Roman"/>
          <w:sz w:val="24"/>
          <w:szCs w:val="24"/>
        </w:rPr>
        <w:t xml:space="preserve">adopted in the </w:t>
      </w:r>
      <w:r w:rsidR="00F655D6">
        <w:rPr>
          <w:rFonts w:ascii="Times New Roman" w:eastAsia="Times New Roman" w:hAnsi="Times New Roman" w:cs="Times New Roman"/>
          <w:sz w:val="24"/>
          <w:szCs w:val="24"/>
        </w:rPr>
        <w:t>CSDDD</w:t>
      </w:r>
      <w:r w:rsidR="00765DBA">
        <w:rPr>
          <w:rFonts w:ascii="Times New Roman" w:eastAsia="Times New Roman" w:hAnsi="Times New Roman" w:cs="Times New Roman"/>
          <w:sz w:val="24"/>
          <w:szCs w:val="24"/>
        </w:rPr>
        <w:t>,</w:t>
      </w:r>
      <w:r w:rsidR="001128B8" w:rsidRPr="00150F3D">
        <w:rPr>
          <w:rFonts w:ascii="Times New Roman" w:eastAsia="Times New Roman" w:hAnsi="Times New Roman" w:cs="Times New Roman"/>
          <w:sz w:val="24"/>
          <w:szCs w:val="24"/>
        </w:rPr>
        <w:t xml:space="preserve"> which allows companies to avoid liability by use of codes of conduct and certification</w:t>
      </w:r>
      <w:r w:rsidR="006D09CC" w:rsidRPr="00150F3D">
        <w:rPr>
          <w:rFonts w:ascii="Times New Roman" w:eastAsia="Times New Roman" w:hAnsi="Times New Roman" w:cs="Times New Roman"/>
          <w:sz w:val="24"/>
          <w:szCs w:val="24"/>
        </w:rPr>
        <w:t>, it has been recommended that an approach which adopts limitations on liability drawn from ordinary tort principles, such as foreseeability, causation and reasonableness</w:t>
      </w:r>
      <w:r w:rsidR="00573B07">
        <w:rPr>
          <w:rFonts w:ascii="Times New Roman" w:eastAsia="Times New Roman" w:hAnsi="Times New Roman" w:cs="Times New Roman"/>
          <w:sz w:val="24"/>
          <w:szCs w:val="24"/>
        </w:rPr>
        <w:t>.</w:t>
      </w:r>
      <w:r w:rsidR="001128B8" w:rsidRPr="00150F3D">
        <w:rPr>
          <w:rStyle w:val="FootnoteReference"/>
          <w:rFonts w:ascii="Times New Roman" w:eastAsia="Times New Roman" w:hAnsi="Times New Roman" w:cs="Times New Roman"/>
          <w:sz w:val="24"/>
          <w:szCs w:val="24"/>
        </w:rPr>
        <w:footnoteReference w:id="129"/>
      </w:r>
    </w:p>
    <w:p w14:paraId="1F69D1A8" w14:textId="74804EA6" w:rsidR="0046083C" w:rsidRDefault="00C749EF" w:rsidP="00C749EF">
      <w:pPr>
        <w:pStyle w:val="Heading2"/>
        <w:numPr>
          <w:ilvl w:val="0"/>
          <w:numId w:val="14"/>
        </w:numPr>
      </w:pPr>
      <w:r w:rsidRPr="00C749EF">
        <w:lastRenderedPageBreak/>
        <w:t xml:space="preserve">Concluding remarks: will new sustainability due diligence legislations revolutionise </w:t>
      </w:r>
      <w:r w:rsidR="008C6F95">
        <w:t>victims’</w:t>
      </w:r>
      <w:r w:rsidRPr="00C749EF">
        <w:t xml:space="preserve"> access to justice and remedy?</w:t>
      </w:r>
    </w:p>
    <w:p w14:paraId="00964096" w14:textId="77777777" w:rsidR="00EA7CD3" w:rsidRPr="00EA7CD3" w:rsidRDefault="00EA7CD3" w:rsidP="00EA7CD3"/>
    <w:p w14:paraId="7C6F4EA8" w14:textId="7DBCE5F1" w:rsidR="00971450" w:rsidRDefault="00C749EF" w:rsidP="0097145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discussed in Part B of this article, </w:t>
      </w:r>
      <w:r w:rsidR="00971450">
        <w:rPr>
          <w:rFonts w:ascii="Times New Roman" w:eastAsia="Times New Roman" w:hAnsi="Times New Roman" w:cs="Times New Roman"/>
          <w:sz w:val="24"/>
          <w:szCs w:val="24"/>
        </w:rPr>
        <w:t xml:space="preserve">despite encouraging developments in some jurisdictions, </w:t>
      </w:r>
      <w:r>
        <w:rPr>
          <w:rFonts w:ascii="Times New Roman" w:eastAsia="Times New Roman" w:hAnsi="Times New Roman" w:cs="Times New Roman"/>
          <w:sz w:val="24"/>
          <w:szCs w:val="24"/>
        </w:rPr>
        <w:t>current rules on civil liability are imposing difficulties on victims of MNCs’ transnational human rights and environmental harms</w:t>
      </w:r>
      <w:r w:rsidR="00752865" w:rsidRPr="00150F3D">
        <w:rPr>
          <w:rFonts w:ascii="Times New Roman" w:eastAsia="Times New Roman" w:hAnsi="Times New Roman" w:cs="Times New Roman"/>
          <w:sz w:val="24"/>
          <w:szCs w:val="24"/>
        </w:rPr>
        <w:t xml:space="preserve">. </w:t>
      </w:r>
      <w:r w:rsidR="00971450">
        <w:rPr>
          <w:rFonts w:ascii="Times New Roman" w:eastAsia="Times New Roman" w:hAnsi="Times New Roman" w:cs="Times New Roman"/>
          <w:sz w:val="24"/>
          <w:szCs w:val="24"/>
        </w:rPr>
        <w:t>This article opened by asking whether the answer to this deficiency can be found in a new regulatory trend: the adoption of sustainability due diligence laws. Our initial hypothesis was that under the unassuming title of ‘due diligence</w:t>
      </w:r>
      <w:r w:rsidR="00182AAB">
        <w:rPr>
          <w:rFonts w:ascii="Times New Roman" w:eastAsia="Times New Roman" w:hAnsi="Times New Roman" w:cs="Times New Roman"/>
          <w:sz w:val="24"/>
          <w:szCs w:val="24"/>
        </w:rPr>
        <w:t xml:space="preserve"> laws</w:t>
      </w:r>
      <w:r w:rsidR="00971450">
        <w:rPr>
          <w:rFonts w:ascii="Times New Roman" w:eastAsia="Times New Roman" w:hAnsi="Times New Roman" w:cs="Times New Roman"/>
          <w:sz w:val="24"/>
          <w:szCs w:val="24"/>
        </w:rPr>
        <w:t xml:space="preserve">’ in fact hides a significant development in the field of transnational civil liability, which could </w:t>
      </w:r>
      <w:r w:rsidR="008C6F95">
        <w:rPr>
          <w:rFonts w:ascii="Times New Roman" w:eastAsia="Times New Roman" w:hAnsi="Times New Roman" w:cs="Times New Roman"/>
          <w:sz w:val="24"/>
          <w:szCs w:val="24"/>
        </w:rPr>
        <w:t>potentially</w:t>
      </w:r>
      <w:r w:rsidR="00971450">
        <w:rPr>
          <w:rFonts w:ascii="Times New Roman" w:eastAsia="Times New Roman" w:hAnsi="Times New Roman" w:cs="Times New Roman"/>
          <w:sz w:val="24"/>
          <w:szCs w:val="24"/>
        </w:rPr>
        <w:t xml:space="preserve"> facilitate</w:t>
      </w:r>
      <w:r w:rsidR="00D002A7">
        <w:rPr>
          <w:rFonts w:ascii="Times New Roman" w:eastAsia="Times New Roman" w:hAnsi="Times New Roman" w:cs="Times New Roman"/>
          <w:sz w:val="24"/>
          <w:szCs w:val="24"/>
        </w:rPr>
        <w:t xml:space="preserve"> </w:t>
      </w:r>
      <w:r w:rsidR="00971450">
        <w:rPr>
          <w:rFonts w:ascii="Times New Roman" w:eastAsia="Times New Roman" w:hAnsi="Times New Roman" w:cs="Times New Roman"/>
          <w:sz w:val="24"/>
          <w:szCs w:val="24"/>
        </w:rPr>
        <w:t>access to justice and remedy</w:t>
      </w:r>
      <w:r w:rsidR="00D002A7">
        <w:rPr>
          <w:rFonts w:ascii="Times New Roman" w:eastAsia="Times New Roman" w:hAnsi="Times New Roman" w:cs="Times New Roman"/>
          <w:sz w:val="24"/>
          <w:szCs w:val="24"/>
        </w:rPr>
        <w:t xml:space="preserve"> for MNCs victims</w:t>
      </w:r>
      <w:r w:rsidR="00971450">
        <w:rPr>
          <w:rFonts w:ascii="Times New Roman" w:eastAsia="Times New Roman" w:hAnsi="Times New Roman" w:cs="Times New Roman"/>
          <w:sz w:val="24"/>
          <w:szCs w:val="24"/>
        </w:rPr>
        <w:t xml:space="preserve">. </w:t>
      </w:r>
    </w:p>
    <w:p w14:paraId="11835809" w14:textId="2EEDDE3D" w:rsidR="006258D2" w:rsidRDefault="00971450" w:rsidP="0097145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conclusion from the above analysis is twofold: First, t</w:t>
      </w:r>
      <w:r w:rsidR="00752865" w:rsidRPr="00150F3D">
        <w:rPr>
          <w:rFonts w:ascii="Times New Roman" w:eastAsia="Times New Roman" w:hAnsi="Times New Roman" w:cs="Times New Roman"/>
          <w:sz w:val="24"/>
          <w:szCs w:val="24"/>
        </w:rPr>
        <w:t xml:space="preserve">he new </w:t>
      </w:r>
      <w:r>
        <w:rPr>
          <w:rFonts w:ascii="Times New Roman" w:eastAsia="Times New Roman" w:hAnsi="Times New Roman" w:cs="Times New Roman"/>
          <w:sz w:val="24"/>
          <w:szCs w:val="24"/>
        </w:rPr>
        <w:t>civil liability route offered by</w:t>
      </w:r>
      <w:r w:rsidR="00752865" w:rsidRPr="00150F3D">
        <w:rPr>
          <w:rFonts w:ascii="Times New Roman" w:eastAsia="Times New Roman" w:hAnsi="Times New Roman" w:cs="Times New Roman"/>
          <w:sz w:val="24"/>
          <w:szCs w:val="24"/>
        </w:rPr>
        <w:t xml:space="preserve"> due diligence </w:t>
      </w:r>
      <w:r>
        <w:rPr>
          <w:rFonts w:ascii="Times New Roman" w:eastAsia="Times New Roman" w:hAnsi="Times New Roman" w:cs="Times New Roman"/>
          <w:sz w:val="24"/>
          <w:szCs w:val="24"/>
        </w:rPr>
        <w:t xml:space="preserve">legislation could </w:t>
      </w:r>
      <w:r w:rsidR="006258D2">
        <w:rPr>
          <w:rFonts w:ascii="Times New Roman" w:eastAsia="Times New Roman" w:hAnsi="Times New Roman" w:cs="Times New Roman"/>
          <w:sz w:val="24"/>
          <w:szCs w:val="24"/>
        </w:rPr>
        <w:t xml:space="preserve">indeed </w:t>
      </w:r>
      <w:r>
        <w:rPr>
          <w:rFonts w:ascii="Times New Roman" w:eastAsia="Times New Roman" w:hAnsi="Times New Roman" w:cs="Times New Roman"/>
          <w:sz w:val="24"/>
          <w:szCs w:val="24"/>
        </w:rPr>
        <w:t>provide a</w:t>
      </w:r>
      <w:r w:rsidR="00752865" w:rsidRPr="00150F3D">
        <w:rPr>
          <w:rFonts w:ascii="Times New Roman" w:eastAsia="Times New Roman" w:hAnsi="Times New Roman" w:cs="Times New Roman"/>
          <w:sz w:val="24"/>
          <w:szCs w:val="24"/>
        </w:rPr>
        <w:t xml:space="preserve"> more structured,</w:t>
      </w:r>
      <w:r>
        <w:rPr>
          <w:rFonts w:ascii="Times New Roman" w:eastAsia="Times New Roman" w:hAnsi="Times New Roman" w:cs="Times New Roman"/>
          <w:sz w:val="24"/>
          <w:szCs w:val="24"/>
        </w:rPr>
        <w:t xml:space="preserve"> and a</w:t>
      </w:r>
      <w:r w:rsidR="00752865" w:rsidRPr="00150F3D">
        <w:rPr>
          <w:rFonts w:ascii="Times New Roman" w:eastAsia="Times New Roman" w:hAnsi="Times New Roman" w:cs="Times New Roman"/>
          <w:sz w:val="24"/>
          <w:szCs w:val="24"/>
        </w:rPr>
        <w:t xml:space="preserve"> better suited,</w:t>
      </w:r>
      <w:r>
        <w:rPr>
          <w:rFonts w:ascii="Times New Roman" w:eastAsia="Times New Roman" w:hAnsi="Times New Roman" w:cs="Times New Roman"/>
          <w:sz w:val="24"/>
          <w:szCs w:val="24"/>
        </w:rPr>
        <w:t xml:space="preserve"> solution</w:t>
      </w:r>
      <w:r w:rsidR="00752865" w:rsidRPr="00150F3D">
        <w:rPr>
          <w:rFonts w:ascii="Times New Roman" w:eastAsia="Times New Roman" w:hAnsi="Times New Roman" w:cs="Times New Roman"/>
          <w:sz w:val="24"/>
          <w:szCs w:val="24"/>
        </w:rPr>
        <w:t xml:space="preserve"> for addressing transnational civil liability. </w:t>
      </w:r>
      <w:r w:rsidR="006258D2">
        <w:rPr>
          <w:rFonts w:ascii="Times New Roman" w:eastAsia="Times New Roman" w:hAnsi="Times New Roman" w:cs="Times New Roman"/>
          <w:sz w:val="24"/>
          <w:szCs w:val="24"/>
        </w:rPr>
        <w:t xml:space="preserve">The marrying of due diligence obligations with civil liability mechanisms provides a useful combination; the two instruments are mutually supportive: without civil liability, </w:t>
      </w:r>
      <w:r w:rsidR="00182AAB">
        <w:rPr>
          <w:rFonts w:ascii="Times New Roman" w:eastAsia="Times New Roman" w:hAnsi="Times New Roman" w:cs="Times New Roman"/>
          <w:sz w:val="24"/>
          <w:szCs w:val="24"/>
        </w:rPr>
        <w:t xml:space="preserve">the </w:t>
      </w:r>
      <w:r w:rsidR="006258D2">
        <w:rPr>
          <w:rFonts w:ascii="Times New Roman" w:eastAsia="Times New Roman" w:hAnsi="Times New Roman" w:cs="Times New Roman"/>
          <w:sz w:val="24"/>
          <w:szCs w:val="24"/>
        </w:rPr>
        <w:t xml:space="preserve">due diligence </w:t>
      </w:r>
      <w:r w:rsidR="00182AAB">
        <w:rPr>
          <w:rFonts w:ascii="Times New Roman" w:eastAsia="Times New Roman" w:hAnsi="Times New Roman" w:cs="Times New Roman"/>
          <w:sz w:val="24"/>
          <w:szCs w:val="24"/>
        </w:rPr>
        <w:t xml:space="preserve">process </w:t>
      </w:r>
      <w:r w:rsidR="006258D2">
        <w:rPr>
          <w:rFonts w:ascii="Times New Roman" w:eastAsia="Times New Roman" w:hAnsi="Times New Roman" w:cs="Times New Roman"/>
          <w:sz w:val="24"/>
          <w:szCs w:val="24"/>
        </w:rPr>
        <w:t xml:space="preserve">remains a toothless exercise. </w:t>
      </w:r>
      <w:r w:rsidR="00182AAB">
        <w:rPr>
          <w:rFonts w:ascii="Times New Roman" w:eastAsia="Times New Roman" w:hAnsi="Times New Roman" w:cs="Times New Roman"/>
          <w:sz w:val="24"/>
          <w:szCs w:val="24"/>
        </w:rPr>
        <w:t>Equally, w</w:t>
      </w:r>
      <w:r w:rsidR="006258D2">
        <w:rPr>
          <w:rFonts w:ascii="Times New Roman" w:eastAsia="Times New Roman" w:hAnsi="Times New Roman" w:cs="Times New Roman"/>
          <w:sz w:val="24"/>
          <w:szCs w:val="24"/>
        </w:rPr>
        <w:t xml:space="preserve">ithout </w:t>
      </w:r>
      <w:r w:rsidR="00182AAB">
        <w:rPr>
          <w:rFonts w:ascii="Times New Roman" w:eastAsia="Times New Roman" w:hAnsi="Times New Roman" w:cs="Times New Roman"/>
          <w:sz w:val="24"/>
          <w:szCs w:val="24"/>
        </w:rPr>
        <w:t xml:space="preserve">sustainability </w:t>
      </w:r>
      <w:r w:rsidR="006258D2">
        <w:rPr>
          <w:rFonts w:ascii="Times New Roman" w:eastAsia="Times New Roman" w:hAnsi="Times New Roman" w:cs="Times New Roman"/>
          <w:sz w:val="24"/>
          <w:szCs w:val="24"/>
        </w:rPr>
        <w:t xml:space="preserve">due diligence legislation, the civil liability option will remain limited. The due diligence is further supporting civil liability litigation by providing a clearer causal link: where the risks have been identified as part of the due-diligence process, it should not be difficult to </w:t>
      </w:r>
      <w:r w:rsidR="008C6F95">
        <w:rPr>
          <w:rFonts w:ascii="Times New Roman" w:eastAsia="Times New Roman" w:hAnsi="Times New Roman" w:cs="Times New Roman"/>
          <w:sz w:val="24"/>
          <w:szCs w:val="24"/>
        </w:rPr>
        <w:t>establish</w:t>
      </w:r>
      <w:r w:rsidR="006258D2">
        <w:rPr>
          <w:rFonts w:ascii="Times New Roman" w:eastAsia="Times New Roman" w:hAnsi="Times New Roman" w:cs="Times New Roman"/>
          <w:sz w:val="24"/>
          <w:szCs w:val="24"/>
        </w:rPr>
        <w:t xml:space="preserve"> that the MNC was aware of its operation causing them and of its obligation to prevent them. Moreover,</w:t>
      </w:r>
      <w:r w:rsidR="009B7037">
        <w:rPr>
          <w:rFonts w:ascii="Times New Roman" w:eastAsia="Times New Roman" w:hAnsi="Times New Roman" w:cs="Times New Roman"/>
          <w:sz w:val="24"/>
          <w:szCs w:val="24"/>
        </w:rPr>
        <w:t xml:space="preserve"> as part of the CSDDD legislative process,</w:t>
      </w:r>
      <w:r w:rsidR="006258D2">
        <w:rPr>
          <w:rFonts w:ascii="Times New Roman" w:eastAsia="Times New Roman" w:hAnsi="Times New Roman" w:cs="Times New Roman"/>
          <w:sz w:val="24"/>
          <w:szCs w:val="24"/>
        </w:rPr>
        <w:t xml:space="preserve"> the Commission is advocating th</w:t>
      </w:r>
      <w:r w:rsidR="009B7037">
        <w:rPr>
          <w:rFonts w:ascii="Times New Roman" w:eastAsia="Times New Roman" w:hAnsi="Times New Roman" w:cs="Times New Roman"/>
          <w:sz w:val="24"/>
          <w:szCs w:val="24"/>
        </w:rPr>
        <w:t xml:space="preserve">at liability will apply not only vis-à-vis harms that were identified in the due diligence process but also harms that </w:t>
      </w:r>
      <w:r w:rsidR="009B7037">
        <w:rPr>
          <w:rFonts w:ascii="Times New Roman" w:eastAsia="Times New Roman" w:hAnsi="Times New Roman" w:cs="Times New Roman"/>
          <w:i/>
          <w:iCs/>
          <w:sz w:val="24"/>
          <w:szCs w:val="24"/>
        </w:rPr>
        <w:t xml:space="preserve">should have been </w:t>
      </w:r>
      <w:r w:rsidR="009B7037">
        <w:rPr>
          <w:rFonts w:ascii="Times New Roman" w:eastAsia="Times New Roman" w:hAnsi="Times New Roman" w:cs="Times New Roman"/>
          <w:sz w:val="24"/>
          <w:szCs w:val="24"/>
        </w:rPr>
        <w:t>identified.</w:t>
      </w:r>
      <w:r w:rsidR="009B7037">
        <w:rPr>
          <w:rStyle w:val="FootnoteReference"/>
          <w:rFonts w:ascii="Times New Roman" w:eastAsia="Times New Roman" w:hAnsi="Times New Roman" w:cs="Times New Roman"/>
          <w:sz w:val="24"/>
          <w:szCs w:val="24"/>
        </w:rPr>
        <w:footnoteReference w:id="130"/>
      </w:r>
      <w:r w:rsidR="006258D2">
        <w:rPr>
          <w:rFonts w:ascii="Times New Roman" w:eastAsia="Times New Roman" w:hAnsi="Times New Roman" w:cs="Times New Roman"/>
          <w:sz w:val="24"/>
          <w:szCs w:val="24"/>
        </w:rPr>
        <w:t xml:space="preserve"> </w:t>
      </w:r>
      <w:r w:rsidR="009B7037">
        <w:rPr>
          <w:rFonts w:ascii="Times New Roman" w:eastAsia="Times New Roman" w:hAnsi="Times New Roman" w:cs="Times New Roman"/>
          <w:sz w:val="24"/>
          <w:szCs w:val="24"/>
        </w:rPr>
        <w:t xml:space="preserve">On </w:t>
      </w:r>
      <w:r w:rsidR="009B7037" w:rsidRPr="009B7037">
        <w:rPr>
          <w:rFonts w:ascii="Times New Roman" w:eastAsia="Times New Roman" w:hAnsi="Times New Roman" w:cs="Times New Roman"/>
          <w:i/>
          <w:iCs/>
          <w:sz w:val="24"/>
          <w:szCs w:val="24"/>
        </w:rPr>
        <w:t>hindsight analysis</w:t>
      </w:r>
      <w:r w:rsidR="009B7037">
        <w:rPr>
          <w:rFonts w:ascii="Times New Roman" w:eastAsia="Times New Roman" w:hAnsi="Times New Roman" w:cs="Times New Roman"/>
          <w:sz w:val="24"/>
          <w:szCs w:val="24"/>
        </w:rPr>
        <w:t>, it is much harder for the MNC to prove that a significant harm</w:t>
      </w:r>
      <w:r w:rsidR="00D002A7">
        <w:rPr>
          <w:rFonts w:ascii="Times New Roman" w:eastAsia="Times New Roman" w:hAnsi="Times New Roman" w:cs="Times New Roman"/>
          <w:sz w:val="24"/>
          <w:szCs w:val="24"/>
        </w:rPr>
        <w:t>s</w:t>
      </w:r>
      <w:r w:rsidR="009B7037">
        <w:rPr>
          <w:rFonts w:ascii="Times New Roman" w:eastAsia="Times New Roman" w:hAnsi="Times New Roman" w:cs="Times New Roman"/>
          <w:sz w:val="24"/>
          <w:szCs w:val="24"/>
        </w:rPr>
        <w:t xml:space="preserve"> to the environmental or human rights should not have been identified.</w:t>
      </w:r>
      <w:r w:rsidR="009B7037">
        <w:rPr>
          <w:rStyle w:val="FootnoteReference"/>
          <w:rFonts w:ascii="Times New Roman" w:eastAsia="Times New Roman" w:hAnsi="Times New Roman" w:cs="Times New Roman"/>
          <w:sz w:val="24"/>
          <w:szCs w:val="24"/>
        </w:rPr>
        <w:footnoteReference w:id="131"/>
      </w:r>
      <w:r w:rsidR="009B7037">
        <w:rPr>
          <w:rFonts w:ascii="Times New Roman" w:eastAsia="Times New Roman" w:hAnsi="Times New Roman" w:cs="Times New Roman"/>
          <w:sz w:val="24"/>
          <w:szCs w:val="24"/>
        </w:rPr>
        <w:t xml:space="preserve"> </w:t>
      </w:r>
    </w:p>
    <w:p w14:paraId="781DF5E9" w14:textId="7673A33F" w:rsidR="008D04A7" w:rsidRDefault="008D04A7" w:rsidP="0097145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how effective the linking of due diligence obligations with</w:t>
      </w:r>
      <w:r w:rsidR="00D002A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civil liability</w:t>
      </w:r>
      <w:r w:rsidR="00D002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mechanism will </w:t>
      </w:r>
      <w:r w:rsidR="00D002A7">
        <w:rPr>
          <w:rFonts w:ascii="Times New Roman" w:eastAsia="Times New Roman" w:hAnsi="Times New Roman" w:cs="Times New Roman"/>
          <w:sz w:val="24"/>
          <w:szCs w:val="24"/>
        </w:rPr>
        <w:t xml:space="preserve">be, will </w:t>
      </w:r>
      <w:r>
        <w:rPr>
          <w:rFonts w:ascii="Times New Roman" w:eastAsia="Times New Roman" w:hAnsi="Times New Roman" w:cs="Times New Roman"/>
          <w:sz w:val="24"/>
          <w:szCs w:val="24"/>
        </w:rPr>
        <w:t>depend on the details of each legislation, its scope, coverage, and the completing procedural rules that it will opt for. Lawmakers should not assum</w:t>
      </w:r>
      <w:r w:rsidR="00AB219B">
        <w:rPr>
          <w:rFonts w:ascii="Times New Roman" w:eastAsia="Times New Roman" w:hAnsi="Times New Roman" w:cs="Times New Roman"/>
          <w:sz w:val="24"/>
          <w:szCs w:val="24"/>
        </w:rPr>
        <w:t xml:space="preserve">e that the mere addition of </w:t>
      </w:r>
      <w:r w:rsidR="00D002A7">
        <w:rPr>
          <w:rFonts w:ascii="Times New Roman" w:eastAsia="Times New Roman" w:hAnsi="Times New Roman" w:cs="Times New Roman"/>
          <w:sz w:val="24"/>
          <w:szCs w:val="24"/>
        </w:rPr>
        <w:t xml:space="preserve">a </w:t>
      </w:r>
      <w:r w:rsidR="00AB219B">
        <w:rPr>
          <w:rFonts w:ascii="Times New Roman" w:eastAsia="Times New Roman" w:hAnsi="Times New Roman" w:cs="Times New Roman"/>
          <w:sz w:val="24"/>
          <w:szCs w:val="24"/>
        </w:rPr>
        <w:t xml:space="preserve">civil liability mechanism to sustainability due diligence rules will resolve the longstanding difficulties faced by victims on their quest for remedies and access to justice.   </w:t>
      </w:r>
    </w:p>
    <w:p w14:paraId="663048F2" w14:textId="318D71A1" w:rsidR="00752865" w:rsidRPr="00150F3D" w:rsidRDefault="00752865" w:rsidP="00971450">
      <w:pPr>
        <w:spacing w:after="240" w:line="360" w:lineRule="auto"/>
        <w:jc w:val="both"/>
        <w:rPr>
          <w:rFonts w:ascii="Times New Roman" w:eastAsia="Times New Roman" w:hAnsi="Times New Roman" w:cs="Times New Roman"/>
          <w:sz w:val="24"/>
          <w:szCs w:val="24"/>
        </w:rPr>
      </w:pPr>
    </w:p>
    <w:sectPr w:rsidR="00752865" w:rsidRPr="00150F3D" w:rsidSect="006E6ACA">
      <w:headerReference w:type="default" r:id="rId8"/>
      <w:footerReference w:type="even" r:id="rId9"/>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6219" w14:textId="77777777" w:rsidR="002E2F84" w:rsidRDefault="002E2F84" w:rsidP="00283A80">
      <w:pPr>
        <w:spacing w:after="0" w:line="240" w:lineRule="auto"/>
      </w:pPr>
      <w:r>
        <w:separator/>
      </w:r>
    </w:p>
  </w:endnote>
  <w:endnote w:type="continuationSeparator" w:id="0">
    <w:p w14:paraId="7256E84B" w14:textId="77777777" w:rsidR="002E2F84" w:rsidRDefault="002E2F84" w:rsidP="00283A80">
      <w:pPr>
        <w:spacing w:after="0" w:line="240" w:lineRule="auto"/>
      </w:pPr>
      <w:r>
        <w:continuationSeparator/>
      </w:r>
    </w:p>
  </w:endnote>
  <w:endnote w:type="continuationNotice" w:id="1">
    <w:p w14:paraId="10B57E9A" w14:textId="77777777" w:rsidR="002E2F84" w:rsidRDefault="002E2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6009918"/>
      <w:docPartObj>
        <w:docPartGallery w:val="Page Numbers (Bottom of Page)"/>
        <w:docPartUnique/>
      </w:docPartObj>
    </w:sdtPr>
    <w:sdtEndPr>
      <w:rPr>
        <w:rStyle w:val="PageNumber"/>
      </w:rPr>
    </w:sdtEndPr>
    <w:sdtContent>
      <w:p w14:paraId="1ED8E16F" w14:textId="07D3B1BF" w:rsidR="00C11F31" w:rsidRDefault="00C11F31" w:rsidP="001F24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F78C93" w14:textId="77777777" w:rsidR="00C11F31" w:rsidRDefault="00C11F31" w:rsidP="00C11F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3223705"/>
      <w:docPartObj>
        <w:docPartGallery w:val="Page Numbers (Bottom of Page)"/>
        <w:docPartUnique/>
      </w:docPartObj>
    </w:sdtPr>
    <w:sdtEndPr>
      <w:rPr>
        <w:rStyle w:val="PageNumber"/>
      </w:rPr>
    </w:sdtEndPr>
    <w:sdtContent>
      <w:p w14:paraId="72CFF987" w14:textId="4864D861" w:rsidR="00C11F31" w:rsidRDefault="00C11F31" w:rsidP="001F24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537C2F" w14:textId="77777777" w:rsidR="00C11F31" w:rsidRDefault="00C11F31" w:rsidP="00C11F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7EF0" w14:textId="77777777" w:rsidR="002E2F84" w:rsidRDefault="002E2F84" w:rsidP="00283A80">
      <w:pPr>
        <w:spacing w:after="0" w:line="240" w:lineRule="auto"/>
      </w:pPr>
      <w:r>
        <w:separator/>
      </w:r>
    </w:p>
  </w:footnote>
  <w:footnote w:type="continuationSeparator" w:id="0">
    <w:p w14:paraId="7C484C4C" w14:textId="77777777" w:rsidR="002E2F84" w:rsidRDefault="002E2F84" w:rsidP="00283A80">
      <w:pPr>
        <w:spacing w:after="0" w:line="240" w:lineRule="auto"/>
      </w:pPr>
      <w:r>
        <w:continuationSeparator/>
      </w:r>
    </w:p>
  </w:footnote>
  <w:footnote w:type="continuationNotice" w:id="1">
    <w:p w14:paraId="3743E6CB" w14:textId="77777777" w:rsidR="002E2F84" w:rsidRDefault="002E2F84">
      <w:pPr>
        <w:spacing w:after="0" w:line="240" w:lineRule="auto"/>
      </w:pPr>
    </w:p>
  </w:footnote>
  <w:footnote w:id="2">
    <w:p w14:paraId="752AD22F" w14:textId="01D5CFC2" w:rsidR="00B518B2" w:rsidRDefault="00B518B2" w:rsidP="005D0500">
      <w:pPr>
        <w:pStyle w:val="FootnoteText"/>
        <w:rPr>
          <w:rFonts w:ascii="Times New Roman" w:hAnsi="Times New Roman" w:cs="Times New Roman"/>
        </w:rPr>
      </w:pPr>
      <w:r>
        <w:rPr>
          <w:rFonts w:ascii="Times New Roman" w:hAnsi="Times New Roman" w:cs="Times New Roman"/>
        </w:rPr>
        <w:t>*</w:t>
      </w:r>
      <w:r w:rsidR="00721810">
        <w:rPr>
          <w:rFonts w:ascii="Times New Roman" w:hAnsi="Times New Roman" w:cs="Times New Roman"/>
        </w:rPr>
        <w:t xml:space="preserve">Alphabetic order. </w:t>
      </w:r>
      <w:r>
        <w:rPr>
          <w:rFonts w:ascii="Times New Roman" w:hAnsi="Times New Roman" w:cs="Times New Roman"/>
        </w:rPr>
        <w:t xml:space="preserve">The authors would like to thank the anonymous reviewers and the editors for their valuable comments, and Mr Acland Bryant for his excellent editorial assistance. Any mistakes or inaccuracies are solely the responsibility of the authors.  </w:t>
      </w:r>
    </w:p>
    <w:p w14:paraId="701494FB" w14:textId="1D4EDAC1" w:rsidR="00BF6E24" w:rsidRPr="00663AA1" w:rsidRDefault="00BF6E24"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World Benchmarking Alliance ‘Corporate Human Rights Benchmark – Key findings’ 2020 p3 &lt;</w:t>
      </w:r>
      <w:hyperlink r:id="rId1" w:history="1">
        <w:r w:rsidRPr="00663AA1">
          <w:rPr>
            <w:rStyle w:val="Hyperlink"/>
            <w:rFonts w:ascii="Times New Roman" w:hAnsi="Times New Roman" w:cs="Times New Roman"/>
          </w:rPr>
          <w:t>https://assets.worldbenchmarkingalliance.org/app/uploads/2020/11/WBA-2020-CHRB-Key-FindingsReport.pdf&gt; accessed 03 October 2022</w:t>
        </w:r>
      </w:hyperlink>
      <w:r w:rsidRPr="00663AA1">
        <w:rPr>
          <w:rFonts w:ascii="Times New Roman" w:hAnsi="Times New Roman" w:cs="Times New Roman"/>
        </w:rPr>
        <w:t xml:space="preserve">. </w:t>
      </w:r>
    </w:p>
  </w:footnote>
  <w:footnote w:id="3">
    <w:p w14:paraId="5000EEC0" w14:textId="7A96E561" w:rsidR="00283A80" w:rsidRPr="00663AA1" w:rsidRDefault="00283A80"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F53925" w:rsidRPr="00663AA1">
        <w:rPr>
          <w:rFonts w:ascii="Times New Roman" w:hAnsi="Times New Roman" w:cs="Times New Roman"/>
        </w:rPr>
        <w:t>European Commission Proposal for a Directive of the European Parliament and of the Council on Corporate Sustainability Due Diligence and amending Directive (EU) 2019/1937, Brussels, 23.2.2022 COM (2022) 71 final 2022/0051 (COD)</w:t>
      </w:r>
      <w:r w:rsidRPr="00663AA1">
        <w:rPr>
          <w:rFonts w:ascii="Times New Roman" w:hAnsi="Times New Roman" w:cs="Times New Roman"/>
        </w:rPr>
        <w:t xml:space="preserve">.  </w:t>
      </w:r>
    </w:p>
  </w:footnote>
  <w:footnote w:id="4">
    <w:p w14:paraId="2AB30D8B" w14:textId="45308576" w:rsidR="001148EA" w:rsidRPr="00663AA1" w:rsidRDefault="001148EA" w:rsidP="005D0500">
      <w:pPr>
        <w:pStyle w:val="FootnoteText"/>
        <w:rPr>
          <w:rFonts w:ascii="Times New Roman" w:hAnsi="Times New Roman" w:cs="Times New Roman"/>
          <w:u w:val="single"/>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0B7CF5" w:rsidRPr="00663AA1">
        <w:rPr>
          <w:rFonts w:ascii="Times New Roman" w:hAnsi="Times New Roman" w:cs="Times New Roman"/>
        </w:rPr>
        <w:t xml:space="preserve">Juan Jose Alvarez Rubio &amp; Katerina Yiannibas, </w:t>
      </w:r>
      <w:r w:rsidR="005B3EED" w:rsidRPr="00663AA1">
        <w:rPr>
          <w:rFonts w:ascii="Times New Roman" w:hAnsi="Times New Roman" w:cs="Times New Roman"/>
          <w:i/>
          <w:iCs/>
        </w:rPr>
        <w:t>Human Rights in Business: Removal of Barrier to Access to Justice in the European Union – Executive Summary</w:t>
      </w:r>
      <w:r w:rsidR="000B7CF5" w:rsidRPr="00663AA1">
        <w:rPr>
          <w:rFonts w:ascii="Times New Roman" w:hAnsi="Times New Roman" w:cs="Times New Roman"/>
        </w:rPr>
        <w:t xml:space="preserve"> </w:t>
      </w:r>
      <w:r w:rsidR="005B3EED" w:rsidRPr="00663AA1">
        <w:rPr>
          <w:rFonts w:ascii="Times New Roman" w:hAnsi="Times New Roman" w:cs="Times New Roman"/>
        </w:rPr>
        <w:t>(Institute for Democratic Governance 2017</w:t>
      </w:r>
      <w:r w:rsidR="001206D3" w:rsidRPr="00663AA1">
        <w:rPr>
          <w:rFonts w:ascii="Times New Roman" w:hAnsi="Times New Roman" w:cs="Times New Roman"/>
        </w:rPr>
        <w:t>)</w:t>
      </w:r>
      <w:r w:rsidR="005B3EED" w:rsidRPr="00663AA1">
        <w:rPr>
          <w:rFonts w:ascii="Times New Roman" w:hAnsi="Times New Roman" w:cs="Times New Roman"/>
        </w:rPr>
        <w:t xml:space="preserve"> </w:t>
      </w:r>
      <w:hyperlink r:id="rId2" w:history="1">
        <w:r w:rsidR="005B3EED" w:rsidRPr="00663AA1">
          <w:rPr>
            <w:rStyle w:val="Hyperlink"/>
            <w:rFonts w:ascii="Times New Roman" w:hAnsi="Times New Roman" w:cs="Times New Roman"/>
            <w:color w:val="auto"/>
          </w:rPr>
          <w:t>http://humanrightsinbusiness.eu/wp-content/uploads/2016/09/EXECUTIVE_SUMMARY_HRB_Research_Results.pdf</w:t>
        </w:r>
      </w:hyperlink>
      <w:r w:rsidR="005B3EED" w:rsidRPr="00663AA1">
        <w:rPr>
          <w:rStyle w:val="Hyperlink"/>
          <w:rFonts w:ascii="Times New Roman" w:hAnsi="Times New Roman" w:cs="Times New Roman"/>
          <w:color w:val="auto"/>
        </w:rPr>
        <w:t xml:space="preserve"> </w:t>
      </w:r>
      <w:r w:rsidR="001206D3" w:rsidRPr="00663AA1">
        <w:rPr>
          <w:rStyle w:val="Hyperlink"/>
          <w:rFonts w:ascii="Times New Roman" w:hAnsi="Times New Roman" w:cs="Times New Roman"/>
          <w:color w:val="auto"/>
        </w:rPr>
        <w:t>(</w:t>
      </w:r>
      <w:r w:rsidR="005B3EED" w:rsidRPr="00663AA1">
        <w:rPr>
          <w:rFonts w:ascii="Times New Roman" w:hAnsi="Times New Roman" w:cs="Times New Roman"/>
        </w:rPr>
        <w:t>accessed 29 March 2023</w:t>
      </w:r>
      <w:r w:rsidR="001206D3" w:rsidRPr="00663AA1">
        <w:rPr>
          <w:rFonts w:ascii="Times New Roman" w:hAnsi="Times New Roman" w:cs="Times New Roman"/>
        </w:rPr>
        <w:t>)</w:t>
      </w:r>
      <w:r w:rsidR="005B3EED" w:rsidRPr="00663AA1">
        <w:rPr>
          <w:rFonts w:ascii="Times New Roman" w:hAnsi="Times New Roman" w:cs="Times New Roman"/>
        </w:rPr>
        <w:t>,</w:t>
      </w:r>
      <w:r w:rsidRPr="00663AA1">
        <w:rPr>
          <w:rFonts w:ascii="Times New Roman" w:hAnsi="Times New Roman" w:cs="Times New Roman"/>
        </w:rPr>
        <w:t xml:space="preserve"> 11-17</w:t>
      </w:r>
      <w:r w:rsidR="001206D3" w:rsidRPr="00663AA1">
        <w:rPr>
          <w:rFonts w:ascii="Times New Roman" w:hAnsi="Times New Roman" w:cs="Times New Roman"/>
        </w:rPr>
        <w:t>.</w:t>
      </w:r>
    </w:p>
  </w:footnote>
  <w:footnote w:id="5">
    <w:p w14:paraId="321B60D1" w14:textId="31B101B7"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701ADF" w:rsidRPr="00663AA1">
        <w:rPr>
          <w:rFonts w:ascii="Times New Roman" w:hAnsi="Times New Roman" w:cs="Times New Roman"/>
          <w:i/>
          <w:iCs/>
        </w:rPr>
        <w:t>Jesper v Arab Bank</w:t>
      </w:r>
      <w:r w:rsidR="00701ADF" w:rsidRPr="00663AA1">
        <w:rPr>
          <w:rFonts w:ascii="Times New Roman" w:hAnsi="Times New Roman" w:cs="Times New Roman"/>
        </w:rPr>
        <w:t xml:space="preserve"> 584 U.S. (2018)</w:t>
      </w:r>
      <w:r w:rsidR="001206D3" w:rsidRPr="00663AA1">
        <w:rPr>
          <w:rFonts w:ascii="Times New Roman" w:hAnsi="Times New Roman" w:cs="Times New Roman"/>
        </w:rPr>
        <w:t>,</w:t>
      </w:r>
      <w:r w:rsidR="00701ADF" w:rsidRPr="00663AA1">
        <w:rPr>
          <w:rFonts w:ascii="Times New Roman" w:hAnsi="Times New Roman" w:cs="Times New Roman"/>
        </w:rPr>
        <w:t xml:space="preserve"> 13</w:t>
      </w:r>
      <w:r w:rsidR="001206D3" w:rsidRPr="00663AA1">
        <w:rPr>
          <w:rFonts w:ascii="Times New Roman" w:hAnsi="Times New Roman" w:cs="Times New Roman"/>
        </w:rPr>
        <w:t xml:space="preserve">; </w:t>
      </w:r>
      <w:r w:rsidR="001206D3" w:rsidRPr="00663AA1">
        <w:rPr>
          <w:rStyle w:val="Emphasis"/>
          <w:rFonts w:ascii="Times New Roman" w:hAnsi="Times New Roman" w:cs="Times New Roman"/>
          <w:color w:val="000000"/>
          <w:shd w:val="clear" w:color="auto" w:fill="FFFFFF"/>
        </w:rPr>
        <w:t>Kiobel</w:t>
      </w:r>
      <w:r w:rsidR="001206D3" w:rsidRPr="00663AA1">
        <w:rPr>
          <w:rFonts w:ascii="Times New Roman" w:hAnsi="Times New Roman" w:cs="Times New Roman"/>
          <w:color w:val="000000"/>
          <w:shd w:val="clear" w:color="auto" w:fill="FFFFFF"/>
        </w:rPr>
        <w:t> v. </w:t>
      </w:r>
      <w:r w:rsidR="001206D3" w:rsidRPr="00663AA1">
        <w:rPr>
          <w:rStyle w:val="Emphasis"/>
          <w:rFonts w:ascii="Times New Roman" w:hAnsi="Times New Roman" w:cs="Times New Roman"/>
          <w:color w:val="000000"/>
          <w:shd w:val="clear" w:color="auto" w:fill="FFFFFF"/>
        </w:rPr>
        <w:t>Royal Dutch Petroleum Co.</w:t>
      </w:r>
      <w:r w:rsidR="001206D3" w:rsidRPr="00663AA1">
        <w:rPr>
          <w:rFonts w:ascii="Times New Roman" w:hAnsi="Times New Roman" w:cs="Times New Roman"/>
          <w:color w:val="000000"/>
          <w:shd w:val="clear" w:color="auto" w:fill="FFFFFF"/>
        </w:rPr>
        <w:t>, 569 U. S. 108</w:t>
      </w:r>
      <w:r w:rsidR="00701ADF" w:rsidRPr="00663AA1">
        <w:rPr>
          <w:rFonts w:ascii="Times New Roman" w:hAnsi="Times New Roman" w:cs="Times New Roman"/>
        </w:rPr>
        <w:t>, 621 F 3.d, 118</w:t>
      </w:r>
      <w:r w:rsidR="0081333C" w:rsidRPr="00663AA1">
        <w:rPr>
          <w:rFonts w:ascii="Times New Roman" w:hAnsi="Times New Roman" w:cs="Times New Roman"/>
        </w:rPr>
        <w:t xml:space="preserve">. </w:t>
      </w:r>
    </w:p>
  </w:footnote>
  <w:footnote w:id="6">
    <w:p w14:paraId="57AE7FBA" w14:textId="5B5481F9" w:rsidR="00D2181D" w:rsidRPr="00663AA1" w:rsidRDefault="00D2181D"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w:t>
      </w:r>
      <w:r w:rsidR="001244CA" w:rsidRPr="00663AA1">
        <w:rPr>
          <w:rFonts w:ascii="Times New Roman" w:hAnsi="Times New Roman" w:cs="Times New Roman"/>
        </w:rPr>
        <w:t>Richard Meeran, ‘</w:t>
      </w:r>
      <w:r w:rsidRPr="00663AA1">
        <w:rPr>
          <w:rFonts w:ascii="Times New Roman" w:hAnsi="Times New Roman" w:cs="Times New Roman"/>
        </w:rPr>
        <w:t>Tort Litigation</w:t>
      </w:r>
      <w:r w:rsidR="009F231C" w:rsidRPr="00663AA1">
        <w:rPr>
          <w:rFonts w:ascii="Times New Roman" w:hAnsi="Times New Roman" w:cs="Times New Roman"/>
        </w:rPr>
        <w:t xml:space="preserve"> Against Multinational Corporations</w:t>
      </w:r>
      <w:r w:rsidRPr="00663AA1">
        <w:rPr>
          <w:rFonts w:ascii="Times New Roman" w:hAnsi="Times New Roman" w:cs="Times New Roman"/>
        </w:rPr>
        <w:t xml:space="preserve"> for Violations</w:t>
      </w:r>
      <w:r w:rsidR="009F231C" w:rsidRPr="00663AA1">
        <w:rPr>
          <w:rFonts w:ascii="Times New Roman" w:hAnsi="Times New Roman" w:cs="Times New Roman"/>
        </w:rPr>
        <w:t xml:space="preserve"> of Human Rights: An Overview of the Position outside the United States</w:t>
      </w:r>
      <w:r w:rsidR="00F27669" w:rsidRPr="00663AA1">
        <w:rPr>
          <w:rFonts w:ascii="Times New Roman" w:hAnsi="Times New Roman" w:cs="Times New Roman"/>
        </w:rPr>
        <w:t>’ (2011)3(1)</w:t>
      </w:r>
      <w:r w:rsidR="009F231C" w:rsidRPr="00663AA1">
        <w:rPr>
          <w:rFonts w:ascii="Times New Roman" w:hAnsi="Times New Roman" w:cs="Times New Roman"/>
        </w:rPr>
        <w:t xml:space="preserve"> City University of Hon</w:t>
      </w:r>
      <w:r w:rsidR="00F27669" w:rsidRPr="00663AA1">
        <w:rPr>
          <w:rFonts w:ascii="Times New Roman" w:hAnsi="Times New Roman" w:cs="Times New Roman"/>
        </w:rPr>
        <w:t>g</w:t>
      </w:r>
      <w:r w:rsidR="009F231C" w:rsidRPr="00663AA1">
        <w:rPr>
          <w:rFonts w:ascii="Times New Roman" w:hAnsi="Times New Roman" w:cs="Times New Roman"/>
        </w:rPr>
        <w:t xml:space="preserve"> Kong Law Review 1, </w:t>
      </w:r>
      <w:r w:rsidR="00A12A0D" w:rsidRPr="00663AA1">
        <w:rPr>
          <w:rFonts w:ascii="Times New Roman" w:hAnsi="Times New Roman" w:cs="Times New Roman"/>
        </w:rPr>
        <w:t>3</w:t>
      </w:r>
      <w:r w:rsidR="0081333C" w:rsidRPr="00663AA1">
        <w:rPr>
          <w:rFonts w:ascii="Times New Roman" w:hAnsi="Times New Roman" w:cs="Times New Roman"/>
        </w:rPr>
        <w:t xml:space="preserve">. </w:t>
      </w:r>
      <w:r w:rsidR="0066324F" w:rsidRPr="00663AA1">
        <w:rPr>
          <w:rFonts w:ascii="Times New Roman" w:hAnsi="Times New Roman" w:cs="Times New Roman"/>
        </w:rPr>
        <w:t xml:space="preserve">However, see </w:t>
      </w:r>
      <w:r w:rsidR="0066324F" w:rsidRPr="00663AA1">
        <w:rPr>
          <w:rFonts w:ascii="Times New Roman" w:hAnsi="Times New Roman" w:cs="Times New Roman"/>
          <w:i/>
          <w:iCs/>
        </w:rPr>
        <w:t>Nevsun Resources Ltd. v. Araya</w:t>
      </w:r>
      <w:r w:rsidR="0066324F" w:rsidRPr="00663AA1">
        <w:rPr>
          <w:rFonts w:ascii="Times New Roman" w:hAnsi="Times New Roman" w:cs="Times New Roman"/>
        </w:rPr>
        <w:t xml:space="preserve"> 2020 SCC 5, </w:t>
      </w:r>
      <w:r w:rsidR="00F27669" w:rsidRPr="00663AA1">
        <w:rPr>
          <w:rFonts w:ascii="Times New Roman" w:hAnsi="Times New Roman" w:cs="Times New Roman"/>
        </w:rPr>
        <w:t>(</w:t>
      </w:r>
      <w:r w:rsidR="0066324F" w:rsidRPr="00663AA1">
        <w:rPr>
          <w:rFonts w:ascii="Times New Roman" w:hAnsi="Times New Roman" w:cs="Times New Roman"/>
        </w:rPr>
        <w:t xml:space="preserve"> 28 February 2020</w:t>
      </w:r>
      <w:r w:rsidR="00F27669" w:rsidRPr="00663AA1">
        <w:rPr>
          <w:rFonts w:ascii="Times New Roman" w:hAnsi="Times New Roman" w:cs="Times New Roman"/>
        </w:rPr>
        <w:t>)</w:t>
      </w:r>
      <w:r w:rsidR="0066324F" w:rsidRPr="00663AA1">
        <w:rPr>
          <w:rFonts w:ascii="Times New Roman" w:hAnsi="Times New Roman" w:cs="Times New Roman"/>
        </w:rPr>
        <w:t xml:space="preserve">, para. 4 &lt; </w:t>
      </w:r>
      <w:hyperlink r:id="rId3" w:history="1">
        <w:r w:rsidR="0066324F" w:rsidRPr="00663AA1">
          <w:rPr>
            <w:rStyle w:val="Hyperlink"/>
            <w:rFonts w:ascii="Times New Roman" w:hAnsi="Times New Roman" w:cs="Times New Roman"/>
          </w:rPr>
          <w:t>https://decisions.scc-csc.ca/scc-csc/scc-csc/en/item/18169/index.do</w:t>
        </w:r>
      </w:hyperlink>
      <w:r w:rsidR="0066324F" w:rsidRPr="00663AA1">
        <w:rPr>
          <w:rFonts w:ascii="Times New Roman" w:hAnsi="Times New Roman" w:cs="Times New Roman"/>
        </w:rPr>
        <w:t>&gt; accessed 29 March 2023, were liability for breach of customary international may be developed in common law under domestic law.</w:t>
      </w:r>
    </w:p>
  </w:footnote>
  <w:footnote w:id="7">
    <w:p w14:paraId="3A141EE9" w14:textId="53C12F56" w:rsidR="0082317B" w:rsidRPr="00663AA1" w:rsidRDefault="0082317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For instance, few of the cases which were brought before the English court concerned the joinder of the out of jurisdiction subsidiary with proceedings against the parent under Article 3.1(3) of practice direction 6B, which required a showing that ‘t</w:t>
      </w:r>
      <w:r w:rsidRPr="00663AA1">
        <w:rPr>
          <w:rFonts w:ascii="Times New Roman" w:hAnsi="Times New Roman" w:cs="Times New Roman"/>
          <w:color w:val="000000"/>
        </w:rPr>
        <w:t xml:space="preserve">here is between the claimant and the parent a real issue which it is reasonable for the court to try. This involved a showing that the parent company was negligent, and as part of the enquiry that they owed a duty of care to the claimant. </w:t>
      </w:r>
      <w:r w:rsidR="00CD0313" w:rsidRPr="00663AA1">
        <w:rPr>
          <w:rFonts w:ascii="Times New Roman" w:hAnsi="Times New Roman" w:cs="Times New Roman"/>
        </w:rPr>
        <w:t xml:space="preserve">See </w:t>
      </w:r>
      <w:r w:rsidR="00CD0313" w:rsidRPr="00663AA1">
        <w:rPr>
          <w:rFonts w:ascii="Times New Roman" w:hAnsi="Times New Roman" w:cs="Times New Roman"/>
          <w:i/>
          <w:iCs/>
        </w:rPr>
        <w:t>Vedanta Resources PLC and another v Lungowe</w:t>
      </w:r>
      <w:r w:rsidR="00CD0313" w:rsidRPr="00663AA1">
        <w:rPr>
          <w:rFonts w:ascii="Times New Roman" w:hAnsi="Times New Roman" w:cs="Times New Roman"/>
        </w:rPr>
        <w:t xml:space="preserve"> and </w:t>
      </w:r>
      <w:r w:rsidR="00CD0313" w:rsidRPr="00663AA1">
        <w:rPr>
          <w:rFonts w:ascii="Times New Roman" w:hAnsi="Times New Roman" w:cs="Times New Roman"/>
          <w:i/>
          <w:iCs/>
        </w:rPr>
        <w:t>others</w:t>
      </w:r>
      <w:r w:rsidR="00CD0313" w:rsidRPr="00663AA1">
        <w:rPr>
          <w:rFonts w:ascii="Times New Roman" w:hAnsi="Times New Roman" w:cs="Times New Roman"/>
        </w:rPr>
        <w:t xml:space="preserve">  [2019] UKSC 20, paras 61</w:t>
      </w:r>
      <w:r w:rsidR="00F27669" w:rsidRPr="00663AA1">
        <w:rPr>
          <w:rFonts w:ascii="Times New Roman" w:hAnsi="Times New Roman" w:cs="Times New Roman"/>
        </w:rPr>
        <w:t xml:space="preserve">; </w:t>
      </w:r>
      <w:r w:rsidR="00CD0313" w:rsidRPr="00663AA1">
        <w:rPr>
          <w:rFonts w:ascii="Times New Roman" w:hAnsi="Times New Roman" w:cs="Times New Roman"/>
          <w:i/>
          <w:iCs/>
        </w:rPr>
        <w:t>Okpabi and other</w:t>
      </w:r>
      <w:r w:rsidR="00F27669" w:rsidRPr="00663AA1">
        <w:rPr>
          <w:rFonts w:ascii="Times New Roman" w:hAnsi="Times New Roman" w:cs="Times New Roman"/>
          <w:i/>
          <w:iCs/>
        </w:rPr>
        <w:t>s</w:t>
      </w:r>
      <w:r w:rsidR="00CD0313" w:rsidRPr="00663AA1">
        <w:rPr>
          <w:rFonts w:ascii="Times New Roman" w:hAnsi="Times New Roman" w:cs="Times New Roman"/>
          <w:i/>
          <w:iCs/>
        </w:rPr>
        <w:t xml:space="preserve"> v Royal Dutch Shell Plc and another</w:t>
      </w:r>
      <w:r w:rsidR="00CD0313" w:rsidRPr="00663AA1">
        <w:rPr>
          <w:rFonts w:ascii="Times New Roman" w:hAnsi="Times New Roman" w:cs="Times New Roman"/>
        </w:rPr>
        <w:t xml:space="preserve"> [2021] UKSC 3 On appeal from: [2020] EWCA Civ 191</w:t>
      </w:r>
      <w:r w:rsidR="00F27669" w:rsidRPr="00663AA1">
        <w:rPr>
          <w:rFonts w:ascii="Times New Roman" w:hAnsi="Times New Roman" w:cs="Times New Roman"/>
        </w:rPr>
        <w:t>,</w:t>
      </w:r>
      <w:r w:rsidR="00CD0313" w:rsidRPr="00663AA1">
        <w:rPr>
          <w:rFonts w:ascii="Times New Roman" w:hAnsi="Times New Roman" w:cs="Times New Roman"/>
        </w:rPr>
        <w:t xml:space="preserve"> para 153</w:t>
      </w:r>
      <w:r w:rsidR="00F27669" w:rsidRPr="00663AA1">
        <w:rPr>
          <w:rFonts w:ascii="Times New Roman" w:hAnsi="Times New Roman" w:cs="Times New Roman"/>
        </w:rPr>
        <w:t>.</w:t>
      </w:r>
      <w:r w:rsidR="00CD0313" w:rsidRPr="00663AA1">
        <w:rPr>
          <w:rFonts w:ascii="Times New Roman" w:hAnsi="Times New Roman" w:cs="Times New Roman"/>
        </w:rPr>
        <w:t xml:space="preserve"> </w:t>
      </w:r>
    </w:p>
  </w:footnote>
  <w:footnote w:id="8">
    <w:p w14:paraId="5F324261" w14:textId="66A7C2B4" w:rsidR="004F70A3" w:rsidRPr="00663AA1" w:rsidRDefault="004F70A3"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006F584A" w:rsidRPr="00663AA1">
        <w:rPr>
          <w:rFonts w:ascii="Times New Roman" w:hAnsi="Times New Roman" w:cs="Times New Roman"/>
        </w:rPr>
        <w:t xml:space="preserve"> On pushing the goals of the UNGPs</w:t>
      </w:r>
      <w:r w:rsidRPr="00663AA1">
        <w:rPr>
          <w:rFonts w:ascii="Times New Roman" w:hAnsi="Times New Roman" w:cs="Times New Roman"/>
        </w:rPr>
        <w:t xml:space="preserve"> </w:t>
      </w:r>
      <w:r w:rsidR="006F584A" w:rsidRPr="00663AA1">
        <w:rPr>
          <w:rFonts w:ascii="Times New Roman" w:hAnsi="Times New Roman" w:cs="Times New Roman"/>
        </w:rPr>
        <w:t xml:space="preserve">see </w:t>
      </w:r>
      <w:bookmarkStart w:id="5" w:name="_Hlk130811873"/>
      <w:r w:rsidR="00F33DF2" w:rsidRPr="00663AA1">
        <w:rPr>
          <w:rFonts w:ascii="Times New Roman" w:hAnsi="Times New Roman" w:cs="Times New Roman"/>
        </w:rPr>
        <w:t xml:space="preserve">Doug Cassel </w:t>
      </w:r>
      <w:r w:rsidR="00F27669" w:rsidRPr="00663AA1">
        <w:rPr>
          <w:rFonts w:ascii="Times New Roman" w:hAnsi="Times New Roman" w:cs="Times New Roman"/>
          <w:color w:val="181817"/>
          <w:shd w:val="clear" w:color="auto" w:fill="FFFFFF"/>
        </w:rPr>
        <w:t>‘</w:t>
      </w:r>
      <w:r w:rsidRPr="00663AA1">
        <w:rPr>
          <w:rFonts w:ascii="Times New Roman" w:hAnsi="Times New Roman" w:cs="Times New Roman"/>
          <w:color w:val="181817"/>
          <w:shd w:val="clear" w:color="auto" w:fill="FFFFFF"/>
        </w:rPr>
        <w:t>Outlining the Case for a Common Law Duty of Care of Business to Exercise Human Rights Due Diligence</w:t>
      </w:r>
      <w:r w:rsidR="00F27669" w:rsidRPr="00663AA1">
        <w:rPr>
          <w:rFonts w:ascii="Times New Roman" w:hAnsi="Times New Roman" w:cs="Times New Roman"/>
          <w:color w:val="181817"/>
          <w:shd w:val="clear" w:color="auto" w:fill="FFFFFF"/>
        </w:rPr>
        <w:t>’ (2016)1(2)</w:t>
      </w:r>
      <w:r w:rsidRPr="00663AA1">
        <w:rPr>
          <w:rFonts w:ascii="Times New Roman" w:hAnsi="Times New Roman" w:cs="Times New Roman"/>
          <w:color w:val="181817"/>
          <w:shd w:val="clear" w:color="auto" w:fill="FFFFFF"/>
        </w:rPr>
        <w:t> </w:t>
      </w:r>
      <w:r w:rsidRPr="00663AA1">
        <w:rPr>
          <w:rFonts w:ascii="Times New Roman" w:hAnsi="Times New Roman" w:cs="Times New Roman"/>
          <w:color w:val="181817"/>
          <w:bdr w:val="none" w:sz="0" w:space="0" w:color="auto" w:frame="1"/>
          <w:shd w:val="clear" w:color="auto" w:fill="FFFFFF"/>
        </w:rPr>
        <w:t>Business and Human Rights Journal</w:t>
      </w:r>
      <w:r w:rsidRPr="00663AA1">
        <w:rPr>
          <w:rFonts w:ascii="Times New Roman" w:hAnsi="Times New Roman" w:cs="Times New Roman"/>
          <w:color w:val="181817"/>
          <w:shd w:val="clear" w:color="auto" w:fill="FFFFFF"/>
        </w:rPr>
        <w:t xml:space="preserve"> 179</w:t>
      </w:r>
      <w:bookmarkEnd w:id="5"/>
      <w:r w:rsidR="00F27669" w:rsidRPr="00663AA1">
        <w:rPr>
          <w:rFonts w:ascii="Times New Roman" w:hAnsi="Times New Roman" w:cs="Times New Roman"/>
          <w:color w:val="181817"/>
          <w:shd w:val="clear" w:color="auto" w:fill="FFFFFF"/>
        </w:rPr>
        <w:t>.</w:t>
      </w:r>
    </w:p>
  </w:footnote>
  <w:footnote w:id="9">
    <w:p w14:paraId="374E20A8" w14:textId="6E56BBEA" w:rsidR="00620F85" w:rsidRPr="00663AA1" w:rsidRDefault="00620F85"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Donoghue v Stevenson</w:t>
      </w:r>
      <w:r w:rsidRPr="00663AA1">
        <w:rPr>
          <w:rFonts w:ascii="Times New Roman" w:hAnsi="Times New Roman" w:cs="Times New Roman"/>
        </w:rPr>
        <w:t xml:space="preserve"> [1932] AC 562, at 580.</w:t>
      </w:r>
    </w:p>
  </w:footnote>
  <w:footnote w:id="10">
    <w:p w14:paraId="35DF30E9" w14:textId="77CD7B11"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7D18D9" w:rsidRPr="00663AA1">
        <w:rPr>
          <w:rFonts w:ascii="Times New Roman" w:hAnsi="Times New Roman" w:cs="Times New Roman"/>
        </w:rPr>
        <w:t>Ibid</w:t>
      </w:r>
      <w:r w:rsidRPr="00663AA1">
        <w:rPr>
          <w:rFonts w:ascii="Times New Roman" w:hAnsi="Times New Roman" w:cs="Times New Roman"/>
        </w:rPr>
        <w:t>.</w:t>
      </w:r>
    </w:p>
  </w:footnote>
  <w:footnote w:id="11">
    <w:p w14:paraId="4E642EA3" w14:textId="4F68FC79"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6" w:name="_Hlk130986454"/>
      <w:r w:rsidRPr="00663AA1">
        <w:rPr>
          <w:rFonts w:ascii="Times New Roman" w:hAnsi="Times New Roman" w:cs="Times New Roman"/>
          <w:i/>
          <w:iCs/>
        </w:rPr>
        <w:t>Caparo</w:t>
      </w:r>
      <w:r w:rsidR="00620F85" w:rsidRPr="00663AA1">
        <w:rPr>
          <w:rFonts w:ascii="Times New Roman" w:hAnsi="Times New Roman" w:cs="Times New Roman"/>
        </w:rPr>
        <w:t xml:space="preserve"> </w:t>
      </w:r>
      <w:r w:rsidR="00620F85" w:rsidRPr="00663AA1">
        <w:rPr>
          <w:rFonts w:ascii="Times New Roman" w:hAnsi="Times New Roman" w:cs="Times New Roman"/>
          <w:i/>
          <w:iCs/>
        </w:rPr>
        <w:t>Industries</w:t>
      </w:r>
      <w:r w:rsidR="00620F85" w:rsidRPr="00663AA1">
        <w:rPr>
          <w:rFonts w:ascii="Times New Roman" w:hAnsi="Times New Roman" w:cs="Times New Roman"/>
        </w:rPr>
        <w:t xml:space="preserve"> </w:t>
      </w:r>
      <w:r w:rsidR="00620F85" w:rsidRPr="00663AA1">
        <w:rPr>
          <w:rFonts w:ascii="Times New Roman" w:hAnsi="Times New Roman" w:cs="Times New Roman"/>
          <w:i/>
          <w:iCs/>
        </w:rPr>
        <w:t>Plc</w:t>
      </w:r>
      <w:r w:rsidR="00620F85" w:rsidRPr="00663AA1">
        <w:rPr>
          <w:rFonts w:ascii="Times New Roman" w:hAnsi="Times New Roman" w:cs="Times New Roman"/>
        </w:rPr>
        <w:t xml:space="preserve"> v</w:t>
      </w:r>
      <w:r w:rsidR="00D97DAD" w:rsidRPr="00663AA1">
        <w:rPr>
          <w:rFonts w:ascii="Times New Roman" w:hAnsi="Times New Roman" w:cs="Times New Roman"/>
        </w:rPr>
        <w:t>.</w:t>
      </w:r>
      <w:r w:rsidR="00620F85" w:rsidRPr="00663AA1">
        <w:rPr>
          <w:rFonts w:ascii="Times New Roman" w:hAnsi="Times New Roman" w:cs="Times New Roman"/>
        </w:rPr>
        <w:t xml:space="preserve"> </w:t>
      </w:r>
      <w:r w:rsidR="00620F85" w:rsidRPr="00663AA1">
        <w:rPr>
          <w:rFonts w:ascii="Times New Roman" w:hAnsi="Times New Roman" w:cs="Times New Roman"/>
          <w:i/>
          <w:iCs/>
        </w:rPr>
        <w:t>Dickman</w:t>
      </w:r>
      <w:r w:rsidR="00620F85" w:rsidRPr="00663AA1">
        <w:rPr>
          <w:rFonts w:ascii="Times New Roman" w:hAnsi="Times New Roman" w:cs="Times New Roman"/>
        </w:rPr>
        <w:t xml:space="preserve"> [1990] 2 AC 605.</w:t>
      </w:r>
      <w:bookmarkEnd w:id="6"/>
    </w:p>
  </w:footnote>
  <w:footnote w:id="12">
    <w:p w14:paraId="2CC229DA" w14:textId="456608D1" w:rsidR="00F54CA9" w:rsidRPr="00663AA1" w:rsidRDefault="00F54CA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Guardian Article on the Claims brought against Tesco in the UK by Mae Sot immigrant workers. </w:t>
      </w:r>
      <w:hyperlink r:id="rId4" w:history="1">
        <w:r w:rsidRPr="00663AA1">
          <w:rPr>
            <w:rStyle w:val="Hyperlink"/>
            <w:rFonts w:ascii="Times New Roman" w:hAnsi="Times New Roman" w:cs="Times New Roman"/>
          </w:rPr>
          <w:t>https://www.theguardian.com/world/2022/dec/19/how-big-brands-like-tesco-are-drawn-to-wild-west-of-global-supply-chain</w:t>
        </w:r>
      </w:hyperlink>
      <w:r w:rsidR="00EA7114" w:rsidRPr="00663AA1">
        <w:rPr>
          <w:rStyle w:val="Hyperlink"/>
          <w:rFonts w:ascii="Times New Roman" w:hAnsi="Times New Roman" w:cs="Times New Roman"/>
        </w:rPr>
        <w:t>.</w:t>
      </w:r>
      <w:r w:rsidRPr="00663AA1">
        <w:rPr>
          <w:rFonts w:ascii="Times New Roman" w:hAnsi="Times New Roman" w:cs="Times New Roman"/>
        </w:rPr>
        <w:t xml:space="preserve"> </w:t>
      </w:r>
    </w:p>
  </w:footnote>
  <w:footnote w:id="13">
    <w:p w14:paraId="1BFEFA7E" w14:textId="77777777" w:rsidR="00B108A4" w:rsidRPr="00663AA1" w:rsidRDefault="00B108A4"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rPr>
        <w:t xml:space="preserve">Friday Alfred Akpan et al v Royal Dutch Shell PLc et al </w:t>
      </w:r>
      <w:r w:rsidRPr="00663AA1">
        <w:rPr>
          <w:rFonts w:ascii="Times New Roman" w:hAnsi="Times New Roman" w:cs="Times New Roman"/>
        </w:rPr>
        <w:t>Case C/09/337050/HA ZA 09-150 [District Court of The Hague, 30 January 2013].</w:t>
      </w:r>
    </w:p>
  </w:footnote>
  <w:footnote w:id="14">
    <w:p w14:paraId="77AE7713" w14:textId="48B91DE2" w:rsidR="00EA4B7D" w:rsidRPr="00663AA1" w:rsidRDefault="00EA4B7D"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1244CA" w:rsidRPr="00663AA1">
        <w:rPr>
          <w:rFonts w:ascii="Times New Roman" w:hAnsi="Times New Roman" w:cs="Times New Roman"/>
          <w:i/>
          <w:iCs/>
        </w:rPr>
        <w:t>Filartiga v. Pena-Irala</w:t>
      </w:r>
      <w:r w:rsidR="001244CA" w:rsidRPr="00663AA1">
        <w:rPr>
          <w:rFonts w:ascii="Times New Roman" w:hAnsi="Times New Roman" w:cs="Times New Roman"/>
        </w:rPr>
        <w:t>, 630 F.2d 876</w:t>
      </w:r>
      <w:r w:rsidRPr="00663AA1">
        <w:rPr>
          <w:rFonts w:ascii="Times New Roman" w:hAnsi="Times New Roman" w:cs="Times New Roman"/>
        </w:rPr>
        <w:t>, 890</w:t>
      </w:r>
    </w:p>
  </w:footnote>
  <w:footnote w:id="15">
    <w:p w14:paraId="7316308D" w14:textId="520F12B3" w:rsidR="006451BF" w:rsidRPr="00663AA1" w:rsidRDefault="006451BF"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Anglo</w:t>
      </w:r>
      <w:r w:rsidR="001244CA" w:rsidRPr="00663AA1">
        <w:rPr>
          <w:rFonts w:ascii="Times New Roman" w:hAnsi="Times New Roman" w:cs="Times New Roman"/>
        </w:rPr>
        <w:t>American,</w:t>
      </w:r>
      <w:r w:rsidRPr="00663AA1">
        <w:rPr>
          <w:rFonts w:ascii="Times New Roman" w:hAnsi="Times New Roman" w:cs="Times New Roman"/>
        </w:rPr>
        <w:t xml:space="preserve">  </w:t>
      </w:r>
      <w:r w:rsidR="001244CA" w:rsidRPr="00663AA1">
        <w:rPr>
          <w:rFonts w:ascii="Times New Roman" w:hAnsi="Times New Roman" w:cs="Times New Roman"/>
        </w:rPr>
        <w:t xml:space="preserve">‘Group </w:t>
      </w:r>
      <w:r w:rsidRPr="00663AA1">
        <w:rPr>
          <w:rFonts w:ascii="Times New Roman" w:hAnsi="Times New Roman" w:cs="Times New Roman"/>
        </w:rPr>
        <w:t>Human Rights Policy</w:t>
      </w:r>
      <w:r w:rsidR="001244CA" w:rsidRPr="00663AA1">
        <w:rPr>
          <w:rFonts w:ascii="Times New Roman" w:hAnsi="Times New Roman" w:cs="Times New Roman"/>
        </w:rPr>
        <w:t>’ (2021)</w:t>
      </w:r>
      <w:r w:rsidR="00FD020C" w:rsidRPr="00663AA1">
        <w:rPr>
          <w:rFonts w:ascii="Times New Roman" w:hAnsi="Times New Roman" w:cs="Times New Roman"/>
        </w:rPr>
        <w:t xml:space="preserve"> </w:t>
      </w:r>
      <w:hyperlink r:id="rId5" w:history="1">
        <w:r w:rsidR="001244CA" w:rsidRPr="00663AA1">
          <w:rPr>
            <w:rStyle w:val="Hyperlink"/>
            <w:rFonts w:ascii="Times New Roman" w:hAnsi="Times New Roman" w:cs="Times New Roman"/>
          </w:rPr>
          <w:t>https://www.angloamerican.com/~/media/Files/A/Anglo-American-Group/PLC/sustainability/approach-and-policies/hr-policy-document-english-oct-2021.pdf</w:t>
        </w:r>
      </w:hyperlink>
      <w:r w:rsidR="001244CA" w:rsidRPr="00663AA1">
        <w:rPr>
          <w:rFonts w:ascii="Times New Roman" w:hAnsi="Times New Roman" w:cs="Times New Roman"/>
        </w:rPr>
        <w:t xml:space="preserve">. </w:t>
      </w:r>
    </w:p>
  </w:footnote>
  <w:footnote w:id="16">
    <w:p w14:paraId="745E14CE" w14:textId="79B55EA5"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C440D0" w:rsidRPr="00663AA1">
        <w:rPr>
          <w:rFonts w:ascii="Times New Roman" w:hAnsi="Times New Roman" w:cs="Times New Roman"/>
          <w:i/>
          <w:iCs/>
        </w:rPr>
        <w:t>Caparo</w:t>
      </w:r>
      <w:r w:rsidR="00C440D0" w:rsidRPr="00663AA1">
        <w:rPr>
          <w:rFonts w:ascii="Times New Roman" w:hAnsi="Times New Roman" w:cs="Times New Roman"/>
        </w:rPr>
        <w:t xml:space="preserve"> </w:t>
      </w:r>
      <w:r w:rsidR="00C440D0" w:rsidRPr="00663AA1">
        <w:rPr>
          <w:rFonts w:ascii="Times New Roman" w:hAnsi="Times New Roman" w:cs="Times New Roman"/>
          <w:i/>
          <w:iCs/>
        </w:rPr>
        <w:t>Industries</w:t>
      </w:r>
      <w:r w:rsidR="00C440D0" w:rsidRPr="00663AA1">
        <w:rPr>
          <w:rFonts w:ascii="Times New Roman" w:hAnsi="Times New Roman" w:cs="Times New Roman"/>
        </w:rPr>
        <w:t xml:space="preserve"> </w:t>
      </w:r>
      <w:r w:rsidR="00C440D0" w:rsidRPr="00663AA1">
        <w:rPr>
          <w:rFonts w:ascii="Times New Roman" w:hAnsi="Times New Roman" w:cs="Times New Roman"/>
          <w:i/>
          <w:iCs/>
        </w:rPr>
        <w:t>Plc</w:t>
      </w:r>
      <w:r w:rsidR="00C440D0" w:rsidRPr="00663AA1">
        <w:rPr>
          <w:rFonts w:ascii="Times New Roman" w:hAnsi="Times New Roman" w:cs="Times New Roman"/>
        </w:rPr>
        <w:t xml:space="preserve"> v. </w:t>
      </w:r>
      <w:r w:rsidR="00C440D0" w:rsidRPr="00663AA1">
        <w:rPr>
          <w:rFonts w:ascii="Times New Roman" w:hAnsi="Times New Roman" w:cs="Times New Roman"/>
          <w:i/>
          <w:iCs/>
        </w:rPr>
        <w:t>Dickman</w:t>
      </w:r>
      <w:r w:rsidR="00C440D0" w:rsidRPr="00663AA1">
        <w:rPr>
          <w:rFonts w:ascii="Times New Roman" w:hAnsi="Times New Roman" w:cs="Times New Roman"/>
        </w:rPr>
        <w:t xml:space="preserve"> [19</w:t>
      </w:r>
      <w:r w:rsidR="001244CA" w:rsidRPr="00663AA1">
        <w:rPr>
          <w:rFonts w:ascii="Times New Roman" w:hAnsi="Times New Roman" w:cs="Times New Roman"/>
        </w:rPr>
        <w:t>n</w:t>
      </w:r>
      <w:r w:rsidR="00C440D0" w:rsidRPr="00663AA1">
        <w:rPr>
          <w:rFonts w:ascii="Times New Roman" w:hAnsi="Times New Roman" w:cs="Times New Roman"/>
        </w:rPr>
        <w:t xml:space="preserve">90] 2 AC 605, </w:t>
      </w:r>
      <w:r w:rsidRPr="00663AA1">
        <w:rPr>
          <w:rFonts w:ascii="Times New Roman" w:hAnsi="Times New Roman" w:cs="Times New Roman"/>
        </w:rPr>
        <w:t>633</w:t>
      </w:r>
      <w:r w:rsidR="00C440D0" w:rsidRPr="00663AA1">
        <w:rPr>
          <w:rFonts w:ascii="Times New Roman" w:hAnsi="Times New Roman" w:cs="Times New Roman"/>
        </w:rPr>
        <w:t>.</w:t>
      </w:r>
    </w:p>
  </w:footnote>
  <w:footnote w:id="17">
    <w:p w14:paraId="200038AA" w14:textId="24A6461F" w:rsidR="0041412D" w:rsidRPr="00721810" w:rsidRDefault="0041412D" w:rsidP="005D0500">
      <w:pPr>
        <w:spacing w:line="240" w:lineRule="auto"/>
        <w:rPr>
          <w:rFonts w:ascii="Times New Roman" w:eastAsia="Times New Roman" w:hAnsi="Times New Roman" w:cs="Times New Roman"/>
          <w:sz w:val="20"/>
          <w:szCs w:val="20"/>
          <w:lang w:eastAsia="en-GB"/>
        </w:rPr>
      </w:pPr>
      <w:r w:rsidRPr="00721810">
        <w:rPr>
          <w:rStyle w:val="FootnoteReference"/>
          <w:rFonts w:ascii="Times New Roman" w:hAnsi="Times New Roman" w:cs="Times New Roman"/>
          <w:sz w:val="20"/>
          <w:szCs w:val="20"/>
        </w:rPr>
        <w:footnoteRef/>
      </w:r>
      <w:r w:rsidRPr="00721810">
        <w:rPr>
          <w:rFonts w:ascii="Times New Roman" w:hAnsi="Times New Roman" w:cs="Times New Roman"/>
          <w:sz w:val="20"/>
          <w:szCs w:val="20"/>
        </w:rPr>
        <w:t xml:space="preserve"> </w:t>
      </w:r>
      <w:r w:rsidR="00047311" w:rsidRPr="00663AA1">
        <w:rPr>
          <w:rFonts w:ascii="Times New Roman" w:hAnsi="Times New Roman" w:cs="Times New Roman"/>
          <w:i/>
          <w:iCs/>
          <w:sz w:val="20"/>
          <w:szCs w:val="20"/>
        </w:rPr>
        <w:t>Michael and Another v Chief Constable of South Wales Police</w:t>
      </w:r>
      <w:r w:rsidR="00047311" w:rsidRPr="00663AA1">
        <w:rPr>
          <w:rFonts w:ascii="Times New Roman" w:hAnsi="Times New Roman" w:cs="Times New Roman"/>
          <w:sz w:val="20"/>
          <w:szCs w:val="20"/>
        </w:rPr>
        <w:t> </w:t>
      </w:r>
      <w:hyperlink r:id="rId6" w:tooltip="Link to BAILII version" w:history="1">
        <w:r w:rsidR="00047311" w:rsidRPr="00663AA1">
          <w:rPr>
            <w:rFonts w:ascii="Times New Roman" w:hAnsi="Times New Roman" w:cs="Times New Roman"/>
            <w:sz w:val="20"/>
            <w:szCs w:val="20"/>
          </w:rPr>
          <w:t>[2015] UKSC 2</w:t>
        </w:r>
      </w:hyperlink>
      <w:r w:rsidR="00047311" w:rsidRPr="00663AA1">
        <w:rPr>
          <w:rFonts w:ascii="Times New Roman" w:hAnsi="Times New Roman" w:cs="Times New Roman"/>
          <w:sz w:val="20"/>
          <w:szCs w:val="20"/>
        </w:rPr>
        <w:t xml:space="preserve">, Para 97. </w:t>
      </w:r>
      <w:r w:rsidRPr="00663AA1">
        <w:rPr>
          <w:rFonts w:ascii="Times New Roman" w:hAnsi="Times New Roman" w:cs="Times New Roman"/>
          <w:sz w:val="20"/>
          <w:szCs w:val="20"/>
        </w:rPr>
        <w:t xml:space="preserve">Common law </w:t>
      </w:r>
      <w:r w:rsidR="00047311" w:rsidRPr="00663AA1">
        <w:rPr>
          <w:rFonts w:ascii="Times New Roman" w:hAnsi="Times New Roman" w:cs="Times New Roman"/>
          <w:sz w:val="20"/>
          <w:szCs w:val="20"/>
        </w:rPr>
        <w:t xml:space="preserve">does not generally </w:t>
      </w:r>
      <w:r w:rsidRPr="00663AA1">
        <w:rPr>
          <w:rFonts w:ascii="Times New Roman" w:hAnsi="Times New Roman" w:cs="Times New Roman"/>
          <w:sz w:val="20"/>
          <w:szCs w:val="20"/>
        </w:rPr>
        <w:t>impose liability for ‘pure commissions’</w:t>
      </w:r>
      <w:r w:rsidR="00047311" w:rsidRPr="00663AA1">
        <w:rPr>
          <w:rFonts w:ascii="Times New Roman" w:hAnsi="Times New Roman" w:cs="Times New Roman"/>
          <w:sz w:val="20"/>
          <w:szCs w:val="20"/>
        </w:rPr>
        <w:t>.</w:t>
      </w:r>
      <w:r w:rsidRPr="00663AA1">
        <w:rPr>
          <w:rFonts w:ascii="Times New Roman" w:hAnsi="Times New Roman" w:cs="Times New Roman"/>
          <w:sz w:val="20"/>
          <w:szCs w:val="20"/>
        </w:rPr>
        <w:t xml:space="preserve"> See </w:t>
      </w:r>
      <w:bookmarkStart w:id="8" w:name="_Hlk141676909"/>
      <w:r w:rsidRPr="00663AA1">
        <w:rPr>
          <w:rFonts w:ascii="Times New Roman" w:hAnsi="Times New Roman" w:cs="Times New Roman"/>
          <w:sz w:val="20"/>
          <w:szCs w:val="20"/>
        </w:rPr>
        <w:t xml:space="preserve">Hopkins R., </w:t>
      </w:r>
      <w:bookmarkEnd w:id="8"/>
      <w:r w:rsidRPr="00663AA1">
        <w:rPr>
          <w:rFonts w:ascii="Times New Roman" w:hAnsi="Times New Roman" w:cs="Times New Roman"/>
          <w:sz w:val="20"/>
          <w:szCs w:val="20"/>
        </w:rPr>
        <w:t xml:space="preserve">‘Civil Liability for Human Rights Violations: A Handbook for Practitioners’, Bonavero Institute of Human Rights, October 2022, para 28. Available on </w:t>
      </w:r>
      <w:hyperlink r:id="rId7" w:history="1">
        <w:r w:rsidRPr="00663AA1">
          <w:rPr>
            <w:rStyle w:val="Hyperlink"/>
            <w:rFonts w:ascii="Times New Roman" w:hAnsi="Times New Roman" w:cs="Times New Roman"/>
            <w:sz w:val="20"/>
            <w:szCs w:val="20"/>
          </w:rPr>
          <w:t>https://www.law.ox.ac.uk/sites/default/files/2022-10/9._civil_liabilities_for_human_rights_violations_england_and_wales.pdf</w:t>
        </w:r>
      </w:hyperlink>
      <w:r w:rsidRPr="00663AA1">
        <w:rPr>
          <w:rFonts w:ascii="Times New Roman" w:hAnsi="Times New Roman" w:cs="Times New Roman"/>
          <w:sz w:val="20"/>
          <w:szCs w:val="20"/>
        </w:rPr>
        <w:t xml:space="preserve"> last accessed on 30 July 2023</w:t>
      </w:r>
      <w:r w:rsidR="00072E02" w:rsidRPr="00663AA1">
        <w:rPr>
          <w:rFonts w:ascii="Times New Roman" w:hAnsi="Times New Roman" w:cs="Times New Roman"/>
          <w:sz w:val="20"/>
          <w:szCs w:val="20"/>
        </w:rPr>
        <w:t>. Though the term ‘pure omissions’ should be understood along the line that the law often imposes a duty not to make things worse, by rarely imposes a duty to make things better. See Begum (on behalf of Md Khalil Mollah) v Maran (UK) Ltd [2021] EWCA Civ 326, per Coulson LJ, para 60.</w:t>
      </w:r>
    </w:p>
  </w:footnote>
  <w:footnote w:id="18">
    <w:p w14:paraId="7096A12D" w14:textId="553459D7" w:rsidR="00B547AF" w:rsidRPr="00663AA1" w:rsidRDefault="00B547AF"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rPr>
        <w:t xml:space="preserve">Chandler </w:t>
      </w:r>
      <w:r w:rsidRPr="00663AA1">
        <w:rPr>
          <w:rFonts w:ascii="Times New Roman" w:hAnsi="Times New Roman" w:cs="Times New Roman"/>
        </w:rPr>
        <w:t>v.</w:t>
      </w:r>
      <w:r w:rsidRPr="00663AA1">
        <w:rPr>
          <w:rFonts w:ascii="Times New Roman" w:hAnsi="Times New Roman" w:cs="Times New Roman"/>
          <w:i/>
        </w:rPr>
        <w:t xml:space="preserve"> Cape PLC</w:t>
      </w:r>
      <w:r w:rsidRPr="00663AA1">
        <w:rPr>
          <w:rFonts w:ascii="Times New Roman" w:hAnsi="Times New Roman" w:cs="Times New Roman"/>
        </w:rPr>
        <w:t>, No. [2012] EWCA</w:t>
      </w:r>
      <w:r w:rsidR="00C7466A" w:rsidRPr="00663AA1">
        <w:rPr>
          <w:rFonts w:ascii="Times New Roman" w:hAnsi="Times New Roman" w:cs="Times New Roman"/>
        </w:rPr>
        <w:t xml:space="preserve"> Civ 525, para 80</w:t>
      </w:r>
      <w:r w:rsidRPr="00663AA1">
        <w:rPr>
          <w:rFonts w:ascii="Times New Roman" w:hAnsi="Times New Roman" w:cs="Times New Roman"/>
        </w:rPr>
        <w:t xml:space="preserve">. </w:t>
      </w:r>
    </w:p>
  </w:footnote>
  <w:footnote w:id="19">
    <w:p w14:paraId="09763C7B" w14:textId="495C3DFB" w:rsidR="00896DCD" w:rsidRPr="00663AA1" w:rsidRDefault="00896DCD"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rPr>
        <w:t xml:space="preserve">Friday Alfred Akpan et al v Royal Dutch Shell PLc et al </w:t>
      </w:r>
      <w:r w:rsidRPr="00663AA1">
        <w:rPr>
          <w:rFonts w:ascii="Times New Roman" w:hAnsi="Times New Roman" w:cs="Times New Roman"/>
        </w:rPr>
        <w:t>Case C/09/337050/HA ZA 09-150 [District Court of The Hague, 30 January 2013]</w:t>
      </w:r>
      <w:r w:rsidR="00EA7114" w:rsidRPr="00663AA1">
        <w:rPr>
          <w:rFonts w:ascii="Times New Roman" w:hAnsi="Times New Roman" w:cs="Times New Roman"/>
        </w:rPr>
        <w:t>.</w:t>
      </w:r>
    </w:p>
  </w:footnote>
  <w:footnote w:id="20">
    <w:p w14:paraId="6538CDB9" w14:textId="4B3BD338" w:rsidR="00896DCD" w:rsidRPr="00663AA1" w:rsidRDefault="00896DCD"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This reflects the third prong of the famous English Court of Appeal Decision in </w:t>
      </w:r>
      <w:hyperlink r:id="rId8" w:history="1">
        <w:r w:rsidRPr="00663AA1">
          <w:rPr>
            <w:rFonts w:ascii="Times New Roman" w:hAnsi="Times New Roman" w:cs="Times New Roman"/>
            <w:i/>
            <w:shd w:val="clear" w:color="auto" w:fill="FFFFFF"/>
          </w:rPr>
          <w:t xml:space="preserve">Caparo Industries Plc </w:t>
        </w:r>
        <w:r w:rsidRPr="00663AA1">
          <w:rPr>
            <w:rFonts w:ascii="Times New Roman" w:hAnsi="Times New Roman" w:cs="Times New Roman"/>
            <w:shd w:val="clear" w:color="auto" w:fill="FFFFFF"/>
          </w:rPr>
          <w:t>v</w:t>
        </w:r>
        <w:r w:rsidRPr="00663AA1">
          <w:rPr>
            <w:rFonts w:ascii="Times New Roman" w:hAnsi="Times New Roman" w:cs="Times New Roman"/>
            <w:i/>
            <w:shd w:val="clear" w:color="auto" w:fill="FFFFFF"/>
          </w:rPr>
          <w:t xml:space="preserve"> Dickman</w:t>
        </w:r>
      </w:hyperlink>
      <w:r w:rsidRPr="00663AA1">
        <w:rPr>
          <w:rFonts w:ascii="Times New Roman" w:hAnsi="Times New Roman" w:cs="Times New Roman"/>
          <w:shd w:val="clear" w:color="auto" w:fill="FFFFFF"/>
        </w:rPr>
        <w:t> [1990] 2 AC 605</w:t>
      </w:r>
      <w:r w:rsidRPr="00663AA1">
        <w:rPr>
          <w:rFonts w:ascii="Times New Roman" w:hAnsi="Times New Roman" w:cs="Times New Roman"/>
        </w:rPr>
        <w:t xml:space="preserve">. It is worthwhile pointing </w:t>
      </w:r>
      <w:r w:rsidR="00BB5F55" w:rsidRPr="00663AA1">
        <w:rPr>
          <w:rFonts w:ascii="Times New Roman" w:hAnsi="Times New Roman" w:cs="Times New Roman"/>
        </w:rPr>
        <w:t xml:space="preserve">out </w:t>
      </w:r>
      <w:r w:rsidRPr="00663AA1">
        <w:rPr>
          <w:rFonts w:ascii="Times New Roman" w:hAnsi="Times New Roman" w:cs="Times New Roman"/>
        </w:rPr>
        <w:t xml:space="preserve">that the Dutch court did not hesitate in the same proceedings to find that subsidiary owed a duty of care to the claimants and found it liable under the tort of negligence. See David </w:t>
      </w:r>
      <w:r w:rsidR="00B639DA" w:rsidRPr="00663AA1">
        <w:rPr>
          <w:rFonts w:ascii="Times New Roman" w:hAnsi="Times New Roman" w:cs="Times New Roman"/>
        </w:rPr>
        <w:t>Ong, ‘Regulating environmental responsibility for the multinational oil industry: Continuing challenges for international law’ (2015)11(2) International Journal of Law in Context 153</w:t>
      </w:r>
      <w:r w:rsidR="00EA7114" w:rsidRPr="00663AA1">
        <w:rPr>
          <w:rFonts w:ascii="Times New Roman" w:hAnsi="Times New Roman" w:cs="Times New Roman"/>
        </w:rPr>
        <w:t>,</w:t>
      </w:r>
      <w:r w:rsidRPr="00663AA1">
        <w:rPr>
          <w:rFonts w:ascii="Times New Roman" w:hAnsi="Times New Roman" w:cs="Times New Roman"/>
        </w:rPr>
        <w:t xml:space="preserve"> 166</w:t>
      </w:r>
      <w:r w:rsidR="00EA7114" w:rsidRPr="00663AA1">
        <w:rPr>
          <w:rFonts w:ascii="Times New Roman" w:hAnsi="Times New Roman" w:cs="Times New Roman"/>
        </w:rPr>
        <w:t>.</w:t>
      </w:r>
    </w:p>
  </w:footnote>
  <w:footnote w:id="21">
    <w:p w14:paraId="33D9DAD2" w14:textId="529C9CD6" w:rsidR="00717C89" w:rsidRPr="00663AA1" w:rsidRDefault="00717C8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EA7114" w:rsidRPr="00663AA1">
        <w:rPr>
          <w:rFonts w:ascii="Times New Roman" w:hAnsi="Times New Roman" w:cs="Times New Roman"/>
          <w:color w:val="181817"/>
          <w:shd w:val="clear" w:color="auto" w:fill="FFFFFF"/>
        </w:rPr>
        <w:t xml:space="preserve">Cassel (n </w:t>
      </w:r>
      <w:r w:rsidR="00663AA1" w:rsidRPr="00663AA1">
        <w:rPr>
          <w:rFonts w:ascii="Times New Roman" w:hAnsi="Times New Roman" w:cs="Times New Roman"/>
          <w:color w:val="181817"/>
          <w:shd w:val="clear" w:color="auto" w:fill="FFFFFF"/>
        </w:rPr>
        <w:fldChar w:fldCharType="begin"/>
      </w:r>
      <w:r w:rsidR="00663AA1" w:rsidRPr="00663AA1">
        <w:rPr>
          <w:rFonts w:ascii="Times New Roman" w:hAnsi="Times New Roman" w:cs="Times New Roman"/>
          <w:color w:val="181817"/>
          <w:shd w:val="clear" w:color="auto" w:fill="FFFFFF"/>
        </w:rPr>
        <w:instrText xml:space="preserve"> NOTEREF _Ref141964297 \h </w:instrText>
      </w:r>
      <w:r w:rsidR="00663AA1">
        <w:rPr>
          <w:rFonts w:ascii="Times New Roman" w:hAnsi="Times New Roman" w:cs="Times New Roman"/>
          <w:color w:val="181817"/>
          <w:shd w:val="clear" w:color="auto" w:fill="FFFFFF"/>
        </w:rPr>
        <w:instrText xml:space="preserve"> \* MERGEFORMAT </w:instrText>
      </w:r>
      <w:r w:rsidR="00663AA1" w:rsidRPr="00663AA1">
        <w:rPr>
          <w:rFonts w:ascii="Times New Roman" w:hAnsi="Times New Roman" w:cs="Times New Roman"/>
          <w:color w:val="181817"/>
          <w:shd w:val="clear" w:color="auto" w:fill="FFFFFF"/>
        </w:rPr>
      </w:r>
      <w:r w:rsidR="00663AA1" w:rsidRPr="00663AA1">
        <w:rPr>
          <w:rFonts w:ascii="Times New Roman" w:hAnsi="Times New Roman" w:cs="Times New Roman"/>
          <w:color w:val="181817"/>
          <w:shd w:val="clear" w:color="auto" w:fill="FFFFFF"/>
        </w:rPr>
        <w:fldChar w:fldCharType="separate"/>
      </w:r>
      <w:r w:rsidR="00663AA1">
        <w:rPr>
          <w:rFonts w:ascii="Times New Roman" w:hAnsi="Times New Roman" w:cs="Times New Roman"/>
          <w:color w:val="181817"/>
          <w:shd w:val="clear" w:color="auto" w:fill="FFFFFF"/>
        </w:rPr>
        <w:t>7</w:t>
      </w:r>
      <w:r w:rsidR="00663AA1" w:rsidRPr="00663AA1">
        <w:rPr>
          <w:rFonts w:ascii="Times New Roman" w:hAnsi="Times New Roman" w:cs="Times New Roman"/>
          <w:color w:val="181817"/>
          <w:shd w:val="clear" w:color="auto" w:fill="FFFFFF"/>
        </w:rPr>
        <w:fldChar w:fldCharType="end"/>
      </w:r>
      <w:r w:rsidR="00EA7114" w:rsidRPr="00663AA1">
        <w:rPr>
          <w:rFonts w:ascii="Times New Roman" w:hAnsi="Times New Roman" w:cs="Times New Roman"/>
          <w:color w:val="181817"/>
          <w:shd w:val="clear" w:color="auto" w:fill="FFFFFF"/>
        </w:rPr>
        <w:t xml:space="preserve">) </w:t>
      </w:r>
      <w:r w:rsidRPr="00663AA1">
        <w:rPr>
          <w:rFonts w:ascii="Times New Roman" w:hAnsi="Times New Roman" w:cs="Times New Roman"/>
          <w:color w:val="181817"/>
          <w:shd w:val="clear" w:color="auto" w:fill="FFFFFF"/>
        </w:rPr>
        <w:t>196-197</w:t>
      </w:r>
    </w:p>
  </w:footnote>
  <w:footnote w:id="22">
    <w:p w14:paraId="5F6CA145" w14:textId="3900984F" w:rsidR="000E040C" w:rsidRPr="00663AA1" w:rsidRDefault="000E040C"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C440D0" w:rsidRPr="00663AA1">
        <w:rPr>
          <w:rFonts w:ascii="Times New Roman" w:hAnsi="Times New Roman" w:cs="Times New Roman"/>
          <w:i/>
          <w:iCs/>
        </w:rPr>
        <w:t>Caparo</w:t>
      </w:r>
      <w:r w:rsidR="00C440D0" w:rsidRPr="00663AA1">
        <w:rPr>
          <w:rFonts w:ascii="Times New Roman" w:hAnsi="Times New Roman" w:cs="Times New Roman"/>
        </w:rPr>
        <w:t xml:space="preserve"> </w:t>
      </w:r>
      <w:r w:rsidR="00C440D0" w:rsidRPr="00663AA1">
        <w:rPr>
          <w:rFonts w:ascii="Times New Roman" w:hAnsi="Times New Roman" w:cs="Times New Roman"/>
          <w:i/>
          <w:iCs/>
        </w:rPr>
        <w:t>Industries</w:t>
      </w:r>
      <w:r w:rsidR="00C440D0" w:rsidRPr="00663AA1">
        <w:rPr>
          <w:rFonts w:ascii="Times New Roman" w:hAnsi="Times New Roman" w:cs="Times New Roman"/>
        </w:rPr>
        <w:t xml:space="preserve"> </w:t>
      </w:r>
      <w:r w:rsidR="00C440D0" w:rsidRPr="00663AA1">
        <w:rPr>
          <w:rFonts w:ascii="Times New Roman" w:hAnsi="Times New Roman" w:cs="Times New Roman"/>
          <w:i/>
          <w:iCs/>
        </w:rPr>
        <w:t>Plc</w:t>
      </w:r>
      <w:r w:rsidR="00C440D0" w:rsidRPr="00663AA1">
        <w:rPr>
          <w:rFonts w:ascii="Times New Roman" w:hAnsi="Times New Roman" w:cs="Times New Roman"/>
        </w:rPr>
        <w:t xml:space="preserve"> v. </w:t>
      </w:r>
      <w:r w:rsidR="00C440D0" w:rsidRPr="00663AA1">
        <w:rPr>
          <w:rFonts w:ascii="Times New Roman" w:hAnsi="Times New Roman" w:cs="Times New Roman"/>
          <w:i/>
          <w:iCs/>
        </w:rPr>
        <w:t>Dickman</w:t>
      </w:r>
      <w:r w:rsidR="00C440D0" w:rsidRPr="00663AA1">
        <w:rPr>
          <w:rFonts w:ascii="Times New Roman" w:hAnsi="Times New Roman" w:cs="Times New Roman"/>
        </w:rPr>
        <w:t xml:space="preserve"> [1990] 2 AC 605.</w:t>
      </w:r>
    </w:p>
  </w:footnote>
  <w:footnote w:id="23">
    <w:p w14:paraId="5ACF1AE5" w14:textId="5D398F1D" w:rsidR="00C440D0" w:rsidRPr="00663AA1" w:rsidRDefault="00C440D0"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9" w:name="_Hlk141676535"/>
      <w:bookmarkStart w:id="10" w:name="_Hlk131004281"/>
      <w:r w:rsidRPr="00663AA1">
        <w:rPr>
          <w:rFonts w:ascii="Times New Roman" w:hAnsi="Times New Roman" w:cs="Times New Roman"/>
          <w:i/>
          <w:iCs/>
        </w:rPr>
        <w:t>Vedanta v Lungowe</w:t>
      </w:r>
      <w:r w:rsidR="00EA7114" w:rsidRPr="00663AA1">
        <w:rPr>
          <w:rFonts w:ascii="Times New Roman" w:hAnsi="Times New Roman" w:cs="Times New Roman"/>
          <w:i/>
          <w:iCs/>
        </w:rPr>
        <w:t xml:space="preserve"> </w:t>
      </w:r>
      <w:r w:rsidR="00EA7114" w:rsidRPr="00663AA1">
        <w:rPr>
          <w:rFonts w:ascii="Times New Roman" w:hAnsi="Times New Roman" w:cs="Times New Roman"/>
        </w:rPr>
        <w:t xml:space="preserve">(n </w:t>
      </w:r>
      <w:r w:rsidR="0021766F" w:rsidRPr="00663AA1">
        <w:rPr>
          <w:rFonts w:ascii="Times New Roman" w:hAnsi="Times New Roman" w:cs="Times New Roman"/>
        </w:rPr>
        <w:t>6</w:t>
      </w:r>
      <w:bookmarkEnd w:id="9"/>
      <w:r w:rsidR="00EA7114" w:rsidRPr="00663AA1">
        <w:rPr>
          <w:rFonts w:ascii="Times New Roman" w:hAnsi="Times New Roman" w:cs="Times New Roman"/>
        </w:rPr>
        <w:t>)</w:t>
      </w:r>
      <w:r w:rsidRPr="00663AA1">
        <w:rPr>
          <w:rFonts w:ascii="Times New Roman" w:hAnsi="Times New Roman" w:cs="Times New Roman"/>
        </w:rPr>
        <w:t xml:space="preserve">, paras 61. See also </w:t>
      </w:r>
      <w:r w:rsidRPr="00663AA1">
        <w:rPr>
          <w:rFonts w:ascii="Times New Roman" w:hAnsi="Times New Roman" w:cs="Times New Roman"/>
          <w:i/>
          <w:iCs/>
        </w:rPr>
        <w:t xml:space="preserve">Okpabi v Royal Dutch Shell </w:t>
      </w:r>
      <w:r w:rsidR="00EA7114" w:rsidRPr="00663AA1">
        <w:rPr>
          <w:rFonts w:ascii="Times New Roman" w:hAnsi="Times New Roman" w:cs="Times New Roman"/>
        </w:rPr>
        <w:t xml:space="preserve">(n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_Ref141964380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6</w:t>
      </w:r>
      <w:r w:rsidR="00663AA1" w:rsidRPr="00663AA1">
        <w:rPr>
          <w:rFonts w:ascii="Times New Roman" w:hAnsi="Times New Roman" w:cs="Times New Roman"/>
        </w:rPr>
        <w:fldChar w:fldCharType="end"/>
      </w:r>
      <w:r w:rsidR="00EA7114" w:rsidRPr="00663AA1">
        <w:rPr>
          <w:rFonts w:ascii="Times New Roman" w:hAnsi="Times New Roman" w:cs="Times New Roman"/>
        </w:rPr>
        <w:t>),</w:t>
      </w:r>
      <w:r w:rsidRPr="00663AA1">
        <w:rPr>
          <w:rFonts w:ascii="Times New Roman" w:hAnsi="Times New Roman" w:cs="Times New Roman"/>
        </w:rPr>
        <w:t xml:space="preserve"> para 153</w:t>
      </w:r>
      <w:r w:rsidR="00EA7114" w:rsidRPr="00663AA1">
        <w:rPr>
          <w:rFonts w:ascii="Times New Roman" w:hAnsi="Times New Roman" w:cs="Times New Roman"/>
        </w:rPr>
        <w:t>.</w:t>
      </w:r>
      <w:r w:rsidRPr="00663AA1">
        <w:rPr>
          <w:rFonts w:ascii="Times New Roman" w:hAnsi="Times New Roman" w:cs="Times New Roman"/>
        </w:rPr>
        <w:t xml:space="preserve"> </w:t>
      </w:r>
      <w:bookmarkEnd w:id="10"/>
    </w:p>
  </w:footnote>
  <w:footnote w:id="24">
    <w:p w14:paraId="0E11A2FE" w14:textId="610BD437"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generally </w:t>
      </w:r>
      <w:bookmarkStart w:id="11" w:name="_Hlk130986557"/>
      <w:r w:rsidR="00EA7114" w:rsidRPr="00663AA1">
        <w:rPr>
          <w:rFonts w:ascii="Times New Roman" w:hAnsi="Times New Roman" w:cs="Times New Roman"/>
          <w:i/>
          <w:iCs/>
        </w:rPr>
        <w:t xml:space="preserve">Okpabi v Royal Dutch Shell </w:t>
      </w:r>
      <w:r w:rsidR="00EA7114" w:rsidRPr="00663AA1">
        <w:rPr>
          <w:rFonts w:ascii="Times New Roman" w:hAnsi="Times New Roman" w:cs="Times New Roman"/>
        </w:rPr>
        <w:t xml:space="preserve">(n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_Ref141964380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6</w:t>
      </w:r>
      <w:r w:rsidR="00663AA1" w:rsidRPr="00663AA1">
        <w:rPr>
          <w:rFonts w:ascii="Times New Roman" w:hAnsi="Times New Roman" w:cs="Times New Roman"/>
        </w:rPr>
        <w:fldChar w:fldCharType="end"/>
      </w:r>
      <w:r w:rsidR="00EA7114" w:rsidRPr="00663AA1">
        <w:rPr>
          <w:rFonts w:ascii="Times New Roman" w:hAnsi="Times New Roman" w:cs="Times New Roman"/>
        </w:rPr>
        <w:t xml:space="preserve">), para </w:t>
      </w:r>
      <w:r w:rsidRPr="00663AA1">
        <w:rPr>
          <w:rFonts w:ascii="Times New Roman" w:hAnsi="Times New Roman" w:cs="Times New Roman"/>
        </w:rPr>
        <w:t xml:space="preserve">153; and </w:t>
      </w:r>
      <w:r w:rsidR="00EA7114" w:rsidRPr="00663AA1">
        <w:rPr>
          <w:rFonts w:ascii="Times New Roman" w:hAnsi="Times New Roman" w:cs="Times New Roman"/>
          <w:i/>
          <w:iCs/>
        </w:rPr>
        <w:t xml:space="preserve">Vedanta v Lungowe </w:t>
      </w:r>
      <w:r w:rsidR="00EA7114" w:rsidRPr="00663AA1">
        <w:rPr>
          <w:rFonts w:ascii="Times New Roman" w:hAnsi="Times New Roman" w:cs="Times New Roman"/>
        </w:rPr>
        <w:t xml:space="preserve">(n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_Ref141964380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6</w:t>
      </w:r>
      <w:r w:rsidR="00663AA1" w:rsidRPr="00663AA1">
        <w:rPr>
          <w:rFonts w:ascii="Times New Roman" w:hAnsi="Times New Roman" w:cs="Times New Roman"/>
        </w:rPr>
        <w:fldChar w:fldCharType="end"/>
      </w:r>
      <w:r w:rsidR="00EA7114" w:rsidRPr="00663AA1">
        <w:rPr>
          <w:rFonts w:ascii="Times New Roman" w:hAnsi="Times New Roman" w:cs="Times New Roman"/>
        </w:rPr>
        <w:t>)</w:t>
      </w:r>
      <w:r w:rsidRPr="00663AA1">
        <w:rPr>
          <w:rFonts w:ascii="Times New Roman" w:hAnsi="Times New Roman" w:cs="Times New Roman"/>
        </w:rPr>
        <w:t xml:space="preserve">, para 61. </w:t>
      </w:r>
      <w:bookmarkEnd w:id="11"/>
    </w:p>
  </w:footnote>
  <w:footnote w:id="25">
    <w:p w14:paraId="08308E33" w14:textId="1DD9329A" w:rsidR="004903CA" w:rsidRPr="00663AA1" w:rsidRDefault="004903C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 xml:space="preserve">Vedanta v Lungowe </w:t>
      </w:r>
      <w:r w:rsidRPr="00663AA1">
        <w:rPr>
          <w:rFonts w:ascii="Times New Roman" w:hAnsi="Times New Roman" w:cs="Times New Roman"/>
        </w:rPr>
        <w:t xml:space="preserve">(n 6), </w:t>
      </w:r>
      <w:r w:rsidR="00663AA1" w:rsidRPr="00663AA1">
        <w:rPr>
          <w:rFonts w:ascii="Times New Roman" w:hAnsi="Times New Roman" w:cs="Times New Roman"/>
        </w:rPr>
        <w:t>p</w:t>
      </w:r>
      <w:r w:rsidRPr="00663AA1">
        <w:rPr>
          <w:rFonts w:ascii="Times New Roman" w:hAnsi="Times New Roman" w:cs="Times New Roman"/>
        </w:rPr>
        <w:t>ara 53.</w:t>
      </w:r>
    </w:p>
  </w:footnote>
  <w:footnote w:id="26">
    <w:p w14:paraId="633BE5B0" w14:textId="39DC1458" w:rsidR="004903CA" w:rsidRPr="00663AA1" w:rsidRDefault="004903C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Hopkins (n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_Ref141964820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17</w:t>
      </w:r>
      <w:r w:rsidR="00663AA1" w:rsidRPr="00663AA1">
        <w:rPr>
          <w:rFonts w:ascii="Times New Roman" w:hAnsi="Times New Roman" w:cs="Times New Roman"/>
        </w:rPr>
        <w:fldChar w:fldCharType="end"/>
      </w:r>
      <w:r w:rsidRPr="00663AA1">
        <w:rPr>
          <w:rFonts w:ascii="Times New Roman" w:hAnsi="Times New Roman" w:cs="Times New Roman"/>
        </w:rPr>
        <w:t>)</w:t>
      </w:r>
      <w:r w:rsidR="00663AA1" w:rsidRPr="00663AA1">
        <w:rPr>
          <w:rFonts w:ascii="Times New Roman" w:hAnsi="Times New Roman" w:cs="Times New Roman"/>
        </w:rPr>
        <w:t>,</w:t>
      </w:r>
      <w:r w:rsidRPr="00663AA1">
        <w:rPr>
          <w:rFonts w:ascii="Times New Roman" w:hAnsi="Times New Roman" w:cs="Times New Roman"/>
        </w:rPr>
        <w:t xml:space="preserve"> </w:t>
      </w:r>
      <w:r w:rsidR="00663AA1" w:rsidRPr="00663AA1">
        <w:rPr>
          <w:rFonts w:ascii="Times New Roman" w:hAnsi="Times New Roman" w:cs="Times New Roman"/>
        </w:rPr>
        <w:t>p</w:t>
      </w:r>
      <w:r w:rsidRPr="00663AA1">
        <w:rPr>
          <w:rFonts w:ascii="Times New Roman" w:hAnsi="Times New Roman" w:cs="Times New Roman"/>
        </w:rPr>
        <w:t>ara 51.</w:t>
      </w:r>
    </w:p>
  </w:footnote>
  <w:footnote w:id="27">
    <w:p w14:paraId="69B18D24" w14:textId="4B054351" w:rsidR="0035304C" w:rsidRPr="00663AA1" w:rsidRDefault="0035304C"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12" w:name="_Hlk141681713"/>
      <w:r w:rsidR="004903CA" w:rsidRPr="00663AA1">
        <w:rPr>
          <w:rFonts w:ascii="Times New Roman" w:hAnsi="Times New Roman" w:cs="Times New Roman"/>
          <w:i/>
          <w:iCs/>
        </w:rPr>
        <w:t xml:space="preserve">Vedanta v Lungowe </w:t>
      </w:r>
      <w:r w:rsidR="004903CA" w:rsidRPr="00663AA1">
        <w:rPr>
          <w:rFonts w:ascii="Times New Roman" w:hAnsi="Times New Roman" w:cs="Times New Roman"/>
        </w:rPr>
        <w:t xml:space="preserve">(n 6), </w:t>
      </w:r>
      <w:r w:rsidR="00663AA1" w:rsidRPr="00663AA1">
        <w:rPr>
          <w:rFonts w:ascii="Times New Roman" w:hAnsi="Times New Roman" w:cs="Times New Roman"/>
        </w:rPr>
        <w:t>p</w:t>
      </w:r>
      <w:r w:rsidR="004903CA" w:rsidRPr="00663AA1">
        <w:rPr>
          <w:rFonts w:ascii="Times New Roman" w:hAnsi="Times New Roman" w:cs="Times New Roman"/>
        </w:rPr>
        <w:t>ara 54</w:t>
      </w:r>
      <w:bookmarkEnd w:id="12"/>
      <w:r w:rsidR="004903CA" w:rsidRPr="00663AA1">
        <w:rPr>
          <w:rFonts w:ascii="Times New Roman" w:hAnsi="Times New Roman" w:cs="Times New Roman"/>
        </w:rPr>
        <w:t>.</w:t>
      </w:r>
    </w:p>
  </w:footnote>
  <w:footnote w:id="28">
    <w:p w14:paraId="605EEFA9" w14:textId="5828880A" w:rsidR="00B67036" w:rsidRPr="00663AA1" w:rsidRDefault="00B67036"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14" w:name="_Hlk130818718"/>
      <w:r w:rsidRPr="00663AA1">
        <w:rPr>
          <w:rFonts w:ascii="Times New Roman" w:hAnsi="Times New Roman" w:cs="Times New Roman"/>
          <w:i/>
          <w:iCs/>
        </w:rPr>
        <w:t xml:space="preserve">Fidelis Ayoro </w:t>
      </w:r>
      <w:r w:rsidR="00EA7114" w:rsidRPr="00663AA1">
        <w:rPr>
          <w:rFonts w:ascii="Times New Roman" w:hAnsi="Times New Roman" w:cs="Times New Roman"/>
          <w:i/>
          <w:iCs/>
        </w:rPr>
        <w:t>Oguru et al v</w:t>
      </w:r>
      <w:r w:rsidRPr="00663AA1">
        <w:rPr>
          <w:rFonts w:ascii="Times New Roman" w:hAnsi="Times New Roman" w:cs="Times New Roman"/>
          <w:i/>
          <w:iCs/>
        </w:rPr>
        <w:t xml:space="preserve"> </w:t>
      </w:r>
      <w:bookmarkEnd w:id="14"/>
      <w:r w:rsidRPr="00663AA1">
        <w:rPr>
          <w:rFonts w:ascii="Times New Roman" w:hAnsi="Times New Roman" w:cs="Times New Roman"/>
          <w:i/>
          <w:iCs/>
        </w:rPr>
        <w:t>Shell Petroleum Nv, Royal Dutch Shell Plc, Shell Petroleum Development Company Of Nigeria Ltd</w:t>
      </w:r>
      <w:r w:rsidRPr="00663AA1">
        <w:rPr>
          <w:rFonts w:ascii="Times New Roman" w:hAnsi="Times New Roman" w:cs="Times New Roman"/>
        </w:rPr>
        <w:t>, Case numbers  C/09/365498 / HA ZA 10-1677 (case a) + C/09/330891 / HA ZA 09-0579 (case b),</w:t>
      </w:r>
      <w:r w:rsidR="00EA7114" w:rsidRPr="00663AA1">
        <w:rPr>
          <w:rFonts w:ascii="Times New Roman" w:hAnsi="Times New Roman" w:cs="Times New Roman"/>
        </w:rPr>
        <w:t xml:space="preserve"> (</w:t>
      </w:r>
      <w:r w:rsidRPr="00663AA1">
        <w:rPr>
          <w:rFonts w:ascii="Times New Roman" w:hAnsi="Times New Roman" w:cs="Times New Roman"/>
        </w:rPr>
        <w:t xml:space="preserve"> January 29, 2021</w:t>
      </w:r>
      <w:r w:rsidR="00EA7114" w:rsidRPr="00663AA1">
        <w:rPr>
          <w:rFonts w:ascii="Times New Roman" w:hAnsi="Times New Roman" w:cs="Times New Roman"/>
        </w:rPr>
        <w:t>)</w:t>
      </w:r>
      <w:r w:rsidRPr="00663AA1">
        <w:rPr>
          <w:rFonts w:ascii="Times New Roman" w:hAnsi="Times New Roman" w:cs="Times New Roman"/>
        </w:rPr>
        <w:t xml:space="preserve"> available at </w:t>
      </w:r>
      <w:hyperlink r:id="rId9" w:history="1">
        <w:r w:rsidRPr="00663AA1">
          <w:rPr>
            <w:rStyle w:val="Hyperlink"/>
            <w:rFonts w:ascii="Times New Roman" w:hAnsi="Times New Roman" w:cs="Times New Roman"/>
          </w:rPr>
          <w:t>https://uitspraken.rechtspraak.nl/inziendocument?id=ECLI:NL:GHDHA:2021:132&amp;showbutton=true</w:t>
        </w:r>
      </w:hyperlink>
      <w:r w:rsidRPr="00663AA1">
        <w:rPr>
          <w:rFonts w:ascii="Times New Roman" w:hAnsi="Times New Roman" w:cs="Times New Roman"/>
        </w:rPr>
        <w:t xml:space="preserve">; </w:t>
      </w:r>
      <w:r w:rsidRPr="00663AA1">
        <w:rPr>
          <w:rFonts w:ascii="Times New Roman" w:hAnsi="Times New Roman" w:cs="Times New Roman"/>
          <w:i/>
          <w:iCs/>
        </w:rPr>
        <w:t>Friends of the Earth Netherlands (Milieudefensie) v Royal Dutch Shell</w:t>
      </w:r>
      <w:r w:rsidRPr="00663AA1">
        <w:rPr>
          <w:rFonts w:ascii="Times New Roman" w:hAnsi="Times New Roman" w:cs="Times New Roman"/>
        </w:rPr>
        <w:t xml:space="preserve">, District Court The Hague, </w:t>
      </w:r>
      <w:r w:rsidR="00EA7114" w:rsidRPr="00663AA1">
        <w:rPr>
          <w:rFonts w:ascii="Times New Roman" w:hAnsi="Times New Roman" w:cs="Times New Roman"/>
        </w:rPr>
        <w:t>(</w:t>
      </w:r>
      <w:r w:rsidRPr="00663AA1">
        <w:rPr>
          <w:rFonts w:ascii="Times New Roman" w:hAnsi="Times New Roman" w:cs="Times New Roman"/>
        </w:rPr>
        <w:t xml:space="preserve"> 26 May 2021</w:t>
      </w:r>
      <w:r w:rsidR="00EA7114" w:rsidRPr="00663AA1">
        <w:rPr>
          <w:rFonts w:ascii="Times New Roman" w:hAnsi="Times New Roman" w:cs="Times New Roman"/>
        </w:rPr>
        <w:t>)</w:t>
      </w:r>
      <w:r w:rsidRPr="00663AA1">
        <w:rPr>
          <w:rFonts w:ascii="Times New Roman" w:hAnsi="Times New Roman" w:cs="Times New Roman"/>
        </w:rPr>
        <w:t>, English translation at &lt;http://deeplink.rechtspraak.nl/uitspraak?id=ECLI:NL:RBDHA:2021:5339&gt;.</w:t>
      </w:r>
    </w:p>
  </w:footnote>
  <w:footnote w:id="29">
    <w:p w14:paraId="530B64A0" w14:textId="102E6AD1" w:rsidR="00B67036" w:rsidRPr="00663AA1" w:rsidRDefault="00B67036"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EA7114" w:rsidRPr="00663AA1">
        <w:rPr>
          <w:rFonts w:ascii="Times New Roman" w:hAnsi="Times New Roman" w:cs="Times New Roman"/>
        </w:rPr>
        <w:t>I</w:t>
      </w:r>
      <w:r w:rsidRPr="00663AA1">
        <w:rPr>
          <w:rFonts w:ascii="Times New Roman" w:hAnsi="Times New Roman" w:cs="Times New Roman"/>
        </w:rPr>
        <w:t>bid</w:t>
      </w:r>
      <w:r w:rsidR="00EA7114" w:rsidRPr="00663AA1">
        <w:rPr>
          <w:rFonts w:ascii="Times New Roman" w:hAnsi="Times New Roman" w:cs="Times New Roman"/>
        </w:rPr>
        <w:t>.</w:t>
      </w:r>
      <w:r w:rsidRPr="00663AA1">
        <w:rPr>
          <w:rFonts w:ascii="Times New Roman" w:hAnsi="Times New Roman" w:cs="Times New Roman"/>
        </w:rPr>
        <w:t xml:space="preserve"> </w:t>
      </w:r>
      <w:r w:rsidR="00EA7114" w:rsidRPr="00663AA1">
        <w:rPr>
          <w:rFonts w:ascii="Times New Roman" w:hAnsi="Times New Roman" w:cs="Times New Roman"/>
          <w:i/>
          <w:iCs/>
        </w:rPr>
        <w:t>Fidelis Ayoro Oguru et al v Shell Petroleum Nv, Royal Dutch Shell Plc</w:t>
      </w:r>
      <w:r w:rsidR="00EA7114" w:rsidRPr="00663AA1" w:rsidDel="00EA7114">
        <w:rPr>
          <w:rFonts w:ascii="Times New Roman" w:hAnsi="Times New Roman" w:cs="Times New Roman"/>
        </w:rPr>
        <w:t xml:space="preserve"> </w:t>
      </w:r>
      <w:r w:rsidR="00EA7114" w:rsidRPr="00663AA1">
        <w:rPr>
          <w:rFonts w:ascii="Times New Roman" w:hAnsi="Times New Roman" w:cs="Times New Roman"/>
        </w:rPr>
        <w:t xml:space="preserve">(n </w:t>
      </w:r>
      <w:r w:rsidR="00EA7114" w:rsidRPr="00663AA1">
        <w:rPr>
          <w:rFonts w:ascii="Times New Roman" w:hAnsi="Times New Roman" w:cs="Times New Roman"/>
        </w:rPr>
        <w:fldChar w:fldCharType="begin"/>
      </w:r>
      <w:r w:rsidR="00EA7114" w:rsidRPr="00663AA1">
        <w:rPr>
          <w:rFonts w:ascii="Times New Roman" w:hAnsi="Times New Roman" w:cs="Times New Roman"/>
        </w:rPr>
        <w:instrText xml:space="preserve"> NOTEREF _Ref131847982 \h </w:instrText>
      </w:r>
      <w:r w:rsidR="00CE43F1" w:rsidRPr="00663AA1">
        <w:rPr>
          <w:rFonts w:ascii="Times New Roman" w:hAnsi="Times New Roman" w:cs="Times New Roman"/>
        </w:rPr>
        <w:instrText xml:space="preserve"> \* MERGEFORMAT </w:instrText>
      </w:r>
      <w:r w:rsidR="00EA7114" w:rsidRPr="00663AA1">
        <w:rPr>
          <w:rFonts w:ascii="Times New Roman" w:hAnsi="Times New Roman" w:cs="Times New Roman"/>
        </w:rPr>
      </w:r>
      <w:r w:rsidR="00EA7114" w:rsidRPr="00663AA1">
        <w:rPr>
          <w:rFonts w:ascii="Times New Roman" w:hAnsi="Times New Roman" w:cs="Times New Roman"/>
        </w:rPr>
        <w:fldChar w:fldCharType="separate"/>
      </w:r>
      <w:r w:rsidR="00663AA1">
        <w:rPr>
          <w:rFonts w:ascii="Times New Roman" w:hAnsi="Times New Roman" w:cs="Times New Roman"/>
        </w:rPr>
        <w:t>28</w:t>
      </w:r>
      <w:r w:rsidR="00EA7114" w:rsidRPr="00663AA1">
        <w:rPr>
          <w:rFonts w:ascii="Times New Roman" w:hAnsi="Times New Roman" w:cs="Times New Roman"/>
        </w:rPr>
        <w:fldChar w:fldCharType="end"/>
      </w:r>
      <w:r w:rsidR="00EA7114" w:rsidRPr="00663AA1">
        <w:rPr>
          <w:rFonts w:ascii="Times New Roman" w:hAnsi="Times New Roman" w:cs="Times New Roman"/>
        </w:rPr>
        <w:t xml:space="preserve">) </w:t>
      </w:r>
      <w:r w:rsidRPr="00663AA1">
        <w:rPr>
          <w:rFonts w:ascii="Times New Roman" w:hAnsi="Times New Roman" w:cs="Times New Roman"/>
        </w:rPr>
        <w:t>paras 3.30—3.31</w:t>
      </w:r>
      <w:r w:rsidR="00EA7114" w:rsidRPr="00663AA1">
        <w:rPr>
          <w:rFonts w:ascii="Times New Roman" w:hAnsi="Times New Roman" w:cs="Times New Roman"/>
        </w:rPr>
        <w:t>.</w:t>
      </w:r>
    </w:p>
  </w:footnote>
  <w:footnote w:id="30">
    <w:p w14:paraId="5B72E325" w14:textId="77777777" w:rsidR="005320FF" w:rsidRPr="00663AA1" w:rsidRDefault="005320FF"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16" w:name="_Hlk141682345"/>
      <w:r w:rsidRPr="00663AA1">
        <w:rPr>
          <w:rFonts w:ascii="Times New Roman" w:hAnsi="Times New Roman" w:cs="Times New Roman"/>
          <w:i/>
          <w:iCs/>
        </w:rPr>
        <w:t>Smith</w:t>
      </w:r>
      <w:r w:rsidRPr="00663AA1">
        <w:rPr>
          <w:rFonts w:ascii="Times New Roman" w:hAnsi="Times New Roman" w:cs="Times New Roman"/>
        </w:rPr>
        <w:t xml:space="preserve"> v </w:t>
      </w:r>
      <w:r w:rsidRPr="00663AA1">
        <w:rPr>
          <w:rFonts w:ascii="Times New Roman" w:hAnsi="Times New Roman" w:cs="Times New Roman"/>
          <w:i/>
          <w:iCs/>
        </w:rPr>
        <w:t>Littlewoods</w:t>
      </w:r>
      <w:r w:rsidRPr="00663AA1">
        <w:rPr>
          <w:rFonts w:ascii="Times New Roman" w:hAnsi="Times New Roman" w:cs="Times New Roman"/>
        </w:rPr>
        <w:t xml:space="preserve"> </w:t>
      </w:r>
      <w:bookmarkEnd w:id="16"/>
      <w:r w:rsidRPr="00663AA1">
        <w:rPr>
          <w:rFonts w:ascii="Times New Roman" w:hAnsi="Times New Roman" w:cs="Times New Roman"/>
        </w:rPr>
        <w:t>[1987] AC 241.</w:t>
      </w:r>
    </w:p>
  </w:footnote>
  <w:footnote w:id="31">
    <w:p w14:paraId="3C92E3E3" w14:textId="396425FD" w:rsidR="00847A3C" w:rsidRPr="00663AA1" w:rsidRDefault="00847A3C"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 xml:space="preserve">Vedanta v Lungowe </w:t>
      </w:r>
      <w:r w:rsidRPr="00663AA1">
        <w:rPr>
          <w:rFonts w:ascii="Times New Roman" w:hAnsi="Times New Roman" w:cs="Times New Roman"/>
        </w:rPr>
        <w:t>(n 6), ParaS 53-54.</w:t>
      </w:r>
    </w:p>
  </w:footnote>
  <w:footnote w:id="32">
    <w:p w14:paraId="3868FECE" w14:textId="149928EB" w:rsidR="0063396F" w:rsidRPr="00663AA1" w:rsidRDefault="0063396F"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Per Lord Goff in </w:t>
      </w:r>
      <w:r w:rsidRPr="00663AA1">
        <w:rPr>
          <w:rFonts w:ascii="Times New Roman" w:hAnsi="Times New Roman" w:cs="Times New Roman"/>
          <w:i/>
          <w:iCs/>
        </w:rPr>
        <w:t>Smith</w:t>
      </w:r>
      <w:r w:rsidRPr="00663AA1">
        <w:rPr>
          <w:rFonts w:ascii="Times New Roman" w:hAnsi="Times New Roman" w:cs="Times New Roman"/>
        </w:rPr>
        <w:t xml:space="preserve"> v </w:t>
      </w:r>
      <w:r w:rsidRPr="00663AA1">
        <w:rPr>
          <w:rFonts w:ascii="Times New Roman" w:hAnsi="Times New Roman" w:cs="Times New Roman"/>
          <w:i/>
          <w:iCs/>
        </w:rPr>
        <w:t xml:space="preserve">Littlewoods </w:t>
      </w:r>
      <w:r w:rsidRPr="00663AA1">
        <w:rPr>
          <w:rFonts w:ascii="Times New Roman" w:hAnsi="Times New Roman" w:cs="Times New Roman"/>
        </w:rPr>
        <w:t xml:space="preserve">(n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_Ref141965044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30</w:t>
      </w:r>
      <w:r w:rsidR="00663AA1" w:rsidRPr="00663AA1">
        <w:rPr>
          <w:rFonts w:ascii="Times New Roman" w:hAnsi="Times New Roman" w:cs="Times New Roman"/>
        </w:rPr>
        <w:fldChar w:fldCharType="end"/>
      </w:r>
      <w:r w:rsidRPr="00663AA1">
        <w:rPr>
          <w:rFonts w:ascii="Times New Roman" w:hAnsi="Times New Roman" w:cs="Times New Roman"/>
        </w:rPr>
        <w:t>).</w:t>
      </w:r>
    </w:p>
  </w:footnote>
  <w:footnote w:id="33">
    <w:p w14:paraId="510BE3B5" w14:textId="65601B8B" w:rsidR="00A21165" w:rsidRPr="00663AA1" w:rsidRDefault="00A21165"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721810">
        <w:rPr>
          <w:rFonts w:ascii="Times New Roman" w:hAnsi="Times New Roman" w:cs="Times New Roman"/>
          <w:i/>
          <w:iCs/>
        </w:rPr>
        <w:t>Begum (on behalf of Md Khalil Mollah) v Maran (UK) Ltd</w:t>
      </w:r>
      <w:r w:rsidRPr="00663AA1">
        <w:rPr>
          <w:rFonts w:ascii="Times New Roman" w:hAnsi="Times New Roman" w:cs="Times New Roman"/>
        </w:rPr>
        <w:t xml:space="preserve"> [2021] EWCA Civ 326, para 60-64</w:t>
      </w:r>
    </w:p>
  </w:footnote>
  <w:footnote w:id="34">
    <w:p w14:paraId="66486652" w14:textId="52C36A01" w:rsidR="00A21165" w:rsidRPr="00663AA1" w:rsidRDefault="00A21165"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w:t>
      </w:r>
      <w:r w:rsidRPr="00721810">
        <w:rPr>
          <w:rFonts w:ascii="Times New Roman" w:hAnsi="Times New Roman" w:cs="Times New Roman"/>
          <w:i/>
          <w:iCs/>
        </w:rPr>
        <w:t>Begum v Maran</w:t>
      </w:r>
      <w:r w:rsidRPr="00663AA1">
        <w:rPr>
          <w:rFonts w:ascii="Times New Roman" w:hAnsi="Times New Roman" w:cs="Times New Roman"/>
        </w:rPr>
        <w:t xml:space="preserve">, </w:t>
      </w:r>
      <w:r w:rsidR="00663AA1" w:rsidRPr="00663AA1">
        <w:rPr>
          <w:rFonts w:ascii="Times New Roman" w:hAnsi="Times New Roman" w:cs="Times New Roman"/>
        </w:rPr>
        <w:t>p</w:t>
      </w:r>
      <w:r w:rsidRPr="00663AA1">
        <w:rPr>
          <w:rFonts w:ascii="Times New Roman" w:hAnsi="Times New Roman" w:cs="Times New Roman"/>
        </w:rPr>
        <w:t>ara 65.</w:t>
      </w:r>
    </w:p>
  </w:footnote>
  <w:footnote w:id="35">
    <w:p w14:paraId="06793095" w14:textId="66971B51" w:rsidR="00DE457B" w:rsidRPr="00663AA1" w:rsidRDefault="00DE457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Graham Virgo, </w:t>
      </w:r>
      <w:r w:rsidR="00663AA1" w:rsidRPr="00663AA1">
        <w:rPr>
          <w:rFonts w:ascii="Times New Roman" w:hAnsi="Times New Roman" w:cs="Times New Roman"/>
        </w:rPr>
        <w:t>‘</w:t>
      </w:r>
      <w:r w:rsidRPr="00663AA1">
        <w:rPr>
          <w:rFonts w:ascii="Times New Roman" w:hAnsi="Times New Roman" w:cs="Times New Roman"/>
        </w:rPr>
        <w:t>Characterisation, Choice of Law and Human Rights</w:t>
      </w:r>
      <w:r w:rsidR="00663AA1" w:rsidRPr="00663AA1">
        <w:rPr>
          <w:rFonts w:ascii="Times New Roman" w:hAnsi="Times New Roman" w:cs="Times New Roman"/>
        </w:rPr>
        <w:t>’</w:t>
      </w:r>
      <w:r w:rsidRPr="00663AA1">
        <w:rPr>
          <w:rFonts w:ascii="Times New Roman" w:hAnsi="Times New Roman" w:cs="Times New Roman"/>
        </w:rPr>
        <w:t xml:space="preserve">, in Craig Scott, ed., </w:t>
      </w:r>
      <w:r w:rsidRPr="00721810">
        <w:rPr>
          <w:rFonts w:ascii="Times New Roman" w:hAnsi="Times New Roman" w:cs="Times New Roman"/>
          <w:i/>
          <w:iCs/>
        </w:rPr>
        <w:t>Torture as Tort: Comparative Perspectives on the Development of Transnational Human Rights Litigation</w:t>
      </w:r>
      <w:r w:rsidRPr="00663AA1">
        <w:rPr>
          <w:rFonts w:ascii="Times New Roman" w:hAnsi="Times New Roman" w:cs="Times New Roman"/>
        </w:rPr>
        <w:t xml:space="preserve"> (</w:t>
      </w:r>
      <w:r w:rsidR="00663AA1" w:rsidRPr="00663AA1">
        <w:rPr>
          <w:rFonts w:ascii="Times New Roman" w:hAnsi="Times New Roman" w:cs="Times New Roman"/>
        </w:rPr>
        <w:t xml:space="preserve">Hart </w:t>
      </w:r>
      <w:r w:rsidRPr="00663AA1">
        <w:rPr>
          <w:rFonts w:ascii="Times New Roman" w:hAnsi="Times New Roman" w:cs="Times New Roman"/>
        </w:rPr>
        <w:t>2001) 325, 335</w:t>
      </w:r>
    </w:p>
  </w:footnote>
  <w:footnote w:id="36">
    <w:p w14:paraId="014CC99B" w14:textId="60C87AF4" w:rsidR="0013780C" w:rsidRPr="00663AA1" w:rsidRDefault="0013780C"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17" w:name="_Hlk141674843"/>
      <w:r w:rsidR="002A6530" w:rsidRPr="00663AA1">
        <w:rPr>
          <w:rFonts w:ascii="Times New Roman" w:hAnsi="Times New Roman" w:cs="Times New Roman"/>
        </w:rPr>
        <w:t>Hopkins</w:t>
      </w:r>
      <w:r w:rsidR="0041412D" w:rsidRPr="00663AA1">
        <w:rPr>
          <w:rFonts w:ascii="Times New Roman" w:hAnsi="Times New Roman" w:cs="Times New Roman"/>
        </w:rPr>
        <w:t xml:space="preserve"> (n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_Ref141964820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17</w:t>
      </w:r>
      <w:r w:rsidR="00663AA1" w:rsidRPr="00663AA1">
        <w:rPr>
          <w:rFonts w:ascii="Times New Roman" w:hAnsi="Times New Roman" w:cs="Times New Roman"/>
        </w:rPr>
        <w:fldChar w:fldCharType="end"/>
      </w:r>
      <w:r w:rsidR="0041412D" w:rsidRPr="00663AA1">
        <w:rPr>
          <w:rFonts w:ascii="Times New Roman" w:hAnsi="Times New Roman" w:cs="Times New Roman"/>
        </w:rPr>
        <w:t xml:space="preserve">) </w:t>
      </w:r>
      <w:r w:rsidR="00663AA1" w:rsidRPr="00663AA1">
        <w:rPr>
          <w:rFonts w:ascii="Times New Roman" w:hAnsi="Times New Roman" w:cs="Times New Roman"/>
        </w:rPr>
        <w:t>p</w:t>
      </w:r>
      <w:r w:rsidR="0041412D" w:rsidRPr="00663AA1">
        <w:rPr>
          <w:rFonts w:ascii="Times New Roman" w:hAnsi="Times New Roman" w:cs="Times New Roman"/>
        </w:rPr>
        <w:t>ara 7.</w:t>
      </w:r>
      <w:bookmarkEnd w:id="17"/>
    </w:p>
  </w:footnote>
  <w:footnote w:id="37">
    <w:p w14:paraId="02DCD6B6" w14:textId="0621D80F" w:rsidR="003824F2" w:rsidRPr="00663AA1" w:rsidRDefault="003824F2"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Lord Justice Scarmann reasoned that  </w:t>
      </w:r>
      <w:r w:rsidR="00663AA1" w:rsidRPr="00663AA1">
        <w:rPr>
          <w:rFonts w:ascii="Times New Roman" w:hAnsi="Times New Roman" w:cs="Times New Roman"/>
        </w:rPr>
        <w:t>‘</w:t>
      </w:r>
      <w:r w:rsidRPr="00663AA1">
        <w:rPr>
          <w:rFonts w:ascii="Times New Roman" w:hAnsi="Times New Roman" w:cs="Times New Roman"/>
        </w:rPr>
        <w:t>There is here no novelty: but merely the application of the principle ubi jus ibi remedium</w:t>
      </w:r>
      <w:r w:rsidR="00663AA1" w:rsidRPr="00663AA1">
        <w:rPr>
          <w:rFonts w:ascii="Times New Roman" w:hAnsi="Times New Roman" w:cs="Times New Roman"/>
        </w:rPr>
        <w:t>’</w:t>
      </w:r>
      <w:r w:rsidRPr="00663AA1">
        <w:rPr>
          <w:rFonts w:ascii="Times New Roman" w:hAnsi="Times New Roman" w:cs="Times New Roman"/>
        </w:rPr>
        <w:t xml:space="preserve"> [for every wrong, the law provides a remedy</w:t>
      </w:r>
      <w:r w:rsidR="00663AA1" w:rsidRPr="00663AA1">
        <w:rPr>
          <w:rFonts w:ascii="Times New Roman" w:hAnsi="Times New Roman" w:cs="Times New Roman"/>
        </w:rPr>
        <w:t>]</w:t>
      </w:r>
      <w:r w:rsidRPr="00663AA1">
        <w:rPr>
          <w:rFonts w:ascii="Times New Roman" w:hAnsi="Times New Roman" w:cs="Times New Roman"/>
        </w:rPr>
        <w:t xml:space="preserve">. </w:t>
      </w:r>
      <w:r w:rsidRPr="00721810">
        <w:rPr>
          <w:rFonts w:ascii="Times New Roman" w:hAnsi="Times New Roman" w:cs="Times New Roman"/>
          <w:i/>
          <w:iCs/>
        </w:rPr>
        <w:t>Sidaway v. Board of Governors of the Bethlem Royal Hospital</w:t>
      </w:r>
      <w:r w:rsidRPr="00663AA1">
        <w:rPr>
          <w:rFonts w:ascii="Times New Roman" w:hAnsi="Times New Roman" w:cs="Times New Roman"/>
        </w:rPr>
        <w:t>, [1985] 1 A.C. 871, at p. 884 (H.L.)</w:t>
      </w:r>
    </w:p>
  </w:footnote>
  <w:footnote w:id="38">
    <w:p w14:paraId="63F7E81B" w14:textId="0BFD991A" w:rsidR="001148EA" w:rsidRPr="00663AA1" w:rsidRDefault="001148EA" w:rsidP="005D0500">
      <w:pPr>
        <w:pStyle w:val="FootnoteText"/>
        <w:jc w:val="both"/>
        <w:rPr>
          <w:rFonts w:ascii="Times New Roman" w:hAnsi="Times New Roman" w:cs="Times New Roman"/>
        </w:rPr>
      </w:pPr>
    </w:p>
  </w:footnote>
  <w:footnote w:id="39">
    <w:p w14:paraId="68E7E60A" w14:textId="486B3BD8" w:rsidR="00D060AF" w:rsidRPr="00663AA1" w:rsidRDefault="00D060AF"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19" w:name="_Hlk141684394"/>
      <w:r w:rsidRPr="00663AA1">
        <w:rPr>
          <w:rFonts w:ascii="Times New Roman" w:hAnsi="Times New Roman" w:cs="Times New Roman"/>
          <w:i/>
          <w:iCs/>
        </w:rPr>
        <w:t>Nevsun Resources Ltd. v. Araya</w:t>
      </w:r>
      <w:r w:rsidRPr="00663AA1">
        <w:rPr>
          <w:rFonts w:ascii="Times New Roman" w:hAnsi="Times New Roman" w:cs="Times New Roman"/>
        </w:rPr>
        <w:t xml:space="preserve">  </w:t>
      </w:r>
      <w:bookmarkEnd w:id="19"/>
      <w:r w:rsidRPr="00663AA1">
        <w:rPr>
          <w:rFonts w:ascii="Times New Roman" w:hAnsi="Times New Roman" w:cs="Times New Roman"/>
        </w:rPr>
        <w:t>(n 5).</w:t>
      </w:r>
    </w:p>
  </w:footnote>
  <w:footnote w:id="40">
    <w:p w14:paraId="1A4280AF" w14:textId="559766E2" w:rsidR="0098698B" w:rsidRPr="00663AA1" w:rsidRDefault="0098698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D060AF" w:rsidRPr="00663AA1">
        <w:rPr>
          <w:rFonts w:ascii="Times New Roman" w:hAnsi="Times New Roman" w:cs="Times New Roman"/>
          <w:i/>
          <w:iCs/>
        </w:rPr>
        <w:t>Nevsun Resources Ltd. v. Araya</w:t>
      </w:r>
      <w:r w:rsidR="00D060AF" w:rsidRPr="00663AA1">
        <w:rPr>
          <w:rFonts w:ascii="Times New Roman" w:hAnsi="Times New Roman" w:cs="Times New Roman"/>
        </w:rPr>
        <w:t xml:space="preserve"> (n 5)</w:t>
      </w:r>
      <w:r w:rsidRPr="00663AA1">
        <w:rPr>
          <w:rFonts w:ascii="Times New Roman" w:hAnsi="Times New Roman" w:cs="Times New Roman"/>
        </w:rPr>
        <w:t xml:space="preserve"> </w:t>
      </w:r>
      <w:r w:rsidR="00663AA1" w:rsidRPr="00663AA1">
        <w:rPr>
          <w:rFonts w:ascii="Times New Roman" w:hAnsi="Times New Roman" w:cs="Times New Roman"/>
        </w:rPr>
        <w:t>p</w:t>
      </w:r>
      <w:r w:rsidRPr="00663AA1">
        <w:rPr>
          <w:rFonts w:ascii="Times New Roman" w:hAnsi="Times New Roman" w:cs="Times New Roman"/>
        </w:rPr>
        <w:t>ara 63</w:t>
      </w:r>
      <w:r w:rsidR="00F557C5" w:rsidRPr="00663AA1">
        <w:rPr>
          <w:rFonts w:ascii="Times New Roman" w:hAnsi="Times New Roman" w:cs="Times New Roman"/>
        </w:rPr>
        <w:t>-64</w:t>
      </w:r>
      <w:r w:rsidR="00D060AF" w:rsidRPr="00663AA1">
        <w:rPr>
          <w:rFonts w:ascii="Times New Roman" w:hAnsi="Times New Roman" w:cs="Times New Roman"/>
        </w:rPr>
        <w:t>.</w:t>
      </w:r>
    </w:p>
  </w:footnote>
  <w:footnote w:id="41">
    <w:p w14:paraId="305E191A" w14:textId="2C52C5A4" w:rsidR="008612EB" w:rsidRPr="00663AA1" w:rsidRDefault="008612E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20" w:name="_Hlk141684450"/>
      <w:r w:rsidR="00D060AF" w:rsidRPr="00663AA1">
        <w:rPr>
          <w:rFonts w:ascii="Times New Roman" w:hAnsi="Times New Roman" w:cs="Times New Roman"/>
          <w:i/>
          <w:iCs/>
        </w:rPr>
        <w:t>Nevsun Resources Ltd. v. Araya</w:t>
      </w:r>
      <w:r w:rsidR="00D060AF" w:rsidRPr="00663AA1">
        <w:rPr>
          <w:rFonts w:ascii="Times New Roman" w:hAnsi="Times New Roman" w:cs="Times New Roman"/>
        </w:rPr>
        <w:t xml:space="preserve"> (n 5) </w:t>
      </w:r>
      <w:r w:rsidR="00663AA1" w:rsidRPr="00663AA1">
        <w:rPr>
          <w:rFonts w:ascii="Times New Roman" w:hAnsi="Times New Roman" w:cs="Times New Roman"/>
        </w:rPr>
        <w:t>p</w:t>
      </w:r>
      <w:r w:rsidRPr="00663AA1">
        <w:rPr>
          <w:rFonts w:ascii="Times New Roman" w:hAnsi="Times New Roman" w:cs="Times New Roman"/>
        </w:rPr>
        <w:t xml:space="preserve">ara </w:t>
      </w:r>
      <w:bookmarkEnd w:id="20"/>
      <w:r w:rsidRPr="00663AA1">
        <w:rPr>
          <w:rFonts w:ascii="Times New Roman" w:hAnsi="Times New Roman" w:cs="Times New Roman"/>
        </w:rPr>
        <w:t>106-107</w:t>
      </w:r>
    </w:p>
  </w:footnote>
  <w:footnote w:id="42">
    <w:p w14:paraId="19DC2BBE" w14:textId="36D58F62" w:rsidR="00513153" w:rsidRPr="00721810" w:rsidRDefault="00513153" w:rsidP="005D0500">
      <w:pPr>
        <w:spacing w:line="240" w:lineRule="auto"/>
        <w:rPr>
          <w:rFonts w:ascii="Times New Roman" w:hAnsi="Times New Roman" w:cs="Times New Roman"/>
          <w:sz w:val="20"/>
          <w:szCs w:val="20"/>
        </w:rPr>
      </w:pPr>
      <w:r w:rsidRPr="00721810">
        <w:rPr>
          <w:rStyle w:val="FootnoteReference"/>
          <w:rFonts w:ascii="Times New Roman" w:hAnsi="Times New Roman" w:cs="Times New Roman"/>
          <w:sz w:val="20"/>
          <w:szCs w:val="20"/>
        </w:rPr>
        <w:footnoteRef/>
      </w:r>
      <w:r w:rsidRPr="00721810">
        <w:rPr>
          <w:rFonts w:ascii="Times New Roman" w:hAnsi="Times New Roman" w:cs="Times New Roman"/>
          <w:sz w:val="20"/>
          <w:szCs w:val="20"/>
        </w:rPr>
        <w:t xml:space="preserve"> </w:t>
      </w:r>
      <w:r w:rsidR="00D060AF" w:rsidRPr="00721810">
        <w:rPr>
          <w:rFonts w:ascii="Times New Roman" w:hAnsi="Times New Roman" w:cs="Times New Roman"/>
          <w:i/>
          <w:iCs/>
          <w:sz w:val="20"/>
          <w:szCs w:val="20"/>
        </w:rPr>
        <w:t>Nevsun Resources Ltd. v. Araya</w:t>
      </w:r>
      <w:r w:rsidR="00D060AF" w:rsidRPr="00721810">
        <w:rPr>
          <w:rFonts w:ascii="Times New Roman" w:hAnsi="Times New Roman" w:cs="Times New Roman"/>
          <w:sz w:val="20"/>
          <w:szCs w:val="20"/>
        </w:rPr>
        <w:t xml:space="preserve"> (n 5) </w:t>
      </w:r>
      <w:r w:rsidR="00663AA1" w:rsidRPr="00721810">
        <w:rPr>
          <w:rFonts w:ascii="Times New Roman" w:hAnsi="Times New Roman" w:cs="Times New Roman"/>
          <w:sz w:val="20"/>
          <w:szCs w:val="20"/>
        </w:rPr>
        <w:t>p</w:t>
      </w:r>
      <w:r w:rsidR="00D060AF" w:rsidRPr="00721810">
        <w:rPr>
          <w:rFonts w:ascii="Times New Roman" w:hAnsi="Times New Roman" w:cs="Times New Roman"/>
          <w:sz w:val="20"/>
          <w:szCs w:val="20"/>
        </w:rPr>
        <w:t xml:space="preserve">ara </w:t>
      </w:r>
      <w:r w:rsidR="006D056B" w:rsidRPr="00721810">
        <w:rPr>
          <w:rFonts w:ascii="Times New Roman" w:hAnsi="Times New Roman" w:cs="Times New Roman"/>
          <w:sz w:val="20"/>
          <w:szCs w:val="20"/>
        </w:rPr>
        <w:t>113</w:t>
      </w:r>
      <w:r w:rsidR="00D060AF" w:rsidRPr="00721810">
        <w:rPr>
          <w:rFonts w:ascii="Times New Roman" w:hAnsi="Times New Roman" w:cs="Times New Roman"/>
          <w:sz w:val="20"/>
          <w:szCs w:val="20"/>
        </w:rPr>
        <w:t>.</w:t>
      </w:r>
      <w:r w:rsidRPr="00721810">
        <w:rPr>
          <w:rFonts w:ascii="Times New Roman" w:hAnsi="Times New Roman" w:cs="Times New Roman"/>
          <w:sz w:val="20"/>
          <w:szCs w:val="20"/>
        </w:rPr>
        <w:t xml:space="preserve"> It is important to note that </w:t>
      </w:r>
      <w:r w:rsidR="003641FF" w:rsidRPr="00721810">
        <w:rPr>
          <w:rFonts w:ascii="Times New Roman" w:hAnsi="Times New Roman" w:cs="Times New Roman"/>
          <w:sz w:val="20"/>
          <w:szCs w:val="20"/>
        </w:rPr>
        <w:t>four</w:t>
      </w:r>
      <w:r w:rsidRPr="00721810">
        <w:rPr>
          <w:rFonts w:ascii="Times New Roman" w:hAnsi="Times New Roman" w:cs="Times New Roman"/>
          <w:sz w:val="20"/>
          <w:szCs w:val="20"/>
        </w:rPr>
        <w:t xml:space="preserve"> justices out of a court composed of </w:t>
      </w:r>
      <w:r w:rsidR="003641FF" w:rsidRPr="00721810">
        <w:rPr>
          <w:rFonts w:ascii="Times New Roman" w:hAnsi="Times New Roman" w:cs="Times New Roman"/>
          <w:sz w:val="20"/>
          <w:szCs w:val="20"/>
        </w:rPr>
        <w:t>nine</w:t>
      </w:r>
      <w:r w:rsidRPr="00721810">
        <w:rPr>
          <w:rFonts w:ascii="Times New Roman" w:hAnsi="Times New Roman" w:cs="Times New Roman"/>
          <w:sz w:val="20"/>
          <w:szCs w:val="20"/>
        </w:rPr>
        <w:t xml:space="preserve"> justices in a dissenting opinion argued that corporations may not be civilly liable in</w:t>
      </w:r>
      <w:r w:rsidR="003641FF" w:rsidRPr="00721810">
        <w:rPr>
          <w:rFonts w:ascii="Times New Roman" w:hAnsi="Times New Roman" w:cs="Times New Roman"/>
          <w:sz w:val="20"/>
          <w:szCs w:val="20"/>
        </w:rPr>
        <w:t xml:space="preserve"> </w:t>
      </w:r>
      <w:r w:rsidRPr="00721810">
        <w:rPr>
          <w:rFonts w:ascii="Times New Roman" w:hAnsi="Times New Roman" w:cs="Times New Roman"/>
          <w:sz w:val="20"/>
          <w:szCs w:val="20"/>
        </w:rPr>
        <w:t>Canada for a breach of customary international law norms</w:t>
      </w:r>
      <w:r w:rsidR="00D060AF" w:rsidRPr="00721810">
        <w:rPr>
          <w:rFonts w:ascii="Times New Roman" w:hAnsi="Times New Roman" w:cs="Times New Roman"/>
          <w:sz w:val="20"/>
          <w:szCs w:val="20"/>
        </w:rPr>
        <w:t xml:space="preserve">, </w:t>
      </w:r>
      <w:r w:rsidR="003641FF" w:rsidRPr="00663AA1">
        <w:rPr>
          <w:rFonts w:ascii="Times New Roman" w:hAnsi="Times New Roman" w:cs="Times New Roman"/>
          <w:sz w:val="20"/>
          <w:szCs w:val="20"/>
        </w:rPr>
        <w:t>(</w:t>
      </w:r>
      <w:r w:rsidR="003641FF" w:rsidRPr="00663AA1">
        <w:rPr>
          <w:rFonts w:ascii="Times New Roman" w:hAnsi="Times New Roman" w:cs="Times New Roman"/>
          <w:color w:val="000000"/>
          <w:sz w:val="20"/>
          <w:szCs w:val="20"/>
        </w:rPr>
        <w:t xml:space="preserve">Brown and Rowe JJ. </w:t>
      </w:r>
      <w:r w:rsidR="00D060AF" w:rsidRPr="00663AA1">
        <w:rPr>
          <w:rFonts w:ascii="Times New Roman" w:hAnsi="Times New Roman" w:cs="Times New Roman"/>
          <w:color w:val="000000"/>
          <w:sz w:val="20"/>
          <w:szCs w:val="20"/>
        </w:rPr>
        <w:t>D</w:t>
      </w:r>
      <w:r w:rsidR="003641FF" w:rsidRPr="00663AA1">
        <w:rPr>
          <w:rFonts w:ascii="Times New Roman" w:hAnsi="Times New Roman" w:cs="Times New Roman"/>
          <w:color w:val="000000"/>
          <w:sz w:val="20"/>
          <w:szCs w:val="20"/>
        </w:rPr>
        <w:t xml:space="preserve">issenting in part and Moldaver and Côté JJ. </w:t>
      </w:r>
      <w:r w:rsidR="00D060AF" w:rsidRPr="00663AA1">
        <w:rPr>
          <w:rFonts w:ascii="Times New Roman" w:hAnsi="Times New Roman" w:cs="Times New Roman"/>
          <w:color w:val="000000"/>
          <w:sz w:val="20"/>
          <w:szCs w:val="20"/>
        </w:rPr>
        <w:t>D</w:t>
      </w:r>
      <w:r w:rsidR="003641FF" w:rsidRPr="00663AA1">
        <w:rPr>
          <w:rFonts w:ascii="Times New Roman" w:hAnsi="Times New Roman" w:cs="Times New Roman"/>
          <w:color w:val="000000"/>
          <w:sz w:val="20"/>
          <w:szCs w:val="20"/>
        </w:rPr>
        <w:t>issenting)</w:t>
      </w:r>
      <w:r w:rsidR="00D060AF" w:rsidRPr="00663AA1">
        <w:rPr>
          <w:rFonts w:ascii="Times New Roman" w:hAnsi="Times New Roman" w:cs="Times New Roman"/>
          <w:color w:val="000000"/>
          <w:sz w:val="20"/>
          <w:szCs w:val="20"/>
        </w:rPr>
        <w:t>.</w:t>
      </w:r>
    </w:p>
  </w:footnote>
  <w:footnote w:id="43">
    <w:p w14:paraId="6FC62381" w14:textId="73B1ECD9" w:rsidR="005877B8" w:rsidRPr="00663AA1" w:rsidRDefault="005877B8"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sidRPr="00663AA1">
        <w:rPr>
          <w:rFonts w:ascii="Times New Roman" w:hAnsi="Times New Roman" w:cs="Times New Roman"/>
          <w:i/>
          <w:iCs/>
        </w:rPr>
        <w:t>Nevsun Resources Ltd. v. Araya</w:t>
      </w:r>
      <w:r w:rsidR="00663AA1" w:rsidRPr="00663AA1">
        <w:rPr>
          <w:rFonts w:ascii="Times New Roman" w:hAnsi="Times New Roman" w:cs="Times New Roman"/>
        </w:rPr>
        <w:t xml:space="preserve"> </w:t>
      </w:r>
      <w:r w:rsidR="00663AA1">
        <w:rPr>
          <w:rFonts w:ascii="Times New Roman" w:hAnsi="Times New Roman" w:cs="Times New Roman"/>
        </w:rPr>
        <w:t xml:space="preserve">(n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_Ref141965263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5</w:t>
      </w:r>
      <w:r w:rsidR="00663AA1">
        <w:rPr>
          <w:rFonts w:ascii="Times New Roman" w:hAnsi="Times New Roman" w:cs="Times New Roman"/>
        </w:rPr>
        <w:fldChar w:fldCharType="end"/>
      </w:r>
      <w:r w:rsidR="00663AA1">
        <w:rPr>
          <w:rFonts w:ascii="Times New Roman" w:hAnsi="Times New Roman" w:cs="Times New Roman"/>
        </w:rPr>
        <w:t>)</w:t>
      </w:r>
      <w:r w:rsidRPr="00663AA1">
        <w:rPr>
          <w:rFonts w:ascii="Times New Roman" w:hAnsi="Times New Roman" w:cs="Times New Roman"/>
        </w:rPr>
        <w:t xml:space="preserve">. Supreme Court agreeing with the Appeal court. </w:t>
      </w:r>
      <w:r w:rsidR="00663AA1">
        <w:rPr>
          <w:rFonts w:ascii="Times New Roman" w:hAnsi="Times New Roman" w:cs="Times New Roman"/>
        </w:rPr>
        <w:t>p</w:t>
      </w:r>
      <w:r w:rsidRPr="00663AA1">
        <w:rPr>
          <w:rFonts w:ascii="Times New Roman" w:hAnsi="Times New Roman" w:cs="Times New Roman"/>
        </w:rPr>
        <w:t>ara 20</w:t>
      </w:r>
      <w:r w:rsidR="00663AA1">
        <w:rPr>
          <w:rFonts w:ascii="Times New Roman" w:hAnsi="Times New Roman" w:cs="Times New Roman"/>
        </w:rPr>
        <w:t>.</w:t>
      </w:r>
    </w:p>
  </w:footnote>
  <w:footnote w:id="44">
    <w:p w14:paraId="3130AB97" w14:textId="0BD844B6" w:rsidR="00077D0A" w:rsidRPr="00663AA1" w:rsidRDefault="00077D0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 xml:space="preserve">Nevsun </w:t>
      </w:r>
      <w:r w:rsidR="00EA7114" w:rsidRPr="00663AA1">
        <w:rPr>
          <w:rFonts w:ascii="Times New Roman" w:hAnsi="Times New Roman" w:cs="Times New Roman"/>
          <w:i/>
          <w:iCs/>
        </w:rPr>
        <w:t xml:space="preserve">v Araya </w:t>
      </w:r>
      <w:r w:rsidR="00EA7114" w:rsidRPr="00663AA1">
        <w:rPr>
          <w:rFonts w:ascii="Times New Roman" w:hAnsi="Times New Roman" w:cs="Times New Roman"/>
        </w:rPr>
        <w:t>(n</w:t>
      </w:r>
      <w:r w:rsidR="00663AA1">
        <w:rPr>
          <w:rFonts w:ascii="Times New Roman" w:hAnsi="Times New Roman" w:cs="Times New Roman"/>
        </w:rPr>
        <w:t xml:space="preserve"> </w:t>
      </w:r>
      <w:r w:rsidR="00F7258C" w:rsidRPr="00663AA1">
        <w:rPr>
          <w:rFonts w:ascii="Times New Roman" w:hAnsi="Times New Roman" w:cs="Times New Roman"/>
        </w:rPr>
        <w:t>5</w:t>
      </w:r>
      <w:r w:rsidR="00EA7114" w:rsidRPr="00663AA1">
        <w:rPr>
          <w:rFonts w:ascii="Times New Roman" w:hAnsi="Times New Roman" w:cs="Times New Roman"/>
        </w:rPr>
        <w:t xml:space="preserve">) </w:t>
      </w:r>
      <w:r w:rsidR="00663AA1">
        <w:rPr>
          <w:rFonts w:ascii="Times New Roman" w:hAnsi="Times New Roman" w:cs="Times New Roman"/>
        </w:rPr>
        <w:t>p</w:t>
      </w:r>
      <w:r w:rsidR="00663AA1" w:rsidRPr="00663AA1">
        <w:rPr>
          <w:rFonts w:ascii="Times New Roman" w:hAnsi="Times New Roman" w:cs="Times New Roman"/>
        </w:rPr>
        <w:t xml:space="preserve">ara </w:t>
      </w:r>
      <w:r w:rsidRPr="00663AA1">
        <w:rPr>
          <w:rFonts w:ascii="Times New Roman" w:hAnsi="Times New Roman" w:cs="Times New Roman"/>
        </w:rPr>
        <w:t>122</w:t>
      </w:r>
      <w:r w:rsidR="00F97645" w:rsidRPr="00663AA1">
        <w:rPr>
          <w:rFonts w:ascii="Times New Roman" w:hAnsi="Times New Roman" w:cs="Times New Roman"/>
        </w:rPr>
        <w:t xml:space="preserve">. See also </w:t>
      </w:r>
      <w:r w:rsidR="002369A8" w:rsidRPr="00663AA1">
        <w:rPr>
          <w:rFonts w:ascii="Times New Roman" w:hAnsi="Times New Roman" w:cs="Times New Roman"/>
        </w:rPr>
        <w:t>Malcolm</w:t>
      </w:r>
      <w:r w:rsidR="00347ADE" w:rsidRPr="00663AA1">
        <w:rPr>
          <w:rFonts w:ascii="Times New Roman" w:hAnsi="Times New Roman" w:cs="Times New Roman"/>
        </w:rPr>
        <w:t xml:space="preserve"> </w:t>
      </w:r>
      <w:r w:rsidR="00F97645" w:rsidRPr="00663AA1">
        <w:rPr>
          <w:rFonts w:ascii="Times New Roman" w:hAnsi="Times New Roman" w:cs="Times New Roman"/>
        </w:rPr>
        <w:t>R</w:t>
      </w:r>
      <w:r w:rsidR="002F04BB" w:rsidRPr="00663AA1">
        <w:rPr>
          <w:rFonts w:ascii="Times New Roman" w:hAnsi="Times New Roman" w:cs="Times New Roman"/>
        </w:rPr>
        <w:t>o</w:t>
      </w:r>
      <w:r w:rsidR="00F97645" w:rsidRPr="00663AA1">
        <w:rPr>
          <w:rFonts w:ascii="Times New Roman" w:hAnsi="Times New Roman" w:cs="Times New Roman"/>
        </w:rPr>
        <w:t>gg</w:t>
      </w:r>
      <w:r w:rsidR="002F04BB" w:rsidRPr="00663AA1">
        <w:rPr>
          <w:rFonts w:ascii="Times New Roman" w:hAnsi="Times New Roman" w:cs="Times New Roman"/>
        </w:rPr>
        <w:t xml:space="preserve">e, </w:t>
      </w:r>
      <w:r w:rsidR="00347ADE" w:rsidRPr="00663AA1">
        <w:rPr>
          <w:rFonts w:ascii="Times New Roman" w:hAnsi="Times New Roman" w:cs="Times New Roman"/>
        </w:rPr>
        <w:t>‘</w:t>
      </w:r>
      <w:r w:rsidR="002F04BB" w:rsidRPr="00663AA1">
        <w:rPr>
          <w:rFonts w:ascii="Times New Roman" w:hAnsi="Times New Roman" w:cs="Times New Roman"/>
          <w:i/>
          <w:iCs/>
        </w:rPr>
        <w:t>Nevsun</w:t>
      </w:r>
      <w:r w:rsidR="002F04BB" w:rsidRPr="00663AA1">
        <w:rPr>
          <w:rFonts w:ascii="Times New Roman" w:hAnsi="Times New Roman" w:cs="Times New Roman"/>
        </w:rPr>
        <w:t xml:space="preserve"> Puts Canada’s Corporate Decision Makers in </w:t>
      </w:r>
      <w:r w:rsidR="002F04BB" w:rsidRPr="00663AA1">
        <w:rPr>
          <w:rFonts w:ascii="Times New Roman" w:hAnsi="Times New Roman" w:cs="Times New Roman"/>
          <w:i/>
          <w:iCs/>
        </w:rPr>
        <w:t>The Human Rights</w:t>
      </w:r>
      <w:r w:rsidR="002F04BB" w:rsidRPr="00663AA1">
        <w:rPr>
          <w:rFonts w:ascii="Times New Roman" w:hAnsi="Times New Roman" w:cs="Times New Roman"/>
        </w:rPr>
        <w:t xml:space="preserve"> </w:t>
      </w:r>
      <w:r w:rsidR="002F04BB" w:rsidRPr="00663AA1">
        <w:rPr>
          <w:rFonts w:ascii="Times New Roman" w:hAnsi="Times New Roman" w:cs="Times New Roman"/>
          <w:i/>
          <w:iCs/>
        </w:rPr>
        <w:t>Zone</w:t>
      </w:r>
      <w:r w:rsidR="00347ADE" w:rsidRPr="00663AA1">
        <w:rPr>
          <w:rFonts w:ascii="Times New Roman" w:hAnsi="Times New Roman" w:cs="Times New Roman"/>
        </w:rPr>
        <w:t>’ (2020)</w:t>
      </w:r>
      <w:r w:rsidR="002F04BB" w:rsidRPr="00663AA1">
        <w:rPr>
          <w:rFonts w:ascii="Times New Roman" w:hAnsi="Times New Roman" w:cs="Times New Roman"/>
        </w:rPr>
        <w:t xml:space="preserve"> </w:t>
      </w:r>
      <w:r w:rsidR="00347ADE" w:rsidRPr="00663AA1">
        <w:rPr>
          <w:rFonts w:ascii="Times New Roman" w:hAnsi="Times New Roman" w:cs="Times New Roman"/>
        </w:rPr>
        <w:t xml:space="preserve">Working Paper No 70, </w:t>
      </w:r>
      <w:r w:rsidR="002F04BB" w:rsidRPr="00663AA1">
        <w:rPr>
          <w:rFonts w:ascii="Times New Roman" w:hAnsi="Times New Roman" w:cs="Times New Roman"/>
        </w:rPr>
        <w:t>Corporate Responsibility Initiative, p 2.</w:t>
      </w:r>
    </w:p>
  </w:footnote>
  <w:footnote w:id="45">
    <w:p w14:paraId="48F75629" w14:textId="77777777"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28 US Code &amp; 1350. </w:t>
      </w:r>
      <w:r w:rsidRPr="00663AA1">
        <w:rPr>
          <w:rFonts w:ascii="Times New Roman" w:hAnsi="Times New Roman" w:cs="Times New Roman"/>
          <w:shd w:val="clear" w:color="auto" w:fill="FFFFFF"/>
        </w:rPr>
        <w:t>also called the</w:t>
      </w:r>
      <w:r w:rsidRPr="00663AA1">
        <w:rPr>
          <w:rStyle w:val="apple-converted-space"/>
          <w:rFonts w:ascii="Times New Roman" w:hAnsi="Times New Roman" w:cs="Times New Roman"/>
          <w:shd w:val="clear" w:color="auto" w:fill="FFFFFF"/>
        </w:rPr>
        <w:t> </w:t>
      </w:r>
      <w:r w:rsidRPr="00663AA1">
        <w:rPr>
          <w:rFonts w:ascii="Times New Roman" w:hAnsi="Times New Roman" w:cs="Times New Roman"/>
          <w:bCs/>
          <w:shd w:val="clear" w:color="auto" w:fill="FFFFFF"/>
        </w:rPr>
        <w:t>Alien Tort Claims Act</w:t>
      </w:r>
      <w:r w:rsidRPr="00663AA1">
        <w:rPr>
          <w:rStyle w:val="apple-converted-space"/>
          <w:rFonts w:ascii="Times New Roman" w:hAnsi="Times New Roman" w:cs="Times New Roman"/>
          <w:shd w:val="clear" w:color="auto" w:fill="FFFFFF"/>
        </w:rPr>
        <w:t> </w:t>
      </w:r>
      <w:r w:rsidRPr="00663AA1">
        <w:rPr>
          <w:rFonts w:ascii="Times New Roman" w:hAnsi="Times New Roman" w:cs="Times New Roman"/>
          <w:shd w:val="clear" w:color="auto" w:fill="FFFFFF"/>
        </w:rPr>
        <w:t>(</w:t>
      </w:r>
      <w:r w:rsidRPr="00663AA1">
        <w:rPr>
          <w:rFonts w:ascii="Times New Roman" w:hAnsi="Times New Roman" w:cs="Times New Roman"/>
          <w:bCs/>
          <w:shd w:val="clear" w:color="auto" w:fill="FFFFFF"/>
        </w:rPr>
        <w:t>ATCA</w:t>
      </w:r>
      <w:r w:rsidRPr="00663AA1">
        <w:rPr>
          <w:rFonts w:ascii="Times New Roman" w:hAnsi="Times New Roman" w:cs="Times New Roman"/>
          <w:shd w:val="clear" w:color="auto" w:fill="FFFFFF"/>
        </w:rPr>
        <w:t>)</w:t>
      </w:r>
      <w:r w:rsidRPr="00663AA1">
        <w:rPr>
          <w:rFonts w:ascii="Times New Roman" w:hAnsi="Times New Roman" w:cs="Times New Roman"/>
        </w:rPr>
        <w:t>.</w:t>
      </w:r>
    </w:p>
  </w:footnote>
  <w:footnote w:id="46">
    <w:p w14:paraId="53B13564" w14:textId="77777777"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70 F.3d 232 (2nd. Cir. 1995).</w:t>
      </w:r>
    </w:p>
  </w:footnote>
  <w:footnote w:id="47">
    <w:p w14:paraId="505A16A4" w14:textId="194F1BB5"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Ernest A Young</w:t>
      </w:r>
      <w:r w:rsidR="002411E8" w:rsidRPr="00663AA1">
        <w:rPr>
          <w:rFonts w:ascii="Times New Roman" w:hAnsi="Times New Roman" w:cs="Times New Roman"/>
        </w:rPr>
        <w:t xml:space="preserve">, ‘Universal Jurisdiction, the Alien Tort Statute, and the Transnational Public-Law Litigation After </w:t>
      </w:r>
      <w:r w:rsidR="002411E8" w:rsidRPr="00663AA1">
        <w:rPr>
          <w:rFonts w:ascii="Times New Roman" w:hAnsi="Times New Roman" w:cs="Times New Roman"/>
          <w:i/>
          <w:iCs/>
        </w:rPr>
        <w:t>Kiobel</w:t>
      </w:r>
      <w:r w:rsidR="002411E8" w:rsidRPr="00663AA1">
        <w:rPr>
          <w:rFonts w:ascii="Times New Roman" w:hAnsi="Times New Roman" w:cs="Times New Roman"/>
        </w:rPr>
        <w:t xml:space="preserve">’ (2015)64 Duke Law Journal 1023, </w:t>
      </w:r>
      <w:r w:rsidRPr="00663AA1">
        <w:rPr>
          <w:rFonts w:ascii="Times New Roman" w:hAnsi="Times New Roman" w:cs="Times New Roman"/>
        </w:rPr>
        <w:t>1052.</w:t>
      </w:r>
    </w:p>
  </w:footnote>
  <w:footnote w:id="48">
    <w:p w14:paraId="2B237F33" w14:textId="73B6F7B3"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Amicus brief by the United Kingdom, and the Netherlands before the Supreme Court in </w:t>
      </w:r>
      <w:r w:rsidRPr="00663AA1">
        <w:rPr>
          <w:rFonts w:ascii="Times New Roman" w:hAnsi="Times New Roman" w:cs="Times New Roman"/>
          <w:i/>
        </w:rPr>
        <w:t>Kiobel v Royal Dutch Petroleum</w:t>
      </w:r>
      <w:r w:rsidRPr="00663AA1">
        <w:rPr>
          <w:rFonts w:ascii="Times New Roman" w:hAnsi="Times New Roman" w:cs="Times New Roman"/>
        </w:rPr>
        <w:t xml:space="preserve"> </w:t>
      </w:r>
      <w:r w:rsidR="00347ADE" w:rsidRPr="00663AA1">
        <w:rPr>
          <w:rFonts w:ascii="Times New Roman" w:hAnsi="Times New Roman" w:cs="Times New Roman"/>
        </w:rPr>
        <w:t xml:space="preserve">(n </w:t>
      </w:r>
      <w:r w:rsidR="00F7258C" w:rsidRPr="00663AA1">
        <w:rPr>
          <w:rFonts w:ascii="Times New Roman" w:hAnsi="Times New Roman" w:cs="Times New Roman"/>
        </w:rPr>
        <w:t>4</w:t>
      </w:r>
      <w:r w:rsidR="00347ADE" w:rsidRPr="00663AA1">
        <w:rPr>
          <w:rFonts w:ascii="Times New Roman" w:hAnsi="Times New Roman" w:cs="Times New Roman"/>
        </w:rPr>
        <w:t>)</w:t>
      </w:r>
      <w:r w:rsidRPr="00663AA1">
        <w:rPr>
          <w:rFonts w:ascii="Times New Roman" w:hAnsi="Times New Roman" w:cs="Times New Roman"/>
          <w:i/>
        </w:rPr>
        <w:t xml:space="preserve"> </w:t>
      </w:r>
      <w:r w:rsidRPr="00663AA1">
        <w:rPr>
          <w:rFonts w:ascii="Times New Roman" w:hAnsi="Times New Roman" w:cs="Times New Roman"/>
        </w:rPr>
        <w:t xml:space="preserve">. See also Young, </w:t>
      </w:r>
      <w:r w:rsidR="002411E8" w:rsidRPr="00663AA1">
        <w:rPr>
          <w:rFonts w:ascii="Times New Roman" w:hAnsi="Times New Roman" w:cs="Times New Roman"/>
        </w:rPr>
        <w:t xml:space="preserve">ibid, </w:t>
      </w:r>
      <w:r w:rsidRPr="00663AA1">
        <w:rPr>
          <w:rFonts w:ascii="Times New Roman" w:hAnsi="Times New Roman" w:cs="Times New Roman"/>
        </w:rPr>
        <w:t>1098. US courts give the plaintiff procedural advantages which are not available in other systems. Furthermore, US court unlike many other jurisdictions is able to award punitive damages.</w:t>
      </w:r>
    </w:p>
  </w:footnote>
  <w:footnote w:id="49">
    <w:p w14:paraId="0BD39768" w14:textId="5C2D9C64"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22" w:name="_Hlk130978055"/>
      <w:bookmarkStart w:id="23" w:name="_Hlk130978430"/>
      <w:r w:rsidRPr="00663AA1">
        <w:rPr>
          <w:rFonts w:ascii="Times New Roman" w:hAnsi="Times New Roman" w:cs="Times New Roman"/>
          <w:i/>
        </w:rPr>
        <w:t>Sosa</w:t>
      </w:r>
      <w:r w:rsidRPr="00663AA1">
        <w:rPr>
          <w:rFonts w:ascii="Times New Roman" w:hAnsi="Times New Roman" w:cs="Times New Roman"/>
        </w:rPr>
        <w:t xml:space="preserve"> v. </w:t>
      </w:r>
      <w:r w:rsidRPr="00663AA1">
        <w:rPr>
          <w:rFonts w:ascii="Times New Roman" w:hAnsi="Times New Roman" w:cs="Times New Roman"/>
          <w:i/>
        </w:rPr>
        <w:t>Alvarez-Machain</w:t>
      </w:r>
      <w:r w:rsidRPr="00663AA1">
        <w:rPr>
          <w:rFonts w:ascii="Times New Roman" w:hAnsi="Times New Roman" w:cs="Times New Roman"/>
        </w:rPr>
        <w:t>, 542 U.S. 692</w:t>
      </w:r>
      <w:r w:rsidR="00A40596" w:rsidRPr="00663AA1">
        <w:rPr>
          <w:rFonts w:ascii="Times New Roman" w:hAnsi="Times New Roman" w:cs="Times New Roman"/>
        </w:rPr>
        <w:t xml:space="preserve"> (2004)</w:t>
      </w:r>
      <w:r w:rsidR="00CD6060" w:rsidRPr="00663AA1">
        <w:rPr>
          <w:rFonts w:ascii="Times New Roman" w:hAnsi="Times New Roman" w:cs="Times New Roman"/>
        </w:rPr>
        <w:t>,</w:t>
      </w:r>
      <w:bookmarkEnd w:id="22"/>
      <w:r w:rsidRPr="00663AA1">
        <w:rPr>
          <w:rFonts w:ascii="Times New Roman" w:hAnsi="Times New Roman" w:cs="Times New Roman"/>
        </w:rPr>
        <w:t xml:space="preserve"> 714</w:t>
      </w:r>
      <w:bookmarkEnd w:id="23"/>
    </w:p>
  </w:footnote>
  <w:footnote w:id="50">
    <w:p w14:paraId="318C0407" w14:textId="5CD57DF8" w:rsidR="00A40596" w:rsidRPr="00663AA1" w:rsidRDefault="00A40596"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rPr>
        <w:t>Sosa</w:t>
      </w:r>
      <w:r w:rsidRPr="00663AA1">
        <w:rPr>
          <w:rFonts w:ascii="Times New Roman" w:hAnsi="Times New Roman" w:cs="Times New Roman"/>
        </w:rPr>
        <w:t xml:space="preserve"> v. </w:t>
      </w:r>
      <w:r w:rsidRPr="00663AA1">
        <w:rPr>
          <w:rFonts w:ascii="Times New Roman" w:hAnsi="Times New Roman" w:cs="Times New Roman"/>
          <w:i/>
        </w:rPr>
        <w:t>Alvarez-Machain</w:t>
      </w:r>
      <w:r w:rsidRPr="00663AA1">
        <w:rPr>
          <w:rFonts w:ascii="Times New Roman" w:hAnsi="Times New Roman" w:cs="Times New Roman"/>
        </w:rPr>
        <w:t xml:space="preserve">, </w:t>
      </w:r>
      <w:r w:rsidR="00347ADE" w:rsidRPr="00663AA1">
        <w:rPr>
          <w:rFonts w:ascii="Times New Roman" w:hAnsi="Times New Roman" w:cs="Times New Roman"/>
        </w:rPr>
        <w:t>ibid.</w:t>
      </w:r>
    </w:p>
  </w:footnote>
  <w:footnote w:id="51">
    <w:p w14:paraId="4F641605" w14:textId="2878680E"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bookmarkStart w:id="24" w:name="_Hlk130978850"/>
      <w:r w:rsidR="004E68BE" w:rsidRPr="00663AA1">
        <w:rPr>
          <w:rFonts w:ascii="Times New Roman" w:hAnsi="Times New Roman" w:cs="Times New Roman"/>
          <w:i/>
        </w:rPr>
        <w:t>Ibid</w:t>
      </w:r>
      <w:r w:rsidR="00CD6060" w:rsidRPr="00663AA1">
        <w:rPr>
          <w:rFonts w:ascii="Times New Roman" w:hAnsi="Times New Roman" w:cs="Times New Roman"/>
        </w:rPr>
        <w:t>.</w:t>
      </w:r>
      <w:bookmarkEnd w:id="24"/>
    </w:p>
  </w:footnote>
  <w:footnote w:id="52">
    <w:p w14:paraId="513B5D83" w14:textId="450412BA" w:rsidR="00CD6060" w:rsidRPr="00663AA1" w:rsidRDefault="00CD6060"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Erie R. Co. v Tompkins</w:t>
      </w:r>
      <w:r w:rsidRPr="00663AA1">
        <w:rPr>
          <w:rFonts w:ascii="Times New Roman" w:hAnsi="Times New Roman" w:cs="Times New Roman"/>
        </w:rPr>
        <w:t xml:space="preserve"> 304 U.S. 64</w:t>
      </w:r>
      <w:r w:rsidR="00A40596" w:rsidRPr="00663AA1">
        <w:rPr>
          <w:rFonts w:ascii="Times New Roman" w:hAnsi="Times New Roman" w:cs="Times New Roman"/>
        </w:rPr>
        <w:t xml:space="preserve"> (1938)</w:t>
      </w:r>
      <w:r w:rsidRPr="00663AA1">
        <w:rPr>
          <w:rFonts w:ascii="Times New Roman" w:hAnsi="Times New Roman" w:cs="Times New Roman"/>
        </w:rPr>
        <w:t>.</w:t>
      </w:r>
    </w:p>
  </w:footnote>
  <w:footnote w:id="53">
    <w:p w14:paraId="48FDAFE8" w14:textId="19DC7F71" w:rsidR="00A40596" w:rsidRPr="00663AA1" w:rsidRDefault="00A40596"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rPr>
        <w:t>Sosa</w:t>
      </w:r>
      <w:r w:rsidRPr="00663AA1">
        <w:rPr>
          <w:rFonts w:ascii="Times New Roman" w:hAnsi="Times New Roman" w:cs="Times New Roman"/>
        </w:rPr>
        <w:t xml:space="preserve"> v. </w:t>
      </w:r>
      <w:r w:rsidRPr="00663AA1">
        <w:rPr>
          <w:rFonts w:ascii="Times New Roman" w:hAnsi="Times New Roman" w:cs="Times New Roman"/>
          <w:i/>
        </w:rPr>
        <w:t>Alvarez-Machain</w:t>
      </w:r>
      <w:r w:rsidR="00347ADE" w:rsidRPr="00663AA1">
        <w:rPr>
          <w:rFonts w:ascii="Times New Roman" w:hAnsi="Times New Roman" w:cs="Times New Roman"/>
        </w:rPr>
        <w:t xml:space="preserve"> (n</w:t>
      </w:r>
      <w:r w:rsidR="00285326" w:rsidRPr="00663AA1">
        <w:rPr>
          <w:rFonts w:ascii="Times New Roman" w:hAnsi="Times New Roman" w:cs="Times New Roman"/>
        </w:rPr>
        <w:t>33</w:t>
      </w:r>
      <w:r w:rsidR="00347ADE" w:rsidRPr="00663AA1">
        <w:rPr>
          <w:rFonts w:ascii="Times New Roman" w:hAnsi="Times New Roman" w:cs="Times New Roman"/>
        </w:rPr>
        <w:t>)</w:t>
      </w:r>
      <w:r w:rsidRPr="00663AA1">
        <w:rPr>
          <w:rFonts w:ascii="Times New Roman" w:hAnsi="Times New Roman" w:cs="Times New Roman"/>
        </w:rPr>
        <w:t>.</w:t>
      </w:r>
    </w:p>
  </w:footnote>
  <w:footnote w:id="54">
    <w:p w14:paraId="4DADA238" w14:textId="77777777" w:rsidR="001148EA" w:rsidRPr="00663AA1" w:rsidRDefault="001148EA" w:rsidP="005D0500">
      <w:pPr>
        <w:autoSpaceDE w:val="0"/>
        <w:autoSpaceDN w:val="0"/>
        <w:adjustRightInd w:val="0"/>
        <w:spacing w:before="120" w:after="0" w:line="240" w:lineRule="auto"/>
        <w:jc w:val="both"/>
        <w:rPr>
          <w:rFonts w:ascii="Times New Roman" w:hAnsi="Times New Roman" w:cs="Times New Roman"/>
          <w:sz w:val="20"/>
          <w:szCs w:val="20"/>
        </w:rPr>
      </w:pPr>
      <w:r w:rsidRPr="00663AA1">
        <w:rPr>
          <w:rStyle w:val="FootnoteReference"/>
          <w:rFonts w:ascii="Times New Roman" w:hAnsi="Times New Roman" w:cs="Times New Roman"/>
          <w:sz w:val="20"/>
          <w:szCs w:val="20"/>
        </w:rPr>
        <w:footnoteRef/>
      </w:r>
      <w:r w:rsidRPr="00663AA1">
        <w:rPr>
          <w:rFonts w:ascii="Times New Roman" w:hAnsi="Times New Roman" w:cs="Times New Roman"/>
          <w:sz w:val="20"/>
          <w:szCs w:val="20"/>
        </w:rPr>
        <w:t xml:space="preserve"> </w:t>
      </w:r>
      <w:bookmarkStart w:id="26" w:name="_Hlk130979804"/>
      <w:r w:rsidRPr="00663AA1">
        <w:rPr>
          <w:rFonts w:ascii="Times New Roman" w:hAnsi="Times New Roman" w:cs="Times New Roman"/>
          <w:sz w:val="20"/>
          <w:szCs w:val="20"/>
        </w:rPr>
        <w:t>Jesner v Arab Bank, Plc, No 16-499, 584 U.S. (2018).</w:t>
      </w:r>
      <w:bookmarkEnd w:id="26"/>
    </w:p>
  </w:footnote>
  <w:footnote w:id="55">
    <w:p w14:paraId="19352779" w14:textId="02D0A19C"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Style w:val="Emphasis"/>
          <w:rFonts w:ascii="Times New Roman" w:hAnsi="Times New Roman" w:cs="Times New Roman"/>
          <w:color w:val="000000"/>
          <w:shd w:val="clear" w:color="auto" w:fill="FFFFFF"/>
        </w:rPr>
        <w:t>Kiobel</w:t>
      </w:r>
      <w:r w:rsidRPr="00663AA1">
        <w:rPr>
          <w:rFonts w:ascii="Times New Roman" w:hAnsi="Times New Roman" w:cs="Times New Roman"/>
          <w:color w:val="000000"/>
          <w:shd w:val="clear" w:color="auto" w:fill="FFFFFF"/>
        </w:rPr>
        <w:t> v. </w:t>
      </w:r>
      <w:r w:rsidRPr="00663AA1">
        <w:rPr>
          <w:rStyle w:val="Emphasis"/>
          <w:rFonts w:ascii="Times New Roman" w:hAnsi="Times New Roman" w:cs="Times New Roman"/>
          <w:color w:val="000000"/>
          <w:shd w:val="clear" w:color="auto" w:fill="FFFFFF"/>
        </w:rPr>
        <w:t xml:space="preserve">Royal Dutch Petroleum </w:t>
      </w:r>
      <w:r w:rsidR="00347ADE" w:rsidRPr="00663AA1">
        <w:rPr>
          <w:rStyle w:val="Emphasis"/>
          <w:rFonts w:ascii="Times New Roman" w:hAnsi="Times New Roman" w:cs="Times New Roman"/>
          <w:i w:val="0"/>
          <w:iCs w:val="0"/>
          <w:color w:val="000000"/>
          <w:shd w:val="clear" w:color="auto" w:fill="FFFFFF"/>
        </w:rPr>
        <w:t xml:space="preserve">(n </w:t>
      </w:r>
      <w:r w:rsidR="00F7258C" w:rsidRPr="00663AA1">
        <w:rPr>
          <w:rStyle w:val="Emphasis"/>
          <w:rFonts w:ascii="Times New Roman" w:hAnsi="Times New Roman" w:cs="Times New Roman"/>
          <w:i w:val="0"/>
          <w:iCs w:val="0"/>
          <w:color w:val="000000"/>
          <w:shd w:val="clear" w:color="auto" w:fill="FFFFFF"/>
        </w:rPr>
        <w:t>4</w:t>
      </w:r>
      <w:r w:rsidRPr="00663AA1">
        <w:rPr>
          <w:rFonts w:ascii="Times New Roman" w:hAnsi="Times New Roman" w:cs="Times New Roman"/>
          <w:color w:val="000000"/>
          <w:shd w:val="clear" w:color="auto" w:fill="FFFFFF"/>
        </w:rPr>
        <w:t>) (quoting </w:t>
      </w:r>
      <w:r w:rsidRPr="00663AA1">
        <w:rPr>
          <w:rStyle w:val="Emphasis"/>
          <w:rFonts w:ascii="Times New Roman" w:hAnsi="Times New Roman" w:cs="Times New Roman"/>
          <w:color w:val="000000"/>
          <w:shd w:val="clear" w:color="auto" w:fill="FFFFFF"/>
        </w:rPr>
        <w:t>Sosa</w:t>
      </w:r>
      <w:r w:rsidR="00347ADE" w:rsidRPr="00663AA1">
        <w:rPr>
          <w:rFonts w:ascii="Times New Roman" w:hAnsi="Times New Roman" w:cs="Times New Roman"/>
          <w:color w:val="000000"/>
          <w:shd w:val="clear" w:color="auto" w:fill="FFFFFF"/>
        </w:rPr>
        <w:t xml:space="preserve"> (n </w:t>
      </w:r>
      <w:r w:rsidR="00347ADE" w:rsidRPr="00663AA1">
        <w:rPr>
          <w:rFonts w:ascii="Times New Roman" w:hAnsi="Times New Roman" w:cs="Times New Roman"/>
          <w:color w:val="000000"/>
          <w:shd w:val="clear" w:color="auto" w:fill="FFFFFF"/>
        </w:rPr>
        <w:fldChar w:fldCharType="begin"/>
      </w:r>
      <w:r w:rsidR="00347ADE" w:rsidRPr="00663AA1">
        <w:rPr>
          <w:rFonts w:ascii="Times New Roman" w:hAnsi="Times New Roman" w:cs="Times New Roman"/>
          <w:color w:val="000000"/>
          <w:shd w:val="clear" w:color="auto" w:fill="FFFFFF"/>
        </w:rPr>
        <w:instrText xml:space="preserve"> NOTEREF _Ref131848332 \h </w:instrText>
      </w:r>
      <w:r w:rsidR="00CE43F1" w:rsidRPr="00663AA1">
        <w:rPr>
          <w:rFonts w:ascii="Times New Roman" w:hAnsi="Times New Roman" w:cs="Times New Roman"/>
          <w:color w:val="000000"/>
          <w:shd w:val="clear" w:color="auto" w:fill="FFFFFF"/>
        </w:rPr>
        <w:instrText xml:space="preserve"> \* MERGEFORMAT </w:instrText>
      </w:r>
      <w:r w:rsidR="00347ADE" w:rsidRPr="00663AA1">
        <w:rPr>
          <w:rFonts w:ascii="Times New Roman" w:hAnsi="Times New Roman" w:cs="Times New Roman"/>
          <w:color w:val="000000"/>
          <w:shd w:val="clear" w:color="auto" w:fill="FFFFFF"/>
        </w:rPr>
      </w:r>
      <w:r w:rsidR="00347ADE" w:rsidRPr="00663AA1">
        <w:rPr>
          <w:rFonts w:ascii="Times New Roman" w:hAnsi="Times New Roman" w:cs="Times New Roman"/>
          <w:color w:val="000000"/>
          <w:shd w:val="clear" w:color="auto" w:fill="FFFFFF"/>
        </w:rPr>
        <w:fldChar w:fldCharType="separate"/>
      </w:r>
      <w:r w:rsidR="00663AA1">
        <w:rPr>
          <w:rFonts w:ascii="Times New Roman" w:hAnsi="Times New Roman" w:cs="Times New Roman"/>
          <w:color w:val="000000"/>
          <w:shd w:val="clear" w:color="auto" w:fill="FFFFFF"/>
        </w:rPr>
        <w:t>50</w:t>
      </w:r>
      <w:r w:rsidR="00347ADE" w:rsidRPr="00663AA1">
        <w:rPr>
          <w:rFonts w:ascii="Times New Roman" w:hAnsi="Times New Roman" w:cs="Times New Roman"/>
          <w:color w:val="000000"/>
          <w:shd w:val="clear" w:color="auto" w:fill="FFFFFF"/>
        </w:rPr>
        <w:fldChar w:fldCharType="end"/>
      </w:r>
      <w:r w:rsidR="00347ADE" w:rsidRPr="00663AA1">
        <w:rPr>
          <w:rFonts w:ascii="Times New Roman" w:hAnsi="Times New Roman" w:cs="Times New Roman"/>
          <w:color w:val="000000"/>
          <w:shd w:val="clear" w:color="auto" w:fill="FFFFFF"/>
        </w:rPr>
        <w:t xml:space="preserve">, </w:t>
      </w:r>
      <w:r w:rsidRPr="00663AA1">
        <w:rPr>
          <w:rFonts w:ascii="Times New Roman" w:hAnsi="Times New Roman" w:cs="Times New Roman"/>
          <w:color w:val="000000"/>
          <w:shd w:val="clear" w:color="auto" w:fill="FFFFFF"/>
        </w:rPr>
        <w:t>732).</w:t>
      </w:r>
    </w:p>
  </w:footnote>
  <w:footnote w:id="56">
    <w:p w14:paraId="440C2B5E" w14:textId="3485CB55" w:rsidR="00F67F1D" w:rsidRPr="00663AA1" w:rsidRDefault="00F67F1D"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Jesner v Arab Bank</w:t>
      </w:r>
      <w:r w:rsidR="00347ADE" w:rsidRPr="00663AA1">
        <w:rPr>
          <w:rFonts w:ascii="Times New Roman" w:hAnsi="Times New Roman" w:cs="Times New Roman"/>
        </w:rPr>
        <w:t xml:space="preserve"> (n</w:t>
      </w:r>
      <w:r w:rsidR="00285326" w:rsidRPr="00663AA1">
        <w:rPr>
          <w:rFonts w:ascii="Times New Roman" w:hAnsi="Times New Roman" w:cs="Times New Roman"/>
        </w:rPr>
        <w:t>38</w:t>
      </w:r>
      <w:r w:rsidR="00347ADE" w:rsidRPr="00663AA1">
        <w:rPr>
          <w:rFonts w:ascii="Times New Roman" w:hAnsi="Times New Roman" w:cs="Times New Roman"/>
        </w:rPr>
        <w:t xml:space="preserve">). </w:t>
      </w:r>
    </w:p>
  </w:footnote>
  <w:footnote w:id="57">
    <w:p w14:paraId="68C76A7A" w14:textId="453B2DB2" w:rsidR="00D56D05" w:rsidRPr="00721810" w:rsidRDefault="00D56D05" w:rsidP="005D0500">
      <w:pPr>
        <w:spacing w:line="240" w:lineRule="auto"/>
        <w:rPr>
          <w:rFonts w:ascii="Times New Roman" w:hAnsi="Times New Roman" w:cs="Times New Roman"/>
          <w:sz w:val="20"/>
          <w:szCs w:val="20"/>
        </w:rPr>
      </w:pPr>
      <w:r w:rsidRPr="00721810">
        <w:rPr>
          <w:rStyle w:val="FootnoteReference"/>
          <w:rFonts w:ascii="Times New Roman" w:hAnsi="Times New Roman" w:cs="Times New Roman"/>
          <w:sz w:val="20"/>
          <w:szCs w:val="20"/>
        </w:rPr>
        <w:footnoteRef/>
      </w:r>
      <w:r w:rsidRPr="00721810">
        <w:rPr>
          <w:rFonts w:ascii="Times New Roman" w:hAnsi="Times New Roman" w:cs="Times New Roman"/>
          <w:sz w:val="20"/>
          <w:szCs w:val="20"/>
        </w:rPr>
        <w:t xml:space="preserve"> </w:t>
      </w:r>
      <w:r w:rsidRPr="00721810">
        <w:rPr>
          <w:rFonts w:ascii="Times New Roman" w:hAnsi="Times New Roman" w:cs="Times New Roman"/>
          <w:i/>
          <w:sz w:val="20"/>
          <w:szCs w:val="20"/>
        </w:rPr>
        <w:t>Kiobel</w:t>
      </w:r>
      <w:r w:rsidRPr="00721810">
        <w:rPr>
          <w:rFonts w:ascii="Times New Roman" w:hAnsi="Times New Roman" w:cs="Times New Roman"/>
          <w:sz w:val="20"/>
          <w:szCs w:val="20"/>
        </w:rPr>
        <w:t xml:space="preserve"> v. </w:t>
      </w:r>
      <w:r w:rsidRPr="00721810">
        <w:rPr>
          <w:rFonts w:ascii="Times New Roman" w:hAnsi="Times New Roman" w:cs="Times New Roman"/>
          <w:i/>
          <w:sz w:val="20"/>
          <w:szCs w:val="20"/>
        </w:rPr>
        <w:t>Royal Dutch Petroleum</w:t>
      </w:r>
      <w:r w:rsidRPr="00721810">
        <w:rPr>
          <w:rFonts w:ascii="Times New Roman" w:hAnsi="Times New Roman" w:cs="Times New Roman"/>
          <w:sz w:val="20"/>
          <w:szCs w:val="20"/>
        </w:rPr>
        <w:t xml:space="preserve"> </w:t>
      </w:r>
      <w:r w:rsidR="00285326" w:rsidRPr="00721810">
        <w:rPr>
          <w:rFonts w:ascii="Times New Roman" w:hAnsi="Times New Roman" w:cs="Times New Roman"/>
          <w:sz w:val="20"/>
          <w:szCs w:val="20"/>
          <w:shd w:val="clear" w:color="auto" w:fill="FFFFFF"/>
        </w:rPr>
        <w:t>456 F.Supp.2d 457 (2006)</w:t>
      </w:r>
      <w:r w:rsidR="00663AA1">
        <w:rPr>
          <w:rFonts w:ascii="Times New Roman" w:hAnsi="Times New Roman" w:cs="Times New Roman"/>
          <w:sz w:val="20"/>
          <w:szCs w:val="20"/>
          <w:shd w:val="clear" w:color="auto" w:fill="FFFFFF"/>
        </w:rPr>
        <w:t>.</w:t>
      </w:r>
    </w:p>
  </w:footnote>
  <w:footnote w:id="58">
    <w:p w14:paraId="298C9E79" w14:textId="4824164C"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663AA1">
        <w:rPr>
          <w:rFonts w:ascii="Times New Roman" w:hAnsi="Times New Roman" w:cs="Times New Roman"/>
        </w:rPr>
        <w:t>.</w:t>
      </w:r>
      <w:r w:rsidRPr="00663AA1">
        <w:rPr>
          <w:rFonts w:ascii="Times New Roman" w:hAnsi="Times New Roman" w:cs="Times New Roman"/>
        </w:rPr>
        <w:t xml:space="preserve"> </w:t>
      </w:r>
    </w:p>
  </w:footnote>
  <w:footnote w:id="59">
    <w:p w14:paraId="12A855E3" w14:textId="27B690ED" w:rsidR="001148EA" w:rsidRPr="00663AA1" w:rsidRDefault="001148EA" w:rsidP="005D0500">
      <w:pPr>
        <w:pStyle w:val="FootnoteText"/>
        <w:tabs>
          <w:tab w:val="left" w:pos="5355"/>
        </w:tabs>
        <w:jc w:val="both"/>
        <w:rPr>
          <w:rFonts w:ascii="Times New Roman" w:hAnsi="Times New Roman" w:cs="Times New Roman"/>
        </w:rPr>
      </w:pPr>
      <w:r w:rsidRPr="00663AA1">
        <w:rPr>
          <w:rStyle w:val="FootnoteReference"/>
          <w:rFonts w:ascii="Times New Roman" w:hAnsi="Times New Roman" w:cs="Times New Roman"/>
        </w:rPr>
        <w:footnoteRef/>
      </w:r>
      <w:r w:rsidR="00663AA1">
        <w:rPr>
          <w:rFonts w:ascii="Times New Roman" w:hAnsi="Times New Roman" w:cs="Times New Roman"/>
        </w:rPr>
        <w:t xml:space="preserve"> </w:t>
      </w:r>
      <w:r w:rsidR="00663AA1" w:rsidRPr="00663AA1">
        <w:rPr>
          <w:rFonts w:ascii="Times New Roman" w:hAnsi="Times New Roman" w:cs="Times New Roman"/>
        </w:rPr>
        <w:t>Ibid</w:t>
      </w:r>
      <w:r w:rsidR="00347ADE" w:rsidRPr="00663AA1">
        <w:rPr>
          <w:rFonts w:ascii="Times New Roman" w:hAnsi="Times New Roman" w:cs="Times New Roman"/>
        </w:rPr>
        <w:t>.</w:t>
      </w:r>
      <w:r w:rsidRPr="00663AA1">
        <w:rPr>
          <w:rFonts w:ascii="Times New Roman" w:hAnsi="Times New Roman" w:cs="Times New Roman"/>
        </w:rPr>
        <w:tab/>
      </w:r>
    </w:p>
  </w:footnote>
  <w:footnote w:id="60">
    <w:p w14:paraId="5EF39558" w14:textId="6C3FDB49"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sidRPr="00663AA1">
        <w:rPr>
          <w:rFonts w:ascii="Times New Roman" w:hAnsi="Times New Roman" w:cs="Times New Roman"/>
        </w:rPr>
        <w:t>Ibid</w:t>
      </w:r>
      <w:r w:rsidRPr="00663AA1">
        <w:rPr>
          <w:rFonts w:ascii="Times New Roman" w:hAnsi="Times New Roman" w:cs="Times New Roman"/>
        </w:rPr>
        <w:t>, 1661</w:t>
      </w:r>
      <w:r w:rsidR="00663AA1">
        <w:rPr>
          <w:rFonts w:ascii="Times New Roman" w:hAnsi="Times New Roman" w:cs="Times New Roman"/>
        </w:rPr>
        <w:t>.</w:t>
      </w:r>
    </w:p>
  </w:footnote>
  <w:footnote w:id="61">
    <w:p w14:paraId="41B52D6E" w14:textId="66748C8A"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sidRPr="00663AA1">
        <w:rPr>
          <w:rFonts w:ascii="Times New Roman" w:hAnsi="Times New Roman" w:cs="Times New Roman"/>
        </w:rPr>
        <w:t>Ibid</w:t>
      </w:r>
      <w:r w:rsidR="00663AA1">
        <w:rPr>
          <w:rFonts w:ascii="Times New Roman" w:hAnsi="Times New Roman" w:cs="Times New Roman"/>
        </w:rPr>
        <w:t>,</w:t>
      </w:r>
      <w:r w:rsidR="00347ADE" w:rsidRPr="00663AA1">
        <w:rPr>
          <w:rFonts w:ascii="Times New Roman" w:hAnsi="Times New Roman" w:cs="Times New Roman"/>
        </w:rPr>
        <w:t xml:space="preserve"> </w:t>
      </w:r>
      <w:r w:rsidRPr="00663AA1">
        <w:rPr>
          <w:rFonts w:ascii="Times New Roman" w:hAnsi="Times New Roman" w:cs="Times New Roman"/>
        </w:rPr>
        <w:t>1663</w:t>
      </w:r>
      <w:r w:rsidR="00663AA1">
        <w:rPr>
          <w:rFonts w:ascii="Times New Roman" w:hAnsi="Times New Roman" w:cs="Times New Roman"/>
        </w:rPr>
        <w:t>.</w:t>
      </w:r>
    </w:p>
  </w:footnote>
  <w:footnote w:id="62">
    <w:p w14:paraId="5E9CB458" w14:textId="412D6BD5"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i/>
        </w:rPr>
        <w:t xml:space="preserve"> </w:t>
      </w:r>
      <w:r w:rsidR="00663AA1" w:rsidRPr="00663AA1">
        <w:rPr>
          <w:rFonts w:ascii="Times New Roman" w:hAnsi="Times New Roman" w:cs="Times New Roman"/>
        </w:rPr>
        <w:t>Ibid</w:t>
      </w:r>
      <w:r w:rsidR="00347ADE" w:rsidRPr="00663AA1">
        <w:rPr>
          <w:rFonts w:ascii="Times New Roman" w:hAnsi="Times New Roman" w:cs="Times New Roman"/>
        </w:rPr>
        <w:t>,</w:t>
      </w:r>
      <w:r w:rsidRPr="00663AA1">
        <w:rPr>
          <w:rFonts w:ascii="Times New Roman" w:hAnsi="Times New Roman" w:cs="Times New Roman"/>
        </w:rPr>
        <w:t xml:space="preserve"> 1662</w:t>
      </w:r>
      <w:r w:rsidR="00347ADE" w:rsidRPr="00663AA1">
        <w:rPr>
          <w:rFonts w:ascii="Times New Roman" w:hAnsi="Times New Roman" w:cs="Times New Roman"/>
        </w:rPr>
        <w:t>.</w:t>
      </w:r>
    </w:p>
  </w:footnote>
  <w:footnote w:id="63">
    <w:p w14:paraId="1834C0BE" w14:textId="42FD348B"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shd w:val="clear" w:color="auto" w:fill="FFFFFF"/>
        </w:rPr>
        <w:t>C</w:t>
      </w:r>
      <w:r w:rsidRPr="00663AA1">
        <w:rPr>
          <w:rFonts w:ascii="Times New Roman" w:hAnsi="Times New Roman" w:cs="Times New Roman"/>
          <w:i/>
          <w:iCs/>
        </w:rPr>
        <w:t xml:space="preserve">ardona v. Chiquita Brands International, Inc., </w:t>
      </w:r>
      <w:r w:rsidRPr="00663AA1">
        <w:rPr>
          <w:rFonts w:ascii="Times New Roman" w:hAnsi="Times New Roman" w:cs="Times New Roman"/>
        </w:rPr>
        <w:t>760 F.3d 1185 (11th Cir. 2014)</w:t>
      </w:r>
      <w:r w:rsidR="00347ADE" w:rsidRPr="00663AA1">
        <w:rPr>
          <w:rFonts w:ascii="Times New Roman" w:hAnsi="Times New Roman" w:cs="Times New Roman"/>
        </w:rPr>
        <w:t>.</w:t>
      </w:r>
    </w:p>
  </w:footnote>
  <w:footnote w:id="64">
    <w:p w14:paraId="3AD2FC9C" w14:textId="009EB666"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10</w:t>
      </w:r>
      <w:r w:rsidR="00663AA1">
        <w:rPr>
          <w:rFonts w:ascii="Times New Roman" w:hAnsi="Times New Roman" w:cs="Times New Roman"/>
        </w:rPr>
        <w:t>.</w:t>
      </w:r>
    </w:p>
  </w:footnote>
  <w:footnote w:id="65">
    <w:p w14:paraId="4B31C05E" w14:textId="6041EFE9" w:rsidR="001148EA" w:rsidRPr="00663AA1" w:rsidRDefault="001148EA"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492895" w:rsidRPr="00663AA1">
        <w:rPr>
          <w:rFonts w:ascii="Times New Roman" w:hAnsi="Times New Roman" w:cs="Times New Roman"/>
        </w:rPr>
        <w:t>.</w:t>
      </w:r>
    </w:p>
  </w:footnote>
  <w:footnote w:id="66">
    <w:p w14:paraId="4EADABDE" w14:textId="77777777"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w:t>
      </w:r>
      <w:r w:rsidRPr="00663AA1">
        <w:rPr>
          <w:rFonts w:ascii="Times New Roman" w:hAnsi="Times New Roman" w:cs="Times New Roman"/>
          <w:i/>
        </w:rPr>
        <w:t>Baloco v. Drummond Co</w:t>
      </w:r>
      <w:r w:rsidRPr="00663AA1">
        <w:rPr>
          <w:rFonts w:ascii="Times New Roman" w:hAnsi="Times New Roman" w:cs="Times New Roman"/>
        </w:rPr>
        <w:t xml:space="preserve">., 767 F.3d 1229, 1238 (2014). </w:t>
      </w:r>
    </w:p>
  </w:footnote>
  <w:footnote w:id="67">
    <w:p w14:paraId="77A735B1" w14:textId="6AD0D4C3" w:rsidR="001148EA" w:rsidRPr="00663AA1" w:rsidRDefault="001148EA" w:rsidP="005D0500">
      <w:pPr>
        <w:pStyle w:val="FootnoteText"/>
        <w:rPr>
          <w:rFonts w:ascii="Times New Roman" w:hAnsi="Times New Roman" w:cs="Times New Roman"/>
          <w:lang w:val="it-IT"/>
        </w:rPr>
      </w:pPr>
      <w:r w:rsidRPr="00663AA1">
        <w:rPr>
          <w:rStyle w:val="FootnoteReference"/>
          <w:rFonts w:ascii="Times New Roman" w:hAnsi="Times New Roman" w:cs="Times New Roman"/>
        </w:rPr>
        <w:footnoteRef/>
      </w:r>
      <w:r w:rsidRPr="00663AA1">
        <w:rPr>
          <w:rFonts w:ascii="Times New Roman" w:hAnsi="Times New Roman" w:cs="Times New Roman"/>
          <w:lang w:val="it-IT"/>
        </w:rPr>
        <w:t xml:space="preserve"> </w:t>
      </w:r>
      <w:r w:rsidR="00E31D07" w:rsidRPr="00663AA1">
        <w:rPr>
          <w:rFonts w:ascii="Times New Roman" w:hAnsi="Times New Roman" w:cs="Times New Roman"/>
          <w:i/>
        </w:rPr>
        <w:t>Al Shimari v. CACI Premier Technology</w:t>
      </w:r>
      <w:r w:rsidR="00E31D07" w:rsidRPr="00663AA1">
        <w:rPr>
          <w:rFonts w:ascii="Times New Roman" w:hAnsi="Times New Roman" w:cs="Times New Roman"/>
        </w:rPr>
        <w:t>, Inc., 758 F.3d 516 (4th Cir. 2014), 528-529</w:t>
      </w:r>
      <w:r w:rsidR="00BC4BA0" w:rsidRPr="00663AA1">
        <w:rPr>
          <w:rFonts w:ascii="Times New Roman" w:hAnsi="Times New Roman" w:cs="Times New Roman"/>
          <w:lang w:val="it-IT"/>
        </w:rPr>
        <w:t>.</w:t>
      </w:r>
    </w:p>
  </w:footnote>
  <w:footnote w:id="68">
    <w:p w14:paraId="64C3C388" w14:textId="758BC7F2" w:rsidR="001148EA" w:rsidRPr="00663AA1" w:rsidRDefault="001148EA" w:rsidP="005D0500">
      <w:pPr>
        <w:pStyle w:val="FootnoteText"/>
        <w:rPr>
          <w:rFonts w:ascii="Times New Roman" w:hAnsi="Times New Roman" w:cs="Times New Roman"/>
          <w:lang w:val="it-IT"/>
        </w:rPr>
      </w:pPr>
      <w:r w:rsidRPr="00663AA1">
        <w:rPr>
          <w:rStyle w:val="FootnoteReference"/>
          <w:rFonts w:ascii="Times New Roman" w:hAnsi="Times New Roman" w:cs="Times New Roman"/>
        </w:rPr>
        <w:footnoteRef/>
      </w:r>
      <w:r w:rsidRPr="00663AA1">
        <w:rPr>
          <w:rFonts w:ascii="Times New Roman" w:hAnsi="Times New Roman" w:cs="Times New Roman"/>
          <w:lang w:val="it-IT"/>
        </w:rPr>
        <w:t xml:space="preserve"> </w:t>
      </w:r>
      <w:r w:rsidR="00BD78F9" w:rsidRPr="00663AA1">
        <w:rPr>
          <w:rFonts w:ascii="Times New Roman" w:hAnsi="Times New Roman" w:cs="Times New Roman"/>
          <w:i/>
          <w:lang w:val="it-IT"/>
        </w:rPr>
        <w:t>Ibid.</w:t>
      </w:r>
      <w:r w:rsidRPr="00663AA1">
        <w:rPr>
          <w:rFonts w:ascii="Times New Roman" w:hAnsi="Times New Roman" w:cs="Times New Roman"/>
          <w:lang w:val="it-IT"/>
        </w:rPr>
        <w:t xml:space="preserve"> 528</w:t>
      </w:r>
      <w:r w:rsidR="00663AA1">
        <w:rPr>
          <w:rFonts w:ascii="Times New Roman" w:hAnsi="Times New Roman" w:cs="Times New Roman"/>
          <w:lang w:val="it-IT"/>
        </w:rPr>
        <w:t>.</w:t>
      </w:r>
    </w:p>
  </w:footnote>
  <w:footnote w:id="69">
    <w:p w14:paraId="4531188A" w14:textId="4EEF432C"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5B7E57" w:rsidRPr="00663AA1">
        <w:rPr>
          <w:rFonts w:ascii="Times New Roman" w:hAnsi="Times New Roman" w:cs="Times New Roman"/>
          <w:i/>
        </w:rPr>
        <w:t>Nestle U.S.A., Inc. v. Doe</w:t>
      </w:r>
      <w:r w:rsidR="005B7E57" w:rsidRPr="00663AA1">
        <w:rPr>
          <w:rFonts w:ascii="Times New Roman" w:hAnsi="Times New Roman" w:cs="Times New Roman"/>
        </w:rPr>
        <w:t>, 141 S.Ct. 1931 (2021).</w:t>
      </w:r>
      <w:r w:rsidR="005B7E57" w:rsidRPr="00663AA1" w:rsidDel="005B7E57">
        <w:rPr>
          <w:rFonts w:ascii="Times New Roman" w:hAnsi="Times New Roman" w:cs="Times New Roman"/>
          <w:highlight w:val="yellow"/>
        </w:rPr>
        <w:t xml:space="preserve"> </w:t>
      </w:r>
    </w:p>
  </w:footnote>
  <w:footnote w:id="70">
    <w:p w14:paraId="078741B3" w14:textId="068EA3B2" w:rsidR="001148EA" w:rsidRPr="00663AA1" w:rsidRDefault="001148E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5B7E57" w:rsidRPr="00663AA1">
        <w:rPr>
          <w:rFonts w:ascii="Times New Roman" w:hAnsi="Times New Roman" w:cs="Times New Roman"/>
          <w:i/>
        </w:rPr>
        <w:t>Nestle U.S.A., Inc. v. Doe</w:t>
      </w:r>
      <w:r w:rsidR="005B7E57" w:rsidRPr="00663AA1">
        <w:rPr>
          <w:rFonts w:ascii="Times New Roman" w:hAnsi="Times New Roman" w:cs="Times New Roman"/>
        </w:rPr>
        <w:t xml:space="preserve"> (n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_Ref141965407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70</w:t>
      </w:r>
      <w:r w:rsidR="00663AA1">
        <w:rPr>
          <w:rFonts w:ascii="Times New Roman" w:hAnsi="Times New Roman" w:cs="Times New Roman"/>
        </w:rPr>
        <w:fldChar w:fldCharType="end"/>
      </w:r>
      <w:r w:rsidR="005B7E57" w:rsidRPr="00663AA1">
        <w:rPr>
          <w:rFonts w:ascii="Times New Roman" w:hAnsi="Times New Roman" w:cs="Times New Roman"/>
        </w:rPr>
        <w:t>).</w:t>
      </w:r>
      <w:r w:rsidRPr="00663AA1">
        <w:rPr>
          <w:rFonts w:ascii="Times New Roman" w:hAnsi="Times New Roman" w:cs="Times New Roman"/>
        </w:rPr>
        <w:t xml:space="preserve"> See Stephan Statsko, ‘the Expectation Game: The Alien Tort Statute, Corporate Liability, and the International Law Forum After Nestle</w:t>
      </w:r>
      <w:r w:rsidR="00BC4BA0" w:rsidRPr="00663AA1">
        <w:rPr>
          <w:rFonts w:ascii="Times New Roman" w:hAnsi="Times New Roman" w:cs="Times New Roman"/>
        </w:rPr>
        <w:t>’ (2022) SSRN</w:t>
      </w:r>
      <w:r w:rsidR="005B7E57" w:rsidRPr="00663AA1">
        <w:rPr>
          <w:rFonts w:ascii="Times New Roman" w:hAnsi="Times New Roman" w:cs="Times New Roman"/>
          <w:highlight w:val="yellow"/>
        </w:rPr>
        <w:t xml:space="preserve"> </w:t>
      </w:r>
      <w:hyperlink r:id="rId10" w:history="1">
        <w:r w:rsidR="005B7E57" w:rsidRPr="00663AA1">
          <w:rPr>
            <w:rStyle w:val="Hyperlink"/>
            <w:rFonts w:ascii="Times New Roman" w:hAnsi="Times New Roman" w:cs="Times New Roman"/>
          </w:rPr>
          <w:t>https://papers.ssrn.com/sol3/papers.cfm?abstract_id=4115075</w:t>
        </w:r>
      </w:hyperlink>
      <w:r w:rsidR="00BC4BA0" w:rsidRPr="00663AA1">
        <w:rPr>
          <w:rFonts w:ascii="Times New Roman" w:hAnsi="Times New Roman" w:cs="Times New Roman"/>
        </w:rPr>
        <w:t>.</w:t>
      </w:r>
    </w:p>
  </w:footnote>
  <w:footnote w:id="71">
    <w:p w14:paraId="70EB7E8E" w14:textId="74C6F067"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Gabrielle Holly and Claire Methven O’Brien ‘Human Rights Due Diligence Laws: Key Considerations Briefing On Civil Liability For Due Diligence Failures’ </w:t>
      </w:r>
      <w:r w:rsidR="00CE43F1" w:rsidRPr="00663AA1">
        <w:rPr>
          <w:rFonts w:ascii="Times New Roman" w:hAnsi="Times New Roman" w:cs="Times New Roman"/>
        </w:rPr>
        <w:t xml:space="preserve">(2021) </w:t>
      </w:r>
      <w:r w:rsidRPr="00663AA1">
        <w:rPr>
          <w:rFonts w:ascii="Times New Roman" w:hAnsi="Times New Roman" w:cs="Times New Roman"/>
        </w:rPr>
        <w:t>The Danish Institute for Human Rights,</w:t>
      </w:r>
      <w:r w:rsidR="00CE43F1" w:rsidRPr="00663AA1">
        <w:rPr>
          <w:rFonts w:ascii="Times New Roman" w:hAnsi="Times New Roman" w:cs="Times New Roman"/>
        </w:rPr>
        <w:t xml:space="preserve"> </w:t>
      </w:r>
      <w:r w:rsidRPr="00663AA1">
        <w:rPr>
          <w:rFonts w:ascii="Times New Roman" w:hAnsi="Times New Roman" w:cs="Times New Roman"/>
        </w:rPr>
        <w:t xml:space="preserve">7. </w:t>
      </w:r>
    </w:p>
  </w:footnote>
  <w:footnote w:id="72">
    <w:p w14:paraId="15630746" w14:textId="489833A6"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UN Working Group on Business and Human Rights ‘Raising the Ambition – Increasing the Pace: UNGPs 10+ A Roadmap for the Next Decade of Business and Human Rights’ </w:t>
      </w:r>
      <w:r w:rsidR="00CE43F1" w:rsidRPr="00663AA1">
        <w:rPr>
          <w:rFonts w:ascii="Times New Roman" w:hAnsi="Times New Roman" w:cs="Times New Roman"/>
        </w:rPr>
        <w:t>(</w:t>
      </w:r>
      <w:r w:rsidRPr="00663AA1">
        <w:rPr>
          <w:rFonts w:ascii="Times New Roman" w:hAnsi="Times New Roman" w:cs="Times New Roman"/>
        </w:rPr>
        <w:t>2021</w:t>
      </w:r>
      <w:r w:rsidR="00CE43F1" w:rsidRPr="00663AA1">
        <w:rPr>
          <w:rFonts w:ascii="Times New Roman" w:hAnsi="Times New Roman" w:cs="Times New Roman"/>
        </w:rPr>
        <w:t>),</w:t>
      </w:r>
      <w:r w:rsidRPr="00663AA1">
        <w:rPr>
          <w:rFonts w:ascii="Times New Roman" w:hAnsi="Times New Roman" w:cs="Times New Roman"/>
        </w:rPr>
        <w:t xml:space="preserve"> 30; Axel Marx, Claire Bright, Jan Wouters et al ‘Access to legal remedies for victims of corporate human rights abuses in third countries’ </w:t>
      </w:r>
      <w:r w:rsidR="00CE43F1" w:rsidRPr="00663AA1">
        <w:rPr>
          <w:rFonts w:ascii="Times New Roman" w:hAnsi="Times New Roman" w:cs="Times New Roman"/>
        </w:rPr>
        <w:t xml:space="preserve">(2019) </w:t>
      </w:r>
      <w:r w:rsidRPr="00663AA1">
        <w:rPr>
          <w:rFonts w:ascii="Times New Roman" w:hAnsi="Times New Roman" w:cs="Times New Roman"/>
        </w:rPr>
        <w:t xml:space="preserve">Study commissioned by the European Parliament's Sub-Committee on Human Rights, 14-16. </w:t>
      </w:r>
    </w:p>
  </w:footnote>
  <w:footnote w:id="73">
    <w:p w14:paraId="3E55A582" w14:textId="64EBEF9B"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Some of the due diligence laws currently in force include the French Duty of Vigilance Law 2017, the German Supply Chain Act 2021, the United States’ Uyghur Forced Labour Prevention Act 2021, the UK Modern Slavery Act 2015, the Australian Modern Slavery Act 2018, the Dutch Child Labour Due Diligence Law, Norwegian Transparency Act 2021, the California Transparency in the Supply Chain 2010, the EU Sustainable Finance Disclosure Regulation. Upcoming legislations include the imminent proposed EU Corporate Sustainability Due Diligence Directive, Austria’s Supply Chain Act Motion, Belgium’s Proposal on Duty of Vigilance, Spain’s Bill on the Protection of Human Rights, Sustainability and Due Diligence in Transnational Business Activities. </w:t>
      </w:r>
    </w:p>
  </w:footnote>
  <w:footnote w:id="74">
    <w:p w14:paraId="76BB5426" w14:textId="7777777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w:t>
      </w:r>
    </w:p>
  </w:footnote>
  <w:footnote w:id="75">
    <w:p w14:paraId="0B98338A" w14:textId="635E261B"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For instance, issue-specific legislations such as supply </w:t>
      </w:r>
      <w:r w:rsidR="00613AF5" w:rsidRPr="00663AA1">
        <w:rPr>
          <w:rFonts w:ascii="Times New Roman" w:hAnsi="Times New Roman" w:cs="Times New Roman"/>
        </w:rPr>
        <w:t>chain-focused</w:t>
      </w:r>
      <w:r w:rsidRPr="00663AA1">
        <w:rPr>
          <w:rFonts w:ascii="Times New Roman" w:hAnsi="Times New Roman" w:cs="Times New Roman"/>
        </w:rPr>
        <w:t xml:space="preserve"> </w:t>
      </w:r>
      <w:r w:rsidR="00613AF5" w:rsidRPr="00663AA1">
        <w:rPr>
          <w:rFonts w:ascii="Times New Roman" w:hAnsi="Times New Roman" w:cs="Times New Roman"/>
        </w:rPr>
        <w:t>legislation</w:t>
      </w:r>
      <w:r w:rsidRPr="00663AA1">
        <w:rPr>
          <w:rFonts w:ascii="Times New Roman" w:hAnsi="Times New Roman" w:cs="Times New Roman"/>
        </w:rPr>
        <w:t xml:space="preserve"> including those currently in force in England, Germany, Australia and the United States and the upcoming Canadian supply chain legislation fail to match due diligence requirements with procedure for their enforcement, especially from the point of view of harmed individuals.   </w:t>
      </w:r>
    </w:p>
  </w:footnote>
  <w:footnote w:id="76">
    <w:p w14:paraId="68FDE0D0" w14:textId="7C0CD8D4"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Act on Corporate Due Diligence Obligations in Supply Chains of 16 July 2021 </w:t>
      </w:r>
      <w:hyperlink r:id="rId11" w:history="1">
        <w:r w:rsidRPr="00663AA1">
          <w:rPr>
            <w:rStyle w:val="Hyperlink"/>
            <w:rFonts w:ascii="Times New Roman" w:hAnsi="Times New Roman" w:cs="Times New Roman"/>
          </w:rPr>
          <w:t>https://www.csr-in-deutschland.de/SharedDocs/Downloads/EN/act-corporate-due-diligence-obligations-supply-chains.pdf?__blob=publicationFile</w:t>
        </w:r>
      </w:hyperlink>
      <w:r w:rsidR="00663AA1">
        <w:rPr>
          <w:rStyle w:val="Hyperlink"/>
          <w:rFonts w:ascii="Times New Roman" w:hAnsi="Times New Roman" w:cs="Times New Roman"/>
        </w:rPr>
        <w:t>.</w:t>
      </w:r>
      <w:r w:rsidRPr="00663AA1">
        <w:rPr>
          <w:rFonts w:ascii="Times New Roman" w:hAnsi="Times New Roman" w:cs="Times New Roman"/>
        </w:rPr>
        <w:t xml:space="preserve"> </w:t>
      </w:r>
    </w:p>
  </w:footnote>
  <w:footnote w:id="77">
    <w:p w14:paraId="6EA687CB" w14:textId="2A6C1059"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Dutch Child Labour Due Diligence Law 2019 </w:t>
      </w:r>
      <w:hyperlink r:id="rId12" w:history="1">
        <w:r w:rsidRPr="00663AA1">
          <w:rPr>
            <w:rStyle w:val="Hyperlink"/>
            <w:rFonts w:ascii="Times New Roman" w:hAnsi="Times New Roman" w:cs="Times New Roman"/>
          </w:rPr>
          <w:t>https://www.amfori.org/sites/default/files/amfori-2020-26-02-Dutch-Child-Labour-Due-Diligence-Law.pdf</w:t>
        </w:r>
      </w:hyperlink>
      <w:r w:rsidR="00663AA1">
        <w:rPr>
          <w:rStyle w:val="Hyperlink"/>
          <w:rFonts w:ascii="Times New Roman" w:hAnsi="Times New Roman" w:cs="Times New Roman"/>
        </w:rPr>
        <w:t>.</w:t>
      </w:r>
      <w:r w:rsidRPr="00663AA1">
        <w:rPr>
          <w:rFonts w:ascii="Times New Roman" w:hAnsi="Times New Roman" w:cs="Times New Roman"/>
        </w:rPr>
        <w:t xml:space="preserve"> </w:t>
      </w:r>
    </w:p>
  </w:footnote>
  <w:footnote w:id="78">
    <w:p w14:paraId="05B456BC" w14:textId="0EBBFD41"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Pr>
          <w:rFonts w:ascii="Times New Roman" w:hAnsi="Times New Roman" w:cs="Times New Roman"/>
        </w:rPr>
        <w:t xml:space="preserve">Australia </w:t>
      </w:r>
      <w:r w:rsidRPr="00663AA1">
        <w:rPr>
          <w:rFonts w:ascii="Times New Roman" w:hAnsi="Times New Roman" w:cs="Times New Roman"/>
        </w:rPr>
        <w:t xml:space="preserve">Modern Slavery Act 2018 </w:t>
      </w:r>
      <w:hyperlink r:id="rId13" w:history="1">
        <w:r w:rsidR="00663AA1" w:rsidRPr="00EB561D">
          <w:rPr>
            <w:rStyle w:val="Hyperlink"/>
            <w:rFonts w:ascii="Times New Roman" w:hAnsi="Times New Roman" w:cs="Times New Roman"/>
          </w:rPr>
          <w:t>https://www.legislation.gov.au/Details/C2018A00153</w:t>
        </w:r>
      </w:hyperlink>
      <w:r w:rsidR="00663AA1">
        <w:rPr>
          <w:rFonts w:ascii="Times New Roman" w:hAnsi="Times New Roman" w:cs="Times New Roman"/>
        </w:rPr>
        <w:t xml:space="preserve">. </w:t>
      </w:r>
    </w:p>
  </w:footnote>
  <w:footnote w:id="79">
    <w:p w14:paraId="727011A2" w14:textId="137504D6"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Pr>
          <w:rFonts w:ascii="Times New Roman" w:hAnsi="Times New Roman" w:cs="Times New Roman"/>
        </w:rPr>
        <w:t xml:space="preserve">UK </w:t>
      </w:r>
      <w:r w:rsidRPr="00663AA1">
        <w:rPr>
          <w:rFonts w:ascii="Times New Roman" w:hAnsi="Times New Roman" w:cs="Times New Roman"/>
        </w:rPr>
        <w:t xml:space="preserve">Modern Slavery Act 2015  </w:t>
      </w:r>
      <w:hyperlink r:id="rId14" w:history="1">
        <w:r w:rsidRPr="00663AA1">
          <w:rPr>
            <w:rStyle w:val="Hyperlink"/>
            <w:rFonts w:ascii="Times New Roman" w:hAnsi="Times New Roman" w:cs="Times New Roman"/>
          </w:rPr>
          <w:t>https://www.legislation.gov.uk/ukpga/2015/30/contents/enacted</w:t>
        </w:r>
      </w:hyperlink>
      <w:r w:rsidR="00663AA1">
        <w:rPr>
          <w:rFonts w:ascii="Times New Roman" w:hAnsi="Times New Roman" w:cs="Times New Roman"/>
        </w:rPr>
        <w:t>.</w:t>
      </w:r>
      <w:r w:rsidRPr="00663AA1">
        <w:rPr>
          <w:rFonts w:ascii="Times New Roman" w:hAnsi="Times New Roman" w:cs="Times New Roman"/>
        </w:rPr>
        <w:t xml:space="preserve"> </w:t>
      </w:r>
    </w:p>
  </w:footnote>
  <w:footnote w:id="80">
    <w:p w14:paraId="50615B8D" w14:textId="04E1573C"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California Transparency in Supply Chains Act of 2010 </w:t>
      </w:r>
      <w:hyperlink r:id="rId15" w:history="1">
        <w:r w:rsidRPr="00663AA1">
          <w:rPr>
            <w:rStyle w:val="Hyperlink"/>
            <w:rFonts w:ascii="Times New Roman" w:hAnsi="Times New Roman" w:cs="Times New Roman"/>
          </w:rPr>
          <w:t>http://www.leginfo.ca.gov/pub/09-10/bill/sen/sb_0651-0700/sb_657_bill_20100930_chaptered.pdf</w:t>
        </w:r>
      </w:hyperlink>
      <w:r w:rsidR="00663AA1">
        <w:rPr>
          <w:rStyle w:val="Hyperlink"/>
          <w:rFonts w:ascii="Times New Roman" w:hAnsi="Times New Roman" w:cs="Times New Roman"/>
        </w:rPr>
        <w:t>.</w:t>
      </w:r>
      <w:r w:rsidRPr="00663AA1">
        <w:rPr>
          <w:rFonts w:ascii="Times New Roman" w:hAnsi="Times New Roman" w:cs="Times New Roman"/>
        </w:rPr>
        <w:t xml:space="preserve"> </w:t>
      </w:r>
    </w:p>
  </w:footnote>
  <w:footnote w:id="81">
    <w:p w14:paraId="4202190C" w14:textId="0D166128"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Nicolas Bueno and Claire Bright ‘Implementing Human Rights Due Diligence through Corporate Civil Liability’ </w:t>
      </w:r>
      <w:r w:rsidR="00CE43F1" w:rsidRPr="00663AA1">
        <w:rPr>
          <w:rFonts w:ascii="Times New Roman" w:hAnsi="Times New Roman" w:cs="Times New Roman"/>
        </w:rPr>
        <w:t xml:space="preserve">(2020)69 </w:t>
      </w:r>
      <w:r w:rsidRPr="00663AA1">
        <w:rPr>
          <w:rFonts w:ascii="Times New Roman" w:hAnsi="Times New Roman" w:cs="Times New Roman"/>
        </w:rPr>
        <w:t>ICLQ 789</w:t>
      </w:r>
      <w:r w:rsidR="00CE43F1" w:rsidRPr="00663AA1">
        <w:rPr>
          <w:rFonts w:ascii="Times New Roman" w:hAnsi="Times New Roman" w:cs="Times New Roman"/>
        </w:rPr>
        <w:t>,</w:t>
      </w:r>
      <w:r w:rsidRPr="00663AA1">
        <w:rPr>
          <w:rFonts w:ascii="Times New Roman" w:hAnsi="Times New Roman" w:cs="Times New Roman"/>
        </w:rPr>
        <w:t xml:space="preserve"> 800-806. </w:t>
      </w:r>
    </w:p>
  </w:footnote>
  <w:footnote w:id="82">
    <w:p w14:paraId="6587BF9E" w14:textId="7777777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Art. L. 225-102-4 of the French Commercial Code (French Duty of Vigilance Law)</w:t>
      </w:r>
    </w:p>
  </w:footnote>
  <w:footnote w:id="83">
    <w:p w14:paraId="23CEFD92" w14:textId="0B474882"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285326" w:rsidRPr="00663AA1">
        <w:rPr>
          <w:rFonts w:ascii="Times New Roman" w:hAnsi="Times New Roman" w:cs="Times New Roman"/>
        </w:rPr>
        <w:t>CSDDD</w:t>
      </w:r>
      <w:r w:rsidR="00285326" w:rsidRPr="00663AA1" w:rsidDel="00285326">
        <w:rPr>
          <w:rFonts w:ascii="Times New Roman" w:hAnsi="Times New Roman" w:cs="Times New Roman"/>
        </w:rPr>
        <w:t xml:space="preserve"> </w:t>
      </w:r>
      <w:r w:rsidRPr="00663AA1">
        <w:rPr>
          <w:rFonts w:ascii="Times New Roman" w:hAnsi="Times New Roman" w:cs="Times New Roman"/>
        </w:rPr>
        <w:t>(n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_Ref141965022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2</w:t>
      </w:r>
      <w:r w:rsidR="00663AA1">
        <w:rPr>
          <w:rFonts w:ascii="Times New Roman" w:hAnsi="Times New Roman" w:cs="Times New Roman"/>
        </w:rPr>
        <w:fldChar w:fldCharType="end"/>
      </w:r>
      <w:r w:rsidRPr="00663AA1">
        <w:rPr>
          <w:rFonts w:ascii="Times New Roman" w:hAnsi="Times New Roman" w:cs="Times New Roman"/>
        </w:rPr>
        <w:t xml:space="preserve">). </w:t>
      </w:r>
    </w:p>
  </w:footnote>
  <w:footnote w:id="84">
    <w:p w14:paraId="56E29677" w14:textId="7F90FDFA"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Belgian Proposal on Duty of Vigilance</w:t>
      </w:r>
      <w:r w:rsidRPr="00663AA1">
        <w:rPr>
          <w:rFonts w:ascii="Times New Roman" w:hAnsi="Times New Roman" w:cs="Times New Roman"/>
          <w:color w:val="425563"/>
          <w:spacing w:val="-3"/>
        </w:rPr>
        <w:t xml:space="preserve"> </w:t>
      </w:r>
      <w:r w:rsidRPr="00663AA1">
        <w:rPr>
          <w:rFonts w:ascii="Times New Roman" w:hAnsi="Times New Roman" w:cs="Times New Roman"/>
        </w:rPr>
        <w:t xml:space="preserve">introduced before the Belgian Chamber of Representatives in April 2021 </w:t>
      </w:r>
      <w:hyperlink r:id="rId16" w:history="1">
        <w:r w:rsidRPr="00663AA1">
          <w:rPr>
            <w:rStyle w:val="Hyperlink"/>
            <w:rFonts w:ascii="Times New Roman" w:hAnsi="Times New Roman" w:cs="Times New Roman"/>
          </w:rPr>
          <w:t>https://www.lachambre.be/FLWB/PDF/55/1903/55K1903001.pdf</w:t>
        </w:r>
      </w:hyperlink>
      <w:r w:rsidRPr="00663AA1">
        <w:rPr>
          <w:rFonts w:ascii="Times New Roman" w:hAnsi="Times New Roman" w:cs="Times New Roman"/>
        </w:rPr>
        <w:t xml:space="preserve"> . </w:t>
      </w:r>
    </w:p>
  </w:footnote>
  <w:footnote w:id="85">
    <w:p w14:paraId="4DB3378F" w14:textId="713691B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Austrian Motion for a Resolution on Supply Chain</w:t>
      </w:r>
      <w:r w:rsidRPr="00663AA1">
        <w:rPr>
          <w:rFonts w:ascii="Times New Roman" w:eastAsia="Times New Roman" w:hAnsi="Times New Roman" w:cs="Times New Roman"/>
          <w:b/>
          <w:bCs/>
          <w:color w:val="000000"/>
          <w:lang w:eastAsia="en-GB"/>
        </w:rPr>
        <w:t xml:space="preserve"> </w:t>
      </w:r>
      <w:r w:rsidRPr="00663AA1">
        <w:rPr>
          <w:rFonts w:ascii="Times New Roman" w:hAnsi="Times New Roman" w:cs="Times New Roman"/>
        </w:rPr>
        <w:t>concerning a Supply Chain Act for a social, human-rights-compliant and sustainable production methods submitted to the Austrian Parliament 25 March 2021 &lt;</w:t>
      </w:r>
      <w:hyperlink r:id="rId17" w:history="1">
        <w:r w:rsidRPr="00663AA1">
          <w:rPr>
            <w:rStyle w:val="Hyperlink"/>
            <w:rFonts w:ascii="Times New Roman" w:hAnsi="Times New Roman" w:cs="Times New Roman"/>
          </w:rPr>
          <w:t>https://www.parlament.gv.at/dokument/XXVII/A/1454/fnameorig_935996.html</w:t>
        </w:r>
      </w:hyperlink>
      <w:r w:rsidRPr="00663AA1">
        <w:rPr>
          <w:rFonts w:ascii="Times New Roman" w:hAnsi="Times New Roman" w:cs="Times New Roman"/>
        </w:rPr>
        <w:t xml:space="preserve">&gt; </w:t>
      </w:r>
    </w:p>
  </w:footnote>
  <w:footnote w:id="86">
    <w:p w14:paraId="6F674B1A" w14:textId="77777777"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Dutch Proposal on Responsible and Sustainable International Business Conduct submitted to the Dutch House of Representatives by coalition parties on 2 November 2022. </w:t>
      </w:r>
    </w:p>
  </w:footnote>
  <w:footnote w:id="87">
    <w:p w14:paraId="2175096B" w14:textId="6EE33389"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sidRPr="00663AA1">
        <w:rPr>
          <w:rFonts w:ascii="Times New Roman" w:hAnsi="Times New Roman" w:cs="Times New Roman"/>
        </w:rPr>
        <w:t>Fr</w:t>
      </w:r>
      <w:r w:rsidR="00663AA1">
        <w:rPr>
          <w:rFonts w:ascii="Times New Roman" w:hAnsi="Times New Roman" w:cs="Times New Roman"/>
        </w:rPr>
        <w:t>ance</w:t>
      </w:r>
      <w:r w:rsidR="00663AA1" w:rsidRPr="00663AA1">
        <w:rPr>
          <w:rFonts w:ascii="Times New Roman" w:hAnsi="Times New Roman" w:cs="Times New Roman"/>
        </w:rPr>
        <w:t xml:space="preserve"> </w:t>
      </w:r>
      <w:r w:rsidRPr="00663AA1">
        <w:rPr>
          <w:rFonts w:ascii="Times New Roman" w:hAnsi="Times New Roman" w:cs="Times New Roman"/>
        </w:rPr>
        <w:t>Duty of Vigilance Law</w:t>
      </w:r>
      <w:r w:rsidR="00740898" w:rsidRPr="00663AA1">
        <w:rPr>
          <w:rFonts w:ascii="Times New Roman" w:hAnsi="Times New Roman" w:cs="Times New Roman"/>
        </w:rPr>
        <w:t xml:space="preserve"> (n</w:t>
      </w:r>
      <w:r w:rsidR="00CD1C35" w:rsidRP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_Ref141965573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84</w:t>
      </w:r>
      <w:r w:rsidR="00663AA1">
        <w:rPr>
          <w:rFonts w:ascii="Times New Roman" w:hAnsi="Times New Roman" w:cs="Times New Roman"/>
        </w:rPr>
        <w:fldChar w:fldCharType="end"/>
      </w:r>
      <w:r w:rsidRPr="00663AA1">
        <w:rPr>
          <w:rFonts w:ascii="Times New Roman" w:hAnsi="Times New Roman" w:cs="Times New Roman"/>
        </w:rPr>
        <w:t>)</w:t>
      </w:r>
      <w:r w:rsidR="00663AA1">
        <w:rPr>
          <w:rFonts w:ascii="Times New Roman" w:hAnsi="Times New Roman" w:cs="Times New Roman"/>
        </w:rPr>
        <w:t>.</w:t>
      </w:r>
    </w:p>
  </w:footnote>
  <w:footnote w:id="88">
    <w:p w14:paraId="21F6FFED" w14:textId="2E99E75E"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Article 1 of the </w:t>
      </w:r>
      <w:bookmarkStart w:id="31" w:name="_Hlk130983699"/>
      <w:r w:rsidRPr="00663AA1">
        <w:rPr>
          <w:rFonts w:ascii="Times New Roman" w:hAnsi="Times New Roman" w:cs="Times New Roman"/>
        </w:rPr>
        <w:t>Art. L. 225-102-4 of the Commercial Code (French Duty of Vigilance Law)</w:t>
      </w:r>
      <w:bookmarkEnd w:id="31"/>
      <w:r w:rsidR="00CE43F1" w:rsidRPr="00663AA1">
        <w:rPr>
          <w:rFonts w:ascii="Times New Roman" w:hAnsi="Times New Roman" w:cs="Times New Roman"/>
        </w:rPr>
        <w:t>.</w:t>
      </w:r>
    </w:p>
  </w:footnote>
  <w:footnote w:id="89">
    <w:p w14:paraId="69DA99BE" w14:textId="51D1D654" w:rsidR="0076467A" w:rsidRPr="00663AA1" w:rsidRDefault="0076467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While the EU and the German versions include a fairly limited list of treaties that define the scope of ‘environmental’ and ‘human rights’ harms, the French law covers all ‘severe violations of human rights and fundamental freedoms, serious bodily injury or environmental damage or health risks’. </w:t>
      </w:r>
    </w:p>
  </w:footnote>
  <w:footnote w:id="90">
    <w:p w14:paraId="1BC4E777" w14:textId="48AB2CB1"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740898" w:rsidRPr="00663AA1">
        <w:rPr>
          <w:rFonts w:ascii="Times New Roman" w:hAnsi="Times New Roman" w:cs="Times New Roman"/>
        </w:rPr>
        <w:t>Fr</w:t>
      </w:r>
      <w:r w:rsidR="00663AA1">
        <w:rPr>
          <w:rFonts w:ascii="Times New Roman" w:hAnsi="Times New Roman" w:cs="Times New Roman"/>
        </w:rPr>
        <w:t>ance</w:t>
      </w:r>
      <w:r w:rsidR="00740898" w:rsidRPr="00663AA1">
        <w:rPr>
          <w:rFonts w:ascii="Times New Roman" w:hAnsi="Times New Roman" w:cs="Times New Roman"/>
        </w:rPr>
        <w:t xml:space="preserve"> Duty of Vigilance Law (n</w:t>
      </w:r>
      <w:r w:rsidR="00CD1C35" w:rsidRP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_Ref141965573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84</w:t>
      </w:r>
      <w:r w:rsidR="00663AA1">
        <w:rPr>
          <w:rFonts w:ascii="Times New Roman" w:hAnsi="Times New Roman" w:cs="Times New Roman"/>
        </w:rPr>
        <w:fldChar w:fldCharType="end"/>
      </w:r>
      <w:r w:rsidR="00740898" w:rsidRPr="00663AA1">
        <w:rPr>
          <w:rFonts w:ascii="Times New Roman" w:hAnsi="Times New Roman" w:cs="Times New Roman"/>
        </w:rPr>
        <w:t xml:space="preserve">), </w:t>
      </w:r>
      <w:r w:rsidRPr="00663AA1">
        <w:rPr>
          <w:rFonts w:ascii="Times New Roman" w:hAnsi="Times New Roman" w:cs="Times New Roman"/>
        </w:rPr>
        <w:t xml:space="preserve">Articles 1 and 2. </w:t>
      </w:r>
    </w:p>
  </w:footnote>
  <w:footnote w:id="91">
    <w:p w14:paraId="6BF074D4" w14:textId="02822EA4"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w:t>
      </w:r>
      <w:r w:rsidRPr="00721810">
        <w:rPr>
          <w:rFonts w:ascii="Times New Roman" w:hAnsi="Times New Roman" w:cs="Times New Roman"/>
          <w:i/>
          <w:iCs/>
        </w:rPr>
        <w:t>Friends of the Earth Paris and Others v. TotalEnergies</w:t>
      </w:r>
      <w:r w:rsidRPr="00663AA1">
        <w:rPr>
          <w:rFonts w:ascii="Times New Roman" w:hAnsi="Times New Roman" w:cs="Times New Roman"/>
        </w:rPr>
        <w:t xml:space="preserve"> SE</w:t>
      </w:r>
      <w:r w:rsidRPr="00663AA1">
        <w:rPr>
          <w:rFonts w:ascii="Times New Roman" w:hAnsi="Times New Roman" w:cs="Times New Roman"/>
          <w:kern w:val="2"/>
          <w14:ligatures w14:val="standardContextual"/>
        </w:rPr>
        <w:t xml:space="preserve"> </w:t>
      </w:r>
      <w:r w:rsidRPr="00663AA1">
        <w:rPr>
          <w:rFonts w:ascii="Times New Roman" w:hAnsi="Times New Roman" w:cs="Times New Roman"/>
        </w:rPr>
        <w:t>No. RG 22/53942 - No. Portalis 352J-W-B7G-CXB4, M No.: 2/MC,</w:t>
      </w:r>
      <w:r w:rsidRPr="00663AA1">
        <w:rPr>
          <w:rFonts w:ascii="Times New Roman" w:hAnsi="Times New Roman" w:cs="Times New Roman"/>
          <w:b/>
          <w:bCs/>
        </w:rPr>
        <w:t xml:space="preserve"> </w:t>
      </w:r>
      <w:r w:rsidR="004A33B3" w:rsidRPr="00663AA1">
        <w:rPr>
          <w:rFonts w:ascii="Times New Roman" w:hAnsi="Times New Roman" w:cs="Times New Roman"/>
        </w:rPr>
        <w:t>(Tribunal Judiciai</w:t>
      </w:r>
      <w:r w:rsidR="00E34635" w:rsidRPr="00663AA1">
        <w:rPr>
          <w:rFonts w:ascii="Times New Roman" w:hAnsi="Times New Roman" w:cs="Times New Roman"/>
        </w:rPr>
        <w:t>re</w:t>
      </w:r>
      <w:r w:rsidR="004A33B3" w:rsidRPr="00663AA1">
        <w:rPr>
          <w:rFonts w:ascii="Times New Roman" w:hAnsi="Times New Roman" w:cs="Times New Roman"/>
        </w:rPr>
        <w:t xml:space="preserve"> de </w:t>
      </w:r>
      <w:r w:rsidRPr="00663AA1">
        <w:rPr>
          <w:rFonts w:ascii="Times New Roman" w:hAnsi="Times New Roman" w:cs="Times New Roman"/>
        </w:rPr>
        <w:t>Paris</w:t>
      </w:r>
      <w:r w:rsidR="004A33B3" w:rsidRPr="00663AA1">
        <w:rPr>
          <w:rFonts w:ascii="Times New Roman" w:hAnsi="Times New Roman" w:cs="Times New Roman"/>
        </w:rPr>
        <w:t>,</w:t>
      </w:r>
      <w:r w:rsidRPr="00663AA1">
        <w:rPr>
          <w:rFonts w:ascii="Times New Roman" w:hAnsi="Times New Roman" w:cs="Times New Roman"/>
        </w:rPr>
        <w:t xml:space="preserve"> 28 February 2023</w:t>
      </w:r>
      <w:r w:rsidR="004A33B3" w:rsidRPr="00663AA1">
        <w:rPr>
          <w:rFonts w:ascii="Times New Roman" w:hAnsi="Times New Roman" w:cs="Times New Roman"/>
        </w:rPr>
        <w:t>)</w:t>
      </w:r>
      <w:r w:rsidRPr="00663AA1">
        <w:rPr>
          <w:rFonts w:ascii="Times New Roman" w:hAnsi="Times New Roman" w:cs="Times New Roman"/>
        </w:rPr>
        <w:t xml:space="preserve"> &lt;</w:t>
      </w:r>
      <w:hyperlink r:id="rId18" w:history="1">
        <w:r w:rsidRPr="00663AA1">
          <w:rPr>
            <w:rStyle w:val="Hyperlink"/>
            <w:rFonts w:ascii="Times New Roman" w:hAnsi="Times New Roman" w:cs="Times New Roman"/>
          </w:rPr>
          <w:t>https://www.amisdelaterre.org/wp-content/uploads/2023/02/decisiontj-paris-totalouganda-28fev2023.pdf</w:t>
        </w:r>
      </w:hyperlink>
      <w:r w:rsidRPr="00663AA1">
        <w:rPr>
          <w:rFonts w:ascii="Times New Roman" w:hAnsi="Times New Roman" w:cs="Times New Roman"/>
        </w:rPr>
        <w:t xml:space="preserve">&gt; accessed 24 March 2023. </w:t>
      </w:r>
    </w:p>
  </w:footnote>
  <w:footnote w:id="92">
    <w:p w14:paraId="02BED67D" w14:textId="1A44E107"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135882" w:rsidRPr="00663AA1">
        <w:rPr>
          <w:rFonts w:ascii="Times New Roman" w:hAnsi="Times New Roman" w:cs="Times New Roman"/>
        </w:rPr>
        <w:t>, 6</w:t>
      </w:r>
      <w:r w:rsidRPr="00663AA1">
        <w:rPr>
          <w:rFonts w:ascii="Times New Roman" w:hAnsi="Times New Roman" w:cs="Times New Roman"/>
        </w:rPr>
        <w:t xml:space="preserve">. </w:t>
      </w:r>
    </w:p>
  </w:footnote>
  <w:footnote w:id="93">
    <w:p w14:paraId="57EF790C" w14:textId="267F56C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F26183" w:rsidRPr="00663AA1">
        <w:rPr>
          <w:rFonts w:ascii="Times New Roman" w:hAnsi="Times New Roman" w:cs="Times New Roman"/>
        </w:rPr>
        <w:t>, 23</w:t>
      </w:r>
      <w:r w:rsidR="002E2B76" w:rsidRPr="00663AA1">
        <w:rPr>
          <w:rFonts w:ascii="Times New Roman" w:hAnsi="Times New Roman" w:cs="Times New Roman"/>
        </w:rPr>
        <w:t>.</w:t>
      </w:r>
    </w:p>
  </w:footnote>
  <w:footnote w:id="94">
    <w:p w14:paraId="1903B7F9" w14:textId="4CD9F0A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2E2B76" w:rsidRPr="00663AA1">
        <w:rPr>
          <w:rFonts w:ascii="Times New Roman" w:hAnsi="Times New Roman" w:cs="Times New Roman"/>
        </w:rPr>
        <w:t>, 19</w:t>
      </w:r>
      <w:r w:rsidRPr="00663AA1">
        <w:rPr>
          <w:rFonts w:ascii="Times New Roman" w:hAnsi="Times New Roman" w:cs="Times New Roman"/>
        </w:rPr>
        <w:t>.</w:t>
      </w:r>
    </w:p>
  </w:footnote>
  <w:footnote w:id="95">
    <w:p w14:paraId="3EB5938A" w14:textId="1E440375"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206B48" w:rsidRPr="00663AA1">
        <w:rPr>
          <w:rFonts w:ascii="Times New Roman" w:hAnsi="Times New Roman" w:cs="Times New Roman"/>
        </w:rPr>
        <w:t>, 20</w:t>
      </w:r>
      <w:r w:rsidRPr="00663AA1">
        <w:rPr>
          <w:rFonts w:ascii="Times New Roman" w:hAnsi="Times New Roman" w:cs="Times New Roman"/>
        </w:rPr>
        <w:t xml:space="preserve">. </w:t>
      </w:r>
    </w:p>
  </w:footnote>
  <w:footnote w:id="96">
    <w:p w14:paraId="56E9E4EE" w14:textId="7777777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w:t>
      </w:r>
    </w:p>
  </w:footnote>
  <w:footnote w:id="97">
    <w:p w14:paraId="058E3F2B" w14:textId="349C1F67" w:rsidR="00206B48" w:rsidRPr="00663AA1" w:rsidRDefault="00206B48" w:rsidP="005D0500">
      <w:pPr>
        <w:pStyle w:val="FootnoteText"/>
        <w:rPr>
          <w:rFonts w:ascii="Times New Roman" w:hAnsi="Times New Roman" w:cs="Times New Roman"/>
        </w:rPr>
      </w:pPr>
    </w:p>
  </w:footnote>
  <w:footnote w:id="98">
    <w:p w14:paraId="41437238" w14:textId="0FF18D2C" w:rsidR="00CD1C35" w:rsidRPr="00663AA1" w:rsidRDefault="00CD1C35">
      <w:pPr>
        <w:pStyle w:val="FootnoteText"/>
      </w:pPr>
      <w:r w:rsidRPr="00663AA1">
        <w:rPr>
          <w:rStyle w:val="FootnoteReference"/>
        </w:rPr>
        <w:footnoteRef/>
      </w:r>
      <w:r w:rsidRPr="00663AA1">
        <w:t xml:space="preserve"> </w:t>
      </w:r>
      <w:r w:rsidR="00663AA1" w:rsidRPr="00663AA1">
        <w:rPr>
          <w:rFonts w:ascii="Times New Roman" w:hAnsi="Times New Roman" w:cs="Times New Roman"/>
        </w:rPr>
        <w:t>Yenkong Ngangjoh-Hodu, Tarcisio Gazzini, Avidan Kent, Kristian Siikavirta &amp; Parveen Morris, ‘The Proposed EU Corporate Sustainability Due Diligence Directive and its Impact on LDCs’ (Finnish Ministry of Foreign Affairs, 2023)</w:t>
      </w:r>
      <w:r w:rsidR="00663AA1">
        <w:rPr>
          <w:rFonts w:ascii="Times New Roman" w:hAnsi="Times New Roman" w:cs="Times New Roman"/>
        </w:rPr>
        <w:t xml:space="preserve">, </w:t>
      </w:r>
      <w:r w:rsidR="001F0D24" w:rsidRPr="00663AA1">
        <w:rPr>
          <w:rFonts w:ascii="Times New Roman" w:hAnsi="Times New Roman" w:cs="Times New Roman"/>
        </w:rPr>
        <w:t>90.</w:t>
      </w:r>
    </w:p>
  </w:footnote>
  <w:footnote w:id="99">
    <w:p w14:paraId="164D2F2A" w14:textId="59D881FD" w:rsidR="002B1BE0" w:rsidRPr="00663AA1" w:rsidRDefault="002B1BE0" w:rsidP="002B1BE0">
      <w:pPr>
        <w:pStyle w:val="FootnoteText"/>
      </w:pPr>
      <w:r w:rsidRPr="00663AA1">
        <w:rPr>
          <w:rStyle w:val="FootnoteReference"/>
        </w:rPr>
        <w:footnoteRef/>
      </w:r>
      <w:r w:rsidRPr="00663AA1">
        <w:t xml:space="preserve"> </w:t>
      </w:r>
      <w:r w:rsidRPr="00663AA1">
        <w:rPr>
          <w:rFonts w:ascii="Times New Roman" w:hAnsi="Times New Roman" w:cs="Times New Roman"/>
        </w:rPr>
        <w:t>Yenkong Ngangjoh-Hodu et al (n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_Ref141965955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100</w:t>
      </w:r>
      <w:r w:rsidR="00663AA1">
        <w:rPr>
          <w:rFonts w:ascii="Times New Roman" w:hAnsi="Times New Roman" w:cs="Times New Roman"/>
        </w:rPr>
        <w:fldChar w:fldCharType="end"/>
      </w:r>
      <w:r w:rsidR="00663AA1">
        <w:rPr>
          <w:rFonts w:ascii="Times New Roman" w:hAnsi="Times New Roman" w:cs="Times New Roman"/>
        </w:rPr>
        <w:t>)</w:t>
      </w:r>
      <w:r w:rsidRPr="00663AA1">
        <w:rPr>
          <w:rFonts w:ascii="Times New Roman" w:hAnsi="Times New Roman" w:cs="Times New Roman"/>
        </w:rPr>
        <w:t>, notably chapter 4 (Environment and Climate Change).</w:t>
      </w:r>
    </w:p>
  </w:footnote>
  <w:footnote w:id="100">
    <w:p w14:paraId="0FCA0392" w14:textId="04524C16" w:rsidR="00391901" w:rsidRPr="00721810" w:rsidRDefault="00391901" w:rsidP="005D0500">
      <w:pPr>
        <w:pStyle w:val="FootnoteText"/>
        <w:rPr>
          <w:rFonts w:ascii="Times New Roman" w:hAnsi="Times New Roman" w:cs="Times New Roman"/>
        </w:rPr>
      </w:pPr>
      <w:r w:rsidRPr="00721810">
        <w:rPr>
          <w:rStyle w:val="FootnoteReference"/>
          <w:rFonts w:ascii="Times New Roman" w:hAnsi="Times New Roman" w:cs="Times New Roman"/>
        </w:rPr>
        <w:footnoteRef/>
      </w:r>
      <w:r w:rsidRPr="00663AA1">
        <w:rPr>
          <w:rFonts w:ascii="Times New Roman" w:hAnsi="Times New Roman" w:cs="Times New Roman"/>
        </w:rPr>
        <w:t xml:space="preserve"> </w:t>
      </w:r>
      <w:r w:rsidR="00E23DA7" w:rsidRPr="00721810">
        <w:rPr>
          <w:rFonts w:ascii="Times New Roman" w:hAnsi="Times New Roman" w:cs="Times New Roman"/>
          <w:i/>
          <w:iCs/>
        </w:rPr>
        <w:t>Vedanta Resources Plc and another v Lungowe and others</w:t>
      </w:r>
      <w:r w:rsidR="00E23DA7" w:rsidRPr="00663AA1">
        <w:rPr>
          <w:rFonts w:ascii="Times New Roman" w:hAnsi="Times New Roman" w:cs="Times New Roman"/>
        </w:rPr>
        <w:t xml:space="preserve"> [2019] UKSC 20 (UK Supreme Court</w:t>
      </w:r>
      <w:r w:rsidR="00E23DA7" w:rsidRPr="00721810">
        <w:rPr>
          <w:rFonts w:ascii="Times New Roman" w:hAnsi="Times New Roman" w:cs="Times New Roman"/>
        </w:rPr>
        <w:t xml:space="preserve">) </w:t>
      </w:r>
      <w:r w:rsidR="0015243B" w:rsidRPr="00721810">
        <w:rPr>
          <w:rFonts w:ascii="Times New Roman" w:hAnsi="Times New Roman" w:cs="Times New Roman"/>
        </w:rPr>
        <w:t xml:space="preserve">and </w:t>
      </w:r>
      <w:r w:rsidR="0015243B" w:rsidRPr="00721810">
        <w:rPr>
          <w:rFonts w:ascii="Times New Roman" w:hAnsi="Times New Roman" w:cs="Times New Roman"/>
          <w:i/>
          <w:iCs/>
        </w:rPr>
        <w:t>Okpabi and others v Royal Dutch Shell</w:t>
      </w:r>
      <w:r w:rsidR="0015243B" w:rsidRPr="00721810">
        <w:rPr>
          <w:rFonts w:ascii="Times New Roman" w:hAnsi="Times New Roman" w:cs="Times New Roman"/>
        </w:rPr>
        <w:t xml:space="preserve"> </w:t>
      </w:r>
      <w:r w:rsidR="0015243B" w:rsidRPr="00663AA1">
        <w:rPr>
          <w:rFonts w:ascii="Times New Roman" w:hAnsi="Times New Roman" w:cs="Times New Roman"/>
        </w:rPr>
        <w:t>[2021] UKSC 3 (UK Supreme Court).</w:t>
      </w:r>
    </w:p>
  </w:footnote>
  <w:footnote w:id="101">
    <w:p w14:paraId="3083B4A2" w14:textId="6C73EE53" w:rsidR="00E23DA7" w:rsidRPr="00663AA1" w:rsidRDefault="00E23DA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527AAC" w:rsidRPr="00663AA1">
        <w:rPr>
          <w:rFonts w:ascii="Times New Roman" w:hAnsi="Times New Roman" w:cs="Times New Roman"/>
        </w:rPr>
        <w:t xml:space="preserve">Ibid </w:t>
      </w:r>
      <w:r w:rsidR="0015243B" w:rsidRPr="00663AA1">
        <w:rPr>
          <w:rFonts w:ascii="Times New Roman" w:hAnsi="Times New Roman" w:cs="Times New Roman"/>
        </w:rPr>
        <w:t>(</w:t>
      </w:r>
      <w:r w:rsidR="0015243B" w:rsidRPr="00721810">
        <w:rPr>
          <w:rFonts w:ascii="Times New Roman" w:hAnsi="Times New Roman" w:cs="Times New Roman"/>
          <w:i/>
          <w:iCs/>
        </w:rPr>
        <w:t>Vedanta Resources</w:t>
      </w:r>
      <w:r w:rsidR="0015243B" w:rsidRPr="00663AA1">
        <w:rPr>
          <w:rFonts w:ascii="Times New Roman" w:hAnsi="Times New Roman" w:cs="Times New Roman"/>
        </w:rPr>
        <w:t xml:space="preserve">) </w:t>
      </w:r>
      <w:r w:rsidR="00527AAC" w:rsidRPr="00663AA1">
        <w:rPr>
          <w:rFonts w:ascii="Times New Roman" w:hAnsi="Times New Roman" w:cs="Times New Roman"/>
        </w:rPr>
        <w:t>at para</w:t>
      </w:r>
      <w:r w:rsidR="00F47108" w:rsidRPr="00663AA1">
        <w:rPr>
          <w:rFonts w:ascii="Times New Roman" w:hAnsi="Times New Roman" w:cs="Times New Roman"/>
        </w:rPr>
        <w:t>.</w:t>
      </w:r>
      <w:r w:rsidR="00393F56" w:rsidRPr="00663AA1">
        <w:rPr>
          <w:rFonts w:ascii="Times New Roman" w:hAnsi="Times New Roman" w:cs="Times New Roman"/>
        </w:rPr>
        <w:t xml:space="preserve"> 95</w:t>
      </w:r>
      <w:r w:rsidR="00527AAC" w:rsidRPr="00663AA1">
        <w:rPr>
          <w:rFonts w:ascii="Times New Roman" w:hAnsi="Times New Roman" w:cs="Times New Roman"/>
        </w:rPr>
        <w:t xml:space="preserve">.  </w:t>
      </w:r>
    </w:p>
  </w:footnote>
  <w:footnote w:id="102">
    <w:p w14:paraId="4F455183" w14:textId="684E6783" w:rsidR="008F09F0" w:rsidRPr="00663AA1" w:rsidRDefault="008F09F0"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5A6E73" w:rsidRPr="00663AA1">
        <w:rPr>
          <w:rFonts w:ascii="Times New Roman" w:hAnsi="Times New Roman" w:cs="Times New Roman"/>
        </w:rPr>
        <w:t xml:space="preserve">Ibid </w:t>
      </w:r>
      <w:r w:rsidRPr="00663AA1">
        <w:rPr>
          <w:rFonts w:ascii="Times New Roman" w:hAnsi="Times New Roman" w:cs="Times New Roman"/>
        </w:rPr>
        <w:t>at para.</w:t>
      </w:r>
      <w:r w:rsidR="00D81C90" w:rsidRPr="00663AA1">
        <w:rPr>
          <w:rFonts w:ascii="Times New Roman" w:hAnsi="Times New Roman" w:cs="Times New Roman"/>
        </w:rPr>
        <w:t xml:space="preserve"> 1</w:t>
      </w:r>
      <w:r w:rsidR="00B54551" w:rsidRPr="00663AA1">
        <w:rPr>
          <w:rFonts w:ascii="Times New Roman" w:hAnsi="Times New Roman" w:cs="Times New Roman"/>
        </w:rPr>
        <w:t>.</w:t>
      </w:r>
    </w:p>
  </w:footnote>
  <w:footnote w:id="103">
    <w:p w14:paraId="6882B48B" w14:textId="2915C4A9" w:rsidR="00E61EC0" w:rsidRPr="00663AA1" w:rsidRDefault="00E61EC0"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721810">
        <w:rPr>
          <w:rFonts w:ascii="Times New Roman" w:hAnsi="Times New Roman" w:cs="Times New Roman"/>
          <w:i/>
          <w:iCs/>
        </w:rPr>
        <w:t>Nevsun Resources Ltd v Araya</w:t>
      </w:r>
      <w:r w:rsidRPr="00663AA1">
        <w:rPr>
          <w:rFonts w:ascii="Times New Roman" w:hAnsi="Times New Roman" w:cs="Times New Roman"/>
        </w:rPr>
        <w:t>, 2020 SCC 5 (Supreme Court of Canada)</w:t>
      </w:r>
      <w:r w:rsidR="00E16936" w:rsidRPr="00721810">
        <w:rPr>
          <w:rFonts w:ascii="Times New Roman" w:hAnsi="Times New Roman" w:cs="Times New Roman"/>
        </w:rPr>
        <w:t xml:space="preserve"> at </w:t>
      </w:r>
      <w:r w:rsidR="00E16936" w:rsidRPr="00663AA1">
        <w:rPr>
          <w:rFonts w:ascii="Times New Roman" w:hAnsi="Times New Roman" w:cs="Times New Roman"/>
        </w:rPr>
        <w:t>para. 105-112</w:t>
      </w:r>
      <w:r w:rsidR="00BD7626" w:rsidRPr="00663AA1">
        <w:rPr>
          <w:rFonts w:ascii="Times New Roman" w:hAnsi="Times New Roman" w:cs="Times New Roman"/>
        </w:rPr>
        <w:t>; See also, Barnali</w:t>
      </w:r>
      <w:r w:rsidR="00663AA1">
        <w:rPr>
          <w:rFonts w:ascii="Times New Roman" w:hAnsi="Times New Roman" w:cs="Times New Roman"/>
        </w:rPr>
        <w:t xml:space="preserve"> </w:t>
      </w:r>
      <w:r w:rsidR="00663AA1" w:rsidRPr="00663AA1">
        <w:rPr>
          <w:rFonts w:ascii="Times New Roman" w:hAnsi="Times New Roman" w:cs="Times New Roman"/>
        </w:rPr>
        <w:t>Choudhury</w:t>
      </w:r>
      <w:r w:rsidR="00663AA1">
        <w:rPr>
          <w:rFonts w:ascii="Times New Roman" w:hAnsi="Times New Roman" w:cs="Times New Roman"/>
        </w:rPr>
        <w:t>,</w:t>
      </w:r>
      <w:r w:rsidR="00BD7626" w:rsidRPr="00663AA1">
        <w:rPr>
          <w:rFonts w:ascii="Times New Roman" w:hAnsi="Times New Roman" w:cs="Times New Roman"/>
        </w:rPr>
        <w:t xml:space="preserve"> </w:t>
      </w:r>
      <w:r w:rsidR="00663AA1">
        <w:rPr>
          <w:rFonts w:ascii="Times New Roman" w:hAnsi="Times New Roman" w:cs="Times New Roman"/>
        </w:rPr>
        <w:t>‘</w:t>
      </w:r>
      <w:r w:rsidR="00BD7626" w:rsidRPr="00663AA1">
        <w:rPr>
          <w:rFonts w:ascii="Times New Roman" w:hAnsi="Times New Roman" w:cs="Times New Roman"/>
        </w:rPr>
        <w:t>Enforcing International Human Rights Law Against Corporations</w:t>
      </w:r>
      <w:r w:rsidR="00663AA1">
        <w:rPr>
          <w:rFonts w:ascii="Times New Roman" w:hAnsi="Times New Roman" w:cs="Times New Roman"/>
        </w:rPr>
        <w:t>’</w:t>
      </w:r>
      <w:r w:rsidR="00BD7626" w:rsidRPr="00663AA1">
        <w:rPr>
          <w:rFonts w:ascii="Times New Roman" w:hAnsi="Times New Roman" w:cs="Times New Roman"/>
        </w:rPr>
        <w:t xml:space="preserve"> (July 26, 2023) available at SSRN: </w:t>
      </w:r>
      <w:hyperlink r:id="rId19" w:tgtFrame="_blank" w:history="1">
        <w:r w:rsidR="00BD7626" w:rsidRPr="00663AA1">
          <w:rPr>
            <w:rStyle w:val="Hyperlink"/>
            <w:rFonts w:ascii="Times New Roman" w:hAnsi="Times New Roman" w:cs="Times New Roman"/>
          </w:rPr>
          <w:t>https://ssrn.com/abstract=4522094</w:t>
        </w:r>
      </w:hyperlink>
    </w:p>
  </w:footnote>
  <w:footnote w:id="104">
    <w:p w14:paraId="32045236" w14:textId="4326486F" w:rsidR="00951818" w:rsidRPr="00663AA1" w:rsidRDefault="00951818"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w:t>
      </w:r>
      <w:r w:rsidR="00F47108" w:rsidRPr="00663AA1">
        <w:rPr>
          <w:rFonts w:ascii="Times New Roman" w:hAnsi="Times New Roman" w:cs="Times New Roman"/>
        </w:rPr>
        <w:t>(</w:t>
      </w:r>
      <w:r w:rsidR="00F47108" w:rsidRPr="00721810">
        <w:rPr>
          <w:rFonts w:ascii="Times New Roman" w:hAnsi="Times New Roman" w:cs="Times New Roman"/>
          <w:i/>
          <w:iCs/>
        </w:rPr>
        <w:t>Nevsun Resources</w:t>
      </w:r>
      <w:r w:rsidR="00F47108" w:rsidRPr="00663AA1">
        <w:rPr>
          <w:rFonts w:ascii="Times New Roman" w:hAnsi="Times New Roman" w:cs="Times New Roman"/>
        </w:rPr>
        <w:t xml:space="preserve">) </w:t>
      </w:r>
      <w:r w:rsidRPr="00663AA1">
        <w:rPr>
          <w:rFonts w:ascii="Times New Roman" w:hAnsi="Times New Roman" w:cs="Times New Roman"/>
        </w:rPr>
        <w:t>para</w:t>
      </w:r>
      <w:r w:rsidR="00663AA1">
        <w:rPr>
          <w:rFonts w:ascii="Times New Roman" w:hAnsi="Times New Roman" w:cs="Times New Roman"/>
        </w:rPr>
        <w:t>s</w:t>
      </w:r>
      <w:r w:rsidRPr="00663AA1">
        <w:rPr>
          <w:rFonts w:ascii="Times New Roman" w:hAnsi="Times New Roman" w:cs="Times New Roman"/>
        </w:rPr>
        <w:t xml:space="preserve"> 11-13.</w:t>
      </w:r>
    </w:p>
  </w:footnote>
  <w:footnote w:id="105">
    <w:p w14:paraId="6024080F" w14:textId="1F4D4CD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Surya Deva ‘Mandatory human rights due diligence laws in Europe: A mirage for rightsholders?’</w:t>
      </w:r>
      <w:r w:rsidR="00EA390D" w:rsidRPr="00663AA1">
        <w:rPr>
          <w:rFonts w:ascii="Times New Roman" w:hAnsi="Times New Roman" w:cs="Times New Roman"/>
        </w:rPr>
        <w:t xml:space="preserve"> (2023)</w:t>
      </w:r>
      <w:r w:rsidRPr="00663AA1">
        <w:rPr>
          <w:rFonts w:ascii="Times New Roman" w:hAnsi="Times New Roman" w:cs="Times New Roman"/>
        </w:rPr>
        <w:t xml:space="preserve"> Leiden Journal of International Law</w:t>
      </w:r>
      <w:r w:rsidR="00EA390D" w:rsidRPr="00663AA1">
        <w:rPr>
          <w:rFonts w:ascii="Times New Roman" w:hAnsi="Times New Roman" w:cs="Times New Roman"/>
        </w:rPr>
        <w:t xml:space="preserve">, </w:t>
      </w:r>
      <w:r w:rsidRPr="00663AA1">
        <w:rPr>
          <w:rFonts w:ascii="Times New Roman" w:hAnsi="Times New Roman" w:cs="Times New Roman"/>
        </w:rPr>
        <w:t xml:space="preserve">19. See generally Elsa Savourey and Stéphane Brabant ‘The French Law on the Duty of Vigilance: Theoretical and Practical Challenges Since its Adoption’ </w:t>
      </w:r>
      <w:r w:rsidR="00EA390D" w:rsidRPr="00663AA1">
        <w:rPr>
          <w:rFonts w:ascii="Times New Roman" w:hAnsi="Times New Roman" w:cs="Times New Roman"/>
        </w:rPr>
        <w:t xml:space="preserve">(2021)6 </w:t>
      </w:r>
      <w:r w:rsidRPr="00663AA1">
        <w:rPr>
          <w:rFonts w:ascii="Times New Roman" w:hAnsi="Times New Roman" w:cs="Times New Roman"/>
        </w:rPr>
        <w:t xml:space="preserve">Business and Human Rights Journal 141–152. </w:t>
      </w:r>
    </w:p>
  </w:footnote>
  <w:footnote w:id="106">
    <w:p w14:paraId="615619DD" w14:textId="77777777" w:rsidR="00B66A19" w:rsidRPr="00663AA1" w:rsidRDefault="00B66A19"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 </w:t>
      </w:r>
    </w:p>
  </w:footnote>
  <w:footnote w:id="107">
    <w:p w14:paraId="6E641324" w14:textId="76C2A86F" w:rsidR="00B66A19" w:rsidRPr="00663AA1" w:rsidRDefault="00B66A19"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Emilie Vasseur</w:t>
      </w:r>
      <w:r w:rsidR="00C3370E" w:rsidRPr="00663AA1">
        <w:rPr>
          <w:rFonts w:ascii="Times New Roman" w:hAnsi="Times New Roman" w:cs="Times New Roman"/>
        </w:rPr>
        <w:t xml:space="preserve"> et al. </w:t>
      </w:r>
      <w:r w:rsidRPr="00663AA1">
        <w:rPr>
          <w:rFonts w:ascii="Times New Roman" w:hAnsi="Times New Roman" w:cs="Times New Roman"/>
        </w:rPr>
        <w:t xml:space="preserve">‘Business and Human Rights: first French case-law on the Duty of Vigilance – judges adopt a cautious approach to avoid judicial interference in corporate management’ Mayer Brown, 14 March 2023 &lt; </w:t>
      </w:r>
      <w:hyperlink r:id="rId20" w:history="1">
        <w:r w:rsidRPr="00663AA1">
          <w:rPr>
            <w:rStyle w:val="Hyperlink"/>
            <w:rFonts w:ascii="Times New Roman" w:hAnsi="Times New Roman" w:cs="Times New Roman"/>
          </w:rPr>
          <w:t>https://www.eyeonesg.com/2023/03/business-and-human-rights-first-french-case-law-on-the-duty-of-vigilance-judges-adopt-a-cautious-approach-to-avoid-judicial-interference-in-corporate-management/</w:t>
        </w:r>
      </w:hyperlink>
      <w:r w:rsidRPr="00663AA1">
        <w:rPr>
          <w:rFonts w:ascii="Times New Roman" w:hAnsi="Times New Roman" w:cs="Times New Roman"/>
        </w:rPr>
        <w:t xml:space="preserve">&gt; accessed 24 March 2023. </w:t>
      </w:r>
    </w:p>
  </w:footnote>
  <w:footnote w:id="108">
    <w:p w14:paraId="20C8CA8C" w14:textId="3DA4AD44" w:rsidR="00074DBB" w:rsidRPr="00663AA1" w:rsidRDefault="00074DB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C3370E" w:rsidRPr="00663AA1">
        <w:rPr>
          <w:rFonts w:ascii="Times New Roman" w:hAnsi="Times New Roman" w:cs="Times New Roman"/>
        </w:rPr>
        <w:t xml:space="preserve">CSDDD </w:t>
      </w:r>
      <w:r w:rsidRPr="00663AA1">
        <w:rPr>
          <w:rFonts w:ascii="Times New Roman" w:hAnsi="Times New Roman" w:cs="Times New Roman"/>
        </w:rPr>
        <w:t>(n</w:t>
      </w:r>
      <w:r w:rsidR="00C3370E" w:rsidRPr="00663AA1">
        <w:rPr>
          <w:rFonts w:ascii="Times New Roman" w:hAnsi="Times New Roman" w:cs="Times New Roman"/>
        </w:rPr>
        <w:t xml:space="preserve"> </w:t>
      </w:r>
      <w:r w:rsidR="003609C9" w:rsidRPr="00663AA1">
        <w:rPr>
          <w:rFonts w:ascii="Times New Roman" w:hAnsi="Times New Roman" w:cs="Times New Roman"/>
        </w:rPr>
        <w:t>2</w:t>
      </w:r>
      <w:r w:rsidRPr="00663AA1">
        <w:rPr>
          <w:rFonts w:ascii="Times New Roman" w:hAnsi="Times New Roman" w:cs="Times New Roman"/>
        </w:rPr>
        <w:t>).</w:t>
      </w:r>
    </w:p>
  </w:footnote>
  <w:footnote w:id="109">
    <w:p w14:paraId="520F150E" w14:textId="3FA8C218" w:rsidR="00074DBB" w:rsidRPr="00663AA1" w:rsidRDefault="00074DBB"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Stephane Brabant</w:t>
      </w:r>
      <w:r w:rsidR="004C2CF4" w:rsidRPr="00663AA1">
        <w:rPr>
          <w:rFonts w:ascii="Times New Roman" w:hAnsi="Times New Roman" w:cs="Times New Roman"/>
        </w:rPr>
        <w:t xml:space="preserve"> </w:t>
      </w:r>
      <w:r w:rsidRPr="00663AA1">
        <w:rPr>
          <w:rFonts w:ascii="Times New Roman" w:hAnsi="Times New Roman" w:cs="Times New Roman"/>
        </w:rPr>
        <w:t>et</w:t>
      </w:r>
      <w:r w:rsidR="004C2CF4" w:rsidRPr="00663AA1">
        <w:rPr>
          <w:rFonts w:ascii="Times New Roman" w:hAnsi="Times New Roman" w:cs="Times New Roman"/>
        </w:rPr>
        <w:t xml:space="preserve"> </w:t>
      </w:r>
      <w:r w:rsidRPr="00663AA1">
        <w:rPr>
          <w:rFonts w:ascii="Times New Roman" w:hAnsi="Times New Roman" w:cs="Times New Roman"/>
        </w:rPr>
        <w:t>al ‘Enforcing Due Diligence Obligations the Draft Directive on Corporate Sustainability Due Diligence (Part 2)’ Verfassungsblog, March 2022.</w:t>
      </w:r>
    </w:p>
  </w:footnote>
  <w:footnote w:id="110">
    <w:p w14:paraId="27A79CC5" w14:textId="37525D8C" w:rsidR="00074DBB" w:rsidRPr="00663AA1" w:rsidRDefault="00074DBB"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hyperlink r:id="rId21" w:history="1">
        <w:r w:rsidRPr="00663AA1">
          <w:rPr>
            <w:rStyle w:val="Hyperlink"/>
            <w:rFonts w:ascii="Times New Roman" w:hAnsi="Times New Roman" w:cs="Times New Roman"/>
            <w:color w:val="000000" w:themeColor="text1"/>
            <w:u w:val="none"/>
          </w:rPr>
          <w:t>LG Dortmund</w:t>
        </w:r>
      </w:hyperlink>
      <w:r w:rsidRPr="00663AA1">
        <w:rPr>
          <w:rFonts w:ascii="Times New Roman" w:hAnsi="Times New Roman" w:cs="Times New Roman"/>
          <w:color w:val="000000" w:themeColor="text1"/>
        </w:rPr>
        <w:t xml:space="preserve">, judgment of 10.01.2019 - 7 O 95/15 </w:t>
      </w:r>
      <w:hyperlink r:id="rId22" w:history="1">
        <w:r w:rsidR="00663AA1" w:rsidRPr="00EB561D">
          <w:rPr>
            <w:rStyle w:val="Hyperlink"/>
            <w:rFonts w:ascii="Times New Roman" w:hAnsi="Times New Roman" w:cs="Times New Roman"/>
          </w:rPr>
          <w:t>https://openjur.de/u/2155292.html</w:t>
        </w:r>
      </w:hyperlink>
      <w:r w:rsidRPr="00663AA1">
        <w:rPr>
          <w:rFonts w:ascii="Times New Roman" w:hAnsi="Times New Roman" w:cs="Times New Roman"/>
          <w:color w:val="000000" w:themeColor="text1"/>
        </w:rPr>
        <w:t xml:space="preserve"> accessed 25 October 2022 mentioned in Stephane Brabant</w:t>
      </w:r>
      <w:r w:rsidR="005727C0" w:rsidRPr="00663AA1">
        <w:rPr>
          <w:rFonts w:ascii="Times New Roman" w:hAnsi="Times New Roman" w:cs="Times New Roman"/>
          <w:color w:val="000000" w:themeColor="text1"/>
        </w:rPr>
        <w:t xml:space="preserve"> et al</w:t>
      </w:r>
      <w:r w:rsidRPr="00663AA1">
        <w:rPr>
          <w:rFonts w:ascii="Times New Roman" w:hAnsi="Times New Roman" w:cs="Times New Roman"/>
          <w:color w:val="000000" w:themeColor="text1"/>
        </w:rPr>
        <w:t xml:space="preserve"> (n</w:t>
      </w:r>
      <w:r w:rsidR="00663AA1">
        <w:rPr>
          <w:rFonts w:ascii="Times New Roman" w:hAnsi="Times New Roman" w:cs="Times New Roman"/>
          <w:color w:val="000000" w:themeColor="text1"/>
        </w:rPr>
        <w:t xml:space="preserve"> </w:t>
      </w:r>
      <w:r w:rsidR="00663AA1">
        <w:rPr>
          <w:rFonts w:ascii="Times New Roman" w:hAnsi="Times New Roman" w:cs="Times New Roman"/>
          <w:color w:val="000000" w:themeColor="text1"/>
        </w:rPr>
        <w:fldChar w:fldCharType="begin"/>
      </w:r>
      <w:r w:rsidR="00663AA1">
        <w:rPr>
          <w:rFonts w:ascii="Times New Roman" w:hAnsi="Times New Roman" w:cs="Times New Roman"/>
          <w:color w:val="000000" w:themeColor="text1"/>
        </w:rPr>
        <w:instrText xml:space="preserve"> NOTEREF _Ref141965866 \h </w:instrText>
      </w:r>
      <w:r w:rsidR="00663AA1">
        <w:rPr>
          <w:rFonts w:ascii="Times New Roman" w:hAnsi="Times New Roman" w:cs="Times New Roman"/>
          <w:color w:val="000000" w:themeColor="text1"/>
        </w:rPr>
      </w:r>
      <w:r w:rsidR="00663AA1">
        <w:rPr>
          <w:rFonts w:ascii="Times New Roman" w:hAnsi="Times New Roman" w:cs="Times New Roman"/>
          <w:color w:val="000000" w:themeColor="text1"/>
        </w:rPr>
        <w:fldChar w:fldCharType="separate"/>
      </w:r>
      <w:r w:rsidR="00663AA1">
        <w:rPr>
          <w:rFonts w:ascii="Times New Roman" w:hAnsi="Times New Roman" w:cs="Times New Roman"/>
          <w:color w:val="000000" w:themeColor="text1"/>
        </w:rPr>
        <w:t>113</w:t>
      </w:r>
      <w:r w:rsidR="00663AA1">
        <w:rPr>
          <w:rFonts w:ascii="Times New Roman" w:hAnsi="Times New Roman" w:cs="Times New Roman"/>
          <w:color w:val="000000" w:themeColor="text1"/>
        </w:rPr>
        <w:fldChar w:fldCharType="end"/>
      </w:r>
      <w:r w:rsidRPr="00663AA1">
        <w:rPr>
          <w:rFonts w:ascii="Times New Roman" w:hAnsi="Times New Roman" w:cs="Times New Roman"/>
          <w:color w:val="000000" w:themeColor="text1"/>
        </w:rPr>
        <w:t xml:space="preserve">). </w:t>
      </w:r>
    </w:p>
  </w:footnote>
  <w:footnote w:id="111">
    <w:p w14:paraId="0BE31427" w14:textId="6DDB8784" w:rsidR="00555E11" w:rsidRPr="00721810" w:rsidRDefault="00555E11" w:rsidP="00721810">
      <w:pPr>
        <w:pStyle w:val="FootnoteText"/>
        <w:rPr>
          <w:rFonts w:ascii="Times New Roman" w:hAnsi="Times New Roman" w:cs="Times New Roman"/>
        </w:rPr>
      </w:pPr>
      <w:r w:rsidRPr="00721810">
        <w:rPr>
          <w:rStyle w:val="FootnoteReference"/>
          <w:rFonts w:ascii="Times New Roman" w:hAnsi="Times New Roman" w:cs="Times New Roman"/>
        </w:rPr>
        <w:footnoteRef/>
      </w:r>
      <w:r w:rsidRPr="00721810">
        <w:rPr>
          <w:rFonts w:ascii="Times New Roman" w:hAnsi="Times New Roman" w:cs="Times New Roman"/>
        </w:rPr>
        <w:t xml:space="preserve"> </w:t>
      </w:r>
      <w:r w:rsidR="00781329" w:rsidRPr="00721810">
        <w:rPr>
          <w:rFonts w:ascii="Times New Roman" w:hAnsi="Times New Roman" w:cs="Times New Roman"/>
        </w:rPr>
        <w:t>Ibid, paras 4-17</w:t>
      </w:r>
      <w:r w:rsidR="00663AA1">
        <w:rPr>
          <w:rFonts w:ascii="Times New Roman" w:hAnsi="Times New Roman" w:cs="Times New Roman"/>
        </w:rPr>
        <w:t>.</w:t>
      </w:r>
    </w:p>
  </w:footnote>
  <w:footnote w:id="112">
    <w:p w14:paraId="03E57A0F" w14:textId="61334EC5" w:rsidR="00074DBB" w:rsidRPr="00663AA1" w:rsidRDefault="00074DBB"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Ibid</w:t>
      </w:r>
      <w:r w:rsidR="00C3370E" w:rsidRPr="00663AA1">
        <w:rPr>
          <w:rFonts w:ascii="Times New Roman" w:hAnsi="Times New Roman" w:cs="Times New Roman"/>
        </w:rPr>
        <w:t>,</w:t>
      </w:r>
      <w:r w:rsidRPr="00663AA1">
        <w:rPr>
          <w:rFonts w:ascii="Times New Roman" w:hAnsi="Times New Roman" w:cs="Times New Roman"/>
        </w:rPr>
        <w:t xml:space="preserve"> para 45. </w:t>
      </w:r>
    </w:p>
  </w:footnote>
  <w:footnote w:id="113">
    <w:p w14:paraId="15883F29" w14:textId="3A508189" w:rsidR="00074DBB" w:rsidRPr="00663AA1" w:rsidRDefault="00074DBB"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Pr="00663AA1">
        <w:rPr>
          <w:rFonts w:ascii="Times New Roman" w:hAnsi="Times New Roman" w:cs="Times New Roman"/>
          <w:i/>
          <w:iCs/>
        </w:rPr>
        <w:t>Friends of the Earth France, Survie, et</w:t>
      </w:r>
      <w:r w:rsidR="00C3370E" w:rsidRPr="00663AA1">
        <w:rPr>
          <w:rFonts w:ascii="Times New Roman" w:hAnsi="Times New Roman" w:cs="Times New Roman"/>
          <w:i/>
          <w:iCs/>
        </w:rPr>
        <w:t xml:space="preserve"> </w:t>
      </w:r>
      <w:r w:rsidRPr="00663AA1">
        <w:rPr>
          <w:rFonts w:ascii="Times New Roman" w:hAnsi="Times New Roman" w:cs="Times New Roman"/>
          <w:i/>
          <w:iCs/>
        </w:rPr>
        <w:t>al v Total</w:t>
      </w:r>
      <w:r w:rsidR="00C3370E" w:rsidRPr="00663AA1">
        <w:rPr>
          <w:rFonts w:ascii="Times New Roman" w:hAnsi="Times New Roman" w:cs="Times New Roman"/>
          <w:i/>
          <w:iCs/>
        </w:rPr>
        <w:t>,</w:t>
      </w:r>
      <w:r w:rsidRPr="00663AA1">
        <w:rPr>
          <w:rFonts w:ascii="Times New Roman" w:hAnsi="Times New Roman" w:cs="Times New Roman"/>
        </w:rPr>
        <w:t xml:space="preserve"> filed in October 2019 and borders on the allegations of Total’s non-compliance with its legal obligations to prevent human rights abuses and environmental damage in the context of its Tilenga oil mega-project in Uganda; ProDESC and the </w:t>
      </w:r>
      <w:r w:rsidRPr="00663AA1">
        <w:rPr>
          <w:rFonts w:ascii="Times New Roman" w:hAnsi="Times New Roman" w:cs="Times New Roman"/>
          <w:i/>
          <w:iCs/>
        </w:rPr>
        <w:t>European Centre for Constitutional and Human Rights (ECCHR) v EDF</w:t>
      </w:r>
      <w:r w:rsidRPr="00663AA1">
        <w:rPr>
          <w:rFonts w:ascii="Times New Roman" w:hAnsi="Times New Roman" w:cs="Times New Roman"/>
        </w:rPr>
        <w:t xml:space="preserve"> filed in October 2020 and borders on alleged failure by the Respondent to comply with its duty of vigilance; </w:t>
      </w:r>
      <w:r w:rsidRPr="00663AA1">
        <w:rPr>
          <w:rFonts w:ascii="Times New Roman" w:hAnsi="Times New Roman" w:cs="Times New Roman"/>
          <w:i/>
          <w:iCs/>
        </w:rPr>
        <w:t>International Federation for Human Rights (FIDH), the French League for Human Rights (LDH) v Suez</w:t>
      </w:r>
      <w:r w:rsidRPr="00663AA1">
        <w:rPr>
          <w:rFonts w:ascii="Times New Roman" w:hAnsi="Times New Roman" w:cs="Times New Roman"/>
        </w:rPr>
        <w:t xml:space="preserve"> filed in June 2021; and </w:t>
      </w:r>
      <w:r w:rsidRPr="00663AA1">
        <w:rPr>
          <w:rFonts w:ascii="Times New Roman" w:hAnsi="Times New Roman" w:cs="Times New Roman"/>
          <w:i/>
          <w:iCs/>
        </w:rPr>
        <w:t>Notre Affaire à Tous, Sherpa, ZEA, Eco Maires and France Nature Environnement (FNE) v Total</w:t>
      </w:r>
      <w:r w:rsidRPr="00663AA1">
        <w:rPr>
          <w:rFonts w:ascii="Times New Roman" w:hAnsi="Times New Roman" w:cs="Times New Roman"/>
        </w:rPr>
        <w:t xml:space="preserve"> filed in January 2020 and is the first climate litigation case in France aimed at raising the climate ambitions of a multinational oil company; and (OPIAC, COIAB, FEPIPA and FEPOIMT), as well as French and American NGOs (Canopée, CPT, Envol Vert, Mighty Earth, Notre Affaire à Tous, France Nature Environnement and Sherpa) v Casino Group. </w:t>
      </w:r>
    </w:p>
  </w:footnote>
  <w:footnote w:id="114">
    <w:p w14:paraId="561EEC37" w14:textId="1CFD2BD2" w:rsidR="005E6121" w:rsidRPr="00663AA1" w:rsidRDefault="005E6121"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663AA1" w:rsidRPr="00663AA1">
        <w:rPr>
          <w:rFonts w:ascii="Times New Roman" w:hAnsi="Times New Roman" w:cs="Times New Roman"/>
        </w:rPr>
        <w:t>Fr</w:t>
      </w:r>
      <w:r w:rsidR="00663AA1">
        <w:rPr>
          <w:rFonts w:ascii="Times New Roman" w:hAnsi="Times New Roman" w:cs="Times New Roman"/>
        </w:rPr>
        <w:t>ance</w:t>
      </w:r>
      <w:r w:rsidR="00663AA1" w:rsidRPr="00663AA1">
        <w:rPr>
          <w:rFonts w:ascii="Times New Roman" w:hAnsi="Times New Roman" w:cs="Times New Roman"/>
        </w:rPr>
        <w:t xml:space="preserve"> </w:t>
      </w:r>
      <w:r w:rsidRPr="00663AA1">
        <w:rPr>
          <w:rFonts w:ascii="Times New Roman" w:hAnsi="Times New Roman" w:cs="Times New Roman"/>
        </w:rPr>
        <w:t xml:space="preserve">Duty of Vigilance Law </w:t>
      </w:r>
      <w:r w:rsidR="00C3370E" w:rsidRPr="00663AA1">
        <w:rPr>
          <w:rFonts w:ascii="Times New Roman" w:hAnsi="Times New Roman" w:cs="Times New Roman"/>
        </w:rPr>
        <w:t>(n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_Ref141965573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84</w:t>
      </w:r>
      <w:r w:rsidR="00663AA1">
        <w:rPr>
          <w:rFonts w:ascii="Times New Roman" w:hAnsi="Times New Roman" w:cs="Times New Roman"/>
        </w:rPr>
        <w:fldChar w:fldCharType="end"/>
      </w:r>
      <w:r w:rsidR="00C3370E" w:rsidRPr="00663AA1">
        <w:rPr>
          <w:rFonts w:ascii="Times New Roman" w:hAnsi="Times New Roman" w:cs="Times New Roman"/>
        </w:rPr>
        <w:t>)</w:t>
      </w:r>
      <w:r w:rsidRPr="00663AA1">
        <w:rPr>
          <w:rFonts w:ascii="Times New Roman" w:hAnsi="Times New Roman" w:cs="Times New Roman"/>
        </w:rPr>
        <w:t xml:space="preserve">, Art. 225-102-5. Note that although this provision on remediation has been declared unconstitutional by the French Constitutional Court, it remains part of the Law. </w:t>
      </w:r>
    </w:p>
  </w:footnote>
  <w:footnote w:id="115">
    <w:p w14:paraId="1B70ECE6" w14:textId="3786E165" w:rsidR="009267DA" w:rsidRPr="00663AA1" w:rsidRDefault="009267DA"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Lise Smit et al. ‘Study on due diligence requirements through the supply chain’ (European Commission, 2023), 68.</w:t>
      </w:r>
    </w:p>
  </w:footnote>
  <w:footnote w:id="116">
    <w:p w14:paraId="31D6682A" w14:textId="4C81ABD1" w:rsidR="00F7145B" w:rsidRPr="00663AA1" w:rsidRDefault="00F7145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00182AAB" w:rsidRPr="00663AA1">
        <w:rPr>
          <w:rFonts w:ascii="Times New Roman" w:hAnsi="Times New Roman" w:cs="Times New Roman"/>
        </w:rPr>
        <w:t xml:space="preserve">CSDDD (n </w:t>
      </w:r>
      <w:r w:rsidR="00663AA1" w:rsidRPr="00663AA1">
        <w:rPr>
          <w:rFonts w:ascii="Times New Roman" w:hAnsi="Times New Roman" w:cs="Times New Roman"/>
        </w:rPr>
        <w:fldChar w:fldCharType="begin"/>
      </w:r>
      <w:r w:rsidR="00663AA1" w:rsidRPr="00663AA1">
        <w:rPr>
          <w:rFonts w:ascii="Times New Roman" w:hAnsi="Times New Roman" w:cs="Times New Roman"/>
        </w:rPr>
        <w:instrText xml:space="preserve"> NOTEREF _Ref141965022 \h </w:instrText>
      </w:r>
      <w:r w:rsidR="00663AA1">
        <w:rPr>
          <w:rFonts w:ascii="Times New Roman" w:hAnsi="Times New Roman" w:cs="Times New Roman"/>
        </w:rPr>
        <w:instrText xml:space="preserve"> \* MERGEFORMAT </w:instrText>
      </w:r>
      <w:r w:rsidR="00663AA1" w:rsidRPr="00663AA1">
        <w:rPr>
          <w:rFonts w:ascii="Times New Roman" w:hAnsi="Times New Roman" w:cs="Times New Roman"/>
        </w:rPr>
      </w:r>
      <w:r w:rsidR="00663AA1" w:rsidRPr="00663AA1">
        <w:rPr>
          <w:rFonts w:ascii="Times New Roman" w:hAnsi="Times New Roman" w:cs="Times New Roman"/>
        </w:rPr>
        <w:fldChar w:fldCharType="separate"/>
      </w:r>
      <w:r w:rsidR="00663AA1">
        <w:rPr>
          <w:rFonts w:ascii="Times New Roman" w:hAnsi="Times New Roman" w:cs="Times New Roman"/>
        </w:rPr>
        <w:t>2</w:t>
      </w:r>
      <w:r w:rsidR="00663AA1" w:rsidRPr="00663AA1">
        <w:rPr>
          <w:rFonts w:ascii="Times New Roman" w:hAnsi="Times New Roman" w:cs="Times New Roman"/>
        </w:rPr>
        <w:fldChar w:fldCharType="end"/>
      </w:r>
      <w:r w:rsidR="00182AAB" w:rsidRPr="00663AA1">
        <w:rPr>
          <w:rFonts w:ascii="Times New Roman" w:hAnsi="Times New Roman" w:cs="Times New Roman"/>
        </w:rPr>
        <w:t>)</w:t>
      </w:r>
      <w:r w:rsidR="00062376" w:rsidRPr="00663AA1">
        <w:rPr>
          <w:rFonts w:ascii="Times New Roman" w:hAnsi="Times New Roman" w:cs="Times New Roman"/>
        </w:rPr>
        <w:t xml:space="preserve">, </w:t>
      </w:r>
      <w:r w:rsidRPr="00663AA1">
        <w:rPr>
          <w:rFonts w:ascii="Times New Roman" w:hAnsi="Times New Roman" w:cs="Times New Roman"/>
        </w:rPr>
        <w:t>Recital 61.</w:t>
      </w:r>
    </w:p>
  </w:footnote>
  <w:footnote w:id="117">
    <w:p w14:paraId="1AC82E60" w14:textId="010D2384" w:rsidR="00062376" w:rsidRPr="00663AA1" w:rsidRDefault="00062376"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182AAB" w:rsidRPr="00663AA1">
        <w:rPr>
          <w:rFonts w:ascii="Times New Roman" w:hAnsi="Times New Roman" w:cs="Times New Roman"/>
        </w:rPr>
        <w:t>European Parliament Committee on Legal Affairs, Draft report on the proposal for a directive of the European Parliament and of the Council on Corporate Sustainability Due Diligence and amending Directive (EU) 2019/1937</w:t>
      </w:r>
      <w:r w:rsidRPr="00663AA1">
        <w:rPr>
          <w:rFonts w:ascii="Times New Roman" w:hAnsi="Times New Roman" w:cs="Times New Roman"/>
        </w:rPr>
        <w:t xml:space="preserve">, </w:t>
      </w:r>
      <w:r w:rsidR="00C162BD" w:rsidRPr="00663AA1">
        <w:rPr>
          <w:rFonts w:ascii="Times New Roman" w:hAnsi="Times New Roman" w:cs="Times New Roman"/>
        </w:rPr>
        <w:t xml:space="preserve">(7 November 2022), </w:t>
      </w:r>
      <w:r w:rsidRPr="00663AA1">
        <w:rPr>
          <w:rFonts w:ascii="Times New Roman" w:hAnsi="Times New Roman" w:cs="Times New Roman"/>
        </w:rPr>
        <w:t>proposed Article 22(2)1(e).</w:t>
      </w:r>
    </w:p>
  </w:footnote>
  <w:footnote w:id="118">
    <w:p w14:paraId="20D92815" w14:textId="1D32C627" w:rsidR="00114EF4" w:rsidRPr="00663AA1" w:rsidRDefault="00114EF4"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00663AA1">
        <w:rPr>
          <w:rFonts w:ascii="Times New Roman" w:hAnsi="Times New Roman" w:cs="Times New Roman"/>
        </w:rPr>
        <w:t xml:space="preserve"> </w:t>
      </w:r>
      <w:r w:rsidR="00663AA1" w:rsidRPr="00663AA1">
        <w:rPr>
          <w:rFonts w:ascii="Times New Roman" w:hAnsi="Times New Roman" w:cs="Times New Roman"/>
        </w:rPr>
        <w:t>Yenkong Ngangjoh-Hodu et al</w:t>
      </w:r>
      <w:r w:rsidR="00663AA1">
        <w:rPr>
          <w:rFonts w:ascii="Times New Roman" w:hAnsi="Times New Roman" w:cs="Times New Roman"/>
        </w:rPr>
        <w:t xml:space="preserve"> (n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_Ref141965955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100</w:t>
      </w:r>
      <w:r w:rsidR="00663AA1">
        <w:rPr>
          <w:rFonts w:ascii="Times New Roman" w:hAnsi="Times New Roman" w:cs="Times New Roman"/>
        </w:rPr>
        <w:fldChar w:fldCharType="end"/>
      </w:r>
      <w:r w:rsidR="00663AA1">
        <w:rPr>
          <w:rFonts w:ascii="Times New Roman" w:hAnsi="Times New Roman" w:cs="Times New Roman"/>
        </w:rPr>
        <w:t>),</w:t>
      </w:r>
      <w:r w:rsidRPr="00663AA1">
        <w:rPr>
          <w:rFonts w:ascii="Times New Roman" w:hAnsi="Times New Roman" w:cs="Times New Roman"/>
        </w:rPr>
        <w:t xml:space="preserve"> </w:t>
      </w:r>
      <w:r w:rsidR="00663AA1">
        <w:rPr>
          <w:rFonts w:ascii="Times New Roman" w:hAnsi="Times New Roman" w:cs="Times New Roman"/>
        </w:rPr>
        <w:t>p</w:t>
      </w:r>
      <w:r w:rsidR="00663AA1" w:rsidRPr="00663AA1">
        <w:rPr>
          <w:rFonts w:ascii="Times New Roman" w:hAnsi="Times New Roman" w:cs="Times New Roman"/>
        </w:rPr>
        <w:t xml:space="preserve">art </w:t>
      </w:r>
      <w:r w:rsidRPr="00663AA1">
        <w:rPr>
          <w:rFonts w:ascii="Times New Roman" w:hAnsi="Times New Roman" w:cs="Times New Roman"/>
        </w:rPr>
        <w:t xml:space="preserve">7.2. </w:t>
      </w:r>
    </w:p>
  </w:footnote>
  <w:footnote w:id="119">
    <w:p w14:paraId="2800588C" w14:textId="570DA3E7" w:rsidR="00114EF4" w:rsidRPr="00663AA1" w:rsidRDefault="00114EF4"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061FC6" w:rsidRPr="00663AA1">
        <w:rPr>
          <w:rFonts w:ascii="Times New Roman" w:hAnsi="Times New Roman" w:cs="Times New Roman"/>
        </w:rPr>
        <w:t>European Parliament Committee on Legal Affairs (</w:t>
      </w:r>
      <w:r w:rsidR="00663AA1" w:rsidRPr="00663AA1">
        <w:rPr>
          <w:rFonts w:ascii="Times New Roman" w:hAnsi="Times New Roman" w:cs="Times New Roman"/>
        </w:rPr>
        <w:t>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_Ref131859214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121</w:t>
      </w:r>
      <w:r w:rsidR="00663AA1">
        <w:rPr>
          <w:rFonts w:ascii="Times New Roman" w:hAnsi="Times New Roman" w:cs="Times New Roman"/>
        </w:rPr>
        <w:fldChar w:fldCharType="end"/>
      </w:r>
      <w:r w:rsidR="00061FC6" w:rsidRPr="00663AA1">
        <w:rPr>
          <w:rFonts w:ascii="Times New Roman" w:hAnsi="Times New Roman" w:cs="Times New Roman"/>
        </w:rPr>
        <w:t>)</w:t>
      </w:r>
      <w:r w:rsidRPr="00663AA1">
        <w:rPr>
          <w:rFonts w:ascii="Times New Roman" w:hAnsi="Times New Roman" w:cs="Times New Roman"/>
        </w:rPr>
        <w:t>, proposed Article 22(2)1(d).</w:t>
      </w:r>
    </w:p>
  </w:footnote>
  <w:footnote w:id="120">
    <w:p w14:paraId="3000E656" w14:textId="4155B427" w:rsidR="00D002A7" w:rsidRPr="00663AA1" w:rsidRDefault="00D002A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Yenkong Ngangjoh-Hodu et al</w:t>
      </w:r>
      <w:r w:rsidR="00663AA1">
        <w:rPr>
          <w:rFonts w:ascii="Times New Roman" w:hAnsi="Times New Roman" w:cs="Times New Roman"/>
        </w:rPr>
        <w:t xml:space="preserve"> (n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_Ref141965955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100</w:t>
      </w:r>
      <w:r w:rsidR="00663AA1">
        <w:rPr>
          <w:rFonts w:ascii="Times New Roman" w:hAnsi="Times New Roman" w:cs="Times New Roman"/>
        </w:rPr>
        <w:fldChar w:fldCharType="end"/>
      </w:r>
      <w:r w:rsidR="00663AA1">
        <w:rPr>
          <w:rFonts w:ascii="Times New Roman" w:hAnsi="Times New Roman" w:cs="Times New Roman"/>
        </w:rPr>
        <w:t>),</w:t>
      </w:r>
      <w:r w:rsidR="00663AA1" w:rsidRPr="00663AA1">
        <w:rPr>
          <w:rFonts w:ascii="Times New Roman" w:hAnsi="Times New Roman" w:cs="Times New Roman"/>
        </w:rPr>
        <w:t xml:space="preserve"> </w:t>
      </w:r>
      <w:r w:rsidR="00663AA1">
        <w:rPr>
          <w:rFonts w:ascii="Times New Roman" w:hAnsi="Times New Roman" w:cs="Times New Roman"/>
        </w:rPr>
        <w:t>p</w:t>
      </w:r>
      <w:r w:rsidRPr="00663AA1">
        <w:rPr>
          <w:rFonts w:ascii="Times New Roman" w:hAnsi="Times New Roman" w:cs="Times New Roman"/>
        </w:rPr>
        <w:t>art 7.2.</w:t>
      </w:r>
    </w:p>
  </w:footnote>
  <w:footnote w:id="121">
    <w:p w14:paraId="2362934C" w14:textId="0FED10D7" w:rsidR="00F81E37" w:rsidRPr="00663AA1" w:rsidRDefault="00F81E3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Yenkong Ngangjoh-Hodu</w:t>
      </w:r>
      <w:r w:rsidR="00015B8D" w:rsidRPr="00663AA1">
        <w:rPr>
          <w:rFonts w:ascii="Times New Roman" w:hAnsi="Times New Roman" w:cs="Times New Roman"/>
        </w:rPr>
        <w:t xml:space="preserve"> </w:t>
      </w:r>
      <w:r w:rsidR="00C3370E" w:rsidRPr="00663AA1">
        <w:rPr>
          <w:rFonts w:ascii="Times New Roman" w:hAnsi="Times New Roman" w:cs="Times New Roman"/>
        </w:rPr>
        <w:t xml:space="preserve">et al </w:t>
      </w:r>
      <w:r w:rsidR="00015B8D" w:rsidRPr="00663AA1">
        <w:rPr>
          <w:rFonts w:ascii="Times New Roman" w:hAnsi="Times New Roman" w:cs="Times New Roman"/>
        </w:rPr>
        <w:t>(n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_Ref141965955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100</w:t>
      </w:r>
      <w:r w:rsidR="00663AA1">
        <w:rPr>
          <w:rFonts w:ascii="Times New Roman" w:hAnsi="Times New Roman" w:cs="Times New Roman"/>
        </w:rPr>
        <w:fldChar w:fldCharType="end"/>
      </w:r>
      <w:r w:rsidR="00015B8D" w:rsidRPr="00663AA1">
        <w:rPr>
          <w:rFonts w:ascii="Times New Roman" w:hAnsi="Times New Roman" w:cs="Times New Roman"/>
        </w:rPr>
        <w:t>)</w:t>
      </w:r>
      <w:r w:rsidRPr="00663AA1">
        <w:rPr>
          <w:rFonts w:ascii="Times New Roman" w:hAnsi="Times New Roman" w:cs="Times New Roman"/>
        </w:rPr>
        <w:t xml:space="preserve">, part 4.3. </w:t>
      </w:r>
    </w:p>
  </w:footnote>
  <w:footnote w:id="122">
    <w:p w14:paraId="56DC97A1" w14:textId="1CBDC3FE" w:rsidR="006E6F6B" w:rsidRPr="00663AA1" w:rsidRDefault="006E6F6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the </w:t>
      </w:r>
      <w:r w:rsidR="00061FC6" w:rsidRPr="00663AA1">
        <w:rPr>
          <w:rFonts w:ascii="Times New Roman" w:hAnsi="Times New Roman" w:cs="Times New Roman"/>
        </w:rPr>
        <w:t>European Parliament Committee on Legal Affairs (n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_Ref131859214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121</w:t>
      </w:r>
      <w:r w:rsidR="00663AA1">
        <w:rPr>
          <w:rFonts w:ascii="Times New Roman" w:hAnsi="Times New Roman" w:cs="Times New Roman"/>
        </w:rPr>
        <w:fldChar w:fldCharType="end"/>
      </w:r>
      <w:r w:rsidR="00061FC6" w:rsidRPr="00663AA1">
        <w:rPr>
          <w:rFonts w:ascii="Times New Roman" w:hAnsi="Times New Roman" w:cs="Times New Roman"/>
        </w:rPr>
        <w:t>)</w:t>
      </w:r>
      <w:r w:rsidRPr="00663AA1">
        <w:rPr>
          <w:rFonts w:ascii="Times New Roman" w:hAnsi="Times New Roman" w:cs="Times New Roman"/>
        </w:rPr>
        <w:t>, 141-142.</w:t>
      </w:r>
    </w:p>
  </w:footnote>
  <w:footnote w:id="123">
    <w:p w14:paraId="66DDD3C4" w14:textId="631AF971" w:rsidR="00A5320D" w:rsidRPr="00663AA1" w:rsidRDefault="00A5320D"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C3370E" w:rsidRPr="00663AA1">
        <w:rPr>
          <w:rFonts w:ascii="Times New Roman" w:hAnsi="Times New Roman" w:cs="Times New Roman"/>
        </w:rPr>
        <w:t xml:space="preserve">CSDDD </w:t>
      </w:r>
      <w:r w:rsidRPr="00663AA1">
        <w:rPr>
          <w:rFonts w:ascii="Times New Roman" w:hAnsi="Times New Roman" w:cs="Times New Roman"/>
        </w:rPr>
        <w:t>(n</w:t>
      </w:r>
      <w:r w:rsidR="00C3370E" w:rsidRPr="00663AA1">
        <w:rPr>
          <w:rFonts w:ascii="Times New Roman" w:hAnsi="Times New Roman" w:cs="Times New Roman"/>
        </w:rPr>
        <w:t xml:space="preserve"> </w:t>
      </w:r>
      <w:r w:rsidR="003609C9" w:rsidRPr="00663AA1">
        <w:rPr>
          <w:rFonts w:ascii="Times New Roman" w:hAnsi="Times New Roman" w:cs="Times New Roman"/>
        </w:rPr>
        <w:t>2</w:t>
      </w:r>
      <w:r w:rsidRPr="00663AA1">
        <w:rPr>
          <w:rFonts w:ascii="Times New Roman" w:hAnsi="Times New Roman" w:cs="Times New Roman"/>
        </w:rPr>
        <w:t>).</w:t>
      </w:r>
    </w:p>
  </w:footnote>
  <w:footnote w:id="124">
    <w:p w14:paraId="04A940C6" w14:textId="1CE06202" w:rsidR="00FA0C3E" w:rsidRPr="00663AA1" w:rsidRDefault="00FA0C3E"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C3370E" w:rsidRPr="00663AA1">
        <w:rPr>
          <w:rFonts w:ascii="Times New Roman" w:hAnsi="Times New Roman" w:cs="Times New Roman"/>
        </w:rPr>
        <w:t xml:space="preserve">CSDDD </w:t>
      </w:r>
      <w:r w:rsidR="00AE2AE5" w:rsidRPr="00663AA1">
        <w:rPr>
          <w:rFonts w:ascii="Times New Roman" w:hAnsi="Times New Roman" w:cs="Times New Roman"/>
        </w:rPr>
        <w:t>(n</w:t>
      </w:r>
      <w:r w:rsidR="00C3370E" w:rsidRPr="00663AA1">
        <w:rPr>
          <w:rFonts w:ascii="Times New Roman" w:hAnsi="Times New Roman" w:cs="Times New Roman"/>
        </w:rPr>
        <w:t xml:space="preserve"> </w:t>
      </w:r>
      <w:r w:rsidR="003609C9" w:rsidRPr="00663AA1">
        <w:rPr>
          <w:rFonts w:ascii="Times New Roman" w:hAnsi="Times New Roman" w:cs="Times New Roman"/>
        </w:rPr>
        <w:t>2</w:t>
      </w:r>
      <w:r w:rsidR="00AE2AE5" w:rsidRPr="00663AA1">
        <w:rPr>
          <w:rFonts w:ascii="Times New Roman" w:hAnsi="Times New Roman" w:cs="Times New Roman"/>
        </w:rPr>
        <w:t>)</w:t>
      </w:r>
      <w:r w:rsidR="00574AE4" w:rsidRPr="00663AA1">
        <w:rPr>
          <w:rFonts w:ascii="Times New Roman" w:hAnsi="Times New Roman" w:cs="Times New Roman"/>
        </w:rPr>
        <w:t>.</w:t>
      </w:r>
    </w:p>
  </w:footnote>
  <w:footnote w:id="125">
    <w:p w14:paraId="6ED9C48E" w14:textId="5E124267" w:rsidR="000D3904" w:rsidRPr="00663AA1" w:rsidRDefault="000D3904"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4F2BDC" w:rsidRPr="00663AA1">
        <w:rPr>
          <w:rFonts w:ascii="Times New Roman" w:hAnsi="Times New Roman" w:cs="Times New Roman"/>
        </w:rPr>
        <w:t>Shift ‘The EU Commission’s Proposal for a Corporate Sustainability Due Diligence Directive: Shift’s Analysis’</w:t>
      </w:r>
      <w:r w:rsidR="008247C4" w:rsidRPr="00663AA1">
        <w:rPr>
          <w:rFonts w:ascii="Times New Roman" w:hAnsi="Times New Roman" w:cs="Times New Roman"/>
        </w:rPr>
        <w:t xml:space="preserve"> </w:t>
      </w:r>
      <w:r w:rsidR="00C3370E" w:rsidRPr="00663AA1">
        <w:rPr>
          <w:rFonts w:ascii="Times New Roman" w:hAnsi="Times New Roman" w:cs="Times New Roman"/>
        </w:rPr>
        <w:t>(</w:t>
      </w:r>
      <w:r w:rsidR="008247C4" w:rsidRPr="00663AA1">
        <w:rPr>
          <w:rFonts w:ascii="Times New Roman" w:hAnsi="Times New Roman" w:cs="Times New Roman"/>
        </w:rPr>
        <w:t>2022</w:t>
      </w:r>
      <w:r w:rsidR="00C3370E" w:rsidRPr="00663AA1">
        <w:rPr>
          <w:rFonts w:ascii="Times New Roman" w:hAnsi="Times New Roman" w:cs="Times New Roman"/>
        </w:rPr>
        <w:t xml:space="preserve">) </w:t>
      </w:r>
      <w:hyperlink r:id="rId23" w:history="1">
        <w:r w:rsidR="00061FC6" w:rsidRPr="00663AA1">
          <w:rPr>
            <w:rStyle w:val="Hyperlink"/>
            <w:rFonts w:ascii="Times New Roman" w:hAnsi="Times New Roman" w:cs="Times New Roman"/>
          </w:rPr>
          <w:t>https://shiftproject.org/resource/eu-csdd-proposal/shifts-analysis/</w:t>
        </w:r>
      </w:hyperlink>
      <w:r w:rsidR="00061FC6" w:rsidRPr="00663AA1">
        <w:rPr>
          <w:rFonts w:ascii="Times New Roman" w:hAnsi="Times New Roman" w:cs="Times New Roman"/>
        </w:rPr>
        <w:t xml:space="preserve">, </w:t>
      </w:r>
      <w:r w:rsidR="00B50147" w:rsidRPr="00663AA1">
        <w:rPr>
          <w:rFonts w:ascii="Times New Roman" w:hAnsi="Times New Roman" w:cs="Times New Roman"/>
        </w:rPr>
        <w:t>4</w:t>
      </w:r>
      <w:r w:rsidR="00DD4400" w:rsidRPr="00663AA1">
        <w:rPr>
          <w:rFonts w:ascii="Times New Roman" w:hAnsi="Times New Roman" w:cs="Times New Roman"/>
        </w:rPr>
        <w:t>-6</w:t>
      </w:r>
      <w:r w:rsidR="00B50147" w:rsidRPr="00663AA1">
        <w:rPr>
          <w:rFonts w:ascii="Times New Roman" w:hAnsi="Times New Roman" w:cs="Times New Roman"/>
        </w:rPr>
        <w:t>.</w:t>
      </w:r>
    </w:p>
  </w:footnote>
  <w:footnote w:id="126">
    <w:p w14:paraId="1CA47C92" w14:textId="1D09DB2A" w:rsidR="00DA3DEB" w:rsidRPr="00663AA1" w:rsidRDefault="00DA3DEB"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Gabrielle Holly et al, </w:t>
      </w:r>
      <w:r w:rsidRPr="00663AA1">
        <w:rPr>
          <w:rFonts w:ascii="Times New Roman" w:hAnsi="Times New Roman" w:cs="Times New Roman"/>
          <w:i/>
          <w:iCs/>
        </w:rPr>
        <w:t>Legislating for impact: Analysis of the proposed EU corporate sustainability due diligence directive</w:t>
      </w:r>
      <w:r w:rsidRPr="00663AA1">
        <w:rPr>
          <w:rFonts w:ascii="Times New Roman" w:hAnsi="Times New Roman" w:cs="Times New Roman"/>
        </w:rPr>
        <w:t xml:space="preserve"> (2022) at https://www.humanrights.dk/publications/ legislating-impact-analysis-proposed-eu-corporate-sustainability-due-diligence</w:t>
      </w:r>
      <w:r w:rsidR="009517F0" w:rsidRPr="00663AA1">
        <w:rPr>
          <w:rFonts w:ascii="Times New Roman" w:hAnsi="Times New Roman" w:cs="Times New Roman"/>
        </w:rPr>
        <w:t xml:space="preserve">. </w:t>
      </w:r>
    </w:p>
  </w:footnote>
  <w:footnote w:id="127">
    <w:p w14:paraId="46E0E300" w14:textId="2CA407DF" w:rsidR="00391807" w:rsidRPr="00663AA1" w:rsidRDefault="0039180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w:t>
      </w:r>
      <w:r w:rsidR="000C458F" w:rsidRPr="00663AA1">
        <w:rPr>
          <w:rFonts w:ascii="Times New Roman" w:hAnsi="Times New Roman" w:cs="Times New Roman"/>
        </w:rPr>
        <w:t>Shift (n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_Ref141966131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130</w:t>
      </w:r>
      <w:r w:rsidR="00663AA1">
        <w:rPr>
          <w:rFonts w:ascii="Times New Roman" w:hAnsi="Times New Roman" w:cs="Times New Roman"/>
        </w:rPr>
        <w:fldChar w:fldCharType="end"/>
      </w:r>
      <w:r w:rsidR="000C458F" w:rsidRPr="00663AA1">
        <w:rPr>
          <w:rFonts w:ascii="Times New Roman" w:hAnsi="Times New Roman" w:cs="Times New Roman"/>
        </w:rPr>
        <w:t xml:space="preserve">), </w:t>
      </w:r>
      <w:r w:rsidR="007D388C" w:rsidRPr="00663AA1">
        <w:rPr>
          <w:rFonts w:ascii="Times New Roman" w:hAnsi="Times New Roman" w:cs="Times New Roman"/>
        </w:rPr>
        <w:t xml:space="preserve">6. </w:t>
      </w:r>
    </w:p>
  </w:footnote>
  <w:footnote w:id="128">
    <w:p w14:paraId="63BE73B2" w14:textId="479A1237" w:rsidR="000660F0" w:rsidRPr="00663AA1" w:rsidRDefault="000660F0"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00061FC6" w:rsidRPr="00663AA1">
        <w:rPr>
          <w:rFonts w:ascii="Times New Roman" w:hAnsi="Times New Roman" w:cs="Times New Roman"/>
        </w:rPr>
        <w:t xml:space="preserve"> United Nations General Principles on Business and Human Rights, (2011),</w:t>
      </w:r>
      <w:r w:rsidRPr="00663AA1">
        <w:rPr>
          <w:rFonts w:ascii="Times New Roman" w:hAnsi="Times New Roman" w:cs="Times New Roman"/>
        </w:rPr>
        <w:t xml:space="preserve"> </w:t>
      </w:r>
      <w:r w:rsidR="00994755" w:rsidRPr="00663AA1">
        <w:rPr>
          <w:rFonts w:ascii="Times New Roman" w:hAnsi="Times New Roman" w:cs="Times New Roman"/>
        </w:rPr>
        <w:t xml:space="preserve">UNGP 17. </w:t>
      </w:r>
    </w:p>
  </w:footnote>
  <w:footnote w:id="129">
    <w:p w14:paraId="1B04578F" w14:textId="364E03C9" w:rsidR="001128B8" w:rsidRPr="00663AA1" w:rsidRDefault="001128B8" w:rsidP="005D0500">
      <w:pPr>
        <w:pStyle w:val="FootnoteText"/>
        <w:jc w:val="both"/>
        <w:rPr>
          <w:rFonts w:ascii="Times New Roman" w:hAnsi="Times New Roman" w:cs="Times New Roman"/>
        </w:rPr>
      </w:pPr>
      <w:r w:rsidRPr="00663AA1">
        <w:rPr>
          <w:rStyle w:val="FootnoteReference"/>
          <w:rFonts w:ascii="Times New Roman" w:hAnsi="Times New Roman" w:cs="Times New Roman"/>
        </w:rPr>
        <w:footnoteRef/>
      </w:r>
      <w:r w:rsidR="00723DBC" w:rsidRPr="00663AA1">
        <w:rPr>
          <w:rFonts w:ascii="Times New Roman" w:hAnsi="Times New Roman" w:cs="Times New Roman"/>
        </w:rPr>
        <w:t xml:space="preserve"> </w:t>
      </w:r>
      <w:r w:rsidR="00E70DB4" w:rsidRPr="00663AA1">
        <w:rPr>
          <w:rFonts w:ascii="Times New Roman" w:hAnsi="Times New Roman" w:cs="Times New Roman"/>
        </w:rPr>
        <w:t>Gabrielle Holly</w:t>
      </w:r>
      <w:r w:rsidR="00846588" w:rsidRPr="00663AA1">
        <w:rPr>
          <w:rFonts w:ascii="Times New Roman" w:hAnsi="Times New Roman" w:cs="Times New Roman"/>
        </w:rPr>
        <w:t xml:space="preserve"> </w:t>
      </w:r>
      <w:r w:rsidR="00BC4BA0" w:rsidRPr="00663AA1">
        <w:rPr>
          <w:rFonts w:ascii="Times New Roman" w:hAnsi="Times New Roman" w:cs="Times New Roman"/>
        </w:rPr>
        <w:t>et al (</w:t>
      </w:r>
      <w:r w:rsidR="00663AA1" w:rsidRPr="00663AA1">
        <w:rPr>
          <w:rFonts w:ascii="Times New Roman" w:hAnsi="Times New Roman" w:cs="Times New Roman"/>
        </w:rPr>
        <w:t>n</w:t>
      </w:r>
      <w:r w:rsidR="00663AA1">
        <w:rPr>
          <w:rFonts w:ascii="Times New Roman" w:hAnsi="Times New Roman" w:cs="Times New Roman"/>
        </w:rPr>
        <w:t xml:space="preserve"> </w:t>
      </w:r>
      <w:r w:rsidR="00663AA1">
        <w:rPr>
          <w:rFonts w:ascii="Times New Roman" w:hAnsi="Times New Roman" w:cs="Times New Roman"/>
        </w:rPr>
        <w:fldChar w:fldCharType="begin"/>
      </w:r>
      <w:r w:rsidR="00663AA1">
        <w:rPr>
          <w:rFonts w:ascii="Times New Roman" w:hAnsi="Times New Roman" w:cs="Times New Roman"/>
        </w:rPr>
        <w:instrText xml:space="preserve"> NOTEREF _Ref131848978 \h </w:instrText>
      </w:r>
      <w:r w:rsidR="00663AA1">
        <w:rPr>
          <w:rFonts w:ascii="Times New Roman" w:hAnsi="Times New Roman" w:cs="Times New Roman"/>
        </w:rPr>
      </w:r>
      <w:r w:rsidR="00663AA1">
        <w:rPr>
          <w:rFonts w:ascii="Times New Roman" w:hAnsi="Times New Roman" w:cs="Times New Roman"/>
        </w:rPr>
        <w:fldChar w:fldCharType="separate"/>
      </w:r>
      <w:r w:rsidR="00663AA1">
        <w:rPr>
          <w:rFonts w:ascii="Times New Roman" w:hAnsi="Times New Roman" w:cs="Times New Roman"/>
        </w:rPr>
        <w:t>131</w:t>
      </w:r>
      <w:r w:rsidR="00663AA1">
        <w:rPr>
          <w:rFonts w:ascii="Times New Roman" w:hAnsi="Times New Roman" w:cs="Times New Roman"/>
        </w:rPr>
        <w:fldChar w:fldCharType="end"/>
      </w:r>
      <w:r w:rsidR="00BC4BA0" w:rsidRPr="00663AA1">
        <w:rPr>
          <w:rFonts w:ascii="Times New Roman" w:hAnsi="Times New Roman" w:cs="Times New Roman"/>
        </w:rPr>
        <w:t xml:space="preserve">), </w:t>
      </w:r>
      <w:r w:rsidR="007536C5" w:rsidRPr="00663AA1">
        <w:rPr>
          <w:rFonts w:ascii="Times New Roman" w:hAnsi="Times New Roman" w:cs="Times New Roman"/>
        </w:rPr>
        <w:t xml:space="preserve">22. </w:t>
      </w:r>
    </w:p>
  </w:footnote>
  <w:footnote w:id="130">
    <w:p w14:paraId="7877954C" w14:textId="75A311B1" w:rsidR="009B7037" w:rsidRPr="00663AA1" w:rsidRDefault="009B703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See paragraph 56 of the </w:t>
      </w:r>
      <w:r w:rsidR="001244CA" w:rsidRPr="00663AA1">
        <w:rPr>
          <w:rFonts w:ascii="Times New Roman" w:hAnsi="Times New Roman" w:cs="Times New Roman"/>
        </w:rPr>
        <w:t>CSDDD’s</w:t>
      </w:r>
      <w:r w:rsidRPr="00663AA1">
        <w:rPr>
          <w:rFonts w:ascii="Times New Roman" w:hAnsi="Times New Roman" w:cs="Times New Roman"/>
        </w:rPr>
        <w:t xml:space="preserve"> preamble</w:t>
      </w:r>
      <w:r w:rsidR="001244CA" w:rsidRPr="00663AA1">
        <w:rPr>
          <w:rFonts w:ascii="Times New Roman" w:hAnsi="Times New Roman" w:cs="Times New Roman"/>
        </w:rPr>
        <w:t xml:space="preserve"> (n </w:t>
      </w:r>
      <w:r w:rsidR="003609C9" w:rsidRPr="00663AA1">
        <w:rPr>
          <w:rFonts w:ascii="Times New Roman" w:hAnsi="Times New Roman" w:cs="Times New Roman"/>
        </w:rPr>
        <w:t>2</w:t>
      </w:r>
      <w:r w:rsidR="001244CA" w:rsidRPr="00663AA1">
        <w:rPr>
          <w:rFonts w:ascii="Times New Roman" w:hAnsi="Times New Roman" w:cs="Times New Roman"/>
        </w:rPr>
        <w:t>)</w:t>
      </w:r>
      <w:r w:rsidRPr="00663AA1">
        <w:rPr>
          <w:rFonts w:ascii="Times New Roman" w:hAnsi="Times New Roman" w:cs="Times New Roman"/>
        </w:rPr>
        <w:t xml:space="preserve">. </w:t>
      </w:r>
    </w:p>
  </w:footnote>
  <w:footnote w:id="131">
    <w:p w14:paraId="034B8E5F" w14:textId="69F3FDE0" w:rsidR="009B7037" w:rsidRPr="00663AA1" w:rsidRDefault="009B7037" w:rsidP="005D0500">
      <w:pPr>
        <w:pStyle w:val="FootnoteText"/>
        <w:rPr>
          <w:rFonts w:ascii="Times New Roman" w:hAnsi="Times New Roman" w:cs="Times New Roman"/>
        </w:rPr>
      </w:pPr>
      <w:r w:rsidRPr="00663AA1">
        <w:rPr>
          <w:rStyle w:val="FootnoteReference"/>
          <w:rFonts w:ascii="Times New Roman" w:hAnsi="Times New Roman" w:cs="Times New Roman"/>
        </w:rPr>
        <w:footnoteRef/>
      </w:r>
      <w:r w:rsidRPr="00663AA1">
        <w:rPr>
          <w:rFonts w:ascii="Times New Roman" w:hAnsi="Times New Roman" w:cs="Times New Roman"/>
        </w:rPr>
        <w:t xml:space="preserve"> The reader should note that there is no consensus on this matter, and the EU Council is advocating to remove the words ‘should have been identified’ from the CSDDD text. See Yenkong Ngangjoh-Hodu (n</w:t>
      </w:r>
      <w:r w:rsidR="00E1629D">
        <w:rPr>
          <w:rFonts w:ascii="Times New Roman" w:hAnsi="Times New Roman" w:cs="Times New Roman"/>
        </w:rPr>
        <w:t xml:space="preserve"> </w:t>
      </w:r>
      <w:r w:rsidR="00E1629D">
        <w:rPr>
          <w:rFonts w:ascii="Times New Roman" w:hAnsi="Times New Roman" w:cs="Times New Roman"/>
        </w:rPr>
        <w:fldChar w:fldCharType="begin"/>
      </w:r>
      <w:r w:rsidR="00E1629D">
        <w:rPr>
          <w:rFonts w:ascii="Times New Roman" w:hAnsi="Times New Roman" w:cs="Times New Roman"/>
        </w:rPr>
        <w:instrText xml:space="preserve"> NOTEREF _Ref141965955 \h </w:instrText>
      </w:r>
      <w:r w:rsidR="00E1629D">
        <w:rPr>
          <w:rFonts w:ascii="Times New Roman" w:hAnsi="Times New Roman" w:cs="Times New Roman"/>
        </w:rPr>
      </w:r>
      <w:r w:rsidR="00E1629D">
        <w:rPr>
          <w:rFonts w:ascii="Times New Roman" w:hAnsi="Times New Roman" w:cs="Times New Roman"/>
        </w:rPr>
        <w:fldChar w:fldCharType="separate"/>
      </w:r>
      <w:r w:rsidR="00E1629D">
        <w:rPr>
          <w:rFonts w:ascii="Times New Roman" w:hAnsi="Times New Roman" w:cs="Times New Roman"/>
        </w:rPr>
        <w:t>100</w:t>
      </w:r>
      <w:r w:rsidR="00E1629D">
        <w:rPr>
          <w:rFonts w:ascii="Times New Roman" w:hAnsi="Times New Roman" w:cs="Times New Roman"/>
        </w:rPr>
        <w:fldChar w:fldCharType="end"/>
      </w:r>
      <w:r w:rsidRPr="00663AA1">
        <w:rPr>
          <w:rFonts w:ascii="Times New Roman" w:hAnsi="Times New Roman" w:cs="Times New Roman"/>
        </w:rPr>
        <w:t xml:space="preserve">), part </w:t>
      </w:r>
      <w:r w:rsidR="001E6181" w:rsidRPr="00663AA1">
        <w:rPr>
          <w:rFonts w:ascii="Times New Roman" w:hAnsi="Times New Roman" w:cs="Times New Roman"/>
        </w:rPr>
        <w:t xml:space="preserve">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9E4" w14:textId="77777777" w:rsidR="007E454D" w:rsidRDefault="007E4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50BC"/>
    <w:multiLevelType w:val="hybridMultilevel"/>
    <w:tmpl w:val="02F2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6C16"/>
    <w:multiLevelType w:val="hybridMultilevel"/>
    <w:tmpl w:val="86FAA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15185"/>
    <w:multiLevelType w:val="hybridMultilevel"/>
    <w:tmpl w:val="554A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B19C0"/>
    <w:multiLevelType w:val="hybridMultilevel"/>
    <w:tmpl w:val="2F94B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E59D7"/>
    <w:multiLevelType w:val="hybridMultilevel"/>
    <w:tmpl w:val="6AF8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F1DF5"/>
    <w:multiLevelType w:val="hybridMultilevel"/>
    <w:tmpl w:val="B9D01584"/>
    <w:lvl w:ilvl="0" w:tplc="262603BE">
      <w:numFmt w:val="bullet"/>
      <w:lvlText w:val="-"/>
      <w:lvlJc w:val="left"/>
      <w:pPr>
        <w:ind w:left="720" w:hanging="360"/>
      </w:pPr>
      <w:rPr>
        <w:rFonts w:ascii="Calibri" w:eastAsia="Calibri" w:hAnsi="Calibri" w:cs="Calibri" w:hint="default"/>
      </w:rPr>
    </w:lvl>
    <w:lvl w:ilvl="1" w:tplc="CF98894E">
      <w:start w:val="1"/>
      <w:numFmt w:val="decimal"/>
      <w:lvlText w:val="%2."/>
      <w:lvlJc w:val="left"/>
      <w:pPr>
        <w:ind w:left="1440" w:hanging="360"/>
      </w:pPr>
      <w:rPr>
        <w:rFonts w:ascii="Calibri" w:eastAsia="Calibri" w:hAnsi="Calibri"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EE7A02"/>
    <w:multiLevelType w:val="hybridMultilevel"/>
    <w:tmpl w:val="8DD6CC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90194"/>
    <w:multiLevelType w:val="multilevel"/>
    <w:tmpl w:val="D4963EB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2F4AC4"/>
    <w:multiLevelType w:val="hybridMultilevel"/>
    <w:tmpl w:val="38AA35DA"/>
    <w:lvl w:ilvl="0" w:tplc="65D87DB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A1F5E"/>
    <w:multiLevelType w:val="hybridMultilevel"/>
    <w:tmpl w:val="26EE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96AFE"/>
    <w:multiLevelType w:val="hybridMultilevel"/>
    <w:tmpl w:val="479CB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F2608"/>
    <w:multiLevelType w:val="hybridMultilevel"/>
    <w:tmpl w:val="8B5A7620"/>
    <w:lvl w:ilvl="0" w:tplc="C054D7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43607"/>
    <w:multiLevelType w:val="hybridMultilevel"/>
    <w:tmpl w:val="E99CA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B18AE"/>
    <w:multiLevelType w:val="hybridMultilevel"/>
    <w:tmpl w:val="C63C6D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990922"/>
    <w:multiLevelType w:val="hybridMultilevel"/>
    <w:tmpl w:val="0FDCA8C8"/>
    <w:lvl w:ilvl="0" w:tplc="2C9488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D7789"/>
    <w:multiLevelType w:val="hybridMultilevel"/>
    <w:tmpl w:val="34D4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535501"/>
    <w:multiLevelType w:val="hybridMultilevel"/>
    <w:tmpl w:val="4F7478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4F172C"/>
    <w:multiLevelType w:val="hybridMultilevel"/>
    <w:tmpl w:val="B6B857C8"/>
    <w:lvl w:ilvl="0" w:tplc="C41E57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734906"/>
    <w:multiLevelType w:val="hybridMultilevel"/>
    <w:tmpl w:val="50F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F08F1"/>
    <w:multiLevelType w:val="hybridMultilevel"/>
    <w:tmpl w:val="3AF07A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D739B0"/>
    <w:multiLevelType w:val="hybridMultilevel"/>
    <w:tmpl w:val="2C2E2E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86D37"/>
    <w:multiLevelType w:val="hybridMultilevel"/>
    <w:tmpl w:val="53C65F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631EA"/>
    <w:multiLevelType w:val="hybridMultilevel"/>
    <w:tmpl w:val="99EED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1132A0"/>
    <w:multiLevelType w:val="hybridMultilevel"/>
    <w:tmpl w:val="3E3A9C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220290">
    <w:abstractNumId w:val="20"/>
  </w:num>
  <w:num w:numId="2" w16cid:durableId="1975718473">
    <w:abstractNumId w:val="23"/>
  </w:num>
  <w:num w:numId="3" w16cid:durableId="881986162">
    <w:abstractNumId w:val="5"/>
    <w:lvlOverride w:ilvl="0"/>
    <w:lvlOverride w:ilvl="1">
      <w:startOverride w:val="1"/>
    </w:lvlOverride>
    <w:lvlOverride w:ilvl="2"/>
    <w:lvlOverride w:ilvl="3"/>
    <w:lvlOverride w:ilvl="4"/>
    <w:lvlOverride w:ilvl="5"/>
    <w:lvlOverride w:ilvl="6"/>
    <w:lvlOverride w:ilvl="7"/>
    <w:lvlOverride w:ilvl="8"/>
  </w:num>
  <w:num w:numId="4" w16cid:durableId="117576515">
    <w:abstractNumId w:val="14"/>
  </w:num>
  <w:num w:numId="5" w16cid:durableId="1151481132">
    <w:abstractNumId w:val="17"/>
  </w:num>
  <w:num w:numId="6" w16cid:durableId="1845507731">
    <w:abstractNumId w:val="8"/>
  </w:num>
  <w:num w:numId="7" w16cid:durableId="938490999">
    <w:abstractNumId w:val="4"/>
  </w:num>
  <w:num w:numId="8" w16cid:durableId="1157380980">
    <w:abstractNumId w:val="11"/>
  </w:num>
  <w:num w:numId="9" w16cid:durableId="302541602">
    <w:abstractNumId w:val="5"/>
  </w:num>
  <w:num w:numId="10" w16cid:durableId="1214074984">
    <w:abstractNumId w:val="2"/>
  </w:num>
  <w:num w:numId="11" w16cid:durableId="939409065">
    <w:abstractNumId w:val="0"/>
  </w:num>
  <w:num w:numId="12" w16cid:durableId="1662346751">
    <w:abstractNumId w:val="18"/>
  </w:num>
  <w:num w:numId="13" w16cid:durableId="1743675836">
    <w:abstractNumId w:val="10"/>
  </w:num>
  <w:num w:numId="14" w16cid:durableId="881672826">
    <w:abstractNumId w:val="6"/>
  </w:num>
  <w:num w:numId="15" w16cid:durableId="949240986">
    <w:abstractNumId w:val="9"/>
  </w:num>
  <w:num w:numId="16" w16cid:durableId="1284311337">
    <w:abstractNumId w:val="12"/>
  </w:num>
  <w:num w:numId="17" w16cid:durableId="490634026">
    <w:abstractNumId w:val="21"/>
  </w:num>
  <w:num w:numId="18" w16cid:durableId="1863202114">
    <w:abstractNumId w:val="15"/>
  </w:num>
  <w:num w:numId="19" w16cid:durableId="506749145">
    <w:abstractNumId w:val="3"/>
  </w:num>
  <w:num w:numId="20" w16cid:durableId="245119039">
    <w:abstractNumId w:val="13"/>
  </w:num>
  <w:num w:numId="21" w16cid:durableId="11685845">
    <w:abstractNumId w:val="7"/>
  </w:num>
  <w:num w:numId="22" w16cid:durableId="1703632075">
    <w:abstractNumId w:val="16"/>
  </w:num>
  <w:num w:numId="23" w16cid:durableId="305480164">
    <w:abstractNumId w:val="19"/>
  </w:num>
  <w:num w:numId="24" w16cid:durableId="1864593730">
    <w:abstractNumId w:val="1"/>
  </w:num>
  <w:num w:numId="25" w16cid:durableId="12738995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yNzAxNTCyMLQ0M7FQ0lEKTi0uzszPAykwqQUA8ptWbCwAAAA="/>
  </w:docVars>
  <w:rsids>
    <w:rsidRoot w:val="00283A80"/>
    <w:rsid w:val="000003BF"/>
    <w:rsid w:val="000004D3"/>
    <w:rsid w:val="00000EA7"/>
    <w:rsid w:val="0000167A"/>
    <w:rsid w:val="0000189F"/>
    <w:rsid w:val="00001B44"/>
    <w:rsid w:val="000038DC"/>
    <w:rsid w:val="00003C17"/>
    <w:rsid w:val="00004557"/>
    <w:rsid w:val="00004A13"/>
    <w:rsid w:val="000065B8"/>
    <w:rsid w:val="000068BB"/>
    <w:rsid w:val="0000728B"/>
    <w:rsid w:val="000073BE"/>
    <w:rsid w:val="00007AD6"/>
    <w:rsid w:val="0001059F"/>
    <w:rsid w:val="0001084A"/>
    <w:rsid w:val="000108E3"/>
    <w:rsid w:val="000110BC"/>
    <w:rsid w:val="0001276E"/>
    <w:rsid w:val="00012FF2"/>
    <w:rsid w:val="00014D3C"/>
    <w:rsid w:val="00015171"/>
    <w:rsid w:val="00015B8D"/>
    <w:rsid w:val="00015D7B"/>
    <w:rsid w:val="000165EA"/>
    <w:rsid w:val="00016878"/>
    <w:rsid w:val="00017787"/>
    <w:rsid w:val="000178A3"/>
    <w:rsid w:val="00017B20"/>
    <w:rsid w:val="00020DDA"/>
    <w:rsid w:val="00020ED7"/>
    <w:rsid w:val="0002124D"/>
    <w:rsid w:val="00021682"/>
    <w:rsid w:val="00024631"/>
    <w:rsid w:val="00024E5E"/>
    <w:rsid w:val="00024F09"/>
    <w:rsid w:val="00025417"/>
    <w:rsid w:val="00025D1C"/>
    <w:rsid w:val="00026254"/>
    <w:rsid w:val="0002710B"/>
    <w:rsid w:val="0003011B"/>
    <w:rsid w:val="00030407"/>
    <w:rsid w:val="000322F5"/>
    <w:rsid w:val="00032FAC"/>
    <w:rsid w:val="0003585E"/>
    <w:rsid w:val="0003690B"/>
    <w:rsid w:val="000376AC"/>
    <w:rsid w:val="00037853"/>
    <w:rsid w:val="00040F73"/>
    <w:rsid w:val="0004126D"/>
    <w:rsid w:val="00041E37"/>
    <w:rsid w:val="00041EB3"/>
    <w:rsid w:val="00041FAE"/>
    <w:rsid w:val="000421FE"/>
    <w:rsid w:val="00043F38"/>
    <w:rsid w:val="000472B0"/>
    <w:rsid w:val="000472B4"/>
    <w:rsid w:val="00047311"/>
    <w:rsid w:val="00047A3F"/>
    <w:rsid w:val="00047F13"/>
    <w:rsid w:val="00053FAE"/>
    <w:rsid w:val="00054942"/>
    <w:rsid w:val="00054A0B"/>
    <w:rsid w:val="000562E2"/>
    <w:rsid w:val="00060055"/>
    <w:rsid w:val="00061AEE"/>
    <w:rsid w:val="00061FC6"/>
    <w:rsid w:val="00062376"/>
    <w:rsid w:val="00062B35"/>
    <w:rsid w:val="00063302"/>
    <w:rsid w:val="00064CA1"/>
    <w:rsid w:val="00065714"/>
    <w:rsid w:val="00065907"/>
    <w:rsid w:val="000659A9"/>
    <w:rsid w:val="00065A1B"/>
    <w:rsid w:val="000660F0"/>
    <w:rsid w:val="0006764E"/>
    <w:rsid w:val="00072E02"/>
    <w:rsid w:val="0007464B"/>
    <w:rsid w:val="00074DBB"/>
    <w:rsid w:val="00075849"/>
    <w:rsid w:val="000762AC"/>
    <w:rsid w:val="0007752B"/>
    <w:rsid w:val="00077B53"/>
    <w:rsid w:val="00077D0A"/>
    <w:rsid w:val="00080835"/>
    <w:rsid w:val="000808F1"/>
    <w:rsid w:val="00081094"/>
    <w:rsid w:val="00081121"/>
    <w:rsid w:val="00083674"/>
    <w:rsid w:val="00084F2F"/>
    <w:rsid w:val="00085627"/>
    <w:rsid w:val="00086B11"/>
    <w:rsid w:val="000871B2"/>
    <w:rsid w:val="00087849"/>
    <w:rsid w:val="00090373"/>
    <w:rsid w:val="00092188"/>
    <w:rsid w:val="00092B03"/>
    <w:rsid w:val="00093977"/>
    <w:rsid w:val="00093D47"/>
    <w:rsid w:val="000948A0"/>
    <w:rsid w:val="00095382"/>
    <w:rsid w:val="000968D4"/>
    <w:rsid w:val="0009723C"/>
    <w:rsid w:val="00097F35"/>
    <w:rsid w:val="000A0FAE"/>
    <w:rsid w:val="000A1AD1"/>
    <w:rsid w:val="000A1FBA"/>
    <w:rsid w:val="000A2948"/>
    <w:rsid w:val="000A2AA5"/>
    <w:rsid w:val="000A32F6"/>
    <w:rsid w:val="000A40D0"/>
    <w:rsid w:val="000A4D1A"/>
    <w:rsid w:val="000A55EC"/>
    <w:rsid w:val="000A58C1"/>
    <w:rsid w:val="000A5927"/>
    <w:rsid w:val="000A6968"/>
    <w:rsid w:val="000A7B1B"/>
    <w:rsid w:val="000B3818"/>
    <w:rsid w:val="000B3B53"/>
    <w:rsid w:val="000B488A"/>
    <w:rsid w:val="000B4BB5"/>
    <w:rsid w:val="000B6621"/>
    <w:rsid w:val="000B72C1"/>
    <w:rsid w:val="000B7321"/>
    <w:rsid w:val="000B7CF5"/>
    <w:rsid w:val="000B7D44"/>
    <w:rsid w:val="000C04ED"/>
    <w:rsid w:val="000C069C"/>
    <w:rsid w:val="000C0C6D"/>
    <w:rsid w:val="000C1C5B"/>
    <w:rsid w:val="000C458F"/>
    <w:rsid w:val="000C4740"/>
    <w:rsid w:val="000C52C2"/>
    <w:rsid w:val="000C54A4"/>
    <w:rsid w:val="000C61DD"/>
    <w:rsid w:val="000C705F"/>
    <w:rsid w:val="000C7697"/>
    <w:rsid w:val="000D04D8"/>
    <w:rsid w:val="000D0846"/>
    <w:rsid w:val="000D19C6"/>
    <w:rsid w:val="000D29D2"/>
    <w:rsid w:val="000D2C94"/>
    <w:rsid w:val="000D3904"/>
    <w:rsid w:val="000D5F5E"/>
    <w:rsid w:val="000D6337"/>
    <w:rsid w:val="000D7CE8"/>
    <w:rsid w:val="000D7F48"/>
    <w:rsid w:val="000D7FB9"/>
    <w:rsid w:val="000D7FDB"/>
    <w:rsid w:val="000E040C"/>
    <w:rsid w:val="000E080E"/>
    <w:rsid w:val="000E1D11"/>
    <w:rsid w:val="000E34CD"/>
    <w:rsid w:val="000E3E6E"/>
    <w:rsid w:val="000E3ED0"/>
    <w:rsid w:val="000E4905"/>
    <w:rsid w:val="000E5331"/>
    <w:rsid w:val="000E5449"/>
    <w:rsid w:val="000E5454"/>
    <w:rsid w:val="000E666A"/>
    <w:rsid w:val="000E75A5"/>
    <w:rsid w:val="000E7E82"/>
    <w:rsid w:val="000F014E"/>
    <w:rsid w:val="000F1170"/>
    <w:rsid w:val="000F1E10"/>
    <w:rsid w:val="000F1FAD"/>
    <w:rsid w:val="000F317B"/>
    <w:rsid w:val="000F3ADD"/>
    <w:rsid w:val="000F4D4C"/>
    <w:rsid w:val="000F5249"/>
    <w:rsid w:val="000F557E"/>
    <w:rsid w:val="000F5793"/>
    <w:rsid w:val="000F6354"/>
    <w:rsid w:val="001008E6"/>
    <w:rsid w:val="001010EB"/>
    <w:rsid w:val="00101AA7"/>
    <w:rsid w:val="00103654"/>
    <w:rsid w:val="00104227"/>
    <w:rsid w:val="00104DD2"/>
    <w:rsid w:val="001055A6"/>
    <w:rsid w:val="001070E0"/>
    <w:rsid w:val="00107C24"/>
    <w:rsid w:val="00110207"/>
    <w:rsid w:val="00110747"/>
    <w:rsid w:val="001122B1"/>
    <w:rsid w:val="001128B8"/>
    <w:rsid w:val="00112ECC"/>
    <w:rsid w:val="001148EA"/>
    <w:rsid w:val="00114CE8"/>
    <w:rsid w:val="00114EF4"/>
    <w:rsid w:val="001206D3"/>
    <w:rsid w:val="0012094F"/>
    <w:rsid w:val="00121935"/>
    <w:rsid w:val="001220C3"/>
    <w:rsid w:val="00122637"/>
    <w:rsid w:val="001244CA"/>
    <w:rsid w:val="00124822"/>
    <w:rsid w:val="00124BE6"/>
    <w:rsid w:val="00125131"/>
    <w:rsid w:val="00125EBC"/>
    <w:rsid w:val="0012617B"/>
    <w:rsid w:val="001267CE"/>
    <w:rsid w:val="00126CB9"/>
    <w:rsid w:val="00130ABF"/>
    <w:rsid w:val="00133A60"/>
    <w:rsid w:val="001340CE"/>
    <w:rsid w:val="00135882"/>
    <w:rsid w:val="00136D16"/>
    <w:rsid w:val="00137653"/>
    <w:rsid w:val="001377A5"/>
    <w:rsid w:val="0013780C"/>
    <w:rsid w:val="001400B7"/>
    <w:rsid w:val="0014117E"/>
    <w:rsid w:val="001416F9"/>
    <w:rsid w:val="00141CC5"/>
    <w:rsid w:val="00142A03"/>
    <w:rsid w:val="001446E4"/>
    <w:rsid w:val="001448F5"/>
    <w:rsid w:val="00144B5E"/>
    <w:rsid w:val="001453FF"/>
    <w:rsid w:val="001456BD"/>
    <w:rsid w:val="00145E1C"/>
    <w:rsid w:val="00146104"/>
    <w:rsid w:val="00146F16"/>
    <w:rsid w:val="0014733F"/>
    <w:rsid w:val="001500C2"/>
    <w:rsid w:val="00150F3D"/>
    <w:rsid w:val="00151933"/>
    <w:rsid w:val="001523F6"/>
    <w:rsid w:val="0015243B"/>
    <w:rsid w:val="00152734"/>
    <w:rsid w:val="0015504A"/>
    <w:rsid w:val="001550E6"/>
    <w:rsid w:val="00155B9F"/>
    <w:rsid w:val="0015617A"/>
    <w:rsid w:val="00157069"/>
    <w:rsid w:val="00157575"/>
    <w:rsid w:val="00157A06"/>
    <w:rsid w:val="00160AC1"/>
    <w:rsid w:val="001618B7"/>
    <w:rsid w:val="00161EA0"/>
    <w:rsid w:val="00163881"/>
    <w:rsid w:val="00165038"/>
    <w:rsid w:val="00165089"/>
    <w:rsid w:val="00165804"/>
    <w:rsid w:val="001661F5"/>
    <w:rsid w:val="0016687D"/>
    <w:rsid w:val="00166D30"/>
    <w:rsid w:val="00166F88"/>
    <w:rsid w:val="00167594"/>
    <w:rsid w:val="00167E99"/>
    <w:rsid w:val="00171321"/>
    <w:rsid w:val="00172286"/>
    <w:rsid w:val="001722A1"/>
    <w:rsid w:val="001728E9"/>
    <w:rsid w:val="001738DC"/>
    <w:rsid w:val="00173EC6"/>
    <w:rsid w:val="0017402A"/>
    <w:rsid w:val="0017458D"/>
    <w:rsid w:val="00175060"/>
    <w:rsid w:val="001753D7"/>
    <w:rsid w:val="00175A21"/>
    <w:rsid w:val="00175CF6"/>
    <w:rsid w:val="00176116"/>
    <w:rsid w:val="00176597"/>
    <w:rsid w:val="00176EF3"/>
    <w:rsid w:val="00177A43"/>
    <w:rsid w:val="00180456"/>
    <w:rsid w:val="001804C3"/>
    <w:rsid w:val="0018100D"/>
    <w:rsid w:val="00182930"/>
    <w:rsid w:val="00182AAB"/>
    <w:rsid w:val="001849F2"/>
    <w:rsid w:val="00192946"/>
    <w:rsid w:val="00193243"/>
    <w:rsid w:val="00193522"/>
    <w:rsid w:val="00193627"/>
    <w:rsid w:val="00194290"/>
    <w:rsid w:val="00194AA9"/>
    <w:rsid w:val="00194E74"/>
    <w:rsid w:val="00195BDB"/>
    <w:rsid w:val="00195E9B"/>
    <w:rsid w:val="00196C38"/>
    <w:rsid w:val="00196CE6"/>
    <w:rsid w:val="00197846"/>
    <w:rsid w:val="001A1883"/>
    <w:rsid w:val="001A2984"/>
    <w:rsid w:val="001A3C6A"/>
    <w:rsid w:val="001A5BBA"/>
    <w:rsid w:val="001A6CD7"/>
    <w:rsid w:val="001A712A"/>
    <w:rsid w:val="001A7D21"/>
    <w:rsid w:val="001B0AA8"/>
    <w:rsid w:val="001B0FB7"/>
    <w:rsid w:val="001B31F8"/>
    <w:rsid w:val="001B3C5A"/>
    <w:rsid w:val="001B46B3"/>
    <w:rsid w:val="001B4A2A"/>
    <w:rsid w:val="001B5054"/>
    <w:rsid w:val="001B5972"/>
    <w:rsid w:val="001B663C"/>
    <w:rsid w:val="001B6CF9"/>
    <w:rsid w:val="001B719B"/>
    <w:rsid w:val="001B7C92"/>
    <w:rsid w:val="001C014D"/>
    <w:rsid w:val="001C0484"/>
    <w:rsid w:val="001C063E"/>
    <w:rsid w:val="001C07C6"/>
    <w:rsid w:val="001C0816"/>
    <w:rsid w:val="001C0D1E"/>
    <w:rsid w:val="001C1183"/>
    <w:rsid w:val="001C1711"/>
    <w:rsid w:val="001C232D"/>
    <w:rsid w:val="001C262B"/>
    <w:rsid w:val="001C2F86"/>
    <w:rsid w:val="001C3CE0"/>
    <w:rsid w:val="001C4B21"/>
    <w:rsid w:val="001C515A"/>
    <w:rsid w:val="001C5E4C"/>
    <w:rsid w:val="001C6EAA"/>
    <w:rsid w:val="001D00BC"/>
    <w:rsid w:val="001D1A9E"/>
    <w:rsid w:val="001D2500"/>
    <w:rsid w:val="001D2671"/>
    <w:rsid w:val="001D27FF"/>
    <w:rsid w:val="001D33B5"/>
    <w:rsid w:val="001D3598"/>
    <w:rsid w:val="001D3954"/>
    <w:rsid w:val="001D46FD"/>
    <w:rsid w:val="001D4B80"/>
    <w:rsid w:val="001D63CF"/>
    <w:rsid w:val="001D64A3"/>
    <w:rsid w:val="001D756D"/>
    <w:rsid w:val="001D7580"/>
    <w:rsid w:val="001E1B38"/>
    <w:rsid w:val="001E1CAE"/>
    <w:rsid w:val="001E2739"/>
    <w:rsid w:val="001E2B22"/>
    <w:rsid w:val="001E343D"/>
    <w:rsid w:val="001E37F3"/>
    <w:rsid w:val="001E39E1"/>
    <w:rsid w:val="001E42C6"/>
    <w:rsid w:val="001E5263"/>
    <w:rsid w:val="001E6181"/>
    <w:rsid w:val="001E61A7"/>
    <w:rsid w:val="001E737C"/>
    <w:rsid w:val="001E7662"/>
    <w:rsid w:val="001F042F"/>
    <w:rsid w:val="001F0625"/>
    <w:rsid w:val="001F0D24"/>
    <w:rsid w:val="001F1DD3"/>
    <w:rsid w:val="001F2A85"/>
    <w:rsid w:val="001F2E81"/>
    <w:rsid w:val="001F31CE"/>
    <w:rsid w:val="001F32CB"/>
    <w:rsid w:val="001F38DC"/>
    <w:rsid w:val="001F3BED"/>
    <w:rsid w:val="001F45A0"/>
    <w:rsid w:val="001F472F"/>
    <w:rsid w:val="001F4B7E"/>
    <w:rsid w:val="001F5C18"/>
    <w:rsid w:val="001F62D1"/>
    <w:rsid w:val="001F6B20"/>
    <w:rsid w:val="001F7181"/>
    <w:rsid w:val="001F76B1"/>
    <w:rsid w:val="001F76EC"/>
    <w:rsid w:val="001F770A"/>
    <w:rsid w:val="001F7D48"/>
    <w:rsid w:val="0020088A"/>
    <w:rsid w:val="00200A0A"/>
    <w:rsid w:val="00200E13"/>
    <w:rsid w:val="002013FA"/>
    <w:rsid w:val="002016EE"/>
    <w:rsid w:val="00201A8F"/>
    <w:rsid w:val="0020200C"/>
    <w:rsid w:val="00203E4B"/>
    <w:rsid w:val="00205C14"/>
    <w:rsid w:val="002063A5"/>
    <w:rsid w:val="00206B48"/>
    <w:rsid w:val="00206B5C"/>
    <w:rsid w:val="002075E7"/>
    <w:rsid w:val="00211FF4"/>
    <w:rsid w:val="00212830"/>
    <w:rsid w:val="00213484"/>
    <w:rsid w:val="00216760"/>
    <w:rsid w:val="00216849"/>
    <w:rsid w:val="0021766F"/>
    <w:rsid w:val="00217F10"/>
    <w:rsid w:val="00217F4E"/>
    <w:rsid w:val="0022037C"/>
    <w:rsid w:val="00222427"/>
    <w:rsid w:val="00222C66"/>
    <w:rsid w:val="0022376E"/>
    <w:rsid w:val="00223D81"/>
    <w:rsid w:val="002249D3"/>
    <w:rsid w:val="00226463"/>
    <w:rsid w:val="00226703"/>
    <w:rsid w:val="00226A0C"/>
    <w:rsid w:val="00227184"/>
    <w:rsid w:val="002274B0"/>
    <w:rsid w:val="002312A8"/>
    <w:rsid w:val="00231586"/>
    <w:rsid w:val="0023167B"/>
    <w:rsid w:val="00232C67"/>
    <w:rsid w:val="0023329D"/>
    <w:rsid w:val="00233C60"/>
    <w:rsid w:val="00233DD5"/>
    <w:rsid w:val="00233E0F"/>
    <w:rsid w:val="00234E0F"/>
    <w:rsid w:val="00235371"/>
    <w:rsid w:val="0023585C"/>
    <w:rsid w:val="002369A8"/>
    <w:rsid w:val="00237835"/>
    <w:rsid w:val="002404AA"/>
    <w:rsid w:val="0024068F"/>
    <w:rsid w:val="002407DA"/>
    <w:rsid w:val="002411E8"/>
    <w:rsid w:val="0024197E"/>
    <w:rsid w:val="00242A78"/>
    <w:rsid w:val="00243308"/>
    <w:rsid w:val="00243B1C"/>
    <w:rsid w:val="002451C8"/>
    <w:rsid w:val="00245C41"/>
    <w:rsid w:val="002475C7"/>
    <w:rsid w:val="00247F2A"/>
    <w:rsid w:val="0025097E"/>
    <w:rsid w:val="00251437"/>
    <w:rsid w:val="002540CA"/>
    <w:rsid w:val="0025530D"/>
    <w:rsid w:val="00255EFB"/>
    <w:rsid w:val="00257A6E"/>
    <w:rsid w:val="00257FA7"/>
    <w:rsid w:val="00257FF7"/>
    <w:rsid w:val="00261000"/>
    <w:rsid w:val="002619DF"/>
    <w:rsid w:val="0026455F"/>
    <w:rsid w:val="00264F5C"/>
    <w:rsid w:val="00265E3B"/>
    <w:rsid w:val="0026686B"/>
    <w:rsid w:val="0026736A"/>
    <w:rsid w:val="00270792"/>
    <w:rsid w:val="00271241"/>
    <w:rsid w:val="00273424"/>
    <w:rsid w:val="002742DD"/>
    <w:rsid w:val="00274D7B"/>
    <w:rsid w:val="002752DE"/>
    <w:rsid w:val="002757DA"/>
    <w:rsid w:val="00275970"/>
    <w:rsid w:val="002760B0"/>
    <w:rsid w:val="002777C6"/>
    <w:rsid w:val="00282490"/>
    <w:rsid w:val="00282688"/>
    <w:rsid w:val="00283581"/>
    <w:rsid w:val="00283A80"/>
    <w:rsid w:val="002842A4"/>
    <w:rsid w:val="00284A2A"/>
    <w:rsid w:val="00284D62"/>
    <w:rsid w:val="002851B6"/>
    <w:rsid w:val="00285326"/>
    <w:rsid w:val="00285781"/>
    <w:rsid w:val="00285988"/>
    <w:rsid w:val="00286EAE"/>
    <w:rsid w:val="002873FC"/>
    <w:rsid w:val="002879ED"/>
    <w:rsid w:val="00290EDA"/>
    <w:rsid w:val="00291109"/>
    <w:rsid w:val="002914BA"/>
    <w:rsid w:val="00292D74"/>
    <w:rsid w:val="00293909"/>
    <w:rsid w:val="002943D7"/>
    <w:rsid w:val="0029480D"/>
    <w:rsid w:val="00294873"/>
    <w:rsid w:val="00294BC8"/>
    <w:rsid w:val="002969B9"/>
    <w:rsid w:val="00297092"/>
    <w:rsid w:val="002970E5"/>
    <w:rsid w:val="002A109B"/>
    <w:rsid w:val="002A1C3B"/>
    <w:rsid w:val="002A4145"/>
    <w:rsid w:val="002A4D24"/>
    <w:rsid w:val="002A5A45"/>
    <w:rsid w:val="002A6530"/>
    <w:rsid w:val="002A6F74"/>
    <w:rsid w:val="002A7EA7"/>
    <w:rsid w:val="002B04E3"/>
    <w:rsid w:val="002B1BE0"/>
    <w:rsid w:val="002B351A"/>
    <w:rsid w:val="002B3CCA"/>
    <w:rsid w:val="002B3DF4"/>
    <w:rsid w:val="002B3E1A"/>
    <w:rsid w:val="002B5166"/>
    <w:rsid w:val="002B5189"/>
    <w:rsid w:val="002B7427"/>
    <w:rsid w:val="002C0CB4"/>
    <w:rsid w:val="002C17C0"/>
    <w:rsid w:val="002C34E6"/>
    <w:rsid w:val="002C4C41"/>
    <w:rsid w:val="002C543A"/>
    <w:rsid w:val="002C61B2"/>
    <w:rsid w:val="002C66B1"/>
    <w:rsid w:val="002C6C50"/>
    <w:rsid w:val="002C6C89"/>
    <w:rsid w:val="002C6D60"/>
    <w:rsid w:val="002C7365"/>
    <w:rsid w:val="002C7D3A"/>
    <w:rsid w:val="002D1B0C"/>
    <w:rsid w:val="002D1ED3"/>
    <w:rsid w:val="002D4190"/>
    <w:rsid w:val="002D4A9E"/>
    <w:rsid w:val="002D5243"/>
    <w:rsid w:val="002D5B63"/>
    <w:rsid w:val="002D5CEF"/>
    <w:rsid w:val="002D6A8A"/>
    <w:rsid w:val="002D6F71"/>
    <w:rsid w:val="002E0A9A"/>
    <w:rsid w:val="002E172C"/>
    <w:rsid w:val="002E297F"/>
    <w:rsid w:val="002E2B76"/>
    <w:rsid w:val="002E2F84"/>
    <w:rsid w:val="002E32FA"/>
    <w:rsid w:val="002E40A4"/>
    <w:rsid w:val="002E607A"/>
    <w:rsid w:val="002E6283"/>
    <w:rsid w:val="002E77E9"/>
    <w:rsid w:val="002F04BB"/>
    <w:rsid w:val="002F1295"/>
    <w:rsid w:val="002F1445"/>
    <w:rsid w:val="002F1798"/>
    <w:rsid w:val="002F1AF0"/>
    <w:rsid w:val="002F1AF7"/>
    <w:rsid w:val="002F26C3"/>
    <w:rsid w:val="002F3BA0"/>
    <w:rsid w:val="002F4040"/>
    <w:rsid w:val="002F4630"/>
    <w:rsid w:val="002F46B3"/>
    <w:rsid w:val="002F4A12"/>
    <w:rsid w:val="002F5057"/>
    <w:rsid w:val="002F535A"/>
    <w:rsid w:val="002F56DB"/>
    <w:rsid w:val="002F5E23"/>
    <w:rsid w:val="002F620F"/>
    <w:rsid w:val="002F67C6"/>
    <w:rsid w:val="00302647"/>
    <w:rsid w:val="00302788"/>
    <w:rsid w:val="00302CF6"/>
    <w:rsid w:val="00302DF0"/>
    <w:rsid w:val="0030397C"/>
    <w:rsid w:val="003039D8"/>
    <w:rsid w:val="00303DD5"/>
    <w:rsid w:val="0030400C"/>
    <w:rsid w:val="003070AE"/>
    <w:rsid w:val="00310FEE"/>
    <w:rsid w:val="0031230E"/>
    <w:rsid w:val="00312564"/>
    <w:rsid w:val="00315AF1"/>
    <w:rsid w:val="003166AC"/>
    <w:rsid w:val="00316CA2"/>
    <w:rsid w:val="0032069E"/>
    <w:rsid w:val="00320D2B"/>
    <w:rsid w:val="00321C58"/>
    <w:rsid w:val="00321C6A"/>
    <w:rsid w:val="00322BC6"/>
    <w:rsid w:val="00322F57"/>
    <w:rsid w:val="003232F5"/>
    <w:rsid w:val="00323D99"/>
    <w:rsid w:val="003248BA"/>
    <w:rsid w:val="0032493F"/>
    <w:rsid w:val="00325A48"/>
    <w:rsid w:val="003270F9"/>
    <w:rsid w:val="003275BA"/>
    <w:rsid w:val="00327844"/>
    <w:rsid w:val="00332E93"/>
    <w:rsid w:val="00333411"/>
    <w:rsid w:val="003334D5"/>
    <w:rsid w:val="003339EA"/>
    <w:rsid w:val="00336106"/>
    <w:rsid w:val="00336B49"/>
    <w:rsid w:val="003400CA"/>
    <w:rsid w:val="00340346"/>
    <w:rsid w:val="0034038A"/>
    <w:rsid w:val="003420F8"/>
    <w:rsid w:val="00342121"/>
    <w:rsid w:val="00343801"/>
    <w:rsid w:val="00343835"/>
    <w:rsid w:val="00343C67"/>
    <w:rsid w:val="003456F5"/>
    <w:rsid w:val="00346D3C"/>
    <w:rsid w:val="00346DB2"/>
    <w:rsid w:val="00347ADE"/>
    <w:rsid w:val="00350F65"/>
    <w:rsid w:val="00352797"/>
    <w:rsid w:val="0035304C"/>
    <w:rsid w:val="00355830"/>
    <w:rsid w:val="003558D9"/>
    <w:rsid w:val="00355F2A"/>
    <w:rsid w:val="00356866"/>
    <w:rsid w:val="00357285"/>
    <w:rsid w:val="0036001C"/>
    <w:rsid w:val="003609C9"/>
    <w:rsid w:val="00360E23"/>
    <w:rsid w:val="00362DAC"/>
    <w:rsid w:val="0036332B"/>
    <w:rsid w:val="00363CBD"/>
    <w:rsid w:val="003641FF"/>
    <w:rsid w:val="003652DE"/>
    <w:rsid w:val="003656D3"/>
    <w:rsid w:val="00365B4E"/>
    <w:rsid w:val="00366A57"/>
    <w:rsid w:val="0036702C"/>
    <w:rsid w:val="00367368"/>
    <w:rsid w:val="00371CCE"/>
    <w:rsid w:val="003721E9"/>
    <w:rsid w:val="00372A71"/>
    <w:rsid w:val="00372D1B"/>
    <w:rsid w:val="003745FF"/>
    <w:rsid w:val="003754AF"/>
    <w:rsid w:val="00375CAA"/>
    <w:rsid w:val="00376629"/>
    <w:rsid w:val="00377E41"/>
    <w:rsid w:val="00380173"/>
    <w:rsid w:val="00380AD9"/>
    <w:rsid w:val="003824F2"/>
    <w:rsid w:val="00383613"/>
    <w:rsid w:val="0038486D"/>
    <w:rsid w:val="00384C57"/>
    <w:rsid w:val="00384DCA"/>
    <w:rsid w:val="003857B2"/>
    <w:rsid w:val="00385F7C"/>
    <w:rsid w:val="00387EDF"/>
    <w:rsid w:val="00391807"/>
    <w:rsid w:val="00391901"/>
    <w:rsid w:val="00392BCE"/>
    <w:rsid w:val="00392F44"/>
    <w:rsid w:val="00393803"/>
    <w:rsid w:val="00393F56"/>
    <w:rsid w:val="00393FA3"/>
    <w:rsid w:val="003943FA"/>
    <w:rsid w:val="00394D9D"/>
    <w:rsid w:val="003974D0"/>
    <w:rsid w:val="00397708"/>
    <w:rsid w:val="00397C1E"/>
    <w:rsid w:val="003A06ED"/>
    <w:rsid w:val="003A12E5"/>
    <w:rsid w:val="003A18C3"/>
    <w:rsid w:val="003A3185"/>
    <w:rsid w:val="003A38C7"/>
    <w:rsid w:val="003A3F64"/>
    <w:rsid w:val="003A42B4"/>
    <w:rsid w:val="003A4CB2"/>
    <w:rsid w:val="003B2F37"/>
    <w:rsid w:val="003B3032"/>
    <w:rsid w:val="003B36E6"/>
    <w:rsid w:val="003B3821"/>
    <w:rsid w:val="003B3F82"/>
    <w:rsid w:val="003B487C"/>
    <w:rsid w:val="003B553D"/>
    <w:rsid w:val="003B5978"/>
    <w:rsid w:val="003B598F"/>
    <w:rsid w:val="003B5BBA"/>
    <w:rsid w:val="003B63F7"/>
    <w:rsid w:val="003B7136"/>
    <w:rsid w:val="003B75FC"/>
    <w:rsid w:val="003B7A0A"/>
    <w:rsid w:val="003C0AC9"/>
    <w:rsid w:val="003C13BC"/>
    <w:rsid w:val="003C18E0"/>
    <w:rsid w:val="003C202A"/>
    <w:rsid w:val="003C350C"/>
    <w:rsid w:val="003C3B2C"/>
    <w:rsid w:val="003C4C2B"/>
    <w:rsid w:val="003C6783"/>
    <w:rsid w:val="003C6BD0"/>
    <w:rsid w:val="003C6C47"/>
    <w:rsid w:val="003C768A"/>
    <w:rsid w:val="003C76F0"/>
    <w:rsid w:val="003C7A64"/>
    <w:rsid w:val="003C7FF9"/>
    <w:rsid w:val="003D059C"/>
    <w:rsid w:val="003D0AE6"/>
    <w:rsid w:val="003D1DF6"/>
    <w:rsid w:val="003D245A"/>
    <w:rsid w:val="003D2974"/>
    <w:rsid w:val="003D363F"/>
    <w:rsid w:val="003D3F58"/>
    <w:rsid w:val="003D4443"/>
    <w:rsid w:val="003D4F1E"/>
    <w:rsid w:val="003D5097"/>
    <w:rsid w:val="003D5762"/>
    <w:rsid w:val="003D5941"/>
    <w:rsid w:val="003D5B05"/>
    <w:rsid w:val="003D66AC"/>
    <w:rsid w:val="003D6CEE"/>
    <w:rsid w:val="003E0B7B"/>
    <w:rsid w:val="003E45B4"/>
    <w:rsid w:val="003E48D0"/>
    <w:rsid w:val="003E48FD"/>
    <w:rsid w:val="003E5320"/>
    <w:rsid w:val="003E6659"/>
    <w:rsid w:val="003E79C1"/>
    <w:rsid w:val="003E7CA1"/>
    <w:rsid w:val="003F146F"/>
    <w:rsid w:val="003F19AD"/>
    <w:rsid w:val="003F392D"/>
    <w:rsid w:val="003F4376"/>
    <w:rsid w:val="003F59C1"/>
    <w:rsid w:val="003F6501"/>
    <w:rsid w:val="003F67DB"/>
    <w:rsid w:val="003F745F"/>
    <w:rsid w:val="003F7AE0"/>
    <w:rsid w:val="00400B61"/>
    <w:rsid w:val="004028D2"/>
    <w:rsid w:val="00402B17"/>
    <w:rsid w:val="00403072"/>
    <w:rsid w:val="00403159"/>
    <w:rsid w:val="00403675"/>
    <w:rsid w:val="004051ED"/>
    <w:rsid w:val="00406681"/>
    <w:rsid w:val="004069B3"/>
    <w:rsid w:val="00406F6E"/>
    <w:rsid w:val="00410358"/>
    <w:rsid w:val="00411FF6"/>
    <w:rsid w:val="004123CF"/>
    <w:rsid w:val="00412DB2"/>
    <w:rsid w:val="00413421"/>
    <w:rsid w:val="00413820"/>
    <w:rsid w:val="00413A39"/>
    <w:rsid w:val="0041412D"/>
    <w:rsid w:val="0041462A"/>
    <w:rsid w:val="00414922"/>
    <w:rsid w:val="00416AC4"/>
    <w:rsid w:val="00416F83"/>
    <w:rsid w:val="00417916"/>
    <w:rsid w:val="00417C2E"/>
    <w:rsid w:val="0042102A"/>
    <w:rsid w:val="00421A1F"/>
    <w:rsid w:val="00422169"/>
    <w:rsid w:val="004221DF"/>
    <w:rsid w:val="004251C6"/>
    <w:rsid w:val="00426050"/>
    <w:rsid w:val="004265A5"/>
    <w:rsid w:val="00427A44"/>
    <w:rsid w:val="00430BEF"/>
    <w:rsid w:val="00431E52"/>
    <w:rsid w:val="00431F2C"/>
    <w:rsid w:val="00433069"/>
    <w:rsid w:val="0043308D"/>
    <w:rsid w:val="0043356A"/>
    <w:rsid w:val="004338E9"/>
    <w:rsid w:val="00433BC4"/>
    <w:rsid w:val="00434A14"/>
    <w:rsid w:val="00434E4E"/>
    <w:rsid w:val="004352AF"/>
    <w:rsid w:val="00436C10"/>
    <w:rsid w:val="0043782F"/>
    <w:rsid w:val="00440A16"/>
    <w:rsid w:val="0044171A"/>
    <w:rsid w:val="00444A97"/>
    <w:rsid w:val="00446B48"/>
    <w:rsid w:val="00451017"/>
    <w:rsid w:val="00452997"/>
    <w:rsid w:val="00454A36"/>
    <w:rsid w:val="00455075"/>
    <w:rsid w:val="0045536F"/>
    <w:rsid w:val="00457D27"/>
    <w:rsid w:val="0046083C"/>
    <w:rsid w:val="004612E0"/>
    <w:rsid w:val="00462499"/>
    <w:rsid w:val="004628A8"/>
    <w:rsid w:val="00462BE1"/>
    <w:rsid w:val="004632E5"/>
    <w:rsid w:val="00465062"/>
    <w:rsid w:val="004652F9"/>
    <w:rsid w:val="00465329"/>
    <w:rsid w:val="00466476"/>
    <w:rsid w:val="00466680"/>
    <w:rsid w:val="00466CED"/>
    <w:rsid w:val="00467F64"/>
    <w:rsid w:val="0047003E"/>
    <w:rsid w:val="00470721"/>
    <w:rsid w:val="00470EAF"/>
    <w:rsid w:val="00471246"/>
    <w:rsid w:val="004721F8"/>
    <w:rsid w:val="0047259A"/>
    <w:rsid w:val="0047324E"/>
    <w:rsid w:val="0047362C"/>
    <w:rsid w:val="00473859"/>
    <w:rsid w:val="00474C61"/>
    <w:rsid w:val="004752DD"/>
    <w:rsid w:val="00475515"/>
    <w:rsid w:val="004801DD"/>
    <w:rsid w:val="0048079C"/>
    <w:rsid w:val="004809F2"/>
    <w:rsid w:val="00481798"/>
    <w:rsid w:val="00482A92"/>
    <w:rsid w:val="0048382E"/>
    <w:rsid w:val="00483BF5"/>
    <w:rsid w:val="0048617E"/>
    <w:rsid w:val="00486CCA"/>
    <w:rsid w:val="0048717D"/>
    <w:rsid w:val="0048738D"/>
    <w:rsid w:val="00487F7E"/>
    <w:rsid w:val="004903CA"/>
    <w:rsid w:val="00490632"/>
    <w:rsid w:val="00491187"/>
    <w:rsid w:val="004912E5"/>
    <w:rsid w:val="00491736"/>
    <w:rsid w:val="00492895"/>
    <w:rsid w:val="00493C48"/>
    <w:rsid w:val="0049673B"/>
    <w:rsid w:val="00496E65"/>
    <w:rsid w:val="0049750E"/>
    <w:rsid w:val="00497BAA"/>
    <w:rsid w:val="004A0844"/>
    <w:rsid w:val="004A145F"/>
    <w:rsid w:val="004A29B9"/>
    <w:rsid w:val="004A2E61"/>
    <w:rsid w:val="004A3295"/>
    <w:rsid w:val="004A33B3"/>
    <w:rsid w:val="004A434C"/>
    <w:rsid w:val="004A516E"/>
    <w:rsid w:val="004A59FF"/>
    <w:rsid w:val="004A60BE"/>
    <w:rsid w:val="004A656B"/>
    <w:rsid w:val="004A69C8"/>
    <w:rsid w:val="004A756E"/>
    <w:rsid w:val="004A7BFC"/>
    <w:rsid w:val="004B0184"/>
    <w:rsid w:val="004B022A"/>
    <w:rsid w:val="004B164F"/>
    <w:rsid w:val="004B273F"/>
    <w:rsid w:val="004B351A"/>
    <w:rsid w:val="004B36A9"/>
    <w:rsid w:val="004B3C35"/>
    <w:rsid w:val="004B3E9D"/>
    <w:rsid w:val="004C0ABF"/>
    <w:rsid w:val="004C194A"/>
    <w:rsid w:val="004C1C3C"/>
    <w:rsid w:val="004C1D13"/>
    <w:rsid w:val="004C2CF4"/>
    <w:rsid w:val="004C46F6"/>
    <w:rsid w:val="004C49AD"/>
    <w:rsid w:val="004C4FF1"/>
    <w:rsid w:val="004C7601"/>
    <w:rsid w:val="004D08B9"/>
    <w:rsid w:val="004D0ADD"/>
    <w:rsid w:val="004D1DF1"/>
    <w:rsid w:val="004D2FE7"/>
    <w:rsid w:val="004D3F41"/>
    <w:rsid w:val="004D416A"/>
    <w:rsid w:val="004D63CA"/>
    <w:rsid w:val="004D6FC2"/>
    <w:rsid w:val="004D7795"/>
    <w:rsid w:val="004E1266"/>
    <w:rsid w:val="004E15EA"/>
    <w:rsid w:val="004E1C02"/>
    <w:rsid w:val="004E479F"/>
    <w:rsid w:val="004E4CE3"/>
    <w:rsid w:val="004E6128"/>
    <w:rsid w:val="004E64C9"/>
    <w:rsid w:val="004E68BE"/>
    <w:rsid w:val="004F1EDA"/>
    <w:rsid w:val="004F24FA"/>
    <w:rsid w:val="004F2BDC"/>
    <w:rsid w:val="004F36A0"/>
    <w:rsid w:val="004F43D4"/>
    <w:rsid w:val="004F4493"/>
    <w:rsid w:val="004F5360"/>
    <w:rsid w:val="004F577A"/>
    <w:rsid w:val="004F58A2"/>
    <w:rsid w:val="004F6F30"/>
    <w:rsid w:val="004F70A3"/>
    <w:rsid w:val="004F756E"/>
    <w:rsid w:val="004F7CE0"/>
    <w:rsid w:val="005010CD"/>
    <w:rsid w:val="00501D1F"/>
    <w:rsid w:val="00501F1F"/>
    <w:rsid w:val="0050454B"/>
    <w:rsid w:val="005047D4"/>
    <w:rsid w:val="00505098"/>
    <w:rsid w:val="00505CF8"/>
    <w:rsid w:val="00507AD2"/>
    <w:rsid w:val="005109FC"/>
    <w:rsid w:val="00510BA4"/>
    <w:rsid w:val="00510CAE"/>
    <w:rsid w:val="00510D06"/>
    <w:rsid w:val="00510F02"/>
    <w:rsid w:val="00512116"/>
    <w:rsid w:val="0051242F"/>
    <w:rsid w:val="00513153"/>
    <w:rsid w:val="0051530E"/>
    <w:rsid w:val="00515924"/>
    <w:rsid w:val="00515B42"/>
    <w:rsid w:val="005173CB"/>
    <w:rsid w:val="00517BEC"/>
    <w:rsid w:val="00517C1F"/>
    <w:rsid w:val="00517E0F"/>
    <w:rsid w:val="0052051B"/>
    <w:rsid w:val="00520C52"/>
    <w:rsid w:val="00522263"/>
    <w:rsid w:val="00522E9A"/>
    <w:rsid w:val="005237DB"/>
    <w:rsid w:val="00523DA3"/>
    <w:rsid w:val="00525790"/>
    <w:rsid w:val="00526A5C"/>
    <w:rsid w:val="0052756B"/>
    <w:rsid w:val="00527791"/>
    <w:rsid w:val="00527AAC"/>
    <w:rsid w:val="00527B4F"/>
    <w:rsid w:val="005320FF"/>
    <w:rsid w:val="005321D1"/>
    <w:rsid w:val="00532613"/>
    <w:rsid w:val="00532705"/>
    <w:rsid w:val="0053275A"/>
    <w:rsid w:val="00533814"/>
    <w:rsid w:val="0053493B"/>
    <w:rsid w:val="005362AC"/>
    <w:rsid w:val="00537068"/>
    <w:rsid w:val="00537BA5"/>
    <w:rsid w:val="00540107"/>
    <w:rsid w:val="00541922"/>
    <w:rsid w:val="00541AF5"/>
    <w:rsid w:val="00541E30"/>
    <w:rsid w:val="0054237F"/>
    <w:rsid w:val="00542C2E"/>
    <w:rsid w:val="00543261"/>
    <w:rsid w:val="00543458"/>
    <w:rsid w:val="00544D52"/>
    <w:rsid w:val="00544DD5"/>
    <w:rsid w:val="0054503A"/>
    <w:rsid w:val="00545448"/>
    <w:rsid w:val="0054663D"/>
    <w:rsid w:val="00547688"/>
    <w:rsid w:val="005501A8"/>
    <w:rsid w:val="0055047E"/>
    <w:rsid w:val="005515C9"/>
    <w:rsid w:val="005517AD"/>
    <w:rsid w:val="00553227"/>
    <w:rsid w:val="0055499D"/>
    <w:rsid w:val="005556E5"/>
    <w:rsid w:val="00555873"/>
    <w:rsid w:val="00555E11"/>
    <w:rsid w:val="00556616"/>
    <w:rsid w:val="0055683F"/>
    <w:rsid w:val="00556F36"/>
    <w:rsid w:val="005609BF"/>
    <w:rsid w:val="00561444"/>
    <w:rsid w:val="00561885"/>
    <w:rsid w:val="00562BF4"/>
    <w:rsid w:val="005631BE"/>
    <w:rsid w:val="005634F3"/>
    <w:rsid w:val="00564997"/>
    <w:rsid w:val="0056507C"/>
    <w:rsid w:val="0056538D"/>
    <w:rsid w:val="005665B3"/>
    <w:rsid w:val="00567666"/>
    <w:rsid w:val="0057004F"/>
    <w:rsid w:val="00570BCC"/>
    <w:rsid w:val="00571BEC"/>
    <w:rsid w:val="005723EA"/>
    <w:rsid w:val="005727C0"/>
    <w:rsid w:val="00573B07"/>
    <w:rsid w:val="00574279"/>
    <w:rsid w:val="0057447B"/>
    <w:rsid w:val="00574AE4"/>
    <w:rsid w:val="005752F0"/>
    <w:rsid w:val="00575A5B"/>
    <w:rsid w:val="00575F62"/>
    <w:rsid w:val="00576167"/>
    <w:rsid w:val="00576684"/>
    <w:rsid w:val="00576B56"/>
    <w:rsid w:val="00576D73"/>
    <w:rsid w:val="00577F01"/>
    <w:rsid w:val="00577F6B"/>
    <w:rsid w:val="0058003C"/>
    <w:rsid w:val="00581251"/>
    <w:rsid w:val="00581A3C"/>
    <w:rsid w:val="00581B87"/>
    <w:rsid w:val="0058367A"/>
    <w:rsid w:val="00583945"/>
    <w:rsid w:val="00586D71"/>
    <w:rsid w:val="00586F6B"/>
    <w:rsid w:val="005877B8"/>
    <w:rsid w:val="00590B1C"/>
    <w:rsid w:val="00590F33"/>
    <w:rsid w:val="00591CA7"/>
    <w:rsid w:val="005920E1"/>
    <w:rsid w:val="00593CB3"/>
    <w:rsid w:val="0059653D"/>
    <w:rsid w:val="00597687"/>
    <w:rsid w:val="00597E46"/>
    <w:rsid w:val="005A1303"/>
    <w:rsid w:val="005A23EE"/>
    <w:rsid w:val="005A263A"/>
    <w:rsid w:val="005A2C70"/>
    <w:rsid w:val="005A2F90"/>
    <w:rsid w:val="005A4AD0"/>
    <w:rsid w:val="005A4FAA"/>
    <w:rsid w:val="005A5E8C"/>
    <w:rsid w:val="005A66A1"/>
    <w:rsid w:val="005A68BE"/>
    <w:rsid w:val="005A6C5B"/>
    <w:rsid w:val="005A6E73"/>
    <w:rsid w:val="005A78C6"/>
    <w:rsid w:val="005A7904"/>
    <w:rsid w:val="005B086D"/>
    <w:rsid w:val="005B1946"/>
    <w:rsid w:val="005B1FF3"/>
    <w:rsid w:val="005B20CA"/>
    <w:rsid w:val="005B31A9"/>
    <w:rsid w:val="005B34B1"/>
    <w:rsid w:val="005B3EED"/>
    <w:rsid w:val="005B4136"/>
    <w:rsid w:val="005B41DF"/>
    <w:rsid w:val="005B4B17"/>
    <w:rsid w:val="005B5E13"/>
    <w:rsid w:val="005B6AC6"/>
    <w:rsid w:val="005B6DB9"/>
    <w:rsid w:val="005B7245"/>
    <w:rsid w:val="005B792A"/>
    <w:rsid w:val="005B7DB4"/>
    <w:rsid w:val="005B7E57"/>
    <w:rsid w:val="005C1B6E"/>
    <w:rsid w:val="005C21DD"/>
    <w:rsid w:val="005C4312"/>
    <w:rsid w:val="005C51BE"/>
    <w:rsid w:val="005C5A2D"/>
    <w:rsid w:val="005C62EF"/>
    <w:rsid w:val="005C66C3"/>
    <w:rsid w:val="005C6E49"/>
    <w:rsid w:val="005C6EDF"/>
    <w:rsid w:val="005D00B1"/>
    <w:rsid w:val="005D0500"/>
    <w:rsid w:val="005D0A01"/>
    <w:rsid w:val="005D12AD"/>
    <w:rsid w:val="005D1708"/>
    <w:rsid w:val="005D1EC8"/>
    <w:rsid w:val="005D22C2"/>
    <w:rsid w:val="005D3AB3"/>
    <w:rsid w:val="005D4DBE"/>
    <w:rsid w:val="005D571B"/>
    <w:rsid w:val="005D5906"/>
    <w:rsid w:val="005E0501"/>
    <w:rsid w:val="005E0913"/>
    <w:rsid w:val="005E091F"/>
    <w:rsid w:val="005E22EF"/>
    <w:rsid w:val="005E2F57"/>
    <w:rsid w:val="005E3210"/>
    <w:rsid w:val="005E3BA9"/>
    <w:rsid w:val="005E42B4"/>
    <w:rsid w:val="005E4ECF"/>
    <w:rsid w:val="005E5ED8"/>
    <w:rsid w:val="005E6121"/>
    <w:rsid w:val="005E6193"/>
    <w:rsid w:val="005E6E2E"/>
    <w:rsid w:val="005E7065"/>
    <w:rsid w:val="005E73C3"/>
    <w:rsid w:val="005E7F4F"/>
    <w:rsid w:val="005F0D83"/>
    <w:rsid w:val="005F1765"/>
    <w:rsid w:val="005F1B4C"/>
    <w:rsid w:val="005F1D93"/>
    <w:rsid w:val="005F203F"/>
    <w:rsid w:val="005F20F9"/>
    <w:rsid w:val="005F2375"/>
    <w:rsid w:val="005F3AF0"/>
    <w:rsid w:val="005F547C"/>
    <w:rsid w:val="005F63D5"/>
    <w:rsid w:val="005F6BBC"/>
    <w:rsid w:val="005F7107"/>
    <w:rsid w:val="006010A3"/>
    <w:rsid w:val="006015AC"/>
    <w:rsid w:val="0060162C"/>
    <w:rsid w:val="00601ED8"/>
    <w:rsid w:val="006022F0"/>
    <w:rsid w:val="00602496"/>
    <w:rsid w:val="006024F0"/>
    <w:rsid w:val="00602C44"/>
    <w:rsid w:val="00602EBA"/>
    <w:rsid w:val="00603051"/>
    <w:rsid w:val="006039A7"/>
    <w:rsid w:val="00604873"/>
    <w:rsid w:val="00604D6C"/>
    <w:rsid w:val="0060593E"/>
    <w:rsid w:val="00605F7C"/>
    <w:rsid w:val="00606187"/>
    <w:rsid w:val="00606AEE"/>
    <w:rsid w:val="00606D66"/>
    <w:rsid w:val="0060733A"/>
    <w:rsid w:val="00607B1C"/>
    <w:rsid w:val="00607FF4"/>
    <w:rsid w:val="006101AF"/>
    <w:rsid w:val="00610BB3"/>
    <w:rsid w:val="00610C59"/>
    <w:rsid w:val="0061182A"/>
    <w:rsid w:val="00611DFE"/>
    <w:rsid w:val="00612159"/>
    <w:rsid w:val="006132F1"/>
    <w:rsid w:val="00613AF5"/>
    <w:rsid w:val="00613C50"/>
    <w:rsid w:val="006141E1"/>
    <w:rsid w:val="00614CA3"/>
    <w:rsid w:val="00616D35"/>
    <w:rsid w:val="00617688"/>
    <w:rsid w:val="006177EB"/>
    <w:rsid w:val="00620F85"/>
    <w:rsid w:val="0062160B"/>
    <w:rsid w:val="00624D12"/>
    <w:rsid w:val="00624EF4"/>
    <w:rsid w:val="006257FB"/>
    <w:rsid w:val="006258D2"/>
    <w:rsid w:val="0062791A"/>
    <w:rsid w:val="00631852"/>
    <w:rsid w:val="006331FE"/>
    <w:rsid w:val="0063396F"/>
    <w:rsid w:val="006344E3"/>
    <w:rsid w:val="006345EE"/>
    <w:rsid w:val="00634C8C"/>
    <w:rsid w:val="00634D2F"/>
    <w:rsid w:val="00635F4A"/>
    <w:rsid w:val="00636944"/>
    <w:rsid w:val="00636E05"/>
    <w:rsid w:val="00640B2C"/>
    <w:rsid w:val="00641133"/>
    <w:rsid w:val="0064157A"/>
    <w:rsid w:val="0064253A"/>
    <w:rsid w:val="00644028"/>
    <w:rsid w:val="00644949"/>
    <w:rsid w:val="006451BF"/>
    <w:rsid w:val="00645BA5"/>
    <w:rsid w:val="006467C4"/>
    <w:rsid w:val="0064698D"/>
    <w:rsid w:val="00650C9A"/>
    <w:rsid w:val="0065202F"/>
    <w:rsid w:val="00652A48"/>
    <w:rsid w:val="00653189"/>
    <w:rsid w:val="0065569E"/>
    <w:rsid w:val="00660752"/>
    <w:rsid w:val="0066190D"/>
    <w:rsid w:val="00661AC5"/>
    <w:rsid w:val="00661E5B"/>
    <w:rsid w:val="00662302"/>
    <w:rsid w:val="0066324F"/>
    <w:rsid w:val="006637E1"/>
    <w:rsid w:val="00663AA1"/>
    <w:rsid w:val="00664FB3"/>
    <w:rsid w:val="00665B96"/>
    <w:rsid w:val="00666225"/>
    <w:rsid w:val="0066666E"/>
    <w:rsid w:val="00666690"/>
    <w:rsid w:val="006666E3"/>
    <w:rsid w:val="00666F39"/>
    <w:rsid w:val="006671E3"/>
    <w:rsid w:val="0066785E"/>
    <w:rsid w:val="006707DC"/>
    <w:rsid w:val="00672838"/>
    <w:rsid w:val="006751AA"/>
    <w:rsid w:val="00675821"/>
    <w:rsid w:val="00676974"/>
    <w:rsid w:val="00676BAA"/>
    <w:rsid w:val="00676F72"/>
    <w:rsid w:val="006802DA"/>
    <w:rsid w:val="0068034D"/>
    <w:rsid w:val="006806E5"/>
    <w:rsid w:val="006815D5"/>
    <w:rsid w:val="00681758"/>
    <w:rsid w:val="006832FC"/>
    <w:rsid w:val="00683CF2"/>
    <w:rsid w:val="00685153"/>
    <w:rsid w:val="00685763"/>
    <w:rsid w:val="006879D4"/>
    <w:rsid w:val="00687BEE"/>
    <w:rsid w:val="00687F69"/>
    <w:rsid w:val="006902AB"/>
    <w:rsid w:val="006907F7"/>
    <w:rsid w:val="00690A96"/>
    <w:rsid w:val="00690B3D"/>
    <w:rsid w:val="006910A8"/>
    <w:rsid w:val="00691321"/>
    <w:rsid w:val="00691F3D"/>
    <w:rsid w:val="006939B6"/>
    <w:rsid w:val="00693A89"/>
    <w:rsid w:val="00693C38"/>
    <w:rsid w:val="00693D27"/>
    <w:rsid w:val="00694FE0"/>
    <w:rsid w:val="00695DC8"/>
    <w:rsid w:val="00696C46"/>
    <w:rsid w:val="00697CA4"/>
    <w:rsid w:val="006A00F5"/>
    <w:rsid w:val="006A038A"/>
    <w:rsid w:val="006A1B44"/>
    <w:rsid w:val="006A2A7C"/>
    <w:rsid w:val="006A385B"/>
    <w:rsid w:val="006A67AE"/>
    <w:rsid w:val="006A6B3E"/>
    <w:rsid w:val="006A7B11"/>
    <w:rsid w:val="006A7F77"/>
    <w:rsid w:val="006B125D"/>
    <w:rsid w:val="006B1A9E"/>
    <w:rsid w:val="006B227E"/>
    <w:rsid w:val="006B2D98"/>
    <w:rsid w:val="006B362B"/>
    <w:rsid w:val="006B43DB"/>
    <w:rsid w:val="006B5436"/>
    <w:rsid w:val="006B5503"/>
    <w:rsid w:val="006B6FB6"/>
    <w:rsid w:val="006B7B80"/>
    <w:rsid w:val="006B7DDB"/>
    <w:rsid w:val="006C03D2"/>
    <w:rsid w:val="006C0746"/>
    <w:rsid w:val="006C0BF1"/>
    <w:rsid w:val="006C2E9E"/>
    <w:rsid w:val="006C3546"/>
    <w:rsid w:val="006C4E4E"/>
    <w:rsid w:val="006C5F4C"/>
    <w:rsid w:val="006D00F1"/>
    <w:rsid w:val="006D0225"/>
    <w:rsid w:val="006D0334"/>
    <w:rsid w:val="006D056B"/>
    <w:rsid w:val="006D09CC"/>
    <w:rsid w:val="006D22E5"/>
    <w:rsid w:val="006D387A"/>
    <w:rsid w:val="006D3CE3"/>
    <w:rsid w:val="006D40FB"/>
    <w:rsid w:val="006D47CD"/>
    <w:rsid w:val="006D4AF4"/>
    <w:rsid w:val="006D4C62"/>
    <w:rsid w:val="006D4E50"/>
    <w:rsid w:val="006D5E5C"/>
    <w:rsid w:val="006D6BAE"/>
    <w:rsid w:val="006D710D"/>
    <w:rsid w:val="006E047A"/>
    <w:rsid w:val="006E054B"/>
    <w:rsid w:val="006E0C22"/>
    <w:rsid w:val="006E0FCD"/>
    <w:rsid w:val="006E28D7"/>
    <w:rsid w:val="006E28EF"/>
    <w:rsid w:val="006E2D4E"/>
    <w:rsid w:val="006E4E4A"/>
    <w:rsid w:val="006E6ACA"/>
    <w:rsid w:val="006E6F6B"/>
    <w:rsid w:val="006E7066"/>
    <w:rsid w:val="006F0B4C"/>
    <w:rsid w:val="006F14EB"/>
    <w:rsid w:val="006F1D75"/>
    <w:rsid w:val="006F209C"/>
    <w:rsid w:val="006F2D2A"/>
    <w:rsid w:val="006F3059"/>
    <w:rsid w:val="006F44FE"/>
    <w:rsid w:val="006F4BB3"/>
    <w:rsid w:val="006F4DC2"/>
    <w:rsid w:val="006F584A"/>
    <w:rsid w:val="006F5AE5"/>
    <w:rsid w:val="006F7B05"/>
    <w:rsid w:val="006F7D6F"/>
    <w:rsid w:val="0070013F"/>
    <w:rsid w:val="00700150"/>
    <w:rsid w:val="00700FB4"/>
    <w:rsid w:val="00701ADF"/>
    <w:rsid w:val="007021CF"/>
    <w:rsid w:val="00702593"/>
    <w:rsid w:val="0070269F"/>
    <w:rsid w:val="00702DA0"/>
    <w:rsid w:val="00703017"/>
    <w:rsid w:val="007030C0"/>
    <w:rsid w:val="007033A7"/>
    <w:rsid w:val="00704639"/>
    <w:rsid w:val="00706AC1"/>
    <w:rsid w:val="00707078"/>
    <w:rsid w:val="00707C0B"/>
    <w:rsid w:val="00712787"/>
    <w:rsid w:val="00714B3C"/>
    <w:rsid w:val="007173AB"/>
    <w:rsid w:val="007177F7"/>
    <w:rsid w:val="00717C89"/>
    <w:rsid w:val="007207C9"/>
    <w:rsid w:val="00720DA0"/>
    <w:rsid w:val="00720EBD"/>
    <w:rsid w:val="00721810"/>
    <w:rsid w:val="0072190E"/>
    <w:rsid w:val="007221EF"/>
    <w:rsid w:val="00722C6D"/>
    <w:rsid w:val="00722EDA"/>
    <w:rsid w:val="00723DBC"/>
    <w:rsid w:val="00723F6B"/>
    <w:rsid w:val="00724212"/>
    <w:rsid w:val="007245EE"/>
    <w:rsid w:val="0072472F"/>
    <w:rsid w:val="00724D43"/>
    <w:rsid w:val="00726A9E"/>
    <w:rsid w:val="00727B6B"/>
    <w:rsid w:val="00727CA7"/>
    <w:rsid w:val="007315F0"/>
    <w:rsid w:val="00731A2F"/>
    <w:rsid w:val="00731DAA"/>
    <w:rsid w:val="00732D78"/>
    <w:rsid w:val="00733E1E"/>
    <w:rsid w:val="007343CD"/>
    <w:rsid w:val="00734E5F"/>
    <w:rsid w:val="00735DEB"/>
    <w:rsid w:val="0073604F"/>
    <w:rsid w:val="00740898"/>
    <w:rsid w:val="00740E0B"/>
    <w:rsid w:val="00740FA7"/>
    <w:rsid w:val="0074103E"/>
    <w:rsid w:val="0074107F"/>
    <w:rsid w:val="00741D52"/>
    <w:rsid w:val="007423AB"/>
    <w:rsid w:val="007423EF"/>
    <w:rsid w:val="00743288"/>
    <w:rsid w:val="00743399"/>
    <w:rsid w:val="00743DFB"/>
    <w:rsid w:val="007440AC"/>
    <w:rsid w:val="00744914"/>
    <w:rsid w:val="00744BCD"/>
    <w:rsid w:val="007457F6"/>
    <w:rsid w:val="0074628B"/>
    <w:rsid w:val="00746D97"/>
    <w:rsid w:val="0074700B"/>
    <w:rsid w:val="00747022"/>
    <w:rsid w:val="00747E08"/>
    <w:rsid w:val="007504AD"/>
    <w:rsid w:val="00752865"/>
    <w:rsid w:val="00752E0A"/>
    <w:rsid w:val="007536C5"/>
    <w:rsid w:val="00753E00"/>
    <w:rsid w:val="00755DDB"/>
    <w:rsid w:val="00756AC8"/>
    <w:rsid w:val="00757899"/>
    <w:rsid w:val="00757C33"/>
    <w:rsid w:val="007609C6"/>
    <w:rsid w:val="007611A5"/>
    <w:rsid w:val="00761291"/>
    <w:rsid w:val="00762107"/>
    <w:rsid w:val="0076222D"/>
    <w:rsid w:val="00763EF0"/>
    <w:rsid w:val="0076467A"/>
    <w:rsid w:val="00765DBA"/>
    <w:rsid w:val="00771407"/>
    <w:rsid w:val="00771871"/>
    <w:rsid w:val="007722A7"/>
    <w:rsid w:val="0077309D"/>
    <w:rsid w:val="007740CD"/>
    <w:rsid w:val="00774930"/>
    <w:rsid w:val="007752FB"/>
    <w:rsid w:val="00775365"/>
    <w:rsid w:val="007761C6"/>
    <w:rsid w:val="00777D09"/>
    <w:rsid w:val="00777D6F"/>
    <w:rsid w:val="00781329"/>
    <w:rsid w:val="00782372"/>
    <w:rsid w:val="00783435"/>
    <w:rsid w:val="00786FBD"/>
    <w:rsid w:val="00790B49"/>
    <w:rsid w:val="00790E22"/>
    <w:rsid w:val="00791007"/>
    <w:rsid w:val="00791483"/>
    <w:rsid w:val="00791DA3"/>
    <w:rsid w:val="00792FA7"/>
    <w:rsid w:val="007937A4"/>
    <w:rsid w:val="00794241"/>
    <w:rsid w:val="007955AD"/>
    <w:rsid w:val="00795C50"/>
    <w:rsid w:val="0079691B"/>
    <w:rsid w:val="00796A6D"/>
    <w:rsid w:val="00797EBB"/>
    <w:rsid w:val="007A1D6D"/>
    <w:rsid w:val="007A4429"/>
    <w:rsid w:val="007A4ABE"/>
    <w:rsid w:val="007A4D2E"/>
    <w:rsid w:val="007A502D"/>
    <w:rsid w:val="007A6078"/>
    <w:rsid w:val="007A6B48"/>
    <w:rsid w:val="007A7E8B"/>
    <w:rsid w:val="007A7F34"/>
    <w:rsid w:val="007B062A"/>
    <w:rsid w:val="007B0AF0"/>
    <w:rsid w:val="007B110D"/>
    <w:rsid w:val="007B182C"/>
    <w:rsid w:val="007B25AE"/>
    <w:rsid w:val="007B2AEE"/>
    <w:rsid w:val="007B32E8"/>
    <w:rsid w:val="007B3620"/>
    <w:rsid w:val="007B4760"/>
    <w:rsid w:val="007B70E0"/>
    <w:rsid w:val="007B75D7"/>
    <w:rsid w:val="007B7EFD"/>
    <w:rsid w:val="007C12AD"/>
    <w:rsid w:val="007C1945"/>
    <w:rsid w:val="007C1FB0"/>
    <w:rsid w:val="007C4525"/>
    <w:rsid w:val="007C53F8"/>
    <w:rsid w:val="007C5A90"/>
    <w:rsid w:val="007C6363"/>
    <w:rsid w:val="007C7C7A"/>
    <w:rsid w:val="007D0029"/>
    <w:rsid w:val="007D0D82"/>
    <w:rsid w:val="007D18D9"/>
    <w:rsid w:val="007D1AC5"/>
    <w:rsid w:val="007D1EF2"/>
    <w:rsid w:val="007D2896"/>
    <w:rsid w:val="007D388C"/>
    <w:rsid w:val="007D38F5"/>
    <w:rsid w:val="007D3D6C"/>
    <w:rsid w:val="007D41CA"/>
    <w:rsid w:val="007D434C"/>
    <w:rsid w:val="007D51F3"/>
    <w:rsid w:val="007D5889"/>
    <w:rsid w:val="007D773E"/>
    <w:rsid w:val="007D789E"/>
    <w:rsid w:val="007D7FDA"/>
    <w:rsid w:val="007E085A"/>
    <w:rsid w:val="007E2335"/>
    <w:rsid w:val="007E3C63"/>
    <w:rsid w:val="007E3FA5"/>
    <w:rsid w:val="007E454D"/>
    <w:rsid w:val="007E51A6"/>
    <w:rsid w:val="007E7310"/>
    <w:rsid w:val="007F005F"/>
    <w:rsid w:val="007F0ADC"/>
    <w:rsid w:val="007F0F16"/>
    <w:rsid w:val="007F1300"/>
    <w:rsid w:val="007F2245"/>
    <w:rsid w:val="007F5D1C"/>
    <w:rsid w:val="007F658E"/>
    <w:rsid w:val="007F7283"/>
    <w:rsid w:val="007F7FB1"/>
    <w:rsid w:val="0080043E"/>
    <w:rsid w:val="00800570"/>
    <w:rsid w:val="00800960"/>
    <w:rsid w:val="00800DF5"/>
    <w:rsid w:val="0080107D"/>
    <w:rsid w:val="008010AF"/>
    <w:rsid w:val="00802284"/>
    <w:rsid w:val="00805034"/>
    <w:rsid w:val="0080527B"/>
    <w:rsid w:val="008052A3"/>
    <w:rsid w:val="00807F4A"/>
    <w:rsid w:val="00811A70"/>
    <w:rsid w:val="00811AF3"/>
    <w:rsid w:val="008125E1"/>
    <w:rsid w:val="0081333C"/>
    <w:rsid w:val="0081335F"/>
    <w:rsid w:val="00814237"/>
    <w:rsid w:val="008143FA"/>
    <w:rsid w:val="00815FC7"/>
    <w:rsid w:val="008170F0"/>
    <w:rsid w:val="0082024A"/>
    <w:rsid w:val="008206BD"/>
    <w:rsid w:val="00820D52"/>
    <w:rsid w:val="008219ED"/>
    <w:rsid w:val="008222C1"/>
    <w:rsid w:val="0082249B"/>
    <w:rsid w:val="0082317B"/>
    <w:rsid w:val="00823FED"/>
    <w:rsid w:val="0082405A"/>
    <w:rsid w:val="0082421C"/>
    <w:rsid w:val="008247C4"/>
    <w:rsid w:val="00825891"/>
    <w:rsid w:val="00826217"/>
    <w:rsid w:val="00827211"/>
    <w:rsid w:val="008277A0"/>
    <w:rsid w:val="0083012B"/>
    <w:rsid w:val="008303A9"/>
    <w:rsid w:val="00830D3F"/>
    <w:rsid w:val="00831BAF"/>
    <w:rsid w:val="008323AB"/>
    <w:rsid w:val="00832D4A"/>
    <w:rsid w:val="00832F34"/>
    <w:rsid w:val="00833436"/>
    <w:rsid w:val="00836675"/>
    <w:rsid w:val="00836F60"/>
    <w:rsid w:val="00837CF1"/>
    <w:rsid w:val="00837F6E"/>
    <w:rsid w:val="0084025D"/>
    <w:rsid w:val="00840AAF"/>
    <w:rsid w:val="00840D9B"/>
    <w:rsid w:val="0084259B"/>
    <w:rsid w:val="00842A6F"/>
    <w:rsid w:val="008430AB"/>
    <w:rsid w:val="008435C0"/>
    <w:rsid w:val="00843605"/>
    <w:rsid w:val="0084361D"/>
    <w:rsid w:val="00843B1D"/>
    <w:rsid w:val="00843BFE"/>
    <w:rsid w:val="00844917"/>
    <w:rsid w:val="00844F42"/>
    <w:rsid w:val="00845338"/>
    <w:rsid w:val="0084535F"/>
    <w:rsid w:val="008455EC"/>
    <w:rsid w:val="008457C0"/>
    <w:rsid w:val="00845944"/>
    <w:rsid w:val="00846588"/>
    <w:rsid w:val="00847A3C"/>
    <w:rsid w:val="00851C17"/>
    <w:rsid w:val="00852106"/>
    <w:rsid w:val="00852E63"/>
    <w:rsid w:val="008534B2"/>
    <w:rsid w:val="00853EAA"/>
    <w:rsid w:val="00855300"/>
    <w:rsid w:val="00855ABB"/>
    <w:rsid w:val="00855F24"/>
    <w:rsid w:val="0085625B"/>
    <w:rsid w:val="008567D3"/>
    <w:rsid w:val="00857862"/>
    <w:rsid w:val="00857DAE"/>
    <w:rsid w:val="0086126E"/>
    <w:rsid w:val="008612EB"/>
    <w:rsid w:val="00862E25"/>
    <w:rsid w:val="00862FEC"/>
    <w:rsid w:val="008634FD"/>
    <w:rsid w:val="00863A3A"/>
    <w:rsid w:val="00864039"/>
    <w:rsid w:val="00864E02"/>
    <w:rsid w:val="00865C3B"/>
    <w:rsid w:val="00866455"/>
    <w:rsid w:val="0086694E"/>
    <w:rsid w:val="008701E7"/>
    <w:rsid w:val="00870C85"/>
    <w:rsid w:val="00872471"/>
    <w:rsid w:val="00873E6A"/>
    <w:rsid w:val="00874EF0"/>
    <w:rsid w:val="00876A08"/>
    <w:rsid w:val="00877139"/>
    <w:rsid w:val="00877641"/>
    <w:rsid w:val="0088082B"/>
    <w:rsid w:val="0088127B"/>
    <w:rsid w:val="00881CDB"/>
    <w:rsid w:val="00881F03"/>
    <w:rsid w:val="00882596"/>
    <w:rsid w:val="0088268A"/>
    <w:rsid w:val="00882B31"/>
    <w:rsid w:val="008839F6"/>
    <w:rsid w:val="00884429"/>
    <w:rsid w:val="00884ED0"/>
    <w:rsid w:val="00885BCD"/>
    <w:rsid w:val="00886CB9"/>
    <w:rsid w:val="0088712F"/>
    <w:rsid w:val="00887369"/>
    <w:rsid w:val="008878AA"/>
    <w:rsid w:val="00891E75"/>
    <w:rsid w:val="008924F1"/>
    <w:rsid w:val="008927B1"/>
    <w:rsid w:val="00892B4E"/>
    <w:rsid w:val="008931D9"/>
    <w:rsid w:val="00893F26"/>
    <w:rsid w:val="00894C2B"/>
    <w:rsid w:val="00895246"/>
    <w:rsid w:val="00896DCD"/>
    <w:rsid w:val="0089773B"/>
    <w:rsid w:val="008A0F12"/>
    <w:rsid w:val="008A3035"/>
    <w:rsid w:val="008A41BE"/>
    <w:rsid w:val="008A5BBD"/>
    <w:rsid w:val="008A62D8"/>
    <w:rsid w:val="008A71E2"/>
    <w:rsid w:val="008A78E4"/>
    <w:rsid w:val="008A7CF0"/>
    <w:rsid w:val="008B15F4"/>
    <w:rsid w:val="008B2034"/>
    <w:rsid w:val="008B2C22"/>
    <w:rsid w:val="008B4508"/>
    <w:rsid w:val="008B4897"/>
    <w:rsid w:val="008B4B91"/>
    <w:rsid w:val="008B58AA"/>
    <w:rsid w:val="008B6FAA"/>
    <w:rsid w:val="008B7936"/>
    <w:rsid w:val="008C01B7"/>
    <w:rsid w:val="008C17E0"/>
    <w:rsid w:val="008C1B3F"/>
    <w:rsid w:val="008C2549"/>
    <w:rsid w:val="008C3B6F"/>
    <w:rsid w:val="008C3FF8"/>
    <w:rsid w:val="008C432F"/>
    <w:rsid w:val="008C46D2"/>
    <w:rsid w:val="008C4C1E"/>
    <w:rsid w:val="008C5442"/>
    <w:rsid w:val="008C6581"/>
    <w:rsid w:val="008C6F95"/>
    <w:rsid w:val="008C7640"/>
    <w:rsid w:val="008D0409"/>
    <w:rsid w:val="008D04A7"/>
    <w:rsid w:val="008D0752"/>
    <w:rsid w:val="008D0A9C"/>
    <w:rsid w:val="008D10CF"/>
    <w:rsid w:val="008D1599"/>
    <w:rsid w:val="008D2400"/>
    <w:rsid w:val="008D27FE"/>
    <w:rsid w:val="008D2FB7"/>
    <w:rsid w:val="008D4457"/>
    <w:rsid w:val="008D482C"/>
    <w:rsid w:val="008D5298"/>
    <w:rsid w:val="008D5A7A"/>
    <w:rsid w:val="008D5B41"/>
    <w:rsid w:val="008D6B8A"/>
    <w:rsid w:val="008D6EF1"/>
    <w:rsid w:val="008E0212"/>
    <w:rsid w:val="008E0288"/>
    <w:rsid w:val="008E0ABE"/>
    <w:rsid w:val="008E0E30"/>
    <w:rsid w:val="008E1A75"/>
    <w:rsid w:val="008E1C0F"/>
    <w:rsid w:val="008E31DD"/>
    <w:rsid w:val="008E3E9B"/>
    <w:rsid w:val="008E4276"/>
    <w:rsid w:val="008E44CA"/>
    <w:rsid w:val="008E44E5"/>
    <w:rsid w:val="008E4BFD"/>
    <w:rsid w:val="008E4F02"/>
    <w:rsid w:val="008E5CE3"/>
    <w:rsid w:val="008E6D72"/>
    <w:rsid w:val="008E78F2"/>
    <w:rsid w:val="008E797E"/>
    <w:rsid w:val="008E7D63"/>
    <w:rsid w:val="008E7F64"/>
    <w:rsid w:val="008F09F0"/>
    <w:rsid w:val="008F1820"/>
    <w:rsid w:val="008F1A7D"/>
    <w:rsid w:val="008F1E92"/>
    <w:rsid w:val="008F2A2D"/>
    <w:rsid w:val="008F2A3D"/>
    <w:rsid w:val="008F424B"/>
    <w:rsid w:val="008F4A65"/>
    <w:rsid w:val="008F5D97"/>
    <w:rsid w:val="008F6B0D"/>
    <w:rsid w:val="008F7773"/>
    <w:rsid w:val="008F7B03"/>
    <w:rsid w:val="008F7B25"/>
    <w:rsid w:val="00901326"/>
    <w:rsid w:val="009027C9"/>
    <w:rsid w:val="009035F1"/>
    <w:rsid w:val="009039EC"/>
    <w:rsid w:val="00903DE6"/>
    <w:rsid w:val="00904466"/>
    <w:rsid w:val="009059C8"/>
    <w:rsid w:val="00906F3B"/>
    <w:rsid w:val="009070ED"/>
    <w:rsid w:val="00907144"/>
    <w:rsid w:val="00907FDB"/>
    <w:rsid w:val="0091088C"/>
    <w:rsid w:val="00911B3D"/>
    <w:rsid w:val="00911CAC"/>
    <w:rsid w:val="00911FC8"/>
    <w:rsid w:val="0091264E"/>
    <w:rsid w:val="00912D03"/>
    <w:rsid w:val="00913716"/>
    <w:rsid w:val="00913CC1"/>
    <w:rsid w:val="00914CA8"/>
    <w:rsid w:val="00916C7D"/>
    <w:rsid w:val="00917144"/>
    <w:rsid w:val="00917DDA"/>
    <w:rsid w:val="00921A02"/>
    <w:rsid w:val="00923A95"/>
    <w:rsid w:val="00924B77"/>
    <w:rsid w:val="009255A6"/>
    <w:rsid w:val="0092617C"/>
    <w:rsid w:val="009267DA"/>
    <w:rsid w:val="00927C7D"/>
    <w:rsid w:val="00930909"/>
    <w:rsid w:val="00931993"/>
    <w:rsid w:val="0093309B"/>
    <w:rsid w:val="00933D7B"/>
    <w:rsid w:val="00934401"/>
    <w:rsid w:val="00934D48"/>
    <w:rsid w:val="00935582"/>
    <w:rsid w:val="0093582A"/>
    <w:rsid w:val="00935943"/>
    <w:rsid w:val="00935ECB"/>
    <w:rsid w:val="009362D8"/>
    <w:rsid w:val="009368D5"/>
    <w:rsid w:val="00936BBA"/>
    <w:rsid w:val="0093710C"/>
    <w:rsid w:val="009403E9"/>
    <w:rsid w:val="009404DA"/>
    <w:rsid w:val="009427F3"/>
    <w:rsid w:val="009428AC"/>
    <w:rsid w:val="009428DF"/>
    <w:rsid w:val="00944329"/>
    <w:rsid w:val="0094510D"/>
    <w:rsid w:val="0094528D"/>
    <w:rsid w:val="009459FF"/>
    <w:rsid w:val="00946518"/>
    <w:rsid w:val="0094712C"/>
    <w:rsid w:val="009511EB"/>
    <w:rsid w:val="009517F0"/>
    <w:rsid w:val="00951818"/>
    <w:rsid w:val="00952E1A"/>
    <w:rsid w:val="00954254"/>
    <w:rsid w:val="009543FE"/>
    <w:rsid w:val="00954C5A"/>
    <w:rsid w:val="00954CB7"/>
    <w:rsid w:val="00954F48"/>
    <w:rsid w:val="00955CCA"/>
    <w:rsid w:val="009565E3"/>
    <w:rsid w:val="00956B6F"/>
    <w:rsid w:val="0095717C"/>
    <w:rsid w:val="00960809"/>
    <w:rsid w:val="0096159F"/>
    <w:rsid w:val="00962D71"/>
    <w:rsid w:val="00963547"/>
    <w:rsid w:val="00963577"/>
    <w:rsid w:val="009638A2"/>
    <w:rsid w:val="00964A0F"/>
    <w:rsid w:val="00964A7B"/>
    <w:rsid w:val="0096535D"/>
    <w:rsid w:val="009662F9"/>
    <w:rsid w:val="009677F9"/>
    <w:rsid w:val="009678F4"/>
    <w:rsid w:val="009700D6"/>
    <w:rsid w:val="009702BD"/>
    <w:rsid w:val="00971450"/>
    <w:rsid w:val="00972103"/>
    <w:rsid w:val="00972267"/>
    <w:rsid w:val="00972D50"/>
    <w:rsid w:val="009737FF"/>
    <w:rsid w:val="00973862"/>
    <w:rsid w:val="00973967"/>
    <w:rsid w:val="00975D02"/>
    <w:rsid w:val="009766F1"/>
    <w:rsid w:val="0097712B"/>
    <w:rsid w:val="00977675"/>
    <w:rsid w:val="00977E00"/>
    <w:rsid w:val="00980313"/>
    <w:rsid w:val="00980539"/>
    <w:rsid w:val="00981001"/>
    <w:rsid w:val="0098138A"/>
    <w:rsid w:val="00981799"/>
    <w:rsid w:val="00983222"/>
    <w:rsid w:val="0098387E"/>
    <w:rsid w:val="0098433D"/>
    <w:rsid w:val="00985A01"/>
    <w:rsid w:val="009861DB"/>
    <w:rsid w:val="00986853"/>
    <w:rsid w:val="0098698B"/>
    <w:rsid w:val="00987E3E"/>
    <w:rsid w:val="00987EC4"/>
    <w:rsid w:val="00991A36"/>
    <w:rsid w:val="00991E79"/>
    <w:rsid w:val="0099229A"/>
    <w:rsid w:val="00992DCE"/>
    <w:rsid w:val="00994755"/>
    <w:rsid w:val="00994F5F"/>
    <w:rsid w:val="00995556"/>
    <w:rsid w:val="00995AF1"/>
    <w:rsid w:val="00995D8C"/>
    <w:rsid w:val="009975A8"/>
    <w:rsid w:val="009A1D33"/>
    <w:rsid w:val="009A441E"/>
    <w:rsid w:val="009A446C"/>
    <w:rsid w:val="009A4794"/>
    <w:rsid w:val="009A7537"/>
    <w:rsid w:val="009A7788"/>
    <w:rsid w:val="009B101A"/>
    <w:rsid w:val="009B1ED0"/>
    <w:rsid w:val="009B2A37"/>
    <w:rsid w:val="009B300D"/>
    <w:rsid w:val="009B35F8"/>
    <w:rsid w:val="009B3C72"/>
    <w:rsid w:val="009B3C88"/>
    <w:rsid w:val="009B3D8D"/>
    <w:rsid w:val="009B414D"/>
    <w:rsid w:val="009B42C3"/>
    <w:rsid w:val="009B522C"/>
    <w:rsid w:val="009B7037"/>
    <w:rsid w:val="009B7B47"/>
    <w:rsid w:val="009C08D3"/>
    <w:rsid w:val="009C1207"/>
    <w:rsid w:val="009C1CA3"/>
    <w:rsid w:val="009C3964"/>
    <w:rsid w:val="009C4306"/>
    <w:rsid w:val="009C499A"/>
    <w:rsid w:val="009C55B6"/>
    <w:rsid w:val="009C55F5"/>
    <w:rsid w:val="009C5689"/>
    <w:rsid w:val="009C733F"/>
    <w:rsid w:val="009D0C30"/>
    <w:rsid w:val="009D1496"/>
    <w:rsid w:val="009D1522"/>
    <w:rsid w:val="009D1F67"/>
    <w:rsid w:val="009D2D7E"/>
    <w:rsid w:val="009D3664"/>
    <w:rsid w:val="009D6D33"/>
    <w:rsid w:val="009D6FD7"/>
    <w:rsid w:val="009E0B52"/>
    <w:rsid w:val="009E25FB"/>
    <w:rsid w:val="009E431D"/>
    <w:rsid w:val="009E45B3"/>
    <w:rsid w:val="009E4E73"/>
    <w:rsid w:val="009E533A"/>
    <w:rsid w:val="009E5883"/>
    <w:rsid w:val="009E5AD7"/>
    <w:rsid w:val="009E69B6"/>
    <w:rsid w:val="009E6BA3"/>
    <w:rsid w:val="009E6CAF"/>
    <w:rsid w:val="009E7569"/>
    <w:rsid w:val="009E7CF5"/>
    <w:rsid w:val="009F04DA"/>
    <w:rsid w:val="009F0D69"/>
    <w:rsid w:val="009F11A1"/>
    <w:rsid w:val="009F231C"/>
    <w:rsid w:val="009F25D0"/>
    <w:rsid w:val="009F3C6C"/>
    <w:rsid w:val="009F489F"/>
    <w:rsid w:val="009F4A5D"/>
    <w:rsid w:val="009F5AE4"/>
    <w:rsid w:val="009F604C"/>
    <w:rsid w:val="00A00D36"/>
    <w:rsid w:val="00A048A5"/>
    <w:rsid w:val="00A04FDC"/>
    <w:rsid w:val="00A052B9"/>
    <w:rsid w:val="00A056E4"/>
    <w:rsid w:val="00A05CF7"/>
    <w:rsid w:val="00A05EDE"/>
    <w:rsid w:val="00A06178"/>
    <w:rsid w:val="00A065FE"/>
    <w:rsid w:val="00A07FB3"/>
    <w:rsid w:val="00A10EA7"/>
    <w:rsid w:val="00A11399"/>
    <w:rsid w:val="00A119A1"/>
    <w:rsid w:val="00A11EC3"/>
    <w:rsid w:val="00A11F54"/>
    <w:rsid w:val="00A123E3"/>
    <w:rsid w:val="00A12A0D"/>
    <w:rsid w:val="00A12FC4"/>
    <w:rsid w:val="00A13014"/>
    <w:rsid w:val="00A14750"/>
    <w:rsid w:val="00A20672"/>
    <w:rsid w:val="00A20B22"/>
    <w:rsid w:val="00A21165"/>
    <w:rsid w:val="00A218C3"/>
    <w:rsid w:val="00A21A6A"/>
    <w:rsid w:val="00A229C6"/>
    <w:rsid w:val="00A235DA"/>
    <w:rsid w:val="00A2405D"/>
    <w:rsid w:val="00A24F08"/>
    <w:rsid w:val="00A25395"/>
    <w:rsid w:val="00A25422"/>
    <w:rsid w:val="00A26290"/>
    <w:rsid w:val="00A2629F"/>
    <w:rsid w:val="00A2705B"/>
    <w:rsid w:val="00A2723B"/>
    <w:rsid w:val="00A30B3F"/>
    <w:rsid w:val="00A30ED3"/>
    <w:rsid w:val="00A310F0"/>
    <w:rsid w:val="00A3197B"/>
    <w:rsid w:val="00A31CF3"/>
    <w:rsid w:val="00A31DA3"/>
    <w:rsid w:val="00A33254"/>
    <w:rsid w:val="00A342BF"/>
    <w:rsid w:val="00A3469B"/>
    <w:rsid w:val="00A3580A"/>
    <w:rsid w:val="00A36462"/>
    <w:rsid w:val="00A36F5A"/>
    <w:rsid w:val="00A37B7E"/>
    <w:rsid w:val="00A40596"/>
    <w:rsid w:val="00A40684"/>
    <w:rsid w:val="00A4087C"/>
    <w:rsid w:val="00A41B65"/>
    <w:rsid w:val="00A42FF2"/>
    <w:rsid w:val="00A43027"/>
    <w:rsid w:val="00A43B21"/>
    <w:rsid w:val="00A4525C"/>
    <w:rsid w:val="00A46AD9"/>
    <w:rsid w:val="00A47680"/>
    <w:rsid w:val="00A504E7"/>
    <w:rsid w:val="00A511FF"/>
    <w:rsid w:val="00A51590"/>
    <w:rsid w:val="00A52E9B"/>
    <w:rsid w:val="00A5320D"/>
    <w:rsid w:val="00A53EFB"/>
    <w:rsid w:val="00A542FB"/>
    <w:rsid w:val="00A54DBE"/>
    <w:rsid w:val="00A55B70"/>
    <w:rsid w:val="00A565B2"/>
    <w:rsid w:val="00A56801"/>
    <w:rsid w:val="00A607B4"/>
    <w:rsid w:val="00A607FC"/>
    <w:rsid w:val="00A62E67"/>
    <w:rsid w:val="00A63D6D"/>
    <w:rsid w:val="00A65843"/>
    <w:rsid w:val="00A663C1"/>
    <w:rsid w:val="00A6643B"/>
    <w:rsid w:val="00A66683"/>
    <w:rsid w:val="00A7025A"/>
    <w:rsid w:val="00A70603"/>
    <w:rsid w:val="00A70975"/>
    <w:rsid w:val="00A70E04"/>
    <w:rsid w:val="00A71840"/>
    <w:rsid w:val="00A71883"/>
    <w:rsid w:val="00A71F25"/>
    <w:rsid w:val="00A72419"/>
    <w:rsid w:val="00A7283F"/>
    <w:rsid w:val="00A751EC"/>
    <w:rsid w:val="00A758DF"/>
    <w:rsid w:val="00A75AF3"/>
    <w:rsid w:val="00A75FED"/>
    <w:rsid w:val="00A77025"/>
    <w:rsid w:val="00A770C0"/>
    <w:rsid w:val="00A7789F"/>
    <w:rsid w:val="00A77EF4"/>
    <w:rsid w:val="00A8074F"/>
    <w:rsid w:val="00A81678"/>
    <w:rsid w:val="00A8249A"/>
    <w:rsid w:val="00A82F40"/>
    <w:rsid w:val="00A8426F"/>
    <w:rsid w:val="00A84291"/>
    <w:rsid w:val="00A85324"/>
    <w:rsid w:val="00A85C69"/>
    <w:rsid w:val="00A85F63"/>
    <w:rsid w:val="00A85FD7"/>
    <w:rsid w:val="00A862C4"/>
    <w:rsid w:val="00A86340"/>
    <w:rsid w:val="00A8648C"/>
    <w:rsid w:val="00A869D6"/>
    <w:rsid w:val="00A86FBF"/>
    <w:rsid w:val="00A9020E"/>
    <w:rsid w:val="00A906AC"/>
    <w:rsid w:val="00A911DD"/>
    <w:rsid w:val="00A91713"/>
    <w:rsid w:val="00A9233F"/>
    <w:rsid w:val="00A9326E"/>
    <w:rsid w:val="00A93504"/>
    <w:rsid w:val="00A93F15"/>
    <w:rsid w:val="00A947B3"/>
    <w:rsid w:val="00A954AD"/>
    <w:rsid w:val="00A96279"/>
    <w:rsid w:val="00A9663E"/>
    <w:rsid w:val="00A96D2D"/>
    <w:rsid w:val="00A9718F"/>
    <w:rsid w:val="00A97E31"/>
    <w:rsid w:val="00A97E3D"/>
    <w:rsid w:val="00AA0B8B"/>
    <w:rsid w:val="00AA126E"/>
    <w:rsid w:val="00AA1AF2"/>
    <w:rsid w:val="00AA2232"/>
    <w:rsid w:val="00AA23B8"/>
    <w:rsid w:val="00AA2CD2"/>
    <w:rsid w:val="00AA3788"/>
    <w:rsid w:val="00AA3D14"/>
    <w:rsid w:val="00AA448B"/>
    <w:rsid w:val="00AA4DE1"/>
    <w:rsid w:val="00AA5BC0"/>
    <w:rsid w:val="00AA66E4"/>
    <w:rsid w:val="00AA7B15"/>
    <w:rsid w:val="00AB041A"/>
    <w:rsid w:val="00AB0481"/>
    <w:rsid w:val="00AB0F2D"/>
    <w:rsid w:val="00AB1112"/>
    <w:rsid w:val="00AB1499"/>
    <w:rsid w:val="00AB1B8B"/>
    <w:rsid w:val="00AB219B"/>
    <w:rsid w:val="00AB3A2D"/>
    <w:rsid w:val="00AB572F"/>
    <w:rsid w:val="00AB5DDA"/>
    <w:rsid w:val="00AB7C0C"/>
    <w:rsid w:val="00AC0BCB"/>
    <w:rsid w:val="00AC1191"/>
    <w:rsid w:val="00AC1CFE"/>
    <w:rsid w:val="00AC249A"/>
    <w:rsid w:val="00AC2850"/>
    <w:rsid w:val="00AC2EA0"/>
    <w:rsid w:val="00AC3310"/>
    <w:rsid w:val="00AC3D59"/>
    <w:rsid w:val="00AC41E1"/>
    <w:rsid w:val="00AC48C3"/>
    <w:rsid w:val="00AC589C"/>
    <w:rsid w:val="00AC66F3"/>
    <w:rsid w:val="00AC6A34"/>
    <w:rsid w:val="00AC7007"/>
    <w:rsid w:val="00AC7500"/>
    <w:rsid w:val="00AC7DA2"/>
    <w:rsid w:val="00AC7DFA"/>
    <w:rsid w:val="00AD0C82"/>
    <w:rsid w:val="00AD2B2C"/>
    <w:rsid w:val="00AD35F9"/>
    <w:rsid w:val="00AD3B1A"/>
    <w:rsid w:val="00AD5DC1"/>
    <w:rsid w:val="00AD71D1"/>
    <w:rsid w:val="00AE1CD2"/>
    <w:rsid w:val="00AE280D"/>
    <w:rsid w:val="00AE29F3"/>
    <w:rsid w:val="00AE2AE5"/>
    <w:rsid w:val="00AE2FA3"/>
    <w:rsid w:val="00AE37CE"/>
    <w:rsid w:val="00AE458D"/>
    <w:rsid w:val="00AE5163"/>
    <w:rsid w:val="00AE53AB"/>
    <w:rsid w:val="00AE673B"/>
    <w:rsid w:val="00AE6D7D"/>
    <w:rsid w:val="00AF02A9"/>
    <w:rsid w:val="00AF1C4B"/>
    <w:rsid w:val="00AF22EF"/>
    <w:rsid w:val="00AF237C"/>
    <w:rsid w:val="00AF2B1A"/>
    <w:rsid w:val="00AF2D95"/>
    <w:rsid w:val="00AF4FBF"/>
    <w:rsid w:val="00AF60F6"/>
    <w:rsid w:val="00AF63B0"/>
    <w:rsid w:val="00AF65C4"/>
    <w:rsid w:val="00AF6790"/>
    <w:rsid w:val="00B003D8"/>
    <w:rsid w:val="00B01FE1"/>
    <w:rsid w:val="00B03BBC"/>
    <w:rsid w:val="00B05175"/>
    <w:rsid w:val="00B0542A"/>
    <w:rsid w:val="00B05792"/>
    <w:rsid w:val="00B05FD6"/>
    <w:rsid w:val="00B06730"/>
    <w:rsid w:val="00B06DD6"/>
    <w:rsid w:val="00B07DF7"/>
    <w:rsid w:val="00B07EC0"/>
    <w:rsid w:val="00B10851"/>
    <w:rsid w:val="00B108A4"/>
    <w:rsid w:val="00B1125E"/>
    <w:rsid w:val="00B114D8"/>
    <w:rsid w:val="00B1235D"/>
    <w:rsid w:val="00B131AE"/>
    <w:rsid w:val="00B13639"/>
    <w:rsid w:val="00B14DEC"/>
    <w:rsid w:val="00B153CB"/>
    <w:rsid w:val="00B15F52"/>
    <w:rsid w:val="00B1645C"/>
    <w:rsid w:val="00B16F51"/>
    <w:rsid w:val="00B1776D"/>
    <w:rsid w:val="00B17817"/>
    <w:rsid w:val="00B20403"/>
    <w:rsid w:val="00B205E6"/>
    <w:rsid w:val="00B20860"/>
    <w:rsid w:val="00B2092D"/>
    <w:rsid w:val="00B21FE5"/>
    <w:rsid w:val="00B220F1"/>
    <w:rsid w:val="00B23C06"/>
    <w:rsid w:val="00B24089"/>
    <w:rsid w:val="00B2488E"/>
    <w:rsid w:val="00B26808"/>
    <w:rsid w:val="00B2682A"/>
    <w:rsid w:val="00B27ABB"/>
    <w:rsid w:val="00B27E1F"/>
    <w:rsid w:val="00B30BA9"/>
    <w:rsid w:val="00B30EE6"/>
    <w:rsid w:val="00B3112B"/>
    <w:rsid w:val="00B31BAD"/>
    <w:rsid w:val="00B330AE"/>
    <w:rsid w:val="00B3438A"/>
    <w:rsid w:val="00B34A1A"/>
    <w:rsid w:val="00B34B1C"/>
    <w:rsid w:val="00B3548E"/>
    <w:rsid w:val="00B3671B"/>
    <w:rsid w:val="00B36E4E"/>
    <w:rsid w:val="00B37811"/>
    <w:rsid w:val="00B400E2"/>
    <w:rsid w:val="00B414F0"/>
    <w:rsid w:val="00B43518"/>
    <w:rsid w:val="00B43A81"/>
    <w:rsid w:val="00B43AA3"/>
    <w:rsid w:val="00B446EE"/>
    <w:rsid w:val="00B44863"/>
    <w:rsid w:val="00B46049"/>
    <w:rsid w:val="00B47DC0"/>
    <w:rsid w:val="00B50147"/>
    <w:rsid w:val="00B518B2"/>
    <w:rsid w:val="00B51E0C"/>
    <w:rsid w:val="00B52659"/>
    <w:rsid w:val="00B5297E"/>
    <w:rsid w:val="00B529A1"/>
    <w:rsid w:val="00B52D20"/>
    <w:rsid w:val="00B542DA"/>
    <w:rsid w:val="00B543A0"/>
    <w:rsid w:val="00B54551"/>
    <w:rsid w:val="00B547AF"/>
    <w:rsid w:val="00B54860"/>
    <w:rsid w:val="00B5544B"/>
    <w:rsid w:val="00B55C6B"/>
    <w:rsid w:val="00B5630D"/>
    <w:rsid w:val="00B567FF"/>
    <w:rsid w:val="00B57CBB"/>
    <w:rsid w:val="00B60DC6"/>
    <w:rsid w:val="00B624A3"/>
    <w:rsid w:val="00B62785"/>
    <w:rsid w:val="00B627DF"/>
    <w:rsid w:val="00B62838"/>
    <w:rsid w:val="00B62B3F"/>
    <w:rsid w:val="00B63268"/>
    <w:rsid w:val="00B637C6"/>
    <w:rsid w:val="00B639DA"/>
    <w:rsid w:val="00B63F23"/>
    <w:rsid w:val="00B6400D"/>
    <w:rsid w:val="00B6428C"/>
    <w:rsid w:val="00B6482B"/>
    <w:rsid w:val="00B66A19"/>
    <w:rsid w:val="00B67036"/>
    <w:rsid w:val="00B67E5A"/>
    <w:rsid w:val="00B70A33"/>
    <w:rsid w:val="00B70D6C"/>
    <w:rsid w:val="00B714F8"/>
    <w:rsid w:val="00B72094"/>
    <w:rsid w:val="00B74749"/>
    <w:rsid w:val="00B748C8"/>
    <w:rsid w:val="00B75127"/>
    <w:rsid w:val="00B75465"/>
    <w:rsid w:val="00B75877"/>
    <w:rsid w:val="00B75988"/>
    <w:rsid w:val="00B773B4"/>
    <w:rsid w:val="00B779C0"/>
    <w:rsid w:val="00B77D45"/>
    <w:rsid w:val="00B8123B"/>
    <w:rsid w:val="00B820C4"/>
    <w:rsid w:val="00B82197"/>
    <w:rsid w:val="00B82299"/>
    <w:rsid w:val="00B846A5"/>
    <w:rsid w:val="00B84FB5"/>
    <w:rsid w:val="00B873B0"/>
    <w:rsid w:val="00B87628"/>
    <w:rsid w:val="00B87AEA"/>
    <w:rsid w:val="00B87B7E"/>
    <w:rsid w:val="00B91642"/>
    <w:rsid w:val="00B91685"/>
    <w:rsid w:val="00B917DF"/>
    <w:rsid w:val="00B920EF"/>
    <w:rsid w:val="00B9436C"/>
    <w:rsid w:val="00B956EB"/>
    <w:rsid w:val="00B959A9"/>
    <w:rsid w:val="00B9747C"/>
    <w:rsid w:val="00BA0DB6"/>
    <w:rsid w:val="00BA1590"/>
    <w:rsid w:val="00BA1E58"/>
    <w:rsid w:val="00BA4150"/>
    <w:rsid w:val="00BA4D4E"/>
    <w:rsid w:val="00BA577D"/>
    <w:rsid w:val="00BA59A9"/>
    <w:rsid w:val="00BA7020"/>
    <w:rsid w:val="00BA76BB"/>
    <w:rsid w:val="00BB1080"/>
    <w:rsid w:val="00BB1F29"/>
    <w:rsid w:val="00BB2991"/>
    <w:rsid w:val="00BB2F2B"/>
    <w:rsid w:val="00BB3FC6"/>
    <w:rsid w:val="00BB5F55"/>
    <w:rsid w:val="00BB6F05"/>
    <w:rsid w:val="00BB73EB"/>
    <w:rsid w:val="00BB768A"/>
    <w:rsid w:val="00BC0B64"/>
    <w:rsid w:val="00BC2944"/>
    <w:rsid w:val="00BC3C2C"/>
    <w:rsid w:val="00BC4641"/>
    <w:rsid w:val="00BC4AB3"/>
    <w:rsid w:val="00BC4BA0"/>
    <w:rsid w:val="00BC54BD"/>
    <w:rsid w:val="00BC6304"/>
    <w:rsid w:val="00BC65B0"/>
    <w:rsid w:val="00BC6AFA"/>
    <w:rsid w:val="00BC7091"/>
    <w:rsid w:val="00BC739E"/>
    <w:rsid w:val="00BC75A9"/>
    <w:rsid w:val="00BC760A"/>
    <w:rsid w:val="00BD0467"/>
    <w:rsid w:val="00BD090E"/>
    <w:rsid w:val="00BD0BB7"/>
    <w:rsid w:val="00BD2988"/>
    <w:rsid w:val="00BD403F"/>
    <w:rsid w:val="00BD4E96"/>
    <w:rsid w:val="00BD5289"/>
    <w:rsid w:val="00BD5C6F"/>
    <w:rsid w:val="00BD6EB9"/>
    <w:rsid w:val="00BD74B0"/>
    <w:rsid w:val="00BD7626"/>
    <w:rsid w:val="00BD78F9"/>
    <w:rsid w:val="00BE00EE"/>
    <w:rsid w:val="00BE055F"/>
    <w:rsid w:val="00BE069E"/>
    <w:rsid w:val="00BE0C0C"/>
    <w:rsid w:val="00BE57DF"/>
    <w:rsid w:val="00BE6DB8"/>
    <w:rsid w:val="00BE7103"/>
    <w:rsid w:val="00BE72DA"/>
    <w:rsid w:val="00BE795F"/>
    <w:rsid w:val="00BE7FE1"/>
    <w:rsid w:val="00BF18F7"/>
    <w:rsid w:val="00BF4E56"/>
    <w:rsid w:val="00BF5853"/>
    <w:rsid w:val="00BF63CD"/>
    <w:rsid w:val="00BF6C6D"/>
    <w:rsid w:val="00BF6E24"/>
    <w:rsid w:val="00BF7785"/>
    <w:rsid w:val="00BF7AC6"/>
    <w:rsid w:val="00BF7E92"/>
    <w:rsid w:val="00C0011E"/>
    <w:rsid w:val="00C002F9"/>
    <w:rsid w:val="00C00532"/>
    <w:rsid w:val="00C007A9"/>
    <w:rsid w:val="00C00C11"/>
    <w:rsid w:val="00C0364B"/>
    <w:rsid w:val="00C06442"/>
    <w:rsid w:val="00C0791C"/>
    <w:rsid w:val="00C07954"/>
    <w:rsid w:val="00C10202"/>
    <w:rsid w:val="00C11F22"/>
    <w:rsid w:val="00C11F31"/>
    <w:rsid w:val="00C12058"/>
    <w:rsid w:val="00C13A29"/>
    <w:rsid w:val="00C14369"/>
    <w:rsid w:val="00C14DF2"/>
    <w:rsid w:val="00C14FAE"/>
    <w:rsid w:val="00C155BF"/>
    <w:rsid w:val="00C162BD"/>
    <w:rsid w:val="00C17DC4"/>
    <w:rsid w:val="00C2017F"/>
    <w:rsid w:val="00C20342"/>
    <w:rsid w:val="00C216AB"/>
    <w:rsid w:val="00C22475"/>
    <w:rsid w:val="00C226E8"/>
    <w:rsid w:val="00C239F6"/>
    <w:rsid w:val="00C259B1"/>
    <w:rsid w:val="00C25DCD"/>
    <w:rsid w:val="00C27266"/>
    <w:rsid w:val="00C30707"/>
    <w:rsid w:val="00C322A7"/>
    <w:rsid w:val="00C32928"/>
    <w:rsid w:val="00C32B72"/>
    <w:rsid w:val="00C32C66"/>
    <w:rsid w:val="00C32E6F"/>
    <w:rsid w:val="00C3370E"/>
    <w:rsid w:val="00C33E44"/>
    <w:rsid w:val="00C346CB"/>
    <w:rsid w:val="00C34DE6"/>
    <w:rsid w:val="00C35626"/>
    <w:rsid w:val="00C3592D"/>
    <w:rsid w:val="00C359E6"/>
    <w:rsid w:val="00C363E8"/>
    <w:rsid w:val="00C366D2"/>
    <w:rsid w:val="00C4025B"/>
    <w:rsid w:val="00C40F39"/>
    <w:rsid w:val="00C42D65"/>
    <w:rsid w:val="00C440D0"/>
    <w:rsid w:val="00C44502"/>
    <w:rsid w:val="00C4572F"/>
    <w:rsid w:val="00C4652D"/>
    <w:rsid w:val="00C469AD"/>
    <w:rsid w:val="00C46C0F"/>
    <w:rsid w:val="00C47A3F"/>
    <w:rsid w:val="00C50076"/>
    <w:rsid w:val="00C50164"/>
    <w:rsid w:val="00C506D5"/>
    <w:rsid w:val="00C5074F"/>
    <w:rsid w:val="00C50C82"/>
    <w:rsid w:val="00C51221"/>
    <w:rsid w:val="00C53240"/>
    <w:rsid w:val="00C53844"/>
    <w:rsid w:val="00C53E1B"/>
    <w:rsid w:val="00C5481D"/>
    <w:rsid w:val="00C56087"/>
    <w:rsid w:val="00C562F0"/>
    <w:rsid w:val="00C57B02"/>
    <w:rsid w:val="00C60CE8"/>
    <w:rsid w:val="00C60FDA"/>
    <w:rsid w:val="00C62376"/>
    <w:rsid w:val="00C632E2"/>
    <w:rsid w:val="00C63F62"/>
    <w:rsid w:val="00C63FD8"/>
    <w:rsid w:val="00C6438A"/>
    <w:rsid w:val="00C6725F"/>
    <w:rsid w:val="00C67C3F"/>
    <w:rsid w:val="00C67FC3"/>
    <w:rsid w:val="00C70799"/>
    <w:rsid w:val="00C709BD"/>
    <w:rsid w:val="00C70AB5"/>
    <w:rsid w:val="00C71373"/>
    <w:rsid w:val="00C714C3"/>
    <w:rsid w:val="00C72B57"/>
    <w:rsid w:val="00C72DE1"/>
    <w:rsid w:val="00C730D9"/>
    <w:rsid w:val="00C7413F"/>
    <w:rsid w:val="00C7466A"/>
    <w:rsid w:val="00C749EF"/>
    <w:rsid w:val="00C75DAD"/>
    <w:rsid w:val="00C772EE"/>
    <w:rsid w:val="00C809D7"/>
    <w:rsid w:val="00C8123F"/>
    <w:rsid w:val="00C81F7F"/>
    <w:rsid w:val="00C825E8"/>
    <w:rsid w:val="00C85776"/>
    <w:rsid w:val="00C86336"/>
    <w:rsid w:val="00C86DE4"/>
    <w:rsid w:val="00C873E4"/>
    <w:rsid w:val="00C91FA4"/>
    <w:rsid w:val="00C931A0"/>
    <w:rsid w:val="00C93678"/>
    <w:rsid w:val="00C941D9"/>
    <w:rsid w:val="00C942EC"/>
    <w:rsid w:val="00C9488B"/>
    <w:rsid w:val="00C949E2"/>
    <w:rsid w:val="00C9510F"/>
    <w:rsid w:val="00C95EA0"/>
    <w:rsid w:val="00C966E3"/>
    <w:rsid w:val="00C976D1"/>
    <w:rsid w:val="00C97811"/>
    <w:rsid w:val="00C978AA"/>
    <w:rsid w:val="00CA067B"/>
    <w:rsid w:val="00CA13EE"/>
    <w:rsid w:val="00CA1B7E"/>
    <w:rsid w:val="00CA34EE"/>
    <w:rsid w:val="00CA4117"/>
    <w:rsid w:val="00CA53A1"/>
    <w:rsid w:val="00CA57D9"/>
    <w:rsid w:val="00CA5E5A"/>
    <w:rsid w:val="00CA6323"/>
    <w:rsid w:val="00CA69DF"/>
    <w:rsid w:val="00CB0052"/>
    <w:rsid w:val="00CB0376"/>
    <w:rsid w:val="00CB15D9"/>
    <w:rsid w:val="00CB3B2F"/>
    <w:rsid w:val="00CB3C72"/>
    <w:rsid w:val="00CB4FCC"/>
    <w:rsid w:val="00CB565B"/>
    <w:rsid w:val="00CB5851"/>
    <w:rsid w:val="00CB5B33"/>
    <w:rsid w:val="00CB6334"/>
    <w:rsid w:val="00CB69B0"/>
    <w:rsid w:val="00CC043E"/>
    <w:rsid w:val="00CC1BD5"/>
    <w:rsid w:val="00CC1DE7"/>
    <w:rsid w:val="00CC39A0"/>
    <w:rsid w:val="00CC46CF"/>
    <w:rsid w:val="00CC483F"/>
    <w:rsid w:val="00CC4B40"/>
    <w:rsid w:val="00CC6997"/>
    <w:rsid w:val="00CC6B92"/>
    <w:rsid w:val="00CC7A5C"/>
    <w:rsid w:val="00CD0313"/>
    <w:rsid w:val="00CD137F"/>
    <w:rsid w:val="00CD1C35"/>
    <w:rsid w:val="00CD24E3"/>
    <w:rsid w:val="00CD25B4"/>
    <w:rsid w:val="00CD3927"/>
    <w:rsid w:val="00CD3E5B"/>
    <w:rsid w:val="00CD41E0"/>
    <w:rsid w:val="00CD5712"/>
    <w:rsid w:val="00CD6060"/>
    <w:rsid w:val="00CD62EC"/>
    <w:rsid w:val="00CD6C82"/>
    <w:rsid w:val="00CE007E"/>
    <w:rsid w:val="00CE11F5"/>
    <w:rsid w:val="00CE321C"/>
    <w:rsid w:val="00CE3A04"/>
    <w:rsid w:val="00CE43F1"/>
    <w:rsid w:val="00CE4518"/>
    <w:rsid w:val="00CE4DDB"/>
    <w:rsid w:val="00CE5B11"/>
    <w:rsid w:val="00CE65E5"/>
    <w:rsid w:val="00CF0999"/>
    <w:rsid w:val="00CF1705"/>
    <w:rsid w:val="00CF2698"/>
    <w:rsid w:val="00CF32A5"/>
    <w:rsid w:val="00CF3451"/>
    <w:rsid w:val="00CF4743"/>
    <w:rsid w:val="00CF5A3E"/>
    <w:rsid w:val="00CF6DA7"/>
    <w:rsid w:val="00CF7123"/>
    <w:rsid w:val="00CF73F9"/>
    <w:rsid w:val="00CF7441"/>
    <w:rsid w:val="00D002A7"/>
    <w:rsid w:val="00D00FAB"/>
    <w:rsid w:val="00D017A2"/>
    <w:rsid w:val="00D03014"/>
    <w:rsid w:val="00D031B2"/>
    <w:rsid w:val="00D05C33"/>
    <w:rsid w:val="00D060AF"/>
    <w:rsid w:val="00D06D15"/>
    <w:rsid w:val="00D07AA4"/>
    <w:rsid w:val="00D10903"/>
    <w:rsid w:val="00D11BA4"/>
    <w:rsid w:val="00D12017"/>
    <w:rsid w:val="00D125E5"/>
    <w:rsid w:val="00D13923"/>
    <w:rsid w:val="00D13F04"/>
    <w:rsid w:val="00D14519"/>
    <w:rsid w:val="00D145A3"/>
    <w:rsid w:val="00D14CAB"/>
    <w:rsid w:val="00D16C22"/>
    <w:rsid w:val="00D16D14"/>
    <w:rsid w:val="00D1772B"/>
    <w:rsid w:val="00D179D2"/>
    <w:rsid w:val="00D17CDD"/>
    <w:rsid w:val="00D2050E"/>
    <w:rsid w:val="00D20B78"/>
    <w:rsid w:val="00D20B9A"/>
    <w:rsid w:val="00D21624"/>
    <w:rsid w:val="00D21746"/>
    <w:rsid w:val="00D2181D"/>
    <w:rsid w:val="00D22968"/>
    <w:rsid w:val="00D229CC"/>
    <w:rsid w:val="00D22D48"/>
    <w:rsid w:val="00D22F86"/>
    <w:rsid w:val="00D2302C"/>
    <w:rsid w:val="00D23BFB"/>
    <w:rsid w:val="00D24C63"/>
    <w:rsid w:val="00D25228"/>
    <w:rsid w:val="00D25515"/>
    <w:rsid w:val="00D263C7"/>
    <w:rsid w:val="00D26CDF"/>
    <w:rsid w:val="00D27F15"/>
    <w:rsid w:val="00D30BD4"/>
    <w:rsid w:val="00D30CDE"/>
    <w:rsid w:val="00D32CD6"/>
    <w:rsid w:val="00D343A9"/>
    <w:rsid w:val="00D3468D"/>
    <w:rsid w:val="00D3553D"/>
    <w:rsid w:val="00D3566A"/>
    <w:rsid w:val="00D35B7A"/>
    <w:rsid w:val="00D35BD7"/>
    <w:rsid w:val="00D36367"/>
    <w:rsid w:val="00D368D1"/>
    <w:rsid w:val="00D3728C"/>
    <w:rsid w:val="00D40053"/>
    <w:rsid w:val="00D40A1D"/>
    <w:rsid w:val="00D41A69"/>
    <w:rsid w:val="00D4306E"/>
    <w:rsid w:val="00D44C0D"/>
    <w:rsid w:val="00D45DCE"/>
    <w:rsid w:val="00D45F6B"/>
    <w:rsid w:val="00D46725"/>
    <w:rsid w:val="00D46921"/>
    <w:rsid w:val="00D4752F"/>
    <w:rsid w:val="00D47D87"/>
    <w:rsid w:val="00D50AFE"/>
    <w:rsid w:val="00D54873"/>
    <w:rsid w:val="00D556BA"/>
    <w:rsid w:val="00D55932"/>
    <w:rsid w:val="00D55B4A"/>
    <w:rsid w:val="00D55D20"/>
    <w:rsid w:val="00D56AC1"/>
    <w:rsid w:val="00D56D05"/>
    <w:rsid w:val="00D56EEE"/>
    <w:rsid w:val="00D60243"/>
    <w:rsid w:val="00D60B87"/>
    <w:rsid w:val="00D61130"/>
    <w:rsid w:val="00D61256"/>
    <w:rsid w:val="00D613CC"/>
    <w:rsid w:val="00D6189A"/>
    <w:rsid w:val="00D62129"/>
    <w:rsid w:val="00D62204"/>
    <w:rsid w:val="00D62A3E"/>
    <w:rsid w:val="00D63298"/>
    <w:rsid w:val="00D63744"/>
    <w:rsid w:val="00D63C83"/>
    <w:rsid w:val="00D64A97"/>
    <w:rsid w:val="00D656DC"/>
    <w:rsid w:val="00D65940"/>
    <w:rsid w:val="00D66328"/>
    <w:rsid w:val="00D70421"/>
    <w:rsid w:val="00D745B4"/>
    <w:rsid w:val="00D74974"/>
    <w:rsid w:val="00D75BDC"/>
    <w:rsid w:val="00D75F8C"/>
    <w:rsid w:val="00D765DA"/>
    <w:rsid w:val="00D76A01"/>
    <w:rsid w:val="00D77052"/>
    <w:rsid w:val="00D77B1C"/>
    <w:rsid w:val="00D80720"/>
    <w:rsid w:val="00D80A13"/>
    <w:rsid w:val="00D80A64"/>
    <w:rsid w:val="00D80FA9"/>
    <w:rsid w:val="00D814E0"/>
    <w:rsid w:val="00D81A0E"/>
    <w:rsid w:val="00D81C90"/>
    <w:rsid w:val="00D8216C"/>
    <w:rsid w:val="00D82214"/>
    <w:rsid w:val="00D82A20"/>
    <w:rsid w:val="00D82D02"/>
    <w:rsid w:val="00D8310B"/>
    <w:rsid w:val="00D83B78"/>
    <w:rsid w:val="00D84E61"/>
    <w:rsid w:val="00D8519B"/>
    <w:rsid w:val="00D8524D"/>
    <w:rsid w:val="00D855E1"/>
    <w:rsid w:val="00D86AC7"/>
    <w:rsid w:val="00D8713F"/>
    <w:rsid w:val="00D87814"/>
    <w:rsid w:val="00D906B1"/>
    <w:rsid w:val="00D9096B"/>
    <w:rsid w:val="00D91D17"/>
    <w:rsid w:val="00D9204F"/>
    <w:rsid w:val="00D929E7"/>
    <w:rsid w:val="00D92E9A"/>
    <w:rsid w:val="00D9329B"/>
    <w:rsid w:val="00D944F0"/>
    <w:rsid w:val="00D94DDB"/>
    <w:rsid w:val="00D9509F"/>
    <w:rsid w:val="00D964B6"/>
    <w:rsid w:val="00D97480"/>
    <w:rsid w:val="00D97DAD"/>
    <w:rsid w:val="00DA14E5"/>
    <w:rsid w:val="00DA16AC"/>
    <w:rsid w:val="00DA2A44"/>
    <w:rsid w:val="00DA3801"/>
    <w:rsid w:val="00DA3D00"/>
    <w:rsid w:val="00DA3DEB"/>
    <w:rsid w:val="00DA5860"/>
    <w:rsid w:val="00DA609D"/>
    <w:rsid w:val="00DA60A6"/>
    <w:rsid w:val="00DA662F"/>
    <w:rsid w:val="00DA734D"/>
    <w:rsid w:val="00DB27EA"/>
    <w:rsid w:val="00DB48BF"/>
    <w:rsid w:val="00DB6458"/>
    <w:rsid w:val="00DB6978"/>
    <w:rsid w:val="00DB7C25"/>
    <w:rsid w:val="00DC0991"/>
    <w:rsid w:val="00DC12C6"/>
    <w:rsid w:val="00DC1B77"/>
    <w:rsid w:val="00DC421B"/>
    <w:rsid w:val="00DC42F5"/>
    <w:rsid w:val="00DC4CC0"/>
    <w:rsid w:val="00DC5DF0"/>
    <w:rsid w:val="00DC7110"/>
    <w:rsid w:val="00DC7178"/>
    <w:rsid w:val="00DC788D"/>
    <w:rsid w:val="00DC7D37"/>
    <w:rsid w:val="00DD08E0"/>
    <w:rsid w:val="00DD0E8F"/>
    <w:rsid w:val="00DD1339"/>
    <w:rsid w:val="00DD1CEC"/>
    <w:rsid w:val="00DD30B0"/>
    <w:rsid w:val="00DD41C3"/>
    <w:rsid w:val="00DD4400"/>
    <w:rsid w:val="00DD4F5F"/>
    <w:rsid w:val="00DD59A7"/>
    <w:rsid w:val="00DD5CFB"/>
    <w:rsid w:val="00DD6E3B"/>
    <w:rsid w:val="00DE399C"/>
    <w:rsid w:val="00DE3A5E"/>
    <w:rsid w:val="00DE457B"/>
    <w:rsid w:val="00DE6DCD"/>
    <w:rsid w:val="00DE7140"/>
    <w:rsid w:val="00DF17F7"/>
    <w:rsid w:val="00DF2066"/>
    <w:rsid w:val="00DF207A"/>
    <w:rsid w:val="00DF2B35"/>
    <w:rsid w:val="00DF3AB5"/>
    <w:rsid w:val="00DF7885"/>
    <w:rsid w:val="00DF792D"/>
    <w:rsid w:val="00DF7B88"/>
    <w:rsid w:val="00E00C72"/>
    <w:rsid w:val="00E02188"/>
    <w:rsid w:val="00E02474"/>
    <w:rsid w:val="00E04D7A"/>
    <w:rsid w:val="00E07255"/>
    <w:rsid w:val="00E07540"/>
    <w:rsid w:val="00E0775D"/>
    <w:rsid w:val="00E10AB1"/>
    <w:rsid w:val="00E11F9A"/>
    <w:rsid w:val="00E12375"/>
    <w:rsid w:val="00E124EC"/>
    <w:rsid w:val="00E124F0"/>
    <w:rsid w:val="00E12901"/>
    <w:rsid w:val="00E13575"/>
    <w:rsid w:val="00E146FD"/>
    <w:rsid w:val="00E14FD0"/>
    <w:rsid w:val="00E1629D"/>
    <w:rsid w:val="00E16936"/>
    <w:rsid w:val="00E16F51"/>
    <w:rsid w:val="00E20964"/>
    <w:rsid w:val="00E2214B"/>
    <w:rsid w:val="00E22246"/>
    <w:rsid w:val="00E222BE"/>
    <w:rsid w:val="00E22D2D"/>
    <w:rsid w:val="00E22F2F"/>
    <w:rsid w:val="00E233B7"/>
    <w:rsid w:val="00E23540"/>
    <w:rsid w:val="00E23DA7"/>
    <w:rsid w:val="00E242DE"/>
    <w:rsid w:val="00E245B1"/>
    <w:rsid w:val="00E2461A"/>
    <w:rsid w:val="00E24962"/>
    <w:rsid w:val="00E254EF"/>
    <w:rsid w:val="00E25543"/>
    <w:rsid w:val="00E26083"/>
    <w:rsid w:val="00E272CB"/>
    <w:rsid w:val="00E306E5"/>
    <w:rsid w:val="00E30976"/>
    <w:rsid w:val="00E316C5"/>
    <w:rsid w:val="00E31D07"/>
    <w:rsid w:val="00E31FA1"/>
    <w:rsid w:val="00E32EBA"/>
    <w:rsid w:val="00E3329C"/>
    <w:rsid w:val="00E3349B"/>
    <w:rsid w:val="00E34635"/>
    <w:rsid w:val="00E34896"/>
    <w:rsid w:val="00E349E7"/>
    <w:rsid w:val="00E35471"/>
    <w:rsid w:val="00E356E1"/>
    <w:rsid w:val="00E3720C"/>
    <w:rsid w:val="00E37697"/>
    <w:rsid w:val="00E37BA4"/>
    <w:rsid w:val="00E37F22"/>
    <w:rsid w:val="00E4153F"/>
    <w:rsid w:val="00E415B1"/>
    <w:rsid w:val="00E415E8"/>
    <w:rsid w:val="00E422EE"/>
    <w:rsid w:val="00E42D51"/>
    <w:rsid w:val="00E44572"/>
    <w:rsid w:val="00E452D4"/>
    <w:rsid w:val="00E459CC"/>
    <w:rsid w:val="00E47F9B"/>
    <w:rsid w:val="00E500B8"/>
    <w:rsid w:val="00E5013D"/>
    <w:rsid w:val="00E50BE3"/>
    <w:rsid w:val="00E51465"/>
    <w:rsid w:val="00E516B6"/>
    <w:rsid w:val="00E51C7B"/>
    <w:rsid w:val="00E5256E"/>
    <w:rsid w:val="00E5273D"/>
    <w:rsid w:val="00E53A2D"/>
    <w:rsid w:val="00E54017"/>
    <w:rsid w:val="00E54759"/>
    <w:rsid w:val="00E54764"/>
    <w:rsid w:val="00E55F50"/>
    <w:rsid w:val="00E56ACB"/>
    <w:rsid w:val="00E60205"/>
    <w:rsid w:val="00E604C2"/>
    <w:rsid w:val="00E60656"/>
    <w:rsid w:val="00E617DC"/>
    <w:rsid w:val="00E61EC0"/>
    <w:rsid w:val="00E63237"/>
    <w:rsid w:val="00E63E63"/>
    <w:rsid w:val="00E647A7"/>
    <w:rsid w:val="00E64C4A"/>
    <w:rsid w:val="00E656EF"/>
    <w:rsid w:val="00E65724"/>
    <w:rsid w:val="00E65DF4"/>
    <w:rsid w:val="00E70210"/>
    <w:rsid w:val="00E704FF"/>
    <w:rsid w:val="00E70DB4"/>
    <w:rsid w:val="00E71887"/>
    <w:rsid w:val="00E7391E"/>
    <w:rsid w:val="00E75F00"/>
    <w:rsid w:val="00E75FAB"/>
    <w:rsid w:val="00E76817"/>
    <w:rsid w:val="00E76DFE"/>
    <w:rsid w:val="00E76FB5"/>
    <w:rsid w:val="00E81010"/>
    <w:rsid w:val="00E81125"/>
    <w:rsid w:val="00E8294A"/>
    <w:rsid w:val="00E82D31"/>
    <w:rsid w:val="00E830F5"/>
    <w:rsid w:val="00E8312E"/>
    <w:rsid w:val="00E836C1"/>
    <w:rsid w:val="00E83EC4"/>
    <w:rsid w:val="00E8444C"/>
    <w:rsid w:val="00E84626"/>
    <w:rsid w:val="00E84C7E"/>
    <w:rsid w:val="00E84D82"/>
    <w:rsid w:val="00E857A7"/>
    <w:rsid w:val="00E85ACE"/>
    <w:rsid w:val="00E865F9"/>
    <w:rsid w:val="00E86BDB"/>
    <w:rsid w:val="00E87CAA"/>
    <w:rsid w:val="00E90482"/>
    <w:rsid w:val="00E9141A"/>
    <w:rsid w:val="00E915B0"/>
    <w:rsid w:val="00E91794"/>
    <w:rsid w:val="00E91ECC"/>
    <w:rsid w:val="00E920E3"/>
    <w:rsid w:val="00E946ED"/>
    <w:rsid w:val="00E94A2F"/>
    <w:rsid w:val="00E94B0D"/>
    <w:rsid w:val="00E94EA9"/>
    <w:rsid w:val="00E95ED8"/>
    <w:rsid w:val="00E97CCF"/>
    <w:rsid w:val="00EA0603"/>
    <w:rsid w:val="00EA0776"/>
    <w:rsid w:val="00EA0FB8"/>
    <w:rsid w:val="00EA1325"/>
    <w:rsid w:val="00EA2425"/>
    <w:rsid w:val="00EA2708"/>
    <w:rsid w:val="00EA390D"/>
    <w:rsid w:val="00EA4311"/>
    <w:rsid w:val="00EA47E6"/>
    <w:rsid w:val="00EA4B7D"/>
    <w:rsid w:val="00EA5697"/>
    <w:rsid w:val="00EA5853"/>
    <w:rsid w:val="00EA6E19"/>
    <w:rsid w:val="00EA6E32"/>
    <w:rsid w:val="00EA7114"/>
    <w:rsid w:val="00EA747F"/>
    <w:rsid w:val="00EA7617"/>
    <w:rsid w:val="00EA7A45"/>
    <w:rsid w:val="00EA7CD3"/>
    <w:rsid w:val="00EB04DE"/>
    <w:rsid w:val="00EB0A2B"/>
    <w:rsid w:val="00EB1419"/>
    <w:rsid w:val="00EB143E"/>
    <w:rsid w:val="00EB1C50"/>
    <w:rsid w:val="00EB37C4"/>
    <w:rsid w:val="00EB4281"/>
    <w:rsid w:val="00EB430B"/>
    <w:rsid w:val="00EB47F1"/>
    <w:rsid w:val="00EB4825"/>
    <w:rsid w:val="00EB4BA7"/>
    <w:rsid w:val="00EB50AB"/>
    <w:rsid w:val="00EB53AC"/>
    <w:rsid w:val="00EB6677"/>
    <w:rsid w:val="00EC092E"/>
    <w:rsid w:val="00EC0E14"/>
    <w:rsid w:val="00EC1D28"/>
    <w:rsid w:val="00EC2B0D"/>
    <w:rsid w:val="00EC303B"/>
    <w:rsid w:val="00EC388E"/>
    <w:rsid w:val="00EC4DFC"/>
    <w:rsid w:val="00EC55EA"/>
    <w:rsid w:val="00EC64FF"/>
    <w:rsid w:val="00EC6907"/>
    <w:rsid w:val="00EC6C72"/>
    <w:rsid w:val="00EC7E79"/>
    <w:rsid w:val="00ED0249"/>
    <w:rsid w:val="00ED06AA"/>
    <w:rsid w:val="00ED0EF7"/>
    <w:rsid w:val="00ED31B9"/>
    <w:rsid w:val="00ED36E3"/>
    <w:rsid w:val="00ED3901"/>
    <w:rsid w:val="00ED436E"/>
    <w:rsid w:val="00ED454F"/>
    <w:rsid w:val="00ED48D2"/>
    <w:rsid w:val="00ED61EC"/>
    <w:rsid w:val="00ED73FD"/>
    <w:rsid w:val="00ED7B0C"/>
    <w:rsid w:val="00ED7D72"/>
    <w:rsid w:val="00EE1CFC"/>
    <w:rsid w:val="00EE3902"/>
    <w:rsid w:val="00EE4778"/>
    <w:rsid w:val="00EE50E0"/>
    <w:rsid w:val="00EE5DA9"/>
    <w:rsid w:val="00EE6DFE"/>
    <w:rsid w:val="00EF0181"/>
    <w:rsid w:val="00EF025F"/>
    <w:rsid w:val="00EF1590"/>
    <w:rsid w:val="00EF1896"/>
    <w:rsid w:val="00EF2F55"/>
    <w:rsid w:val="00EF4BC1"/>
    <w:rsid w:val="00EF58D3"/>
    <w:rsid w:val="00EF7379"/>
    <w:rsid w:val="00F00B12"/>
    <w:rsid w:val="00F01B40"/>
    <w:rsid w:val="00F033FE"/>
    <w:rsid w:val="00F0468F"/>
    <w:rsid w:val="00F0769A"/>
    <w:rsid w:val="00F07A12"/>
    <w:rsid w:val="00F118DF"/>
    <w:rsid w:val="00F11E8C"/>
    <w:rsid w:val="00F12742"/>
    <w:rsid w:val="00F14C13"/>
    <w:rsid w:val="00F158F8"/>
    <w:rsid w:val="00F15A3D"/>
    <w:rsid w:val="00F15C80"/>
    <w:rsid w:val="00F1603E"/>
    <w:rsid w:val="00F16F20"/>
    <w:rsid w:val="00F1716C"/>
    <w:rsid w:val="00F21816"/>
    <w:rsid w:val="00F22D2E"/>
    <w:rsid w:val="00F22E74"/>
    <w:rsid w:val="00F23310"/>
    <w:rsid w:val="00F233CD"/>
    <w:rsid w:val="00F24B47"/>
    <w:rsid w:val="00F24C97"/>
    <w:rsid w:val="00F26183"/>
    <w:rsid w:val="00F26241"/>
    <w:rsid w:val="00F26B66"/>
    <w:rsid w:val="00F27669"/>
    <w:rsid w:val="00F27CC2"/>
    <w:rsid w:val="00F30E09"/>
    <w:rsid w:val="00F310E7"/>
    <w:rsid w:val="00F31A16"/>
    <w:rsid w:val="00F322C8"/>
    <w:rsid w:val="00F330F3"/>
    <w:rsid w:val="00F33DF2"/>
    <w:rsid w:val="00F341AF"/>
    <w:rsid w:val="00F34440"/>
    <w:rsid w:val="00F35BD1"/>
    <w:rsid w:val="00F35DE6"/>
    <w:rsid w:val="00F35FFB"/>
    <w:rsid w:val="00F36939"/>
    <w:rsid w:val="00F41207"/>
    <w:rsid w:val="00F41890"/>
    <w:rsid w:val="00F4190D"/>
    <w:rsid w:val="00F421C5"/>
    <w:rsid w:val="00F42517"/>
    <w:rsid w:val="00F4267F"/>
    <w:rsid w:val="00F43A6C"/>
    <w:rsid w:val="00F43B41"/>
    <w:rsid w:val="00F43D6D"/>
    <w:rsid w:val="00F444B3"/>
    <w:rsid w:val="00F45671"/>
    <w:rsid w:val="00F46237"/>
    <w:rsid w:val="00F46FF8"/>
    <w:rsid w:val="00F47108"/>
    <w:rsid w:val="00F50DDE"/>
    <w:rsid w:val="00F52482"/>
    <w:rsid w:val="00F53925"/>
    <w:rsid w:val="00F53E40"/>
    <w:rsid w:val="00F54B04"/>
    <w:rsid w:val="00F54CA9"/>
    <w:rsid w:val="00F5505E"/>
    <w:rsid w:val="00F55396"/>
    <w:rsid w:val="00F557C5"/>
    <w:rsid w:val="00F55B10"/>
    <w:rsid w:val="00F55D75"/>
    <w:rsid w:val="00F56BC9"/>
    <w:rsid w:val="00F571A4"/>
    <w:rsid w:val="00F575D9"/>
    <w:rsid w:val="00F5770C"/>
    <w:rsid w:val="00F57E23"/>
    <w:rsid w:val="00F60F09"/>
    <w:rsid w:val="00F64EC0"/>
    <w:rsid w:val="00F655D6"/>
    <w:rsid w:val="00F66039"/>
    <w:rsid w:val="00F662AD"/>
    <w:rsid w:val="00F66331"/>
    <w:rsid w:val="00F67A99"/>
    <w:rsid w:val="00F67F1D"/>
    <w:rsid w:val="00F67F76"/>
    <w:rsid w:val="00F70C1F"/>
    <w:rsid w:val="00F71050"/>
    <w:rsid w:val="00F7145B"/>
    <w:rsid w:val="00F721A3"/>
    <w:rsid w:val="00F72358"/>
    <w:rsid w:val="00F723EF"/>
    <w:rsid w:val="00F723FC"/>
    <w:rsid w:val="00F7258C"/>
    <w:rsid w:val="00F727E3"/>
    <w:rsid w:val="00F72A0A"/>
    <w:rsid w:val="00F73428"/>
    <w:rsid w:val="00F737D9"/>
    <w:rsid w:val="00F738AF"/>
    <w:rsid w:val="00F74B52"/>
    <w:rsid w:val="00F74FA4"/>
    <w:rsid w:val="00F75E85"/>
    <w:rsid w:val="00F80066"/>
    <w:rsid w:val="00F80327"/>
    <w:rsid w:val="00F80370"/>
    <w:rsid w:val="00F815AF"/>
    <w:rsid w:val="00F81E37"/>
    <w:rsid w:val="00F81E55"/>
    <w:rsid w:val="00F82390"/>
    <w:rsid w:val="00F82DD4"/>
    <w:rsid w:val="00F8548B"/>
    <w:rsid w:val="00F85C88"/>
    <w:rsid w:val="00F8683A"/>
    <w:rsid w:val="00F87359"/>
    <w:rsid w:val="00F8790D"/>
    <w:rsid w:val="00F87D2F"/>
    <w:rsid w:val="00F9108C"/>
    <w:rsid w:val="00F92595"/>
    <w:rsid w:val="00F92BF2"/>
    <w:rsid w:val="00F945FC"/>
    <w:rsid w:val="00F94B85"/>
    <w:rsid w:val="00F95016"/>
    <w:rsid w:val="00F957BF"/>
    <w:rsid w:val="00F959C2"/>
    <w:rsid w:val="00F95F6A"/>
    <w:rsid w:val="00F97645"/>
    <w:rsid w:val="00F9783F"/>
    <w:rsid w:val="00FA03C5"/>
    <w:rsid w:val="00FA0C3E"/>
    <w:rsid w:val="00FA0F43"/>
    <w:rsid w:val="00FA1A2F"/>
    <w:rsid w:val="00FA4EB1"/>
    <w:rsid w:val="00FA7FA3"/>
    <w:rsid w:val="00FB04B0"/>
    <w:rsid w:val="00FB1C41"/>
    <w:rsid w:val="00FB264E"/>
    <w:rsid w:val="00FB479D"/>
    <w:rsid w:val="00FB73AB"/>
    <w:rsid w:val="00FB7FAF"/>
    <w:rsid w:val="00FB7FDB"/>
    <w:rsid w:val="00FC0785"/>
    <w:rsid w:val="00FC07AB"/>
    <w:rsid w:val="00FC2AE6"/>
    <w:rsid w:val="00FC2F71"/>
    <w:rsid w:val="00FC2F95"/>
    <w:rsid w:val="00FC3CE2"/>
    <w:rsid w:val="00FC4580"/>
    <w:rsid w:val="00FC4DCD"/>
    <w:rsid w:val="00FC57F4"/>
    <w:rsid w:val="00FC58A8"/>
    <w:rsid w:val="00FC64FE"/>
    <w:rsid w:val="00FC6E1E"/>
    <w:rsid w:val="00FC751A"/>
    <w:rsid w:val="00FC7614"/>
    <w:rsid w:val="00FD0026"/>
    <w:rsid w:val="00FD020C"/>
    <w:rsid w:val="00FD0563"/>
    <w:rsid w:val="00FD105D"/>
    <w:rsid w:val="00FD2832"/>
    <w:rsid w:val="00FD45CF"/>
    <w:rsid w:val="00FD6697"/>
    <w:rsid w:val="00FE0882"/>
    <w:rsid w:val="00FE1736"/>
    <w:rsid w:val="00FE1A15"/>
    <w:rsid w:val="00FE3612"/>
    <w:rsid w:val="00FE7679"/>
    <w:rsid w:val="00FE7977"/>
    <w:rsid w:val="00FE797A"/>
    <w:rsid w:val="00FF09D7"/>
    <w:rsid w:val="00FF0AA3"/>
    <w:rsid w:val="00FF100C"/>
    <w:rsid w:val="00FF10A8"/>
    <w:rsid w:val="00FF1314"/>
    <w:rsid w:val="00FF23FA"/>
    <w:rsid w:val="00FF2E0C"/>
    <w:rsid w:val="00FF301F"/>
    <w:rsid w:val="00FF302E"/>
    <w:rsid w:val="00FF31AF"/>
    <w:rsid w:val="00FF47B7"/>
    <w:rsid w:val="00FF4C17"/>
    <w:rsid w:val="00FF5302"/>
    <w:rsid w:val="00FF690A"/>
    <w:rsid w:val="00FF6FB5"/>
    <w:rsid w:val="00FF712B"/>
    <w:rsid w:val="00FF7D3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C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80"/>
  </w:style>
  <w:style w:type="paragraph" w:styleId="Heading1">
    <w:name w:val="heading 1"/>
    <w:basedOn w:val="Normal"/>
    <w:next w:val="Normal"/>
    <w:link w:val="Heading1Char"/>
    <w:uiPriority w:val="9"/>
    <w:qFormat/>
    <w:rsid w:val="008C2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35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63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20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6F7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A80"/>
    <w:pPr>
      <w:ind w:left="720"/>
      <w:contextualSpacing/>
    </w:pPr>
  </w:style>
  <w:style w:type="paragraph" w:styleId="FootnoteText">
    <w:name w:val="footnote text"/>
    <w:basedOn w:val="Normal"/>
    <w:link w:val="FootnoteTextChar"/>
    <w:uiPriority w:val="99"/>
    <w:unhideWhenUsed/>
    <w:rsid w:val="00283A80"/>
    <w:pPr>
      <w:spacing w:after="0" w:line="240" w:lineRule="auto"/>
    </w:pPr>
    <w:rPr>
      <w:sz w:val="20"/>
      <w:szCs w:val="20"/>
    </w:rPr>
  </w:style>
  <w:style w:type="character" w:customStyle="1" w:styleId="FootnoteTextChar">
    <w:name w:val="Footnote Text Char"/>
    <w:basedOn w:val="DefaultParagraphFont"/>
    <w:link w:val="FootnoteText"/>
    <w:uiPriority w:val="99"/>
    <w:rsid w:val="00283A80"/>
    <w:rPr>
      <w:sz w:val="20"/>
      <w:szCs w:val="20"/>
    </w:rPr>
  </w:style>
  <w:style w:type="character" w:styleId="FootnoteReference">
    <w:name w:val="footnote reference"/>
    <w:basedOn w:val="DefaultParagraphFont"/>
    <w:uiPriority w:val="99"/>
    <w:unhideWhenUsed/>
    <w:rsid w:val="00283A80"/>
    <w:rPr>
      <w:vertAlign w:val="superscript"/>
    </w:rPr>
  </w:style>
  <w:style w:type="character" w:styleId="Hyperlink">
    <w:name w:val="Hyperlink"/>
    <w:basedOn w:val="DefaultParagraphFont"/>
    <w:uiPriority w:val="99"/>
    <w:unhideWhenUsed/>
    <w:rsid w:val="00283A80"/>
    <w:rPr>
      <w:color w:val="0563C1" w:themeColor="hyperlink"/>
      <w:u w:val="single"/>
    </w:rPr>
  </w:style>
  <w:style w:type="character" w:styleId="UnresolvedMention">
    <w:name w:val="Unresolved Mention"/>
    <w:basedOn w:val="DefaultParagraphFont"/>
    <w:uiPriority w:val="99"/>
    <w:semiHidden/>
    <w:unhideWhenUsed/>
    <w:rsid w:val="006344E3"/>
    <w:rPr>
      <w:color w:val="605E5C"/>
      <w:shd w:val="clear" w:color="auto" w:fill="E1DFDD"/>
    </w:rPr>
  </w:style>
  <w:style w:type="character" w:customStyle="1" w:styleId="Heading1Char">
    <w:name w:val="Heading 1 Char"/>
    <w:basedOn w:val="DefaultParagraphFont"/>
    <w:link w:val="Heading1"/>
    <w:uiPriority w:val="9"/>
    <w:rsid w:val="008C254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47F9B"/>
    <w:rPr>
      <w:color w:val="954F72" w:themeColor="followedHyperlink"/>
      <w:u w:val="single"/>
    </w:rPr>
  </w:style>
  <w:style w:type="paragraph" w:styleId="Header">
    <w:name w:val="header"/>
    <w:basedOn w:val="Normal"/>
    <w:link w:val="HeaderChar"/>
    <w:uiPriority w:val="99"/>
    <w:unhideWhenUsed/>
    <w:rsid w:val="0081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35F"/>
  </w:style>
  <w:style w:type="paragraph" w:styleId="Footer">
    <w:name w:val="footer"/>
    <w:basedOn w:val="Normal"/>
    <w:link w:val="FooterChar"/>
    <w:uiPriority w:val="99"/>
    <w:unhideWhenUsed/>
    <w:rsid w:val="0081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35F"/>
  </w:style>
  <w:style w:type="character" w:customStyle="1" w:styleId="Heading2Char">
    <w:name w:val="Heading 2 Char"/>
    <w:basedOn w:val="DefaultParagraphFont"/>
    <w:link w:val="Heading2"/>
    <w:uiPriority w:val="9"/>
    <w:rsid w:val="00A9350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76F72"/>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636E05"/>
    <w:rPr>
      <w:sz w:val="16"/>
      <w:szCs w:val="16"/>
    </w:rPr>
  </w:style>
  <w:style w:type="paragraph" w:styleId="CommentText">
    <w:name w:val="annotation text"/>
    <w:basedOn w:val="Normal"/>
    <w:link w:val="CommentTextChar"/>
    <w:uiPriority w:val="99"/>
    <w:unhideWhenUsed/>
    <w:rsid w:val="007E454D"/>
    <w:pPr>
      <w:spacing w:line="240" w:lineRule="auto"/>
    </w:pPr>
    <w:rPr>
      <w:sz w:val="20"/>
      <w:szCs w:val="20"/>
    </w:rPr>
  </w:style>
  <w:style w:type="character" w:customStyle="1" w:styleId="CommentTextChar">
    <w:name w:val="Comment Text Char"/>
    <w:basedOn w:val="DefaultParagraphFont"/>
    <w:link w:val="CommentText"/>
    <w:uiPriority w:val="99"/>
    <w:rsid w:val="00636E05"/>
    <w:rPr>
      <w:sz w:val="20"/>
      <w:szCs w:val="20"/>
    </w:rPr>
  </w:style>
  <w:style w:type="paragraph" w:styleId="CommentSubject">
    <w:name w:val="annotation subject"/>
    <w:basedOn w:val="CommentText"/>
    <w:next w:val="CommentText"/>
    <w:link w:val="CommentSubjectChar"/>
    <w:uiPriority w:val="99"/>
    <w:semiHidden/>
    <w:unhideWhenUsed/>
    <w:rsid w:val="00636E05"/>
    <w:rPr>
      <w:b/>
      <w:bCs/>
    </w:rPr>
  </w:style>
  <w:style w:type="character" w:customStyle="1" w:styleId="CommentSubjectChar">
    <w:name w:val="Comment Subject Char"/>
    <w:basedOn w:val="CommentTextChar"/>
    <w:link w:val="CommentSubject"/>
    <w:uiPriority w:val="99"/>
    <w:semiHidden/>
    <w:rsid w:val="00636E05"/>
    <w:rPr>
      <w:b/>
      <w:bCs/>
      <w:sz w:val="20"/>
      <w:szCs w:val="20"/>
    </w:rPr>
  </w:style>
  <w:style w:type="paragraph" w:styleId="Revision">
    <w:name w:val="Revision"/>
    <w:hidden/>
    <w:uiPriority w:val="99"/>
    <w:semiHidden/>
    <w:rsid w:val="00972267"/>
    <w:pPr>
      <w:spacing w:after="0" w:line="240" w:lineRule="auto"/>
    </w:pPr>
  </w:style>
  <w:style w:type="character" w:customStyle="1" w:styleId="apple-converted-space">
    <w:name w:val="apple-converted-space"/>
    <w:basedOn w:val="DefaultParagraphFont"/>
    <w:rsid w:val="001148EA"/>
  </w:style>
  <w:style w:type="character" w:styleId="Emphasis">
    <w:name w:val="Emphasis"/>
    <w:basedOn w:val="DefaultParagraphFont"/>
    <w:uiPriority w:val="20"/>
    <w:qFormat/>
    <w:rsid w:val="001148EA"/>
    <w:rPr>
      <w:i/>
      <w:iCs/>
    </w:rPr>
  </w:style>
  <w:style w:type="character" w:customStyle="1" w:styleId="Heading3Char">
    <w:name w:val="Heading 3 Char"/>
    <w:basedOn w:val="DefaultParagraphFont"/>
    <w:link w:val="Heading3"/>
    <w:uiPriority w:val="9"/>
    <w:rsid w:val="003B63F7"/>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3B63F7"/>
    <w:pPr>
      <w:numPr>
        <w:numId w:val="21"/>
      </w:numPr>
    </w:pPr>
  </w:style>
  <w:style w:type="character" w:styleId="PageNumber">
    <w:name w:val="page number"/>
    <w:basedOn w:val="DefaultParagraphFont"/>
    <w:uiPriority w:val="99"/>
    <w:semiHidden/>
    <w:unhideWhenUsed/>
    <w:rsid w:val="00C11F31"/>
  </w:style>
  <w:style w:type="character" w:customStyle="1" w:styleId="Heading4Char">
    <w:name w:val="Heading 4 Char"/>
    <w:basedOn w:val="DefaultParagraphFont"/>
    <w:link w:val="Heading4"/>
    <w:uiPriority w:val="9"/>
    <w:rsid w:val="00DF206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1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E1"/>
    <w:rPr>
      <w:rFonts w:ascii="Segoe UI" w:hAnsi="Segoe UI" w:cs="Segoe UI"/>
      <w:sz w:val="18"/>
      <w:szCs w:val="18"/>
    </w:rPr>
  </w:style>
  <w:style w:type="paragraph" w:styleId="EndnoteText">
    <w:name w:val="endnote text"/>
    <w:basedOn w:val="Normal"/>
    <w:link w:val="EndnoteTextChar"/>
    <w:uiPriority w:val="99"/>
    <w:semiHidden/>
    <w:unhideWhenUsed/>
    <w:rsid w:val="00555E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E11"/>
    <w:rPr>
      <w:sz w:val="20"/>
      <w:szCs w:val="20"/>
    </w:rPr>
  </w:style>
  <w:style w:type="character" w:styleId="EndnoteReference">
    <w:name w:val="endnote reference"/>
    <w:basedOn w:val="DefaultParagraphFont"/>
    <w:uiPriority w:val="99"/>
    <w:semiHidden/>
    <w:unhideWhenUsed/>
    <w:rsid w:val="00555E11"/>
    <w:rPr>
      <w:vertAlign w:val="superscript"/>
    </w:rPr>
  </w:style>
  <w:style w:type="paragraph" w:styleId="NoSpacing">
    <w:name w:val="No Spacing"/>
    <w:uiPriority w:val="1"/>
    <w:qFormat/>
    <w:rsid w:val="00633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4557">
      <w:bodyDiv w:val="1"/>
      <w:marLeft w:val="0"/>
      <w:marRight w:val="0"/>
      <w:marTop w:val="0"/>
      <w:marBottom w:val="0"/>
      <w:divBdr>
        <w:top w:val="none" w:sz="0" w:space="0" w:color="auto"/>
        <w:left w:val="none" w:sz="0" w:space="0" w:color="auto"/>
        <w:bottom w:val="none" w:sz="0" w:space="0" w:color="auto"/>
        <w:right w:val="none" w:sz="0" w:space="0" w:color="auto"/>
      </w:divBdr>
    </w:div>
    <w:div w:id="88628595">
      <w:bodyDiv w:val="1"/>
      <w:marLeft w:val="0"/>
      <w:marRight w:val="0"/>
      <w:marTop w:val="0"/>
      <w:marBottom w:val="0"/>
      <w:divBdr>
        <w:top w:val="none" w:sz="0" w:space="0" w:color="auto"/>
        <w:left w:val="none" w:sz="0" w:space="0" w:color="auto"/>
        <w:bottom w:val="none" w:sz="0" w:space="0" w:color="auto"/>
        <w:right w:val="none" w:sz="0" w:space="0" w:color="auto"/>
      </w:divBdr>
      <w:divsChild>
        <w:div w:id="670569080">
          <w:marLeft w:val="0"/>
          <w:marRight w:val="0"/>
          <w:marTop w:val="0"/>
          <w:marBottom w:val="750"/>
          <w:divBdr>
            <w:top w:val="none" w:sz="0" w:space="0" w:color="auto"/>
            <w:left w:val="none" w:sz="0" w:space="0" w:color="auto"/>
            <w:bottom w:val="none" w:sz="0" w:space="0" w:color="auto"/>
            <w:right w:val="none" w:sz="0" w:space="0" w:color="auto"/>
          </w:divBdr>
        </w:div>
      </w:divsChild>
    </w:div>
    <w:div w:id="266742250">
      <w:bodyDiv w:val="1"/>
      <w:marLeft w:val="0"/>
      <w:marRight w:val="0"/>
      <w:marTop w:val="0"/>
      <w:marBottom w:val="0"/>
      <w:divBdr>
        <w:top w:val="none" w:sz="0" w:space="0" w:color="auto"/>
        <w:left w:val="none" w:sz="0" w:space="0" w:color="auto"/>
        <w:bottom w:val="none" w:sz="0" w:space="0" w:color="auto"/>
        <w:right w:val="none" w:sz="0" w:space="0" w:color="auto"/>
      </w:divBdr>
    </w:div>
    <w:div w:id="586426686">
      <w:bodyDiv w:val="1"/>
      <w:marLeft w:val="0"/>
      <w:marRight w:val="0"/>
      <w:marTop w:val="0"/>
      <w:marBottom w:val="0"/>
      <w:divBdr>
        <w:top w:val="none" w:sz="0" w:space="0" w:color="auto"/>
        <w:left w:val="none" w:sz="0" w:space="0" w:color="auto"/>
        <w:bottom w:val="none" w:sz="0" w:space="0" w:color="auto"/>
        <w:right w:val="none" w:sz="0" w:space="0" w:color="auto"/>
      </w:divBdr>
    </w:div>
    <w:div w:id="754741140">
      <w:bodyDiv w:val="1"/>
      <w:marLeft w:val="0"/>
      <w:marRight w:val="0"/>
      <w:marTop w:val="0"/>
      <w:marBottom w:val="0"/>
      <w:divBdr>
        <w:top w:val="none" w:sz="0" w:space="0" w:color="auto"/>
        <w:left w:val="none" w:sz="0" w:space="0" w:color="auto"/>
        <w:bottom w:val="none" w:sz="0" w:space="0" w:color="auto"/>
        <w:right w:val="none" w:sz="0" w:space="0" w:color="auto"/>
      </w:divBdr>
    </w:div>
    <w:div w:id="903565993">
      <w:bodyDiv w:val="1"/>
      <w:marLeft w:val="0"/>
      <w:marRight w:val="0"/>
      <w:marTop w:val="0"/>
      <w:marBottom w:val="0"/>
      <w:divBdr>
        <w:top w:val="none" w:sz="0" w:space="0" w:color="auto"/>
        <w:left w:val="none" w:sz="0" w:space="0" w:color="auto"/>
        <w:bottom w:val="none" w:sz="0" w:space="0" w:color="auto"/>
        <w:right w:val="none" w:sz="0" w:space="0" w:color="auto"/>
      </w:divBdr>
    </w:div>
    <w:div w:id="937519139">
      <w:bodyDiv w:val="1"/>
      <w:marLeft w:val="0"/>
      <w:marRight w:val="0"/>
      <w:marTop w:val="0"/>
      <w:marBottom w:val="0"/>
      <w:divBdr>
        <w:top w:val="none" w:sz="0" w:space="0" w:color="auto"/>
        <w:left w:val="none" w:sz="0" w:space="0" w:color="auto"/>
        <w:bottom w:val="none" w:sz="0" w:space="0" w:color="auto"/>
        <w:right w:val="none" w:sz="0" w:space="0" w:color="auto"/>
      </w:divBdr>
    </w:div>
    <w:div w:id="1162501054">
      <w:bodyDiv w:val="1"/>
      <w:marLeft w:val="0"/>
      <w:marRight w:val="0"/>
      <w:marTop w:val="0"/>
      <w:marBottom w:val="0"/>
      <w:divBdr>
        <w:top w:val="none" w:sz="0" w:space="0" w:color="auto"/>
        <w:left w:val="none" w:sz="0" w:space="0" w:color="auto"/>
        <w:bottom w:val="none" w:sz="0" w:space="0" w:color="auto"/>
        <w:right w:val="none" w:sz="0" w:space="0" w:color="auto"/>
      </w:divBdr>
    </w:div>
    <w:div w:id="1389063241">
      <w:bodyDiv w:val="1"/>
      <w:marLeft w:val="0"/>
      <w:marRight w:val="0"/>
      <w:marTop w:val="0"/>
      <w:marBottom w:val="0"/>
      <w:divBdr>
        <w:top w:val="none" w:sz="0" w:space="0" w:color="auto"/>
        <w:left w:val="none" w:sz="0" w:space="0" w:color="auto"/>
        <w:bottom w:val="none" w:sz="0" w:space="0" w:color="auto"/>
        <w:right w:val="none" w:sz="0" w:space="0" w:color="auto"/>
      </w:divBdr>
    </w:div>
    <w:div w:id="1467165937">
      <w:bodyDiv w:val="1"/>
      <w:marLeft w:val="0"/>
      <w:marRight w:val="0"/>
      <w:marTop w:val="0"/>
      <w:marBottom w:val="0"/>
      <w:divBdr>
        <w:top w:val="none" w:sz="0" w:space="0" w:color="auto"/>
        <w:left w:val="none" w:sz="0" w:space="0" w:color="auto"/>
        <w:bottom w:val="none" w:sz="0" w:space="0" w:color="auto"/>
        <w:right w:val="none" w:sz="0" w:space="0" w:color="auto"/>
      </w:divBdr>
    </w:div>
    <w:div w:id="1544246804">
      <w:bodyDiv w:val="1"/>
      <w:marLeft w:val="0"/>
      <w:marRight w:val="0"/>
      <w:marTop w:val="0"/>
      <w:marBottom w:val="0"/>
      <w:divBdr>
        <w:top w:val="none" w:sz="0" w:space="0" w:color="auto"/>
        <w:left w:val="none" w:sz="0" w:space="0" w:color="auto"/>
        <w:bottom w:val="none" w:sz="0" w:space="0" w:color="auto"/>
        <w:right w:val="none" w:sz="0" w:space="0" w:color="auto"/>
      </w:divBdr>
    </w:div>
    <w:div w:id="1545751896">
      <w:bodyDiv w:val="1"/>
      <w:marLeft w:val="0"/>
      <w:marRight w:val="0"/>
      <w:marTop w:val="0"/>
      <w:marBottom w:val="0"/>
      <w:divBdr>
        <w:top w:val="none" w:sz="0" w:space="0" w:color="auto"/>
        <w:left w:val="none" w:sz="0" w:space="0" w:color="auto"/>
        <w:bottom w:val="none" w:sz="0" w:space="0" w:color="auto"/>
        <w:right w:val="none" w:sz="0" w:space="0" w:color="auto"/>
      </w:divBdr>
    </w:div>
    <w:div w:id="1761832413">
      <w:bodyDiv w:val="1"/>
      <w:marLeft w:val="0"/>
      <w:marRight w:val="0"/>
      <w:marTop w:val="0"/>
      <w:marBottom w:val="0"/>
      <w:divBdr>
        <w:top w:val="none" w:sz="0" w:space="0" w:color="auto"/>
        <w:left w:val="none" w:sz="0" w:space="0" w:color="auto"/>
        <w:bottom w:val="none" w:sz="0" w:space="0" w:color="auto"/>
        <w:right w:val="none" w:sz="0" w:space="0" w:color="auto"/>
      </w:divBdr>
    </w:div>
    <w:div w:id="1902475770">
      <w:bodyDiv w:val="1"/>
      <w:marLeft w:val="0"/>
      <w:marRight w:val="0"/>
      <w:marTop w:val="0"/>
      <w:marBottom w:val="0"/>
      <w:divBdr>
        <w:top w:val="none" w:sz="0" w:space="0" w:color="auto"/>
        <w:left w:val="none" w:sz="0" w:space="0" w:color="auto"/>
        <w:bottom w:val="none" w:sz="0" w:space="0" w:color="auto"/>
        <w:right w:val="none" w:sz="0" w:space="0" w:color="auto"/>
      </w:divBdr>
    </w:div>
    <w:div w:id="1911037945">
      <w:bodyDiv w:val="1"/>
      <w:marLeft w:val="0"/>
      <w:marRight w:val="0"/>
      <w:marTop w:val="0"/>
      <w:marBottom w:val="0"/>
      <w:divBdr>
        <w:top w:val="none" w:sz="0" w:space="0" w:color="auto"/>
        <w:left w:val="none" w:sz="0" w:space="0" w:color="auto"/>
        <w:bottom w:val="none" w:sz="0" w:space="0" w:color="auto"/>
        <w:right w:val="none" w:sz="0" w:space="0" w:color="auto"/>
      </w:divBdr>
    </w:div>
    <w:div w:id="1934238382">
      <w:bodyDiv w:val="1"/>
      <w:marLeft w:val="0"/>
      <w:marRight w:val="0"/>
      <w:marTop w:val="0"/>
      <w:marBottom w:val="0"/>
      <w:divBdr>
        <w:top w:val="none" w:sz="0" w:space="0" w:color="auto"/>
        <w:left w:val="none" w:sz="0" w:space="0" w:color="auto"/>
        <w:bottom w:val="none" w:sz="0" w:space="0" w:color="auto"/>
        <w:right w:val="none" w:sz="0" w:space="0" w:color="auto"/>
      </w:divBdr>
      <w:divsChild>
        <w:div w:id="460224975">
          <w:marLeft w:val="0"/>
          <w:marRight w:val="0"/>
          <w:marTop w:val="0"/>
          <w:marBottom w:val="0"/>
          <w:divBdr>
            <w:top w:val="none" w:sz="0" w:space="0" w:color="auto"/>
            <w:left w:val="none" w:sz="0" w:space="0" w:color="auto"/>
            <w:bottom w:val="none" w:sz="0" w:space="0" w:color="auto"/>
            <w:right w:val="none" w:sz="0" w:space="0" w:color="auto"/>
          </w:divBdr>
        </w:div>
        <w:div w:id="954023443">
          <w:marLeft w:val="0"/>
          <w:marRight w:val="0"/>
          <w:marTop w:val="0"/>
          <w:marBottom w:val="0"/>
          <w:divBdr>
            <w:top w:val="none" w:sz="0" w:space="0" w:color="auto"/>
            <w:left w:val="none" w:sz="0" w:space="0" w:color="auto"/>
            <w:bottom w:val="none" w:sz="0" w:space="0" w:color="auto"/>
            <w:right w:val="none" w:sz="0" w:space="0" w:color="auto"/>
          </w:divBdr>
        </w:div>
      </w:divsChild>
    </w:div>
    <w:div w:id="1949776426">
      <w:bodyDiv w:val="1"/>
      <w:marLeft w:val="0"/>
      <w:marRight w:val="0"/>
      <w:marTop w:val="0"/>
      <w:marBottom w:val="0"/>
      <w:divBdr>
        <w:top w:val="none" w:sz="0" w:space="0" w:color="auto"/>
        <w:left w:val="none" w:sz="0" w:space="0" w:color="auto"/>
        <w:bottom w:val="none" w:sz="0" w:space="0" w:color="auto"/>
        <w:right w:val="none" w:sz="0" w:space="0" w:color="auto"/>
      </w:divBdr>
    </w:div>
    <w:div w:id="20617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ailii.org/uk/cases/UKHL/1990/2.html" TargetMode="External"/><Relationship Id="rId13" Type="http://schemas.openxmlformats.org/officeDocument/2006/relationships/hyperlink" Target="https://www.legislation.gov.au/Details/C2018A00153" TargetMode="External"/><Relationship Id="rId18" Type="http://schemas.openxmlformats.org/officeDocument/2006/relationships/hyperlink" Target="https://www.amisdelaterre.org/wp-content/uploads/2023/02/decisiontj-paris-totalouganda-28fev2023.pdf" TargetMode="External"/><Relationship Id="rId3" Type="http://schemas.openxmlformats.org/officeDocument/2006/relationships/hyperlink" Target="https://decisions.scc-csc.ca/scc-csc/scc-csc/en/item/18169/index.do" TargetMode="External"/><Relationship Id="rId21" Type="http://schemas.openxmlformats.org/officeDocument/2006/relationships/hyperlink" Target="https://openjur.de/nw/lg_dortmund.html" TargetMode="External"/><Relationship Id="rId7" Type="http://schemas.openxmlformats.org/officeDocument/2006/relationships/hyperlink" Target="https://www.law.ox.ac.uk/sites/default/files/2022-10/9._civil_liabilities_for_human_rights_violations_england_and_wales.pdf" TargetMode="External"/><Relationship Id="rId12" Type="http://schemas.openxmlformats.org/officeDocument/2006/relationships/hyperlink" Target="https://www.amfori.org/sites/default/files/amfori-2020-26-02-Dutch-Child-Labour-Due-Diligence-Law.pdf" TargetMode="External"/><Relationship Id="rId17" Type="http://schemas.openxmlformats.org/officeDocument/2006/relationships/hyperlink" Target="https://www.parlament.gv.at/dokument/XXVII/A/1454/fnameorig_935996.html" TargetMode="External"/><Relationship Id="rId2" Type="http://schemas.openxmlformats.org/officeDocument/2006/relationships/hyperlink" Target="http://humanrightsinbusiness.eu/wp-content/uploads/2016/09/EXECUTIVE_SUMMARY_HRB_Research_Results.pdf" TargetMode="External"/><Relationship Id="rId16" Type="http://schemas.openxmlformats.org/officeDocument/2006/relationships/hyperlink" Target="https://www.lachambre.be/FLWB/PDF/55/1903/55K1903001.pdf" TargetMode="External"/><Relationship Id="rId20" Type="http://schemas.openxmlformats.org/officeDocument/2006/relationships/hyperlink" Target="https://www.eyeonesg.com/2023/03/business-and-human-rights-first-french-case-law-on-the-duty-of-vigilance-judges-adopt-a-cautious-approach-to-avoid-judicial-interference-in-corporate-management/" TargetMode="External"/><Relationship Id="rId1" Type="http://schemas.openxmlformats.org/officeDocument/2006/relationships/hyperlink" Target="https://assets.worldbenchmarkingalliance.org/app/uploads/2020/11/WBA-2020-CHRB-Key-FindingsReport.pdf%3e%20accessed%2003%20October%202022" TargetMode="External"/><Relationship Id="rId6" Type="http://schemas.openxmlformats.org/officeDocument/2006/relationships/hyperlink" Target="https://www.bailii.org/uk/cases/UKSC/2015/2.html" TargetMode="External"/><Relationship Id="rId11" Type="http://schemas.openxmlformats.org/officeDocument/2006/relationships/hyperlink" Target="https://www.csr-in-deutschland.de/SharedDocs/Downloads/EN/act-corporate-due-diligence-obligations-supply-chains.pdf?__blob=publicationFile" TargetMode="External"/><Relationship Id="rId5" Type="http://schemas.openxmlformats.org/officeDocument/2006/relationships/hyperlink" Target="https://www.angloamerican.com/~/media/Files/A/Anglo-American-Group/PLC/sustainability/approach-and-policies/hr-policy-document-english-oct-2021.pdf" TargetMode="External"/><Relationship Id="rId15" Type="http://schemas.openxmlformats.org/officeDocument/2006/relationships/hyperlink" Target="http://www.leginfo.ca.gov/pub/09-10/bill/sen/sb_0651-0700/sb_657_bill_20100930_chaptered.pdf" TargetMode="External"/><Relationship Id="rId23" Type="http://schemas.openxmlformats.org/officeDocument/2006/relationships/hyperlink" Target="https://shiftproject.org/resource/eu-csdd-proposal/shifts-analysis/" TargetMode="External"/><Relationship Id="rId10" Type="http://schemas.openxmlformats.org/officeDocument/2006/relationships/hyperlink" Target="https://papers.ssrn.com/sol3/papers.cfm?abstract_id=4115075" TargetMode="External"/><Relationship Id="rId19" Type="http://schemas.openxmlformats.org/officeDocument/2006/relationships/hyperlink" Target="https://ssrn.com/abstract=4522094" TargetMode="External"/><Relationship Id="rId4" Type="http://schemas.openxmlformats.org/officeDocument/2006/relationships/hyperlink" Target="https://www.theguardian.com/world/2022/dec/19/how-big-brands-like-tesco-are-drawn-to-wild-west-of-global-supply-chain" TargetMode="External"/><Relationship Id="rId9" Type="http://schemas.openxmlformats.org/officeDocument/2006/relationships/hyperlink" Target="https://uitspraken.rechtspraak.nl/inziendocument?id=ECLI:NL:GHDHA:2021:132&amp;showbutton=true" TargetMode="External"/><Relationship Id="rId14" Type="http://schemas.openxmlformats.org/officeDocument/2006/relationships/hyperlink" Target="https://www.legislation.gov.uk/ukpga/2015/30/contents/enacted" TargetMode="External"/><Relationship Id="rId22" Type="http://schemas.openxmlformats.org/officeDocument/2006/relationships/hyperlink" Target="https://openjur.de/u/21552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4947-0F0F-4E0A-8B8D-D4CC19C1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9097</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60829</CharactersWithSpaces>
  <SharedDoc>false</SharedDoc>
  <HLinks>
    <vt:vector size="102" baseType="variant">
      <vt:variant>
        <vt:i4>3407954</vt:i4>
      </vt:variant>
      <vt:variant>
        <vt:i4>48</vt:i4>
      </vt:variant>
      <vt:variant>
        <vt:i4>0</vt:i4>
      </vt:variant>
      <vt:variant>
        <vt:i4>5</vt:i4>
      </vt:variant>
      <vt:variant>
        <vt:lpwstr>https://openjur.de/nw/lg_dortmund.html</vt:lpwstr>
      </vt:variant>
      <vt:variant>
        <vt:lpwstr/>
      </vt:variant>
      <vt:variant>
        <vt:i4>4456460</vt:i4>
      </vt:variant>
      <vt:variant>
        <vt:i4>45</vt:i4>
      </vt:variant>
      <vt:variant>
        <vt:i4>0</vt:i4>
      </vt:variant>
      <vt:variant>
        <vt:i4>5</vt:i4>
      </vt:variant>
      <vt:variant>
        <vt:lpwstr>https://lovdata.no/dokument/NL/lov/2021-06-18-99</vt:lpwstr>
      </vt:variant>
      <vt:variant>
        <vt:lpwstr/>
      </vt:variant>
      <vt:variant>
        <vt:i4>7995425</vt:i4>
      </vt:variant>
      <vt:variant>
        <vt:i4>42</vt:i4>
      </vt:variant>
      <vt:variant>
        <vt:i4>0</vt:i4>
      </vt:variant>
      <vt:variant>
        <vt:i4>5</vt:i4>
      </vt:variant>
      <vt:variant>
        <vt:lpwstr>https://www.legislation.gov.au/Details/C2018A00153</vt:lpwstr>
      </vt:variant>
      <vt:variant>
        <vt:lpwstr/>
      </vt:variant>
      <vt:variant>
        <vt:i4>1310809</vt:i4>
      </vt:variant>
      <vt:variant>
        <vt:i4>39</vt:i4>
      </vt:variant>
      <vt:variant>
        <vt:i4>0</vt:i4>
      </vt:variant>
      <vt:variant>
        <vt:i4>5</vt:i4>
      </vt:variant>
      <vt:variant>
        <vt:lpwstr>https://www.legislation.gov.uk/ukpga/2015/30/contents/enacted</vt:lpwstr>
      </vt:variant>
      <vt:variant>
        <vt:lpwstr/>
      </vt:variant>
      <vt:variant>
        <vt:i4>4390937</vt:i4>
      </vt:variant>
      <vt:variant>
        <vt:i4>36</vt:i4>
      </vt:variant>
      <vt:variant>
        <vt:i4>0</vt:i4>
      </vt:variant>
      <vt:variant>
        <vt:i4>5</vt:i4>
      </vt:variant>
      <vt:variant>
        <vt:lpwstr>https://www.govinfo.gov/content/pkg/COMPS-9515/pdf/COMPS-9515.pdf</vt:lpwstr>
      </vt:variant>
      <vt:variant>
        <vt:lpwstr/>
      </vt:variant>
      <vt:variant>
        <vt:i4>3997757</vt:i4>
      </vt:variant>
      <vt:variant>
        <vt:i4>33</vt:i4>
      </vt:variant>
      <vt:variant>
        <vt:i4>0</vt:i4>
      </vt:variant>
      <vt:variant>
        <vt:i4>5</vt:i4>
      </vt:variant>
      <vt:variant>
        <vt:lpwstr>https://decisions.scc-csc.ca/scc-csc/scc-csc/en/item/18169/index.do</vt:lpwstr>
      </vt:variant>
      <vt:variant>
        <vt:lpwstr/>
      </vt:variant>
      <vt:variant>
        <vt:i4>3997822</vt:i4>
      </vt:variant>
      <vt:variant>
        <vt:i4>30</vt:i4>
      </vt:variant>
      <vt:variant>
        <vt:i4>0</vt:i4>
      </vt:variant>
      <vt:variant>
        <vt:i4>5</vt:i4>
      </vt:variant>
      <vt:variant>
        <vt:lpwstr>https://uitspraken.rechtspraak.nl/inziendocument?id=ECLI:NL:GHDHA:2021:132&amp;showbutton=true</vt:lpwstr>
      </vt:variant>
      <vt:variant>
        <vt:lpwstr/>
      </vt:variant>
      <vt:variant>
        <vt:i4>5242963</vt:i4>
      </vt:variant>
      <vt:variant>
        <vt:i4>27</vt:i4>
      </vt:variant>
      <vt:variant>
        <vt:i4>0</vt:i4>
      </vt:variant>
      <vt:variant>
        <vt:i4>5</vt:i4>
      </vt:variant>
      <vt:variant>
        <vt:lpwstr>https://eur-lex.europa.eu/legal-content/EN/TXT/PDF/?uri=CELEX:32020R0852&amp;from=EN</vt:lpwstr>
      </vt:variant>
      <vt:variant>
        <vt:lpwstr/>
      </vt:variant>
      <vt:variant>
        <vt:i4>2621561</vt:i4>
      </vt:variant>
      <vt:variant>
        <vt:i4>24</vt:i4>
      </vt:variant>
      <vt:variant>
        <vt:i4>0</vt:i4>
      </vt:variant>
      <vt:variant>
        <vt:i4>5</vt:i4>
      </vt:variant>
      <vt:variant>
        <vt:lpwstr>https://www.ohchr.org/en/business/ohchr-accountability-and-remedyproject</vt:lpwstr>
      </vt:variant>
      <vt:variant>
        <vt:lpwstr>:~:text=The%20right%20to%20remedy%20is%20a%20core%20tenet,the%20%22Access%20to%20Remedy%22%20pillar%20of%20the%20UNGPs</vt:lpwstr>
      </vt:variant>
      <vt:variant>
        <vt:i4>8257663</vt:i4>
      </vt:variant>
      <vt:variant>
        <vt:i4>21</vt:i4>
      </vt:variant>
      <vt:variant>
        <vt:i4>0</vt:i4>
      </vt:variant>
      <vt:variant>
        <vt:i4>5</vt:i4>
      </vt:variant>
      <vt:variant>
        <vt:lpwstr>https://www.amnesty.org/en/latest/news/2016/04/trafigura-a-toxic journey/</vt:lpwstr>
      </vt:variant>
      <vt:variant>
        <vt:lpwstr>:~:text=The%20toxic%20waste%20was%20finally%20dumped%20illegally%20in,in%20and%20around%20the%20main%20city%20of%20Abidjan</vt:lpwstr>
      </vt:variant>
      <vt:variant>
        <vt:i4>65627</vt:i4>
      </vt:variant>
      <vt:variant>
        <vt:i4>18</vt:i4>
      </vt:variant>
      <vt:variant>
        <vt:i4>0</vt:i4>
      </vt:variant>
      <vt:variant>
        <vt:i4>5</vt:i4>
      </vt:variant>
      <vt:variant>
        <vt:lpwstr>https://www.business-humanrights.org/en/blog/brumadinho-dam-collapse-lessons-in-corporate-due-diligence-and-remedy-for-harm-done/</vt:lpwstr>
      </vt:variant>
      <vt:variant>
        <vt:lpwstr/>
      </vt:variant>
      <vt:variant>
        <vt:i4>7667834</vt:i4>
      </vt:variant>
      <vt:variant>
        <vt:i4>15</vt:i4>
      </vt:variant>
      <vt:variant>
        <vt:i4>0</vt:i4>
      </vt:variant>
      <vt:variant>
        <vt:i4>5</vt:i4>
      </vt:variant>
      <vt:variant>
        <vt:lpwstr>https://www.amnesty.org/en/wp-content/uploads/2021/06/asa200032014en.pdf</vt:lpwstr>
      </vt:variant>
      <vt:variant>
        <vt:lpwstr>:~:text=Amnesty%20International%20urges%20the%20UN%20Human%20Rights%20Council%2C,negative%20human%20rights%20impacts%20of%20the%20Bhopal%20disaster</vt:lpwstr>
      </vt:variant>
      <vt:variant>
        <vt:i4>4915226</vt:i4>
      </vt:variant>
      <vt:variant>
        <vt:i4>12</vt:i4>
      </vt:variant>
      <vt:variant>
        <vt:i4>0</vt:i4>
      </vt:variant>
      <vt:variant>
        <vt:i4>5</vt:i4>
      </vt:variant>
      <vt:variant>
        <vt:lpwstr>https://op.europa.eu/en/publication-detail/-/publication/8ba0a8fd-4c83-11ea-b8b7-01aa75ed71a1/language-en</vt:lpwstr>
      </vt:variant>
      <vt:variant>
        <vt:lpwstr/>
      </vt:variant>
      <vt:variant>
        <vt:i4>5439562</vt:i4>
      </vt:variant>
      <vt:variant>
        <vt:i4>9</vt:i4>
      </vt:variant>
      <vt:variant>
        <vt:i4>0</vt:i4>
      </vt:variant>
      <vt:variant>
        <vt:i4>5</vt:i4>
      </vt:variant>
      <vt:variant>
        <vt:lpwstr>https://assets.worldbenchmarkingalliance.org/app/uploads/2020/11/WBA-2020-CHRB-Key-FindingsReport.pdf%3e accessed 03 October 2022</vt:lpwstr>
      </vt:variant>
      <vt:variant>
        <vt:lpwstr/>
      </vt:variant>
      <vt:variant>
        <vt:i4>721010</vt:i4>
      </vt:variant>
      <vt:variant>
        <vt:i4>6</vt:i4>
      </vt:variant>
      <vt:variant>
        <vt:i4>0</vt:i4>
      </vt:variant>
      <vt:variant>
        <vt:i4>5</vt:i4>
      </vt:variant>
      <vt:variant>
        <vt:lpwstr>https://investorsforhumanrights.org/sites/default/files/attachments/202004/The Investor Case for mHRDD - FINAL_3.pdf</vt:lpwstr>
      </vt:variant>
      <vt:variant>
        <vt:lpwstr/>
      </vt:variant>
      <vt:variant>
        <vt:i4>3997814</vt:i4>
      </vt:variant>
      <vt:variant>
        <vt:i4>3</vt:i4>
      </vt:variant>
      <vt:variant>
        <vt:i4>0</vt:i4>
      </vt:variant>
      <vt:variant>
        <vt:i4>5</vt:i4>
      </vt:variant>
      <vt:variant>
        <vt:lpwstr>https://shiftproject.org/wp-content/uploads/2022/03/Shift_Analysis_EU_CSDDProposal_vMarch01.pdf</vt:lpwstr>
      </vt:variant>
      <vt:variant>
        <vt:lpwstr/>
      </vt:variant>
      <vt:variant>
        <vt:i4>3801188</vt:i4>
      </vt:variant>
      <vt:variant>
        <vt:i4>0</vt:i4>
      </vt:variant>
      <vt:variant>
        <vt:i4>0</vt:i4>
      </vt:variant>
      <vt:variant>
        <vt:i4>5</vt:i4>
      </vt:variant>
      <vt:variant>
        <vt:lpwstr>https://www.humanrights.dk/sites/humanrights.dk/files/media/document/Legislating for impact - analysis of the proposed EU corporate sustainability due diligence directive.pdf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2023-08-07T15:22:00Z</dcterms:created>
  <dcterms:modified xsi:type="dcterms:W3CDTF">2023-08-07T15:24:00Z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-1899516207</vt:i4>
  </property>
  <property fmtid="{D5CDD505-2E9C-101B-9397-08002B2CF9AE}" pid="4" name="_PreviousAdHocReviewCycleID">
    <vt:i4>39032926</vt:i4>
  </property>
  <property fmtid="{D5CDD505-2E9C-101B-9397-08002B2CF9AE}" pid="5" name="_ReviewingToolsShownOnce">
    <vt:lpwstr/>
  </property>
</Properties>
</file>