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B5BCEB" w14:textId="77777777" w:rsidR="00E56D15" w:rsidRPr="00411F81" w:rsidRDefault="00E56D15" w:rsidP="006E3985">
      <w:pPr>
        <w:spacing w:line="360" w:lineRule="auto"/>
        <w:rPr>
          <w:b/>
          <w:bCs/>
        </w:rPr>
      </w:pPr>
      <w:r w:rsidRPr="00411F81">
        <w:rPr>
          <w:b/>
          <w:bCs/>
        </w:rPr>
        <w:t>Just Not Cricket: Baseball, Youth and National Identity in Late Nineteenth Century Children’s Magazines</w:t>
      </w:r>
    </w:p>
    <w:p w14:paraId="5A48ECE0" w14:textId="6E13A0E4" w:rsidR="008C626A" w:rsidRDefault="008C626A" w:rsidP="006E3985">
      <w:pPr>
        <w:spacing w:line="360" w:lineRule="auto"/>
        <w:rPr>
          <w:bCs/>
        </w:rPr>
      </w:pPr>
    </w:p>
    <w:p w14:paraId="343974DC" w14:textId="732B946C"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sidRPr="004F530D">
        <w:rPr>
          <w:b/>
          <w:bCs/>
          <w:color w:val="242424"/>
          <w:bdr w:val="none" w:sz="0" w:space="0" w:color="auto" w:frame="1"/>
        </w:rPr>
        <w:t>Name</w:t>
      </w:r>
      <w:r w:rsidRPr="004F530D">
        <w:rPr>
          <w:b/>
          <w:bCs/>
          <w:color w:val="242424"/>
          <w:bdr w:val="none" w:sz="0" w:space="0" w:color="auto" w:frame="1"/>
        </w:rPr>
        <w:t>:</w:t>
      </w:r>
      <w:r>
        <w:rPr>
          <w:color w:val="242424"/>
          <w:bdr w:val="none" w:sz="0" w:space="0" w:color="auto" w:frame="1"/>
        </w:rPr>
        <w:t xml:space="preserve"> Thomas </w:t>
      </w:r>
      <w:proofErr w:type="spellStart"/>
      <w:r>
        <w:rPr>
          <w:color w:val="242424"/>
          <w:bdr w:val="none" w:sz="0" w:space="0" w:color="auto" w:frame="1"/>
        </w:rPr>
        <w:t>Ruys</w:t>
      </w:r>
      <w:proofErr w:type="spellEnd"/>
      <w:r>
        <w:rPr>
          <w:color w:val="242424"/>
          <w:bdr w:val="none" w:sz="0" w:space="0" w:color="auto" w:frame="1"/>
        </w:rPr>
        <w:t xml:space="preserve"> Smith</w:t>
      </w:r>
    </w:p>
    <w:p w14:paraId="1B44ECB2" w14:textId="53A2F9E9"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sidRPr="004F530D">
        <w:rPr>
          <w:b/>
          <w:bCs/>
          <w:color w:val="242424"/>
          <w:bdr w:val="none" w:sz="0" w:space="0" w:color="auto" w:frame="1"/>
        </w:rPr>
        <w:t>Affiliation</w:t>
      </w:r>
      <w:r w:rsidRPr="004F530D">
        <w:rPr>
          <w:b/>
          <w:bCs/>
          <w:color w:val="242424"/>
          <w:bdr w:val="none" w:sz="0" w:space="0" w:color="auto" w:frame="1"/>
        </w:rPr>
        <w:t>:</w:t>
      </w:r>
      <w:r>
        <w:rPr>
          <w:color w:val="242424"/>
          <w:bdr w:val="none" w:sz="0" w:space="0" w:color="auto" w:frame="1"/>
        </w:rPr>
        <w:t xml:space="preserve"> University of East Anglia, UK</w:t>
      </w:r>
    </w:p>
    <w:p w14:paraId="4EB90259" w14:textId="77777777" w:rsidR="004F530D" w:rsidRPr="004F530D" w:rsidRDefault="004F530D" w:rsidP="004F530D">
      <w:pPr>
        <w:pStyle w:val="NormalWeb"/>
        <w:shd w:val="clear" w:color="auto" w:fill="FFFFFF"/>
        <w:spacing w:after="0" w:afterAutospacing="0"/>
        <w:jc w:val="both"/>
        <w:rPr>
          <w:b/>
          <w:bCs/>
          <w:color w:val="242424"/>
          <w:bdr w:val="none" w:sz="0" w:space="0" w:color="auto" w:frame="1"/>
        </w:rPr>
      </w:pPr>
      <w:r w:rsidRPr="004F530D">
        <w:rPr>
          <w:b/>
          <w:bCs/>
          <w:color w:val="242424"/>
          <w:bdr w:val="none" w:sz="0" w:space="0" w:color="auto" w:frame="1"/>
        </w:rPr>
        <w:t>Contributor details</w:t>
      </w:r>
      <w:r w:rsidRPr="004F530D">
        <w:rPr>
          <w:b/>
          <w:bCs/>
          <w:color w:val="242424"/>
          <w:bdr w:val="none" w:sz="0" w:space="0" w:color="auto" w:frame="1"/>
        </w:rPr>
        <w:t xml:space="preserve">: </w:t>
      </w:r>
    </w:p>
    <w:p w14:paraId="3E393B29" w14:textId="5CC869AF" w:rsidR="004F530D" w:rsidRPr="004F530D" w:rsidRDefault="004F530D" w:rsidP="004F530D">
      <w:pPr>
        <w:pStyle w:val="NormalWeb"/>
        <w:shd w:val="clear" w:color="auto" w:fill="FFFFFF"/>
        <w:spacing w:before="0" w:beforeAutospacing="0"/>
        <w:jc w:val="both"/>
        <w:rPr>
          <w:color w:val="242424"/>
          <w:bdr w:val="none" w:sz="0" w:space="0" w:color="auto" w:frame="1"/>
        </w:rPr>
      </w:pPr>
      <w:r w:rsidRPr="004F530D">
        <w:rPr>
          <w:color w:val="242424"/>
          <w:bdr w:val="none" w:sz="0" w:space="0" w:color="auto" w:frame="1"/>
        </w:rPr>
        <w:t xml:space="preserve">Thomas </w:t>
      </w:r>
      <w:proofErr w:type="spellStart"/>
      <w:r w:rsidRPr="004F530D">
        <w:rPr>
          <w:color w:val="242424"/>
          <w:bdr w:val="none" w:sz="0" w:space="0" w:color="auto" w:frame="1"/>
        </w:rPr>
        <w:t>Ruys</w:t>
      </w:r>
      <w:proofErr w:type="spellEnd"/>
      <w:r w:rsidRPr="004F530D">
        <w:rPr>
          <w:color w:val="242424"/>
          <w:bdr w:val="none" w:sz="0" w:space="0" w:color="auto" w:frame="1"/>
        </w:rPr>
        <w:t xml:space="preserve"> Smith is Professor of American Literature and Culture in the School of Art, </w:t>
      </w:r>
      <w:proofErr w:type="gramStart"/>
      <w:r w:rsidRPr="004F530D">
        <w:rPr>
          <w:color w:val="242424"/>
          <w:bdr w:val="none" w:sz="0" w:space="0" w:color="auto" w:frame="1"/>
        </w:rPr>
        <w:t>Media</w:t>
      </w:r>
      <w:proofErr w:type="gramEnd"/>
      <w:r w:rsidRPr="004F530D">
        <w:rPr>
          <w:color w:val="242424"/>
          <w:bdr w:val="none" w:sz="0" w:space="0" w:color="auto" w:frame="1"/>
        </w:rPr>
        <w:t xml:space="preserve"> and American Studies at the University of East Anglia. He is most recently the author of </w:t>
      </w:r>
      <w:r w:rsidRPr="004F530D">
        <w:rPr>
          <w:i/>
          <w:iCs/>
          <w:color w:val="242424"/>
          <w:bdr w:val="none" w:sz="0" w:space="0" w:color="auto" w:frame="1"/>
        </w:rPr>
        <w:t>Deep Water: The Mississippi River in the Age of Mark Twain</w:t>
      </w:r>
      <w:r w:rsidRPr="004F530D">
        <w:rPr>
          <w:color w:val="242424"/>
          <w:bdr w:val="none" w:sz="0" w:space="0" w:color="auto" w:frame="1"/>
        </w:rPr>
        <w:t> (2019). His book </w:t>
      </w:r>
      <w:r w:rsidRPr="004F530D">
        <w:rPr>
          <w:i/>
          <w:iCs/>
          <w:color w:val="242424"/>
          <w:bdr w:val="none" w:sz="0" w:space="0" w:color="auto" w:frame="1"/>
        </w:rPr>
        <w:t>The Last Gift: The Christmas Stories of Mary E. Wilkins Freeman</w:t>
      </w:r>
      <w:r w:rsidRPr="004F530D">
        <w:rPr>
          <w:color w:val="242424"/>
          <w:bdr w:val="none" w:sz="0" w:space="0" w:color="auto" w:frame="1"/>
        </w:rPr>
        <w:t> is forthcoming in 2023 from Louisiana State University Press.</w:t>
      </w:r>
    </w:p>
    <w:p w14:paraId="632D77DF" w14:textId="08E7561A"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sidRPr="004F530D">
        <w:rPr>
          <w:b/>
          <w:bCs/>
          <w:color w:val="242424"/>
          <w:bdr w:val="none" w:sz="0" w:space="0" w:color="auto" w:frame="1"/>
        </w:rPr>
        <w:t>Contact email</w:t>
      </w:r>
      <w:r w:rsidRPr="004F530D">
        <w:rPr>
          <w:b/>
          <w:bCs/>
          <w:color w:val="242424"/>
          <w:bdr w:val="none" w:sz="0" w:space="0" w:color="auto" w:frame="1"/>
        </w:rPr>
        <w:t>:</w:t>
      </w:r>
      <w:r>
        <w:rPr>
          <w:color w:val="242424"/>
          <w:bdr w:val="none" w:sz="0" w:space="0" w:color="auto" w:frame="1"/>
        </w:rPr>
        <w:t xml:space="preserve"> thomas.smith@uea.ac.uk</w:t>
      </w:r>
    </w:p>
    <w:p w14:paraId="625C9C3F" w14:textId="12B6741B"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sidRPr="004F530D">
        <w:rPr>
          <w:b/>
          <w:bCs/>
          <w:color w:val="242424"/>
          <w:bdr w:val="none" w:sz="0" w:space="0" w:color="auto" w:frame="1"/>
        </w:rPr>
        <w:t>ORCID ID</w:t>
      </w:r>
      <w:r w:rsidRPr="004F530D">
        <w:rPr>
          <w:b/>
          <w:bCs/>
          <w:color w:val="242424"/>
          <w:bdr w:val="none" w:sz="0" w:space="0" w:color="auto" w:frame="1"/>
        </w:rPr>
        <w:t>:</w:t>
      </w:r>
      <w:r>
        <w:rPr>
          <w:color w:val="242424"/>
          <w:bdr w:val="none" w:sz="0" w:space="0" w:color="auto" w:frame="1"/>
        </w:rPr>
        <w:t xml:space="preserve"> </w:t>
      </w:r>
      <w:r w:rsidRPr="004F530D">
        <w:rPr>
          <w:color w:val="242424"/>
          <w:bdr w:val="none" w:sz="0" w:space="0" w:color="auto" w:frame="1"/>
        </w:rPr>
        <w:t>0000-0002-9177-9536</w:t>
      </w:r>
    </w:p>
    <w:p w14:paraId="15E30EDB" w14:textId="654CEC9D"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sidRPr="004F530D">
        <w:rPr>
          <w:b/>
          <w:bCs/>
          <w:color w:val="242424"/>
          <w:bdr w:val="none" w:sz="0" w:space="0" w:color="auto" w:frame="1"/>
        </w:rPr>
        <w:t>Received:</w:t>
      </w:r>
      <w:r>
        <w:rPr>
          <w:color w:val="242424"/>
          <w:bdr w:val="none" w:sz="0" w:space="0" w:color="auto" w:frame="1"/>
        </w:rPr>
        <w:t xml:space="preserve"> February 9</w:t>
      </w:r>
      <w:proofErr w:type="gramStart"/>
      <w:r>
        <w:rPr>
          <w:color w:val="242424"/>
          <w:bdr w:val="none" w:sz="0" w:space="0" w:color="auto" w:frame="1"/>
        </w:rPr>
        <w:t xml:space="preserve"> 2023</w:t>
      </w:r>
      <w:proofErr w:type="gramEnd"/>
      <w:r>
        <w:rPr>
          <w:color w:val="242424"/>
          <w:bdr w:val="none" w:sz="0" w:space="0" w:color="auto" w:frame="1"/>
        </w:rPr>
        <w:t xml:space="preserve"> </w:t>
      </w:r>
      <w:r w:rsidRPr="004F530D">
        <w:rPr>
          <w:b/>
          <w:bCs/>
          <w:color w:val="242424"/>
          <w:bdr w:val="none" w:sz="0" w:space="0" w:color="auto" w:frame="1"/>
        </w:rPr>
        <w:t>Accepted:</w:t>
      </w:r>
      <w:r>
        <w:rPr>
          <w:color w:val="242424"/>
          <w:bdr w:val="none" w:sz="0" w:space="0" w:color="auto" w:frame="1"/>
        </w:rPr>
        <w:t xml:space="preserve"> July 3 2023</w:t>
      </w:r>
    </w:p>
    <w:p w14:paraId="42BDA599" w14:textId="77777777"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Pr>
          <w:color w:val="242424"/>
          <w:bdr w:val="none" w:sz="0" w:space="0" w:color="auto" w:frame="1"/>
        </w:rPr>
        <w:t> </w:t>
      </w:r>
    </w:p>
    <w:p w14:paraId="0086C7B6" w14:textId="531E2DCF" w:rsidR="004F530D" w:rsidRDefault="004F530D" w:rsidP="004F530D">
      <w:pPr>
        <w:pStyle w:val="NormalWeb"/>
        <w:shd w:val="clear" w:color="auto" w:fill="FFFFFF"/>
        <w:spacing w:before="0" w:beforeAutospacing="0" w:after="0" w:afterAutospacing="0"/>
        <w:jc w:val="both"/>
        <w:rPr>
          <w:rFonts w:ascii="Calibri" w:hAnsi="Calibri" w:cs="Calibri"/>
          <w:color w:val="242424"/>
          <w:sz w:val="22"/>
          <w:szCs w:val="22"/>
        </w:rPr>
      </w:pPr>
      <w:r>
        <w:rPr>
          <w:b/>
          <w:bCs/>
          <w:color w:val="242424"/>
          <w:bdr w:val="none" w:sz="0" w:space="0" w:color="auto" w:frame="1"/>
        </w:rPr>
        <w:t>Abstract</w:t>
      </w:r>
      <w:r>
        <w:rPr>
          <w:b/>
          <w:bCs/>
          <w:color w:val="242424"/>
          <w:bdr w:val="none" w:sz="0" w:space="0" w:color="auto" w:frame="1"/>
        </w:rPr>
        <w:t>:</w:t>
      </w:r>
    </w:p>
    <w:p w14:paraId="120F92FD" w14:textId="77777777" w:rsidR="00C90084" w:rsidRDefault="00C90084" w:rsidP="00C90084">
      <w:pPr>
        <w:spacing w:line="360" w:lineRule="auto"/>
      </w:pPr>
      <w:r>
        <w:t xml:space="preserve">In the late nineteenth century, baseball became enshrined as America’s national sport. Across American culture, the game became imbued with a series of values and characteristics that seemed redolent of life in the Gilded Age and beyond. This article explores the ways in which this process played out in the pages of popular magazines directed at the children of the nation’s elite. These neglected resources provide us with an extraordinary lens through which to chart both the changing place of the national game within the lives of American children and the changing meaning of baseball within the life of the nation. In poems, stories, illustrations, editorials and even reader’s letters, children were newly acculturated into the sporting life in ways that had profound implications for wider questions of childhood, gender, race, </w:t>
      </w:r>
      <w:proofErr w:type="gramStart"/>
      <w:r>
        <w:t>class</w:t>
      </w:r>
      <w:proofErr w:type="gramEnd"/>
      <w:r>
        <w:t xml:space="preserve"> and national identity. </w:t>
      </w:r>
    </w:p>
    <w:p w14:paraId="0752E45E" w14:textId="47D031D2" w:rsidR="00C90084" w:rsidRDefault="00C90084" w:rsidP="006E3985">
      <w:pPr>
        <w:spacing w:line="360" w:lineRule="auto"/>
        <w:rPr>
          <w:bCs/>
        </w:rPr>
      </w:pPr>
    </w:p>
    <w:p w14:paraId="1914140B" w14:textId="751ADAEC" w:rsidR="004F530D" w:rsidRPr="004F530D" w:rsidRDefault="004F530D" w:rsidP="006E3985">
      <w:pPr>
        <w:spacing w:line="360" w:lineRule="auto"/>
        <w:rPr>
          <w:bCs/>
        </w:rPr>
      </w:pPr>
      <w:r w:rsidRPr="004F530D">
        <w:rPr>
          <w:b/>
        </w:rPr>
        <w:t>Keywords:</w:t>
      </w:r>
      <w:r>
        <w:rPr>
          <w:bCs/>
        </w:rPr>
        <w:t xml:space="preserve"> baseball, children’s magazines, children’s literature, Gilded Age, cricket, youth culture, sport</w:t>
      </w:r>
    </w:p>
    <w:p w14:paraId="2B99E614" w14:textId="6C37B665" w:rsidR="00C90084" w:rsidRDefault="00C90084" w:rsidP="00C90084">
      <w:pPr>
        <w:spacing w:line="276" w:lineRule="auto"/>
        <w:rPr>
          <w:bCs/>
        </w:rPr>
      </w:pPr>
      <w:r>
        <w:rPr>
          <w:bCs/>
        </w:rPr>
        <w:br w:type="page"/>
      </w:r>
    </w:p>
    <w:p w14:paraId="3AB436CD" w14:textId="77777777" w:rsidR="00F03256" w:rsidRDefault="00F03256" w:rsidP="006E3985">
      <w:pPr>
        <w:spacing w:line="360" w:lineRule="auto"/>
        <w:jc w:val="right"/>
        <w:rPr>
          <w:bCs/>
        </w:rPr>
      </w:pPr>
      <w:r w:rsidRPr="00F03256">
        <w:rPr>
          <w:bCs/>
        </w:rPr>
        <w:lastRenderedPageBreak/>
        <w:t>“All the civilized nations have games: the English like cricket, we have base-ball</w:t>
      </w:r>
      <w:r>
        <w:rPr>
          <w:bCs/>
        </w:rPr>
        <w:t>.</w:t>
      </w:r>
      <w:r w:rsidRPr="00F03256">
        <w:rPr>
          <w:bCs/>
        </w:rPr>
        <w:t>”</w:t>
      </w:r>
      <w:r>
        <w:rPr>
          <w:rStyle w:val="FootnoteReference"/>
          <w:bCs/>
        </w:rPr>
        <w:footnoteReference w:id="1"/>
      </w:r>
    </w:p>
    <w:p w14:paraId="2EA71FC1" w14:textId="77777777" w:rsidR="00F03256" w:rsidRPr="00F03256" w:rsidRDefault="00CB618F" w:rsidP="006E3985">
      <w:pPr>
        <w:spacing w:line="360" w:lineRule="auto"/>
        <w:jc w:val="right"/>
        <w:rPr>
          <w:bCs/>
        </w:rPr>
      </w:pPr>
      <w:r>
        <w:rPr>
          <w:bCs/>
          <w:i/>
          <w:iCs/>
        </w:rPr>
        <w:t>St. Nicholas</w:t>
      </w:r>
      <w:r w:rsidR="00F03256">
        <w:rPr>
          <w:bCs/>
          <w:i/>
          <w:iCs/>
        </w:rPr>
        <w:t xml:space="preserve"> Magazine</w:t>
      </w:r>
      <w:r w:rsidR="00F03256">
        <w:rPr>
          <w:bCs/>
        </w:rPr>
        <w:t>, 1880</w:t>
      </w:r>
    </w:p>
    <w:p w14:paraId="5C79FB50" w14:textId="77777777" w:rsidR="00F03256" w:rsidRDefault="00F03256" w:rsidP="006E3985">
      <w:pPr>
        <w:spacing w:line="360" w:lineRule="auto"/>
        <w:rPr>
          <w:bCs/>
        </w:rPr>
      </w:pPr>
    </w:p>
    <w:p w14:paraId="4EAB21D9" w14:textId="2B65AE2D" w:rsidR="008C626A" w:rsidRDefault="008C626A" w:rsidP="00EC3959">
      <w:pPr>
        <w:spacing w:line="360" w:lineRule="auto"/>
        <w:rPr>
          <w:bCs/>
        </w:rPr>
      </w:pPr>
      <w:r w:rsidRPr="008C626A">
        <w:rPr>
          <w:bCs/>
        </w:rPr>
        <w:t xml:space="preserve">In 1867, </w:t>
      </w:r>
      <w:r>
        <w:rPr>
          <w:bCs/>
        </w:rPr>
        <w:t>as American culture reconstituted itself in the wake of the Civil War, the youthful readers of</w:t>
      </w:r>
      <w:r w:rsidR="00EC1A96">
        <w:rPr>
          <w:bCs/>
        </w:rPr>
        <w:t xml:space="preserve"> children’s magazine</w:t>
      </w:r>
      <w:r>
        <w:rPr>
          <w:bCs/>
        </w:rPr>
        <w:t xml:space="preserve"> </w:t>
      </w:r>
      <w:r>
        <w:rPr>
          <w:bCs/>
          <w:i/>
          <w:iCs/>
        </w:rPr>
        <w:t>Our Young Folks</w:t>
      </w:r>
      <w:r>
        <w:rPr>
          <w:bCs/>
        </w:rPr>
        <w:t xml:space="preserve"> were presented with a manifesto which marked</w:t>
      </w:r>
      <w:r w:rsidR="00195E5A">
        <w:rPr>
          <w:bCs/>
        </w:rPr>
        <w:t xml:space="preserve"> out</w:t>
      </w:r>
      <w:r>
        <w:rPr>
          <w:bCs/>
        </w:rPr>
        <w:t xml:space="preserve"> how different certain aspects of childhood would be in the final decades of the century. Charles J. Foster began a series of articles on “Sports, Games and Pastimes” with a revealing statement of intent:</w:t>
      </w:r>
    </w:p>
    <w:p w14:paraId="163E705B" w14:textId="77777777" w:rsidR="008C626A" w:rsidRDefault="008C626A" w:rsidP="006E3985">
      <w:pPr>
        <w:spacing w:line="360" w:lineRule="auto"/>
        <w:ind w:left="720"/>
        <w:rPr>
          <w:bCs/>
        </w:rPr>
      </w:pPr>
      <w:r>
        <w:rPr>
          <w:bCs/>
        </w:rPr>
        <w:t xml:space="preserve">It has been thought by some of the wise, that the sports and recreations in which the youth of a nation indulge have a good deal of influence on the nation </w:t>
      </w:r>
      <w:proofErr w:type="gramStart"/>
      <w:r>
        <w:rPr>
          <w:bCs/>
        </w:rPr>
        <w:t>itself,–</w:t>
      </w:r>
      <w:proofErr w:type="gramEnd"/>
      <w:r>
        <w:rPr>
          <w:bCs/>
        </w:rPr>
        <w:t xml:space="preserve"> that the English and Americans, for instance, have derived much of their robust and manly determination of character from their early pastimes, never wholly neglected even in manhood. I am of this opinion myself.</w:t>
      </w:r>
    </w:p>
    <w:p w14:paraId="74690376" w14:textId="77777777" w:rsidR="008C626A" w:rsidRDefault="008C626A" w:rsidP="006E3985">
      <w:pPr>
        <w:spacing w:line="360" w:lineRule="auto"/>
        <w:rPr>
          <w:bCs/>
        </w:rPr>
      </w:pPr>
      <w:r>
        <w:rPr>
          <w:bCs/>
        </w:rPr>
        <w:t>Indeed, as far as Foster was concerned, childhood games were a perfect index to a country’s fortunes: “what energetic disposition the men bring to their business pursuits, and what degree of freedom and prosperity their nation enjoys.”</w:t>
      </w:r>
      <w:r>
        <w:rPr>
          <w:rStyle w:val="FootnoteReference"/>
          <w:bCs/>
        </w:rPr>
        <w:footnoteReference w:id="2"/>
      </w:r>
      <w:r>
        <w:rPr>
          <w:bCs/>
        </w:rPr>
        <w:t xml:space="preserve"> In short order, in the pages of a children’s magazine, Foster tightly drew together the strands of sport, national identity, gender and childhood. Nor was this his only pronouncement. If childhood games augured the future of a nation, Foster was clear about which game pointed the way forward for young Americans. Comparing the two most popular ball games amongst the young in America, Foster asserted that cricket didn’t suit the national temperament: it was “formal, and some think it ‘slow’ […] there is a sort of dawdling at it which provokes the impatient spectator.” Baseball, on the other hand, inspired Foster to exuberant flights of fancy:</w:t>
      </w:r>
    </w:p>
    <w:p w14:paraId="7BB6ACBE" w14:textId="77777777" w:rsidR="008C626A" w:rsidRDefault="008C626A" w:rsidP="006E3985">
      <w:pPr>
        <w:spacing w:line="360" w:lineRule="auto"/>
        <w:ind w:left="720"/>
        <w:rPr>
          <w:bCs/>
        </w:rPr>
      </w:pPr>
      <w:r>
        <w:rPr>
          <w:bCs/>
        </w:rPr>
        <w:t xml:space="preserve">This game has an extraordinary fascination for the players and lookers-on, which I think is mainly because of the rapidity of the action. It goes right along without pause, after it is once begun. It is all movement and </w:t>
      </w:r>
      <w:proofErr w:type="gramStart"/>
      <w:r>
        <w:rPr>
          <w:bCs/>
        </w:rPr>
        <w:t>dash,–</w:t>
      </w:r>
      <w:proofErr w:type="gramEnd"/>
      <w:r>
        <w:rPr>
          <w:bCs/>
        </w:rPr>
        <w:t xml:space="preserve"> hurry, hurry, hurrah! This suits Americans.</w:t>
      </w:r>
      <w:r>
        <w:rPr>
          <w:rStyle w:val="FootnoteReference"/>
          <w:bCs/>
        </w:rPr>
        <w:footnoteReference w:id="3"/>
      </w:r>
    </w:p>
    <w:p w14:paraId="2A0DDE00" w14:textId="77777777" w:rsidR="008C626A" w:rsidRDefault="008C626A" w:rsidP="006E3985">
      <w:pPr>
        <w:spacing w:line="360" w:lineRule="auto"/>
        <w:rPr>
          <w:bCs/>
        </w:rPr>
      </w:pPr>
      <w:r>
        <w:rPr>
          <w:bCs/>
        </w:rPr>
        <w:lastRenderedPageBreak/>
        <w:t>Foster’s readers were therefore left in no doubt that baseball was the game for young Americans – a game that would fit them for the “movement and dash,” the “freedom and prosperity”, of their nation’s future.</w:t>
      </w:r>
    </w:p>
    <w:p w14:paraId="710A6BE8" w14:textId="77777777" w:rsidR="008C626A" w:rsidRDefault="008C626A" w:rsidP="006E3985">
      <w:pPr>
        <w:spacing w:line="360" w:lineRule="auto"/>
        <w:rPr>
          <w:bCs/>
        </w:rPr>
      </w:pPr>
    </w:p>
    <w:p w14:paraId="37DA8F2E" w14:textId="66434860" w:rsidR="00377569" w:rsidRPr="00377569" w:rsidRDefault="008C626A" w:rsidP="006E3985">
      <w:pPr>
        <w:spacing w:line="360" w:lineRule="auto"/>
      </w:pPr>
      <w:r w:rsidRPr="00E37F9B">
        <w:t>Though Foster presented these ideas as eternal verit</w:t>
      </w:r>
      <w:r w:rsidR="00827941">
        <w:t>ies</w:t>
      </w:r>
      <w:r w:rsidRPr="00E37F9B">
        <w:t>, in truth the</w:t>
      </w:r>
      <w:r w:rsidR="00827941">
        <w:t>y</w:t>
      </w:r>
      <w:r w:rsidRPr="00E37F9B">
        <w:t xml:space="preserve"> were evangelical concepts that had only been germinating for little more than a decade. </w:t>
      </w:r>
      <w:r w:rsidR="00385ACD">
        <w:t>E</w:t>
      </w:r>
      <w:r w:rsidRPr="00E37F9B">
        <w:t xml:space="preserve">ven Foster had to admit that while the popularity of baseball was “immense” it was only of “recent growth” – as were </w:t>
      </w:r>
      <w:r w:rsidR="00450501">
        <w:t>these kinds of</w:t>
      </w:r>
      <w:r w:rsidRPr="00E37F9B">
        <w:t xml:space="preserve"> exhortations for American children to take up bat and ball</w:t>
      </w:r>
      <w:r w:rsidR="00F52595" w:rsidRPr="00E37F9B">
        <w:t xml:space="preserve"> for the good of the nation</w:t>
      </w:r>
      <w:r w:rsidRPr="00E37F9B">
        <w:t>.</w:t>
      </w:r>
      <w:r w:rsidRPr="00E37F9B">
        <w:rPr>
          <w:rStyle w:val="FootnoteReference"/>
        </w:rPr>
        <w:footnoteReference w:id="4"/>
      </w:r>
      <w:r w:rsidRPr="00E37F9B">
        <w:t xml:space="preserve"> The roots of this moment – like the roots of baseball and cricket both – could be traced back across the Atlantic to the </w:t>
      </w:r>
      <w:r w:rsidR="00377569" w:rsidRPr="00E37F9B">
        <w:t>burgeoning</w:t>
      </w:r>
      <w:r w:rsidRPr="00E37F9B">
        <w:t xml:space="preserve"> “muscular Christianity” movement, particularly as it manifested in the writ</w:t>
      </w:r>
      <w:r w:rsidR="00647AD3">
        <w:t>ing of figures</w:t>
      </w:r>
      <w:r w:rsidRPr="00E37F9B">
        <w:t xml:space="preserve"> like Thomas Hughes and Charles Kingsley who “worked to infuse Anglicanism with […] health and manliness” by yoking </w:t>
      </w:r>
      <w:r w:rsidR="00377569" w:rsidRPr="00E37F9B">
        <w:t>together “athleticism, patriotism, and religion.”</w:t>
      </w:r>
      <w:r w:rsidR="00377569" w:rsidRPr="00E37F9B">
        <w:rPr>
          <w:rStyle w:val="FootnoteReference"/>
        </w:rPr>
        <w:footnoteReference w:id="5"/>
      </w:r>
      <w:r w:rsidR="00377569" w:rsidRPr="00E37F9B">
        <w:t xml:space="preserve"> Hughes’s most significant intervention in the field came in the shape of his 1857 novel about public school life in Britain: </w:t>
      </w:r>
      <w:r w:rsidR="00377569" w:rsidRPr="00D92C23">
        <w:rPr>
          <w:i/>
          <w:iCs/>
        </w:rPr>
        <w:t>Tom Brown’s Schooldays</w:t>
      </w:r>
      <w:r w:rsidR="00377569" w:rsidRPr="00E37F9B">
        <w:t>, a hugely popular book on both sides of the Atlantic. Its presentation of the significance of sport for the formation of character – and, in turn, the future destiny of Britain – was deeply influential. It was cricket</w:t>
      </w:r>
      <w:r w:rsidR="00450501">
        <w:t xml:space="preserve"> </w:t>
      </w:r>
      <w:r w:rsidR="00377569" w:rsidRPr="00E37F9B">
        <w:t>which sat at the heart of Hughes’s vision. As Derek Birley has described, both in and beyond Hughes’s work the game became “freighted with extraneous moral overtones […] a symbol of the ideals of the new model public schools which undertook the task of training the leaders of Church and State as Britain took on the responsibilities – and the emotional trappings – of imper</w:t>
      </w:r>
      <w:r w:rsidR="001102FA">
        <w:t>i</w:t>
      </w:r>
      <w:r w:rsidR="00377569" w:rsidRPr="00E37F9B">
        <w:t>alism.”</w:t>
      </w:r>
      <w:r w:rsidR="00377569" w:rsidRPr="00E37F9B">
        <w:rPr>
          <w:rStyle w:val="FootnoteReference"/>
        </w:rPr>
        <w:footnoteReference w:id="6"/>
      </w:r>
      <w:r w:rsidR="00377569" w:rsidRPr="00E37F9B">
        <w:t xml:space="preserve"> </w:t>
      </w:r>
      <w:r w:rsidR="00763B47">
        <w:t>For Coll Thrush, cricket “was understood by both British and colonial authorities as part of a civilizing mission” closely connected to “an imperial, Anglo-Saxon masculinity intended to dominate much of the world.”</w:t>
      </w:r>
      <w:r w:rsidR="00763B47">
        <w:rPr>
          <w:rStyle w:val="FootnoteReference"/>
        </w:rPr>
        <w:footnoteReference w:id="7"/>
      </w:r>
      <w:r w:rsidR="00763B47">
        <w:t xml:space="preserve"> </w:t>
      </w:r>
      <w:r w:rsidR="00377569" w:rsidRPr="00E37F9B">
        <w:t xml:space="preserve">Or as Tom Brown himself puts it, “it’s more than a game. It’s an institution.” For Hughes, cricket was “the </w:t>
      </w:r>
      <w:proofErr w:type="spellStart"/>
      <w:r w:rsidR="00377569" w:rsidRPr="00E37F9B">
        <w:t>birthright</w:t>
      </w:r>
      <w:proofErr w:type="spellEnd"/>
      <w:r w:rsidR="00377569" w:rsidRPr="00E37F9B">
        <w:t xml:space="preserve"> of British boys old and young,” </w:t>
      </w:r>
      <w:r w:rsidR="00827941">
        <w:t>and t</w:t>
      </w:r>
      <w:r w:rsidR="00377569" w:rsidRPr="00E37F9B">
        <w:t>he innings which were begun on school playing fields saw their spiritual continuation in</w:t>
      </w:r>
      <w:r w:rsidR="00EC1A96">
        <w:t xml:space="preserve"> a </w:t>
      </w:r>
      <w:r w:rsidR="00EC1A96">
        <w:lastRenderedPageBreak/>
        <w:t>much wider, imperial orbit:</w:t>
      </w:r>
      <w:r w:rsidR="00377569" w:rsidRPr="00E37F9B">
        <w:t xml:space="preserve"> “</w:t>
      </w:r>
      <w:r w:rsidR="00377569" w:rsidRPr="00377569">
        <w:t>country curacies, London chambers, under the Indian sun, and in Australian towns and clearings</w:t>
      </w:r>
      <w:r w:rsidR="00377569" w:rsidRPr="00E37F9B">
        <w:t>.”</w:t>
      </w:r>
      <w:r w:rsidR="00377569" w:rsidRPr="00E37F9B">
        <w:rPr>
          <w:rStyle w:val="FootnoteReference"/>
        </w:rPr>
        <w:footnoteReference w:id="8"/>
      </w:r>
      <w:r w:rsidR="00763B47">
        <w:t xml:space="preserve"> </w:t>
      </w:r>
    </w:p>
    <w:p w14:paraId="56B3A0C4" w14:textId="77777777" w:rsidR="00377569" w:rsidRDefault="00377569" w:rsidP="006E3985">
      <w:pPr>
        <w:spacing w:line="360" w:lineRule="auto"/>
      </w:pPr>
    </w:p>
    <w:p w14:paraId="1CC4004A" w14:textId="1ED82CDC" w:rsidR="002F4739" w:rsidRDefault="00F52595" w:rsidP="006E3985">
      <w:pPr>
        <w:spacing w:line="360" w:lineRule="auto"/>
      </w:pPr>
      <w:r>
        <w:t>Almost immediately, these ideas were taken up by enthusiastic supporters in America</w:t>
      </w:r>
      <w:r w:rsidR="00B857FC">
        <w:t>, where such concepts seemed radically new</w:t>
      </w:r>
      <w:r>
        <w:t xml:space="preserve">. In an </w:t>
      </w:r>
      <w:r w:rsidR="00465A33">
        <w:t>impassioned</w:t>
      </w:r>
      <w:r>
        <w:t xml:space="preserve"> article for </w:t>
      </w:r>
      <w:r>
        <w:rPr>
          <w:i/>
          <w:iCs/>
        </w:rPr>
        <w:t>The Atlantic</w:t>
      </w:r>
      <w:r>
        <w:t xml:space="preserve"> in 1858, Thomas Wentworth Higginson enthusiastically praised Hughes’s </w:t>
      </w:r>
      <w:r w:rsidR="00827941">
        <w:t>portrait of a</w:t>
      </w:r>
      <w:r>
        <w:t xml:space="preserve"> </w:t>
      </w:r>
      <w:r w:rsidR="00827941">
        <w:t>“</w:t>
      </w:r>
      <w:r>
        <w:t>healthy boy’s-life</w:t>
      </w:r>
      <w:r w:rsidR="00827941">
        <w:t>” and his “</w:t>
      </w:r>
      <w:r>
        <w:t xml:space="preserve">recognition of physical culture, which is so novel to Americans.” Lamenting what he saw as “the deficiency of physical health in America,” and aware of a widespread belief that “physical </w:t>
      </w:r>
      <w:proofErr w:type="spellStart"/>
      <w:r>
        <w:t>vigor</w:t>
      </w:r>
      <w:proofErr w:type="spellEnd"/>
      <w:r>
        <w:t xml:space="preserve"> and spiritual sanctity are incompatible,” Higginson was still pleased to note “efforts after the same thing begin to creep in among ourselves.”</w:t>
      </w:r>
      <w:r>
        <w:rPr>
          <w:rStyle w:val="FootnoteReference"/>
          <w:bCs/>
        </w:rPr>
        <w:footnoteReference w:id="9"/>
      </w:r>
      <w:r>
        <w:t xml:space="preserve"> And, as far as Higginson was concerned, an important part of that effort related to America’s own relationship to bat and ball: while </w:t>
      </w:r>
      <w:r w:rsidR="00E37F9B">
        <w:t>remarking favourably on</w:t>
      </w:r>
      <w:r>
        <w:t xml:space="preserve"> the growth of crickets clubs in America, he was particularly pleased to note the “</w:t>
      </w:r>
      <w:r w:rsidRPr="00F52595">
        <w:t>growth of our indigenous American game of base-ball, whose briskness and unceasing activity are perhaps more congenial, after all, to our national character, than the comparative deliberation of cricket.</w:t>
      </w:r>
      <w:r>
        <w:t>”</w:t>
      </w:r>
      <w:r>
        <w:rPr>
          <w:rStyle w:val="FootnoteReference"/>
          <w:bCs/>
        </w:rPr>
        <w:footnoteReference w:id="10"/>
      </w:r>
      <w:r>
        <w:t xml:space="preserve"> </w:t>
      </w:r>
      <w:r w:rsidR="00E37F9B">
        <w:t xml:space="preserve">Indeed, this new fashion for physical culture and the enshrining of baseball as a distinctly American pastime went hand-in-hand. As Warren Goldstein has described, baseball </w:t>
      </w:r>
      <w:r w:rsidR="006F78F2">
        <w:t>had been</w:t>
      </w:r>
      <w:r w:rsidR="00E37F9B">
        <w:t xml:space="preserve"> a “popular but little-heralded children’s game in antebellum America.”</w:t>
      </w:r>
      <w:r w:rsidR="00E37F9B">
        <w:rPr>
          <w:rStyle w:val="FootnoteReference"/>
          <w:bCs/>
        </w:rPr>
        <w:footnoteReference w:id="11"/>
      </w:r>
      <w:r w:rsidR="00E37F9B">
        <w:t xml:space="preserve"> Yet at the moment that Higginson was advocating for a new attitude to physical culture in America, baseball was, in Steven </w:t>
      </w:r>
      <w:proofErr w:type="spellStart"/>
      <w:r w:rsidR="00E37F9B">
        <w:t>Riess’s</w:t>
      </w:r>
      <w:proofErr w:type="spellEnd"/>
      <w:r w:rsidR="00E37F9B">
        <w:t xml:space="preserve"> words, </w:t>
      </w:r>
      <w:r w:rsidR="00465A33">
        <w:t xml:space="preserve">“gaining consideration as </w:t>
      </w:r>
      <w:r w:rsidR="00465A33">
        <w:rPr>
          <w:i/>
          <w:iCs/>
        </w:rPr>
        <w:t>the</w:t>
      </w:r>
      <w:r w:rsidR="00465A33">
        <w:t xml:space="preserve"> national pastime</w:t>
      </w:r>
      <w:r w:rsidR="00827941">
        <w:t xml:space="preserve">”; </w:t>
      </w:r>
      <w:r w:rsidR="00450501">
        <w:t xml:space="preserve">soon </w:t>
      </w:r>
      <w:r w:rsidR="00465A33">
        <w:t xml:space="preserve">after the Civil War, </w:t>
      </w:r>
      <w:r w:rsidR="00827941">
        <w:t>it would become</w:t>
      </w:r>
      <w:r w:rsidR="00465A33">
        <w:t xml:space="preserve"> </w:t>
      </w:r>
      <w:r w:rsidR="00827941">
        <w:t>“</w:t>
      </w:r>
      <w:r w:rsidR="00465A33">
        <w:t>universally recognized as the preeminent American game.”</w:t>
      </w:r>
      <w:r w:rsidR="00465A33">
        <w:rPr>
          <w:rStyle w:val="FootnoteReference"/>
          <w:bCs/>
        </w:rPr>
        <w:footnoteReference w:id="12"/>
      </w:r>
      <w:r w:rsidR="00E37F9B">
        <w:t xml:space="preserve"> </w:t>
      </w:r>
      <w:r w:rsidR="003D0B25">
        <w:t xml:space="preserve">In S. W. </w:t>
      </w:r>
      <w:r w:rsidR="003D0B25" w:rsidRPr="003D0B25">
        <w:t>Pope’s</w:t>
      </w:r>
      <w:r w:rsidR="003D0B25">
        <w:t xml:space="preserve"> terms, the sport became closely “connected to preferred bourgeois na</w:t>
      </w:r>
      <w:r w:rsidR="002F4739">
        <w:t>t</w:t>
      </w:r>
      <w:r w:rsidR="003D0B25">
        <w:t>ionalist, capitalist visions.”</w:t>
      </w:r>
      <w:r w:rsidR="003D0B25">
        <w:rPr>
          <w:rStyle w:val="FootnoteReference"/>
        </w:rPr>
        <w:footnoteReference w:id="13"/>
      </w:r>
      <w:r w:rsidR="003D0B25">
        <w:t xml:space="preserve"> </w:t>
      </w:r>
      <w:r w:rsidR="00E37F9B">
        <w:t>What’s more, it was gaining crucial</w:t>
      </w:r>
      <w:r w:rsidR="00465A33">
        <w:t xml:space="preserve"> “affirmation </w:t>
      </w:r>
      <w:r w:rsidR="00E37F9B">
        <w:t>[…]</w:t>
      </w:r>
      <w:r w:rsidR="00465A33">
        <w:t xml:space="preserve"> by ministers and religious leaders who had advocated its importance in the development of </w:t>
      </w:r>
      <w:r w:rsidR="00465A33">
        <w:lastRenderedPageBreak/>
        <w:t>muscular Christians.”</w:t>
      </w:r>
      <w:r w:rsidR="00465A33">
        <w:rPr>
          <w:rStyle w:val="FootnoteReference"/>
          <w:bCs/>
        </w:rPr>
        <w:footnoteReference w:id="14"/>
      </w:r>
      <w:r w:rsidR="00E37F9B">
        <w:t xml:space="preserve"> Most notable was the high-profile cultural bellwether Henry Ward Beecher, whose influential </w:t>
      </w:r>
      <w:r w:rsidR="00B857FC">
        <w:t>blessing</w:t>
      </w:r>
      <w:r w:rsidR="00E37F9B">
        <w:t xml:space="preserve"> chimed with Higginson’s</w:t>
      </w:r>
      <w:r w:rsidR="00B857FC">
        <w:t xml:space="preserve"> judgements</w:t>
      </w:r>
      <w:r w:rsidR="00E37F9B">
        <w:t xml:space="preserve">: </w:t>
      </w:r>
    </w:p>
    <w:p w14:paraId="442B5CDD" w14:textId="75C50ABB" w:rsidR="00E37F9B" w:rsidRDefault="00E37F9B" w:rsidP="00307907">
      <w:pPr>
        <w:spacing w:line="360" w:lineRule="auto"/>
        <w:ind w:left="720"/>
      </w:pPr>
      <w:r w:rsidRPr="00E37F9B">
        <w:t>Now, what is needed in the community is vigorous out-of-door recreation, developing the muscles and aiding digestion, accessible to all, and removed from special temptations to immoralities</w:t>
      </w:r>
      <w:r>
        <w:t xml:space="preserve"> […] </w:t>
      </w:r>
      <w:r w:rsidRPr="00E37F9B">
        <w:t xml:space="preserve">It is well, therefore, that so many muscular games are coming into vogue. </w:t>
      </w:r>
      <w:proofErr w:type="gramStart"/>
      <w:r w:rsidRPr="00E37F9B">
        <w:t>Base-ball</w:t>
      </w:r>
      <w:proofErr w:type="gramEnd"/>
      <w:r w:rsidRPr="00E37F9B">
        <w:t xml:space="preserve"> and cricket are comparatively inexpensive, and open to all, and one can hardly conceive of better exercise.</w:t>
      </w:r>
      <w:r>
        <w:rPr>
          <w:rStyle w:val="FootnoteReference"/>
        </w:rPr>
        <w:footnoteReference w:id="15"/>
      </w:r>
    </w:p>
    <w:p w14:paraId="4E966612" w14:textId="77777777" w:rsidR="00E37F9B" w:rsidRDefault="00E37F9B" w:rsidP="006E3985">
      <w:pPr>
        <w:spacing w:line="360" w:lineRule="auto"/>
      </w:pPr>
    </w:p>
    <w:p w14:paraId="7AD6ADEE" w14:textId="0A83FA25" w:rsidR="00C544F9" w:rsidRDefault="00EC3C85" w:rsidP="006E3985">
      <w:pPr>
        <w:spacing w:line="360" w:lineRule="auto"/>
      </w:pPr>
      <w:r>
        <w:t xml:space="preserve">Scholars such as Robert </w:t>
      </w:r>
      <w:proofErr w:type="spellStart"/>
      <w:r>
        <w:t>Pruter</w:t>
      </w:r>
      <w:proofErr w:type="spellEnd"/>
      <w:r>
        <w:t xml:space="preserve"> have explored what this shift in sporting sensibility </w:t>
      </w:r>
      <w:proofErr w:type="gramStart"/>
      <w:r>
        <w:t>actually meant</w:t>
      </w:r>
      <w:proofErr w:type="gramEnd"/>
      <w:r>
        <w:t xml:space="preserve"> for young Americans in the Gilded Age, </w:t>
      </w:r>
      <w:r w:rsidR="00223E9E">
        <w:t>tracing</w:t>
      </w:r>
      <w:r>
        <w:t xml:space="preserve"> the “more nuanced, and more complex” baseball experiences that took place behind the “over-romanticized images” that have proliferated around this period.</w:t>
      </w:r>
      <w:r>
        <w:rPr>
          <w:rStyle w:val="FootnoteReference"/>
        </w:rPr>
        <w:footnoteReference w:id="16"/>
      </w:r>
      <w:r>
        <w:t xml:space="preserve"> But what of the burgeoning</w:t>
      </w:r>
      <w:r w:rsidR="00223E9E">
        <w:t xml:space="preserve"> youth</w:t>
      </w:r>
      <w:r>
        <w:t xml:space="preserve"> print culture that both stimulated and responded to these developments? </w:t>
      </w:r>
      <w:r w:rsidR="00B857FC">
        <w:t>As the</w:t>
      </w:r>
      <w:r w:rsidR="00D546EB">
        <w:t xml:space="preserve"> central</w:t>
      </w:r>
      <w:r w:rsidR="00B857FC">
        <w:t xml:space="preserve"> importance of </w:t>
      </w:r>
      <w:r>
        <w:t xml:space="preserve">Thomas </w:t>
      </w:r>
      <w:r w:rsidR="00B857FC">
        <w:t xml:space="preserve">Hughes’s book </w:t>
      </w:r>
      <w:r>
        <w:t xml:space="preserve">in this process </w:t>
      </w:r>
      <w:r w:rsidR="00B857FC">
        <w:t xml:space="preserve">makes clear, there was a foundational link between children’s literature and this new role for sport in American life. Yet, </w:t>
      </w:r>
      <w:proofErr w:type="gramStart"/>
      <w:r w:rsidR="00B857FC">
        <w:t>despite the fact that</w:t>
      </w:r>
      <w:proofErr w:type="gramEnd"/>
      <w:r w:rsidR="00B857FC">
        <w:t xml:space="preserve"> this athletic movement coincided with an equally revolutionary moment in the history of writing for children</w:t>
      </w:r>
      <w:r w:rsidR="001102FA">
        <w:t xml:space="preserve"> in America</w:t>
      </w:r>
      <w:r w:rsidR="00B857FC">
        <w:t>, relatively little attention has been paid to the relationship between the two.</w:t>
      </w:r>
      <w:r w:rsidR="00D546EB">
        <w:t xml:space="preserve"> </w:t>
      </w:r>
      <w:r w:rsidR="00B857FC">
        <w:t>Surveys of early baseball literature have noted</w:t>
      </w:r>
      <w:r w:rsidR="0045462D">
        <w:t xml:space="preserve"> in passing</w:t>
      </w:r>
      <w:r w:rsidR="00B857FC">
        <w:t xml:space="preserve"> that the first literary representations of the sport were “most likely” to appear in “books written for children.”</w:t>
      </w:r>
      <w:r w:rsidR="00B857FC">
        <w:rPr>
          <w:rStyle w:val="FootnoteReference"/>
        </w:rPr>
        <w:footnoteReference w:id="17"/>
      </w:r>
      <w:r w:rsidR="00B857FC">
        <w:t xml:space="preserve"> A</w:t>
      </w:r>
      <w:r w:rsidR="00E12152">
        <w:t>nd a</w:t>
      </w:r>
      <w:r w:rsidR="00B857FC">
        <w:t xml:space="preserve">t the end of the nineteenth century, the preponderance of sporting dime novels featuring all-American heroes like Frank </w:t>
      </w:r>
      <w:proofErr w:type="spellStart"/>
      <w:r w:rsidR="00B857FC">
        <w:t>Merriwell</w:t>
      </w:r>
      <w:proofErr w:type="spellEnd"/>
      <w:r w:rsidR="00B857FC">
        <w:t xml:space="preserve"> have been </w:t>
      </w:r>
      <w:r w:rsidR="0045462D">
        <w:t xml:space="preserve">well </w:t>
      </w:r>
      <w:r w:rsidR="00B857FC">
        <w:t>examined</w:t>
      </w:r>
      <w:r w:rsidR="0045462D">
        <w:t xml:space="preserve">. In Ryan K. Anderson’s judgement, from 1896 onwards </w:t>
      </w:r>
      <w:proofErr w:type="spellStart"/>
      <w:r w:rsidR="0045462D">
        <w:t>Merriwell</w:t>
      </w:r>
      <w:proofErr w:type="spellEnd"/>
      <w:r w:rsidR="0045462D">
        <w:t xml:space="preserve"> “established the American schoolboy sports story” and “remade American boyhood for the twentieth century.”</w:t>
      </w:r>
      <w:r w:rsidR="00B857FC">
        <w:rPr>
          <w:rStyle w:val="FootnoteReference"/>
        </w:rPr>
        <w:footnoteReference w:id="18"/>
      </w:r>
      <w:r w:rsidR="0045462D">
        <w:t xml:space="preserve"> However,</w:t>
      </w:r>
      <w:r w:rsidR="00827941">
        <w:t xml:space="preserve"> in relation to </w:t>
      </w:r>
      <w:r w:rsidR="00B857FC">
        <w:t xml:space="preserve">the </w:t>
      </w:r>
      <w:r w:rsidR="0045462D">
        <w:t xml:space="preserve">deeply </w:t>
      </w:r>
      <w:r w:rsidR="00B857FC">
        <w:t xml:space="preserve">formative decades for </w:t>
      </w:r>
      <w:r w:rsidR="00EC1A96">
        <w:t xml:space="preserve">both </w:t>
      </w:r>
      <w:r w:rsidR="00B857FC">
        <w:t>American sport and American children’s literature</w:t>
      </w:r>
      <w:r w:rsidR="0045462D">
        <w:t xml:space="preserve"> in the wake of the Civil War</w:t>
      </w:r>
      <w:r w:rsidR="00B857FC">
        <w:t xml:space="preserve"> there is a void</w:t>
      </w:r>
      <w:r w:rsidR="0045462D">
        <w:t xml:space="preserve"> of scholarly attention about the ways in which young Americans were acculturated into the sporting </w:t>
      </w:r>
      <w:r w:rsidR="0045462D">
        <w:lastRenderedPageBreak/>
        <w:t xml:space="preserve">life. In particular, the wealth of magazines which were developed for children in this period have been almost entirely neglected in this regard, even though, as Diana </w:t>
      </w:r>
      <w:proofErr w:type="spellStart"/>
      <w:r w:rsidR="0045462D">
        <w:t>Chlebek</w:t>
      </w:r>
      <w:proofErr w:type="spellEnd"/>
      <w:r w:rsidR="0045462D">
        <w:t xml:space="preserve"> has noted, it was in their pages “that a framework was most clearly provided for the transmission of the objectified ideals of American society to its children.”</w:t>
      </w:r>
      <w:r w:rsidR="0045462D">
        <w:rPr>
          <w:rStyle w:val="FootnoteReference"/>
        </w:rPr>
        <w:footnoteReference w:id="19"/>
      </w:r>
      <w:r w:rsidR="0045462D">
        <w:t xml:space="preserve"> </w:t>
      </w:r>
      <w:r w:rsidR="0045462D" w:rsidRPr="0045462D">
        <w:t xml:space="preserve">Paul </w:t>
      </w:r>
      <w:proofErr w:type="spellStart"/>
      <w:r w:rsidR="0045462D" w:rsidRPr="0045462D">
        <w:t>Ringel</w:t>
      </w:r>
      <w:proofErr w:type="spellEnd"/>
      <w:r w:rsidR="0045462D" w:rsidRPr="0045462D">
        <w:t xml:space="preserve"> has come closest to highlighting this vital relationship, noting that sports became “a crucial element of the magazines’ attempt to reorient themselves toward more contemporary representations of American youth,” even though such </w:t>
      </w:r>
      <w:r w:rsidR="0045462D">
        <w:t>changes</w:t>
      </w:r>
      <w:r w:rsidR="0045462D" w:rsidRPr="0045462D">
        <w:t xml:space="preserve"> still “revealed continuing anxieties”</w:t>
      </w:r>
      <w:r w:rsidR="0045462D">
        <w:t xml:space="preserve"> </w:t>
      </w:r>
      <w:r w:rsidR="00CB618F">
        <w:t>about the changing role</w:t>
      </w:r>
      <w:r w:rsidR="0045462D">
        <w:t xml:space="preserve"> of physical culture in the lives of their readers.</w:t>
      </w:r>
      <w:r w:rsidR="0045462D" w:rsidRPr="0045462D">
        <w:rPr>
          <w:rStyle w:val="FootnoteReference"/>
        </w:rPr>
        <w:footnoteReference w:id="20"/>
      </w:r>
      <w:r w:rsidR="0045462D">
        <w:t xml:space="preserve"> </w:t>
      </w:r>
    </w:p>
    <w:p w14:paraId="18DB8B29" w14:textId="77777777" w:rsidR="00C544F9" w:rsidRDefault="00C544F9" w:rsidP="006E3985">
      <w:pPr>
        <w:spacing w:line="360" w:lineRule="auto"/>
      </w:pPr>
    </w:p>
    <w:p w14:paraId="39765593" w14:textId="77777777" w:rsidR="001F2212" w:rsidRPr="00C544F9" w:rsidRDefault="001102FA" w:rsidP="006E3985">
      <w:pPr>
        <w:spacing w:line="360" w:lineRule="auto"/>
      </w:pPr>
      <w:r>
        <w:t>Yet a</w:t>
      </w:r>
      <w:r w:rsidR="0045462D">
        <w:t>cross editorials, short stories, serialised novels, non-fiction articles, poetry and – significantly – letters pages that provided space for children to articulate their own experiences, a new breed of children’s magazine</w:t>
      </w:r>
      <w:r w:rsidR="001F2212">
        <w:t xml:space="preserve"> richly documented the </w:t>
      </w:r>
      <w:r w:rsidR="00CB618F">
        <w:t>shifting</w:t>
      </w:r>
      <w:r w:rsidR="001F2212">
        <w:t xml:space="preserve"> place of sport, </w:t>
      </w:r>
      <w:r w:rsidR="007F2324">
        <w:t>specifically</w:t>
      </w:r>
      <w:r w:rsidR="001F2212">
        <w:t xml:space="preserve"> baseball, in the life and culture of a certain group of young Americans. </w:t>
      </w:r>
      <w:r w:rsidR="00A45786">
        <w:t>T</w:t>
      </w:r>
      <w:r w:rsidR="00C544F9">
        <w:t xml:space="preserve">he era-defining </w:t>
      </w:r>
      <w:r w:rsidR="00CB618F">
        <w:rPr>
          <w:i/>
          <w:iCs/>
        </w:rPr>
        <w:t>St. Nicholas</w:t>
      </w:r>
      <w:r w:rsidR="00A45786">
        <w:t xml:space="preserve"> (first published in 1873 and edited by Mary Mapes Dodge until her death in 1905)</w:t>
      </w:r>
      <w:r w:rsidR="00CB618F">
        <w:t xml:space="preserve"> and its </w:t>
      </w:r>
      <w:r w:rsidR="00A45786">
        <w:t xml:space="preserve">assorted </w:t>
      </w:r>
      <w:r w:rsidR="00CB618F">
        <w:t>rivals like</w:t>
      </w:r>
      <w:r w:rsidR="00C544F9" w:rsidRPr="00F03256">
        <w:t xml:space="preserve"> </w:t>
      </w:r>
      <w:r w:rsidR="00C544F9">
        <w:rPr>
          <w:i/>
          <w:iCs/>
        </w:rPr>
        <w:t>Harper’s Young People</w:t>
      </w:r>
      <w:r w:rsidR="006F78F2" w:rsidRPr="00F03256">
        <w:t>,</w:t>
      </w:r>
      <w:r w:rsidR="00F03256" w:rsidRPr="00F03256">
        <w:t xml:space="preserve"> </w:t>
      </w:r>
      <w:r w:rsidR="00F03256">
        <w:rPr>
          <w:i/>
          <w:iCs/>
        </w:rPr>
        <w:t>Our Young Folks</w:t>
      </w:r>
      <w:r w:rsidR="00F03256" w:rsidRPr="00F03256">
        <w:rPr>
          <w:i/>
          <w:iCs/>
        </w:rPr>
        <w:t>,</w:t>
      </w:r>
      <w:r w:rsidR="006F78F2" w:rsidRPr="00F03256">
        <w:rPr>
          <w:i/>
          <w:iCs/>
        </w:rPr>
        <w:t xml:space="preserve"> </w:t>
      </w:r>
      <w:r w:rsidR="006F78F2">
        <w:rPr>
          <w:i/>
          <w:iCs/>
        </w:rPr>
        <w:t>Our Boys and Girls</w:t>
      </w:r>
      <w:r w:rsidR="00C544F9">
        <w:t xml:space="preserve"> or </w:t>
      </w:r>
      <w:r w:rsidR="00C544F9">
        <w:rPr>
          <w:i/>
          <w:iCs/>
        </w:rPr>
        <w:t>Wide Awake</w:t>
      </w:r>
      <w:r w:rsidR="00A45786">
        <w:t>, were richly illustrated and</w:t>
      </w:r>
      <w:r w:rsidR="00D707F3">
        <w:t xml:space="preserve"> regularly</w:t>
      </w:r>
      <w:r w:rsidR="00A45786">
        <w:t xml:space="preserve"> </w:t>
      </w:r>
      <w:r w:rsidR="00D707F3">
        <w:t>boast</w:t>
      </w:r>
      <w:r w:rsidR="00A45786">
        <w:t>ed</w:t>
      </w:r>
      <w:r w:rsidR="00D707F3">
        <w:t xml:space="preserve"> material from</w:t>
      </w:r>
      <w:r w:rsidR="00A45786">
        <w:t xml:space="preserve"> some of the most famous literary names of the</w:t>
      </w:r>
      <w:r w:rsidR="00D707F3">
        <w:t>ir</w:t>
      </w:r>
      <w:r w:rsidR="00A45786">
        <w:t xml:space="preserve"> moment; they were also priced at the higher end of the </w:t>
      </w:r>
      <w:r w:rsidR="00744BE6">
        <w:t xml:space="preserve">magazine </w:t>
      </w:r>
      <w:r w:rsidR="00A45786">
        <w:t xml:space="preserve">market. In </w:t>
      </w:r>
      <w:proofErr w:type="spellStart"/>
      <w:r w:rsidR="00A45786">
        <w:t>Ringel’s</w:t>
      </w:r>
      <w:proofErr w:type="spellEnd"/>
      <w:r w:rsidR="00A45786">
        <w:t xml:space="preserve"> terms, their readers </w:t>
      </w:r>
      <w:r w:rsidR="00C544F9">
        <w:t>were – or at least their editors presumed them to be – “</w:t>
      </w:r>
      <w:r w:rsidR="00C544F9" w:rsidRPr="00C544F9">
        <w:t>predominantly white, Protestant, northern, urban, disproportionately educated, and relatively prosperous.”</w:t>
      </w:r>
      <w:r w:rsidR="00C544F9">
        <w:rPr>
          <w:rStyle w:val="FootnoteReference"/>
        </w:rPr>
        <w:footnoteReference w:id="21"/>
      </w:r>
      <w:r w:rsidR="00C544F9">
        <w:t xml:space="preserve"> The “</w:t>
      </w:r>
      <w:proofErr w:type="spellStart"/>
      <w:r w:rsidR="00C544F9">
        <w:t>sociopolitical</w:t>
      </w:r>
      <w:proofErr w:type="spellEnd"/>
      <w:r w:rsidR="00C544F9">
        <w:t xml:space="preserve"> agenda” of these publications, in Janet Gray and Melissa Fowler’s words, was clear: “to ensure the continuity of traditional upper-middle-class values by shaping children’s characters,” catering to a “morally conservative audience whose values were deeply rooted in family, country, religion and capitalism.”</w:t>
      </w:r>
      <w:r w:rsidR="00C544F9">
        <w:rPr>
          <w:rStyle w:val="FootnoteReference"/>
        </w:rPr>
        <w:footnoteReference w:id="22"/>
      </w:r>
      <w:r w:rsidR="00A45786">
        <w:t xml:space="preserve"> In essence, they stood at the opposite end of the cultural spectrum from dime novels and other cheap or sensational publications aimed at children, whose relationship to sporting culture has already been </w:t>
      </w:r>
      <w:r w:rsidR="00D707F3">
        <w:t>explored</w:t>
      </w:r>
      <w:r w:rsidR="00A45786">
        <w:t>.</w:t>
      </w:r>
      <w:r w:rsidR="005727DE">
        <w:t xml:space="preserve"> This article, therefore, will provide a</w:t>
      </w:r>
      <w:r w:rsidR="00D707F3">
        <w:t xml:space="preserve"> fresh</w:t>
      </w:r>
      <w:r w:rsidR="005727DE">
        <w:t xml:space="preserve"> account of the ways in which</w:t>
      </w:r>
      <w:r w:rsidR="00515D7A">
        <w:t xml:space="preserve"> sport – specifically </w:t>
      </w:r>
      <w:r w:rsidR="00515D7A">
        <w:lastRenderedPageBreak/>
        <w:t>baseball – became incorporated into the</w:t>
      </w:r>
      <w:r w:rsidR="005727DE">
        <w:t xml:space="preserve"> </w:t>
      </w:r>
      <w:r w:rsidR="00FD1E4A">
        <w:t>“</w:t>
      </w:r>
      <w:r w:rsidR="00515D7A">
        <w:t>genteel</w:t>
      </w:r>
      <w:r w:rsidR="00FD1E4A">
        <w:t xml:space="preserve"> upper-middle class”</w:t>
      </w:r>
      <w:r w:rsidR="00515D7A">
        <w:t xml:space="preserve"> worldview of these influential magazines</w:t>
      </w:r>
      <w:r w:rsidR="003962B0">
        <w:t>, while also examining who was left out of that new vision.</w:t>
      </w:r>
      <w:r w:rsidR="00FD1E4A">
        <w:rPr>
          <w:rStyle w:val="FootnoteReference"/>
        </w:rPr>
        <w:footnoteReference w:id="23"/>
      </w:r>
      <w:r w:rsidR="00515D7A">
        <w:t xml:space="preserve"> </w:t>
      </w:r>
      <w:r w:rsidR="00C544F9">
        <w:t>Contained within the</w:t>
      </w:r>
      <w:r w:rsidR="00B00D71">
        <w:t>ir</w:t>
      </w:r>
      <w:r w:rsidR="005727DE">
        <w:t xml:space="preserve"> neglected</w:t>
      </w:r>
      <w:r w:rsidR="00C544F9">
        <w:t xml:space="preserve"> page</w:t>
      </w:r>
      <w:r w:rsidR="00515D7A">
        <w:t>s is a vivid record of the process by which</w:t>
      </w:r>
      <w:r w:rsidR="00D707F3">
        <w:t xml:space="preserve"> elite</w:t>
      </w:r>
      <w:r w:rsidR="00515D7A">
        <w:t xml:space="preserve"> America’s relationship to bat and ball became newly and deeply connected to ideas of childhood, gender,</w:t>
      </w:r>
      <w:r w:rsidR="003962B0">
        <w:t xml:space="preserve"> race,</w:t>
      </w:r>
      <w:r w:rsidR="00515D7A">
        <w:t xml:space="preserve"> class and nationhood.</w:t>
      </w:r>
    </w:p>
    <w:p w14:paraId="0BBDAC4A" w14:textId="77777777" w:rsidR="0045462D" w:rsidRPr="0045462D" w:rsidRDefault="001F2212" w:rsidP="006E3985">
      <w:pPr>
        <w:spacing w:line="360" w:lineRule="auto"/>
      </w:pPr>
      <w:r>
        <w:t xml:space="preserve">  </w:t>
      </w:r>
    </w:p>
    <w:p w14:paraId="06875C17" w14:textId="77777777" w:rsidR="00515D7A" w:rsidRPr="006F78F2" w:rsidRDefault="00E12152" w:rsidP="006E3985">
      <w:pPr>
        <w:spacing w:line="360" w:lineRule="auto"/>
        <w:outlineLvl w:val="0"/>
        <w:rPr>
          <w:b/>
          <w:bCs/>
        </w:rPr>
      </w:pPr>
      <w:r>
        <w:rPr>
          <w:b/>
          <w:bCs/>
        </w:rPr>
        <w:t>“Hurrah for the Bat and the Ball!”</w:t>
      </w:r>
    </w:p>
    <w:p w14:paraId="11E4A398" w14:textId="042014E4" w:rsidR="006F78F2" w:rsidRDefault="00CB618F" w:rsidP="006E3985">
      <w:pPr>
        <w:spacing w:line="360" w:lineRule="auto"/>
      </w:pPr>
      <w:r>
        <w:t xml:space="preserve">In 1887, seven-year-old </w:t>
      </w:r>
      <w:r w:rsidRPr="00F9469F">
        <w:rPr>
          <w:bCs/>
        </w:rPr>
        <w:t>É</w:t>
      </w:r>
      <w:r>
        <w:rPr>
          <w:bCs/>
        </w:rPr>
        <w:t xml:space="preserve">mile from South Carolina wrote to </w:t>
      </w:r>
      <w:r>
        <w:rPr>
          <w:bCs/>
          <w:i/>
          <w:iCs/>
        </w:rPr>
        <w:t>Harper’s Young People</w:t>
      </w:r>
      <w:r>
        <w:rPr>
          <w:bCs/>
        </w:rPr>
        <w:t xml:space="preserve"> to inform his fellow readers about what was clearly an important part of his youthful identity: “I play base-ball</w:t>
      </w:r>
      <w:r w:rsidR="001102FA">
        <w:rPr>
          <w:bCs/>
        </w:rPr>
        <w:t>,” he declared,</w:t>
      </w:r>
      <w:r>
        <w:rPr>
          <w:bCs/>
        </w:rPr>
        <w:t xml:space="preserve"> </w:t>
      </w:r>
      <w:r w:rsidR="001102FA">
        <w:rPr>
          <w:bCs/>
        </w:rPr>
        <w:t>“</w:t>
      </w:r>
      <w:r>
        <w:rPr>
          <w:bCs/>
        </w:rPr>
        <w:t>and am very fond of it.”</w:t>
      </w:r>
      <w:r>
        <w:rPr>
          <w:rStyle w:val="FootnoteReference"/>
          <w:bCs/>
        </w:rPr>
        <w:footnoteReference w:id="24"/>
      </w:r>
      <w:r>
        <w:rPr>
          <w:bCs/>
        </w:rPr>
        <w:t xml:space="preserve"> A distinctive feature of the</w:t>
      </w:r>
      <w:r w:rsidR="001102FA">
        <w:rPr>
          <w:bCs/>
        </w:rPr>
        <w:t xml:space="preserve"> plush</w:t>
      </w:r>
      <w:r w:rsidR="00E01B0A">
        <w:rPr>
          <w:bCs/>
        </w:rPr>
        <w:t>er</w:t>
      </w:r>
      <w:r>
        <w:rPr>
          <w:bCs/>
        </w:rPr>
        <w:t xml:space="preserve"> </w:t>
      </w:r>
      <w:r w:rsidR="001102FA">
        <w:rPr>
          <w:bCs/>
        </w:rPr>
        <w:t xml:space="preserve">children’s </w:t>
      </w:r>
      <w:r>
        <w:rPr>
          <w:bCs/>
        </w:rPr>
        <w:t xml:space="preserve">magazines produced in this period were letters pages which provided young readers with a rare outlet for self-expression, however mediated by parents and editors. The profound significance of baseball for boys of this generation can still be traced in their pages; little </w:t>
      </w:r>
      <w:r w:rsidRPr="00F9469F">
        <w:rPr>
          <w:bCs/>
        </w:rPr>
        <w:t>É</w:t>
      </w:r>
      <w:r>
        <w:rPr>
          <w:bCs/>
        </w:rPr>
        <w:t xml:space="preserve">mile was hardly a unique case. </w:t>
      </w:r>
      <w:r w:rsidR="00E53609">
        <w:rPr>
          <w:bCs/>
        </w:rPr>
        <w:t>Norman from Doylestown, Pennsylvania was equally enamoured: “I play base-ball a great deal, and belong to a club called the Oxford; I am the pitcher.”</w:t>
      </w:r>
      <w:r w:rsidR="00E53609">
        <w:rPr>
          <w:rStyle w:val="FootnoteReference"/>
          <w:bCs/>
        </w:rPr>
        <w:footnoteReference w:id="25"/>
      </w:r>
      <w:r w:rsidR="00E53609">
        <w:rPr>
          <w:bCs/>
        </w:rPr>
        <w:t xml:space="preserve"> Ralph, an “army boy” from “Fort Supply, Indian Territory”, announced: “I play base-ball nearly every day.”</w:t>
      </w:r>
      <w:r w:rsidR="00E53609">
        <w:rPr>
          <w:rStyle w:val="FootnoteReference"/>
          <w:bCs/>
        </w:rPr>
        <w:footnoteReference w:id="26"/>
      </w:r>
      <w:r w:rsidR="00E53609">
        <w:rPr>
          <w:bCs/>
        </w:rPr>
        <w:t xml:space="preserve"> </w:t>
      </w:r>
      <w:r w:rsidR="00E53609">
        <w:t xml:space="preserve">“I like to play base-ball and go to the woods for chestnuts,” Horace of Palmyra, New Jersey </w:t>
      </w:r>
      <w:r>
        <w:t>declared</w:t>
      </w:r>
      <w:r w:rsidR="001102FA">
        <w:t xml:space="preserve"> – and many others echoed their comments</w:t>
      </w:r>
      <w:r w:rsidR="00E53609">
        <w:t>.</w:t>
      </w:r>
      <w:r w:rsidR="00E53609">
        <w:rPr>
          <w:rStyle w:val="FootnoteReference"/>
        </w:rPr>
        <w:footnoteReference w:id="27"/>
      </w:r>
      <w:r w:rsidR="00E53609">
        <w:t xml:space="preserve"> </w:t>
      </w:r>
      <w:r w:rsidR="00E12152">
        <w:t xml:space="preserve">In 1886, </w:t>
      </w:r>
      <w:r>
        <w:rPr>
          <w:i/>
          <w:iCs/>
        </w:rPr>
        <w:t>St. Nicholas</w:t>
      </w:r>
      <w:r w:rsidR="00E12152">
        <w:t xml:space="preserve"> published a poetic paean to th</w:t>
      </w:r>
      <w:r w:rsidR="00E53609">
        <w:t>e</w:t>
      </w:r>
      <w:r w:rsidR="00E12152">
        <w:t xml:space="preserve"> game</w:t>
      </w:r>
      <w:r w:rsidR="00574000">
        <w:t xml:space="preserve"> </w:t>
      </w:r>
      <w:r w:rsidR="00E53609">
        <w:t>which echoed the tone of these youthful missives</w:t>
      </w:r>
      <w:r w:rsidR="00E12152">
        <w:t>:</w:t>
      </w:r>
    </w:p>
    <w:p w14:paraId="0B64AB67" w14:textId="77777777" w:rsidR="00E12152" w:rsidRDefault="00E12152" w:rsidP="006E3985">
      <w:pPr>
        <w:spacing w:line="360" w:lineRule="auto"/>
        <w:ind w:left="720"/>
      </w:pPr>
      <w:r>
        <w:t>Now that Summer has just reached its mark,</w:t>
      </w:r>
    </w:p>
    <w:p w14:paraId="30105633" w14:textId="77777777" w:rsidR="00E12152" w:rsidRDefault="00E12152" w:rsidP="006E3985">
      <w:pPr>
        <w:spacing w:line="360" w:lineRule="auto"/>
        <w:ind w:left="720"/>
      </w:pPr>
      <w:r>
        <w:t>And the schooling and fishing are done,</w:t>
      </w:r>
    </w:p>
    <w:p w14:paraId="7DC7BCD0" w14:textId="77777777" w:rsidR="00E12152" w:rsidRDefault="00E12152" w:rsidP="006E3985">
      <w:pPr>
        <w:spacing w:line="360" w:lineRule="auto"/>
        <w:ind w:left="720"/>
      </w:pPr>
      <w:r>
        <w:t>Come! To-morrow get up with the lark</w:t>
      </w:r>
    </w:p>
    <w:p w14:paraId="72A3730B" w14:textId="77777777" w:rsidR="00E12152" w:rsidRPr="00E12152" w:rsidRDefault="00E12152" w:rsidP="006E3985">
      <w:pPr>
        <w:spacing w:line="360" w:lineRule="auto"/>
        <w:ind w:left="720"/>
      </w:pPr>
      <w:r>
        <w:t xml:space="preserve">(And you know she gets up with the sun)–   </w:t>
      </w:r>
    </w:p>
    <w:p w14:paraId="03815407" w14:textId="77777777" w:rsidR="00E12152" w:rsidRDefault="00E12152" w:rsidP="006E3985">
      <w:pPr>
        <w:spacing w:line="360" w:lineRule="auto"/>
        <w:ind w:left="720"/>
      </w:pPr>
      <w:r>
        <w:t>Come along! who would shirk or would shun</w:t>
      </w:r>
    </w:p>
    <w:p w14:paraId="13813ABB" w14:textId="77777777" w:rsidR="00E12152" w:rsidRDefault="00E12152" w:rsidP="006E3985">
      <w:pPr>
        <w:spacing w:line="360" w:lineRule="auto"/>
        <w:ind w:left="720"/>
      </w:pPr>
      <w:r>
        <w:t>The game that is best of them all,</w:t>
      </w:r>
    </w:p>
    <w:p w14:paraId="5FB6D586" w14:textId="77777777" w:rsidR="00E12152" w:rsidRDefault="00E12152" w:rsidP="006E3985">
      <w:pPr>
        <w:spacing w:line="360" w:lineRule="auto"/>
        <w:ind w:left="720"/>
      </w:pPr>
      <w:r>
        <w:t>For glory and frolic and fun?</w:t>
      </w:r>
    </w:p>
    <w:p w14:paraId="042A5B5D" w14:textId="77777777" w:rsidR="00E12152" w:rsidRDefault="00E12152" w:rsidP="006E3985">
      <w:pPr>
        <w:spacing w:line="360" w:lineRule="auto"/>
        <w:ind w:left="720"/>
      </w:pPr>
      <w:proofErr w:type="gramStart"/>
      <w:r>
        <w:lastRenderedPageBreak/>
        <w:t>So</w:t>
      </w:r>
      <w:proofErr w:type="gramEnd"/>
      <w:r>
        <w:t xml:space="preserve"> hurrah for the Bat and the Ball!</w:t>
      </w:r>
      <w:r w:rsidR="00E53609">
        <w:rPr>
          <w:rStyle w:val="FootnoteReference"/>
        </w:rPr>
        <w:footnoteReference w:id="28"/>
      </w:r>
    </w:p>
    <w:p w14:paraId="67FF9E8D" w14:textId="77777777" w:rsidR="00E12152" w:rsidRDefault="00E12152" w:rsidP="006E3985">
      <w:pPr>
        <w:spacing w:line="360" w:lineRule="auto"/>
      </w:pPr>
      <w:r>
        <w:t>“A Ballad of Base-Ball” was a rarity, not just because of its existence as a sporting poem for children, but also because of its nakedly exuberant enthusiasm for baseball and its unalloyed invitation for children to come and join in with the “game that is best of them all.” It was an indication of how much children’s magazines had embraced the sport and its implications</w:t>
      </w:r>
      <w:r w:rsidR="00CB618F">
        <w:t xml:space="preserve"> by the mid-1880s</w:t>
      </w:r>
      <w:r>
        <w:t xml:space="preserve">, but that is not to say it was typical of the ways in which baseball found a home in their pages. Whether the sport featured in non-fiction articles, short stories or editorials, these publications tended to approach baseball </w:t>
      </w:r>
      <w:r w:rsidR="001102FA">
        <w:t xml:space="preserve">far </w:t>
      </w:r>
      <w:r>
        <w:t>more soberly</w:t>
      </w:r>
      <w:r w:rsidR="00E53609">
        <w:t xml:space="preserve"> than </w:t>
      </w:r>
      <w:r w:rsidR="00CB618F">
        <w:t>their</w:t>
      </w:r>
      <w:r w:rsidR="00E53609">
        <w:t xml:space="preserve"> young correspondents</w:t>
      </w:r>
      <w:r>
        <w:t xml:space="preserve">, with a greater </w:t>
      </w:r>
      <w:r w:rsidR="00CB618F">
        <w:t>concern</w:t>
      </w:r>
      <w:r>
        <w:t xml:space="preserve"> </w:t>
      </w:r>
      <w:r w:rsidR="00CB618F">
        <w:t>for</w:t>
      </w:r>
      <w:r>
        <w:t xml:space="preserve"> its</w:t>
      </w:r>
      <w:r w:rsidR="00CB618F">
        <w:t xml:space="preserve"> potential</w:t>
      </w:r>
      <w:r>
        <w:t xml:space="preserve"> import</w:t>
      </w:r>
      <w:r w:rsidR="00CB618F">
        <w:t>ance for the nation</w:t>
      </w:r>
      <w:r>
        <w:t xml:space="preserve"> – and with lingering suspicions about its propriety.</w:t>
      </w:r>
    </w:p>
    <w:p w14:paraId="54728806" w14:textId="77777777" w:rsidR="00E12152" w:rsidRDefault="00E12152" w:rsidP="006E3985">
      <w:pPr>
        <w:spacing w:line="360" w:lineRule="auto"/>
      </w:pPr>
    </w:p>
    <w:p w14:paraId="48D9313C" w14:textId="77777777" w:rsidR="008E34E1" w:rsidRPr="00E12152" w:rsidRDefault="00E12152" w:rsidP="006E3985">
      <w:pPr>
        <w:spacing w:line="360" w:lineRule="auto"/>
      </w:pPr>
      <w:r>
        <w:t>A vivid and pioneering example of the tensions</w:t>
      </w:r>
      <w:r w:rsidR="00CB618F">
        <w:t xml:space="preserve"> surrounding the representation of baseball in these magazines</w:t>
      </w:r>
      <w:r>
        <w:t xml:space="preserve"> can be found in </w:t>
      </w:r>
      <w:r>
        <w:rPr>
          <w:i/>
          <w:iCs/>
        </w:rPr>
        <w:t>Our Boys and Girls</w:t>
      </w:r>
      <w:r>
        <w:t xml:space="preserve"> </w:t>
      </w:r>
      <w:r w:rsidR="00CB618F">
        <w:t>not long after the Civil War</w:t>
      </w:r>
      <w:r>
        <w:t xml:space="preserve">. As early as </w:t>
      </w:r>
      <w:r w:rsidR="001102FA">
        <w:t xml:space="preserve">April </w:t>
      </w:r>
      <w:r>
        <w:t xml:space="preserve">1867, the publication </w:t>
      </w:r>
      <w:r w:rsidR="006F78F2">
        <w:rPr>
          <w:bCs/>
        </w:rPr>
        <w:t xml:space="preserve">caught the spirit of the times by launching a new </w:t>
      </w:r>
      <w:r w:rsidR="00CE7206">
        <w:rPr>
          <w:bCs/>
        </w:rPr>
        <w:t>section</w:t>
      </w:r>
      <w:r w:rsidR="006F78F2">
        <w:rPr>
          <w:bCs/>
        </w:rPr>
        <w:t xml:space="preserve"> devoted to sporting activities – called “The Playground” – which</w:t>
      </w:r>
      <w:r w:rsidR="008E34E1">
        <w:rPr>
          <w:bCs/>
        </w:rPr>
        <w:t xml:space="preserve"> immediately </w:t>
      </w:r>
      <w:r>
        <w:rPr>
          <w:bCs/>
        </w:rPr>
        <w:t>drew its</w:t>
      </w:r>
      <w:r w:rsidR="008E34E1">
        <w:rPr>
          <w:bCs/>
        </w:rPr>
        <w:t xml:space="preserve"> </w:t>
      </w:r>
      <w:r>
        <w:rPr>
          <w:bCs/>
        </w:rPr>
        <w:t>young readers’</w:t>
      </w:r>
      <w:r w:rsidR="008E34E1">
        <w:rPr>
          <w:bCs/>
        </w:rPr>
        <w:t xml:space="preserve"> attention to one “exciting and manly game”:</w:t>
      </w:r>
    </w:p>
    <w:p w14:paraId="4F42A995" w14:textId="2A16A007" w:rsidR="00CE7206" w:rsidRDefault="008E34E1" w:rsidP="006E3985">
      <w:pPr>
        <w:spacing w:line="360" w:lineRule="auto"/>
        <w:ind w:left="720"/>
        <w:rPr>
          <w:bCs/>
        </w:rPr>
      </w:pPr>
      <w:r w:rsidRPr="008E34E1">
        <w:rPr>
          <w:bCs/>
        </w:rPr>
        <w:t xml:space="preserve">It is hardly necessary to occupy our space with a description of the game, now so familiar to all boys of from twelve to </w:t>
      </w:r>
      <w:r w:rsidRPr="00CE7206">
        <w:rPr>
          <w:bCs/>
          <w:i/>
          <w:iCs/>
        </w:rPr>
        <w:t>thirty</w:t>
      </w:r>
      <w:r w:rsidRPr="008E34E1">
        <w:rPr>
          <w:bCs/>
        </w:rPr>
        <w:t xml:space="preserve">. Although </w:t>
      </w:r>
      <w:proofErr w:type="spellStart"/>
      <w:r w:rsidRPr="008E34E1">
        <w:rPr>
          <w:bCs/>
        </w:rPr>
        <w:t>base ball</w:t>
      </w:r>
      <w:proofErr w:type="spellEnd"/>
      <w:r w:rsidR="00223E9E">
        <w:rPr>
          <w:bCs/>
        </w:rPr>
        <w:t xml:space="preserve"> [sic]</w:t>
      </w:r>
      <w:r w:rsidRPr="008E34E1">
        <w:rPr>
          <w:bCs/>
        </w:rPr>
        <w:t xml:space="preserve"> promises to be the national game of the United States, as cricket is of England, we do not intend to neglect the latter; and those who send us </w:t>
      </w:r>
      <w:r w:rsidR="006E00D6">
        <w:rPr>
          <w:bCs/>
        </w:rPr>
        <w:t>“</w:t>
      </w:r>
      <w:r w:rsidRPr="008E34E1">
        <w:rPr>
          <w:bCs/>
        </w:rPr>
        <w:t>cricket matter,</w:t>
      </w:r>
      <w:r w:rsidR="006E00D6">
        <w:rPr>
          <w:bCs/>
        </w:rPr>
        <w:t>”</w:t>
      </w:r>
      <w:r w:rsidRPr="008E34E1">
        <w:rPr>
          <w:bCs/>
        </w:rPr>
        <w:t xml:space="preserve"> shall receive respectful attention.</w:t>
      </w:r>
      <w:r w:rsidR="00CE7206">
        <w:rPr>
          <w:rStyle w:val="FootnoteReference"/>
          <w:bCs/>
        </w:rPr>
        <w:footnoteReference w:id="29"/>
      </w:r>
    </w:p>
    <w:p w14:paraId="4B708A5A" w14:textId="380C2CD6" w:rsidR="00CE7206" w:rsidRDefault="00E12152" w:rsidP="006E3985">
      <w:pPr>
        <w:spacing w:line="360" w:lineRule="auto"/>
        <w:rPr>
          <w:bCs/>
        </w:rPr>
      </w:pPr>
      <w:r>
        <w:rPr>
          <w:bCs/>
        </w:rPr>
        <w:t xml:space="preserve">For the </w:t>
      </w:r>
      <w:r w:rsidR="00411F81">
        <w:rPr>
          <w:bCs/>
        </w:rPr>
        <w:t>duration</w:t>
      </w:r>
      <w:r>
        <w:rPr>
          <w:bCs/>
        </w:rPr>
        <w:t xml:space="preserve"> of </w:t>
      </w:r>
      <w:r w:rsidR="00411F81">
        <w:rPr>
          <w:bCs/>
        </w:rPr>
        <w:t>the</w:t>
      </w:r>
      <w:r>
        <w:rPr>
          <w:bCs/>
        </w:rPr>
        <w:t xml:space="preserve"> existence</w:t>
      </w:r>
      <w:r w:rsidR="00411F81">
        <w:rPr>
          <w:bCs/>
        </w:rPr>
        <w:t xml:space="preserve"> of “The Playground</w:t>
      </w:r>
      <w:r>
        <w:rPr>
          <w:bCs/>
        </w:rPr>
        <w:t>,</w:t>
      </w:r>
      <w:r w:rsidR="00411F81">
        <w:rPr>
          <w:bCs/>
        </w:rPr>
        <w:t>”</w:t>
      </w:r>
      <w:r>
        <w:rPr>
          <w:bCs/>
        </w:rPr>
        <w:t xml:space="preserve"> the magazine was true to its word: baseball would feature prominently</w:t>
      </w:r>
      <w:r w:rsidR="00411F81">
        <w:rPr>
          <w:bCs/>
        </w:rPr>
        <w:t xml:space="preserve">, and the sport was promoted as “the most commendable exercise practised by young men […] </w:t>
      </w:r>
      <w:r w:rsidR="006D5F3D">
        <w:rPr>
          <w:bCs/>
        </w:rPr>
        <w:t>as a means of developing the physical powers.”</w:t>
      </w:r>
      <w:r w:rsidR="006D5F3D">
        <w:rPr>
          <w:rStyle w:val="FootnoteReference"/>
          <w:bCs/>
        </w:rPr>
        <w:footnoteReference w:id="30"/>
      </w:r>
      <w:r w:rsidR="00411F81">
        <w:rPr>
          <w:bCs/>
        </w:rPr>
        <w:t xml:space="preserve"> But these columns also made clear the </w:t>
      </w:r>
      <w:r w:rsidR="00CE7206">
        <w:rPr>
          <w:bCs/>
        </w:rPr>
        <w:t>degree to which</w:t>
      </w:r>
      <w:r w:rsidR="00411F81">
        <w:rPr>
          <w:bCs/>
        </w:rPr>
        <w:t xml:space="preserve"> the sport’s status was still very much in </w:t>
      </w:r>
      <w:r w:rsidR="00CE7206">
        <w:rPr>
          <w:bCs/>
        </w:rPr>
        <w:t>flux in this period</w:t>
      </w:r>
      <w:r w:rsidR="00411F81">
        <w:rPr>
          <w:bCs/>
        </w:rPr>
        <w:t xml:space="preserve">. </w:t>
      </w:r>
      <w:r w:rsidR="001102FA">
        <w:rPr>
          <w:bCs/>
        </w:rPr>
        <w:t>B</w:t>
      </w:r>
      <w:r w:rsidR="00CE7206">
        <w:rPr>
          <w:bCs/>
        </w:rPr>
        <w:t>y September, “The Playground”</w:t>
      </w:r>
      <w:r w:rsidR="001102FA">
        <w:rPr>
          <w:bCs/>
        </w:rPr>
        <w:t xml:space="preserve"> declared that baseball </w:t>
      </w:r>
      <w:r w:rsidR="00CE7206">
        <w:rPr>
          <w:bCs/>
        </w:rPr>
        <w:t>“may be said to have become our national sport, as Cricket is that of the English”</w:t>
      </w:r>
      <w:r w:rsidR="00450501">
        <w:rPr>
          <w:bCs/>
        </w:rPr>
        <w:t>;</w:t>
      </w:r>
      <w:r w:rsidR="00CE7206">
        <w:rPr>
          <w:bCs/>
        </w:rPr>
        <w:t xml:space="preserve"> </w:t>
      </w:r>
      <w:r w:rsidR="001102FA">
        <w:rPr>
          <w:bCs/>
        </w:rPr>
        <w:t xml:space="preserve">but </w:t>
      </w:r>
      <w:r w:rsidR="00CE7206">
        <w:rPr>
          <w:bCs/>
        </w:rPr>
        <w:t>it contradicted its early pronouncement that “all boys” were aware of the game by printing a detailed description of the positions and rules.</w:t>
      </w:r>
      <w:r w:rsidR="00CE7206">
        <w:rPr>
          <w:rStyle w:val="FootnoteReference"/>
          <w:bCs/>
        </w:rPr>
        <w:footnoteReference w:id="31"/>
      </w:r>
      <w:r w:rsidR="00CE7206">
        <w:rPr>
          <w:bCs/>
        </w:rPr>
        <w:t xml:space="preserve"> This account ended with an exhortation to “Practise continually” – but “above all” to </w:t>
      </w:r>
      <w:r w:rsidR="00CE7206">
        <w:rPr>
          <w:bCs/>
        </w:rPr>
        <w:lastRenderedPageBreak/>
        <w:t>“make your play secondary in importance to your duties at school or at home – a rest to the mind, and not an all-absorbing pursuit.”</w:t>
      </w:r>
      <w:r w:rsidR="00CE7206">
        <w:rPr>
          <w:rStyle w:val="FootnoteReference"/>
          <w:bCs/>
        </w:rPr>
        <w:footnoteReference w:id="32"/>
      </w:r>
      <w:r w:rsidR="00CE7206">
        <w:rPr>
          <w:bCs/>
        </w:rPr>
        <w:t xml:space="preserve"> </w:t>
      </w:r>
      <w:r w:rsidR="006D5F3D">
        <w:rPr>
          <w:bCs/>
        </w:rPr>
        <w:t>Another column also cautioned against “violent, noisy, and excited” playing which could “damage the pleasure of the hour” and cause “bad feeling.”</w:t>
      </w:r>
      <w:r w:rsidR="006D5F3D">
        <w:rPr>
          <w:rStyle w:val="FootnoteReference"/>
          <w:bCs/>
        </w:rPr>
        <w:footnoteReference w:id="33"/>
      </w:r>
      <w:r w:rsidR="006D5F3D">
        <w:rPr>
          <w:bCs/>
        </w:rPr>
        <w:t xml:space="preserve">  </w:t>
      </w:r>
    </w:p>
    <w:p w14:paraId="377874A4" w14:textId="77777777" w:rsidR="002D49F8" w:rsidRDefault="002D49F8" w:rsidP="006E3985">
      <w:pPr>
        <w:spacing w:line="360" w:lineRule="auto"/>
        <w:rPr>
          <w:bCs/>
        </w:rPr>
      </w:pPr>
    </w:p>
    <w:p w14:paraId="73CE9D73" w14:textId="12842D77" w:rsidR="00F33427" w:rsidRDefault="002D49F8" w:rsidP="006E3985">
      <w:pPr>
        <w:spacing w:line="360" w:lineRule="auto"/>
        <w:rPr>
          <w:bCs/>
        </w:rPr>
      </w:pPr>
      <w:r>
        <w:rPr>
          <w:bCs/>
        </w:rPr>
        <w:t>Greater controversies were to come. As well as</w:t>
      </w:r>
      <w:r w:rsidR="001102FA">
        <w:rPr>
          <w:bCs/>
        </w:rPr>
        <w:t xml:space="preserve"> taking a lead in</w:t>
      </w:r>
      <w:r>
        <w:rPr>
          <w:bCs/>
        </w:rPr>
        <w:t xml:space="preserve"> printing accounts of professional matches, </w:t>
      </w:r>
      <w:r w:rsidR="00CE7206">
        <w:rPr>
          <w:bCs/>
          <w:i/>
          <w:iCs/>
        </w:rPr>
        <w:t>Our Boys and Girls</w:t>
      </w:r>
      <w:r w:rsidR="00CE7206">
        <w:rPr>
          <w:bCs/>
        </w:rPr>
        <w:t xml:space="preserve"> also encouraged readers to send in</w:t>
      </w:r>
      <w:r w:rsidR="001B64D6">
        <w:rPr>
          <w:bCs/>
        </w:rPr>
        <w:t xml:space="preserve"> their own</w:t>
      </w:r>
      <w:r w:rsidR="00CE7206">
        <w:rPr>
          <w:bCs/>
        </w:rPr>
        <w:t xml:space="preserve"> reports of local base ball matches and other club records – and </w:t>
      </w:r>
      <w:r>
        <w:rPr>
          <w:bCs/>
        </w:rPr>
        <w:t xml:space="preserve">the response was so </w:t>
      </w:r>
      <w:r w:rsidR="00450501">
        <w:rPr>
          <w:bCs/>
        </w:rPr>
        <w:t>significant</w:t>
      </w:r>
      <w:r>
        <w:rPr>
          <w:bCs/>
        </w:rPr>
        <w:t xml:space="preserve"> that</w:t>
      </w:r>
      <w:r w:rsidR="00CE7206">
        <w:rPr>
          <w:bCs/>
        </w:rPr>
        <w:t>, as early as September 1867, they had to announce that accounts “pour in upon us so rapidly that we cannot find space to publish them in full at the present time.”</w:t>
      </w:r>
      <w:r w:rsidR="00CE7206">
        <w:rPr>
          <w:rStyle w:val="FootnoteReference"/>
          <w:bCs/>
        </w:rPr>
        <w:footnoteReference w:id="34"/>
      </w:r>
      <w:r w:rsidR="00CE7206">
        <w:rPr>
          <w:bCs/>
        </w:rPr>
        <w:t xml:space="preserve"> They also encouraged young players to form their own teams and undertake tours to challenge other local organisations: </w:t>
      </w:r>
    </w:p>
    <w:p w14:paraId="0A1559E6" w14:textId="5ED34AC9" w:rsidR="00F33427" w:rsidRDefault="00F33427" w:rsidP="00307907">
      <w:pPr>
        <w:spacing w:line="360" w:lineRule="auto"/>
        <w:ind w:left="720"/>
        <w:rPr>
          <w:bCs/>
        </w:rPr>
      </w:pPr>
      <w:r>
        <w:rPr>
          <w:bCs/>
        </w:rPr>
        <w:t>W</w:t>
      </w:r>
      <w:r w:rsidR="00CE7206">
        <w:rPr>
          <w:bCs/>
        </w:rPr>
        <w:t xml:space="preserve">e suggest to our young friends that they can hardly pass a week of their vacation more pleasantly […] </w:t>
      </w:r>
      <w:r w:rsidR="00CE7206" w:rsidRPr="00CE7206">
        <w:rPr>
          <w:bCs/>
        </w:rPr>
        <w:t>as, besides the</w:t>
      </w:r>
      <w:r w:rsidR="00CE7206">
        <w:rPr>
          <w:bCs/>
        </w:rPr>
        <w:t xml:space="preserve"> </w:t>
      </w:r>
      <w:r w:rsidR="00CE7206" w:rsidRPr="00CE7206">
        <w:rPr>
          <w:bCs/>
        </w:rPr>
        <w:t>recreation afforded by the games, they would</w:t>
      </w:r>
      <w:r w:rsidR="00CE7206">
        <w:rPr>
          <w:bCs/>
        </w:rPr>
        <w:t xml:space="preserve"> </w:t>
      </w:r>
      <w:r w:rsidR="00CE7206" w:rsidRPr="00CE7206">
        <w:rPr>
          <w:bCs/>
        </w:rPr>
        <w:t>have opportunities of making acquaintances,</w:t>
      </w:r>
      <w:r w:rsidR="00CE7206">
        <w:rPr>
          <w:bCs/>
        </w:rPr>
        <w:t xml:space="preserve"> </w:t>
      </w:r>
      <w:proofErr w:type="gramStart"/>
      <w:r w:rsidR="00CE7206" w:rsidRPr="00CE7206">
        <w:rPr>
          <w:bCs/>
        </w:rPr>
        <w:t>and also</w:t>
      </w:r>
      <w:proofErr w:type="gramEnd"/>
      <w:r w:rsidR="00CE7206" w:rsidRPr="00CE7206">
        <w:rPr>
          <w:bCs/>
        </w:rPr>
        <w:t xml:space="preserve"> of sight-seeing under the most </w:t>
      </w:r>
      <w:proofErr w:type="spellStart"/>
      <w:r w:rsidR="00CE7206" w:rsidRPr="00CE7206">
        <w:rPr>
          <w:bCs/>
        </w:rPr>
        <w:t>favorable</w:t>
      </w:r>
      <w:proofErr w:type="spellEnd"/>
      <w:r w:rsidR="00CE7206" w:rsidRPr="00CE7206">
        <w:rPr>
          <w:bCs/>
        </w:rPr>
        <w:t xml:space="preserve"> auspices. This interchange of courtesies</w:t>
      </w:r>
      <w:r w:rsidR="00CE7206">
        <w:rPr>
          <w:bCs/>
        </w:rPr>
        <w:t xml:space="preserve"> </w:t>
      </w:r>
      <w:r w:rsidR="00CE7206" w:rsidRPr="00CE7206">
        <w:rPr>
          <w:bCs/>
        </w:rPr>
        <w:t xml:space="preserve">greatly enhances the interest of the </w:t>
      </w:r>
      <w:proofErr w:type="gramStart"/>
      <w:r w:rsidR="00CE7206" w:rsidRPr="00CE7206">
        <w:rPr>
          <w:bCs/>
        </w:rPr>
        <w:t>game, and</w:t>
      </w:r>
      <w:proofErr w:type="gramEnd"/>
      <w:r w:rsidR="00CE7206">
        <w:rPr>
          <w:bCs/>
        </w:rPr>
        <w:t xml:space="preserve"> </w:t>
      </w:r>
      <w:r w:rsidR="00CE7206" w:rsidRPr="00CE7206">
        <w:rPr>
          <w:bCs/>
        </w:rPr>
        <w:t>goes far in making it truly the national game</w:t>
      </w:r>
      <w:r w:rsidR="00CE7206">
        <w:rPr>
          <w:bCs/>
        </w:rPr>
        <w:t xml:space="preserve"> </w:t>
      </w:r>
      <w:r w:rsidR="00CE7206" w:rsidRPr="00CE7206">
        <w:rPr>
          <w:bCs/>
        </w:rPr>
        <w:t>of America.</w:t>
      </w:r>
      <w:r w:rsidR="00CE7206">
        <w:rPr>
          <w:rStyle w:val="FootnoteReference"/>
          <w:bCs/>
        </w:rPr>
        <w:footnoteReference w:id="35"/>
      </w:r>
      <w:r w:rsidR="002D49F8">
        <w:rPr>
          <w:bCs/>
        </w:rPr>
        <w:t xml:space="preserve"> </w:t>
      </w:r>
    </w:p>
    <w:p w14:paraId="231F782B" w14:textId="6662CDE9" w:rsidR="004E473F" w:rsidRDefault="00450501" w:rsidP="006E3985">
      <w:pPr>
        <w:spacing w:line="360" w:lineRule="auto"/>
        <w:rPr>
          <w:bCs/>
        </w:rPr>
      </w:pPr>
      <w:r>
        <w:rPr>
          <w:bCs/>
        </w:rPr>
        <w:t>This recommendation</w:t>
      </w:r>
      <w:r w:rsidR="002D49F8">
        <w:rPr>
          <w:bCs/>
        </w:rPr>
        <w:t xml:space="preserve"> was also suggestive of the vision that </w:t>
      </w:r>
      <w:r w:rsidR="002D49F8">
        <w:rPr>
          <w:bCs/>
          <w:i/>
          <w:iCs/>
        </w:rPr>
        <w:t>Our Boys and Girls</w:t>
      </w:r>
      <w:r w:rsidR="002D49F8">
        <w:rPr>
          <w:bCs/>
        </w:rPr>
        <w:t xml:space="preserve"> held of the socio-economic status of its readership. </w:t>
      </w:r>
      <w:r w:rsidR="00CE7206">
        <w:rPr>
          <w:bCs/>
        </w:rPr>
        <w:t xml:space="preserve">Yet </w:t>
      </w:r>
      <w:r w:rsidR="001102FA">
        <w:rPr>
          <w:bCs/>
        </w:rPr>
        <w:t xml:space="preserve">more </w:t>
      </w:r>
      <w:r w:rsidR="00CE7206">
        <w:rPr>
          <w:bCs/>
        </w:rPr>
        <w:t>uncertaint</w:t>
      </w:r>
      <w:r w:rsidR="002D49F8">
        <w:rPr>
          <w:bCs/>
        </w:rPr>
        <w:t>ies</w:t>
      </w:r>
      <w:r w:rsidR="00CE7206">
        <w:rPr>
          <w:bCs/>
        </w:rPr>
        <w:t xml:space="preserve"> w</w:t>
      </w:r>
      <w:r w:rsidR="002D49F8">
        <w:rPr>
          <w:bCs/>
        </w:rPr>
        <w:t>ere</w:t>
      </w:r>
      <w:r w:rsidR="00CE7206">
        <w:rPr>
          <w:bCs/>
        </w:rPr>
        <w:t xml:space="preserve"> also discernible. By 1869, </w:t>
      </w:r>
      <w:r w:rsidR="00CE7206">
        <w:rPr>
          <w:bCs/>
          <w:i/>
          <w:iCs/>
        </w:rPr>
        <w:t>Our Boys and Girls</w:t>
      </w:r>
      <w:r w:rsidR="00CE7206">
        <w:rPr>
          <w:bCs/>
        </w:rPr>
        <w:t xml:space="preserve"> </w:t>
      </w:r>
      <w:r w:rsidR="004E473F">
        <w:rPr>
          <w:bCs/>
        </w:rPr>
        <w:t xml:space="preserve">had a sorry story to tell which clearly drew the lines of respectability around the game for its young readers. Reporting on a recent match in the professional game, they noted with horror that the Haymaker Club of Troy was in “disgrace” after losing to the Maryland Club of Baltimore: </w:t>
      </w:r>
    </w:p>
    <w:p w14:paraId="0951D321" w14:textId="2B411DCA" w:rsidR="006F78F2" w:rsidRPr="00CE7206" w:rsidRDefault="004E473F" w:rsidP="006E3985">
      <w:pPr>
        <w:spacing w:line="360" w:lineRule="auto"/>
        <w:ind w:left="720"/>
        <w:rPr>
          <w:bCs/>
        </w:rPr>
      </w:pPr>
      <w:r>
        <w:rPr>
          <w:bCs/>
        </w:rPr>
        <w:t xml:space="preserve">[I]t was discovered that the Haymakers had purposely let the Pastimes defeat them, in order that their crowd might profit by the confidence of the Maryland Club, who were backed to win, and thus enable them to win large sums of money in bets. This base action of the Haymakers is denounced on every hand […] It is by such actions of the professional clubs that our national game is rapidly acquiring a bad name; and if such a course is persisted in, it will soon be placed on a par with horse-racing, and sports of that </w:t>
      </w:r>
      <w:r>
        <w:rPr>
          <w:bCs/>
        </w:rPr>
        <w:lastRenderedPageBreak/>
        <w:t xml:space="preserve">description. We trust our young friends, when they play </w:t>
      </w:r>
      <w:proofErr w:type="spellStart"/>
      <w:r>
        <w:rPr>
          <w:bCs/>
        </w:rPr>
        <w:t>base ball</w:t>
      </w:r>
      <w:proofErr w:type="spellEnd"/>
      <w:r>
        <w:rPr>
          <w:bCs/>
        </w:rPr>
        <w:t xml:space="preserve">, play it fairly and </w:t>
      </w:r>
      <w:proofErr w:type="spellStart"/>
      <w:r>
        <w:rPr>
          <w:bCs/>
        </w:rPr>
        <w:t>honorably</w:t>
      </w:r>
      <w:proofErr w:type="spellEnd"/>
      <w:r>
        <w:rPr>
          <w:bCs/>
        </w:rPr>
        <w:t xml:space="preserve">, satisfied to let all </w:t>
      </w:r>
      <w:proofErr w:type="spellStart"/>
      <w:r>
        <w:rPr>
          <w:bCs/>
        </w:rPr>
        <w:t>dishonorable</w:t>
      </w:r>
      <w:proofErr w:type="spellEnd"/>
      <w:r>
        <w:rPr>
          <w:bCs/>
        </w:rPr>
        <w:t xml:space="preserve"> conduct rest with professional clubs.</w:t>
      </w:r>
      <w:r>
        <w:rPr>
          <w:rStyle w:val="FootnoteReference"/>
          <w:bCs/>
        </w:rPr>
        <w:footnoteReference w:id="36"/>
      </w:r>
      <w:r>
        <w:rPr>
          <w:bCs/>
        </w:rPr>
        <w:t xml:space="preserve">   </w:t>
      </w:r>
      <w:r w:rsidR="00CE7206">
        <w:rPr>
          <w:bCs/>
        </w:rPr>
        <w:t xml:space="preserve"> </w:t>
      </w:r>
    </w:p>
    <w:p w14:paraId="231D53BC" w14:textId="77777777" w:rsidR="00720361" w:rsidRDefault="00914BEC" w:rsidP="006E3985">
      <w:pPr>
        <w:spacing w:line="360" w:lineRule="auto"/>
        <w:rPr>
          <w:bCs/>
        </w:rPr>
      </w:pPr>
      <w:r>
        <w:rPr>
          <w:bCs/>
        </w:rPr>
        <w:t>In January 1870, there was another controversy to report: a profession</w:t>
      </w:r>
      <w:r w:rsidR="002D49F8">
        <w:rPr>
          <w:bCs/>
        </w:rPr>
        <w:t>al</w:t>
      </w:r>
      <w:r>
        <w:rPr>
          <w:bCs/>
        </w:rPr>
        <w:t xml:space="preserve"> game in New Orleans had taken place on a Sunday: “All this is wrong, contrary to the commands of the Bible, injurious to morals, and in every way bad in its influence. We hope never to hear of another Sunday match.”</w:t>
      </w:r>
      <w:r>
        <w:rPr>
          <w:rStyle w:val="FootnoteReference"/>
          <w:bCs/>
        </w:rPr>
        <w:footnoteReference w:id="37"/>
      </w:r>
      <w:r>
        <w:rPr>
          <w:bCs/>
        </w:rPr>
        <w:t xml:space="preserve"> Perhaps this was one </w:t>
      </w:r>
      <w:r w:rsidR="002D49F8">
        <w:rPr>
          <w:bCs/>
        </w:rPr>
        <w:t>scandal</w:t>
      </w:r>
      <w:r>
        <w:rPr>
          <w:bCs/>
        </w:rPr>
        <w:t xml:space="preserve"> too many: this was the last appearance of “The Playground” and its enthusiastic</w:t>
      </w:r>
      <w:r w:rsidR="002D49F8">
        <w:rPr>
          <w:bCs/>
        </w:rPr>
        <w:t xml:space="preserve">, </w:t>
      </w:r>
      <w:proofErr w:type="spellStart"/>
      <w:r w:rsidR="002D49F8">
        <w:rPr>
          <w:bCs/>
        </w:rPr>
        <w:t>groundbreaking</w:t>
      </w:r>
      <w:proofErr w:type="spellEnd"/>
      <w:r>
        <w:rPr>
          <w:bCs/>
        </w:rPr>
        <w:t xml:space="preserve"> coverage of the national game in the pages of </w:t>
      </w:r>
      <w:r>
        <w:rPr>
          <w:bCs/>
          <w:i/>
          <w:iCs/>
        </w:rPr>
        <w:t>Our Boys and Girls</w:t>
      </w:r>
      <w:r>
        <w:rPr>
          <w:bCs/>
        </w:rPr>
        <w:t>.</w:t>
      </w:r>
    </w:p>
    <w:p w14:paraId="3722165C" w14:textId="77777777" w:rsidR="00720361" w:rsidRDefault="00720361" w:rsidP="006E3985">
      <w:pPr>
        <w:spacing w:line="360" w:lineRule="auto"/>
        <w:rPr>
          <w:bCs/>
        </w:rPr>
      </w:pPr>
    </w:p>
    <w:p w14:paraId="31C090B4" w14:textId="52CBFBF6" w:rsidR="00A44E00" w:rsidRDefault="001B64D6" w:rsidP="006E3985">
      <w:pPr>
        <w:spacing w:line="360" w:lineRule="auto"/>
        <w:rPr>
          <w:bCs/>
        </w:rPr>
      </w:pPr>
      <w:r>
        <w:rPr>
          <w:bCs/>
        </w:rPr>
        <w:t>Still, i</w:t>
      </w:r>
      <w:r w:rsidR="00720361">
        <w:rPr>
          <w:bCs/>
        </w:rPr>
        <w:t>ts relatively brief existence provided a template for the way in which baseball would be covered by its contemporaries. On the one hand, baseball was</w:t>
      </w:r>
      <w:r w:rsidR="00CB618F">
        <w:rPr>
          <w:bCs/>
        </w:rPr>
        <w:t xml:space="preserve"> swiftly characterised as</w:t>
      </w:r>
      <w:r w:rsidR="00720361">
        <w:rPr>
          <w:bCs/>
        </w:rPr>
        <w:t xml:space="preserve"> manly, patriotic, physically rewarding, and</w:t>
      </w:r>
      <w:r w:rsidR="00CB618F">
        <w:rPr>
          <w:bCs/>
        </w:rPr>
        <w:t xml:space="preserve"> a potential means of</w:t>
      </w:r>
      <w:r w:rsidR="00720361">
        <w:rPr>
          <w:bCs/>
        </w:rPr>
        <w:t xml:space="preserve"> inculca</w:t>
      </w:r>
      <w:r w:rsidR="00CB618F">
        <w:rPr>
          <w:bCs/>
        </w:rPr>
        <w:t>ting</w:t>
      </w:r>
      <w:r w:rsidR="00720361">
        <w:rPr>
          <w:bCs/>
        </w:rPr>
        <w:t xml:space="preserve"> other virtues like hard work, resilience, and sociability amongst a certain class who could afford the leisure time to emulate a fashionable English example. Yet at the same time, baseball still carried </w:t>
      </w:r>
      <w:proofErr w:type="gramStart"/>
      <w:r w:rsidR="00720361">
        <w:rPr>
          <w:bCs/>
        </w:rPr>
        <w:t>a number of</w:t>
      </w:r>
      <w:proofErr w:type="gramEnd"/>
      <w:r w:rsidR="00720361">
        <w:rPr>
          <w:bCs/>
        </w:rPr>
        <w:t xml:space="preserve"> problematic associations: it was tainted by association with the nascent professional game, particularly its relationship to gambling and other urban dimensions of the sporting life. What’s more, the value of play </w:t>
      </w:r>
      <w:r w:rsidR="00223E9E">
        <w:rPr>
          <w:bCs/>
        </w:rPr>
        <w:t>remained</w:t>
      </w:r>
      <w:r w:rsidR="00720361">
        <w:rPr>
          <w:bCs/>
        </w:rPr>
        <w:t xml:space="preserve"> questionable, since it took time away from the more serious stuff of life, particularly religion. What couldn’t be denied was the game’s popularity: at the same moment that “The Playground” disappeared from </w:t>
      </w:r>
      <w:r w:rsidR="00720361">
        <w:rPr>
          <w:bCs/>
          <w:i/>
          <w:iCs/>
        </w:rPr>
        <w:t>Our Boys and Girls</w:t>
      </w:r>
      <w:r w:rsidR="00720361">
        <w:rPr>
          <w:bCs/>
        </w:rPr>
        <w:t xml:space="preserve">, </w:t>
      </w:r>
      <w:r w:rsidR="00B41CD9">
        <w:rPr>
          <w:bCs/>
        </w:rPr>
        <w:t>publishers Lee &amp; Shepard were</w:t>
      </w:r>
      <w:r w:rsidR="00720361">
        <w:rPr>
          <w:bCs/>
        </w:rPr>
        <w:t xml:space="preserve"> busily advertising William Everett’s early baseball novel </w:t>
      </w:r>
      <w:r w:rsidR="00720361">
        <w:rPr>
          <w:bCs/>
          <w:i/>
          <w:iCs/>
        </w:rPr>
        <w:t>Changing Base</w:t>
      </w:r>
      <w:r w:rsidR="00720361">
        <w:rPr>
          <w:bCs/>
        </w:rPr>
        <w:t xml:space="preserve"> (1869)</w:t>
      </w:r>
      <w:r w:rsidR="00CB618F">
        <w:rPr>
          <w:bCs/>
        </w:rPr>
        <w:t xml:space="preserve"> in its pages</w:t>
      </w:r>
      <w:r w:rsidR="00720361">
        <w:rPr>
          <w:bCs/>
        </w:rPr>
        <w:t>.</w:t>
      </w:r>
      <w:r w:rsidR="00B41CD9">
        <w:rPr>
          <w:bCs/>
        </w:rPr>
        <w:t xml:space="preserve"> </w:t>
      </w:r>
      <w:r w:rsidR="00720361">
        <w:rPr>
          <w:bCs/>
        </w:rPr>
        <w:t xml:space="preserve">In many ways, </w:t>
      </w:r>
      <w:r w:rsidR="00720361">
        <w:rPr>
          <w:bCs/>
          <w:i/>
          <w:iCs/>
        </w:rPr>
        <w:t>Our Boys and Girls</w:t>
      </w:r>
      <w:r w:rsidR="00720361">
        <w:rPr>
          <w:bCs/>
        </w:rPr>
        <w:t xml:space="preserve"> had been ahead of </w:t>
      </w:r>
      <w:r w:rsidR="00450501">
        <w:rPr>
          <w:bCs/>
        </w:rPr>
        <w:t>its</w:t>
      </w:r>
      <w:r w:rsidR="00720361">
        <w:rPr>
          <w:bCs/>
        </w:rPr>
        <w:t xml:space="preserve"> time by publishing what amounted to a weekly baseball column; when its fellow publications turned their attention to the game, their approaches echoed the tensions discernible in “The Playground.”</w:t>
      </w:r>
    </w:p>
    <w:p w14:paraId="437C1598" w14:textId="3FB153B6" w:rsidR="00AB6F82" w:rsidRDefault="006C46E9" w:rsidP="006E3985">
      <w:pPr>
        <w:keepNext/>
        <w:spacing w:line="360" w:lineRule="auto"/>
        <w:jc w:val="center"/>
      </w:pPr>
      <w:r>
        <w:rPr>
          <w:noProof/>
          <w:lang w:val="en-US" w:eastAsia="en-US"/>
        </w:rPr>
        <w:lastRenderedPageBreak/>
        <w:drawing>
          <wp:inline distT="0" distB="0" distL="0" distR="0" wp14:anchorId="10E54B3B" wp14:editId="26B4B802">
            <wp:extent cx="5041392" cy="78577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1.tiff"/>
                    <pic:cNvPicPr/>
                  </pic:nvPicPr>
                  <pic:blipFill>
                    <a:blip r:embed="rId8">
                      <a:extLst>
                        <a:ext uri="{28A0092B-C50C-407E-A947-70E740481C1C}">
                          <a14:useLocalDpi xmlns:a14="http://schemas.microsoft.com/office/drawing/2010/main" val="0"/>
                        </a:ext>
                      </a:extLst>
                    </a:blip>
                    <a:stretch>
                      <a:fillRect/>
                    </a:stretch>
                  </pic:blipFill>
                  <pic:spPr>
                    <a:xfrm>
                      <a:off x="0" y="0"/>
                      <a:ext cx="5041392" cy="7857744"/>
                    </a:xfrm>
                    <a:prstGeom prst="rect">
                      <a:avLst/>
                    </a:prstGeom>
                  </pic:spPr>
                </pic:pic>
              </a:graphicData>
            </a:graphic>
          </wp:inline>
        </w:drawing>
      </w:r>
    </w:p>
    <w:p w14:paraId="0A5537A5" w14:textId="77777777" w:rsidR="00AB6F82" w:rsidRDefault="00AB6F82" w:rsidP="006E3985">
      <w:pPr>
        <w:pStyle w:val="Caption"/>
        <w:spacing w:line="360" w:lineRule="auto"/>
        <w:jc w:val="center"/>
        <w:outlineLvl w:val="0"/>
        <w:rPr>
          <w:bCs/>
        </w:rPr>
      </w:pPr>
      <w:r>
        <w:t xml:space="preserve">Figure </w:t>
      </w:r>
      <w:r>
        <w:fldChar w:fldCharType="begin"/>
      </w:r>
      <w:r>
        <w:instrText xml:space="preserve"> SEQ Figure \* ARABIC </w:instrText>
      </w:r>
      <w:r>
        <w:fldChar w:fldCharType="separate"/>
      </w:r>
      <w:r w:rsidR="005E7FA1">
        <w:rPr>
          <w:noProof/>
        </w:rPr>
        <w:t>1</w:t>
      </w:r>
      <w:r>
        <w:fldChar w:fldCharType="end"/>
      </w:r>
      <w:r>
        <w:t xml:space="preserve">: Advertisement for </w:t>
      </w:r>
      <w:r>
        <w:rPr>
          <w:i w:val="0"/>
          <w:iCs w:val="0"/>
        </w:rPr>
        <w:t>Changing Base</w:t>
      </w:r>
      <w:r>
        <w:t xml:space="preserve"> by William Everett in </w:t>
      </w:r>
      <w:r>
        <w:rPr>
          <w:i w:val="0"/>
          <w:iCs w:val="0"/>
        </w:rPr>
        <w:t>Our Boys and Girls</w:t>
      </w:r>
      <w:r>
        <w:t>, January 22</w:t>
      </w:r>
      <w:proofErr w:type="gramStart"/>
      <w:r>
        <w:t xml:space="preserve"> 1870</w:t>
      </w:r>
      <w:proofErr w:type="gramEnd"/>
      <w:r>
        <w:t>, back cover.</w:t>
      </w:r>
    </w:p>
    <w:p w14:paraId="02447D1A" w14:textId="77777777" w:rsidR="001B64D6" w:rsidRPr="00204D50" w:rsidRDefault="001B64D6" w:rsidP="006E3985">
      <w:pPr>
        <w:spacing w:line="360" w:lineRule="auto"/>
        <w:rPr>
          <w:bCs/>
        </w:rPr>
      </w:pPr>
      <w:r>
        <w:rPr>
          <w:bCs/>
        </w:rPr>
        <w:lastRenderedPageBreak/>
        <w:t>Self-improvement was a major concern in children’s magazines</w:t>
      </w:r>
      <w:r w:rsidR="00AF52AF">
        <w:rPr>
          <w:bCs/>
        </w:rPr>
        <w:t>’</w:t>
      </w:r>
      <w:r>
        <w:rPr>
          <w:bCs/>
        </w:rPr>
        <w:t xml:space="preserve"> presentation of baseball. </w:t>
      </w:r>
      <w:r>
        <w:t xml:space="preserve">In 1892, Gertrude Morton published a poem in </w:t>
      </w:r>
      <w:r w:rsidR="00CB618F">
        <w:rPr>
          <w:i/>
          <w:iCs/>
        </w:rPr>
        <w:t>St. Nicholas</w:t>
      </w:r>
      <w:r>
        <w:t xml:space="preserve"> which imagined the idealised curriculum of a young boy bored by the “</w:t>
      </w:r>
      <w:r>
        <w:rPr>
          <w:i/>
          <w:iCs/>
        </w:rPr>
        <w:t>useless</w:t>
      </w:r>
      <w:r>
        <w:t xml:space="preserve"> things he was forced to learn” at school:</w:t>
      </w:r>
    </w:p>
    <w:p w14:paraId="187FFEDA" w14:textId="77777777" w:rsidR="001B64D6" w:rsidRDefault="001B64D6" w:rsidP="006E3985">
      <w:pPr>
        <w:spacing w:line="360" w:lineRule="auto"/>
        <w:ind w:left="720"/>
      </w:pPr>
      <w:r>
        <w:t xml:space="preserve">We’ll play at tennis and at cricket all the livelong </w:t>
      </w:r>
      <w:proofErr w:type="gramStart"/>
      <w:r>
        <w:t>day;</w:t>
      </w:r>
      <w:proofErr w:type="gramEnd"/>
    </w:p>
    <w:p w14:paraId="0160B1B7" w14:textId="77777777" w:rsidR="001B64D6" w:rsidRDefault="001B64D6" w:rsidP="006E3985">
      <w:pPr>
        <w:spacing w:line="360" w:lineRule="auto"/>
        <w:ind w:left="720"/>
      </w:pPr>
      <w:r>
        <w:t>And then there’s polo, and – Oh yes, foot-</w:t>
      </w:r>
      <w:proofErr w:type="gramStart"/>
      <w:r>
        <w:t>ball;</w:t>
      </w:r>
      <w:proofErr w:type="gramEnd"/>
    </w:p>
    <w:p w14:paraId="758E6CA7" w14:textId="77777777" w:rsidR="001B64D6" w:rsidRDefault="001B64D6" w:rsidP="006E3985">
      <w:pPr>
        <w:spacing w:line="360" w:lineRule="auto"/>
        <w:ind w:left="720"/>
      </w:pPr>
      <w:r>
        <w:t xml:space="preserve">And </w:t>
      </w:r>
      <w:proofErr w:type="gramStart"/>
      <w:r>
        <w:t>base-ball</w:t>
      </w:r>
      <w:proofErr w:type="gramEnd"/>
      <w:r>
        <w:t xml:space="preserve"> they shall every single one learn how to play,</w:t>
      </w:r>
    </w:p>
    <w:p w14:paraId="73EB4531" w14:textId="77777777" w:rsidR="001B64D6" w:rsidRDefault="001B64D6" w:rsidP="006E3985">
      <w:pPr>
        <w:spacing w:line="360" w:lineRule="auto"/>
        <w:ind w:left="720"/>
        <w:outlineLvl w:val="0"/>
      </w:pPr>
      <w:r>
        <w:t>For that’s the most important thing of all.</w:t>
      </w:r>
      <w:r>
        <w:rPr>
          <w:rStyle w:val="FootnoteReference"/>
        </w:rPr>
        <w:footnoteReference w:id="38"/>
      </w:r>
    </w:p>
    <w:p w14:paraId="63BC8F92" w14:textId="3F043710" w:rsidR="00B83ED3" w:rsidRDefault="001B64D6" w:rsidP="006E3985">
      <w:pPr>
        <w:spacing w:line="360" w:lineRule="auto"/>
      </w:pPr>
      <w:r>
        <w:t>Yet for other commentators, education and baseball were not framed in such opposition</w:t>
      </w:r>
      <w:r w:rsidR="001B0C6D">
        <w:t>al terms</w:t>
      </w:r>
      <w:r>
        <w:t xml:space="preserve">. Self-improvement through </w:t>
      </w:r>
      <w:r w:rsidR="001B0C6D">
        <w:t xml:space="preserve">the </w:t>
      </w:r>
      <w:r>
        <w:t>physical</w:t>
      </w:r>
      <w:r w:rsidR="001B0C6D">
        <w:t xml:space="preserve"> and mental</w:t>
      </w:r>
      <w:r>
        <w:t xml:space="preserve"> culture</w:t>
      </w:r>
      <w:r w:rsidR="001B0C6D">
        <w:t xml:space="preserve"> of baseball</w:t>
      </w:r>
      <w:r>
        <w:t xml:space="preserve"> was frequently promoted. Helen M. North made the case for “The Moral Influence of Games” to the readers of </w:t>
      </w:r>
      <w:r>
        <w:rPr>
          <w:i/>
          <w:iCs/>
        </w:rPr>
        <w:t>Harper’s Young People</w:t>
      </w:r>
      <w:r>
        <w:t xml:space="preserve">. Each sport, she noted, had “a certain object” and brought with it a certain set of values that were “helpful to mind as well as to body.” Baseball had many virtues in this regard: </w:t>
      </w:r>
    </w:p>
    <w:p w14:paraId="54691E03" w14:textId="5EF516A0" w:rsidR="00B83ED3" w:rsidRDefault="00F82FB9" w:rsidP="00307907">
      <w:pPr>
        <w:spacing w:line="360" w:lineRule="auto"/>
        <w:ind w:left="720"/>
      </w:pPr>
      <w:r>
        <w:t>T</w:t>
      </w:r>
      <w:r w:rsidR="001B64D6">
        <w:t xml:space="preserve">he pitcher has been trained to control the motion of the ball, and to calculate with exactness just where he wishes it to be […] The catcher must be cool and collected […] And all unconsciously to himself the boy is acquiring the lessons of ready tact, prompt decision, and perfect self-control which will be invaluable to him when the nine is forgotten in the duties of the factory, the counting house, the surgical ward, or the court-room. </w:t>
      </w:r>
    </w:p>
    <w:p w14:paraId="346D0B46" w14:textId="766A4380" w:rsidR="001B64D6" w:rsidRDefault="001B64D6" w:rsidP="006E3985">
      <w:pPr>
        <w:spacing w:line="360" w:lineRule="auto"/>
      </w:pPr>
      <w:r>
        <w:t>Sport, then, was an “earnest” endeavour.</w:t>
      </w:r>
      <w:r>
        <w:rPr>
          <w:rStyle w:val="FootnoteReference"/>
        </w:rPr>
        <w:footnoteReference w:id="39"/>
      </w:r>
      <w:r>
        <w:t xml:space="preserve"> James </w:t>
      </w:r>
      <w:proofErr w:type="spellStart"/>
      <w:r>
        <w:t>Buckham</w:t>
      </w:r>
      <w:proofErr w:type="spellEnd"/>
      <w:r>
        <w:t xml:space="preserve"> similarly informed the same readership that sport provided “valuable mental training” alongside its physical benefits. </w:t>
      </w:r>
      <w:proofErr w:type="spellStart"/>
      <w:r>
        <w:t>Buckham</w:t>
      </w:r>
      <w:proofErr w:type="spellEnd"/>
      <w:r>
        <w:t xml:space="preserve"> encouraged his young readers</w:t>
      </w:r>
      <w:r w:rsidR="00827941">
        <w:t xml:space="preserve">. </w:t>
      </w:r>
      <w:r>
        <w:t xml:space="preserve">Courage on the baseball field, </w:t>
      </w:r>
      <w:proofErr w:type="spellStart"/>
      <w:r>
        <w:t>Buckham</w:t>
      </w:r>
      <w:proofErr w:type="spellEnd"/>
      <w:r>
        <w:t xml:space="preserve"> argued, was a </w:t>
      </w:r>
      <w:r w:rsidR="00C4665F">
        <w:t>“</w:t>
      </w:r>
      <w:r>
        <w:t>genuine mental acquisition” which would make any player “a more whole-souled, earnest, devoted, manly man, and a better soldier in every noble cause for which he fights.”</w:t>
      </w:r>
      <w:r>
        <w:rPr>
          <w:rStyle w:val="FootnoteReference"/>
        </w:rPr>
        <w:footnoteReference w:id="40"/>
      </w:r>
      <w:r>
        <w:t xml:space="preserve"> </w:t>
      </w:r>
    </w:p>
    <w:p w14:paraId="56565D50" w14:textId="77777777" w:rsidR="001B64D6" w:rsidRDefault="001B64D6" w:rsidP="006E3985">
      <w:pPr>
        <w:spacing w:line="360" w:lineRule="auto"/>
      </w:pPr>
    </w:p>
    <w:p w14:paraId="4A469A95" w14:textId="574BE5C3" w:rsidR="00AF100F" w:rsidRPr="001B0C6D" w:rsidRDefault="001B64D6" w:rsidP="006E3985">
      <w:pPr>
        <w:spacing w:line="360" w:lineRule="auto"/>
      </w:pPr>
      <w:r>
        <w:t xml:space="preserve">In the same vein, these magazines were at pains to promote baseball as a scientific </w:t>
      </w:r>
      <w:r w:rsidR="009A105C">
        <w:t>activity</w:t>
      </w:r>
      <w:r>
        <w:t>, and numerous articles</w:t>
      </w:r>
      <w:r w:rsidR="009A105C">
        <w:t xml:space="preserve"> emphasised the significance of practice, progress and a rational approach to the game that stood in contrast to fears of the </w:t>
      </w:r>
      <w:r w:rsidR="001B0C6D">
        <w:t>sport’s</w:t>
      </w:r>
      <w:r w:rsidR="009A105C">
        <w:t xml:space="preserve"> propensity for rowdiness or violence. Numerous articles</w:t>
      </w:r>
      <w:r w:rsidR="00991DBC">
        <w:t xml:space="preserve"> </w:t>
      </w:r>
      <w:r w:rsidR="00AF100F">
        <w:t xml:space="preserve">espoused the importance of proper technique and went into rigorous detail </w:t>
      </w:r>
      <w:r w:rsidR="00AF100F">
        <w:lastRenderedPageBreak/>
        <w:t xml:space="preserve">about exactly what that looked like. Particularly notable was a long series of articles written by Walter Camp – much better known for his pivotal role in the development of American football – for </w:t>
      </w:r>
      <w:r w:rsidR="00AF100F">
        <w:rPr>
          <w:i/>
          <w:iCs/>
        </w:rPr>
        <w:t>St. Nicholas</w:t>
      </w:r>
      <w:r w:rsidR="00AF100F">
        <w:t xml:space="preserve"> magazine in 1890. Through five </w:t>
      </w:r>
      <w:r w:rsidR="00AF52AF">
        <w:t>instalments</w:t>
      </w:r>
      <w:r w:rsidR="00AF100F">
        <w:t xml:space="preserve"> of “Bat, Ball and Diamond”, Camp devoted separate articles to general conditioning and lengthy explorations of individual positions. Across them all, the mantra was clear: “the sport has become so scientific, and practice is so essential to its highest development.”</w:t>
      </w:r>
      <w:r w:rsidR="00AF100F">
        <w:rPr>
          <w:rStyle w:val="FootnoteReference"/>
        </w:rPr>
        <w:footnoteReference w:id="41"/>
      </w:r>
      <w:r w:rsidR="00AF100F">
        <w:t xml:space="preserve"> </w:t>
      </w:r>
      <w:r w:rsidR="00D0589D">
        <w:rPr>
          <w:bCs/>
        </w:rPr>
        <w:t xml:space="preserve">N. P. Babcock </w:t>
      </w:r>
      <w:r w:rsidR="00AF100F">
        <w:rPr>
          <w:bCs/>
        </w:rPr>
        <w:t xml:space="preserve">similarly </w:t>
      </w:r>
      <w:r w:rsidR="00D0589D">
        <w:rPr>
          <w:bCs/>
        </w:rPr>
        <w:t xml:space="preserve">informed the readers of </w:t>
      </w:r>
      <w:r w:rsidR="00D0589D">
        <w:rPr>
          <w:bCs/>
          <w:i/>
          <w:iCs/>
        </w:rPr>
        <w:t>Harper’s Young People</w:t>
      </w:r>
      <w:r w:rsidR="00D0589D">
        <w:rPr>
          <w:bCs/>
        </w:rPr>
        <w:t xml:space="preserve"> that, “The scientific education and training of base-ball players began, if I remember rightly, about fifteen or sixteen years ago, but at no time</w:t>
      </w:r>
      <w:r w:rsidR="009A105C">
        <w:rPr>
          <w:bCs/>
        </w:rPr>
        <w:t xml:space="preserve"> </w:t>
      </w:r>
      <w:r w:rsidR="00D0589D">
        <w:rPr>
          <w:bCs/>
        </w:rPr>
        <w:t>has the standard for excellence been so high as it is to-day.”</w:t>
      </w:r>
      <w:r w:rsidR="00D0589D">
        <w:rPr>
          <w:rStyle w:val="FootnoteReference"/>
          <w:bCs/>
        </w:rPr>
        <w:footnoteReference w:id="42"/>
      </w:r>
      <w:r w:rsidR="00F324F2">
        <w:rPr>
          <w:bCs/>
        </w:rPr>
        <w:t xml:space="preserve"> </w:t>
      </w:r>
      <w:r w:rsidR="009A105C">
        <w:rPr>
          <w:bCs/>
        </w:rPr>
        <w:t>Babcock also emphasised the importance of technique over brawn: “any clumsy, dull-witted player, if he has strength enough, can occasionally hit a ball for a home run, but […] it requires intelligence, a ready wit, plenty of courage, and a cool hea</w:t>
      </w:r>
      <w:r w:rsidR="00223E9E">
        <w:rPr>
          <w:bCs/>
        </w:rPr>
        <w:t>d</w:t>
      </w:r>
      <w:r w:rsidR="009A105C">
        <w:rPr>
          <w:bCs/>
        </w:rPr>
        <w:t xml:space="preserve"> to make a successful base-runner.”</w:t>
      </w:r>
      <w:r w:rsidR="009A105C">
        <w:rPr>
          <w:rStyle w:val="FootnoteReference"/>
          <w:bCs/>
        </w:rPr>
        <w:footnoteReference w:id="43"/>
      </w:r>
      <w:r w:rsidR="00A56850">
        <w:rPr>
          <w:bCs/>
        </w:rPr>
        <w:t xml:space="preserve"> Alonzo Stagg wrote a </w:t>
      </w:r>
      <w:r w:rsidR="00CB618F">
        <w:rPr>
          <w:bCs/>
        </w:rPr>
        <w:t xml:space="preserve">similarly exhaustive </w:t>
      </w:r>
      <w:r w:rsidR="00A56850">
        <w:rPr>
          <w:bCs/>
        </w:rPr>
        <w:t xml:space="preserve">series of articles for </w:t>
      </w:r>
      <w:r w:rsidR="00A56850">
        <w:rPr>
          <w:bCs/>
          <w:i/>
          <w:iCs/>
        </w:rPr>
        <w:t>Harper’s Young People</w:t>
      </w:r>
      <w:r w:rsidR="00A56850">
        <w:rPr>
          <w:bCs/>
        </w:rPr>
        <w:t xml:space="preserve"> explaining “the system and methods followed by the leading colleges, coupled with my own observation and experience.”</w:t>
      </w:r>
      <w:r w:rsidR="00A56850">
        <w:rPr>
          <w:rStyle w:val="FootnoteReference"/>
          <w:bCs/>
        </w:rPr>
        <w:footnoteReference w:id="44"/>
      </w:r>
      <w:r w:rsidR="00A56850">
        <w:rPr>
          <w:bCs/>
        </w:rPr>
        <w:t xml:space="preserve"> </w:t>
      </w:r>
      <w:r w:rsidR="00901FF3">
        <w:rPr>
          <w:bCs/>
        </w:rPr>
        <w:t xml:space="preserve">This approach was also advocated by a short story published in </w:t>
      </w:r>
      <w:r w:rsidR="00CB618F">
        <w:rPr>
          <w:bCs/>
          <w:i/>
          <w:iCs/>
        </w:rPr>
        <w:t>St. Nicholas</w:t>
      </w:r>
      <w:r w:rsidR="00901FF3">
        <w:rPr>
          <w:bCs/>
        </w:rPr>
        <w:t xml:space="preserve"> in 1885: “How Science Won the Game.” The slightly built catcher of the Stafford baseball club advises his teammates, “You have the strength […] but I tell you </w:t>
      </w:r>
      <w:proofErr w:type="gramStart"/>
      <w:r w:rsidR="00901FF3">
        <w:rPr>
          <w:bCs/>
        </w:rPr>
        <w:t>‘science</w:t>
      </w:r>
      <w:proofErr w:type="gramEnd"/>
      <w:r w:rsidR="00901FF3">
        <w:rPr>
          <w:bCs/>
        </w:rPr>
        <w:t>’ is the thing that wins!” Sure enough, after their pitcher rigorously practices his curveballs and learns to be “just as cool as a cucumber”, the team are victorious.</w:t>
      </w:r>
      <w:r w:rsidR="007C7017">
        <w:rPr>
          <w:rStyle w:val="FootnoteReference"/>
          <w:bCs/>
        </w:rPr>
        <w:footnoteReference w:id="45"/>
      </w:r>
      <w:r w:rsidR="00901FF3">
        <w:rPr>
          <w:bCs/>
        </w:rPr>
        <w:t xml:space="preserve"> The article was accompanied by </w:t>
      </w:r>
      <w:proofErr w:type="gramStart"/>
      <w:r w:rsidR="00901FF3">
        <w:rPr>
          <w:bCs/>
        </w:rPr>
        <w:t>a number of</w:t>
      </w:r>
      <w:proofErr w:type="gramEnd"/>
      <w:r w:rsidR="00901FF3">
        <w:rPr>
          <w:bCs/>
        </w:rPr>
        <w:t xml:space="preserve"> illustrations that would help young readers</w:t>
      </w:r>
      <w:r w:rsidR="00450501">
        <w:rPr>
          <w:bCs/>
        </w:rPr>
        <w:t xml:space="preserve"> to</w:t>
      </w:r>
      <w:r w:rsidR="00901FF3">
        <w:rPr>
          <w:bCs/>
        </w:rPr>
        <w:t xml:space="preserve"> practice their own </w:t>
      </w:r>
      <w:r w:rsidR="00991DBC">
        <w:rPr>
          <w:bCs/>
        </w:rPr>
        <w:t xml:space="preserve">scientific </w:t>
      </w:r>
      <w:r w:rsidR="00901FF3">
        <w:rPr>
          <w:bCs/>
        </w:rPr>
        <w:t xml:space="preserve">game. </w:t>
      </w:r>
      <w:r w:rsidR="00AF100F">
        <w:rPr>
          <w:bCs/>
        </w:rPr>
        <w:t>Babcock even went as far as interviewing a professional baseball player – William Ewing, a catcher for the New York League Nine – to glean some tips for his young readers. He was “surprised” to discover that “so many of the professional ball-players are married men with families, and very willing to lead quiet domestic lives during five months in the year.”</w:t>
      </w:r>
      <w:r w:rsidR="00AF100F">
        <w:rPr>
          <w:rStyle w:val="FootnoteReference"/>
          <w:bCs/>
        </w:rPr>
        <w:footnoteReference w:id="46"/>
      </w:r>
      <w:r w:rsidR="00AF100F">
        <w:rPr>
          <w:bCs/>
        </w:rPr>
        <w:t xml:space="preserve"> Yet far more typical was the admonition published in </w:t>
      </w:r>
      <w:r w:rsidR="00AF100F">
        <w:rPr>
          <w:bCs/>
          <w:i/>
          <w:iCs/>
        </w:rPr>
        <w:t>Wide Awake</w:t>
      </w:r>
      <w:r w:rsidR="00AF100F">
        <w:rPr>
          <w:bCs/>
        </w:rPr>
        <w:t xml:space="preserve"> in 1887</w:t>
      </w:r>
      <w:r w:rsidR="001B0C6D">
        <w:rPr>
          <w:bCs/>
        </w:rPr>
        <w:t>:</w:t>
      </w:r>
      <w:r w:rsidR="00AF100F">
        <w:rPr>
          <w:bCs/>
        </w:rPr>
        <w:t xml:space="preserve"> regardless of the scientific advice that might come from such sources</w:t>
      </w:r>
      <w:r w:rsidR="001B0C6D">
        <w:rPr>
          <w:bCs/>
        </w:rPr>
        <w:t>,</w:t>
      </w:r>
      <w:r w:rsidR="00AF100F">
        <w:rPr>
          <w:bCs/>
        </w:rPr>
        <w:t xml:space="preserve"> “let the boys keep to the legitimate play among themselves and avoid all the temptations and entanglements that too often </w:t>
      </w:r>
      <w:r w:rsidR="00AF100F">
        <w:rPr>
          <w:bCs/>
        </w:rPr>
        <w:lastRenderedPageBreak/>
        <w:t>come from frequent attendance upon so-called ‘professional matches.’”</w:t>
      </w:r>
      <w:r w:rsidR="00AF100F">
        <w:rPr>
          <w:rStyle w:val="FootnoteReference"/>
          <w:bCs/>
        </w:rPr>
        <w:footnoteReference w:id="47"/>
      </w:r>
      <w:r w:rsidR="00AF100F">
        <w:rPr>
          <w:bCs/>
        </w:rPr>
        <w:t xml:space="preserve"> </w:t>
      </w:r>
      <w:r w:rsidR="001B0C6D">
        <w:rPr>
          <w:bCs/>
        </w:rPr>
        <w:t xml:space="preserve">One of a number of fictionalised “Letters to a Boy At School” published in </w:t>
      </w:r>
      <w:r w:rsidR="001B0C6D">
        <w:rPr>
          <w:bCs/>
          <w:i/>
          <w:iCs/>
        </w:rPr>
        <w:t>Harper’s Young People</w:t>
      </w:r>
      <w:r w:rsidR="001B0C6D">
        <w:rPr>
          <w:bCs/>
        </w:rPr>
        <w:t xml:space="preserve"> in 1891 offered a similar condemnation of professionals who “are merely exhibiting themselves for money, and not playing the game for the enjoyment which they themselves find in it.”</w:t>
      </w:r>
      <w:r w:rsidR="001B0C6D">
        <w:rPr>
          <w:rStyle w:val="FootnoteReference"/>
          <w:bCs/>
        </w:rPr>
        <w:footnoteReference w:id="48"/>
      </w:r>
    </w:p>
    <w:p w14:paraId="11A51BC6" w14:textId="77777777" w:rsidR="001B64D6" w:rsidRPr="00901FF3" w:rsidRDefault="001B64D6" w:rsidP="006E3985">
      <w:pPr>
        <w:spacing w:line="360" w:lineRule="auto"/>
        <w:rPr>
          <w:bCs/>
        </w:rPr>
      </w:pPr>
    </w:p>
    <w:p w14:paraId="06274603" w14:textId="77777777" w:rsidR="009A105C" w:rsidRDefault="009A105C" w:rsidP="006E3985">
      <w:pPr>
        <w:spacing w:line="360" w:lineRule="auto"/>
        <w:rPr>
          <w:bCs/>
        </w:rPr>
      </w:pPr>
    </w:p>
    <w:p w14:paraId="2BB594B8" w14:textId="5D462C36" w:rsidR="00F4741D" w:rsidRDefault="006C46E9" w:rsidP="006E3985">
      <w:pPr>
        <w:keepNext/>
        <w:spacing w:line="360" w:lineRule="auto"/>
        <w:jc w:val="center"/>
      </w:pPr>
      <w:r>
        <w:rPr>
          <w:noProof/>
          <w:lang w:val="en-US" w:eastAsia="en-US"/>
        </w:rPr>
        <w:drawing>
          <wp:inline distT="0" distB="0" distL="0" distR="0" wp14:anchorId="681B05E1" wp14:editId="553E3718">
            <wp:extent cx="5943600" cy="389534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2.tiff"/>
                    <pic:cNvPicPr/>
                  </pic:nvPicPr>
                  <pic:blipFill>
                    <a:blip r:embed="rId9">
                      <a:extLst>
                        <a:ext uri="{28A0092B-C50C-407E-A947-70E740481C1C}">
                          <a14:useLocalDpi xmlns:a14="http://schemas.microsoft.com/office/drawing/2010/main" val="0"/>
                        </a:ext>
                      </a:extLst>
                    </a:blip>
                    <a:stretch>
                      <a:fillRect/>
                    </a:stretch>
                  </pic:blipFill>
                  <pic:spPr>
                    <a:xfrm>
                      <a:off x="0" y="0"/>
                      <a:ext cx="5943600" cy="3895344"/>
                    </a:xfrm>
                    <a:prstGeom prst="rect">
                      <a:avLst/>
                    </a:prstGeom>
                  </pic:spPr>
                </pic:pic>
              </a:graphicData>
            </a:graphic>
          </wp:inline>
        </w:drawing>
      </w:r>
    </w:p>
    <w:p w14:paraId="70171016" w14:textId="1612DD13" w:rsidR="00D0589D" w:rsidRDefault="00F4741D" w:rsidP="006E3985">
      <w:pPr>
        <w:pStyle w:val="Caption"/>
        <w:spacing w:line="360" w:lineRule="auto"/>
        <w:jc w:val="center"/>
        <w:outlineLvl w:val="0"/>
        <w:rPr>
          <w:bCs/>
        </w:rPr>
      </w:pPr>
      <w:r>
        <w:t xml:space="preserve">Figure </w:t>
      </w:r>
      <w:r>
        <w:fldChar w:fldCharType="begin"/>
      </w:r>
      <w:r>
        <w:instrText xml:space="preserve"> SEQ Figure \* ARABIC </w:instrText>
      </w:r>
      <w:r>
        <w:fldChar w:fldCharType="separate"/>
      </w:r>
      <w:r w:rsidR="005E7FA1">
        <w:rPr>
          <w:noProof/>
        </w:rPr>
        <w:t>2</w:t>
      </w:r>
      <w:r>
        <w:fldChar w:fldCharType="end"/>
      </w:r>
      <w:r>
        <w:t xml:space="preserve">: From George B. M. Harvey, “How Science Won </w:t>
      </w:r>
      <w:r w:rsidR="00C4665F">
        <w:t>t</w:t>
      </w:r>
      <w:r>
        <w:t xml:space="preserve">he Game”, </w:t>
      </w:r>
      <w:r>
        <w:rPr>
          <w:i w:val="0"/>
          <w:iCs w:val="0"/>
        </w:rPr>
        <w:t>St. Nicholas</w:t>
      </w:r>
      <w:r>
        <w:t xml:space="preserve"> (October 1885), 927.</w:t>
      </w:r>
    </w:p>
    <w:p w14:paraId="3FD11381" w14:textId="77777777" w:rsidR="001B64D6" w:rsidRDefault="001B64D6" w:rsidP="006E3985">
      <w:pPr>
        <w:spacing w:line="360" w:lineRule="auto"/>
        <w:rPr>
          <w:bCs/>
        </w:rPr>
      </w:pPr>
    </w:p>
    <w:p w14:paraId="52E60AE9" w14:textId="15BA610E" w:rsidR="001B64D6" w:rsidRDefault="001B64D6" w:rsidP="006E3985">
      <w:pPr>
        <w:spacing w:line="360" w:lineRule="auto"/>
        <w:rPr>
          <w:bCs/>
        </w:rPr>
      </w:pPr>
      <w:r>
        <w:rPr>
          <w:bCs/>
        </w:rPr>
        <w:t xml:space="preserve">Of course, baseball wasn’t </w:t>
      </w:r>
      <w:r w:rsidR="001B0C6D">
        <w:rPr>
          <w:bCs/>
        </w:rPr>
        <w:t xml:space="preserve">only </w:t>
      </w:r>
      <w:r>
        <w:rPr>
          <w:bCs/>
        </w:rPr>
        <w:t>felt to be good for the individual: the nationalist impulse behind the promotion of baseball to young readers was widespread</w:t>
      </w:r>
      <w:r w:rsidR="001B0C6D">
        <w:rPr>
          <w:bCs/>
        </w:rPr>
        <w:t xml:space="preserve"> and central to its presentation</w:t>
      </w:r>
      <w:r>
        <w:rPr>
          <w:bCs/>
        </w:rPr>
        <w:t>.</w:t>
      </w:r>
      <w:r w:rsidR="003D0B25">
        <w:rPr>
          <w:bCs/>
        </w:rPr>
        <w:t xml:space="preserve"> </w:t>
      </w:r>
      <w:r>
        <w:rPr>
          <w:bCs/>
        </w:rPr>
        <w:t xml:space="preserve">The sense that America needed a bat and ball game to rival cricket was clearly profound. As an article in </w:t>
      </w:r>
      <w:r w:rsidRPr="001D14B8">
        <w:rPr>
          <w:bCs/>
          <w:i/>
          <w:iCs/>
        </w:rPr>
        <w:t>St</w:t>
      </w:r>
      <w:r>
        <w:rPr>
          <w:bCs/>
          <w:i/>
          <w:iCs/>
        </w:rPr>
        <w:t>.</w:t>
      </w:r>
      <w:r w:rsidRPr="001D14B8">
        <w:rPr>
          <w:bCs/>
          <w:i/>
          <w:iCs/>
        </w:rPr>
        <w:t xml:space="preserve"> Nicholas</w:t>
      </w:r>
      <w:r>
        <w:rPr>
          <w:bCs/>
        </w:rPr>
        <w:t xml:space="preserve"> expressed the equation in 1880: </w:t>
      </w:r>
      <w:r w:rsidRPr="00F03256">
        <w:rPr>
          <w:bCs/>
        </w:rPr>
        <w:t>“All the civilized nations have games: the English like cricket, we have base-ball</w:t>
      </w:r>
      <w:r>
        <w:rPr>
          <w:bCs/>
        </w:rPr>
        <w:t>.</w:t>
      </w:r>
      <w:r w:rsidRPr="00F03256">
        <w:rPr>
          <w:bCs/>
        </w:rPr>
        <w:t>”</w:t>
      </w:r>
      <w:r>
        <w:rPr>
          <w:rStyle w:val="FootnoteReference"/>
          <w:bCs/>
        </w:rPr>
        <w:footnoteReference w:id="49"/>
      </w:r>
      <w:r>
        <w:rPr>
          <w:bCs/>
        </w:rPr>
        <w:t xml:space="preserve"> Similarly, </w:t>
      </w:r>
      <w:r>
        <w:rPr>
          <w:bCs/>
          <w:i/>
          <w:iCs/>
        </w:rPr>
        <w:t>Harper’s Young People</w:t>
      </w:r>
      <w:r w:rsidRPr="001B64D6">
        <w:rPr>
          <w:bCs/>
        </w:rPr>
        <w:t xml:space="preserve"> expressed</w:t>
      </w:r>
      <w:r>
        <w:rPr>
          <w:bCs/>
        </w:rPr>
        <w:t xml:space="preserve"> the </w:t>
      </w:r>
      <w:r>
        <w:rPr>
          <w:bCs/>
        </w:rPr>
        <w:lastRenderedPageBreak/>
        <w:t>matter as a binary that was a</w:t>
      </w:r>
      <w:r w:rsidR="00E966A7">
        <w:rPr>
          <w:bCs/>
        </w:rPr>
        <w:t xml:space="preserve">pparently </w:t>
      </w:r>
      <w:r w:rsidR="00B07B49">
        <w:rPr>
          <w:bCs/>
        </w:rPr>
        <w:t>expressive of national</w:t>
      </w:r>
      <w:r>
        <w:rPr>
          <w:bCs/>
        </w:rPr>
        <w:t xml:space="preserve"> identity: “Every English boy p</w:t>
      </w:r>
      <w:r w:rsidR="00A16740">
        <w:rPr>
          <w:bCs/>
        </w:rPr>
        <w:t>l</w:t>
      </w:r>
      <w:r>
        <w:rPr>
          <w:bCs/>
        </w:rPr>
        <w:t>ays cricket, every American boy plays base-ball.”</w:t>
      </w:r>
      <w:r>
        <w:rPr>
          <w:rStyle w:val="FootnoteReference"/>
          <w:bCs/>
        </w:rPr>
        <w:footnoteReference w:id="50"/>
      </w:r>
      <w:r>
        <w:rPr>
          <w:bCs/>
        </w:rPr>
        <w:t xml:space="preserve"> An article from </w:t>
      </w:r>
      <w:r>
        <w:rPr>
          <w:bCs/>
          <w:i/>
          <w:iCs/>
        </w:rPr>
        <w:t>Our Boys and Girls</w:t>
      </w:r>
      <w:r>
        <w:rPr>
          <w:bCs/>
        </w:rPr>
        <w:t xml:space="preserve"> in 1871, which began with an acknowledgement that baseball “of late years” had become “recognized as the national pastime of the country”, even attempted to trace its roots back to ancient Greece and Rome, thus providing the sport with a suitably venerable republican lineage.</w:t>
      </w:r>
      <w:r>
        <w:rPr>
          <w:rStyle w:val="FootnoteReference"/>
          <w:bCs/>
        </w:rPr>
        <w:footnoteReference w:id="51"/>
      </w:r>
      <w:r>
        <w:rPr>
          <w:bCs/>
        </w:rPr>
        <w:t xml:space="preserve"> Sherwood </w:t>
      </w:r>
      <w:proofErr w:type="spellStart"/>
      <w:r>
        <w:rPr>
          <w:bCs/>
        </w:rPr>
        <w:t>Ryse</w:t>
      </w:r>
      <w:proofErr w:type="spellEnd"/>
      <w:r>
        <w:rPr>
          <w:bCs/>
        </w:rPr>
        <w:t xml:space="preserve">, writing in </w:t>
      </w:r>
      <w:r>
        <w:rPr>
          <w:bCs/>
          <w:i/>
          <w:iCs/>
        </w:rPr>
        <w:t>Harper’s Young People</w:t>
      </w:r>
      <w:r>
        <w:rPr>
          <w:bCs/>
        </w:rPr>
        <w:t xml:space="preserve"> in 1882, pushed this patriotic strain further. His account of “The National Game” began with a punchy assertion: “Base-ball has long been recognised as the national game of this country”; he scorned the idea that “cricket or lawn tennis or lacrosse is likely to put it into the background.” Indeed, </w:t>
      </w:r>
      <w:r w:rsidR="00E966A7">
        <w:rPr>
          <w:bCs/>
        </w:rPr>
        <w:t>baseball</w:t>
      </w:r>
      <w:r>
        <w:rPr>
          <w:bCs/>
        </w:rPr>
        <w:t xml:space="preserve"> was already classed as “one of the institutions of the country</w:t>
      </w:r>
      <w:r w:rsidR="00E966A7">
        <w:rPr>
          <w:bCs/>
        </w:rPr>
        <w:t>,</w:t>
      </w:r>
      <w:r>
        <w:rPr>
          <w:bCs/>
        </w:rPr>
        <w:t xml:space="preserve">” </w:t>
      </w:r>
      <w:r w:rsidR="00E966A7">
        <w:rPr>
          <w:bCs/>
        </w:rPr>
        <w:t>akin to</w:t>
      </w:r>
      <w:r>
        <w:rPr>
          <w:bCs/>
        </w:rPr>
        <w:t xml:space="preserve"> “the Constitution.” As far as </w:t>
      </w:r>
      <w:proofErr w:type="spellStart"/>
      <w:r>
        <w:rPr>
          <w:bCs/>
        </w:rPr>
        <w:t>Ryse</w:t>
      </w:r>
      <w:proofErr w:type="spellEnd"/>
      <w:r>
        <w:rPr>
          <w:bCs/>
        </w:rPr>
        <w:t xml:space="preserve"> was concerned, baseball was </w:t>
      </w:r>
      <w:r w:rsidR="00E966A7">
        <w:rPr>
          <w:bCs/>
        </w:rPr>
        <w:t xml:space="preserve">easily </w:t>
      </w:r>
      <w:r>
        <w:rPr>
          <w:bCs/>
        </w:rPr>
        <w:t>the equal of cricket for teaching young Americans to be “courageous, quick to act in emergency, and loyal”:</w:t>
      </w:r>
    </w:p>
    <w:p w14:paraId="5E3D7EAF" w14:textId="2AA810D5" w:rsidR="001B64D6" w:rsidRPr="001D14B8" w:rsidRDefault="001B64D6" w:rsidP="006E3985">
      <w:pPr>
        <w:spacing w:line="360" w:lineRule="auto"/>
        <w:ind w:left="720"/>
        <w:rPr>
          <w:bCs/>
          <w:i/>
          <w:iCs/>
        </w:rPr>
      </w:pPr>
      <w:r>
        <w:rPr>
          <w:bCs/>
        </w:rPr>
        <w:t>When the American boy shall have become a man, and shall be placed in a position to test himself to see what kind of stuff he is made of, and finds that his courage, his resolution, his faithfulness, do not fail him, he may look back upon those happy afternoons spen</w:t>
      </w:r>
      <w:r w:rsidR="00223E9E">
        <w:rPr>
          <w:bCs/>
        </w:rPr>
        <w:t>t</w:t>
      </w:r>
      <w:r>
        <w:rPr>
          <w:bCs/>
        </w:rPr>
        <w:t xml:space="preserve"> on the base-ball field, and think how valuable an education he was working out for himself when he thought he was merely </w:t>
      </w:r>
      <w:r w:rsidR="004E7872">
        <w:rPr>
          <w:bCs/>
        </w:rPr>
        <w:t>“</w:t>
      </w:r>
      <w:r>
        <w:rPr>
          <w:bCs/>
        </w:rPr>
        <w:t>having a good time.</w:t>
      </w:r>
      <w:r w:rsidR="004E7872">
        <w:rPr>
          <w:bCs/>
        </w:rPr>
        <w:t>”</w:t>
      </w:r>
      <w:r>
        <w:rPr>
          <w:rStyle w:val="FootnoteReference"/>
          <w:bCs/>
        </w:rPr>
        <w:footnoteReference w:id="52"/>
      </w:r>
      <w:r>
        <w:rPr>
          <w:bCs/>
        </w:rPr>
        <w:t xml:space="preserve">     </w:t>
      </w:r>
    </w:p>
    <w:p w14:paraId="7831EAF1" w14:textId="77777777" w:rsidR="001B64D6" w:rsidRDefault="001B64D6" w:rsidP="006E3985">
      <w:pPr>
        <w:spacing w:line="360" w:lineRule="auto"/>
        <w:rPr>
          <w:bCs/>
        </w:rPr>
      </w:pPr>
    </w:p>
    <w:p w14:paraId="2E0F2AEB" w14:textId="4B770E94" w:rsidR="001B64D6" w:rsidRDefault="001B64D6" w:rsidP="006E3985">
      <w:pPr>
        <w:spacing w:line="360" w:lineRule="auto"/>
      </w:pPr>
      <w:r>
        <w:t xml:space="preserve">Yet despite the nationalist fervour that was apparently invested in developing a love of baseball amongst young Americans, there were significant nuances around the Transatlantic dimensions of sport in this moment. </w:t>
      </w:r>
      <w:r w:rsidR="00B07B49">
        <w:t>For all the relative critiques of cricket</w:t>
      </w:r>
      <w:r>
        <w:t xml:space="preserve">, there were </w:t>
      </w:r>
      <w:proofErr w:type="gramStart"/>
      <w:r>
        <w:t>a number of</w:t>
      </w:r>
      <w:proofErr w:type="gramEnd"/>
      <w:r>
        <w:t xml:space="preserve"> Anglophile Americans who attempted to mount a defence of </w:t>
      </w:r>
      <w:r w:rsidR="00DD5735">
        <w:t>the sport</w:t>
      </w:r>
      <w:r>
        <w:t xml:space="preserve"> in the face of the ever-growing popularity of baseball (even if their tone suggests that they </w:t>
      </w:r>
      <w:r w:rsidR="00E966A7">
        <w:t>sensed</w:t>
      </w:r>
      <w:r>
        <w:t xml:space="preserve"> this was a</w:t>
      </w:r>
      <w:r w:rsidR="001B0C6D">
        <w:t>lready a</w:t>
      </w:r>
      <w:r>
        <w:t xml:space="preserve"> doomed mission).</w:t>
      </w:r>
      <w:r w:rsidR="00EC1A96">
        <w:t xml:space="preserve"> Just before the Civil War, as Melvin Adelman has highlighted, cricket “attracted more attention in the New York press than any other sport, with the exception of horse and harness racing,” and “there was no opposition to the sport because it was English.”</w:t>
      </w:r>
      <w:r w:rsidR="00EC1A96">
        <w:rPr>
          <w:rStyle w:val="FootnoteReference"/>
        </w:rPr>
        <w:footnoteReference w:id="53"/>
      </w:r>
      <w:r w:rsidR="00EC1A96">
        <w:t xml:space="preserve"> That </w:t>
      </w:r>
      <w:r w:rsidR="00EC1A96">
        <w:lastRenderedPageBreak/>
        <w:t>situation ha</w:t>
      </w:r>
      <w:r w:rsidR="003D0B25">
        <w:t>d</w:t>
      </w:r>
      <w:r w:rsidR="00EC1A96">
        <w:t xml:space="preserve"> clearly changed by the 1880s. </w:t>
      </w:r>
      <w:r>
        <w:t xml:space="preserve">Howard A. Taylor began “A Talk About Cricket” with full awareness of his young readership’s presumed prejudices: “when his eye glances upon anything connected with cricket, he thinks of the Fourth of July, his patriotism and his base-ball, and hastily passes on with a snuff of disgust.” Yet he still </w:t>
      </w:r>
      <w:proofErr w:type="gramStart"/>
      <w:r>
        <w:t>made an attempt</w:t>
      </w:r>
      <w:proofErr w:type="gramEnd"/>
      <w:r>
        <w:t xml:space="preserve"> to express its </w:t>
      </w:r>
      <w:r w:rsidR="00450501">
        <w:t>attraction</w:t>
      </w:r>
      <w:r>
        <w:t xml:space="preserve"> to young Americans – partly through an appeal on class terms. Taylor explained to the readers of </w:t>
      </w:r>
      <w:r>
        <w:rPr>
          <w:i/>
          <w:iCs/>
        </w:rPr>
        <w:t>Harper’s Young People</w:t>
      </w:r>
      <w:r>
        <w:t xml:space="preserve"> that in the “large towns and cities of the East” boys and men in large numbers were regularly leaving urban centres in their spare time for the “pretty grounds” of cricket clubs on their margins. As such, baseball had been “pretty much left by the city boys to the care of the street Arabs.”</w:t>
      </w:r>
      <w:r>
        <w:rPr>
          <w:rStyle w:val="FootnoteReference"/>
        </w:rPr>
        <w:footnoteReference w:id="54"/>
      </w:r>
      <w:r>
        <w:t xml:space="preserve"> The class lines were clear: cricket was a game that evoked pastoral affluence and a flight from the city; baseball was the sport of the </w:t>
      </w:r>
      <w:r w:rsidR="00B07B49">
        <w:t>urban poor</w:t>
      </w:r>
      <w:r>
        <w:t xml:space="preserve">. </w:t>
      </w:r>
      <w:r w:rsidR="00223E9E">
        <w:t>A</w:t>
      </w:r>
      <w:r>
        <w:t xml:space="preserve">nother account of “Cricket </w:t>
      </w:r>
      <w:proofErr w:type="gramStart"/>
      <w:r>
        <w:t>As</w:t>
      </w:r>
      <w:proofErr w:type="gramEnd"/>
      <w:r>
        <w:t xml:space="preserve"> Played in America” went further, comparing the “bare-looking field, with its tawdry grand stand, and rows of uncomfortable wooden seats” familiar to baseball fans with the “beauty and luxury which surround the game of cricket.” Moreover, it stressed the importance of the “strictly amateur element of the game of cricket”, ranking it as one of its most important virtues (alongside its “qualities of good nature, courtesy, and forbearance”) which were placed in implicit contrast to the more unsavoury aspects of professional baseball.</w:t>
      </w:r>
      <w:r>
        <w:rPr>
          <w:rStyle w:val="FootnoteReference"/>
        </w:rPr>
        <w:footnoteReference w:id="55"/>
      </w:r>
    </w:p>
    <w:p w14:paraId="16EE4D85" w14:textId="77777777" w:rsidR="001B64D6" w:rsidRDefault="001B64D6" w:rsidP="006E3985">
      <w:pPr>
        <w:spacing w:line="360" w:lineRule="auto"/>
      </w:pPr>
    </w:p>
    <w:p w14:paraId="4F209A1E" w14:textId="2AB42E12" w:rsidR="00667647" w:rsidRDefault="001B0C6D" w:rsidP="006E3985">
      <w:pPr>
        <w:spacing w:line="360" w:lineRule="auto"/>
      </w:pPr>
      <w:r>
        <w:t>Significantly,</w:t>
      </w:r>
      <w:r w:rsidR="00AF52AF">
        <w:t xml:space="preserve"> though,</w:t>
      </w:r>
      <w:r>
        <w:t xml:space="preserve"> t</w:t>
      </w:r>
      <w:r w:rsidR="001B64D6">
        <w:t>he love of bat and ball wasn’t just a partisan marker of national identity, or a brickbat in Transatlantic culture</w:t>
      </w:r>
      <w:r w:rsidR="001B5BD1">
        <w:t xml:space="preserve"> and class</w:t>
      </w:r>
      <w:r w:rsidR="001B64D6">
        <w:t xml:space="preserve"> wars; it also provided a clear</w:t>
      </w:r>
      <w:r w:rsidR="003C533C">
        <w:t xml:space="preserve"> point of</w:t>
      </w:r>
      <w:r w:rsidR="001B64D6">
        <w:t xml:space="preserve"> connection between children on different sides of the Atlantic. A particularly telling moment appeared in the </w:t>
      </w:r>
      <w:proofErr w:type="gramStart"/>
      <w:r w:rsidR="001B64D6">
        <w:t>letters</w:t>
      </w:r>
      <w:proofErr w:type="gramEnd"/>
      <w:r w:rsidR="001B64D6">
        <w:t xml:space="preserve"> pages of </w:t>
      </w:r>
      <w:r w:rsidR="00223E9E">
        <w:rPr>
          <w:rStyle w:val="FootnoteReference"/>
        </w:rPr>
        <w:footnoteReference w:id="56"/>
      </w:r>
      <w:r w:rsidR="001B64D6">
        <w:rPr>
          <w:i/>
          <w:iCs/>
        </w:rPr>
        <w:t>Harper’s Young People</w:t>
      </w:r>
      <w:r w:rsidR="001B64D6">
        <w:t xml:space="preserve"> in 1885. A young reader from Cambridge, England, wrote with </w:t>
      </w:r>
      <w:r w:rsidR="00B07B49">
        <w:t>some</w:t>
      </w:r>
      <w:r w:rsidR="001B64D6">
        <w:t xml:space="preserve"> </w:t>
      </w:r>
      <w:r w:rsidR="00B07B49">
        <w:t>pressing</w:t>
      </w:r>
      <w:r w:rsidR="001B64D6">
        <w:t xml:space="preserve"> question</w:t>
      </w:r>
      <w:r w:rsidR="003C533C">
        <w:t>s</w:t>
      </w:r>
      <w:r w:rsidR="001B64D6">
        <w:t xml:space="preserve">: “Our school has been playing a great many </w:t>
      </w:r>
      <w:proofErr w:type="gramStart"/>
      <w:r w:rsidR="001B64D6">
        <w:t>cricket</w:t>
      </w:r>
      <w:proofErr w:type="gramEnd"/>
      <w:r w:rsidR="001B64D6">
        <w:t xml:space="preserve"> matches this term</w:t>
      </w:r>
      <w:r w:rsidR="00AF52AF">
        <w:t>.</w:t>
      </w:r>
      <w:r w:rsidR="001B64D6">
        <w:t xml:space="preserve"> Please could you tell me how boys play </w:t>
      </w:r>
      <w:proofErr w:type="gramStart"/>
      <w:r w:rsidR="001B64D6">
        <w:t>base-ball</w:t>
      </w:r>
      <w:proofErr w:type="gramEnd"/>
      <w:r w:rsidR="001B64D6">
        <w:t>? Do boys play cricket in America? I think it is my favourite game.” The magazine’s “Postmistress” confessed that she had “never played base-ball”, and hoped that “some youthful catcher or pitcher” would “describe it in the Post-Office Box for our English readers.”</w:t>
      </w:r>
      <w:r w:rsidR="001B64D6">
        <w:rPr>
          <w:rStyle w:val="FootnoteReference"/>
        </w:rPr>
        <w:footnoteReference w:id="57"/>
      </w:r>
      <w:r w:rsidR="001B64D6">
        <w:t xml:space="preserve"> Sure enough, a month later, a brief note appeared: “</w:t>
      </w:r>
      <w:r w:rsidR="001B64D6" w:rsidRPr="006E53B9">
        <w:t xml:space="preserve">If </w:t>
      </w:r>
      <w:r w:rsidR="001B64D6">
        <w:t>C</w:t>
      </w:r>
      <w:r w:rsidR="001B64D6" w:rsidRPr="006E53B9">
        <w:t xml:space="preserve">. R. </w:t>
      </w:r>
      <w:r w:rsidR="001B64D6">
        <w:t>Pattison,</w:t>
      </w:r>
      <w:r w:rsidR="001B64D6" w:rsidRPr="006E53B9">
        <w:t xml:space="preserve"> Cambridge, England, will correspond with Franklin Bal</w:t>
      </w:r>
      <w:r w:rsidR="001B64D6">
        <w:t>l</w:t>
      </w:r>
      <w:r w:rsidR="001B64D6" w:rsidRPr="006E53B9">
        <w:t xml:space="preserve">ou, Jun., Leadville, </w:t>
      </w:r>
      <w:r w:rsidR="001B64D6" w:rsidRPr="006E53B9">
        <w:lastRenderedPageBreak/>
        <w:t>Colorado, the latter will take pleasure in telling him all about the American game of base-ball.</w:t>
      </w:r>
      <w:r w:rsidR="001B64D6">
        <w:t>”</w:t>
      </w:r>
      <w:r w:rsidR="001B64D6">
        <w:rPr>
          <w:rStyle w:val="FootnoteReference"/>
        </w:rPr>
        <w:footnoteReference w:id="58"/>
      </w:r>
      <w:r w:rsidR="001B64D6">
        <w:t xml:space="preserve"> </w:t>
      </w:r>
      <w:r w:rsidR="008D4DF5">
        <w:t xml:space="preserve">Fourteen year old Ted from Pennsylvania had a more intimate story to tell: “I have been to England to visit my English cousin Dick. Dick taught me to play cricket” – </w:t>
      </w:r>
      <w:r w:rsidR="00B07B49">
        <w:t xml:space="preserve">and </w:t>
      </w:r>
      <w:r w:rsidR="008D4DF5">
        <w:t>even if Ted did still prefer baseball</w:t>
      </w:r>
      <w:r w:rsidR="003D53CF">
        <w:t xml:space="preserve">, </w:t>
      </w:r>
      <w:r w:rsidR="003229DA">
        <w:t>these sports</w:t>
      </w:r>
      <w:r w:rsidR="003D53CF">
        <w:t xml:space="preserve"> had provided the Transatlantic relatives with a point of connection</w:t>
      </w:r>
      <w:r w:rsidR="008D4DF5">
        <w:t>.</w:t>
      </w:r>
      <w:r w:rsidR="008D4DF5">
        <w:rPr>
          <w:rStyle w:val="FootnoteReference"/>
        </w:rPr>
        <w:footnoteReference w:id="59"/>
      </w:r>
      <w:r w:rsidR="008D4DF5">
        <w:t xml:space="preserve"> </w:t>
      </w:r>
    </w:p>
    <w:p w14:paraId="30C55095" w14:textId="77777777" w:rsidR="00667647" w:rsidRDefault="00667647" w:rsidP="006E3985">
      <w:pPr>
        <w:spacing w:line="360" w:lineRule="auto"/>
      </w:pPr>
    </w:p>
    <w:p w14:paraId="1CB13C3F" w14:textId="3EADADD9" w:rsidR="00537FFA" w:rsidRPr="00667647" w:rsidRDefault="003D53CF" w:rsidP="006E3985">
      <w:pPr>
        <w:spacing w:line="360" w:lineRule="auto"/>
      </w:pPr>
      <w:r>
        <w:t xml:space="preserve">A story in </w:t>
      </w:r>
      <w:r>
        <w:rPr>
          <w:i/>
          <w:iCs/>
        </w:rPr>
        <w:t>Harper’s Young People</w:t>
      </w:r>
      <w:r>
        <w:t xml:space="preserve"> fictionalised th</w:t>
      </w:r>
      <w:r w:rsidR="00667647">
        <w:t>e same</w:t>
      </w:r>
      <w:r>
        <w:t xml:space="preserve"> theme. New boy Jonathan arrives at a boarding school in America, and when his patriotic classmate Roderick discovers that he is an “</w:t>
      </w:r>
      <w:r>
        <w:rPr>
          <w:i/>
          <w:iCs/>
        </w:rPr>
        <w:t>Englishman</w:t>
      </w:r>
      <w:r>
        <w:t>” he makes a firm pronouncement: “</w:t>
      </w:r>
      <w:r>
        <w:rPr>
          <w:i/>
          <w:iCs/>
        </w:rPr>
        <w:t>He</w:t>
      </w:r>
      <w:r>
        <w:t xml:space="preserve"> can’t play base-ball. He’s English.” After friendships are slowly formed, Jonathan is able to report his newfound acceptance to his parents in very particular terms: “I am on the base-ball team. I can bat first-rate, even if it is round.”</w:t>
      </w:r>
      <w:r>
        <w:rPr>
          <w:rStyle w:val="FootnoteReference"/>
        </w:rPr>
        <w:footnoteReference w:id="60"/>
      </w:r>
      <w:r w:rsidR="003C58CD">
        <w:t xml:space="preserve"> </w:t>
      </w:r>
      <w:r w:rsidR="00667647">
        <w:rPr>
          <w:bCs/>
        </w:rPr>
        <w:t xml:space="preserve">It even featured as both national signifier and Transatlantic </w:t>
      </w:r>
      <w:r w:rsidR="00223E9E">
        <w:rPr>
          <w:bCs/>
        </w:rPr>
        <w:t>link</w:t>
      </w:r>
      <w:r w:rsidR="00667647">
        <w:rPr>
          <w:bCs/>
        </w:rPr>
        <w:t xml:space="preserve"> in Frances Hodgson Burnett’s extraordinary bestseller, </w:t>
      </w:r>
      <w:r w:rsidR="00667647">
        <w:rPr>
          <w:bCs/>
          <w:i/>
          <w:iCs/>
        </w:rPr>
        <w:t>Little Lord Fauntleroy</w:t>
      </w:r>
      <w:r w:rsidR="00667647">
        <w:rPr>
          <w:bCs/>
        </w:rPr>
        <w:t xml:space="preserve">, first serialised in </w:t>
      </w:r>
      <w:r w:rsidR="00667647" w:rsidRPr="00537FFA">
        <w:rPr>
          <w:bCs/>
          <w:i/>
          <w:iCs/>
        </w:rPr>
        <w:t>St. Nicholas</w:t>
      </w:r>
      <w:r w:rsidR="00667647">
        <w:rPr>
          <w:bCs/>
        </w:rPr>
        <w:t>: American-born Cedric Errol – the titular Little Lord – attempts to bond with his misanthropic British grandfather by playing a baseball board game with him: “It’s a splendid game. You get so excited!” he explains when the aristocratic old man professes his ignorance of the sport beyond a vague awareness that it is “something like cricket.”</w:t>
      </w:r>
      <w:r w:rsidR="00667647">
        <w:rPr>
          <w:rStyle w:val="FootnoteReference"/>
          <w:bCs/>
        </w:rPr>
        <w:footnoteReference w:id="61"/>
      </w:r>
      <w:r w:rsidR="00667647">
        <w:t xml:space="preserve"> </w:t>
      </w:r>
      <w:r>
        <w:t>As such, bat and ball</w:t>
      </w:r>
      <w:r w:rsidR="00B07B49">
        <w:t xml:space="preserve"> games</w:t>
      </w:r>
      <w:r>
        <w:t xml:space="preserve"> </w:t>
      </w:r>
      <w:r w:rsidR="00B07B49">
        <w:t>offered</w:t>
      </w:r>
      <w:r>
        <w:t xml:space="preserve"> important point</w:t>
      </w:r>
      <w:r w:rsidR="00AF52AF">
        <w:t>s</w:t>
      </w:r>
      <w:r>
        <w:t xml:space="preserve"> of Transatlantic connection </w:t>
      </w:r>
      <w:r w:rsidR="00B07B49">
        <w:t>for the readers of these magazines</w:t>
      </w:r>
      <w:r w:rsidR="00AF52AF">
        <w:t>.</w:t>
      </w:r>
      <w:r w:rsidR="003229DA">
        <w:t xml:space="preserve"> </w:t>
      </w:r>
      <w:r w:rsidR="00AF52AF">
        <w:t>T</w:t>
      </w:r>
      <w:r w:rsidR="003229DA">
        <w:t>hese sports</w:t>
      </w:r>
      <w:r>
        <w:t xml:space="preserve"> w</w:t>
      </w:r>
      <w:r w:rsidR="003229DA">
        <w:t>ere</w:t>
      </w:r>
      <w:r>
        <w:t xml:space="preserve"> a</w:t>
      </w:r>
      <w:r w:rsidR="00223E9E">
        <w:t xml:space="preserve"> core</w:t>
      </w:r>
      <w:r>
        <w:t xml:space="preserve"> part of these magazines’ cultivation of what Christopher Banham has described as “a strong bond […] between the youths of Britain and America”, one of a number of “common traits</w:t>
      </w:r>
      <w:r w:rsidR="00B07B49">
        <w:t>” which were interpreted as evidence that they were part and parcel of “</w:t>
      </w:r>
      <w:r>
        <w:t>the highest of the world’s racial orders, and natural allies.”</w:t>
      </w:r>
      <w:r>
        <w:rPr>
          <w:rStyle w:val="FootnoteReference"/>
        </w:rPr>
        <w:footnoteReference w:id="62"/>
      </w:r>
      <w:r w:rsidR="00537FFA">
        <w:t xml:space="preserve"> </w:t>
      </w:r>
      <w:r w:rsidR="00667647">
        <w:t>The</w:t>
      </w:r>
      <w:r w:rsidR="00B07B49">
        <w:t xml:space="preserve">se pervasive and pernicious ideas </w:t>
      </w:r>
      <w:r w:rsidR="00667647">
        <w:t xml:space="preserve">would find their culmination in texts like G. Stanley-Hall’s deeply influential study of </w:t>
      </w:r>
      <w:r w:rsidR="00667647">
        <w:rPr>
          <w:i/>
          <w:iCs/>
        </w:rPr>
        <w:t>Adolescence</w:t>
      </w:r>
      <w:r w:rsidR="00667647">
        <w:t xml:space="preserve"> (1904), which would </w:t>
      </w:r>
      <w:r w:rsidR="00B07B49">
        <w:t xml:space="preserve">explicitly </w:t>
      </w:r>
      <w:r w:rsidR="00667647">
        <w:t>define cricket and baseball as “Anglo-Saxon games” which could be “utilized as to develop a spirit of service and devotion not only to town, country, and race, but to God and the Church.”</w:t>
      </w:r>
      <w:r w:rsidR="00667647">
        <w:rPr>
          <w:rStyle w:val="FootnoteReference"/>
        </w:rPr>
        <w:footnoteReference w:id="63"/>
      </w:r>
      <w:r w:rsidR="00667647">
        <w:t xml:space="preserve">  </w:t>
      </w:r>
      <w:r w:rsidR="00537FFA">
        <w:rPr>
          <w:bCs/>
        </w:rPr>
        <w:t xml:space="preserve">  </w:t>
      </w:r>
    </w:p>
    <w:p w14:paraId="566107BD" w14:textId="77777777" w:rsidR="003D53CF" w:rsidRDefault="003D53CF" w:rsidP="006E3985">
      <w:pPr>
        <w:spacing w:line="360" w:lineRule="auto"/>
        <w:rPr>
          <w:bCs/>
        </w:rPr>
      </w:pPr>
    </w:p>
    <w:p w14:paraId="6372C91B" w14:textId="08CDB989" w:rsidR="00001E80" w:rsidRDefault="009205E9" w:rsidP="006E3985">
      <w:pPr>
        <w:spacing w:line="360" w:lineRule="auto"/>
        <w:rPr>
          <w:bCs/>
        </w:rPr>
      </w:pPr>
      <w:r>
        <w:rPr>
          <w:bCs/>
        </w:rPr>
        <w:t xml:space="preserve">It was in short stories and serialised novels </w:t>
      </w:r>
      <w:r w:rsidR="00B65D68">
        <w:rPr>
          <w:bCs/>
        </w:rPr>
        <w:t>that these magazines were</w:t>
      </w:r>
      <w:r w:rsidR="003C533C">
        <w:rPr>
          <w:bCs/>
        </w:rPr>
        <w:t xml:space="preserve"> </w:t>
      </w:r>
      <w:proofErr w:type="gramStart"/>
      <w:r w:rsidR="003C533C">
        <w:rPr>
          <w:bCs/>
        </w:rPr>
        <w:t>really</w:t>
      </w:r>
      <w:r w:rsidR="00B65D68">
        <w:rPr>
          <w:bCs/>
        </w:rPr>
        <w:t xml:space="preserve"> able</w:t>
      </w:r>
      <w:proofErr w:type="gramEnd"/>
      <w:r w:rsidR="00B65D68">
        <w:rPr>
          <w:bCs/>
        </w:rPr>
        <w:t xml:space="preserve"> to shape an idealised vision of </w:t>
      </w:r>
      <w:r w:rsidR="00197F36">
        <w:rPr>
          <w:bCs/>
        </w:rPr>
        <w:t>baseball</w:t>
      </w:r>
      <w:r w:rsidR="00B65D68">
        <w:rPr>
          <w:bCs/>
        </w:rPr>
        <w:t xml:space="preserve"> that best suited their wider socio-political aims for the spor</w:t>
      </w:r>
      <w:r w:rsidR="00995B30">
        <w:rPr>
          <w:bCs/>
        </w:rPr>
        <w:t xml:space="preserve">t. </w:t>
      </w:r>
      <w:r w:rsidR="00001E80">
        <w:rPr>
          <w:bCs/>
        </w:rPr>
        <w:t>Almost universally, those visions were characterised by a series of clear signifiers</w:t>
      </w:r>
      <w:r w:rsidR="00223E9E">
        <w:rPr>
          <w:bCs/>
        </w:rPr>
        <w:t xml:space="preserve"> that sometimes stood in tension with some of the</w:t>
      </w:r>
      <w:r w:rsidR="00E27129">
        <w:rPr>
          <w:bCs/>
        </w:rPr>
        <w:t xml:space="preserve"> factual</w:t>
      </w:r>
      <w:r w:rsidR="00223E9E">
        <w:rPr>
          <w:bCs/>
        </w:rPr>
        <w:t xml:space="preserve"> accounts of the sport</w:t>
      </w:r>
      <w:r w:rsidR="00E27129">
        <w:rPr>
          <w:bCs/>
        </w:rPr>
        <w:t xml:space="preserve"> that appeared alongside them.</w:t>
      </w:r>
      <w:r w:rsidR="00001E80">
        <w:rPr>
          <w:bCs/>
        </w:rPr>
        <w:t xml:space="preserve"> </w:t>
      </w:r>
      <w:r w:rsidR="00E27129">
        <w:rPr>
          <w:bCs/>
        </w:rPr>
        <w:t xml:space="preserve">In fiction, at least, </w:t>
      </w:r>
      <w:r w:rsidR="00001E80">
        <w:rPr>
          <w:bCs/>
        </w:rPr>
        <w:t xml:space="preserve">baseball was rural, and baseball was part and parcel of a Gilded Age nostalgia for times gone by. There were ironies here: as Jules </w:t>
      </w:r>
      <w:proofErr w:type="spellStart"/>
      <w:r w:rsidR="00001E80">
        <w:rPr>
          <w:bCs/>
        </w:rPr>
        <w:t>Tygiel</w:t>
      </w:r>
      <w:proofErr w:type="spellEnd"/>
      <w:r w:rsidR="00001E80">
        <w:rPr>
          <w:bCs/>
        </w:rPr>
        <w:t xml:space="preserve"> has noted, before the Civil War and into the 1860s, “few players or writers invoked rural imagery in their depictions” of baseball.</w:t>
      </w:r>
      <w:r w:rsidR="00001E80">
        <w:rPr>
          <w:rStyle w:val="FootnoteReference"/>
          <w:bCs/>
        </w:rPr>
        <w:footnoteReference w:id="64"/>
      </w:r>
      <w:r w:rsidR="00001E80">
        <w:rPr>
          <w:bCs/>
        </w:rPr>
        <w:t xml:space="preserve"> It was</w:t>
      </w:r>
      <w:r w:rsidR="00B07B49">
        <w:rPr>
          <w:bCs/>
        </w:rPr>
        <w:t xml:space="preserve"> understood to be</w:t>
      </w:r>
      <w:r w:rsidR="00001E80">
        <w:rPr>
          <w:bCs/>
        </w:rPr>
        <w:t xml:space="preserve"> a resolutely urban sport. Similarly, </w:t>
      </w:r>
      <w:proofErr w:type="gramStart"/>
      <w:r w:rsidR="00001E80">
        <w:rPr>
          <w:bCs/>
        </w:rPr>
        <w:t>a number of</w:t>
      </w:r>
      <w:proofErr w:type="gramEnd"/>
      <w:r w:rsidR="00001E80">
        <w:rPr>
          <w:bCs/>
        </w:rPr>
        <w:t xml:space="preserve"> accounts of antebellum childhood made it clear that baseball had hardly been a universal experience in the decades before the Civil War. For example, in her memories of “Old School Days” in </w:t>
      </w:r>
      <w:r w:rsidR="00001E80">
        <w:rPr>
          <w:bCs/>
          <w:i/>
          <w:iCs/>
        </w:rPr>
        <w:t>Wide Awake</w:t>
      </w:r>
      <w:r w:rsidR="00001E80">
        <w:rPr>
          <w:bCs/>
        </w:rPr>
        <w:t>, Amanda Harris asserted, “</w:t>
      </w:r>
      <w:proofErr w:type="spellStart"/>
      <w:r w:rsidR="00001E80">
        <w:rPr>
          <w:bCs/>
        </w:rPr>
        <w:t>Base ball</w:t>
      </w:r>
      <w:proofErr w:type="spellEnd"/>
      <w:r w:rsidR="00001E80">
        <w:rPr>
          <w:bCs/>
        </w:rPr>
        <w:t>, as now played, was hardly known.”</w:t>
      </w:r>
      <w:r w:rsidR="00001E80">
        <w:rPr>
          <w:rStyle w:val="FootnoteReference"/>
          <w:bCs/>
        </w:rPr>
        <w:footnoteReference w:id="65"/>
      </w:r>
      <w:r w:rsidR="00346E42">
        <w:rPr>
          <w:bCs/>
        </w:rPr>
        <w:t xml:space="preserve"> A formidable spinster aunt in a story from 1895 makes the same point: “base-ball had been unknown when she was a girl, and […] she had never heard of its leading to any good.”</w:t>
      </w:r>
      <w:r w:rsidR="00346E42">
        <w:rPr>
          <w:rStyle w:val="FootnoteReference"/>
          <w:bCs/>
        </w:rPr>
        <w:footnoteReference w:id="66"/>
      </w:r>
      <w:r w:rsidR="00001E80">
        <w:rPr>
          <w:bCs/>
        </w:rPr>
        <w:t xml:space="preserve"> </w:t>
      </w:r>
      <w:r w:rsidR="00995B30">
        <w:rPr>
          <w:bCs/>
        </w:rPr>
        <w:t xml:space="preserve">Yet the </w:t>
      </w:r>
      <w:r w:rsidR="00346E42">
        <w:rPr>
          <w:bCs/>
        </w:rPr>
        <w:t xml:space="preserve">vast majority of </w:t>
      </w:r>
      <w:r w:rsidR="00223E9E">
        <w:rPr>
          <w:bCs/>
        </w:rPr>
        <w:t xml:space="preserve">the fictional </w:t>
      </w:r>
      <w:r w:rsidR="00995B30">
        <w:rPr>
          <w:bCs/>
        </w:rPr>
        <w:t>baseball stories that featured in these magazines almost universally evoked an America that was both bucolic and</w:t>
      </w:r>
      <w:r w:rsidR="00346E42">
        <w:rPr>
          <w:bCs/>
        </w:rPr>
        <w:t xml:space="preserve"> nostalgic,</w:t>
      </w:r>
      <w:r w:rsidR="00995B30">
        <w:rPr>
          <w:bCs/>
        </w:rPr>
        <w:t xml:space="preserve"> tied to a sense of the</w:t>
      </w:r>
      <w:r w:rsidR="00346E42">
        <w:rPr>
          <w:bCs/>
        </w:rPr>
        <w:t xml:space="preserve"> nebulous</w:t>
      </w:r>
      <w:r w:rsidR="00995B30">
        <w:rPr>
          <w:bCs/>
        </w:rPr>
        <w:t xml:space="preserve"> past</w:t>
      </w:r>
      <w:r w:rsidR="00346E42">
        <w:rPr>
          <w:bCs/>
        </w:rPr>
        <w:t xml:space="preserve"> in which baseball had always been a central fact of young American lives</w:t>
      </w:r>
      <w:r w:rsidR="00995B30">
        <w:rPr>
          <w:bCs/>
        </w:rPr>
        <w:t xml:space="preserve">. This vision was so totalising that Frank Chapman’s account of “A City Playground” published in </w:t>
      </w:r>
      <w:r w:rsidR="00CB618F">
        <w:rPr>
          <w:bCs/>
          <w:i/>
          <w:iCs/>
        </w:rPr>
        <w:t>St. Nicholas</w:t>
      </w:r>
      <w:r w:rsidR="00995B30">
        <w:rPr>
          <w:bCs/>
        </w:rPr>
        <w:t xml:space="preserve"> in 1891 treated its subject as an</w:t>
      </w:r>
      <w:r w:rsidR="00AF52AF">
        <w:rPr>
          <w:bCs/>
        </w:rPr>
        <w:t xml:space="preserve"> exotic</w:t>
      </w:r>
      <w:r w:rsidR="00995B30">
        <w:rPr>
          <w:bCs/>
        </w:rPr>
        <w:t xml:space="preserve"> oddity: “You boys and girls of the country,” it begins, “with your shaded lawns and grassy commons, your </w:t>
      </w:r>
      <w:proofErr w:type="gramStart"/>
      <w:r w:rsidR="00995B30">
        <w:rPr>
          <w:bCs/>
        </w:rPr>
        <w:t>fields</w:t>
      </w:r>
      <w:proofErr w:type="gramEnd"/>
      <w:r w:rsidR="00995B30">
        <w:rPr>
          <w:bCs/>
        </w:rPr>
        <w:t xml:space="preserve"> and woods, did you ever think how the boys and girls of cities exist without ever a sign of nature’s playgrounds?” </w:t>
      </w:r>
      <w:r w:rsidR="002A5765">
        <w:rPr>
          <w:bCs/>
        </w:rPr>
        <w:t>Of course, Chapman makes clear, he doesn’t mean “your little city cousins who visit you when</w:t>
      </w:r>
      <w:r w:rsidR="00D25519">
        <w:rPr>
          <w:bCs/>
        </w:rPr>
        <w:t xml:space="preserve"> the</w:t>
      </w:r>
      <w:r w:rsidR="002A5765">
        <w:rPr>
          <w:bCs/>
        </w:rPr>
        <w:t xml:space="preserve"> leaves come, or who flee to the seashore with the first breath of summer.” Rather, he means “the real city boys and girls” who know nothing of “a rolling lawn.”</w:t>
      </w:r>
      <w:r w:rsidR="00346E42">
        <w:rPr>
          <w:bCs/>
        </w:rPr>
        <w:t xml:space="preserve"> With those class parameters established,</w:t>
      </w:r>
      <w:r w:rsidR="002A5765">
        <w:rPr>
          <w:bCs/>
        </w:rPr>
        <w:t xml:space="preserve"> </w:t>
      </w:r>
      <w:r w:rsidR="00995B30">
        <w:rPr>
          <w:bCs/>
        </w:rPr>
        <w:t xml:space="preserve">Chapman has to </w:t>
      </w:r>
      <w:r w:rsidR="00B07B49">
        <w:rPr>
          <w:bCs/>
        </w:rPr>
        <w:t>confess</w:t>
      </w:r>
      <w:r w:rsidR="00995B30">
        <w:rPr>
          <w:bCs/>
        </w:rPr>
        <w:t xml:space="preserve"> that</w:t>
      </w:r>
      <w:r w:rsidR="002A5765">
        <w:rPr>
          <w:bCs/>
        </w:rPr>
        <w:t xml:space="preserve"> these </w:t>
      </w:r>
      <w:r w:rsidR="00995B30">
        <w:rPr>
          <w:bCs/>
        </w:rPr>
        <w:t xml:space="preserve">urban dwellers “can play </w:t>
      </w:r>
      <w:proofErr w:type="gramStart"/>
      <w:r w:rsidR="00995B30">
        <w:rPr>
          <w:bCs/>
        </w:rPr>
        <w:t>base-ball</w:t>
      </w:r>
      <w:proofErr w:type="gramEnd"/>
      <w:r w:rsidR="00995B30">
        <w:rPr>
          <w:bCs/>
        </w:rPr>
        <w:t xml:space="preserve">, too. </w:t>
      </w:r>
      <w:r w:rsidR="00001E80">
        <w:rPr>
          <w:bCs/>
        </w:rPr>
        <w:t>I hesitate to admit it, for I was a country boy</w:t>
      </w:r>
      <w:r w:rsidR="00995B30">
        <w:rPr>
          <w:bCs/>
        </w:rPr>
        <w:t>.</w:t>
      </w:r>
      <w:r w:rsidR="00001E80">
        <w:rPr>
          <w:bCs/>
        </w:rPr>
        <w:t>”</w:t>
      </w:r>
      <w:r w:rsidR="00995B30">
        <w:rPr>
          <w:bCs/>
        </w:rPr>
        <w:t xml:space="preserve"> </w:t>
      </w:r>
      <w:r w:rsidR="002A5765">
        <w:rPr>
          <w:bCs/>
        </w:rPr>
        <w:t>Yet d</w:t>
      </w:r>
      <w:r w:rsidR="00995B30">
        <w:rPr>
          <w:bCs/>
        </w:rPr>
        <w:t xml:space="preserve">espite acknowledging the skill of these city players, Chapman also makes it clear that the logistical difficulties of playing baseball in the streets (mostly traffic and policemen) meant that “Real </w:t>
      </w:r>
      <w:proofErr w:type="gramStart"/>
      <w:r w:rsidR="00995B30">
        <w:rPr>
          <w:bCs/>
        </w:rPr>
        <w:lastRenderedPageBreak/>
        <w:t>base-ball</w:t>
      </w:r>
      <w:proofErr w:type="gramEnd"/>
      <w:r w:rsidR="00995B30">
        <w:rPr>
          <w:bCs/>
        </w:rPr>
        <w:t xml:space="preserve"> […] has been obliged to give way in a measure to ball-games more suited to the surroundings.”</w:t>
      </w:r>
      <w:r w:rsidR="00700498">
        <w:rPr>
          <w:rStyle w:val="FootnoteReference"/>
          <w:bCs/>
        </w:rPr>
        <w:footnoteReference w:id="67"/>
      </w:r>
      <w:r w:rsidR="00995B30">
        <w:rPr>
          <w:bCs/>
        </w:rPr>
        <w:t xml:space="preserve"> Real baseball, then, was to be located elsewhere, in another America entirely.</w:t>
      </w:r>
    </w:p>
    <w:p w14:paraId="4599FCC8" w14:textId="77777777" w:rsidR="00001E80" w:rsidRDefault="00001E80" w:rsidP="006E3985">
      <w:pPr>
        <w:spacing w:line="360" w:lineRule="auto"/>
        <w:rPr>
          <w:bCs/>
        </w:rPr>
      </w:pPr>
    </w:p>
    <w:p w14:paraId="3F8354AE" w14:textId="37BB0A69" w:rsidR="00700498" w:rsidRDefault="00725649" w:rsidP="006E3985">
      <w:pPr>
        <w:spacing w:line="360" w:lineRule="auto"/>
        <w:rPr>
          <w:bCs/>
        </w:rPr>
      </w:pPr>
      <w:r>
        <w:rPr>
          <w:bCs/>
        </w:rPr>
        <w:t>And i</w:t>
      </w:r>
      <w:r w:rsidR="00995B30">
        <w:rPr>
          <w:bCs/>
        </w:rPr>
        <w:t>n th</w:t>
      </w:r>
      <w:r w:rsidR="002A5765">
        <w:rPr>
          <w:bCs/>
        </w:rPr>
        <w:t xml:space="preserve">at America, it </w:t>
      </w:r>
      <w:r w:rsidR="00346E42">
        <w:rPr>
          <w:bCs/>
        </w:rPr>
        <w:t>wa</w:t>
      </w:r>
      <w:r w:rsidR="002A5765">
        <w:rPr>
          <w:bCs/>
        </w:rPr>
        <w:t>s usually the Fourth of July.</w:t>
      </w:r>
      <w:r w:rsidR="00474D27">
        <w:rPr>
          <w:bCs/>
        </w:rPr>
        <w:t xml:space="preserve"> In </w:t>
      </w:r>
      <w:r w:rsidR="00474D27">
        <w:rPr>
          <w:bCs/>
          <w:i/>
          <w:iCs/>
        </w:rPr>
        <w:t>Under the Lilacs</w:t>
      </w:r>
      <w:r w:rsidR="00474D27">
        <w:rPr>
          <w:bCs/>
        </w:rPr>
        <w:t xml:space="preserve">, serialised in </w:t>
      </w:r>
      <w:r w:rsidR="00CB618F">
        <w:rPr>
          <w:bCs/>
          <w:i/>
          <w:iCs/>
        </w:rPr>
        <w:t>St. Nicholas</w:t>
      </w:r>
      <w:r w:rsidR="00474D27">
        <w:rPr>
          <w:bCs/>
        </w:rPr>
        <w:t xml:space="preserve"> in 1878, Louisa May Alcott depicted a group of boys who had “lost their wits” to baseball and had planned a “grand match […] for the Fourth of July</w:t>
      </w:r>
      <w:r w:rsidR="00E27129">
        <w:rPr>
          <w:bCs/>
        </w:rPr>
        <w:t>.</w:t>
      </w:r>
      <w:r w:rsidR="00474D27">
        <w:rPr>
          <w:bCs/>
        </w:rPr>
        <w:t>”</w:t>
      </w:r>
      <w:r w:rsidR="00474D27">
        <w:rPr>
          <w:rStyle w:val="FootnoteReference"/>
          <w:bCs/>
        </w:rPr>
        <w:footnoteReference w:id="68"/>
      </w:r>
      <w:r w:rsidR="00474D27">
        <w:rPr>
          <w:bCs/>
        </w:rPr>
        <w:t xml:space="preserve"> But</w:t>
      </w:r>
      <w:r w:rsidR="00700498">
        <w:rPr>
          <w:bCs/>
        </w:rPr>
        <w:t xml:space="preserve"> </w:t>
      </w:r>
      <w:r w:rsidR="00537FFA">
        <w:rPr>
          <w:bCs/>
        </w:rPr>
        <w:t xml:space="preserve">it was </w:t>
      </w:r>
      <w:r w:rsidR="00700498">
        <w:rPr>
          <w:bCs/>
        </w:rPr>
        <w:t xml:space="preserve">Noah </w:t>
      </w:r>
      <w:proofErr w:type="spellStart"/>
      <w:r w:rsidR="00700498">
        <w:rPr>
          <w:bCs/>
        </w:rPr>
        <w:t>Brooks’s</w:t>
      </w:r>
      <w:proofErr w:type="spellEnd"/>
      <w:r w:rsidR="00700498">
        <w:rPr>
          <w:bCs/>
        </w:rPr>
        <w:t xml:space="preserve"> pioneering serialised baseball novel </w:t>
      </w:r>
      <w:r w:rsidR="00700498">
        <w:rPr>
          <w:bCs/>
          <w:i/>
          <w:iCs/>
        </w:rPr>
        <w:t>The Fairport Nine</w:t>
      </w:r>
      <w:r w:rsidR="00700498">
        <w:rPr>
          <w:bCs/>
        </w:rPr>
        <w:t xml:space="preserve">, published in </w:t>
      </w:r>
      <w:r w:rsidR="00CB618F">
        <w:rPr>
          <w:bCs/>
          <w:i/>
          <w:iCs/>
        </w:rPr>
        <w:t>St. Nicholas</w:t>
      </w:r>
      <w:r w:rsidR="00700498">
        <w:rPr>
          <w:bCs/>
        </w:rPr>
        <w:t xml:space="preserve"> in 1880,</w:t>
      </w:r>
      <w:r w:rsidR="00537FFA">
        <w:rPr>
          <w:bCs/>
        </w:rPr>
        <w:t xml:space="preserve"> which</w:t>
      </w:r>
      <w:r w:rsidR="00700498">
        <w:rPr>
          <w:bCs/>
        </w:rPr>
        <w:t xml:space="preserve"> </w:t>
      </w:r>
      <w:r w:rsidR="00474D27">
        <w:rPr>
          <w:bCs/>
        </w:rPr>
        <w:t xml:space="preserve">fully </w:t>
      </w:r>
      <w:r w:rsidR="00700498">
        <w:rPr>
          <w:bCs/>
        </w:rPr>
        <w:t>set the tone for th</w:t>
      </w:r>
      <w:r w:rsidR="00537FFA">
        <w:rPr>
          <w:bCs/>
        </w:rPr>
        <w:t>e</w:t>
      </w:r>
      <w:r w:rsidR="00700498">
        <w:rPr>
          <w:bCs/>
        </w:rPr>
        <w:t>s</w:t>
      </w:r>
      <w:r w:rsidR="00537FFA">
        <w:rPr>
          <w:bCs/>
        </w:rPr>
        <w:t>e</w:t>
      </w:r>
      <w:r w:rsidR="00700498">
        <w:rPr>
          <w:bCs/>
        </w:rPr>
        <w:t xml:space="preserve"> trope</w:t>
      </w:r>
      <w:r w:rsidR="00537FFA">
        <w:rPr>
          <w:bCs/>
        </w:rPr>
        <w:t>s</w:t>
      </w:r>
      <w:r w:rsidR="00700498">
        <w:rPr>
          <w:bCs/>
        </w:rPr>
        <w:t>, beginning and ending with championship baseball games on subsequent Independence Days in a pastoral Maine village.</w:t>
      </w:r>
      <w:r>
        <w:rPr>
          <w:bCs/>
        </w:rPr>
        <w:t xml:space="preserve"> </w:t>
      </w:r>
      <w:r w:rsidR="00B07B49">
        <w:rPr>
          <w:bCs/>
        </w:rPr>
        <w:t>Crucially</w:t>
      </w:r>
      <w:r>
        <w:rPr>
          <w:bCs/>
        </w:rPr>
        <w:t>,</w:t>
      </w:r>
      <w:r w:rsidR="00700498">
        <w:rPr>
          <w:bCs/>
        </w:rPr>
        <w:t xml:space="preserve"> Brooks seamlessly incorporate</w:t>
      </w:r>
      <w:r w:rsidR="00537FFA">
        <w:rPr>
          <w:bCs/>
        </w:rPr>
        <w:t>d</w:t>
      </w:r>
      <w:r w:rsidR="00700498">
        <w:rPr>
          <w:bCs/>
        </w:rPr>
        <w:t xml:space="preserve"> these games into Fourth of July activities that “Generation after generation of boys” had established as time-honoured Fairport traditions.</w:t>
      </w:r>
      <w:r w:rsidR="00700498">
        <w:rPr>
          <w:rStyle w:val="FootnoteReference"/>
          <w:bCs/>
        </w:rPr>
        <w:footnoteReference w:id="69"/>
      </w:r>
      <w:r w:rsidR="00700498">
        <w:rPr>
          <w:bCs/>
        </w:rPr>
        <w:t xml:space="preserve"> A wealth of other baseball stories followed the template of </w:t>
      </w:r>
      <w:proofErr w:type="spellStart"/>
      <w:r w:rsidR="00700498">
        <w:rPr>
          <w:bCs/>
        </w:rPr>
        <w:t>Brooks’s</w:t>
      </w:r>
      <w:proofErr w:type="spellEnd"/>
      <w:r w:rsidR="00700498">
        <w:rPr>
          <w:bCs/>
        </w:rPr>
        <w:t xml:space="preserve"> novel. </w:t>
      </w:r>
      <w:r w:rsidR="00BB41CA">
        <w:rPr>
          <w:bCs/>
        </w:rPr>
        <w:t>“Who Shall Be Captain?”, published in timely fashion</w:t>
      </w:r>
      <w:r w:rsidR="00BB41CA" w:rsidRPr="00BB41CA">
        <w:rPr>
          <w:bCs/>
        </w:rPr>
        <w:t xml:space="preserve"> </w:t>
      </w:r>
      <w:r w:rsidR="00BB41CA">
        <w:rPr>
          <w:bCs/>
        </w:rPr>
        <w:t>in the July 2</w:t>
      </w:r>
      <w:r w:rsidR="00BB41CA" w:rsidRPr="00BB41CA">
        <w:rPr>
          <w:bCs/>
          <w:vertAlign w:val="superscript"/>
        </w:rPr>
        <w:t>nd</w:t>
      </w:r>
      <w:r w:rsidR="00BB41CA">
        <w:rPr>
          <w:bCs/>
        </w:rPr>
        <w:t xml:space="preserve"> edition of </w:t>
      </w:r>
      <w:r w:rsidR="00BB41CA">
        <w:rPr>
          <w:bCs/>
          <w:i/>
          <w:iCs/>
        </w:rPr>
        <w:t>Harper’s Young People</w:t>
      </w:r>
      <w:r w:rsidR="00BB41CA">
        <w:rPr>
          <w:bCs/>
        </w:rPr>
        <w:t xml:space="preserve"> in 1889, opened on the eve of a </w:t>
      </w:r>
      <w:r>
        <w:rPr>
          <w:bCs/>
        </w:rPr>
        <w:t>much-anticipated</w:t>
      </w:r>
      <w:r w:rsidR="00BB41CA">
        <w:rPr>
          <w:bCs/>
        </w:rPr>
        <w:t xml:space="preserve"> baseball match: “Every boy in the village was counting on the glorious Fourth.”</w:t>
      </w:r>
      <w:r w:rsidR="00BB41CA">
        <w:rPr>
          <w:rStyle w:val="FootnoteReference"/>
          <w:bCs/>
        </w:rPr>
        <w:footnoteReference w:id="70"/>
      </w:r>
      <w:r w:rsidR="00BB41CA">
        <w:rPr>
          <w:bCs/>
        </w:rPr>
        <w:t xml:space="preserve"> </w:t>
      </w:r>
      <w:r w:rsidR="00474D27">
        <w:rPr>
          <w:bCs/>
        </w:rPr>
        <w:t>“</w:t>
      </w:r>
      <w:proofErr w:type="spellStart"/>
      <w:r w:rsidR="00474D27">
        <w:rPr>
          <w:bCs/>
        </w:rPr>
        <w:t>Katinka’s</w:t>
      </w:r>
      <w:proofErr w:type="spellEnd"/>
      <w:r w:rsidR="00474D27">
        <w:rPr>
          <w:bCs/>
        </w:rPr>
        <w:t xml:space="preserve"> Candy Scrape” </w:t>
      </w:r>
      <w:r>
        <w:rPr>
          <w:bCs/>
        </w:rPr>
        <w:t>also began in a village just as the sun “peeped over the hill on Fourth of July morning,” and ended with a baseball game.</w:t>
      </w:r>
      <w:r>
        <w:rPr>
          <w:rStyle w:val="FootnoteReference"/>
          <w:bCs/>
        </w:rPr>
        <w:footnoteReference w:id="71"/>
      </w:r>
      <w:r>
        <w:rPr>
          <w:bCs/>
        </w:rPr>
        <w:t xml:space="preserve"> While the inter-village baseball rivalry depicted in “The Siege of Tarrytown” might not take place in July, it still evokes the Revolution, both in its title </w:t>
      </w:r>
      <w:r w:rsidR="00B07B49">
        <w:rPr>
          <w:bCs/>
        </w:rPr>
        <w:t>and</w:t>
      </w:r>
      <w:r>
        <w:rPr>
          <w:bCs/>
        </w:rPr>
        <w:t xml:space="preserve"> its focus on an “old Town-Hall […] a relic of colonial times, still bearing under one weather-beaten gable the marks of British bullets.”</w:t>
      </w:r>
      <w:r>
        <w:rPr>
          <w:rStyle w:val="FootnoteReference"/>
          <w:bCs/>
        </w:rPr>
        <w:footnoteReference w:id="72"/>
      </w:r>
      <w:r>
        <w:rPr>
          <w:bCs/>
        </w:rPr>
        <w:t xml:space="preserve"> </w:t>
      </w:r>
      <w:r w:rsidR="00700498">
        <w:rPr>
          <w:bCs/>
        </w:rPr>
        <w:t>The baseball game depicted in “Saltillo Boys</w:t>
      </w:r>
      <w:r>
        <w:rPr>
          <w:bCs/>
        </w:rPr>
        <w:t>,</w:t>
      </w:r>
      <w:r w:rsidR="00700498">
        <w:rPr>
          <w:bCs/>
        </w:rPr>
        <w:t>”</w:t>
      </w:r>
      <w:r>
        <w:rPr>
          <w:bCs/>
        </w:rPr>
        <w:t xml:space="preserve"> on the other hand,</w:t>
      </w:r>
      <w:r w:rsidR="00700498">
        <w:rPr>
          <w:bCs/>
        </w:rPr>
        <w:t xml:space="preserve"> </w:t>
      </w:r>
      <w:r>
        <w:rPr>
          <w:bCs/>
        </w:rPr>
        <w:t xml:space="preserve">simply </w:t>
      </w:r>
      <w:r w:rsidR="00700498">
        <w:rPr>
          <w:bCs/>
        </w:rPr>
        <w:t>looked back to an unspecified Golden Age: “There was, to tell the truth, nothing scientific about the manner of playing base-ball in Saltillo in those days […] The game was still a useful and healthy amusement, with no ‘professional nines’ to spoil it and bring it into disgrace.”</w:t>
      </w:r>
      <w:r w:rsidR="00700498">
        <w:rPr>
          <w:rStyle w:val="FootnoteReference"/>
          <w:bCs/>
        </w:rPr>
        <w:footnoteReference w:id="73"/>
      </w:r>
      <w:r>
        <w:rPr>
          <w:bCs/>
        </w:rPr>
        <w:t xml:space="preserve"> The pervasive pastoral mood can even be found in a humorous illustration published in </w:t>
      </w:r>
      <w:r>
        <w:rPr>
          <w:bCs/>
          <w:i/>
          <w:iCs/>
        </w:rPr>
        <w:t>Harper’s Young People</w:t>
      </w:r>
      <w:r w:rsidR="00FC36EF">
        <w:rPr>
          <w:bCs/>
        </w:rPr>
        <w:t xml:space="preserve"> in 1885</w:t>
      </w:r>
      <w:r>
        <w:rPr>
          <w:bCs/>
        </w:rPr>
        <w:t>, in which a family of bears interrupt a baseball game.</w:t>
      </w:r>
      <w:r w:rsidR="00FC36EF">
        <w:rPr>
          <w:bCs/>
        </w:rPr>
        <w:t xml:space="preserve"> As these magazines strove to shape an image of baseball which accorded with their wider values, therefore, they imagined a “national game” for </w:t>
      </w:r>
      <w:r w:rsidR="00FC36EF">
        <w:rPr>
          <w:bCs/>
        </w:rPr>
        <w:lastRenderedPageBreak/>
        <w:t>a very specific part of the nation. What of those young Americans</w:t>
      </w:r>
      <w:r w:rsidR="00537FFA">
        <w:rPr>
          <w:bCs/>
        </w:rPr>
        <w:t>, and others,</w:t>
      </w:r>
      <w:r w:rsidR="00FC36EF">
        <w:rPr>
          <w:bCs/>
        </w:rPr>
        <w:t xml:space="preserve"> who were left out of the team?   </w:t>
      </w:r>
    </w:p>
    <w:p w14:paraId="2C5470C0" w14:textId="77777777" w:rsidR="00700498" w:rsidRDefault="00700498" w:rsidP="006E3985">
      <w:pPr>
        <w:spacing w:line="360" w:lineRule="auto"/>
        <w:rPr>
          <w:bCs/>
        </w:rPr>
      </w:pPr>
    </w:p>
    <w:p w14:paraId="3E7651EA" w14:textId="7005777C" w:rsidR="00FC36EF" w:rsidRDefault="006C46E9" w:rsidP="006E3985">
      <w:pPr>
        <w:keepNext/>
        <w:spacing w:line="360" w:lineRule="auto"/>
        <w:jc w:val="center"/>
      </w:pPr>
      <w:r>
        <w:rPr>
          <w:noProof/>
          <w:lang w:val="en-US" w:eastAsia="en-US"/>
        </w:rPr>
        <w:drawing>
          <wp:inline distT="0" distB="0" distL="0" distR="0" wp14:anchorId="1CC5CF0E" wp14:editId="334090BF">
            <wp:extent cx="5943600" cy="36636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3.tiff"/>
                    <pic:cNvPicPr/>
                  </pic:nvPicPr>
                  <pic:blipFill>
                    <a:blip r:embed="rId10">
                      <a:extLst>
                        <a:ext uri="{28A0092B-C50C-407E-A947-70E740481C1C}">
                          <a14:useLocalDpi xmlns:a14="http://schemas.microsoft.com/office/drawing/2010/main" val="0"/>
                        </a:ext>
                      </a:extLst>
                    </a:blip>
                    <a:stretch>
                      <a:fillRect/>
                    </a:stretch>
                  </pic:blipFill>
                  <pic:spPr>
                    <a:xfrm>
                      <a:off x="0" y="0"/>
                      <a:ext cx="5943600" cy="3663696"/>
                    </a:xfrm>
                    <a:prstGeom prst="rect">
                      <a:avLst/>
                    </a:prstGeom>
                  </pic:spPr>
                </pic:pic>
              </a:graphicData>
            </a:graphic>
          </wp:inline>
        </w:drawing>
      </w:r>
    </w:p>
    <w:p w14:paraId="5C314184" w14:textId="77777777" w:rsidR="00001E80" w:rsidRDefault="00FC36EF" w:rsidP="006E3985">
      <w:pPr>
        <w:pStyle w:val="Caption"/>
        <w:spacing w:line="360" w:lineRule="auto"/>
        <w:jc w:val="center"/>
        <w:outlineLvl w:val="0"/>
        <w:rPr>
          <w:bCs/>
        </w:rPr>
      </w:pPr>
      <w:r>
        <w:t xml:space="preserve">Figure </w:t>
      </w:r>
      <w:r>
        <w:fldChar w:fldCharType="begin"/>
      </w:r>
      <w:r>
        <w:instrText xml:space="preserve"> SEQ Figure \* ARABIC </w:instrText>
      </w:r>
      <w:r>
        <w:fldChar w:fldCharType="separate"/>
      </w:r>
      <w:r w:rsidR="005E7FA1">
        <w:rPr>
          <w:noProof/>
        </w:rPr>
        <w:t>3</w:t>
      </w:r>
      <w:r>
        <w:fldChar w:fldCharType="end"/>
      </w:r>
      <w:r>
        <w:t xml:space="preserve">: "Base-ball at </w:t>
      </w:r>
      <w:proofErr w:type="spellStart"/>
      <w:r>
        <w:t>Peltyville</w:t>
      </w:r>
      <w:proofErr w:type="spellEnd"/>
      <w:r w:rsidR="001B18BB">
        <w:t>.</w:t>
      </w:r>
      <w:r>
        <w:t xml:space="preserve"> </w:t>
      </w:r>
      <w:r w:rsidR="005D57C7">
        <w:rPr>
          <w:bCs/>
        </w:rPr>
        <w:t>–</w:t>
      </w:r>
      <w:r>
        <w:t xml:space="preserve"> A Home Run", from </w:t>
      </w:r>
      <w:r>
        <w:rPr>
          <w:i w:val="0"/>
          <w:iCs w:val="0"/>
        </w:rPr>
        <w:t>Harper's Young People</w:t>
      </w:r>
      <w:r>
        <w:t>, June 9</w:t>
      </w:r>
      <w:proofErr w:type="gramStart"/>
      <w:r>
        <w:t xml:space="preserve"> 1885</w:t>
      </w:r>
      <w:proofErr w:type="gramEnd"/>
      <w:r>
        <w:t>, 496.</w:t>
      </w:r>
    </w:p>
    <w:p w14:paraId="68AB580A" w14:textId="1A4EB71A" w:rsidR="00F9469F" w:rsidRDefault="00F9469F" w:rsidP="006E3985">
      <w:pPr>
        <w:spacing w:line="360" w:lineRule="auto"/>
        <w:rPr>
          <w:bCs/>
        </w:rPr>
      </w:pPr>
    </w:p>
    <w:p w14:paraId="58D313B2" w14:textId="77777777" w:rsidR="0065126A" w:rsidRDefault="0065126A" w:rsidP="006E3985">
      <w:pPr>
        <w:spacing w:line="360" w:lineRule="auto"/>
        <w:rPr>
          <w:bCs/>
        </w:rPr>
      </w:pPr>
    </w:p>
    <w:p w14:paraId="105D77D7" w14:textId="77777777" w:rsidR="00750F77" w:rsidRPr="00537FFA" w:rsidRDefault="00363887" w:rsidP="006E3985">
      <w:pPr>
        <w:spacing w:line="360" w:lineRule="auto"/>
        <w:outlineLvl w:val="0"/>
        <w:rPr>
          <w:bCs/>
        </w:rPr>
      </w:pPr>
      <w:r w:rsidRPr="006F78F2">
        <w:rPr>
          <w:b/>
        </w:rPr>
        <w:t>Struck Out</w:t>
      </w:r>
    </w:p>
    <w:p w14:paraId="6CCB1E69" w14:textId="77777777" w:rsidR="008559F4" w:rsidRDefault="00363887" w:rsidP="006E3985">
      <w:pPr>
        <w:spacing w:line="360" w:lineRule="auto"/>
      </w:pPr>
      <w:r>
        <w:t>An 1898 poll of the “Play Life of Some South Carolina Children” highlights the profound grip that baseball had on American boys at the end of the century: of the 3958 who were polled, 2697 (68.9%) listed the sport as one of their favourite play activities. Nothing else came close (football polled at 55.9%, and there was a long drop off beneath it). The most popular response from the 4760 girls was playing with dolls (1365, 28.7%). Yet 245 chose baseball.</w:t>
      </w:r>
      <w:r>
        <w:rPr>
          <w:vertAlign w:val="superscript"/>
        </w:rPr>
        <w:footnoteReference w:id="74"/>
      </w:r>
      <w:r>
        <w:t xml:space="preserve"> They were a small but significant minority</w:t>
      </w:r>
      <w:r w:rsidR="0029291E">
        <w:t xml:space="preserve"> – and nor were they the only baseball players erased in the pages of these magazines</w:t>
      </w:r>
      <w:r>
        <w:t>.</w:t>
      </w:r>
      <w:r w:rsidR="0029291E">
        <w:t xml:space="preserve"> </w:t>
      </w:r>
    </w:p>
    <w:p w14:paraId="475AA1E6" w14:textId="77777777" w:rsidR="008559F4" w:rsidRDefault="008559F4" w:rsidP="006E3985">
      <w:pPr>
        <w:spacing w:line="360" w:lineRule="auto"/>
      </w:pPr>
    </w:p>
    <w:p w14:paraId="7B01C2DA" w14:textId="3737FEF6" w:rsidR="00750F77" w:rsidRDefault="00363887" w:rsidP="006E3985">
      <w:pPr>
        <w:spacing w:line="360" w:lineRule="auto"/>
      </w:pPr>
      <w:r>
        <w:lastRenderedPageBreak/>
        <w:t>As Debra Shattuck has powerfully documented, for much of the early nineteenth century “playing bat and ball games was a normative (not aberrant) activity for girls and young women</w:t>
      </w:r>
      <w:r w:rsidR="00763B47">
        <w:t>.</w:t>
      </w:r>
      <w:r>
        <w:t>”</w:t>
      </w:r>
      <w:r w:rsidR="00763B47">
        <w:rPr>
          <w:vertAlign w:val="superscript"/>
        </w:rPr>
        <w:footnoteReference w:id="75"/>
      </w:r>
      <w:r w:rsidR="00763B47">
        <w:t xml:space="preserve"> In 1901, influential woman-of-letters Jeannette Leonard Gilder reminisced that, “Baseball was a great game in the early sixties, and it was no more than natural that a tomboy, such as I was, should be the captain of a nine. There were two clubs in </w:t>
      </w:r>
      <w:proofErr w:type="spellStart"/>
      <w:r w:rsidR="00763B47">
        <w:t>Birdlington</w:t>
      </w:r>
      <w:proofErr w:type="spellEnd"/>
      <w:r w:rsidR="00763B47">
        <w:t>, composed entirely of girls, and we played a lively game.”</w:t>
      </w:r>
      <w:r w:rsidR="00763B47">
        <w:rPr>
          <w:rStyle w:val="FootnoteReference"/>
        </w:rPr>
        <w:footnoteReference w:id="76"/>
      </w:r>
      <w:r w:rsidR="00763B47">
        <w:t xml:space="preserve"> According to Shattuck, </w:t>
      </w:r>
      <w:r>
        <w:t>even in the 1890s there were “scores of schoolgirl and adult female baseball teams ... Players came from all social classes and ranged from school-age children to middle-aged matrons.”</w:t>
      </w:r>
      <w:r>
        <w:rPr>
          <w:vertAlign w:val="superscript"/>
        </w:rPr>
        <w:footnoteReference w:id="77"/>
      </w:r>
      <w:r>
        <w:t xml:space="preserve"> Yet in the era of the New Woman and the Gibson Girl, at a time when certain physical activities like </w:t>
      </w:r>
      <w:r w:rsidR="00AF52AF">
        <w:t xml:space="preserve">croquet, </w:t>
      </w:r>
      <w:r>
        <w:t>tennis and golf were becoming socially sanctioned for girls, baseball was still largely imagined as a male preserve. In the popular press, female baseball players were frequently “denounced as curiosities and sexual misfits” and “</w:t>
      </w:r>
      <w:proofErr w:type="spellStart"/>
      <w:r>
        <w:t>labeled</w:t>
      </w:r>
      <w:proofErr w:type="spellEnd"/>
      <w:r>
        <w:t xml:space="preserve"> as biological deviants ... corrupt and morally bankrupt.”</w:t>
      </w:r>
      <w:r>
        <w:rPr>
          <w:vertAlign w:val="superscript"/>
        </w:rPr>
        <w:footnoteReference w:id="78"/>
      </w:r>
      <w:r w:rsidR="00763B47">
        <w:t xml:space="preserve"> Indeed, even Gilder’s youthful enjoyment of baseball was spoiled when “some reporter on a paper in a neighbouring town got wind of our games, and, though he never saw one, he wrote them up.” The ensuing controversy “broke up our nines, and we amused ourselves for the rest of the summer more as well-regulated girls are supposed to do.”</w:t>
      </w:r>
      <w:r w:rsidR="00763B47">
        <w:rPr>
          <w:rStyle w:val="FootnoteReference"/>
        </w:rPr>
        <w:footnoteReference w:id="79"/>
      </w:r>
      <w:r w:rsidR="00763B47">
        <w:t xml:space="preserve"> </w:t>
      </w:r>
      <w:r>
        <w:t xml:space="preserve">Still, what Kathleen </w:t>
      </w:r>
      <w:proofErr w:type="spellStart"/>
      <w:r>
        <w:t>McCrone</w:t>
      </w:r>
      <w:proofErr w:type="spellEnd"/>
      <w:r>
        <w:t xml:space="preserve"> has noted of the British context at this moment also clearly held true in America in relation to baseball: “Despite prejudice, discrimination, and restrictions, the lure of sport was obviously irresistible to some Victorian girls, who apparently found the rewards of participation sufficient to counteract whatever social costs were involved.”</w:t>
      </w:r>
      <w:r>
        <w:rPr>
          <w:vertAlign w:val="superscript"/>
        </w:rPr>
        <w:footnoteReference w:id="80"/>
      </w:r>
    </w:p>
    <w:p w14:paraId="0D9D1E48" w14:textId="77777777" w:rsidR="00750F77" w:rsidRDefault="00750F77" w:rsidP="006E3985">
      <w:pPr>
        <w:spacing w:line="360" w:lineRule="auto"/>
      </w:pPr>
    </w:p>
    <w:p w14:paraId="5F9F7803" w14:textId="750B399C" w:rsidR="00750F77" w:rsidRDefault="00363887" w:rsidP="006E3985">
      <w:pPr>
        <w:spacing w:line="360" w:lineRule="auto"/>
      </w:pPr>
      <w:r>
        <w:t xml:space="preserve">Such girls were all but invisible in the pages of these children’s magazines. If anything, </w:t>
      </w:r>
      <w:r w:rsidR="00124859">
        <w:t>th</w:t>
      </w:r>
      <w:r w:rsidR="00E27129">
        <w:t>ese periodicals</w:t>
      </w:r>
      <w:r w:rsidR="00124859">
        <w:t xml:space="preserve"> </w:t>
      </w:r>
      <w:r>
        <w:t>resolutely positioned</w:t>
      </w:r>
      <w:r w:rsidR="00124859">
        <w:t xml:space="preserve"> women and girls</w:t>
      </w:r>
      <w:r>
        <w:t xml:space="preserve"> in opposition to baseball. Mothers and sisters persistently fret over the perceived dangers of the sport: “He’ll die, I know ... I told you he would </w:t>
      </w:r>
      <w:r>
        <w:lastRenderedPageBreak/>
        <w:t>break his nose!” laments one sister when her brother picks up an injury in an after-school game. Their exasperated mother “had learned to look upon a base-ball as but little inferior in danger to a battle-field.”</w:t>
      </w:r>
      <w:r>
        <w:rPr>
          <w:vertAlign w:val="superscript"/>
        </w:rPr>
        <w:footnoteReference w:id="81"/>
      </w:r>
      <w:r>
        <w:t xml:space="preserve"> A young girl in a Louisa May Alcott </w:t>
      </w:r>
      <w:r w:rsidR="003D0B25">
        <w:t xml:space="preserve">story </w:t>
      </w:r>
      <w:r>
        <w:t>complains dismissively of a male friend, “Jack has hurt his hand with that stupid base-ball.”</w:t>
      </w:r>
      <w:r>
        <w:rPr>
          <w:vertAlign w:val="superscript"/>
        </w:rPr>
        <w:footnoteReference w:id="82"/>
      </w:r>
      <w:r w:rsidR="006F78F2">
        <w:t xml:space="preserve"> A poem in </w:t>
      </w:r>
      <w:r w:rsidR="006F78F2">
        <w:rPr>
          <w:i/>
          <w:iCs/>
        </w:rPr>
        <w:t>Wide Awake</w:t>
      </w:r>
      <w:r w:rsidR="006F78F2">
        <w:t>, written from the perspective of a child, complained about overly protective parents who are “sure he’ll come home broken, if he asks to play base-ball.”</w:t>
      </w:r>
      <w:r w:rsidR="006F78F2">
        <w:rPr>
          <w:rStyle w:val="FootnoteReference"/>
        </w:rPr>
        <w:footnoteReference w:id="83"/>
      </w:r>
      <w:r w:rsidR="006F78F2">
        <w:t xml:space="preserve"> </w:t>
      </w:r>
      <w:r>
        <w:t xml:space="preserve">N. P. Babcock, pontificating about “The National Game” for </w:t>
      </w:r>
      <w:r>
        <w:rPr>
          <w:i/>
        </w:rPr>
        <w:t>Harper’s Young People</w:t>
      </w:r>
      <w:r>
        <w:t xml:space="preserve">, conflated these imagined female scolds into the figure of “Mrs. </w:t>
      </w:r>
      <w:proofErr w:type="spellStart"/>
      <w:r>
        <w:t>Tendermother</w:t>
      </w:r>
      <w:proofErr w:type="spellEnd"/>
      <w:r>
        <w:t>, whose horror of base-ball is born of a knowledge of its evil consequences to youthful hands and youthful limbs.”</w:t>
      </w:r>
      <w:r>
        <w:rPr>
          <w:vertAlign w:val="superscript"/>
        </w:rPr>
        <w:footnoteReference w:id="84"/>
      </w:r>
      <w:r>
        <w:t xml:space="preserve"> Similarly, a boy narrator complains of his sister, “she is nothing but a girl. She is twelve years old, and of course she plays with dolls, and doesn’t know enough to play base-ball or do anything really useful.”</w:t>
      </w:r>
      <w:r>
        <w:rPr>
          <w:vertAlign w:val="superscript"/>
        </w:rPr>
        <w:footnoteReference w:id="85"/>
      </w:r>
      <w:r w:rsidR="00871152">
        <w:t xml:space="preserve"> </w:t>
      </w:r>
      <w:r w:rsidR="00871152">
        <w:rPr>
          <w:i/>
          <w:iCs/>
        </w:rPr>
        <w:t>Wide Awake</w:t>
      </w:r>
      <w:r w:rsidR="00871152">
        <w:t xml:space="preserve"> was </w:t>
      </w:r>
      <w:r w:rsidR="00E27129">
        <w:t>explicit</w:t>
      </w:r>
      <w:r w:rsidR="00871152">
        <w:t xml:space="preserve"> that, while girls could take part in “the majority of out-door games”, baseball was one of the “rougher sports” which was “scarcely fitted for girlish participation.”</w:t>
      </w:r>
      <w:r w:rsidR="00871152">
        <w:rPr>
          <w:rStyle w:val="FootnoteReference"/>
        </w:rPr>
        <w:footnoteReference w:id="86"/>
      </w:r>
      <w:r w:rsidR="00FF0351">
        <w:t xml:space="preserve"> </w:t>
      </w:r>
      <w:r>
        <w:t>“</w:t>
      </w:r>
      <w:proofErr w:type="spellStart"/>
      <w:r>
        <w:t>Katinka’s</w:t>
      </w:r>
      <w:proofErr w:type="spellEnd"/>
      <w:r>
        <w:t xml:space="preserve"> Candy Scrape”</w:t>
      </w:r>
      <w:r w:rsidR="00FF0351">
        <w:t xml:space="preserve"> – one of the Fourth of July baseball stories –</w:t>
      </w:r>
      <w:r>
        <w:t xml:space="preserve"> </w:t>
      </w:r>
      <w:r w:rsidR="00FF0351">
        <w:t>was particularly telling in this regard.</w:t>
      </w:r>
      <w:r>
        <w:t xml:space="preserve"> </w:t>
      </w:r>
      <w:proofErr w:type="spellStart"/>
      <w:r>
        <w:t>Katinka’s</w:t>
      </w:r>
      <w:proofErr w:type="spellEnd"/>
      <w:r>
        <w:t xml:space="preserve"> brother John decides that there is money to be made by selling molasses candy at the town’s </w:t>
      </w:r>
      <w:r w:rsidR="00FF0351">
        <w:t xml:space="preserve">Independence Day </w:t>
      </w:r>
      <w:r>
        <w:t>muster and baseball game. Yet distracted by military displays and eager to see</w:t>
      </w:r>
      <w:r w:rsidR="00E27129">
        <w:t xml:space="preserve"> the famous</w:t>
      </w:r>
      <w:r>
        <w:t xml:space="preserve"> Judkins of the Eons</w:t>
      </w:r>
      <w:r w:rsidR="00FF0351">
        <w:t xml:space="preserve"> baseball team</w:t>
      </w:r>
      <w:r>
        <w:t xml:space="preserve"> at bat </w:t>
      </w:r>
      <w:r w:rsidR="00AF52AF">
        <w:t>–</w:t>
      </w:r>
      <w:r>
        <w:t xml:space="preserve"> “They say he can knock a ball two inches further than any living man”</w:t>
      </w:r>
      <w:r w:rsidR="00AF52AF">
        <w:t xml:space="preserve"> – </w:t>
      </w:r>
      <w:r>
        <w:t>John abandons his candy selling duties to his sister (in the name of “Woman’s Rights”). Soon, Judkins has two strikes against him</w:t>
      </w:r>
      <w:r w:rsidR="00AF52AF">
        <w:t xml:space="preserve"> –</w:t>
      </w:r>
      <w:r>
        <w:t xml:space="preserve"> at which point the narrator includes a conspicuous side note: “Dear girl readers, ask your brothers to explain the meaning of that momentous word.” But then, Judkins makes good contact with the ball, which promptly hits </w:t>
      </w:r>
      <w:proofErr w:type="spellStart"/>
      <w:r>
        <w:t>Katinka</w:t>
      </w:r>
      <w:proofErr w:type="spellEnd"/>
      <w:r>
        <w:t xml:space="preserve"> on the head, knocking her unconscious. Both implicitly and explicitly, the text makes it clear that baseball is no game for girls (even if it also subtly critiques the boys and men who make up its culture).</w:t>
      </w:r>
      <w:r>
        <w:rPr>
          <w:vertAlign w:val="superscript"/>
        </w:rPr>
        <w:footnoteReference w:id="87"/>
      </w:r>
      <w:r>
        <w:t xml:space="preserve">      </w:t>
      </w:r>
    </w:p>
    <w:p w14:paraId="03CBEC5A" w14:textId="77777777" w:rsidR="00750F77" w:rsidRDefault="00750F77" w:rsidP="006E3985">
      <w:pPr>
        <w:spacing w:line="360" w:lineRule="auto"/>
      </w:pPr>
    </w:p>
    <w:p w14:paraId="4136E354" w14:textId="19D2A4A2" w:rsidR="00750F77" w:rsidRDefault="00FF0351" w:rsidP="006E3985">
      <w:pPr>
        <w:spacing w:line="360" w:lineRule="auto"/>
      </w:pPr>
      <w:r>
        <w:lastRenderedPageBreak/>
        <w:t>On</w:t>
      </w:r>
      <w:r w:rsidR="00363887">
        <w:t xml:space="preserve"> their correspondence pages, at least, these magazines</w:t>
      </w:r>
      <w:r w:rsidR="00AF52AF">
        <w:t xml:space="preserve"> did</w:t>
      </w:r>
      <w:r w:rsidR="00363887">
        <w:t xml:space="preserve"> offer a glimpse of a very different world</w:t>
      </w:r>
      <w:r w:rsidR="00AF52AF">
        <w:t xml:space="preserve"> – </w:t>
      </w:r>
      <w:r w:rsidR="00363887">
        <w:t xml:space="preserve">one in which girls were active and enthusiastic participants in the national game (even if the admission of their engagement with baseball was frequently hedged with apologies). </w:t>
      </w:r>
      <w:r w:rsidR="00223E9E">
        <w:t>Fifteen-year-old</w:t>
      </w:r>
      <w:r w:rsidR="00363887">
        <w:t xml:space="preserve"> Ruth F</w:t>
      </w:r>
      <w:r>
        <w:t>.</w:t>
      </w:r>
      <w:r w:rsidR="00363887">
        <w:t xml:space="preserve"> from Ayer, Massachusetts, wrote to </w:t>
      </w:r>
      <w:r w:rsidR="00CB618F">
        <w:rPr>
          <w:i/>
        </w:rPr>
        <w:t>St. Nicholas</w:t>
      </w:r>
      <w:r w:rsidR="00363887">
        <w:t xml:space="preserve"> magazine, following the publication of a baseball story: “I felt much interested in it, for last summer the girls of my age who lived here got up a base-ball nine. In time, we played very nicely and enjoyed the fun. The readers of the Letter-box may think this a funny game for girls to play, but we liked it and found it very good exercise.”</w:t>
      </w:r>
      <w:r w:rsidR="00363887">
        <w:rPr>
          <w:vertAlign w:val="superscript"/>
        </w:rPr>
        <w:footnoteReference w:id="88"/>
      </w:r>
      <w:r w:rsidR="00363887">
        <w:t xml:space="preserve"> Maud C., attending private school in Brooklyn, declared that she had “learned to play tennis, and also I have taken an interest in base-ball.”</w:t>
      </w:r>
      <w:r w:rsidR="00363887">
        <w:rPr>
          <w:vertAlign w:val="superscript"/>
        </w:rPr>
        <w:footnoteReference w:id="89"/>
      </w:r>
      <w:r w:rsidR="00363887">
        <w:t xml:space="preserve"> “I play base-ball with my brothers,” announced Susie Howes from Stamford, Connecticut, “and always go to see the games played in town.”</w:t>
      </w:r>
      <w:r w:rsidR="00363887">
        <w:rPr>
          <w:vertAlign w:val="superscript"/>
        </w:rPr>
        <w:footnoteReference w:id="90"/>
      </w:r>
      <w:r w:rsidR="00363887">
        <w:t xml:space="preserve"> Gertrude Underhill from Poughkeepsie combined her love of sport with impeccable taste in sentimental literature, both confirming and confounding gendered expectations: “I am very much interested in base-ball, and I can play it, too. I like almost all out-door games, and I also love to read, my </w:t>
      </w:r>
      <w:proofErr w:type="spellStart"/>
      <w:r w:rsidR="00363887">
        <w:t>favorite</w:t>
      </w:r>
      <w:proofErr w:type="spellEnd"/>
      <w:r w:rsidR="00363887">
        <w:t xml:space="preserve"> books being </w:t>
      </w:r>
      <w:r w:rsidR="00363887">
        <w:rPr>
          <w:i/>
        </w:rPr>
        <w:t>The Wide, Wide World</w:t>
      </w:r>
      <w:r w:rsidR="00363887">
        <w:t xml:space="preserve"> and </w:t>
      </w:r>
      <w:r w:rsidR="00363887">
        <w:rPr>
          <w:i/>
        </w:rPr>
        <w:t>Oldtown Folks</w:t>
      </w:r>
      <w:r w:rsidR="00363887">
        <w:t>. Have you read them?”</w:t>
      </w:r>
      <w:r w:rsidR="00363887">
        <w:rPr>
          <w:vertAlign w:val="superscript"/>
        </w:rPr>
        <w:footnoteReference w:id="91"/>
      </w:r>
      <w:r w:rsidR="00363887">
        <w:t xml:space="preserve"> And this young, female sporting culture of bat and ball wasn’t limited to baseball either. In 1886, Eleanor Cuyler Patterson from Chestnut Hill, Philadelphia, described the efforts that she and a group of friends had gone to with the specific intention of challenging prevailing orthodoxies:  </w:t>
      </w:r>
    </w:p>
    <w:p w14:paraId="71BBF4EA" w14:textId="77777777" w:rsidR="00750F77" w:rsidRDefault="00363887" w:rsidP="006E3985">
      <w:pPr>
        <w:spacing w:line="360" w:lineRule="auto"/>
        <w:ind w:left="720"/>
      </w:pPr>
      <w:r>
        <w:t xml:space="preserve">I suppose you know what a poor opinion many boys have of what girls can do in the way of outdoor sports. Well, last summer, we girls got up a cricket club and practiced every day, and at last we </w:t>
      </w:r>
      <w:proofErr w:type="gramStart"/>
      <w:r>
        <w:t>made arrangements</w:t>
      </w:r>
      <w:proofErr w:type="gramEnd"/>
      <w:r>
        <w:t xml:space="preserve"> to play the boys, and although we were beaten, we had the consolation of having the boys acknowledge that we could do something in the way of outdoor sports.</w:t>
      </w:r>
      <w:r>
        <w:rPr>
          <w:vertAlign w:val="superscript"/>
        </w:rPr>
        <w:footnoteReference w:id="92"/>
      </w:r>
    </w:p>
    <w:p w14:paraId="52AFA852" w14:textId="77777777" w:rsidR="00750F77" w:rsidRDefault="00363887" w:rsidP="006E3985">
      <w:pPr>
        <w:spacing w:line="360" w:lineRule="auto"/>
      </w:pPr>
      <w:r>
        <w:t xml:space="preserve">At least at one moment in 1892, </w:t>
      </w:r>
      <w:r>
        <w:rPr>
          <w:i/>
        </w:rPr>
        <w:t>Harper’s Young People</w:t>
      </w:r>
      <w:r>
        <w:t xml:space="preserve"> seemed to embrace the burgeoning New Woman moment with the publication of a poem entitled “In the End of Century” by “M.E.S.” which happily declared:</w:t>
      </w:r>
    </w:p>
    <w:p w14:paraId="37D9409C" w14:textId="77777777" w:rsidR="00750F77" w:rsidRDefault="00363887" w:rsidP="006E3985">
      <w:pPr>
        <w:spacing w:line="360" w:lineRule="auto"/>
        <w:ind w:left="720"/>
      </w:pPr>
      <w:r>
        <w:t xml:space="preserve">I play lawn-tennis; I’ve tried </w:t>
      </w:r>
      <w:proofErr w:type="gramStart"/>
      <w:r>
        <w:t>baseball;</w:t>
      </w:r>
      <w:proofErr w:type="gramEnd"/>
    </w:p>
    <w:p w14:paraId="24906CF3" w14:textId="77777777" w:rsidR="00750F77" w:rsidRDefault="00363887" w:rsidP="006E3985">
      <w:pPr>
        <w:spacing w:line="360" w:lineRule="auto"/>
        <w:ind w:left="720"/>
      </w:pPr>
      <w:r>
        <w:lastRenderedPageBreak/>
        <w:t xml:space="preserve">I climb as swift a </w:t>
      </w:r>
      <w:proofErr w:type="gramStart"/>
      <w:r>
        <w:t>squirrel;</w:t>
      </w:r>
      <w:proofErr w:type="gramEnd"/>
    </w:p>
    <w:p w14:paraId="53B07CAB" w14:textId="77777777" w:rsidR="00750F77" w:rsidRDefault="00363887" w:rsidP="006E3985">
      <w:pPr>
        <w:spacing w:line="360" w:lineRule="auto"/>
        <w:ind w:left="720"/>
      </w:pPr>
      <w:r>
        <w:t>Pick myself up if I have a fall,</w:t>
      </w:r>
    </w:p>
    <w:p w14:paraId="34AB9685" w14:textId="77777777" w:rsidR="00750F77" w:rsidRDefault="00363887" w:rsidP="006E3985">
      <w:pPr>
        <w:spacing w:line="360" w:lineRule="auto"/>
        <w:ind w:left="720"/>
      </w:pPr>
      <w:r>
        <w:t xml:space="preserve">And laugh, though I'm only a girl. </w:t>
      </w:r>
    </w:p>
    <w:p w14:paraId="35BA4375" w14:textId="1F6A0329" w:rsidR="00750F77" w:rsidRDefault="00363887" w:rsidP="006E3985">
      <w:pPr>
        <w:spacing w:line="360" w:lineRule="auto"/>
        <w:ind w:left="720"/>
      </w:pPr>
      <w:r>
        <w:t>...</w:t>
      </w:r>
    </w:p>
    <w:p w14:paraId="45BAC2DC" w14:textId="77777777" w:rsidR="00750F77" w:rsidRDefault="00363887" w:rsidP="006E3985">
      <w:pPr>
        <w:spacing w:line="360" w:lineRule="auto"/>
        <w:ind w:left="720"/>
      </w:pPr>
      <w:r>
        <w:t>I’m glad I’m an end-of-the-century girl,</w:t>
      </w:r>
    </w:p>
    <w:p w14:paraId="28D24638" w14:textId="77777777" w:rsidR="00750F77" w:rsidRDefault="00363887" w:rsidP="006E3985">
      <w:pPr>
        <w:spacing w:line="360" w:lineRule="auto"/>
        <w:ind w:left="720"/>
      </w:pPr>
      <w:r>
        <w:t>Healthy and happy and gay,</w:t>
      </w:r>
    </w:p>
    <w:p w14:paraId="25DC9315" w14:textId="77777777" w:rsidR="00750F77" w:rsidRDefault="00363887" w:rsidP="006E3985">
      <w:pPr>
        <w:spacing w:line="360" w:lineRule="auto"/>
        <w:ind w:left="720"/>
      </w:pPr>
      <w:r>
        <w:t>As free as a boy to study Greek,</w:t>
      </w:r>
      <w:r>
        <w:br/>
        <w:t>And as free as a boy to play.</w:t>
      </w:r>
      <w:r>
        <w:rPr>
          <w:vertAlign w:val="superscript"/>
        </w:rPr>
        <w:footnoteReference w:id="93"/>
      </w:r>
    </w:p>
    <w:p w14:paraId="1A036413" w14:textId="129AA444" w:rsidR="00750F77" w:rsidRDefault="00363887" w:rsidP="006E3985">
      <w:pPr>
        <w:spacing w:line="360" w:lineRule="auto"/>
      </w:pPr>
      <w:r>
        <w:t xml:space="preserve">But it was a rare glimpse of liberation for the female readers of these magazines </w:t>
      </w:r>
      <w:r w:rsidR="00967507">
        <w:t>–</w:t>
      </w:r>
      <w:r>
        <w:t xml:space="preserve"> a sliver of visibility for those girls who tried to stake a claim to the national game.</w:t>
      </w:r>
    </w:p>
    <w:p w14:paraId="0F22DF68" w14:textId="77777777" w:rsidR="00750F77" w:rsidRDefault="00750F77" w:rsidP="006E3985">
      <w:pPr>
        <w:spacing w:line="360" w:lineRule="auto"/>
      </w:pPr>
    </w:p>
    <w:p w14:paraId="47E15C97" w14:textId="6C0BBF75" w:rsidR="00750F77" w:rsidRDefault="00363887" w:rsidP="006E3985">
      <w:pPr>
        <w:spacing w:line="360" w:lineRule="auto"/>
      </w:pPr>
      <w:r>
        <w:t xml:space="preserve">It wasn’t only girls who were excluded from the normative baseball narratives published in children’s magazines. In the numerous profiles of life in exotic places that were a staple of illustrated periodicals in this period, baseball was frequently used as a yardstick to measure the distance between American youth and their contemporaries in other lands. As Claudia Nelson has described, such sketches </w:t>
      </w:r>
      <w:r w:rsidR="00AF52AF">
        <w:t>can be read</w:t>
      </w:r>
      <w:r>
        <w:t xml:space="preserve">, at least in part, </w:t>
      </w:r>
      <w:r w:rsidR="00AF52AF">
        <w:t xml:space="preserve">as </w:t>
      </w:r>
      <w:r>
        <w:t>evidence of a “proto-multiculturalism” evident in the pages of these magazines which “suggest that the editors deemed it their task to shape young readers not only into good Americans but also into good citizens of the world.”</w:t>
      </w:r>
      <w:r>
        <w:rPr>
          <w:vertAlign w:val="superscript"/>
        </w:rPr>
        <w:footnoteReference w:id="94"/>
      </w:r>
      <w:r>
        <w:t xml:space="preserve"> Yet their overwhelming effect, particularly in their use of symbolically loaded touchstones like baseball, was the emphasis of difference and essential American superiority. Henry Jessup began his account of “The Amusements of Arab Children”</w:t>
      </w:r>
      <w:r w:rsidR="00407CB7">
        <w:t xml:space="preserve"> </w:t>
      </w:r>
      <w:r>
        <w:t>with a reported conversation: “A little boy in America asked a person who had lived in Syria if the boys there ever played baseball; and on learning that they did not, he said, ‘Well they can’t have much fun there.’” Jessup then purports to undermine that chauvinistic sense of baseball exceptionalism in his admiring account of</w:t>
      </w:r>
      <w:r w:rsidR="00FF0351">
        <w:t xml:space="preserve"> the Syrian</w:t>
      </w:r>
      <w:r>
        <w:t xml:space="preserve"> “national game” of Jereed, which involves two lines of boys throwing blunted spears at each other. </w:t>
      </w:r>
      <w:r w:rsidR="00E27129">
        <w:t>H</w:t>
      </w:r>
      <w:r>
        <w:t xml:space="preserve">e still ends on a note of essential difference: “It is hardly, however, a game for Americans to play.” The “extreme simplicity” of such games “are </w:t>
      </w:r>
      <w:r>
        <w:lastRenderedPageBreak/>
        <w:t>suited to the simple life and habits of the children of Syria.”</w:t>
      </w:r>
      <w:r>
        <w:rPr>
          <w:vertAlign w:val="superscript"/>
        </w:rPr>
        <w:footnoteReference w:id="95"/>
      </w:r>
      <w:r>
        <w:t xml:space="preserve"> On the other hand, equally pernicious tropes of noble indigenous toughness could be used to critique the relative softness of American youth. In an account about the lives of Inuit children, Frederick </w:t>
      </w:r>
      <w:proofErr w:type="spellStart"/>
      <w:r>
        <w:t>Shwatka</w:t>
      </w:r>
      <w:proofErr w:type="spellEnd"/>
      <w:r>
        <w:t xml:space="preserve"> noted, “these little savages expect their plays to be very rough, and a whack over the knuckles that would break up a whole base-ball game of white boys, only brings out an emphatic ‘</w:t>
      </w:r>
      <w:r>
        <w:rPr>
          <w:i/>
        </w:rPr>
        <w:t>I-</w:t>
      </w:r>
      <w:proofErr w:type="spellStart"/>
      <w:r>
        <w:rPr>
          <w:i/>
        </w:rPr>
        <w:t>yi</w:t>
      </w:r>
      <w:proofErr w:type="spellEnd"/>
      <w:r>
        <w:rPr>
          <w:i/>
        </w:rPr>
        <w:t>!</w:t>
      </w:r>
      <w:r>
        <w:t>’ (their ‘ouch!’) and the rough, harum-scarum game goes on.”</w:t>
      </w:r>
      <w:r>
        <w:rPr>
          <w:vertAlign w:val="superscript"/>
        </w:rPr>
        <w:footnoteReference w:id="96"/>
      </w:r>
    </w:p>
    <w:p w14:paraId="2BA9F575" w14:textId="77777777" w:rsidR="00750F77" w:rsidRDefault="00750F77" w:rsidP="006E3985">
      <w:pPr>
        <w:spacing w:line="360" w:lineRule="auto"/>
      </w:pPr>
    </w:p>
    <w:p w14:paraId="323A52DC" w14:textId="33FE2419" w:rsidR="00750F77" w:rsidRDefault="00F83B7B" w:rsidP="006E3985">
      <w:pPr>
        <w:spacing w:line="360" w:lineRule="auto"/>
      </w:pPr>
      <w:r>
        <w:t>In similar ways, b</w:t>
      </w:r>
      <w:r w:rsidR="00363887">
        <w:t xml:space="preserve">aseball was also framed as a potent force in international relations. In an account of his childhood for </w:t>
      </w:r>
      <w:r w:rsidR="00363887">
        <w:rPr>
          <w:i/>
        </w:rPr>
        <w:t>Wide Awake</w:t>
      </w:r>
      <w:r w:rsidR="00363887">
        <w:t>, Yan Phou Lee lamented, “The active sports of Chinese boys are few. There are hardly any sports, so-called, that develop the muscles and render a lad graceful and agile ...</w:t>
      </w:r>
      <w:r w:rsidR="000E1531">
        <w:t>.</w:t>
      </w:r>
      <w:r w:rsidR="00363887">
        <w:t xml:space="preserve"> At the best, he has nothing corresponding to </w:t>
      </w:r>
      <w:proofErr w:type="gramStart"/>
      <w:r w:rsidR="00363887">
        <w:t>base-ball</w:t>
      </w:r>
      <w:proofErr w:type="gramEnd"/>
      <w:r w:rsidR="00363887">
        <w:t>.”</w:t>
      </w:r>
      <w:r w:rsidR="00363887">
        <w:rPr>
          <w:vertAlign w:val="superscript"/>
        </w:rPr>
        <w:footnoteReference w:id="97"/>
      </w:r>
      <w:r w:rsidR="00363887">
        <w:t xml:space="preserve"> In a similar article for </w:t>
      </w:r>
      <w:r w:rsidR="00CB618F">
        <w:rPr>
          <w:i/>
        </w:rPr>
        <w:t>St. Nicholas</w:t>
      </w:r>
      <w:r w:rsidR="00363887">
        <w:t xml:space="preserve">, he was even more partial. Having described a Chinese ball game as “a substitute for base-ball </w:t>
      </w:r>
      <w:r w:rsidR="00407CB7">
        <w:t>–</w:t>
      </w:r>
      <w:r w:rsidR="00363887">
        <w:t xml:space="preserve"> a sorry apology it must be admitted”, he </w:t>
      </w:r>
      <w:r w:rsidR="00223E9E">
        <w:t>noted</w:t>
      </w:r>
      <w:r w:rsidR="00363887">
        <w:t xml:space="preserve"> that it would elicit only “scorn from a Yankee lad.” He ends with a colonialist exhortation: “It would not be a bad idea for some young base-ball enthusiast to go to China and teach the boys there the American game.”</w:t>
      </w:r>
      <w:r w:rsidR="00363887">
        <w:rPr>
          <w:vertAlign w:val="superscript"/>
        </w:rPr>
        <w:footnoteReference w:id="98"/>
      </w:r>
      <w:r w:rsidR="00363887">
        <w:t xml:space="preserve"> An account of Fourth of July celebrations at an American boarding school in Turkey described some boys who had done just that. After a description of the “dismal” and “monotonous” school lives of most Turkish children, the narrator turns approvingly to the sights that met her at Roberts College in Constantinople. In particular, she focuses on a group of “straight-browed, square-faced, strong-shouldered fellows ... natives of the Balkan ranges and rugged plains of Bulgaria” who stood out in comparison to the other ethnic types she identified and catalogued. Not uncoincidentally, the “dignity” and “freedom of motion” of these boys was demonstrated in “a pitched game of base-ball with some American boys.” </w:t>
      </w:r>
      <w:r w:rsidR="00E27129">
        <w:t>T</w:t>
      </w:r>
      <w:r w:rsidR="00363887">
        <w:t>he import of this exposure to baseball</w:t>
      </w:r>
      <w:r w:rsidR="00FF0351">
        <w:t xml:space="preserve"> and its </w:t>
      </w:r>
      <w:proofErr w:type="gramStart"/>
      <w:r w:rsidR="00FF0351">
        <w:t>soft-power</w:t>
      </w:r>
      <w:proofErr w:type="gramEnd"/>
      <w:r w:rsidR="00363887">
        <w:t xml:space="preserve"> was</w:t>
      </w:r>
      <w:r w:rsidR="00407CB7">
        <w:t xml:space="preserve"> apparently</w:t>
      </w:r>
      <w:r w:rsidR="00363887">
        <w:t xml:space="preserve"> profound. As the narrator concluded her sketch: “among those boys who feasted with us, played base-ball, and cheered so heartily, the Bulgarians whom we noticed afterwards became prominent men in their own country.”</w:t>
      </w:r>
      <w:r w:rsidR="00363887">
        <w:rPr>
          <w:vertAlign w:val="superscript"/>
        </w:rPr>
        <w:footnoteReference w:id="99"/>
      </w:r>
      <w:r w:rsidR="00363887">
        <w:t xml:space="preserve"> </w:t>
      </w:r>
    </w:p>
    <w:p w14:paraId="02899519" w14:textId="77777777" w:rsidR="00750F77" w:rsidRDefault="00750F77" w:rsidP="006E3985">
      <w:pPr>
        <w:spacing w:line="360" w:lineRule="auto"/>
      </w:pPr>
    </w:p>
    <w:p w14:paraId="73298505" w14:textId="11353B25" w:rsidR="00750F77" w:rsidRDefault="00363887" w:rsidP="006E3985">
      <w:pPr>
        <w:spacing w:line="360" w:lineRule="auto"/>
      </w:pPr>
      <w:r>
        <w:lastRenderedPageBreak/>
        <w:t>One story about a young American boy living in India began simply, “The only white boy within a hundred miles! No playmates for baseball ... Poor fellow! How very lonesome he must have been!”</w:t>
      </w:r>
      <w:r>
        <w:rPr>
          <w:vertAlign w:val="superscript"/>
        </w:rPr>
        <w:footnoteReference w:id="100"/>
      </w:r>
      <w:r>
        <w:t xml:space="preserve"> Its explicit yoking of baseball and whiteness was a rare but telling one. Less visible in these magazines than either female American baseball players or children from other countries were Black American children. As Fern Kory has put it, in terms that also apply to its peer magazines, “the racist assumptions of the writers and editors of </w:t>
      </w:r>
      <w:r w:rsidR="00CB618F">
        <w:rPr>
          <w:i/>
        </w:rPr>
        <w:t>St. Nicholas</w:t>
      </w:r>
      <w:r>
        <w:t xml:space="preserve">” meant that “African American child characters are almost </w:t>
      </w:r>
      <w:proofErr w:type="spellStart"/>
      <w:r>
        <w:t>nonexistent</w:t>
      </w:r>
      <w:proofErr w:type="spellEnd"/>
      <w:r>
        <w:t xml:space="preserve"> and African American adults function as features of the settings in which white American children act.”</w:t>
      </w:r>
      <w:r>
        <w:rPr>
          <w:vertAlign w:val="superscript"/>
        </w:rPr>
        <w:footnoteReference w:id="101"/>
      </w:r>
      <w:r>
        <w:t xml:space="preserve"> Equally tellingly, the results of the 1898 poll of children’s favourite play activities were exclusively the responses of white children; while McGhee also polled 3000 Black children, their results were not tabulated and are lost to us.</w:t>
      </w:r>
      <w:r>
        <w:rPr>
          <w:vertAlign w:val="superscript"/>
        </w:rPr>
        <w:footnoteReference w:id="102"/>
      </w:r>
      <w:r>
        <w:t xml:space="preserve"> This </w:t>
      </w:r>
      <w:r w:rsidR="006F78F2">
        <w:t xml:space="preserve">simultaneous </w:t>
      </w:r>
      <w:r>
        <w:t xml:space="preserve">segregation and marginalisation of Black children’s experiences of childhood were fully reflected in the pages of these </w:t>
      </w:r>
      <w:r w:rsidR="00223E9E">
        <w:t>periodicals</w:t>
      </w:r>
      <w:r>
        <w:t xml:space="preserve">. Whilst Black American children clearly played baseball like their white peers, their relationship to the national game was fully ignored in the pages of children’s magazines. By the early twentieth century, </w:t>
      </w:r>
      <w:r w:rsidR="00CB618F">
        <w:rPr>
          <w:i/>
        </w:rPr>
        <w:t>St. Nicholas</w:t>
      </w:r>
      <w:r>
        <w:t xml:space="preserve"> was even explicitly disavowing any kind of meaningful connection between Black children and modern American sporting culture, complete with a series of racist tropes (and equally problematic illustrations by E. W. Kemble, the illustrator of </w:t>
      </w:r>
      <w:r>
        <w:rPr>
          <w:i/>
        </w:rPr>
        <w:t>Adventures of Huckleberry Finn</w:t>
      </w:r>
      <w:r>
        <w:t>):</w:t>
      </w:r>
    </w:p>
    <w:p w14:paraId="1AE0FFB7" w14:textId="183A3110" w:rsidR="00750F77" w:rsidRDefault="00363887" w:rsidP="006E3985">
      <w:pPr>
        <w:spacing w:line="360" w:lineRule="auto"/>
        <w:ind w:left="720"/>
      </w:pPr>
      <w:r>
        <w:t xml:space="preserve">The little negro girls and boys who live in the towns or on the plantations of the South enjoy their games and sports quite as heartily as do any healthy and hearty girls and boys; but the conditions of their life are not such as to make them acquainted with the sports usually enjoyed by other children. If you were to ask one of these curly-haired, black-faced </w:t>
      </w:r>
      <w:proofErr w:type="gramStart"/>
      <w:r>
        <w:t>school-children</w:t>
      </w:r>
      <w:proofErr w:type="gramEnd"/>
      <w:r>
        <w:t xml:space="preserve"> of the South what games he played, he would be very likely to roll the whites of his eyes at you, and his teeth would glisten, while he answered, </w:t>
      </w:r>
      <w:r w:rsidR="00223E9E">
        <w:t>“</w:t>
      </w:r>
      <w:r>
        <w:t xml:space="preserve">Don't play any, </w:t>
      </w:r>
      <w:proofErr w:type="spellStart"/>
      <w:r>
        <w:t>sah</w:t>
      </w:r>
      <w:proofErr w:type="spellEnd"/>
      <w:r>
        <w:t>!</w:t>
      </w:r>
      <w:r w:rsidR="00223E9E">
        <w:t>”</w:t>
      </w:r>
      <w:r>
        <w:t xml:space="preserve"> If you should push your inquiries, you might get him to say “</w:t>
      </w:r>
      <w:proofErr w:type="spellStart"/>
      <w:r>
        <w:t>Yaas</w:t>
      </w:r>
      <w:proofErr w:type="spellEnd"/>
      <w:r>
        <w:t xml:space="preserve">, </w:t>
      </w:r>
      <w:proofErr w:type="spellStart"/>
      <w:r>
        <w:t>sah</w:t>
      </w:r>
      <w:proofErr w:type="spellEnd"/>
      <w:r>
        <w:t xml:space="preserve">!” to the questions whether he played baseball, tag, and other games. But it is the </w:t>
      </w:r>
      <w:proofErr w:type="spellStart"/>
      <w:r>
        <w:t>colored</w:t>
      </w:r>
      <w:proofErr w:type="spellEnd"/>
      <w:r>
        <w:t xml:space="preserve"> child's misfortune that he cannot reply more fully to such questions. His list of games is really very short.</w:t>
      </w:r>
      <w:r>
        <w:rPr>
          <w:vertAlign w:val="superscript"/>
        </w:rPr>
        <w:footnoteReference w:id="103"/>
      </w:r>
    </w:p>
    <w:p w14:paraId="44BED371" w14:textId="77777777" w:rsidR="00750F77" w:rsidRDefault="00750F77" w:rsidP="006E3985">
      <w:pPr>
        <w:spacing w:line="360" w:lineRule="auto"/>
      </w:pPr>
    </w:p>
    <w:p w14:paraId="67C26639" w14:textId="1C5D8C68" w:rsidR="00750F77" w:rsidRDefault="00363887" w:rsidP="006E3985">
      <w:pPr>
        <w:spacing w:line="360" w:lineRule="auto"/>
      </w:pPr>
      <w:r>
        <w:t xml:space="preserve">Yet as even that article hinted, Black Americans played baseball throughout the nineteenth century. As the professional game took </w:t>
      </w:r>
      <w:r w:rsidR="00D26791">
        <w:t>shape</w:t>
      </w:r>
      <w:r>
        <w:t xml:space="preserve">, </w:t>
      </w:r>
      <w:proofErr w:type="gramStart"/>
      <w:r>
        <w:t>a number of</w:t>
      </w:r>
      <w:proofErr w:type="gramEnd"/>
      <w:r>
        <w:t xml:space="preserve"> Black players tenaciously clung</w:t>
      </w:r>
      <w:r w:rsidR="00407CB7">
        <w:t xml:space="preserve"> to</w:t>
      </w:r>
      <w:r>
        <w:t xml:space="preserve"> a culture which Jules </w:t>
      </w:r>
      <w:proofErr w:type="spellStart"/>
      <w:r>
        <w:t>Tygiel</w:t>
      </w:r>
      <w:proofErr w:type="spellEnd"/>
      <w:r>
        <w:t xml:space="preserve"> has described as “a composite of grudging acceptance, discrimination, physical abuse, and, ultimately, exclusion.”</w:t>
      </w:r>
      <w:r>
        <w:rPr>
          <w:vertAlign w:val="superscript"/>
        </w:rPr>
        <w:footnoteReference w:id="104"/>
      </w:r>
      <w:r>
        <w:t xml:space="preserve"> The first organised baseball league, founded in 1867, was explicitly segregationist. After its collapse, Black players </w:t>
      </w:r>
      <w:r w:rsidR="00407CB7">
        <w:t>–</w:t>
      </w:r>
      <w:r>
        <w:t xml:space="preserve"> “as many as two dozen” </w:t>
      </w:r>
      <w:r w:rsidR="00407CB7">
        <w:t>–</w:t>
      </w:r>
      <w:r>
        <w:t xml:space="preserve"> claimed a place on minor and major league teams in the late 1870s and 1880s.</w:t>
      </w:r>
      <w:r>
        <w:rPr>
          <w:vertAlign w:val="superscript"/>
        </w:rPr>
        <w:footnoteReference w:id="105"/>
      </w:r>
      <w:r>
        <w:t xml:space="preserve"> Such integration was temporary, however, and by 1892 “the </w:t>
      </w:r>
      <w:proofErr w:type="spellStart"/>
      <w:r>
        <w:t>color</w:t>
      </w:r>
      <w:proofErr w:type="spellEnd"/>
      <w:r>
        <w:t xml:space="preserve"> line was firmly in place” and “the national pastime was a Jim Crow enterprise.”</w:t>
      </w:r>
      <w:r>
        <w:rPr>
          <w:vertAlign w:val="superscript"/>
        </w:rPr>
        <w:footnoteReference w:id="106"/>
      </w:r>
      <w:r>
        <w:t xml:space="preserve"> Yet whilst exiled from the minor and major leagues, Black baseball players formed their own teams </w:t>
      </w:r>
      <w:r w:rsidR="00407CB7">
        <w:t>–</w:t>
      </w:r>
      <w:r>
        <w:t xml:space="preserve"> institutions which, in </w:t>
      </w:r>
      <w:proofErr w:type="spellStart"/>
      <w:r>
        <w:t>Tygiel’s</w:t>
      </w:r>
      <w:proofErr w:type="spellEnd"/>
      <w:r>
        <w:t xml:space="preserve"> terms, “became an important component of black culture ... a vital, vibrant, and often innovative alternative for those excluded from the dominant American institutions.”</w:t>
      </w:r>
      <w:r>
        <w:rPr>
          <w:vertAlign w:val="superscript"/>
        </w:rPr>
        <w:footnoteReference w:id="107"/>
      </w:r>
      <w:r>
        <w:t xml:space="preserve"> Almost without exception, that culture was excluded from children’s magazines. When Black American children finally got their own publication in 1920 </w:t>
      </w:r>
      <w:r w:rsidR="00813CEA">
        <w:t>–</w:t>
      </w:r>
      <w:r>
        <w:t xml:space="preserve"> </w:t>
      </w:r>
      <w:r>
        <w:rPr>
          <w:i/>
        </w:rPr>
        <w:t>The Brownies’ Book</w:t>
      </w:r>
      <w:r>
        <w:t>, founded by W. E. B. Du</w:t>
      </w:r>
      <w:r w:rsidR="00223E9E">
        <w:t xml:space="preserve"> </w:t>
      </w:r>
      <w:proofErr w:type="spellStart"/>
      <w:r>
        <w:t>Bois</w:t>
      </w:r>
      <w:proofErr w:type="spellEnd"/>
      <w:r>
        <w:t xml:space="preserve"> after the success of the children’s issues of </w:t>
      </w:r>
      <w:r>
        <w:rPr>
          <w:i/>
        </w:rPr>
        <w:t>The Crisis</w:t>
      </w:r>
      <w:r>
        <w:t xml:space="preserve"> </w:t>
      </w:r>
      <w:r w:rsidR="00813CEA">
        <w:t>–</w:t>
      </w:r>
      <w:r>
        <w:t xml:space="preserve"> baseball h</w:t>
      </w:r>
      <w:r w:rsidR="006F6EA1">
        <w:t>eld</w:t>
      </w:r>
      <w:r>
        <w:t xml:space="preserve"> a place in its pages. In a section of the magazine dedicated to profiling its young readers, thirteen year old David Martin from New York was lauded for his prodigal violin playing, but also because he “holds the enviable position of </w:t>
      </w:r>
      <w:r w:rsidR="00407CB7">
        <w:t>‘</w:t>
      </w:r>
      <w:r>
        <w:t>captain</w:t>
      </w:r>
      <w:r w:rsidR="00407CB7">
        <w:t>’</w:t>
      </w:r>
      <w:r>
        <w:t xml:space="preserve"> of the baseball team in his </w:t>
      </w:r>
      <w:proofErr w:type="spellStart"/>
      <w:r>
        <w:t>neighborhood</w:t>
      </w:r>
      <w:proofErr w:type="spellEnd"/>
      <w:r>
        <w:t>.”</w:t>
      </w:r>
      <w:r>
        <w:rPr>
          <w:vertAlign w:val="superscript"/>
        </w:rPr>
        <w:footnoteReference w:id="108"/>
      </w:r>
      <w:r>
        <w:t xml:space="preserve"> Eugene Mars Martin was also featured in the magazine as a talented young musician, but “</w:t>
      </w:r>
      <w:r>
        <w:rPr>
          <w:highlight w:val="white"/>
        </w:rPr>
        <w:t xml:space="preserve">best of all, he is the champion pitcher on the </w:t>
      </w:r>
      <w:proofErr w:type="spellStart"/>
      <w:r>
        <w:rPr>
          <w:highlight w:val="white"/>
        </w:rPr>
        <w:t>Neighborhood</w:t>
      </w:r>
      <w:proofErr w:type="spellEnd"/>
      <w:r>
        <w:rPr>
          <w:highlight w:val="white"/>
        </w:rPr>
        <w:t xml:space="preserve"> Baseball Team!”</w:t>
      </w:r>
      <w:r>
        <w:rPr>
          <w:highlight w:val="white"/>
          <w:vertAlign w:val="superscript"/>
        </w:rPr>
        <w:footnoteReference w:id="109"/>
      </w:r>
      <w:r>
        <w:rPr>
          <w:highlight w:val="white"/>
        </w:rPr>
        <w:t xml:space="preserve"> In fiction, too, baseball featured as a part of Black children’s lives.</w:t>
      </w:r>
      <w:r>
        <w:t xml:space="preserve"> A little girl, looking for presents for a less fortunate friend, thinks about rifling through her brother’s things: “I might take one of his bats or baseball </w:t>
      </w:r>
      <w:proofErr w:type="spellStart"/>
      <w:r>
        <w:t>mits</w:t>
      </w:r>
      <w:proofErr w:type="spellEnd"/>
      <w:r>
        <w:t xml:space="preserve"> [sic]. He’d never miss them.”</w:t>
      </w:r>
      <w:r>
        <w:rPr>
          <w:vertAlign w:val="superscript"/>
        </w:rPr>
        <w:footnoteReference w:id="110"/>
      </w:r>
      <w:r>
        <w:t xml:space="preserve"> For good measure, the October 1921 issue of the magazine printed as a frontispiece a photograph of the baseball team of the Dupont Plant in Hopewell Virginia, making th</w:t>
      </w:r>
      <w:r w:rsidR="006F6EA1">
        <w:t>e wider</w:t>
      </w:r>
      <w:r>
        <w:t xml:space="preserve"> culture of Black sporting life visible</w:t>
      </w:r>
      <w:r w:rsidR="008C626A">
        <w:t xml:space="preserve"> to its </w:t>
      </w:r>
      <w:r w:rsidR="006F6EA1">
        <w:t xml:space="preserve">young </w:t>
      </w:r>
      <w:r w:rsidR="008C626A">
        <w:t>readers</w:t>
      </w:r>
      <w:r>
        <w:t>.</w:t>
      </w:r>
      <w:r>
        <w:rPr>
          <w:vertAlign w:val="superscript"/>
        </w:rPr>
        <w:footnoteReference w:id="111"/>
      </w:r>
    </w:p>
    <w:p w14:paraId="27D8802F" w14:textId="77777777" w:rsidR="00750F77" w:rsidRDefault="00750F77" w:rsidP="006E3985">
      <w:pPr>
        <w:spacing w:line="360" w:lineRule="auto"/>
      </w:pPr>
    </w:p>
    <w:p w14:paraId="37BA5EFF" w14:textId="77777777" w:rsidR="00750F77" w:rsidRDefault="00363887" w:rsidP="006E3985">
      <w:pPr>
        <w:spacing w:line="360" w:lineRule="auto"/>
      </w:pPr>
      <w:r>
        <w:t>A singular and very notable exception to the otherwise universally white vision of baseball that circulated in Gilded Age children’s magazines could be found</w:t>
      </w:r>
      <w:r w:rsidR="006F6EA1">
        <w:t xml:space="preserve"> </w:t>
      </w:r>
      <w:r>
        <w:t xml:space="preserve">in Noah </w:t>
      </w:r>
      <w:proofErr w:type="spellStart"/>
      <w:r>
        <w:t>Brooks’s</w:t>
      </w:r>
      <w:proofErr w:type="spellEnd"/>
      <w:r w:rsidR="006F6EA1">
        <w:t xml:space="preserve"> pioneering</w:t>
      </w:r>
      <w:r>
        <w:t xml:space="preserve"> </w:t>
      </w:r>
      <w:r>
        <w:rPr>
          <w:i/>
        </w:rPr>
        <w:t>The Fairport Nine</w:t>
      </w:r>
      <w:r w:rsidR="006F6EA1">
        <w:rPr>
          <w:iCs/>
        </w:rPr>
        <w:t>.</w:t>
      </w:r>
      <w:r>
        <w:t xml:space="preserve"> </w:t>
      </w:r>
      <w:r w:rsidR="006F6EA1">
        <w:t>Alongside helping to secure the imaginative links between baseball, nationalism,</w:t>
      </w:r>
      <w:r w:rsidR="00407CB7">
        <w:t xml:space="preserve"> and rural </w:t>
      </w:r>
      <w:r w:rsidR="006F6EA1">
        <w:t>nostalgi</w:t>
      </w:r>
      <w:r w:rsidR="00407CB7">
        <w:t>a</w:t>
      </w:r>
      <w:r w:rsidR="006F6EA1">
        <w:t xml:space="preserve">, Brooks’ serialised novel was striking in the way that it </w:t>
      </w:r>
      <w:r>
        <w:t xml:space="preserve">envisaged the game as a </w:t>
      </w:r>
      <w:r w:rsidR="00407CB7">
        <w:t>–</w:t>
      </w:r>
      <w:r>
        <w:t xml:space="preserve"> relative </w:t>
      </w:r>
      <w:r w:rsidR="00407CB7">
        <w:t>–</w:t>
      </w:r>
      <w:r>
        <w:t xml:space="preserve"> space of inclusivity that could cut across lines of race and class (though not</w:t>
      </w:r>
      <w:r w:rsidR="006F6EA1">
        <w:t xml:space="preserve"> quite</w:t>
      </w:r>
      <w:r w:rsidR="00407CB7">
        <w:t xml:space="preserve"> the boundaries of</w:t>
      </w:r>
      <w:r>
        <w:t xml:space="preserve"> gender). </w:t>
      </w:r>
      <w:proofErr w:type="gramStart"/>
      <w:r>
        <w:t>In particular, Brooks</w:t>
      </w:r>
      <w:proofErr w:type="gramEnd"/>
      <w:r>
        <w:t xml:space="preserve"> built his team around the friendship of two boys:</w:t>
      </w:r>
    </w:p>
    <w:p w14:paraId="03DB20E7" w14:textId="04D47BCB" w:rsidR="00750F77" w:rsidRDefault="00363887" w:rsidP="006E3985">
      <w:pPr>
        <w:spacing w:line="360" w:lineRule="auto"/>
        <w:ind w:left="720"/>
      </w:pPr>
      <w:r>
        <w:t xml:space="preserve">There is no aristocracy among real boys, and it was </w:t>
      </w:r>
      <w:proofErr w:type="gramStart"/>
      <w:r>
        <w:t>an evidence of this truth</w:t>
      </w:r>
      <w:proofErr w:type="gramEnd"/>
      <w:r>
        <w:t xml:space="preserve"> that Sam Black, who was the only negro boy in Fairport, was a crony of Billy Hetherington, whose father was the county judge, and had been to Congress. If any boy had a right to be </w:t>
      </w:r>
      <w:r w:rsidR="006E00D6">
        <w:t>“</w:t>
      </w:r>
      <w:r>
        <w:t>stuck up</w:t>
      </w:r>
      <w:r w:rsidR="006E00D6">
        <w:t>”</w:t>
      </w:r>
      <w:r>
        <w:t xml:space="preserve"> it was Billy, whose family held themselves very high in Fairport. But Billy never once thought of such a thing. If he had, his mates would have cut him at once, and he would have found himself alone in the village of boys. It was curious that the only black boy in the town should be Black by name. </w:t>
      </w:r>
      <w:proofErr w:type="gramStart"/>
      <w:r>
        <w:t>So</w:t>
      </w:r>
      <w:proofErr w:type="gramEnd"/>
      <w:r>
        <w:t xml:space="preserve"> Sam, who was a great </w:t>
      </w:r>
      <w:proofErr w:type="spellStart"/>
      <w:r>
        <w:t>favorite</w:t>
      </w:r>
      <w:proofErr w:type="spellEnd"/>
      <w:r>
        <w:t xml:space="preserve"> with his comrades, was usually called </w:t>
      </w:r>
      <w:r w:rsidR="006E00D6">
        <w:t>“</w:t>
      </w:r>
      <w:r>
        <w:t>Blackie,</w:t>
      </w:r>
      <w:r w:rsidR="006E00D6">
        <w:t>”</w:t>
      </w:r>
      <w:r>
        <w:t xml:space="preserve"> a term which carried with it no idea of contempt. Blackie was the best fellow of the boys of that generation.</w:t>
      </w:r>
      <w:r>
        <w:rPr>
          <w:vertAlign w:val="superscript"/>
        </w:rPr>
        <w:footnoteReference w:id="112"/>
      </w:r>
    </w:p>
    <w:p w14:paraId="0889DD3E" w14:textId="27755F85" w:rsidR="00750F77" w:rsidRDefault="00363887" w:rsidP="006E3985">
      <w:pPr>
        <w:spacing w:line="360" w:lineRule="auto"/>
      </w:pPr>
      <w:r>
        <w:t>It is</w:t>
      </w:r>
      <w:r w:rsidR="00652AD3">
        <w:t>, perhaps,</w:t>
      </w:r>
      <w:r>
        <w:t xml:space="preserve"> also symbolically telling that the great rivals of the Fairport Nine are the White Bears (known for their “rough mischief”).</w:t>
      </w:r>
      <w:r>
        <w:rPr>
          <w:vertAlign w:val="superscript"/>
        </w:rPr>
        <w:footnoteReference w:id="113"/>
      </w:r>
      <w:r>
        <w:t xml:space="preserve"> While the White Bears win the first championship match, the book ends with the integrated Fairport Nine victorious on the next Fourth of July </w:t>
      </w:r>
      <w:r w:rsidR="00407CB7">
        <w:t>–</w:t>
      </w:r>
      <w:r>
        <w:t xml:space="preserve"> and concludes as it began, with a moment of friendship that crosses racial boundaries: “Billy Hetherington, who lagged behind with the pennant proudly waving over his head, whispered to Blackie, ‘I don't believe in luck, but I felt it in my bones that the base-ball championship belonged to the Fairport Nine.’”</w:t>
      </w:r>
      <w:r>
        <w:rPr>
          <w:vertAlign w:val="superscript"/>
        </w:rPr>
        <w:footnoteReference w:id="114"/>
      </w:r>
      <w:r>
        <w:t xml:space="preserve"> If the girls of Fairport don’t apparently play the game, they are at least constant and enthusiastic spectators: Annie Martin, sister of the Fairport pitcher, declares vigorously: “I shall be in a fever until I see those horrid White Bears so awfully beaten that they will never dare to say ‘base-ball’ again as long as they live.”</w:t>
      </w:r>
      <w:r>
        <w:rPr>
          <w:vertAlign w:val="superscript"/>
        </w:rPr>
        <w:footnoteReference w:id="115"/>
      </w:r>
    </w:p>
    <w:p w14:paraId="2BF94427" w14:textId="6DB63CE6" w:rsidR="005035B9" w:rsidRDefault="006C46E9" w:rsidP="006E3985">
      <w:pPr>
        <w:keepNext/>
        <w:spacing w:line="360" w:lineRule="auto"/>
        <w:jc w:val="center"/>
      </w:pPr>
      <w:r>
        <w:rPr>
          <w:noProof/>
          <w:lang w:val="en-US" w:eastAsia="en-US"/>
        </w:rPr>
        <w:lastRenderedPageBreak/>
        <w:drawing>
          <wp:inline distT="0" distB="0" distL="0" distR="0" wp14:anchorId="034B3F6A" wp14:editId="58BFDC68">
            <wp:extent cx="5943600" cy="491337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4.tiff"/>
                    <pic:cNvPicPr/>
                  </pic:nvPicPr>
                  <pic:blipFill>
                    <a:blip r:embed="rId11">
                      <a:extLst>
                        <a:ext uri="{28A0092B-C50C-407E-A947-70E740481C1C}">
                          <a14:useLocalDpi xmlns:a14="http://schemas.microsoft.com/office/drawing/2010/main" val="0"/>
                        </a:ext>
                      </a:extLst>
                    </a:blip>
                    <a:stretch>
                      <a:fillRect/>
                    </a:stretch>
                  </pic:blipFill>
                  <pic:spPr>
                    <a:xfrm>
                      <a:off x="0" y="0"/>
                      <a:ext cx="5943600" cy="4913376"/>
                    </a:xfrm>
                    <a:prstGeom prst="rect">
                      <a:avLst/>
                    </a:prstGeom>
                  </pic:spPr>
                </pic:pic>
              </a:graphicData>
            </a:graphic>
          </wp:inline>
        </w:drawing>
      </w:r>
    </w:p>
    <w:p w14:paraId="14B86197" w14:textId="77777777" w:rsidR="00750F77" w:rsidRDefault="005035B9" w:rsidP="006E3985">
      <w:pPr>
        <w:pStyle w:val="Caption"/>
        <w:spacing w:line="360" w:lineRule="auto"/>
        <w:jc w:val="center"/>
        <w:outlineLvl w:val="0"/>
      </w:pPr>
      <w:r>
        <w:t xml:space="preserve">Figure </w:t>
      </w:r>
      <w:r>
        <w:fldChar w:fldCharType="begin"/>
      </w:r>
      <w:r>
        <w:instrText xml:space="preserve"> SEQ Figure \* ARABIC </w:instrText>
      </w:r>
      <w:r>
        <w:fldChar w:fldCharType="separate"/>
      </w:r>
      <w:r w:rsidR="005E7FA1">
        <w:rPr>
          <w:noProof/>
        </w:rPr>
        <w:t>4</w:t>
      </w:r>
      <w:r>
        <w:fldChar w:fldCharType="end"/>
      </w:r>
      <w:r>
        <w:t xml:space="preserve">: </w:t>
      </w:r>
      <w:r w:rsidRPr="00E15E0E">
        <w:t xml:space="preserve">“The Great Match”, from Noah Brooks, “The Fairport Nine”, </w:t>
      </w:r>
      <w:r w:rsidR="00CB618F">
        <w:t>St. Nicholas</w:t>
      </w:r>
      <w:r w:rsidRPr="00E15E0E">
        <w:t xml:space="preserve"> Magazine (May 1880), 569.</w:t>
      </w:r>
    </w:p>
    <w:p w14:paraId="00849408" w14:textId="77777777" w:rsidR="00750F77" w:rsidRDefault="00750F77" w:rsidP="006E3985">
      <w:pPr>
        <w:spacing w:line="360" w:lineRule="auto"/>
      </w:pPr>
    </w:p>
    <w:p w14:paraId="792FB6E4" w14:textId="56A53123" w:rsidR="006D5F3D" w:rsidRDefault="00363887" w:rsidP="006E3985">
      <w:pPr>
        <w:spacing w:line="360" w:lineRule="auto"/>
      </w:pPr>
      <w:r>
        <w:t>Yet</w:t>
      </w:r>
      <w:r w:rsidR="0045462D">
        <w:t xml:space="preserve"> even</w:t>
      </w:r>
      <w:r>
        <w:t xml:space="preserve"> </w:t>
      </w:r>
      <w:proofErr w:type="spellStart"/>
      <w:r>
        <w:t>Brooks’s</w:t>
      </w:r>
      <w:proofErr w:type="spellEnd"/>
      <w:r>
        <w:t xml:space="preserve"> </w:t>
      </w:r>
      <w:r w:rsidR="0045462D">
        <w:t xml:space="preserve">limited </w:t>
      </w:r>
      <w:r>
        <w:t>vision</w:t>
      </w:r>
      <w:r w:rsidR="006F6EA1">
        <w:t>, published just as the professional game was experiencing a rare moment of integration,</w:t>
      </w:r>
      <w:r>
        <w:t xml:space="preserve"> was a rare one</w:t>
      </w:r>
      <w:r w:rsidR="005035B9">
        <w:t>;</w:t>
      </w:r>
      <w:r>
        <w:t xml:space="preserve"> </w:t>
      </w:r>
      <w:r w:rsidR="005035B9">
        <w:t>it</w:t>
      </w:r>
      <w:r>
        <w:t xml:space="preserve"> represents a </w:t>
      </w:r>
      <w:r w:rsidR="0045462D">
        <w:t>glimpse</w:t>
      </w:r>
      <w:r>
        <w:t xml:space="preserve"> of the inclusive possibilities of baseball that w</w:t>
      </w:r>
      <w:r w:rsidR="0045462D">
        <w:t>ere</w:t>
      </w:r>
      <w:r>
        <w:t xml:space="preserve"> essentially absent from children’s magazines in the late nineteenth century.</w:t>
      </w:r>
      <w:r w:rsidR="007B1ECB">
        <w:t xml:space="preserve"> </w:t>
      </w:r>
      <w:r w:rsidR="007B1ECB" w:rsidRPr="007B1ECB">
        <w:rPr>
          <w:color w:val="000000"/>
        </w:rPr>
        <w:t xml:space="preserve">The only other </w:t>
      </w:r>
      <w:r w:rsidR="006F6EA1" w:rsidRPr="007B1ECB">
        <w:rPr>
          <w:color w:val="000000"/>
        </w:rPr>
        <w:t>sight</w:t>
      </w:r>
      <w:r w:rsidR="007B1ECB" w:rsidRPr="007B1ECB">
        <w:rPr>
          <w:color w:val="000000"/>
        </w:rPr>
        <w:t xml:space="preserve"> of Black baseball players</w:t>
      </w:r>
      <w:r w:rsidR="007B1ECB">
        <w:rPr>
          <w:color w:val="000000"/>
        </w:rPr>
        <w:t xml:space="preserve"> in their pages</w:t>
      </w:r>
      <w:r w:rsidR="007B1ECB" w:rsidRPr="007B1ECB">
        <w:rPr>
          <w:color w:val="000000"/>
        </w:rPr>
        <w:t xml:space="preserve"> was a racist caricature in an issue of </w:t>
      </w:r>
      <w:r w:rsidR="007B1ECB" w:rsidRPr="007B1ECB">
        <w:rPr>
          <w:i/>
          <w:iCs/>
          <w:color w:val="000000"/>
        </w:rPr>
        <w:t>Harper’s Young People</w:t>
      </w:r>
      <w:r w:rsidR="007B1ECB" w:rsidRPr="007B1ECB">
        <w:rPr>
          <w:color w:val="000000"/>
        </w:rPr>
        <w:t>.</w:t>
      </w:r>
      <w:r w:rsidR="007B1ECB">
        <w:rPr>
          <w:rStyle w:val="FootnoteReference"/>
          <w:color w:val="000000"/>
        </w:rPr>
        <w:footnoteReference w:id="116"/>
      </w:r>
      <w:r w:rsidR="007B1ECB" w:rsidRPr="007B1ECB">
        <w:rPr>
          <w:color w:val="000000"/>
        </w:rPr>
        <w:t xml:space="preserve"> </w:t>
      </w:r>
      <w:r w:rsidR="007B1ECB">
        <w:t>At times</w:t>
      </w:r>
      <w:r>
        <w:t xml:space="preserve">, even whiteness and maleness weren’t necessarily qualifying attributes for the national game. In </w:t>
      </w:r>
      <w:r>
        <w:rPr>
          <w:i/>
        </w:rPr>
        <w:t>Harper’s Young People</w:t>
      </w:r>
      <w:r>
        <w:t xml:space="preserve">, H. C. </w:t>
      </w:r>
      <w:proofErr w:type="spellStart"/>
      <w:r>
        <w:t>Bunner</w:t>
      </w:r>
      <w:proofErr w:type="spellEnd"/>
      <w:r>
        <w:t xml:space="preserve"> told the story of “Dicky Dolliver”, a boy deemed irredeemably “</w:t>
      </w:r>
      <w:r>
        <w:rPr>
          <w:i/>
        </w:rPr>
        <w:t>queer</w:t>
      </w:r>
      <w:r>
        <w:t>” by his schoolmates:</w:t>
      </w:r>
      <w:r>
        <w:rPr>
          <w:i/>
        </w:rPr>
        <w:t xml:space="preserve"> </w:t>
      </w:r>
      <w:r>
        <w:t xml:space="preserve">“He was too absurdly fat and clumsy to join in our games, and we soon discovered that he had never done one of the </w:t>
      </w:r>
      <w:r>
        <w:lastRenderedPageBreak/>
        <w:t>many things that all boys do.” In particular, “he couldn</w:t>
      </w:r>
      <w:r w:rsidR="0045462D">
        <w:t>’</w:t>
      </w:r>
      <w:r>
        <w:t>t really be one of us at base-ball, or anything of that sort.” The story ends with</w:t>
      </w:r>
      <w:r w:rsidR="00407CB7">
        <w:t xml:space="preserve"> a mortified</w:t>
      </w:r>
      <w:r>
        <w:t xml:space="preserve"> Dolliver displayed in a sideshow as “the Champion Fat Boy of America” </w:t>
      </w:r>
      <w:r w:rsidR="00407CB7">
        <w:t>–</w:t>
      </w:r>
      <w:r>
        <w:t xml:space="preserve"> much to the amusement of his old school contemporaries.</w:t>
      </w:r>
      <w:r>
        <w:rPr>
          <w:vertAlign w:val="superscript"/>
        </w:rPr>
        <w:footnoteReference w:id="117"/>
      </w:r>
      <w:r w:rsidR="002E3899">
        <w:t xml:space="preserve"> </w:t>
      </w:r>
      <w:r w:rsidR="0029291E">
        <w:t xml:space="preserve">It was such marginalised figures </w:t>
      </w:r>
      <w:r w:rsidR="005035B9">
        <w:t>to whom</w:t>
      </w:r>
      <w:r w:rsidR="0029291E">
        <w:t xml:space="preserve"> poet Alice Wellington</w:t>
      </w:r>
      <w:r w:rsidR="00223E9E">
        <w:t xml:space="preserve"> Rollins</w:t>
      </w:r>
      <w:r w:rsidR="005035B9">
        <w:t xml:space="preserve"> gave some rare consideration in “The Boy Who Wasn’t There”, published in </w:t>
      </w:r>
      <w:r w:rsidR="005035B9">
        <w:rPr>
          <w:i/>
          <w:iCs/>
        </w:rPr>
        <w:t>Harper’s Young People</w:t>
      </w:r>
      <w:r w:rsidR="005035B9">
        <w:t xml:space="preserve"> in 1888. While listening to the distant shrieks of “delight” filtering through her window from a nearby baseball game, Rollins hears “a still small voice that is simply dumb […] the voice of the boy who couldn’t come”:</w:t>
      </w:r>
    </w:p>
    <w:p w14:paraId="36884DAE" w14:textId="77777777" w:rsidR="005035B9" w:rsidRDefault="005035B9" w:rsidP="006E3985">
      <w:pPr>
        <w:spacing w:line="360" w:lineRule="auto"/>
        <w:ind w:left="720"/>
      </w:pPr>
      <w:r>
        <w:t>[P]</w:t>
      </w:r>
      <w:proofErr w:type="spellStart"/>
      <w:r>
        <w:t>erhaps</w:t>
      </w:r>
      <w:proofErr w:type="spellEnd"/>
      <w:r>
        <w:t xml:space="preserve"> he was ill – a little cold</w:t>
      </w:r>
    </w:p>
    <w:p w14:paraId="2618CD2D" w14:textId="77777777" w:rsidR="005035B9" w:rsidRDefault="005035B9" w:rsidP="006E3985">
      <w:pPr>
        <w:spacing w:line="360" w:lineRule="auto"/>
        <w:ind w:left="720"/>
      </w:pPr>
      <w:r>
        <w:t>Or a feverish pulse; and the whole bright day</w:t>
      </w:r>
    </w:p>
    <w:p w14:paraId="2083FD55" w14:textId="77777777" w:rsidR="005035B9" w:rsidRDefault="005035B9" w:rsidP="006E3985">
      <w:pPr>
        <w:spacing w:line="360" w:lineRule="auto"/>
        <w:ind w:left="720"/>
      </w:pPr>
      <w:r>
        <w:t>Must be spent in the house with a grief untold,</w:t>
      </w:r>
    </w:p>
    <w:p w14:paraId="029A7263" w14:textId="77777777" w:rsidR="005035B9" w:rsidRDefault="005035B9" w:rsidP="006E3985">
      <w:pPr>
        <w:spacing w:line="360" w:lineRule="auto"/>
        <w:ind w:left="720"/>
      </w:pPr>
      <w:r>
        <w:t xml:space="preserve">Instead of out in the </w:t>
      </w:r>
      <w:proofErr w:type="gramStart"/>
      <w:r>
        <w:t>Park</w:t>
      </w:r>
      <w:proofErr w:type="gramEnd"/>
      <w:r>
        <w:t xml:space="preserve"> at play.</w:t>
      </w:r>
    </w:p>
    <w:p w14:paraId="7A22DE88" w14:textId="77777777" w:rsidR="005035B9" w:rsidRDefault="005035B9" w:rsidP="006E3985">
      <w:pPr>
        <w:spacing w:line="360" w:lineRule="auto"/>
        <w:ind w:left="720"/>
      </w:pPr>
    </w:p>
    <w:p w14:paraId="26C00BCF" w14:textId="77777777" w:rsidR="005035B9" w:rsidRDefault="005035B9" w:rsidP="006E3985">
      <w:pPr>
        <w:spacing w:line="360" w:lineRule="auto"/>
        <w:ind w:left="720"/>
      </w:pPr>
      <w:r>
        <w:t xml:space="preserve">Or perhaps he lived ’way ’way </w:t>
      </w:r>
      <w:proofErr w:type="gramStart"/>
      <w:r>
        <w:t>down town</w:t>
      </w:r>
      <w:proofErr w:type="gramEnd"/>
      <w:r>
        <w:t>,</w:t>
      </w:r>
    </w:p>
    <w:p w14:paraId="3091CD1B" w14:textId="77777777" w:rsidR="005035B9" w:rsidRDefault="005035B9" w:rsidP="006E3985">
      <w:pPr>
        <w:spacing w:line="360" w:lineRule="auto"/>
        <w:ind w:left="720"/>
      </w:pPr>
      <w:r>
        <w:t xml:space="preserve">Four or five miles from the lovely </w:t>
      </w:r>
      <w:proofErr w:type="gramStart"/>
      <w:r>
        <w:t>Park</w:t>
      </w:r>
      <w:proofErr w:type="gramEnd"/>
      <w:r>
        <w:t>,</w:t>
      </w:r>
    </w:p>
    <w:p w14:paraId="64765488" w14:textId="77777777" w:rsidR="005035B9" w:rsidRDefault="005035B9" w:rsidP="006E3985">
      <w:pPr>
        <w:spacing w:line="360" w:lineRule="auto"/>
        <w:ind w:left="720"/>
      </w:pPr>
      <w:r>
        <w:t xml:space="preserve">Too poor to ride it, up and down, </w:t>
      </w:r>
    </w:p>
    <w:p w14:paraId="2A95C970" w14:textId="77777777" w:rsidR="005035B9" w:rsidRPr="005035B9" w:rsidRDefault="005035B9" w:rsidP="006E3985">
      <w:pPr>
        <w:spacing w:line="360" w:lineRule="auto"/>
        <w:ind w:left="720"/>
      </w:pPr>
      <w:r>
        <w:t>While the uptown boys were out for a lark.</w:t>
      </w:r>
      <w:r>
        <w:rPr>
          <w:rStyle w:val="FootnoteReference"/>
        </w:rPr>
        <w:footnoteReference w:id="118"/>
      </w:r>
    </w:p>
    <w:p w14:paraId="4F5D93F8" w14:textId="77777777" w:rsidR="00FD1E4A" w:rsidRDefault="00FD1E4A" w:rsidP="006E3985">
      <w:pPr>
        <w:spacing w:line="360" w:lineRule="auto"/>
      </w:pPr>
    </w:p>
    <w:p w14:paraId="54027978" w14:textId="77777777" w:rsidR="005035B9" w:rsidRDefault="005E176F" w:rsidP="006E3985">
      <w:pPr>
        <w:spacing w:line="360" w:lineRule="auto"/>
        <w:jc w:val="center"/>
      </w:pPr>
      <w:r>
        <w:t>***</w:t>
      </w:r>
    </w:p>
    <w:p w14:paraId="0318034C" w14:textId="3477ABB9" w:rsidR="00C90084" w:rsidRPr="007B1ECB" w:rsidRDefault="008F389C" w:rsidP="00C90084">
      <w:pPr>
        <w:spacing w:line="360" w:lineRule="auto"/>
      </w:pPr>
      <w:r>
        <w:t>Even as early as the 1890s,</w:t>
      </w:r>
      <w:r w:rsidR="00574000">
        <w:t xml:space="preserve"> children’s magazines hinted that young American sporting culture was in flux again. As the protagonist of a story from </w:t>
      </w:r>
      <w:r w:rsidR="00574000" w:rsidRPr="00574000">
        <w:rPr>
          <w:i/>
          <w:iCs/>
        </w:rPr>
        <w:t>Harper’s Young People</w:t>
      </w:r>
      <w:r>
        <w:t xml:space="preserve"> </w:t>
      </w:r>
      <w:r w:rsidR="00574000">
        <w:t>put it, “baseball’s too tame for me. I like a regular good rough and tumble […] I wish the football season would come again.”</w:t>
      </w:r>
      <w:r w:rsidR="00574000">
        <w:rPr>
          <w:rStyle w:val="FootnoteReference"/>
        </w:rPr>
        <w:footnoteReference w:id="119"/>
      </w:r>
      <w:r w:rsidR="00574000">
        <w:t xml:space="preserve"> </w:t>
      </w:r>
      <w:r w:rsidR="00574000">
        <w:rPr>
          <w:i/>
          <w:iCs/>
        </w:rPr>
        <w:t>Wide Awake</w:t>
      </w:r>
      <w:r w:rsidR="00574000">
        <w:t xml:space="preserve"> also declared that – in colleges and universities at least – baseball had “lost much of its popularity, and had given way to foot-ball.”</w:t>
      </w:r>
      <w:r w:rsidR="00574000">
        <w:rPr>
          <w:rStyle w:val="FootnoteReference"/>
        </w:rPr>
        <w:footnoteReference w:id="120"/>
      </w:r>
      <w:r w:rsidR="00E66B95">
        <w:t xml:space="preserve"> Of course, baseball’s status as the national game, and its position in the lives of young Americans, was secure for a number of decades yet to come. </w:t>
      </w:r>
      <w:r w:rsidR="005E176F">
        <w:t>But</w:t>
      </w:r>
      <w:r w:rsidR="00E66B95">
        <w:t xml:space="preserve"> the arrival of football in the pages of children’s magazines was really evidence of the degree to which sporting culture had become normalised in the lives of young Americans. Baseball had been the harbinger, in the pages of these publications as much as </w:t>
      </w:r>
      <w:r w:rsidR="00E66B95">
        <w:lastRenderedPageBreak/>
        <w:t xml:space="preserve">on the field of play. </w:t>
      </w:r>
      <w:r w:rsidR="005E176F">
        <w:t>Perhaps m</w:t>
      </w:r>
      <w:r w:rsidR="00E66B95">
        <w:t>ore than any other source, children’s magazines reflect the churn of that process</w:t>
      </w:r>
      <w:r w:rsidR="005E176F">
        <w:t>;</w:t>
      </w:r>
      <w:r w:rsidR="00E66B95">
        <w:t xml:space="preserve"> the degree to which, as important</w:t>
      </w:r>
      <w:r w:rsidR="00407CB7">
        <w:t xml:space="preserve"> but neglected</w:t>
      </w:r>
      <w:r w:rsidR="00E66B95">
        <w:t xml:space="preserve"> cultural arbiters, </w:t>
      </w:r>
      <w:r w:rsidR="005E176F">
        <w:t>they actively helped to</w:t>
      </w:r>
      <w:r w:rsidR="00534467">
        <w:t xml:space="preserve"> mould and re</w:t>
      </w:r>
      <w:r w:rsidR="005E176F">
        <w:t xml:space="preserve">shape </w:t>
      </w:r>
      <w:r w:rsidR="00E66B95">
        <w:t>popular conceptions of the sport</w:t>
      </w:r>
      <w:r w:rsidR="005E176F">
        <w:t xml:space="preserve"> is remarkable</w:t>
      </w:r>
      <w:r w:rsidR="00E66B95">
        <w:t xml:space="preserve">. In ways that have hitherto been unacknowledged, the stories and articles contained in their pages, </w:t>
      </w:r>
      <w:r w:rsidR="00935434">
        <w:t>with</w:t>
      </w:r>
      <w:r w:rsidR="00E66B95">
        <w:t xml:space="preserve"> all their ambiguities, helped to establish a variety of persistent tropes about baseball. They were the direct precursors of a wealth of twentieth-century texts, in David </w:t>
      </w:r>
      <w:proofErr w:type="spellStart"/>
      <w:r w:rsidR="00E66B95">
        <w:t>Jenemann’s</w:t>
      </w:r>
      <w:proofErr w:type="spellEnd"/>
      <w:r w:rsidR="00E66B95">
        <w:t xml:space="preserve"> words, whose</w:t>
      </w:r>
      <w:r w:rsidR="00FD1E4A">
        <w:rPr>
          <w:bCs/>
        </w:rPr>
        <w:t xml:space="preserve"> “</w:t>
      </w:r>
      <w:r w:rsidR="00FD1E4A" w:rsidRPr="006F78F2">
        <w:rPr>
          <w:bCs/>
        </w:rPr>
        <w:t>rhetorical aim is to link baseball to discourses of American exceptionalism and purity</w:t>
      </w:r>
      <w:r w:rsidR="00FD1E4A">
        <w:rPr>
          <w:bCs/>
        </w:rPr>
        <w:t>.”</w:t>
      </w:r>
      <w:r w:rsidR="00FD1E4A">
        <w:rPr>
          <w:rStyle w:val="FootnoteReference"/>
          <w:bCs/>
        </w:rPr>
        <w:footnoteReference w:id="121"/>
      </w:r>
      <w:r w:rsidR="00FD1E4A" w:rsidRPr="006F78F2">
        <w:rPr>
          <w:bCs/>
        </w:rPr>
        <w:t xml:space="preserve"> </w:t>
      </w:r>
      <w:r w:rsidR="00E66B95">
        <w:rPr>
          <w:bCs/>
        </w:rPr>
        <w:t xml:space="preserve">To use Jules </w:t>
      </w:r>
      <w:proofErr w:type="spellStart"/>
      <w:r w:rsidR="00E66B95">
        <w:rPr>
          <w:bCs/>
        </w:rPr>
        <w:t>Tygiel’s</w:t>
      </w:r>
      <w:proofErr w:type="spellEnd"/>
      <w:r w:rsidR="00E66B95">
        <w:rPr>
          <w:bCs/>
        </w:rPr>
        <w:t xml:space="preserve"> terms, too, they were characteristic of a “fake nostalgia” that still surrounds depictions of baseball; they were also exemplars of the ways in which </w:t>
      </w:r>
      <w:r w:rsidR="00E66B95">
        <w:t>“values and attributes” were “grafted onto baseball after it became embedded in our culture.”</w:t>
      </w:r>
      <w:r w:rsidR="00E66B95">
        <w:rPr>
          <w:rStyle w:val="FootnoteReference"/>
        </w:rPr>
        <w:footnoteReference w:id="122"/>
      </w:r>
      <w:r w:rsidR="00E66B95">
        <w:rPr>
          <w:bCs/>
        </w:rPr>
        <w:t xml:space="preserve"> As such, the presence of baseball in the pages of these magazines tells us much about both the nascent national game and the worldview of these publications. As authors and editors attempted to promote a </w:t>
      </w:r>
      <w:r w:rsidR="0001685E">
        <w:rPr>
          <w:bCs/>
        </w:rPr>
        <w:t xml:space="preserve">persistent </w:t>
      </w:r>
      <w:r w:rsidR="00E66B95">
        <w:rPr>
          <w:bCs/>
        </w:rPr>
        <w:t xml:space="preserve">vision of </w:t>
      </w:r>
      <w:r w:rsidR="00667647">
        <w:rPr>
          <w:bCs/>
        </w:rPr>
        <w:t>bat and ball games</w:t>
      </w:r>
      <w:r w:rsidR="00E66B95">
        <w:rPr>
          <w:bCs/>
        </w:rPr>
        <w:t xml:space="preserve"> that was </w:t>
      </w:r>
      <w:proofErr w:type="spellStart"/>
      <w:r w:rsidR="00667647">
        <w:rPr>
          <w:bCs/>
        </w:rPr>
        <w:t>exceptionalist</w:t>
      </w:r>
      <w:proofErr w:type="spellEnd"/>
      <w:r w:rsidR="00667647">
        <w:rPr>
          <w:bCs/>
        </w:rPr>
        <w:t xml:space="preserve">, </w:t>
      </w:r>
      <w:r w:rsidR="00E66B95">
        <w:rPr>
          <w:bCs/>
        </w:rPr>
        <w:t>amateur,</w:t>
      </w:r>
      <w:r w:rsidR="007E2238">
        <w:rPr>
          <w:bCs/>
        </w:rPr>
        <w:t xml:space="preserve"> linked to physical and mental superiority,</w:t>
      </w:r>
      <w:r w:rsidR="00E66B95">
        <w:rPr>
          <w:bCs/>
        </w:rPr>
        <w:t xml:space="preserve"> </w:t>
      </w:r>
      <w:r w:rsidR="007E2238">
        <w:rPr>
          <w:bCs/>
        </w:rPr>
        <w:t>imaginatively</w:t>
      </w:r>
      <w:r w:rsidR="00223E9E">
        <w:rPr>
          <w:bCs/>
        </w:rPr>
        <w:t xml:space="preserve"> </w:t>
      </w:r>
      <w:r w:rsidR="00E66B95">
        <w:rPr>
          <w:bCs/>
        </w:rPr>
        <w:t>rural, patriotic, and the preserve of young white boys</w:t>
      </w:r>
      <w:r w:rsidR="00572334">
        <w:rPr>
          <w:bCs/>
        </w:rPr>
        <w:t xml:space="preserve"> from a certain social class</w:t>
      </w:r>
      <w:r w:rsidR="00E66B95">
        <w:rPr>
          <w:bCs/>
        </w:rPr>
        <w:t>, so it crystallised its sense of its</w:t>
      </w:r>
      <w:r w:rsidR="00AA4627">
        <w:rPr>
          <w:bCs/>
        </w:rPr>
        <w:t xml:space="preserve"> supposed</w:t>
      </w:r>
      <w:r w:rsidR="00E66B95">
        <w:rPr>
          <w:bCs/>
        </w:rPr>
        <w:t xml:space="preserve"> audience</w:t>
      </w:r>
      <w:r w:rsidR="00AA4627">
        <w:rPr>
          <w:bCs/>
        </w:rPr>
        <w:t xml:space="preserve"> and their </w:t>
      </w:r>
      <w:r w:rsidR="00572334">
        <w:rPr>
          <w:bCs/>
        </w:rPr>
        <w:t>shared</w:t>
      </w:r>
      <w:r w:rsidR="00AA4627">
        <w:rPr>
          <w:bCs/>
        </w:rPr>
        <w:t xml:space="preserve"> values</w:t>
      </w:r>
      <w:r w:rsidR="00E66B95">
        <w:rPr>
          <w:bCs/>
        </w:rPr>
        <w:t xml:space="preserve">. </w:t>
      </w:r>
      <w:r w:rsidR="0029291E">
        <w:t>Perhaps more than any other topic</w:t>
      </w:r>
      <w:r w:rsidR="00E66B95">
        <w:t xml:space="preserve"> in their pages</w:t>
      </w:r>
      <w:r w:rsidR="0029291E">
        <w:t>,</w:t>
      </w:r>
      <w:r w:rsidR="00E66B95">
        <w:t xml:space="preserve"> the boundaries of a</w:t>
      </w:r>
      <w:r w:rsidR="0029291E">
        <w:t xml:space="preserve"> baseball</w:t>
      </w:r>
      <w:r w:rsidR="00E66B95">
        <w:t xml:space="preserve"> diamond</w:t>
      </w:r>
      <w:r w:rsidR="0029291E">
        <w:t xml:space="preserve"> limned the </w:t>
      </w:r>
      <w:r w:rsidR="00E66B95">
        <w:t>borders</w:t>
      </w:r>
      <w:r w:rsidR="0029291E">
        <w:t xml:space="preserve"> of the imagined America created </w:t>
      </w:r>
      <w:r w:rsidR="00E66B95">
        <w:t xml:space="preserve">for the young readers of these </w:t>
      </w:r>
      <w:r w:rsidR="0029291E">
        <w:t>magazines.</w:t>
      </w:r>
    </w:p>
    <w:sectPr w:rsidR="00C90084" w:rsidRPr="007B1ECB">
      <w:footerReference w:type="even" r:id="rId12"/>
      <w:footerReference w:type="default" r:id="rId1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C2A6F" w14:textId="77777777" w:rsidR="004E6F31" w:rsidRDefault="004E6F31" w:rsidP="00E37F9B">
      <w:r>
        <w:separator/>
      </w:r>
    </w:p>
  </w:endnote>
  <w:endnote w:type="continuationSeparator" w:id="0">
    <w:p w14:paraId="150C3580" w14:textId="77777777" w:rsidR="004E6F31" w:rsidRDefault="004E6F31" w:rsidP="00E37F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FFDD5" w14:textId="77777777" w:rsidR="003B1C3B" w:rsidRDefault="003B1C3B" w:rsidP="003B1C3B">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47979B" w14:textId="77777777" w:rsidR="003B1C3B" w:rsidRDefault="003B1C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BED4" w14:textId="77777777" w:rsidR="003B1C3B" w:rsidRDefault="003B1C3B" w:rsidP="003B1C3B">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E00D6">
      <w:rPr>
        <w:rStyle w:val="PageNumber"/>
        <w:noProof/>
      </w:rPr>
      <w:t>30</w:t>
    </w:r>
    <w:r>
      <w:rPr>
        <w:rStyle w:val="PageNumber"/>
      </w:rPr>
      <w:fldChar w:fldCharType="end"/>
    </w:r>
  </w:p>
  <w:p w14:paraId="6DA9726D" w14:textId="77777777" w:rsidR="003B1C3B" w:rsidRDefault="003B1C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618E01" w14:textId="77777777" w:rsidR="004E6F31" w:rsidRDefault="004E6F31" w:rsidP="00E37F9B">
      <w:r>
        <w:separator/>
      </w:r>
    </w:p>
  </w:footnote>
  <w:footnote w:type="continuationSeparator" w:id="0">
    <w:p w14:paraId="4DE7E4C3" w14:textId="77777777" w:rsidR="004E6F31" w:rsidRDefault="004E6F31" w:rsidP="00E37F9B">
      <w:r>
        <w:continuationSeparator/>
      </w:r>
    </w:p>
  </w:footnote>
  <w:footnote w:id="1">
    <w:p w14:paraId="17D874A4" w14:textId="77777777" w:rsidR="003B1C3B" w:rsidRPr="00E12152" w:rsidRDefault="003B1C3B">
      <w:pPr>
        <w:pStyle w:val="FootnoteText"/>
      </w:pPr>
      <w:r>
        <w:rPr>
          <w:rStyle w:val="FootnoteReference"/>
        </w:rPr>
        <w:footnoteRef/>
      </w:r>
      <w:r>
        <w:t xml:space="preserve"> Charles Barnard, “Lacrosse”, </w:t>
      </w:r>
      <w:r>
        <w:rPr>
          <w:i/>
          <w:iCs/>
        </w:rPr>
        <w:t>St. Nicholas Magazine</w:t>
      </w:r>
      <w:r>
        <w:t xml:space="preserve"> (November 1880), 64-67, 64.</w:t>
      </w:r>
    </w:p>
  </w:footnote>
  <w:footnote w:id="2">
    <w:p w14:paraId="65FF80DB" w14:textId="7BDE30FA" w:rsidR="003B1C3B" w:rsidRPr="008C626A" w:rsidRDefault="003B1C3B" w:rsidP="00E37F9B">
      <w:pPr>
        <w:pStyle w:val="FootnoteText"/>
      </w:pPr>
      <w:r>
        <w:rPr>
          <w:rStyle w:val="FootnoteReference"/>
        </w:rPr>
        <w:footnoteRef/>
      </w:r>
      <w:r>
        <w:t xml:space="preserve"> Charles J. Foster, “Sports, Games, and Pastimes</w:t>
      </w:r>
      <w:r w:rsidR="00840DAA">
        <w:t>,”</w:t>
      </w:r>
      <w:r>
        <w:t xml:space="preserve"> </w:t>
      </w:r>
      <w:r>
        <w:rPr>
          <w:i/>
          <w:iCs/>
        </w:rPr>
        <w:t>Our Young Folks</w:t>
      </w:r>
      <w:r>
        <w:t xml:space="preserve"> (February 1867), 110-16, 110.</w:t>
      </w:r>
    </w:p>
  </w:footnote>
  <w:footnote w:id="3">
    <w:p w14:paraId="15FF4420" w14:textId="167E5607" w:rsidR="003B1C3B" w:rsidRPr="008C626A" w:rsidRDefault="003B1C3B" w:rsidP="00E37F9B">
      <w:pPr>
        <w:pStyle w:val="FootnoteText"/>
      </w:pPr>
      <w:r>
        <w:rPr>
          <w:rStyle w:val="FootnoteReference"/>
        </w:rPr>
        <w:footnoteRef/>
      </w:r>
      <w:r>
        <w:t xml:space="preserve"> Charles J. Foster, “Early Summer Sports: Base-ball and Cricket,” </w:t>
      </w:r>
      <w:r>
        <w:rPr>
          <w:i/>
          <w:iCs/>
        </w:rPr>
        <w:t>Our Young Folks</w:t>
      </w:r>
      <w:r>
        <w:t xml:space="preserve"> (May 1867), 304-10, 304.</w:t>
      </w:r>
    </w:p>
  </w:footnote>
  <w:footnote w:id="4">
    <w:p w14:paraId="7CE54F0C" w14:textId="63544C92" w:rsidR="003B1C3B" w:rsidRPr="008C626A" w:rsidRDefault="003B1C3B" w:rsidP="00E37F9B">
      <w:pPr>
        <w:pStyle w:val="FootnoteText"/>
      </w:pPr>
      <w:r>
        <w:rPr>
          <w:rStyle w:val="FootnoteReference"/>
        </w:rPr>
        <w:footnoteRef/>
      </w:r>
      <w:r>
        <w:t xml:space="preserve"> Foster, “Early Summer Sports,” 304.</w:t>
      </w:r>
    </w:p>
  </w:footnote>
  <w:footnote w:id="5">
    <w:p w14:paraId="04166DE2" w14:textId="77777777" w:rsidR="003B1C3B" w:rsidRPr="00377569" w:rsidRDefault="003B1C3B" w:rsidP="00E37F9B">
      <w:pPr>
        <w:pStyle w:val="FootnoteText"/>
      </w:pPr>
      <w:r>
        <w:rPr>
          <w:rStyle w:val="FootnoteReference"/>
        </w:rPr>
        <w:footnoteRef/>
      </w:r>
      <w:r>
        <w:t xml:space="preserve"> Clifford Putney, </w:t>
      </w:r>
      <w:r w:rsidRPr="00F15EBE">
        <w:rPr>
          <w:i/>
          <w:iCs/>
        </w:rPr>
        <w:t>Muscular Christianity: Manhood and Sports in Protestant America, 1880-1920</w:t>
      </w:r>
      <w:r>
        <w:t xml:space="preserve"> (Cambridge: Harvard University Press, 2001), 1, 12.</w:t>
      </w:r>
    </w:p>
  </w:footnote>
  <w:footnote w:id="6">
    <w:p w14:paraId="6B822794" w14:textId="2F31A4AF" w:rsidR="003B1C3B" w:rsidRPr="002A56B8" w:rsidRDefault="003B1C3B" w:rsidP="00E37F9B">
      <w:pPr>
        <w:pStyle w:val="FootnoteText"/>
      </w:pPr>
      <w:r>
        <w:rPr>
          <w:rStyle w:val="FootnoteReference"/>
        </w:rPr>
        <w:footnoteRef/>
      </w:r>
      <w:r>
        <w:t xml:space="preserve"> Derek </w:t>
      </w:r>
      <w:r w:rsidRPr="002A56B8">
        <w:t>Birley</w:t>
      </w:r>
      <w:r>
        <w:t xml:space="preserve">, </w:t>
      </w:r>
      <w:r>
        <w:rPr>
          <w:i/>
          <w:iCs/>
        </w:rPr>
        <w:t>A Social History of English Cricket</w:t>
      </w:r>
      <w:r>
        <w:t xml:space="preserve"> (London: </w:t>
      </w:r>
      <w:proofErr w:type="spellStart"/>
      <w:r>
        <w:t>Aurum</w:t>
      </w:r>
      <w:proofErr w:type="spellEnd"/>
      <w:r>
        <w:t xml:space="preserve"> Press, 2003), ix.</w:t>
      </w:r>
    </w:p>
  </w:footnote>
  <w:footnote w:id="7">
    <w:p w14:paraId="384567EC" w14:textId="22A453D7" w:rsidR="00763B47" w:rsidRPr="00763B47" w:rsidRDefault="00763B47">
      <w:pPr>
        <w:pStyle w:val="FootnoteText"/>
      </w:pPr>
      <w:r>
        <w:rPr>
          <w:rStyle w:val="FootnoteReference"/>
        </w:rPr>
        <w:footnoteRef/>
      </w:r>
      <w:r>
        <w:t xml:space="preserve"> Coll Thrush, </w:t>
      </w:r>
      <w:r>
        <w:rPr>
          <w:i/>
          <w:iCs/>
        </w:rPr>
        <w:t>Indigenous London: Native Travelers at the Heart of Empire</w:t>
      </w:r>
      <w:r>
        <w:t xml:space="preserve"> (New Haven: Yale University Press, 2016), 188.</w:t>
      </w:r>
    </w:p>
  </w:footnote>
  <w:footnote w:id="8">
    <w:p w14:paraId="7B35469B" w14:textId="77777777" w:rsidR="003B1C3B" w:rsidRPr="00964902" w:rsidRDefault="003B1C3B" w:rsidP="00E37F9B">
      <w:pPr>
        <w:pStyle w:val="FootnoteText"/>
      </w:pPr>
      <w:r w:rsidRPr="00964902">
        <w:rPr>
          <w:rStyle w:val="FootnoteReference"/>
        </w:rPr>
        <w:footnoteRef/>
      </w:r>
      <w:r w:rsidRPr="00964902">
        <w:t xml:space="preserve"> Thomas Hughes, </w:t>
      </w:r>
      <w:r w:rsidRPr="00964902">
        <w:rPr>
          <w:i/>
          <w:iCs/>
        </w:rPr>
        <w:t>Tom Brown’s School Days</w:t>
      </w:r>
      <w:r w:rsidRPr="00964902">
        <w:t xml:space="preserve"> (Cambridge: Macmillan &amp; Co., 1857), 394, 242. </w:t>
      </w:r>
    </w:p>
  </w:footnote>
  <w:footnote w:id="9">
    <w:p w14:paraId="45E2B39A" w14:textId="04FB162F" w:rsidR="003B1C3B" w:rsidRPr="00F52595" w:rsidRDefault="003B1C3B" w:rsidP="00E37F9B">
      <w:pPr>
        <w:pStyle w:val="FootnoteText"/>
      </w:pPr>
      <w:r w:rsidRPr="00964902">
        <w:rPr>
          <w:rStyle w:val="FootnoteReference"/>
        </w:rPr>
        <w:footnoteRef/>
      </w:r>
      <w:r w:rsidRPr="00964902">
        <w:t xml:space="preserve"> Thomas Wentworth Higgi</w:t>
      </w:r>
      <w:r>
        <w:t>nson, “Saints and their Bodies,”</w:t>
      </w:r>
      <w:r w:rsidRPr="00964902">
        <w:t xml:space="preserve"> </w:t>
      </w:r>
      <w:r w:rsidRPr="00964902">
        <w:rPr>
          <w:i/>
          <w:iCs/>
        </w:rPr>
        <w:t>The Atlantic Monthly</w:t>
      </w:r>
      <w:r w:rsidRPr="00964902">
        <w:t xml:space="preserve"> (March 1858), 582-93, 583, 587-88.</w:t>
      </w:r>
    </w:p>
  </w:footnote>
  <w:footnote w:id="10">
    <w:p w14:paraId="2510E833" w14:textId="07B3E3A0" w:rsidR="003B1C3B" w:rsidRPr="00F52595" w:rsidRDefault="003B1C3B" w:rsidP="00E37F9B">
      <w:pPr>
        <w:pStyle w:val="FootnoteText"/>
      </w:pPr>
      <w:r>
        <w:rPr>
          <w:rStyle w:val="FootnoteReference"/>
        </w:rPr>
        <w:footnoteRef/>
      </w:r>
      <w:r>
        <w:t xml:space="preserve"> Ibid., 593. </w:t>
      </w:r>
    </w:p>
  </w:footnote>
  <w:footnote w:id="11">
    <w:p w14:paraId="14A8AA6C" w14:textId="77777777" w:rsidR="003B1C3B" w:rsidRPr="00F52595" w:rsidRDefault="003B1C3B" w:rsidP="00E37F9B">
      <w:pPr>
        <w:pStyle w:val="FootnoteText"/>
      </w:pPr>
      <w:r>
        <w:rPr>
          <w:rStyle w:val="FootnoteReference"/>
        </w:rPr>
        <w:footnoteRef/>
      </w:r>
      <w:r>
        <w:t xml:space="preserve"> Warren Goldstein, </w:t>
      </w:r>
      <w:r>
        <w:rPr>
          <w:i/>
          <w:iCs/>
        </w:rPr>
        <w:t>Playing for Keeps: A History of Early Baseball</w:t>
      </w:r>
      <w:r>
        <w:t xml:space="preserve"> (Ithaca: Cornell University Press, 2009), 10.</w:t>
      </w:r>
    </w:p>
  </w:footnote>
  <w:footnote w:id="12">
    <w:p w14:paraId="259EA610" w14:textId="77777777" w:rsidR="003B1C3B" w:rsidRPr="00F52595" w:rsidRDefault="003B1C3B" w:rsidP="00E37F9B">
      <w:pPr>
        <w:pStyle w:val="FootnoteText"/>
      </w:pPr>
      <w:r>
        <w:rPr>
          <w:rStyle w:val="FootnoteReference"/>
        </w:rPr>
        <w:footnoteRef/>
      </w:r>
      <w:r>
        <w:t xml:space="preserve"> Steven A. </w:t>
      </w:r>
      <w:proofErr w:type="spellStart"/>
      <w:r>
        <w:t>Riess</w:t>
      </w:r>
      <w:proofErr w:type="spellEnd"/>
      <w:r>
        <w:t xml:space="preserve">, </w:t>
      </w:r>
      <w:r>
        <w:rPr>
          <w:i/>
          <w:iCs/>
        </w:rPr>
        <w:t>Touching Base: Professional Baseball and American Culture in the Progressive Era</w:t>
      </w:r>
      <w:r>
        <w:t xml:space="preserve"> (Urbana: University of Illinois Press, 1999), 4.</w:t>
      </w:r>
    </w:p>
  </w:footnote>
  <w:footnote w:id="13">
    <w:p w14:paraId="6FE3774E" w14:textId="42FF49D9" w:rsidR="003B1C3B" w:rsidRDefault="003B1C3B">
      <w:pPr>
        <w:pStyle w:val="FootnoteText"/>
      </w:pPr>
      <w:r>
        <w:rPr>
          <w:rStyle w:val="FootnoteReference"/>
        </w:rPr>
        <w:footnoteRef/>
      </w:r>
      <w:r>
        <w:t xml:space="preserve"> S. W. Pope, </w:t>
      </w:r>
      <w:r>
        <w:rPr>
          <w:i/>
          <w:iCs/>
        </w:rPr>
        <w:t>Patriotic Games: Sporting Traditions in the American Imagination, 1876-1926</w:t>
      </w:r>
      <w:r>
        <w:t xml:space="preserve"> (New York: Oxford University Press, 1997), 72.</w:t>
      </w:r>
    </w:p>
  </w:footnote>
  <w:footnote w:id="14">
    <w:p w14:paraId="52556976" w14:textId="77777777" w:rsidR="003B1C3B" w:rsidRPr="00F52595" w:rsidRDefault="003B1C3B" w:rsidP="00E37F9B">
      <w:pPr>
        <w:pStyle w:val="FootnoteText"/>
      </w:pPr>
      <w:r>
        <w:rPr>
          <w:rStyle w:val="FootnoteReference"/>
        </w:rPr>
        <w:footnoteRef/>
      </w:r>
      <w:r>
        <w:t xml:space="preserve"> Joseph L. Price, </w:t>
      </w:r>
      <w:r>
        <w:rPr>
          <w:i/>
          <w:iCs/>
        </w:rPr>
        <w:t>Rounding the Bases: Baseball and Religion in</w:t>
      </w:r>
      <w:r w:rsidRPr="00F15EBE">
        <w:rPr>
          <w:i/>
          <w:iCs/>
        </w:rPr>
        <w:t xml:space="preserve"> America </w:t>
      </w:r>
      <w:r>
        <w:t>(Macon: Mercer University Press, 2006), 20.</w:t>
      </w:r>
    </w:p>
  </w:footnote>
  <w:footnote w:id="15">
    <w:p w14:paraId="31BBAFCE" w14:textId="77777777" w:rsidR="003B1C3B" w:rsidRPr="00E37F9B" w:rsidRDefault="003B1C3B">
      <w:pPr>
        <w:pStyle w:val="FootnoteText"/>
      </w:pPr>
      <w:r>
        <w:rPr>
          <w:rStyle w:val="FootnoteReference"/>
        </w:rPr>
        <w:footnoteRef/>
      </w:r>
      <w:r>
        <w:t xml:space="preserve"> Henry Ward Beecher, </w:t>
      </w:r>
      <w:r>
        <w:rPr>
          <w:i/>
          <w:iCs/>
        </w:rPr>
        <w:t>Eyes and Ears</w:t>
      </w:r>
      <w:r>
        <w:t xml:space="preserve"> (Boston: Ticknor and Fields, 1862), 204-5.</w:t>
      </w:r>
    </w:p>
  </w:footnote>
  <w:footnote w:id="16">
    <w:p w14:paraId="7C9C37CB" w14:textId="58E96775" w:rsidR="00EC3C85" w:rsidRPr="00EC3C85" w:rsidRDefault="00EC3C85">
      <w:pPr>
        <w:pStyle w:val="FootnoteText"/>
      </w:pPr>
      <w:r>
        <w:rPr>
          <w:rStyle w:val="FootnoteReference"/>
        </w:rPr>
        <w:footnoteRef/>
      </w:r>
      <w:r>
        <w:t xml:space="preserve"> Robert </w:t>
      </w:r>
      <w:proofErr w:type="spellStart"/>
      <w:r>
        <w:t>Pruter</w:t>
      </w:r>
      <w:proofErr w:type="spellEnd"/>
      <w:r>
        <w:t xml:space="preserve">, “Youth Baseball in Chicago, 1868-1890: Not Always Sandlot Ball”, </w:t>
      </w:r>
      <w:r>
        <w:rPr>
          <w:i/>
          <w:iCs/>
        </w:rPr>
        <w:t>Journal of Sport History</w:t>
      </w:r>
      <w:r>
        <w:t>, 26:1 (Spring 1999), 1-28, 2.</w:t>
      </w:r>
    </w:p>
  </w:footnote>
  <w:footnote w:id="17">
    <w:p w14:paraId="085446CF" w14:textId="3F83CDBC" w:rsidR="003B1C3B" w:rsidRPr="00B857FC" w:rsidRDefault="003B1C3B">
      <w:pPr>
        <w:pStyle w:val="FootnoteText"/>
      </w:pPr>
      <w:r>
        <w:rPr>
          <w:rStyle w:val="FootnoteReference"/>
        </w:rPr>
        <w:footnoteRef/>
      </w:r>
      <w:r>
        <w:t xml:space="preserve"> Andy McCue, “19</w:t>
      </w:r>
      <w:r w:rsidRPr="00B857FC">
        <w:rPr>
          <w:vertAlign w:val="superscript"/>
        </w:rPr>
        <w:t>t</w:t>
      </w:r>
      <w:r>
        <w:rPr>
          <w:vertAlign w:val="superscript"/>
        </w:rPr>
        <w:t>h</w:t>
      </w:r>
      <w:r>
        <w:t xml:space="preserve">-Century Baseball Fiction: A Survey,” </w:t>
      </w:r>
      <w:r>
        <w:rPr>
          <w:i/>
          <w:iCs/>
        </w:rPr>
        <w:t>Base Ball: A Journal of the Early Game</w:t>
      </w:r>
      <w:r>
        <w:t xml:space="preserve">, </w:t>
      </w:r>
      <w:r w:rsidR="00C33FF8">
        <w:t xml:space="preserve">Volume 2, Issue </w:t>
      </w:r>
      <w:r>
        <w:t>1 (2008), 66-73.</w:t>
      </w:r>
    </w:p>
  </w:footnote>
  <w:footnote w:id="18">
    <w:p w14:paraId="242D25ED" w14:textId="77777777" w:rsidR="003B1C3B" w:rsidRPr="0045462D" w:rsidRDefault="003B1C3B">
      <w:pPr>
        <w:pStyle w:val="FootnoteText"/>
      </w:pPr>
      <w:r>
        <w:rPr>
          <w:rStyle w:val="FootnoteReference"/>
        </w:rPr>
        <w:footnoteRef/>
      </w:r>
      <w:r>
        <w:t xml:space="preserve"> Ryan K. Anderson, </w:t>
      </w:r>
      <w:r>
        <w:rPr>
          <w:i/>
          <w:iCs/>
        </w:rPr>
        <w:t xml:space="preserve">Frank </w:t>
      </w:r>
      <w:proofErr w:type="spellStart"/>
      <w:proofErr w:type="gramStart"/>
      <w:r>
        <w:rPr>
          <w:i/>
          <w:iCs/>
        </w:rPr>
        <w:t>Merriwell</w:t>
      </w:r>
      <w:proofErr w:type="spellEnd"/>
      <w:proofErr w:type="gramEnd"/>
      <w:r>
        <w:rPr>
          <w:i/>
          <w:iCs/>
        </w:rPr>
        <w:t xml:space="preserve"> and the Fiction of All-American Boyhood: The Progressive Era Creation of the Schoolboy Sports Story</w:t>
      </w:r>
      <w:r>
        <w:t xml:space="preserve"> (Fayetteville: University of Arkansas Press, 2015), xvi.</w:t>
      </w:r>
    </w:p>
  </w:footnote>
  <w:footnote w:id="19">
    <w:p w14:paraId="7314CDCF" w14:textId="5CCAD057" w:rsidR="003B1C3B" w:rsidRPr="0045462D" w:rsidRDefault="003B1C3B">
      <w:pPr>
        <w:pStyle w:val="FootnoteText"/>
      </w:pPr>
      <w:r>
        <w:rPr>
          <w:rStyle w:val="FootnoteReference"/>
        </w:rPr>
        <w:footnoteRef/>
      </w:r>
      <w:r>
        <w:t xml:space="preserve"> </w:t>
      </w:r>
      <w:r w:rsidRPr="0045462D">
        <w:t xml:space="preserve">Diana </w:t>
      </w:r>
      <w:proofErr w:type="spellStart"/>
      <w:r w:rsidRPr="0045462D">
        <w:t>Chlebek</w:t>
      </w:r>
      <w:proofErr w:type="spellEnd"/>
      <w:r w:rsidRPr="0045462D">
        <w:t>, “‘Child</w:t>
      </w:r>
      <w:r>
        <w:t>’</w:t>
      </w:r>
      <w:r w:rsidRPr="0045462D">
        <w:t>s Pleasure-Garden”: Nineteenth-Century American Children</w:t>
      </w:r>
      <w:r>
        <w:t>’</w:t>
      </w:r>
      <w:r w:rsidRPr="0045462D">
        <w:t xml:space="preserve">s Magazines and the Concept of Childhood Autonomy,” </w:t>
      </w:r>
      <w:r w:rsidRPr="0045462D">
        <w:rPr>
          <w:i/>
          <w:iCs/>
        </w:rPr>
        <w:t>Children's Literature Association Quarterly</w:t>
      </w:r>
      <w:r>
        <w:t>, 1991 Proceedings, 107-</w:t>
      </w:r>
      <w:r w:rsidRPr="0045462D">
        <w:t>11, 109.</w:t>
      </w:r>
    </w:p>
  </w:footnote>
  <w:footnote w:id="20">
    <w:p w14:paraId="002880CE" w14:textId="77777777" w:rsidR="003B1C3B" w:rsidRPr="0045462D" w:rsidRDefault="003B1C3B" w:rsidP="0045462D">
      <w:r>
        <w:rPr>
          <w:rStyle w:val="FootnoteReference"/>
        </w:rPr>
        <w:footnoteRef/>
      </w:r>
      <w:r>
        <w:t xml:space="preserve"> </w:t>
      </w:r>
      <w:r>
        <w:rPr>
          <w:color w:val="000000"/>
          <w:sz w:val="20"/>
          <w:szCs w:val="20"/>
        </w:rPr>
        <w:t xml:space="preserve">Paul B. </w:t>
      </w:r>
      <w:proofErr w:type="spellStart"/>
      <w:r>
        <w:rPr>
          <w:color w:val="000000"/>
          <w:sz w:val="20"/>
          <w:szCs w:val="20"/>
        </w:rPr>
        <w:t>Ringel</w:t>
      </w:r>
      <w:proofErr w:type="spellEnd"/>
      <w:r>
        <w:rPr>
          <w:color w:val="000000"/>
          <w:sz w:val="20"/>
          <w:szCs w:val="20"/>
        </w:rPr>
        <w:t xml:space="preserve">, </w:t>
      </w:r>
      <w:r>
        <w:rPr>
          <w:i/>
          <w:iCs/>
          <w:color w:val="000000"/>
          <w:sz w:val="20"/>
          <w:szCs w:val="20"/>
        </w:rPr>
        <w:t>Commercializing Childhood: Children’s Magazines, Urban Gentility, and the Ideal of the Child Consumer in the United States, 1823-1918</w:t>
      </w:r>
      <w:r>
        <w:rPr>
          <w:color w:val="000000"/>
          <w:sz w:val="20"/>
          <w:szCs w:val="20"/>
        </w:rPr>
        <w:t xml:space="preserve"> (Amherst: University of Massachusetts Press, 2015), 184-5.</w:t>
      </w:r>
    </w:p>
  </w:footnote>
  <w:footnote w:id="21">
    <w:p w14:paraId="2CE20307" w14:textId="77777777" w:rsidR="003B1C3B" w:rsidRPr="00C544F9" w:rsidRDefault="003B1C3B">
      <w:pPr>
        <w:pStyle w:val="FootnoteText"/>
      </w:pPr>
      <w:r>
        <w:rPr>
          <w:rStyle w:val="FootnoteReference"/>
        </w:rPr>
        <w:footnoteRef/>
      </w:r>
      <w:r>
        <w:t xml:space="preserve"> </w:t>
      </w:r>
      <w:proofErr w:type="spellStart"/>
      <w:r>
        <w:t>Ringel</w:t>
      </w:r>
      <w:proofErr w:type="spellEnd"/>
      <w:r>
        <w:t xml:space="preserve">, </w:t>
      </w:r>
      <w:r>
        <w:rPr>
          <w:i/>
          <w:iCs/>
        </w:rPr>
        <w:t>Commercializing Childhood</w:t>
      </w:r>
      <w:r>
        <w:t>, 6.</w:t>
      </w:r>
    </w:p>
  </w:footnote>
  <w:footnote w:id="22">
    <w:p w14:paraId="759AF31E" w14:textId="2ECA8DCF" w:rsidR="003B1C3B" w:rsidRPr="00C544F9" w:rsidRDefault="003B1C3B" w:rsidP="00C544F9">
      <w:pPr>
        <w:pStyle w:val="FootnoteText"/>
      </w:pPr>
      <w:r>
        <w:rPr>
          <w:rStyle w:val="FootnoteReference"/>
        </w:rPr>
        <w:footnoteRef/>
      </w:r>
      <w:r>
        <w:t xml:space="preserve"> Janet Gray and Melissa Fowler, “‘Hints Dropped Here and There’: Constructing Exclusion in </w:t>
      </w:r>
      <w:r>
        <w:rPr>
          <w:i/>
          <w:iCs/>
        </w:rPr>
        <w:t>St. Nicholas</w:t>
      </w:r>
      <w:r>
        <w:t xml:space="preserve">, Volume I,” in </w:t>
      </w:r>
      <w:r w:rsidRPr="006F2293">
        <w:t>Monika Elbert ed</w:t>
      </w:r>
      <w:r w:rsidR="005A77D3">
        <w:t>.</w:t>
      </w:r>
      <w:r w:rsidRPr="006F2293">
        <w:t>,</w:t>
      </w:r>
      <w:r>
        <w:t xml:space="preserve"> </w:t>
      </w:r>
      <w:r w:rsidRPr="00C544F9">
        <w:rPr>
          <w:i/>
          <w:iCs/>
        </w:rPr>
        <w:t>Enterprising Youth: Social Values and Acculturation in Nineteenth-Century American Children’s Literature</w:t>
      </w:r>
      <w:r>
        <w:t xml:space="preserve"> (New York: Routledge, 2008), 39-54, 40.</w:t>
      </w:r>
    </w:p>
  </w:footnote>
  <w:footnote w:id="23">
    <w:p w14:paraId="546DAA60" w14:textId="3E787DF0" w:rsidR="003B1C3B" w:rsidRDefault="003B1C3B">
      <w:pPr>
        <w:pStyle w:val="FootnoteText"/>
      </w:pPr>
      <w:r>
        <w:rPr>
          <w:rStyle w:val="FootnoteReference"/>
        </w:rPr>
        <w:footnoteRef/>
      </w:r>
      <w:r>
        <w:t xml:space="preserve"> Susan R. Gannon, “Fair Ideals and Heavy Responsibilities: The Editing of </w:t>
      </w:r>
      <w:r>
        <w:rPr>
          <w:i/>
          <w:iCs/>
        </w:rPr>
        <w:t>St. Nicholas Magazine</w:t>
      </w:r>
      <w:r w:rsidRPr="006F2293">
        <w:rPr>
          <w:iCs/>
        </w:rPr>
        <w:t>,</w:t>
      </w:r>
      <w:r>
        <w:t xml:space="preserve">” in Susan R. Gannon, Suzanne </w:t>
      </w:r>
      <w:proofErr w:type="spellStart"/>
      <w:r>
        <w:t>Rahn</w:t>
      </w:r>
      <w:proofErr w:type="spellEnd"/>
      <w:r>
        <w:t xml:space="preserve"> and Ruth Anne Thompson eds</w:t>
      </w:r>
      <w:r w:rsidR="00C33FF8">
        <w:t>.</w:t>
      </w:r>
      <w:r>
        <w:t xml:space="preserve">, </w:t>
      </w:r>
      <w:r w:rsidRPr="006F2293">
        <w:rPr>
          <w:i/>
        </w:rPr>
        <w:t xml:space="preserve">St. </w:t>
      </w:r>
      <w:proofErr w:type="gramStart"/>
      <w:r w:rsidRPr="006F2293">
        <w:rPr>
          <w:i/>
        </w:rPr>
        <w:t>Nicholas</w:t>
      </w:r>
      <w:proofErr w:type="gramEnd"/>
      <w:r w:rsidRPr="006F2293">
        <w:rPr>
          <w:i/>
        </w:rPr>
        <w:t xml:space="preserve"> </w:t>
      </w:r>
      <w:r w:rsidRPr="006F2293">
        <w:rPr>
          <w:i/>
          <w:iCs/>
        </w:rPr>
        <w:t>and Mary Mapes</w:t>
      </w:r>
      <w:r>
        <w:rPr>
          <w:i/>
          <w:iCs/>
        </w:rPr>
        <w:t xml:space="preserve"> </w:t>
      </w:r>
      <w:r w:rsidRPr="00FD1E4A">
        <w:rPr>
          <w:i/>
          <w:iCs/>
        </w:rPr>
        <w:t>Dodge: The Legacy of a Children’s Magazine Editor</w:t>
      </w:r>
      <w:r>
        <w:t xml:space="preserve"> (Jefferson, NC: McFarland &amp; Company, 2004), 27-53, 28.</w:t>
      </w:r>
    </w:p>
  </w:footnote>
  <w:footnote w:id="24">
    <w:p w14:paraId="0E2E150C" w14:textId="77777777" w:rsidR="003B1C3B" w:rsidRPr="00F9469F" w:rsidRDefault="003B1C3B" w:rsidP="00CB618F">
      <w:pPr>
        <w:pStyle w:val="FootnoteText"/>
      </w:pPr>
      <w:r>
        <w:rPr>
          <w:rStyle w:val="FootnoteReference"/>
        </w:rPr>
        <w:footnoteRef/>
      </w:r>
      <w:r>
        <w:t xml:space="preserve"> “Our Post-Office Box,” </w:t>
      </w:r>
      <w:r>
        <w:rPr>
          <w:i/>
          <w:iCs/>
        </w:rPr>
        <w:t>Harper’s Young People</w:t>
      </w:r>
      <w:r>
        <w:t xml:space="preserve"> (November 1</w:t>
      </w:r>
      <w:proofErr w:type="gramStart"/>
      <w:r>
        <w:t xml:space="preserve"> 1887</w:t>
      </w:r>
      <w:proofErr w:type="gramEnd"/>
      <w:r>
        <w:t>), 15.</w:t>
      </w:r>
    </w:p>
  </w:footnote>
  <w:footnote w:id="25">
    <w:p w14:paraId="18EA1D9E" w14:textId="77777777" w:rsidR="003B1C3B" w:rsidRPr="007724B2" w:rsidRDefault="003B1C3B" w:rsidP="00E53609">
      <w:pPr>
        <w:pStyle w:val="FootnoteText"/>
      </w:pPr>
      <w:r>
        <w:rPr>
          <w:rStyle w:val="FootnoteReference"/>
        </w:rPr>
        <w:footnoteRef/>
      </w:r>
      <w:r>
        <w:t xml:space="preserve"> “Our Post-Office Box,” </w:t>
      </w:r>
      <w:r>
        <w:rPr>
          <w:i/>
          <w:iCs/>
        </w:rPr>
        <w:t>Harper’s Young People</w:t>
      </w:r>
      <w:r>
        <w:t xml:space="preserve"> (September 11, 1888), 802.</w:t>
      </w:r>
    </w:p>
  </w:footnote>
  <w:footnote w:id="26">
    <w:p w14:paraId="687EE8F9" w14:textId="77777777" w:rsidR="003B1C3B" w:rsidRPr="00C846F1" w:rsidRDefault="003B1C3B" w:rsidP="00E53609">
      <w:pPr>
        <w:pStyle w:val="FootnoteText"/>
      </w:pPr>
      <w:r>
        <w:rPr>
          <w:rStyle w:val="FootnoteReference"/>
        </w:rPr>
        <w:footnoteRef/>
      </w:r>
      <w:r>
        <w:t xml:space="preserve"> “Our Post-Office Box,” </w:t>
      </w:r>
      <w:r>
        <w:rPr>
          <w:i/>
          <w:iCs/>
        </w:rPr>
        <w:t>Harper’s Young People</w:t>
      </w:r>
      <w:r>
        <w:t xml:space="preserve"> (January 6</w:t>
      </w:r>
      <w:proofErr w:type="gramStart"/>
      <w:r>
        <w:t xml:space="preserve"> 1885</w:t>
      </w:r>
      <w:proofErr w:type="gramEnd"/>
      <w:r>
        <w:t>), 158.</w:t>
      </w:r>
    </w:p>
  </w:footnote>
  <w:footnote w:id="27">
    <w:p w14:paraId="67BC8999" w14:textId="193117E3" w:rsidR="003B1C3B" w:rsidRPr="004550ED" w:rsidRDefault="003B1C3B" w:rsidP="00E53609">
      <w:pPr>
        <w:pStyle w:val="FootnoteText"/>
      </w:pPr>
      <w:r>
        <w:rPr>
          <w:rStyle w:val="FootnoteReference"/>
        </w:rPr>
        <w:footnoteRef/>
      </w:r>
      <w:r>
        <w:t xml:space="preserve"> “Our Post-Office Box,” </w:t>
      </w:r>
      <w:r>
        <w:rPr>
          <w:i/>
          <w:iCs/>
        </w:rPr>
        <w:t>Harper’s Young People</w:t>
      </w:r>
      <w:r>
        <w:t xml:space="preserve"> (November 20</w:t>
      </w:r>
      <w:proofErr w:type="gramStart"/>
      <w:r>
        <w:t xml:space="preserve"> 1888</w:t>
      </w:r>
      <w:proofErr w:type="gramEnd"/>
      <w:r>
        <w:t>), 50-51.</w:t>
      </w:r>
    </w:p>
  </w:footnote>
  <w:footnote w:id="28">
    <w:p w14:paraId="46F79710" w14:textId="5A1A89F1" w:rsidR="003B1C3B" w:rsidRPr="00411F81" w:rsidRDefault="003B1C3B" w:rsidP="00E53609">
      <w:pPr>
        <w:pStyle w:val="FootnoteText"/>
      </w:pPr>
      <w:r>
        <w:rPr>
          <w:rStyle w:val="FootnoteReference"/>
        </w:rPr>
        <w:footnoteRef/>
      </w:r>
      <w:r>
        <w:t xml:space="preserve"> I. D., “A Ballad of Base-Ball,” </w:t>
      </w:r>
      <w:r>
        <w:rPr>
          <w:i/>
          <w:iCs/>
        </w:rPr>
        <w:t>St. Nicholas Magazine</w:t>
      </w:r>
      <w:r>
        <w:t xml:space="preserve"> (August 1886), 774-75.</w:t>
      </w:r>
    </w:p>
  </w:footnote>
  <w:footnote w:id="29">
    <w:p w14:paraId="236B0A8B" w14:textId="31B92293" w:rsidR="003B1C3B" w:rsidRPr="00CE7206" w:rsidRDefault="003B1C3B">
      <w:pPr>
        <w:pStyle w:val="FootnoteText"/>
      </w:pPr>
      <w:r>
        <w:rPr>
          <w:rStyle w:val="FootnoteReference"/>
        </w:rPr>
        <w:footnoteRef/>
      </w:r>
      <w:r>
        <w:t xml:space="preserve"> “Base Ball,” </w:t>
      </w:r>
      <w:r>
        <w:rPr>
          <w:i/>
          <w:iCs/>
        </w:rPr>
        <w:t>Our Boys and Girls</w:t>
      </w:r>
      <w:r>
        <w:t xml:space="preserve"> (April 13</w:t>
      </w:r>
      <w:proofErr w:type="gramStart"/>
      <w:r>
        <w:t xml:space="preserve"> 1867</w:t>
      </w:r>
      <w:proofErr w:type="gramEnd"/>
      <w:r>
        <w:t>), 179.</w:t>
      </w:r>
    </w:p>
  </w:footnote>
  <w:footnote w:id="30">
    <w:p w14:paraId="5C804625" w14:textId="780C955E" w:rsidR="003B1C3B" w:rsidRPr="006D5F3D" w:rsidRDefault="003B1C3B">
      <w:pPr>
        <w:pStyle w:val="FootnoteText"/>
      </w:pPr>
      <w:r>
        <w:rPr>
          <w:rStyle w:val="FootnoteReference"/>
        </w:rPr>
        <w:footnoteRef/>
      </w:r>
      <w:r>
        <w:t xml:space="preserve"> “Base Ball,” </w:t>
      </w:r>
      <w:r>
        <w:rPr>
          <w:i/>
          <w:iCs/>
        </w:rPr>
        <w:t>Our Boys and Girls</w:t>
      </w:r>
      <w:r>
        <w:t xml:space="preserve"> (June 15</w:t>
      </w:r>
      <w:proofErr w:type="gramStart"/>
      <w:r>
        <w:t xml:space="preserve"> 1867</w:t>
      </w:r>
      <w:proofErr w:type="gramEnd"/>
      <w:r>
        <w:t>), 287.</w:t>
      </w:r>
    </w:p>
  </w:footnote>
  <w:footnote w:id="31">
    <w:p w14:paraId="400FD681" w14:textId="2276498C" w:rsidR="003B1C3B" w:rsidRDefault="003B1C3B">
      <w:pPr>
        <w:pStyle w:val="FootnoteText"/>
      </w:pPr>
      <w:r>
        <w:rPr>
          <w:rStyle w:val="FootnoteReference"/>
        </w:rPr>
        <w:footnoteRef/>
      </w:r>
      <w:r>
        <w:t xml:space="preserve"> C. W. Hall, “Base Ball,” </w:t>
      </w:r>
      <w:r>
        <w:rPr>
          <w:i/>
          <w:iCs/>
        </w:rPr>
        <w:t>Our Boys and Girls</w:t>
      </w:r>
      <w:r>
        <w:t xml:space="preserve"> (September 7</w:t>
      </w:r>
      <w:proofErr w:type="gramStart"/>
      <w:r>
        <w:t xml:space="preserve"> 1867</w:t>
      </w:r>
      <w:proofErr w:type="gramEnd"/>
      <w:r>
        <w:t xml:space="preserve">), 469. </w:t>
      </w:r>
    </w:p>
  </w:footnote>
  <w:footnote w:id="32">
    <w:p w14:paraId="3AA4DD45" w14:textId="65A5BD6F" w:rsidR="003B1C3B" w:rsidRDefault="003B1C3B">
      <w:pPr>
        <w:pStyle w:val="FootnoteText"/>
      </w:pPr>
      <w:r>
        <w:rPr>
          <w:rStyle w:val="FootnoteReference"/>
        </w:rPr>
        <w:footnoteRef/>
      </w:r>
      <w:r>
        <w:t xml:space="preserve"> C. W. Hall, “Base Ball,” </w:t>
      </w:r>
      <w:r>
        <w:rPr>
          <w:i/>
          <w:iCs/>
        </w:rPr>
        <w:t>Our Boys and Girls</w:t>
      </w:r>
      <w:r>
        <w:t xml:space="preserve"> (September 14</w:t>
      </w:r>
      <w:proofErr w:type="gramStart"/>
      <w:r>
        <w:t xml:space="preserve"> 1867</w:t>
      </w:r>
      <w:proofErr w:type="gramEnd"/>
      <w:r>
        <w:t>), 485.</w:t>
      </w:r>
    </w:p>
  </w:footnote>
  <w:footnote w:id="33">
    <w:p w14:paraId="61C961B4" w14:textId="77777777" w:rsidR="003B1C3B" w:rsidRPr="006D5F3D" w:rsidRDefault="003B1C3B">
      <w:pPr>
        <w:pStyle w:val="FootnoteText"/>
      </w:pPr>
      <w:r>
        <w:rPr>
          <w:rStyle w:val="FootnoteReference"/>
        </w:rPr>
        <w:footnoteRef/>
      </w:r>
      <w:r>
        <w:t xml:space="preserve"> “Keep Cool,” </w:t>
      </w:r>
      <w:r>
        <w:rPr>
          <w:i/>
          <w:iCs/>
        </w:rPr>
        <w:t>Our Boys and Girls</w:t>
      </w:r>
      <w:r>
        <w:t xml:space="preserve"> (May 25</w:t>
      </w:r>
      <w:proofErr w:type="gramStart"/>
      <w:r>
        <w:t xml:space="preserve"> 1867</w:t>
      </w:r>
      <w:proofErr w:type="gramEnd"/>
      <w:r>
        <w:t>), 251.</w:t>
      </w:r>
    </w:p>
  </w:footnote>
  <w:footnote w:id="34">
    <w:p w14:paraId="05B614BB" w14:textId="3C34CBF6" w:rsidR="003B1C3B" w:rsidRDefault="003B1C3B">
      <w:pPr>
        <w:pStyle w:val="FootnoteText"/>
      </w:pPr>
      <w:r>
        <w:rPr>
          <w:rStyle w:val="FootnoteReference"/>
        </w:rPr>
        <w:footnoteRef/>
      </w:r>
      <w:r>
        <w:t xml:space="preserve"> “Base Ball,” </w:t>
      </w:r>
      <w:r>
        <w:rPr>
          <w:i/>
          <w:iCs/>
        </w:rPr>
        <w:t>Our Boys and Girls</w:t>
      </w:r>
      <w:r>
        <w:t xml:space="preserve"> (September 28, 1867), 517. </w:t>
      </w:r>
    </w:p>
  </w:footnote>
  <w:footnote w:id="35">
    <w:p w14:paraId="3545F159" w14:textId="464CABFE" w:rsidR="003B1C3B" w:rsidRPr="00CE7206" w:rsidRDefault="003B1C3B">
      <w:pPr>
        <w:pStyle w:val="FootnoteText"/>
      </w:pPr>
      <w:r>
        <w:rPr>
          <w:rStyle w:val="FootnoteReference"/>
        </w:rPr>
        <w:footnoteRef/>
      </w:r>
      <w:r>
        <w:t xml:space="preserve"> “Club Tours,” </w:t>
      </w:r>
      <w:r>
        <w:rPr>
          <w:i/>
          <w:iCs/>
        </w:rPr>
        <w:t>Our Boys and Girls</w:t>
      </w:r>
      <w:r>
        <w:t xml:space="preserve"> (August 1</w:t>
      </w:r>
      <w:proofErr w:type="gramStart"/>
      <w:r>
        <w:t xml:space="preserve"> 1868</w:t>
      </w:r>
      <w:proofErr w:type="gramEnd"/>
      <w:r>
        <w:t>), 493.</w:t>
      </w:r>
    </w:p>
  </w:footnote>
  <w:footnote w:id="36">
    <w:p w14:paraId="5748ABA3" w14:textId="04F5211B" w:rsidR="003B1C3B" w:rsidRDefault="003B1C3B">
      <w:pPr>
        <w:pStyle w:val="FootnoteText"/>
      </w:pPr>
      <w:r>
        <w:rPr>
          <w:rStyle w:val="FootnoteReference"/>
        </w:rPr>
        <w:footnoteRef/>
      </w:r>
      <w:r>
        <w:t xml:space="preserve"> “Base Ball Notes,” </w:t>
      </w:r>
      <w:r>
        <w:rPr>
          <w:i/>
          <w:iCs/>
        </w:rPr>
        <w:t>Our Boys and Girls</w:t>
      </w:r>
      <w:r>
        <w:t xml:space="preserve"> (October 27</w:t>
      </w:r>
      <w:proofErr w:type="gramStart"/>
      <w:r>
        <w:t xml:space="preserve"> 1869</w:t>
      </w:r>
      <w:proofErr w:type="gramEnd"/>
      <w:r>
        <w:t xml:space="preserve">), 685. </w:t>
      </w:r>
    </w:p>
  </w:footnote>
  <w:footnote w:id="37">
    <w:p w14:paraId="19ED70EC" w14:textId="653C4730" w:rsidR="003B1C3B" w:rsidRPr="00914BEC" w:rsidRDefault="003B1C3B">
      <w:pPr>
        <w:pStyle w:val="FootnoteText"/>
      </w:pPr>
      <w:r>
        <w:rPr>
          <w:rStyle w:val="FootnoteReference"/>
        </w:rPr>
        <w:footnoteRef/>
      </w:r>
      <w:r>
        <w:t xml:space="preserve"> “The </w:t>
      </w:r>
      <w:proofErr w:type="spellStart"/>
      <w:r>
        <w:t>Mutuals</w:t>
      </w:r>
      <w:proofErr w:type="spellEnd"/>
      <w:r>
        <w:t xml:space="preserve">’ Visit South,” </w:t>
      </w:r>
      <w:r>
        <w:rPr>
          <w:i/>
          <w:iCs/>
        </w:rPr>
        <w:t>Our Boys and Girls</w:t>
      </w:r>
      <w:r>
        <w:t xml:space="preserve"> (January 29</w:t>
      </w:r>
      <w:proofErr w:type="gramStart"/>
      <w:r>
        <w:t xml:space="preserve"> 1870</w:t>
      </w:r>
      <w:proofErr w:type="gramEnd"/>
      <w:r>
        <w:t>), 77.</w:t>
      </w:r>
    </w:p>
  </w:footnote>
  <w:footnote w:id="38">
    <w:p w14:paraId="4511C601" w14:textId="10B4E097" w:rsidR="003B1C3B" w:rsidRPr="006F78F2" w:rsidRDefault="003B1C3B" w:rsidP="001B64D6">
      <w:pPr>
        <w:pStyle w:val="FootnoteText"/>
      </w:pPr>
      <w:r>
        <w:rPr>
          <w:rStyle w:val="FootnoteReference"/>
        </w:rPr>
        <w:footnoteRef/>
      </w:r>
      <w:r>
        <w:t xml:space="preserve"> Gertrude Morton, “Tommy’s School,” </w:t>
      </w:r>
      <w:r>
        <w:rPr>
          <w:i/>
          <w:iCs/>
        </w:rPr>
        <w:t>St. Nicholas Magazine</w:t>
      </w:r>
      <w:r>
        <w:t xml:space="preserve"> (May 1892), 510.</w:t>
      </w:r>
    </w:p>
  </w:footnote>
  <w:footnote w:id="39">
    <w:p w14:paraId="55E5FE03" w14:textId="0EA2C656" w:rsidR="003B1C3B" w:rsidRPr="004F158B" w:rsidRDefault="003B1C3B" w:rsidP="001B64D6">
      <w:pPr>
        <w:pStyle w:val="FootnoteText"/>
        <w:rPr>
          <w:i/>
          <w:iCs/>
        </w:rPr>
      </w:pPr>
      <w:r>
        <w:rPr>
          <w:rStyle w:val="FootnoteReference"/>
        </w:rPr>
        <w:footnoteRef/>
      </w:r>
      <w:r>
        <w:t xml:space="preserve"> Helen M. North, “The Moral Influence of Games,” </w:t>
      </w:r>
      <w:r>
        <w:rPr>
          <w:i/>
          <w:iCs/>
        </w:rPr>
        <w:t>Harper’s Young People</w:t>
      </w:r>
      <w:r>
        <w:t xml:space="preserve"> (October 2</w:t>
      </w:r>
      <w:proofErr w:type="gramStart"/>
      <w:r>
        <w:t xml:space="preserve"> 1888</w:t>
      </w:r>
      <w:proofErr w:type="gramEnd"/>
      <w:r>
        <w:t>), 859-60.</w:t>
      </w:r>
      <w:r>
        <w:rPr>
          <w:i/>
          <w:iCs/>
        </w:rPr>
        <w:t xml:space="preserve"> </w:t>
      </w:r>
    </w:p>
  </w:footnote>
  <w:footnote w:id="40">
    <w:p w14:paraId="734E9746" w14:textId="51424ECB" w:rsidR="003B1C3B" w:rsidRPr="004F158B" w:rsidRDefault="003B1C3B" w:rsidP="001B64D6">
      <w:pPr>
        <w:pStyle w:val="FootnoteText"/>
      </w:pPr>
      <w:r>
        <w:rPr>
          <w:rStyle w:val="FootnoteReference"/>
        </w:rPr>
        <w:footnoteRef/>
      </w:r>
      <w:r>
        <w:t xml:space="preserve"> James </w:t>
      </w:r>
      <w:proofErr w:type="spellStart"/>
      <w:r>
        <w:t>Buckham</w:t>
      </w:r>
      <w:proofErr w:type="spellEnd"/>
      <w:r>
        <w:t xml:space="preserve">, “Mental Training Through Physical Exercise,” </w:t>
      </w:r>
      <w:r>
        <w:rPr>
          <w:i/>
          <w:iCs/>
        </w:rPr>
        <w:t>Harper’s Young People</w:t>
      </w:r>
      <w:r>
        <w:t xml:space="preserve"> (August 9</w:t>
      </w:r>
      <w:proofErr w:type="gramStart"/>
      <w:r>
        <w:t xml:space="preserve"> 1892</w:t>
      </w:r>
      <w:proofErr w:type="gramEnd"/>
      <w:r>
        <w:t>), 694-95.</w:t>
      </w:r>
    </w:p>
  </w:footnote>
  <w:footnote w:id="41">
    <w:p w14:paraId="290E3EA2" w14:textId="52CB89DC" w:rsidR="003B1C3B" w:rsidRPr="0080435E" w:rsidRDefault="003B1C3B">
      <w:pPr>
        <w:pStyle w:val="FootnoteText"/>
      </w:pPr>
      <w:r>
        <w:rPr>
          <w:rStyle w:val="FootnoteReference"/>
        </w:rPr>
        <w:footnoteRef/>
      </w:r>
      <w:r>
        <w:t xml:space="preserve"> Walter Camp, “Bat, Ball, and Diamond: First Paper,” </w:t>
      </w:r>
      <w:r>
        <w:rPr>
          <w:i/>
          <w:iCs/>
        </w:rPr>
        <w:t>St. Nicholas Magazine</w:t>
      </w:r>
      <w:r>
        <w:t xml:space="preserve"> (May 1890), 555-62, 559.</w:t>
      </w:r>
    </w:p>
  </w:footnote>
  <w:footnote w:id="42">
    <w:p w14:paraId="7AF43601" w14:textId="329B4A82" w:rsidR="003B1C3B" w:rsidRDefault="003B1C3B">
      <w:pPr>
        <w:pStyle w:val="FootnoteText"/>
      </w:pPr>
      <w:r>
        <w:rPr>
          <w:rStyle w:val="FootnoteReference"/>
        </w:rPr>
        <w:footnoteRef/>
      </w:r>
      <w:r>
        <w:t xml:space="preserve"> N. P. Babcock, “Baseball and its Players,” </w:t>
      </w:r>
      <w:r>
        <w:rPr>
          <w:i/>
          <w:iCs/>
        </w:rPr>
        <w:t>Harper’s Young People</w:t>
      </w:r>
      <w:r>
        <w:t xml:space="preserve"> (September 15, 1885), 727-28, 727.</w:t>
      </w:r>
    </w:p>
  </w:footnote>
  <w:footnote w:id="43">
    <w:p w14:paraId="05C8D068" w14:textId="5BD416C7" w:rsidR="003B1C3B" w:rsidRDefault="003B1C3B">
      <w:pPr>
        <w:pStyle w:val="FootnoteText"/>
      </w:pPr>
      <w:r>
        <w:rPr>
          <w:rStyle w:val="FootnoteReference"/>
        </w:rPr>
        <w:footnoteRef/>
      </w:r>
      <w:r>
        <w:t xml:space="preserve"> N. P. Babcock, “The National Game,” </w:t>
      </w:r>
      <w:r>
        <w:rPr>
          <w:i/>
        </w:rPr>
        <w:t xml:space="preserve">Harper’s Young People </w:t>
      </w:r>
      <w:r>
        <w:t>(August 17</w:t>
      </w:r>
      <w:proofErr w:type="gramStart"/>
      <w:r>
        <w:t xml:space="preserve"> 1886</w:t>
      </w:r>
      <w:proofErr w:type="gramEnd"/>
      <w:r>
        <w:t>), 663-65, 665.</w:t>
      </w:r>
    </w:p>
  </w:footnote>
  <w:footnote w:id="44">
    <w:p w14:paraId="03EFEBFE" w14:textId="6BF7CC87" w:rsidR="003B1C3B" w:rsidRPr="00A56850" w:rsidRDefault="003B1C3B">
      <w:pPr>
        <w:pStyle w:val="FootnoteText"/>
      </w:pPr>
      <w:r>
        <w:rPr>
          <w:rStyle w:val="FootnoteReference"/>
        </w:rPr>
        <w:footnoteRef/>
      </w:r>
      <w:r>
        <w:t xml:space="preserve"> A. Alonzo Stagg, “Base-Ball for Amateurs,” </w:t>
      </w:r>
      <w:r>
        <w:rPr>
          <w:i/>
          <w:iCs/>
        </w:rPr>
        <w:t>Harper’s Young People</w:t>
      </w:r>
      <w:r>
        <w:t xml:space="preserve"> (May 14</w:t>
      </w:r>
      <w:proofErr w:type="gramStart"/>
      <w:r>
        <w:t xml:space="preserve"> 1889</w:t>
      </w:r>
      <w:proofErr w:type="gramEnd"/>
      <w:r>
        <w:t>), 482-83.</w:t>
      </w:r>
    </w:p>
  </w:footnote>
  <w:footnote w:id="45">
    <w:p w14:paraId="263D2A52" w14:textId="4301644C" w:rsidR="003B1C3B" w:rsidRPr="007C7017" w:rsidRDefault="003B1C3B">
      <w:pPr>
        <w:pStyle w:val="FootnoteText"/>
      </w:pPr>
      <w:r>
        <w:rPr>
          <w:rStyle w:val="FootnoteReference"/>
        </w:rPr>
        <w:footnoteRef/>
      </w:r>
      <w:r>
        <w:t xml:space="preserve"> George B. M. Harvey, “How Science Won </w:t>
      </w:r>
      <w:proofErr w:type="gramStart"/>
      <w:r>
        <w:t>The</w:t>
      </w:r>
      <w:proofErr w:type="gramEnd"/>
      <w:r>
        <w:t xml:space="preserve"> Game,” </w:t>
      </w:r>
      <w:r>
        <w:rPr>
          <w:i/>
          <w:iCs/>
        </w:rPr>
        <w:t>St. Nicholas</w:t>
      </w:r>
      <w:r>
        <w:t xml:space="preserve"> (October 1885), 924-29.</w:t>
      </w:r>
    </w:p>
  </w:footnote>
  <w:footnote w:id="46">
    <w:p w14:paraId="138D445D" w14:textId="781A7525" w:rsidR="003B1C3B" w:rsidRDefault="003B1C3B" w:rsidP="00AF100F">
      <w:pPr>
        <w:pStyle w:val="FootnoteText"/>
      </w:pPr>
      <w:r>
        <w:rPr>
          <w:rStyle w:val="FootnoteReference"/>
        </w:rPr>
        <w:footnoteRef/>
      </w:r>
      <w:r>
        <w:t xml:space="preserve"> N. P. Babcock, “Baseball and its Players,” </w:t>
      </w:r>
      <w:r>
        <w:rPr>
          <w:i/>
          <w:iCs/>
        </w:rPr>
        <w:t>Harper’s Young People</w:t>
      </w:r>
      <w:r>
        <w:t xml:space="preserve"> (September 15, 1885), 727-28, 727.</w:t>
      </w:r>
    </w:p>
  </w:footnote>
  <w:footnote w:id="47">
    <w:p w14:paraId="2D845C95" w14:textId="3253DC2C" w:rsidR="003B1C3B" w:rsidRDefault="003B1C3B" w:rsidP="00AF100F">
      <w:pPr>
        <w:pStyle w:val="FootnoteText"/>
      </w:pPr>
      <w:r>
        <w:rPr>
          <w:rStyle w:val="FootnoteReference"/>
        </w:rPr>
        <w:footnoteRef/>
      </w:r>
      <w:r>
        <w:t xml:space="preserve"> Eldridge S. Brooks, “Summer Sports,” </w:t>
      </w:r>
      <w:r>
        <w:rPr>
          <w:i/>
          <w:iCs/>
        </w:rPr>
        <w:t>Wide Awake</w:t>
      </w:r>
      <w:r>
        <w:t xml:space="preserve"> (August 1887), 168-78, 178.</w:t>
      </w:r>
    </w:p>
  </w:footnote>
  <w:footnote w:id="48">
    <w:p w14:paraId="49E08DD4" w14:textId="214E95E1" w:rsidR="003B1C3B" w:rsidRPr="001B0C6D" w:rsidRDefault="003B1C3B">
      <w:pPr>
        <w:pStyle w:val="FootnoteText"/>
      </w:pPr>
      <w:r>
        <w:rPr>
          <w:rStyle w:val="FootnoteReference"/>
        </w:rPr>
        <w:footnoteRef/>
      </w:r>
      <w:r>
        <w:t xml:space="preserve"> “Letters to a Boy at School, III,” </w:t>
      </w:r>
      <w:r>
        <w:rPr>
          <w:i/>
          <w:iCs/>
        </w:rPr>
        <w:t>Harper’s Young People</w:t>
      </w:r>
      <w:r>
        <w:t xml:space="preserve"> (March 17</w:t>
      </w:r>
      <w:proofErr w:type="gramStart"/>
      <w:r>
        <w:t xml:space="preserve"> 1891</w:t>
      </w:r>
      <w:proofErr w:type="gramEnd"/>
      <w:r>
        <w:t>), 346.</w:t>
      </w:r>
    </w:p>
  </w:footnote>
  <w:footnote w:id="49">
    <w:p w14:paraId="46ADE5B7" w14:textId="4B706EBC" w:rsidR="003B1C3B" w:rsidRPr="00E12152" w:rsidRDefault="003B1C3B" w:rsidP="001B64D6">
      <w:pPr>
        <w:pStyle w:val="FootnoteText"/>
      </w:pPr>
      <w:r>
        <w:rPr>
          <w:rStyle w:val="FootnoteReference"/>
        </w:rPr>
        <w:footnoteRef/>
      </w:r>
      <w:r>
        <w:t xml:space="preserve"> Charles Barnard, “Lacrosse,” </w:t>
      </w:r>
      <w:r>
        <w:rPr>
          <w:i/>
          <w:iCs/>
        </w:rPr>
        <w:t>St. Nicholas Magazine</w:t>
      </w:r>
      <w:r>
        <w:t xml:space="preserve"> (November 1880), 64-67, 64.</w:t>
      </w:r>
    </w:p>
  </w:footnote>
  <w:footnote w:id="50">
    <w:p w14:paraId="1852864F" w14:textId="038464AC" w:rsidR="003B1C3B" w:rsidRPr="003710EF" w:rsidRDefault="003B1C3B" w:rsidP="001B64D6">
      <w:pPr>
        <w:pStyle w:val="FootnoteText"/>
      </w:pPr>
      <w:r>
        <w:rPr>
          <w:rStyle w:val="FootnoteReference"/>
        </w:rPr>
        <w:footnoteRef/>
      </w:r>
      <w:r>
        <w:t xml:space="preserve"> J. A. Hodge, Junior, “Lacrosse,” </w:t>
      </w:r>
      <w:r>
        <w:rPr>
          <w:i/>
          <w:iCs/>
        </w:rPr>
        <w:t>Harper’s Young People</w:t>
      </w:r>
      <w:r>
        <w:t xml:space="preserve"> (August 24</w:t>
      </w:r>
      <w:proofErr w:type="gramStart"/>
      <w:r>
        <w:t xml:space="preserve"> 1886</w:t>
      </w:r>
      <w:proofErr w:type="gramEnd"/>
      <w:r>
        <w:t>), 683-84, 683.</w:t>
      </w:r>
    </w:p>
  </w:footnote>
  <w:footnote w:id="51">
    <w:p w14:paraId="30F73C99" w14:textId="2A31F288" w:rsidR="003B1C3B" w:rsidRPr="001D14B8" w:rsidRDefault="003B1C3B" w:rsidP="001B64D6">
      <w:pPr>
        <w:pStyle w:val="FootnoteText"/>
        <w:rPr>
          <w:i/>
          <w:iCs/>
        </w:rPr>
      </w:pPr>
      <w:r>
        <w:rPr>
          <w:rStyle w:val="FootnoteReference"/>
        </w:rPr>
        <w:footnoteRef/>
      </w:r>
      <w:r>
        <w:t xml:space="preserve"> Charles R. Byram, “The Game of Ball,” </w:t>
      </w:r>
      <w:r>
        <w:rPr>
          <w:i/>
          <w:iCs/>
        </w:rPr>
        <w:t>Our Boys and Girls</w:t>
      </w:r>
      <w:r>
        <w:t xml:space="preserve"> (March 1871), 174.</w:t>
      </w:r>
      <w:r>
        <w:rPr>
          <w:i/>
          <w:iCs/>
        </w:rPr>
        <w:t xml:space="preserve"> </w:t>
      </w:r>
    </w:p>
  </w:footnote>
  <w:footnote w:id="52">
    <w:p w14:paraId="17DC8064" w14:textId="2C0B18DD" w:rsidR="003B1C3B" w:rsidRPr="000B1BB0" w:rsidRDefault="003B1C3B" w:rsidP="001B64D6">
      <w:pPr>
        <w:pStyle w:val="FootnoteText"/>
      </w:pPr>
      <w:r>
        <w:rPr>
          <w:rStyle w:val="FootnoteReference"/>
        </w:rPr>
        <w:footnoteRef/>
      </w:r>
      <w:r>
        <w:t xml:space="preserve"> Sherwood </w:t>
      </w:r>
      <w:proofErr w:type="spellStart"/>
      <w:r>
        <w:t>Ryse</w:t>
      </w:r>
      <w:proofErr w:type="spellEnd"/>
      <w:r>
        <w:t xml:space="preserve">, “The National Game,” </w:t>
      </w:r>
      <w:r>
        <w:rPr>
          <w:i/>
          <w:iCs/>
        </w:rPr>
        <w:t>Harper’s Young People</w:t>
      </w:r>
      <w:r>
        <w:t xml:space="preserve"> (June 13, 1882), 523-24.</w:t>
      </w:r>
    </w:p>
  </w:footnote>
  <w:footnote w:id="53">
    <w:p w14:paraId="41421E54" w14:textId="08C94231" w:rsidR="003B1C3B" w:rsidRDefault="003B1C3B">
      <w:pPr>
        <w:pStyle w:val="FootnoteText"/>
      </w:pPr>
      <w:r>
        <w:rPr>
          <w:rStyle w:val="FootnoteReference"/>
        </w:rPr>
        <w:footnoteRef/>
      </w:r>
      <w:r>
        <w:t xml:space="preserve"> Melvin L. Adelman, </w:t>
      </w:r>
      <w:r w:rsidRPr="00EC1A96">
        <w:rPr>
          <w:i/>
          <w:iCs/>
        </w:rPr>
        <w:t>A Sporting Time: New York City and the Rise of Modern Athletics, 1820-70</w:t>
      </w:r>
      <w:r>
        <w:t xml:space="preserve"> (Urbana: University of Illinois Press, 1986), 107.</w:t>
      </w:r>
      <w:r w:rsidR="004A1162">
        <w:t xml:space="preserve"> On the fluctuating fortunes of cricket in the US in this period see also George B. Kirsch, </w:t>
      </w:r>
      <w:r w:rsidR="004A1162">
        <w:rPr>
          <w:i/>
          <w:iCs/>
        </w:rPr>
        <w:t>The Creation of American Team Sports: Baseball and Cricket, 1838-72</w:t>
      </w:r>
      <w:r w:rsidR="004A1162">
        <w:t xml:space="preserve"> (Urbana: University of Illinois Press, 1989), particularly 103-107.</w:t>
      </w:r>
    </w:p>
  </w:footnote>
  <w:footnote w:id="54">
    <w:p w14:paraId="013648C2" w14:textId="3FF1477E" w:rsidR="003B1C3B" w:rsidRPr="00A814E4" w:rsidRDefault="003B1C3B" w:rsidP="001B64D6">
      <w:pPr>
        <w:pStyle w:val="FootnoteText"/>
      </w:pPr>
      <w:r>
        <w:rPr>
          <w:rStyle w:val="FootnoteReference"/>
        </w:rPr>
        <w:footnoteRef/>
      </w:r>
      <w:r>
        <w:t xml:space="preserve"> Howard A. Taylor, “A Talk About Cricket,” </w:t>
      </w:r>
      <w:r>
        <w:rPr>
          <w:i/>
          <w:iCs/>
        </w:rPr>
        <w:t>Harper’s Young People</w:t>
      </w:r>
      <w:r>
        <w:t xml:space="preserve"> (June 22</w:t>
      </w:r>
      <w:proofErr w:type="gramStart"/>
      <w:r>
        <w:t xml:space="preserve"> 1886</w:t>
      </w:r>
      <w:proofErr w:type="gramEnd"/>
      <w:r>
        <w:t xml:space="preserve">), 536-38. </w:t>
      </w:r>
    </w:p>
  </w:footnote>
  <w:footnote w:id="55">
    <w:p w14:paraId="6CF4E935" w14:textId="0EB695B2" w:rsidR="003B1C3B" w:rsidRDefault="003B1C3B" w:rsidP="001B64D6">
      <w:pPr>
        <w:pStyle w:val="FootnoteText"/>
      </w:pPr>
      <w:r>
        <w:rPr>
          <w:rStyle w:val="FootnoteReference"/>
        </w:rPr>
        <w:footnoteRef/>
      </w:r>
      <w:r>
        <w:t xml:space="preserve"> Ralph Cracknell, “Cricket as Played in America,” </w:t>
      </w:r>
      <w:r>
        <w:rPr>
          <w:i/>
          <w:iCs/>
        </w:rPr>
        <w:t>Wide Awake</w:t>
      </w:r>
      <w:r>
        <w:t xml:space="preserve"> (April 1893), 462-66.</w:t>
      </w:r>
    </w:p>
  </w:footnote>
  <w:footnote w:id="56">
    <w:p w14:paraId="3B125F80" w14:textId="09541C17" w:rsidR="00223E9E" w:rsidRDefault="00223E9E">
      <w:pPr>
        <w:pStyle w:val="FootnoteText"/>
      </w:pPr>
      <w:r>
        <w:rPr>
          <w:rStyle w:val="FootnoteReference"/>
        </w:rPr>
        <w:footnoteRef/>
      </w:r>
      <w:r>
        <w:t xml:space="preserve"> </w:t>
      </w:r>
    </w:p>
  </w:footnote>
  <w:footnote w:id="57">
    <w:p w14:paraId="3C7E9A04" w14:textId="673503F4" w:rsidR="003B1C3B" w:rsidRDefault="003B1C3B" w:rsidP="001B64D6">
      <w:pPr>
        <w:pStyle w:val="FootnoteText"/>
      </w:pPr>
      <w:r>
        <w:rPr>
          <w:rStyle w:val="FootnoteReference"/>
        </w:rPr>
        <w:footnoteRef/>
      </w:r>
      <w:r>
        <w:t xml:space="preserve"> “Our Post-Office Box,” </w:t>
      </w:r>
      <w:r>
        <w:rPr>
          <w:i/>
          <w:iCs/>
        </w:rPr>
        <w:t>Harper’s Young People</w:t>
      </w:r>
      <w:r>
        <w:t xml:space="preserve"> (August 25</w:t>
      </w:r>
      <w:proofErr w:type="gramStart"/>
      <w:r>
        <w:t xml:space="preserve"> 1885</w:t>
      </w:r>
      <w:proofErr w:type="gramEnd"/>
      <w:r>
        <w:t>), 686-87.</w:t>
      </w:r>
    </w:p>
  </w:footnote>
  <w:footnote w:id="58">
    <w:p w14:paraId="5FE75495" w14:textId="240138BC" w:rsidR="003B1C3B" w:rsidRPr="006E53B9" w:rsidRDefault="003B1C3B" w:rsidP="001B64D6">
      <w:pPr>
        <w:pStyle w:val="FootnoteText"/>
      </w:pPr>
      <w:r>
        <w:rPr>
          <w:rStyle w:val="FootnoteReference"/>
        </w:rPr>
        <w:footnoteRef/>
      </w:r>
      <w:r>
        <w:t xml:space="preserve"> “Our Post-Office Box,” </w:t>
      </w:r>
      <w:r>
        <w:rPr>
          <w:i/>
          <w:iCs/>
        </w:rPr>
        <w:t>Harper’s Young People</w:t>
      </w:r>
      <w:r>
        <w:t xml:space="preserve"> (September 29</w:t>
      </w:r>
      <w:proofErr w:type="gramStart"/>
      <w:r>
        <w:t xml:space="preserve"> 1885</w:t>
      </w:r>
      <w:proofErr w:type="gramEnd"/>
      <w:r>
        <w:t>), 767.</w:t>
      </w:r>
    </w:p>
  </w:footnote>
  <w:footnote w:id="59">
    <w:p w14:paraId="48A4BCC2" w14:textId="5492C795" w:rsidR="003B1C3B" w:rsidRPr="008D4DF5" w:rsidRDefault="003B1C3B">
      <w:pPr>
        <w:pStyle w:val="FootnoteText"/>
      </w:pPr>
      <w:r>
        <w:rPr>
          <w:rStyle w:val="FootnoteReference"/>
        </w:rPr>
        <w:footnoteRef/>
      </w:r>
      <w:r>
        <w:t xml:space="preserve"> “Our Post-Office Box,” </w:t>
      </w:r>
      <w:r>
        <w:rPr>
          <w:i/>
          <w:iCs/>
        </w:rPr>
        <w:t>Harper’s Young People</w:t>
      </w:r>
      <w:r>
        <w:t xml:space="preserve"> (January 29</w:t>
      </w:r>
      <w:proofErr w:type="gramStart"/>
      <w:r>
        <w:t xml:space="preserve"> 1889</w:t>
      </w:r>
      <w:proofErr w:type="gramEnd"/>
      <w:r>
        <w:t xml:space="preserve">), 230. </w:t>
      </w:r>
    </w:p>
  </w:footnote>
  <w:footnote w:id="60">
    <w:p w14:paraId="1E2BF0DA" w14:textId="77777777" w:rsidR="003B1C3B" w:rsidRPr="003D53CF" w:rsidRDefault="003B1C3B">
      <w:pPr>
        <w:pStyle w:val="FootnoteText"/>
      </w:pPr>
      <w:r>
        <w:rPr>
          <w:rStyle w:val="FootnoteReference"/>
        </w:rPr>
        <w:footnoteRef/>
      </w:r>
      <w:r>
        <w:t xml:space="preserve"> Mary S. </w:t>
      </w:r>
      <w:proofErr w:type="spellStart"/>
      <w:r>
        <w:t>McCobb</w:t>
      </w:r>
      <w:proofErr w:type="spellEnd"/>
      <w:r>
        <w:t xml:space="preserve">, “Brother Jonathan,” </w:t>
      </w:r>
      <w:r>
        <w:rPr>
          <w:i/>
          <w:iCs/>
        </w:rPr>
        <w:t>Harper’s Young People</w:t>
      </w:r>
      <w:r>
        <w:t xml:space="preserve"> (November 5</w:t>
      </w:r>
      <w:proofErr w:type="gramStart"/>
      <w:r>
        <w:t xml:space="preserve"> 1889</w:t>
      </w:r>
      <w:proofErr w:type="gramEnd"/>
      <w:r>
        <w:t xml:space="preserve">), 2-4. </w:t>
      </w:r>
    </w:p>
  </w:footnote>
  <w:footnote w:id="61">
    <w:p w14:paraId="16C392B8" w14:textId="0F7B6A15" w:rsidR="003B1C3B" w:rsidRDefault="003B1C3B" w:rsidP="00667647">
      <w:pPr>
        <w:pStyle w:val="FootnoteText"/>
      </w:pPr>
      <w:r>
        <w:rPr>
          <w:rStyle w:val="FootnoteReference"/>
        </w:rPr>
        <w:footnoteRef/>
      </w:r>
      <w:r>
        <w:t xml:space="preserve"> Frances Hodgson Burnett, “Little Lord Fauntleroy,” </w:t>
      </w:r>
      <w:r w:rsidRPr="0029291E">
        <w:rPr>
          <w:i/>
          <w:iCs/>
        </w:rPr>
        <w:t xml:space="preserve">St. Nicholas Magazine </w:t>
      </w:r>
      <w:r>
        <w:t>(April 1886), 408-16, 410.</w:t>
      </w:r>
    </w:p>
  </w:footnote>
  <w:footnote w:id="62">
    <w:p w14:paraId="67E0672C" w14:textId="10ABDA7F" w:rsidR="003B1C3B" w:rsidRDefault="003B1C3B">
      <w:pPr>
        <w:pStyle w:val="FootnoteText"/>
      </w:pPr>
      <w:r>
        <w:rPr>
          <w:rStyle w:val="FootnoteReference"/>
        </w:rPr>
        <w:footnoteRef/>
      </w:r>
      <w:r>
        <w:t xml:space="preserve"> Christopher Banham, “‘England and America Against the World’: Empire and the USA in Edwin J. Brett’s </w:t>
      </w:r>
      <w:r>
        <w:rPr>
          <w:i/>
          <w:iCs/>
        </w:rPr>
        <w:t>Boys of England</w:t>
      </w:r>
      <w:r>
        <w:t xml:space="preserve">, 1866-99,” </w:t>
      </w:r>
      <w:r>
        <w:rPr>
          <w:i/>
          <w:iCs/>
        </w:rPr>
        <w:t>Victorian Periodicals Review</w:t>
      </w:r>
      <w:r w:rsidR="00C33FF8">
        <w:t xml:space="preserve">, Volume 40, Issue </w:t>
      </w:r>
      <w:r>
        <w:t>2 (Summer 2007), 151-71, 162-63.</w:t>
      </w:r>
    </w:p>
  </w:footnote>
  <w:footnote w:id="63">
    <w:p w14:paraId="26E2E405" w14:textId="6EEA7EF6" w:rsidR="003B1C3B" w:rsidRPr="00667647" w:rsidRDefault="003B1C3B">
      <w:pPr>
        <w:pStyle w:val="FootnoteText"/>
      </w:pPr>
      <w:r>
        <w:rPr>
          <w:rStyle w:val="FootnoteReference"/>
        </w:rPr>
        <w:footnoteRef/>
      </w:r>
      <w:r>
        <w:t xml:space="preserve"> G. Stanley Hall, </w:t>
      </w:r>
      <w:r>
        <w:rPr>
          <w:i/>
          <w:iCs/>
        </w:rPr>
        <w:t>Adolescence</w:t>
      </w:r>
      <w:r>
        <w:t xml:space="preserve"> (New York: D. Appleton and Company, 1917), 2 vols, 1:221-22. </w:t>
      </w:r>
    </w:p>
  </w:footnote>
  <w:footnote w:id="64">
    <w:p w14:paraId="69524FE8" w14:textId="77777777" w:rsidR="003B1C3B" w:rsidRDefault="003B1C3B">
      <w:pPr>
        <w:pStyle w:val="FootnoteText"/>
      </w:pPr>
      <w:r>
        <w:rPr>
          <w:rStyle w:val="FootnoteReference"/>
        </w:rPr>
        <w:footnoteRef/>
      </w:r>
      <w:r>
        <w:t xml:space="preserve"> Jules </w:t>
      </w:r>
      <w:proofErr w:type="spellStart"/>
      <w:r>
        <w:t>Tygiel</w:t>
      </w:r>
      <w:proofErr w:type="spellEnd"/>
      <w:r>
        <w:t xml:space="preserve">, </w:t>
      </w:r>
      <w:r>
        <w:rPr>
          <w:i/>
          <w:iCs/>
        </w:rPr>
        <w:t>Past Time: Baseball as History</w:t>
      </w:r>
      <w:r>
        <w:t xml:space="preserve"> (New York: Oxford University Press, 2000), 4-5.</w:t>
      </w:r>
    </w:p>
  </w:footnote>
  <w:footnote w:id="65">
    <w:p w14:paraId="15D06B0C" w14:textId="5D7B92E0" w:rsidR="003B1C3B" w:rsidRPr="00001E80" w:rsidRDefault="003B1C3B">
      <w:pPr>
        <w:pStyle w:val="FootnoteText"/>
      </w:pPr>
      <w:r>
        <w:rPr>
          <w:rStyle w:val="FootnoteReference"/>
        </w:rPr>
        <w:footnoteRef/>
      </w:r>
      <w:r>
        <w:t xml:space="preserve"> Amanda B. Harris, “Old School Days: No. IV,” </w:t>
      </w:r>
      <w:r>
        <w:rPr>
          <w:i/>
          <w:iCs/>
        </w:rPr>
        <w:t>Wide Awake</w:t>
      </w:r>
      <w:r>
        <w:t xml:space="preserve"> (November 1884), 375-80, 379.</w:t>
      </w:r>
    </w:p>
  </w:footnote>
  <w:footnote w:id="66">
    <w:p w14:paraId="77A7772F" w14:textId="54141E8D" w:rsidR="003B1C3B" w:rsidRDefault="003B1C3B">
      <w:pPr>
        <w:pStyle w:val="FootnoteText"/>
      </w:pPr>
      <w:r>
        <w:rPr>
          <w:rStyle w:val="FootnoteReference"/>
        </w:rPr>
        <w:footnoteRef/>
      </w:r>
      <w:r>
        <w:t xml:space="preserve"> Albert Stearns, “Chris and the Wonderful Lamp,” </w:t>
      </w:r>
      <w:r>
        <w:rPr>
          <w:i/>
          <w:iCs/>
        </w:rPr>
        <w:t>St. Nicholas Magazine</w:t>
      </w:r>
      <w:r>
        <w:t xml:space="preserve"> (April 1895), 462-67, 467.</w:t>
      </w:r>
    </w:p>
  </w:footnote>
  <w:footnote w:id="67">
    <w:p w14:paraId="6E943F61" w14:textId="24070DCF" w:rsidR="003B1C3B" w:rsidRPr="002A5765" w:rsidRDefault="003B1C3B" w:rsidP="00700498">
      <w:pPr>
        <w:pStyle w:val="FootnoteText"/>
      </w:pPr>
      <w:r>
        <w:rPr>
          <w:rStyle w:val="FootnoteReference"/>
        </w:rPr>
        <w:footnoteRef/>
      </w:r>
      <w:r>
        <w:t xml:space="preserve"> Frank M. Chapman, “A City Playground,” </w:t>
      </w:r>
      <w:r>
        <w:rPr>
          <w:i/>
          <w:iCs/>
        </w:rPr>
        <w:t>St. Nicholas</w:t>
      </w:r>
      <w:r>
        <w:t xml:space="preserve"> (June 1891), 609-16.  </w:t>
      </w:r>
    </w:p>
  </w:footnote>
  <w:footnote w:id="68">
    <w:p w14:paraId="48506F70" w14:textId="5FDCE28C" w:rsidR="003B1C3B" w:rsidRDefault="003B1C3B">
      <w:pPr>
        <w:pStyle w:val="FootnoteText"/>
      </w:pPr>
      <w:r>
        <w:rPr>
          <w:rStyle w:val="FootnoteReference"/>
        </w:rPr>
        <w:footnoteRef/>
      </w:r>
      <w:r>
        <w:t xml:space="preserve"> Louisa May Alcott, “Under the Lilacs,” </w:t>
      </w:r>
      <w:r>
        <w:rPr>
          <w:i/>
          <w:iCs/>
        </w:rPr>
        <w:t>St. Nicholas</w:t>
      </w:r>
      <w:r>
        <w:t xml:space="preserve"> (May 1878), 466-75, 470.</w:t>
      </w:r>
    </w:p>
  </w:footnote>
  <w:footnote w:id="69">
    <w:p w14:paraId="50CFF7A0" w14:textId="46B47483" w:rsidR="003B1C3B" w:rsidRPr="00700498" w:rsidRDefault="003B1C3B">
      <w:pPr>
        <w:pStyle w:val="FootnoteText"/>
      </w:pPr>
      <w:r>
        <w:rPr>
          <w:rStyle w:val="FootnoteReference"/>
        </w:rPr>
        <w:footnoteRef/>
      </w:r>
      <w:r>
        <w:t xml:space="preserve"> Noah Brooks, “The Fairport Nine,” </w:t>
      </w:r>
      <w:r>
        <w:rPr>
          <w:i/>
          <w:iCs/>
        </w:rPr>
        <w:t>St. Nicholas</w:t>
      </w:r>
      <w:r>
        <w:t xml:space="preserve"> (May 1880), 562-73, 563. </w:t>
      </w:r>
    </w:p>
  </w:footnote>
  <w:footnote w:id="70">
    <w:p w14:paraId="555B8A18" w14:textId="553C495B" w:rsidR="003B1C3B" w:rsidRPr="00BB41CA" w:rsidRDefault="003B1C3B">
      <w:pPr>
        <w:pStyle w:val="FootnoteText"/>
      </w:pPr>
      <w:r>
        <w:rPr>
          <w:rStyle w:val="FootnoteReference"/>
        </w:rPr>
        <w:footnoteRef/>
      </w:r>
      <w:r>
        <w:t xml:space="preserve"> Mary S. </w:t>
      </w:r>
      <w:proofErr w:type="spellStart"/>
      <w:r>
        <w:t>McCobb</w:t>
      </w:r>
      <w:proofErr w:type="spellEnd"/>
      <w:r>
        <w:t xml:space="preserve">, “Who Shall be Captain?” </w:t>
      </w:r>
      <w:r>
        <w:rPr>
          <w:i/>
          <w:iCs/>
        </w:rPr>
        <w:t>Harper’s Young People</w:t>
      </w:r>
      <w:r>
        <w:t xml:space="preserve"> (July 2</w:t>
      </w:r>
      <w:proofErr w:type="gramStart"/>
      <w:r>
        <w:t xml:space="preserve"> 1889</w:t>
      </w:r>
      <w:proofErr w:type="gramEnd"/>
      <w:r>
        <w:t>), 602-5, 602.</w:t>
      </w:r>
    </w:p>
  </w:footnote>
  <w:footnote w:id="71">
    <w:p w14:paraId="33CD93CF" w14:textId="4A95EB8F" w:rsidR="003B1C3B" w:rsidRDefault="003B1C3B">
      <w:pPr>
        <w:pStyle w:val="FootnoteText"/>
      </w:pPr>
      <w:r>
        <w:rPr>
          <w:rStyle w:val="FootnoteReference"/>
        </w:rPr>
        <w:footnoteRef/>
      </w:r>
      <w:r>
        <w:t xml:space="preserve"> </w:t>
      </w:r>
      <w:r w:rsidRPr="00C0280D">
        <w:t xml:space="preserve">Mary </w:t>
      </w:r>
      <w:proofErr w:type="spellStart"/>
      <w:r w:rsidRPr="00C0280D">
        <w:t>Densel</w:t>
      </w:r>
      <w:proofErr w:type="spellEnd"/>
      <w:r w:rsidRPr="00C0280D">
        <w:t>, “</w:t>
      </w:r>
      <w:proofErr w:type="spellStart"/>
      <w:r w:rsidRPr="00C0280D">
        <w:t>Katinka’s</w:t>
      </w:r>
      <w:proofErr w:type="spellEnd"/>
      <w:r w:rsidRPr="00C0280D">
        <w:t xml:space="preserve"> Candy Scrape</w:t>
      </w:r>
      <w:r>
        <w:t>,”</w:t>
      </w:r>
      <w:r w:rsidRPr="00C0280D">
        <w:t xml:space="preserve"> </w:t>
      </w:r>
      <w:r w:rsidRPr="00C0280D">
        <w:rPr>
          <w:i/>
        </w:rPr>
        <w:t>Harper’s Young People</w:t>
      </w:r>
      <w:r>
        <w:t xml:space="preserve"> (July 1, 1884), 554-</w:t>
      </w:r>
      <w:r w:rsidRPr="00C0280D">
        <w:t>56.</w:t>
      </w:r>
    </w:p>
  </w:footnote>
  <w:footnote w:id="72">
    <w:p w14:paraId="70AC44E9" w14:textId="51A4C135" w:rsidR="003B1C3B" w:rsidRPr="00725649" w:rsidRDefault="003B1C3B">
      <w:pPr>
        <w:pStyle w:val="FootnoteText"/>
      </w:pPr>
      <w:r>
        <w:rPr>
          <w:rStyle w:val="FootnoteReference"/>
        </w:rPr>
        <w:footnoteRef/>
      </w:r>
      <w:r>
        <w:t xml:space="preserve"> Emily Huntington Miller, “The Siege of Tarrytown,” </w:t>
      </w:r>
      <w:r>
        <w:rPr>
          <w:i/>
          <w:iCs/>
        </w:rPr>
        <w:t>Harper’s Young People</w:t>
      </w:r>
      <w:r>
        <w:t xml:space="preserve"> (April 29</w:t>
      </w:r>
      <w:proofErr w:type="gramStart"/>
      <w:r>
        <w:t xml:space="preserve"> 1884</w:t>
      </w:r>
      <w:proofErr w:type="gramEnd"/>
      <w:r>
        <w:t>), 401-3. 402.</w:t>
      </w:r>
    </w:p>
  </w:footnote>
  <w:footnote w:id="73">
    <w:p w14:paraId="1BDCA13F" w14:textId="4E2CB66B" w:rsidR="003B1C3B" w:rsidRDefault="003B1C3B">
      <w:pPr>
        <w:pStyle w:val="FootnoteText"/>
      </w:pPr>
      <w:r>
        <w:rPr>
          <w:rStyle w:val="FootnoteReference"/>
        </w:rPr>
        <w:footnoteRef/>
      </w:r>
      <w:r>
        <w:t xml:space="preserve"> William O. Stoddard, “Saltillo Boys,” </w:t>
      </w:r>
      <w:r>
        <w:rPr>
          <w:i/>
          <w:iCs/>
        </w:rPr>
        <w:t>St. Nicholas</w:t>
      </w:r>
      <w:r>
        <w:t xml:space="preserve"> (August 1881), 799-807, 805.</w:t>
      </w:r>
    </w:p>
  </w:footnote>
  <w:footnote w:id="74">
    <w:p w14:paraId="7A22B870" w14:textId="48CB363F" w:rsidR="003B1C3B" w:rsidRPr="00C0280D" w:rsidRDefault="003B1C3B" w:rsidP="0045462D">
      <w:pPr>
        <w:pStyle w:val="FootnoteText"/>
      </w:pPr>
      <w:r w:rsidRPr="00C0280D">
        <w:rPr>
          <w:vertAlign w:val="superscript"/>
        </w:rPr>
        <w:footnoteRef/>
      </w:r>
      <w:r w:rsidRPr="00C0280D">
        <w:t xml:space="preserve"> Zach McGhee, “A Study in the Play Life of Some South Carolina Children</w:t>
      </w:r>
      <w:r>
        <w:t>,”</w:t>
      </w:r>
      <w:r w:rsidRPr="00C0280D">
        <w:t xml:space="preserve"> </w:t>
      </w:r>
      <w:r w:rsidRPr="00C0280D">
        <w:rPr>
          <w:i/>
        </w:rPr>
        <w:t>The Pedagogical Seminary</w:t>
      </w:r>
      <w:r>
        <w:t xml:space="preserve"> (December 1900), 459-</w:t>
      </w:r>
      <w:r w:rsidRPr="00C0280D">
        <w:t>78, 465.</w:t>
      </w:r>
    </w:p>
  </w:footnote>
  <w:footnote w:id="75">
    <w:p w14:paraId="1661A87A" w14:textId="77777777" w:rsidR="00763B47" w:rsidRPr="00C0280D" w:rsidRDefault="00763B47" w:rsidP="00763B47">
      <w:pPr>
        <w:pStyle w:val="FootnoteText"/>
      </w:pPr>
      <w:r w:rsidRPr="00C0280D">
        <w:rPr>
          <w:vertAlign w:val="superscript"/>
        </w:rPr>
        <w:footnoteRef/>
      </w:r>
      <w:r w:rsidRPr="00C0280D">
        <w:t xml:space="preserve"> Debra A. Shattuck, </w:t>
      </w:r>
      <w:r w:rsidRPr="00C0280D">
        <w:rPr>
          <w:i/>
        </w:rPr>
        <w:t>Bloomer Girls: Women Baseball Pioneers</w:t>
      </w:r>
      <w:r w:rsidRPr="00C0280D">
        <w:t xml:space="preserve"> (Carbondale: University of Illinois Press, 2017), 24, 138.</w:t>
      </w:r>
    </w:p>
  </w:footnote>
  <w:footnote w:id="76">
    <w:p w14:paraId="6532FD55" w14:textId="76C14CB5" w:rsidR="00763B47" w:rsidRDefault="00763B47">
      <w:pPr>
        <w:pStyle w:val="FootnoteText"/>
      </w:pPr>
      <w:r>
        <w:rPr>
          <w:rStyle w:val="FootnoteReference"/>
        </w:rPr>
        <w:footnoteRef/>
      </w:r>
      <w:r>
        <w:t xml:space="preserve"> </w:t>
      </w:r>
      <w:proofErr w:type="spellStart"/>
      <w:r>
        <w:t>Jeannettte</w:t>
      </w:r>
      <w:proofErr w:type="spellEnd"/>
      <w:r>
        <w:t xml:space="preserve"> L. Gilder, </w:t>
      </w:r>
      <w:r>
        <w:rPr>
          <w:i/>
          <w:iCs/>
        </w:rPr>
        <w:t>The Autobiography of a Tomboy</w:t>
      </w:r>
      <w:r>
        <w:t xml:space="preserve"> (New York: Doubleday, Page &amp; Co., 1901), 287.</w:t>
      </w:r>
    </w:p>
  </w:footnote>
  <w:footnote w:id="77">
    <w:p w14:paraId="210A96A0" w14:textId="77777777" w:rsidR="003B1C3B" w:rsidRPr="00C0280D" w:rsidRDefault="003B1C3B" w:rsidP="0045462D">
      <w:pPr>
        <w:pStyle w:val="FootnoteText"/>
      </w:pPr>
      <w:r w:rsidRPr="00C0280D">
        <w:rPr>
          <w:vertAlign w:val="superscript"/>
        </w:rPr>
        <w:footnoteRef/>
      </w:r>
      <w:r w:rsidRPr="00C0280D">
        <w:t xml:space="preserve"> Debra A. Shattuck, </w:t>
      </w:r>
      <w:r w:rsidRPr="00C0280D">
        <w:rPr>
          <w:i/>
        </w:rPr>
        <w:t>Bloomer Girls: Women Baseball Pioneers</w:t>
      </w:r>
      <w:r w:rsidRPr="00C0280D">
        <w:t xml:space="preserve"> (Carbondale: University of Illinois Press, 2017), 24, 138.</w:t>
      </w:r>
    </w:p>
  </w:footnote>
  <w:footnote w:id="78">
    <w:p w14:paraId="2E414E5E" w14:textId="1688CC1B" w:rsidR="003B1C3B" w:rsidRPr="00C0280D" w:rsidRDefault="003B1C3B" w:rsidP="0045462D">
      <w:pPr>
        <w:pStyle w:val="FootnoteText"/>
      </w:pPr>
      <w:r w:rsidRPr="00C0280D">
        <w:rPr>
          <w:vertAlign w:val="superscript"/>
        </w:rPr>
        <w:footnoteRef/>
      </w:r>
      <w:r w:rsidRPr="00C0280D">
        <w:t xml:space="preserve"> Amber </w:t>
      </w:r>
      <w:proofErr w:type="spellStart"/>
      <w:r w:rsidRPr="00C0280D">
        <w:t>Roessner</w:t>
      </w:r>
      <w:proofErr w:type="spellEnd"/>
      <w:r w:rsidRPr="00C0280D">
        <w:t>, “The New Woman as Athlete: Coverage of the Sporting Woman in the Gilded Age Press</w:t>
      </w:r>
      <w:r>
        <w:t>,”</w:t>
      </w:r>
      <w:r w:rsidRPr="00C0280D">
        <w:t xml:space="preserve"> in David B. </w:t>
      </w:r>
      <w:proofErr w:type="spellStart"/>
      <w:r w:rsidRPr="00C0280D">
        <w:t>Sachsman</w:t>
      </w:r>
      <w:proofErr w:type="spellEnd"/>
      <w:r w:rsidRPr="00C0280D">
        <w:t xml:space="preserve"> ed., </w:t>
      </w:r>
      <w:r w:rsidRPr="00C0280D">
        <w:rPr>
          <w:i/>
        </w:rPr>
        <w:t xml:space="preserve">After </w:t>
      </w:r>
      <w:proofErr w:type="gramStart"/>
      <w:r w:rsidRPr="00C0280D">
        <w:rPr>
          <w:i/>
        </w:rPr>
        <w:t>The</w:t>
      </w:r>
      <w:proofErr w:type="gramEnd"/>
      <w:r w:rsidRPr="00C0280D">
        <w:rPr>
          <w:i/>
        </w:rPr>
        <w:t xml:space="preserve"> War: The Press in a Changing America, 1865–1900</w:t>
      </w:r>
      <w:r w:rsidRPr="00C0280D">
        <w:t xml:space="preserve"> (N</w:t>
      </w:r>
      <w:r>
        <w:t>ew York: Routledge, 2017), 341-</w:t>
      </w:r>
      <w:r w:rsidRPr="00C0280D">
        <w:t>55, 348, 349, 345.</w:t>
      </w:r>
    </w:p>
  </w:footnote>
  <w:footnote w:id="79">
    <w:p w14:paraId="2E989F8A" w14:textId="2A8DEF5C" w:rsidR="00763B47" w:rsidRPr="00763B47" w:rsidRDefault="00763B47">
      <w:pPr>
        <w:pStyle w:val="FootnoteText"/>
      </w:pPr>
      <w:r>
        <w:rPr>
          <w:rStyle w:val="FootnoteReference"/>
        </w:rPr>
        <w:footnoteRef/>
      </w:r>
      <w:r>
        <w:t xml:space="preserve"> Gilder, </w:t>
      </w:r>
      <w:r>
        <w:rPr>
          <w:i/>
          <w:iCs/>
        </w:rPr>
        <w:t>Autobiography</w:t>
      </w:r>
      <w:r>
        <w:t>, 289.</w:t>
      </w:r>
    </w:p>
  </w:footnote>
  <w:footnote w:id="80">
    <w:p w14:paraId="1A68489D" w14:textId="0183325E" w:rsidR="003B1C3B" w:rsidRPr="00C0280D" w:rsidRDefault="003B1C3B" w:rsidP="0045462D">
      <w:pPr>
        <w:pStyle w:val="FootnoteText"/>
      </w:pPr>
      <w:r w:rsidRPr="00C0280D">
        <w:rPr>
          <w:vertAlign w:val="superscript"/>
        </w:rPr>
        <w:footnoteRef/>
      </w:r>
      <w:r w:rsidRPr="00C0280D">
        <w:t xml:space="preserve"> Kathleen E. </w:t>
      </w:r>
      <w:proofErr w:type="spellStart"/>
      <w:r w:rsidRPr="00C0280D">
        <w:t>McCrone</w:t>
      </w:r>
      <w:proofErr w:type="spellEnd"/>
      <w:r w:rsidRPr="00C0280D">
        <w:t>, “Play Up! Play Up! and Play the Game! Sport at the Late Victorian Girls' Public School</w:t>
      </w:r>
      <w:r>
        <w:t>,”</w:t>
      </w:r>
      <w:r w:rsidRPr="00C0280D">
        <w:t xml:space="preserve"> </w:t>
      </w:r>
      <w:r w:rsidRPr="00C0280D">
        <w:rPr>
          <w:i/>
        </w:rPr>
        <w:t>Journal of British Studies</w:t>
      </w:r>
      <w:r w:rsidRPr="00C0280D">
        <w:t xml:space="preserve">, </w:t>
      </w:r>
      <w:r w:rsidR="00C33FF8">
        <w:t xml:space="preserve">Volume 23, Issue </w:t>
      </w:r>
      <w:r w:rsidRPr="00C0280D">
        <w:t xml:space="preserve">2 (1984), 106-34, 133. </w:t>
      </w:r>
    </w:p>
  </w:footnote>
  <w:footnote w:id="81">
    <w:p w14:paraId="2DB6680F" w14:textId="7C079081" w:rsidR="003B1C3B" w:rsidRPr="00C0280D" w:rsidRDefault="003B1C3B" w:rsidP="0045462D">
      <w:pPr>
        <w:pStyle w:val="FootnoteText"/>
      </w:pPr>
      <w:r w:rsidRPr="00C0280D">
        <w:rPr>
          <w:vertAlign w:val="superscript"/>
        </w:rPr>
        <w:footnoteRef/>
      </w:r>
      <w:r w:rsidRPr="00C0280D">
        <w:t xml:space="preserve"> Edith Robinson, “Bobby’s Business Experience</w:t>
      </w:r>
      <w:r>
        <w:t>,”</w:t>
      </w:r>
      <w:r w:rsidRPr="00C0280D">
        <w:t xml:space="preserve"> </w:t>
      </w:r>
      <w:r w:rsidRPr="00C0280D">
        <w:rPr>
          <w:i/>
        </w:rPr>
        <w:t>Wide Awake</w:t>
      </w:r>
      <w:r>
        <w:t xml:space="preserve"> (September 1883), 230-</w:t>
      </w:r>
      <w:r w:rsidRPr="00C0280D">
        <w:t>36, 234.</w:t>
      </w:r>
    </w:p>
  </w:footnote>
  <w:footnote w:id="82">
    <w:p w14:paraId="49C2C3B1" w14:textId="0352B21E" w:rsidR="003B1C3B" w:rsidRPr="00C0280D" w:rsidRDefault="003B1C3B" w:rsidP="0045462D">
      <w:pPr>
        <w:pStyle w:val="FootnoteText"/>
      </w:pPr>
      <w:r w:rsidRPr="00C0280D">
        <w:rPr>
          <w:vertAlign w:val="superscript"/>
        </w:rPr>
        <w:footnoteRef/>
      </w:r>
      <w:r w:rsidRPr="00C0280D">
        <w:t xml:space="preserve"> Louisa May Alcott, “The Hare and the Tortoise. II</w:t>
      </w:r>
      <w:r>
        <w:t>,”</w:t>
      </w:r>
      <w:r w:rsidRPr="00C0280D">
        <w:t xml:space="preserve"> </w:t>
      </w:r>
      <w:r>
        <w:rPr>
          <w:i/>
        </w:rPr>
        <w:t>St. Nicholas</w:t>
      </w:r>
      <w:r w:rsidRPr="00C0280D">
        <w:rPr>
          <w:i/>
        </w:rPr>
        <w:t xml:space="preserve"> Magazine</w:t>
      </w:r>
      <w:r>
        <w:t xml:space="preserve"> (January 1885), 177-</w:t>
      </w:r>
      <w:r w:rsidRPr="00C0280D">
        <w:t>81, 177.</w:t>
      </w:r>
    </w:p>
  </w:footnote>
  <w:footnote w:id="83">
    <w:p w14:paraId="4FDA38A3" w14:textId="722A228F" w:rsidR="003B1C3B" w:rsidRPr="006F78F2" w:rsidRDefault="003B1C3B">
      <w:pPr>
        <w:pStyle w:val="FootnoteText"/>
      </w:pPr>
      <w:r>
        <w:rPr>
          <w:rStyle w:val="FootnoteReference"/>
        </w:rPr>
        <w:footnoteRef/>
      </w:r>
      <w:r>
        <w:t xml:space="preserve"> M.E.B., “A Daniel Come to Judgment!” </w:t>
      </w:r>
      <w:r>
        <w:rPr>
          <w:i/>
          <w:iCs/>
        </w:rPr>
        <w:t>Wide Awake</w:t>
      </w:r>
      <w:r>
        <w:t xml:space="preserve"> (April 1885) 291.</w:t>
      </w:r>
    </w:p>
  </w:footnote>
  <w:footnote w:id="84">
    <w:p w14:paraId="01BBAF2B" w14:textId="5A207354" w:rsidR="003B1C3B" w:rsidRPr="00C0280D" w:rsidRDefault="003B1C3B" w:rsidP="0045462D">
      <w:pPr>
        <w:pStyle w:val="FootnoteText"/>
      </w:pPr>
      <w:r w:rsidRPr="00C0280D">
        <w:rPr>
          <w:vertAlign w:val="superscript"/>
        </w:rPr>
        <w:footnoteRef/>
      </w:r>
      <w:r w:rsidRPr="00C0280D">
        <w:t xml:space="preserve"> N. P. Babcock, “The National Game</w:t>
      </w:r>
      <w:r>
        <w:t>,”</w:t>
      </w:r>
      <w:r w:rsidRPr="00C0280D">
        <w:t xml:space="preserve"> </w:t>
      </w:r>
      <w:r w:rsidRPr="00C0280D">
        <w:rPr>
          <w:i/>
        </w:rPr>
        <w:t>Harper’s Young People</w:t>
      </w:r>
      <w:r w:rsidRPr="00C0280D">
        <w:t xml:space="preserve"> (August 17</w:t>
      </w:r>
      <w:proofErr w:type="gramStart"/>
      <w:r w:rsidRPr="00C0280D">
        <w:t xml:space="preserve"> 1886</w:t>
      </w:r>
      <w:proofErr w:type="gramEnd"/>
      <w:r w:rsidRPr="00C0280D">
        <w:t>), 663-65, 663.</w:t>
      </w:r>
    </w:p>
  </w:footnote>
  <w:footnote w:id="85">
    <w:p w14:paraId="183BB1F5" w14:textId="1DD2D6CB" w:rsidR="003B1C3B" w:rsidRPr="00C0280D" w:rsidRDefault="003B1C3B" w:rsidP="0045462D">
      <w:pPr>
        <w:pStyle w:val="FootnoteText"/>
      </w:pPr>
      <w:r w:rsidRPr="00C0280D">
        <w:rPr>
          <w:vertAlign w:val="superscript"/>
        </w:rPr>
        <w:footnoteRef/>
      </w:r>
      <w:r w:rsidRPr="00C0280D">
        <w:t xml:space="preserve"> Jimmy Brown, “Freckles</w:t>
      </w:r>
      <w:r>
        <w:t>,”</w:t>
      </w:r>
      <w:r w:rsidRPr="00C0280D">
        <w:t xml:space="preserve"> </w:t>
      </w:r>
      <w:r w:rsidRPr="00C0280D">
        <w:rPr>
          <w:i/>
        </w:rPr>
        <w:t>Harper’s Young People</w:t>
      </w:r>
      <w:r>
        <w:t xml:space="preserve"> (September 16</w:t>
      </w:r>
      <w:proofErr w:type="gramStart"/>
      <w:r>
        <w:t xml:space="preserve"> 1884</w:t>
      </w:r>
      <w:proofErr w:type="gramEnd"/>
      <w:r>
        <w:t>), 732-</w:t>
      </w:r>
      <w:r w:rsidRPr="00C0280D">
        <w:t>32.</w:t>
      </w:r>
    </w:p>
  </w:footnote>
  <w:footnote w:id="86">
    <w:p w14:paraId="4526B35C" w14:textId="46429E74" w:rsidR="003B1C3B" w:rsidRDefault="003B1C3B">
      <w:pPr>
        <w:pStyle w:val="FootnoteText"/>
      </w:pPr>
      <w:r>
        <w:rPr>
          <w:rStyle w:val="FootnoteReference"/>
        </w:rPr>
        <w:footnoteRef/>
      </w:r>
      <w:r>
        <w:t xml:space="preserve"> Eldridge S. Brooks, “Summer Sports,” </w:t>
      </w:r>
      <w:r>
        <w:rPr>
          <w:i/>
          <w:iCs/>
        </w:rPr>
        <w:t>Wide Awake</w:t>
      </w:r>
      <w:r>
        <w:t xml:space="preserve"> (August 1887), 168-78, 178.</w:t>
      </w:r>
    </w:p>
  </w:footnote>
  <w:footnote w:id="87">
    <w:p w14:paraId="78BBB978" w14:textId="6E3502FA" w:rsidR="003B1C3B" w:rsidRPr="00C0280D" w:rsidRDefault="003B1C3B" w:rsidP="0045462D">
      <w:pPr>
        <w:pStyle w:val="FootnoteText"/>
      </w:pPr>
      <w:r w:rsidRPr="00C0280D">
        <w:rPr>
          <w:vertAlign w:val="superscript"/>
        </w:rPr>
        <w:footnoteRef/>
      </w:r>
      <w:r w:rsidRPr="00C0280D">
        <w:t xml:space="preserve"> Mary </w:t>
      </w:r>
      <w:proofErr w:type="spellStart"/>
      <w:r w:rsidRPr="00C0280D">
        <w:t>Densel</w:t>
      </w:r>
      <w:proofErr w:type="spellEnd"/>
      <w:r w:rsidRPr="00C0280D">
        <w:t>, “</w:t>
      </w:r>
      <w:proofErr w:type="spellStart"/>
      <w:r w:rsidRPr="00C0280D">
        <w:t>Katinka’s</w:t>
      </w:r>
      <w:proofErr w:type="spellEnd"/>
      <w:r w:rsidRPr="00C0280D">
        <w:t xml:space="preserve"> Candy Scrape</w:t>
      </w:r>
      <w:r>
        <w:t>,”</w:t>
      </w:r>
      <w:r w:rsidRPr="00C0280D">
        <w:t xml:space="preserve"> </w:t>
      </w:r>
      <w:r w:rsidRPr="00C0280D">
        <w:rPr>
          <w:i/>
        </w:rPr>
        <w:t>Harper’s Young People</w:t>
      </w:r>
      <w:r>
        <w:t xml:space="preserve"> (July 1, 1884), 554-</w:t>
      </w:r>
      <w:r w:rsidRPr="00C0280D">
        <w:t xml:space="preserve">56. </w:t>
      </w:r>
    </w:p>
  </w:footnote>
  <w:footnote w:id="88">
    <w:p w14:paraId="54C723C2" w14:textId="78DCF23B" w:rsidR="003B1C3B" w:rsidRPr="00C0280D" w:rsidRDefault="003B1C3B" w:rsidP="0045462D">
      <w:pPr>
        <w:pStyle w:val="FootnoteText"/>
      </w:pPr>
      <w:r w:rsidRPr="00C0280D">
        <w:rPr>
          <w:vertAlign w:val="superscript"/>
        </w:rPr>
        <w:footnoteRef/>
      </w:r>
      <w:r w:rsidRPr="00C0280D">
        <w:t xml:space="preserve"> “The Letter-Box</w:t>
      </w:r>
      <w:r>
        <w:t>,”</w:t>
      </w:r>
      <w:r w:rsidRPr="00C0280D">
        <w:t xml:space="preserve"> </w:t>
      </w:r>
      <w:r>
        <w:rPr>
          <w:i/>
        </w:rPr>
        <w:t>St. Nicholas</w:t>
      </w:r>
      <w:r w:rsidRPr="00C0280D">
        <w:rPr>
          <w:i/>
        </w:rPr>
        <w:t xml:space="preserve"> Magazine</w:t>
      </w:r>
      <w:r>
        <w:t xml:space="preserve"> (May 1886), 554-</w:t>
      </w:r>
      <w:r w:rsidRPr="00C0280D">
        <w:t>56, 556.</w:t>
      </w:r>
    </w:p>
  </w:footnote>
  <w:footnote w:id="89">
    <w:p w14:paraId="76B3AA5B" w14:textId="625383D5" w:rsidR="003B1C3B" w:rsidRPr="00C0280D" w:rsidRDefault="003B1C3B" w:rsidP="0045462D">
      <w:pPr>
        <w:pStyle w:val="FootnoteText"/>
      </w:pPr>
      <w:r w:rsidRPr="00C0280D">
        <w:rPr>
          <w:vertAlign w:val="superscript"/>
        </w:rPr>
        <w:footnoteRef/>
      </w:r>
      <w:r w:rsidRPr="00C0280D">
        <w:t xml:space="preserve"> “Our Post-Office Box</w:t>
      </w:r>
      <w:r>
        <w:t>,”</w:t>
      </w:r>
      <w:r w:rsidRPr="00C0280D">
        <w:t xml:space="preserve"> </w:t>
      </w:r>
      <w:r w:rsidRPr="00C0280D">
        <w:rPr>
          <w:i/>
        </w:rPr>
        <w:t>Harper’s Young People</w:t>
      </w:r>
      <w:r w:rsidRPr="00C0280D">
        <w:t xml:space="preserve"> (November 10, 1885), 30-31, 31.</w:t>
      </w:r>
    </w:p>
  </w:footnote>
  <w:footnote w:id="90">
    <w:p w14:paraId="659B5FF0" w14:textId="361CE404" w:rsidR="003B1C3B" w:rsidRPr="00C0280D" w:rsidRDefault="003B1C3B" w:rsidP="0045462D">
      <w:pPr>
        <w:pStyle w:val="FootnoteText"/>
      </w:pPr>
      <w:r w:rsidRPr="00C0280D">
        <w:rPr>
          <w:vertAlign w:val="superscript"/>
        </w:rPr>
        <w:footnoteRef/>
      </w:r>
      <w:r w:rsidRPr="00C0280D">
        <w:t xml:space="preserve"> “Our Post-Office Box</w:t>
      </w:r>
      <w:r>
        <w:t>,”</w:t>
      </w:r>
      <w:r w:rsidRPr="00C0280D">
        <w:t xml:space="preserve"> </w:t>
      </w:r>
      <w:r w:rsidRPr="00C0280D">
        <w:rPr>
          <w:i/>
        </w:rPr>
        <w:t>Harper’s Young People</w:t>
      </w:r>
      <w:r>
        <w:t xml:space="preserve"> (October 8</w:t>
      </w:r>
      <w:proofErr w:type="gramStart"/>
      <w:r>
        <w:t xml:space="preserve"> 1889</w:t>
      </w:r>
      <w:proofErr w:type="gramEnd"/>
      <w:r>
        <w:t>), 850-</w:t>
      </w:r>
      <w:r w:rsidRPr="00C0280D">
        <w:t>51, 851.</w:t>
      </w:r>
    </w:p>
  </w:footnote>
  <w:footnote w:id="91">
    <w:p w14:paraId="14BC7632" w14:textId="22129C7E" w:rsidR="003B1C3B" w:rsidRPr="00C0280D" w:rsidRDefault="003B1C3B" w:rsidP="0045462D">
      <w:pPr>
        <w:pStyle w:val="FootnoteText"/>
      </w:pPr>
      <w:r w:rsidRPr="00C0280D">
        <w:rPr>
          <w:vertAlign w:val="superscript"/>
        </w:rPr>
        <w:footnoteRef/>
      </w:r>
      <w:r w:rsidRPr="00C0280D">
        <w:t xml:space="preserve"> “Our Post-Office Box</w:t>
      </w:r>
      <w:r>
        <w:t>,”</w:t>
      </w:r>
      <w:r w:rsidRPr="00C0280D">
        <w:t xml:space="preserve"> </w:t>
      </w:r>
      <w:r w:rsidRPr="00C0280D">
        <w:rPr>
          <w:i/>
        </w:rPr>
        <w:t>Harper’s Young People</w:t>
      </w:r>
      <w:r>
        <w:t xml:space="preserve"> (October 5</w:t>
      </w:r>
      <w:proofErr w:type="gramStart"/>
      <w:r>
        <w:t xml:space="preserve"> 1886</w:t>
      </w:r>
      <w:proofErr w:type="gramEnd"/>
      <w:r>
        <w:t>), 786-</w:t>
      </w:r>
      <w:r w:rsidRPr="00C0280D">
        <w:t>87, 786.</w:t>
      </w:r>
    </w:p>
  </w:footnote>
  <w:footnote w:id="92">
    <w:p w14:paraId="1D0F273F" w14:textId="22690CC1" w:rsidR="003B1C3B" w:rsidRPr="00C0280D" w:rsidRDefault="003B1C3B" w:rsidP="0045462D">
      <w:pPr>
        <w:pStyle w:val="FootnoteText"/>
      </w:pPr>
      <w:r w:rsidRPr="00C0280D">
        <w:rPr>
          <w:vertAlign w:val="superscript"/>
        </w:rPr>
        <w:footnoteRef/>
      </w:r>
      <w:r w:rsidRPr="00C0280D">
        <w:t xml:space="preserve"> “The Letter-Box</w:t>
      </w:r>
      <w:r>
        <w:t>,”</w:t>
      </w:r>
      <w:r w:rsidRPr="00C0280D">
        <w:t xml:space="preserve"> </w:t>
      </w:r>
      <w:r>
        <w:rPr>
          <w:i/>
        </w:rPr>
        <w:t>St. Nicholas</w:t>
      </w:r>
      <w:r w:rsidRPr="00C0280D">
        <w:rPr>
          <w:i/>
        </w:rPr>
        <w:t xml:space="preserve"> Magazine</w:t>
      </w:r>
      <w:r w:rsidRPr="00C0280D">
        <w:t xml:space="preserve"> (December 1886), 155.</w:t>
      </w:r>
    </w:p>
  </w:footnote>
  <w:footnote w:id="93">
    <w:p w14:paraId="69614F83" w14:textId="44D08B86" w:rsidR="003B1C3B" w:rsidRPr="00C0280D" w:rsidRDefault="003B1C3B" w:rsidP="0045462D">
      <w:pPr>
        <w:pStyle w:val="FootnoteText"/>
      </w:pPr>
      <w:r w:rsidRPr="00C0280D">
        <w:rPr>
          <w:vertAlign w:val="superscript"/>
        </w:rPr>
        <w:footnoteRef/>
      </w:r>
      <w:r w:rsidRPr="00C0280D">
        <w:t xml:space="preserve"> M.E.S., “In </w:t>
      </w:r>
      <w:proofErr w:type="gramStart"/>
      <w:r w:rsidRPr="00C0280D">
        <w:t>The</w:t>
      </w:r>
      <w:proofErr w:type="gramEnd"/>
      <w:r w:rsidRPr="00C0280D">
        <w:t xml:space="preserve"> End of the Century</w:t>
      </w:r>
      <w:r>
        <w:t>,”</w:t>
      </w:r>
      <w:r w:rsidRPr="00C0280D">
        <w:t xml:space="preserve"> </w:t>
      </w:r>
      <w:r w:rsidRPr="00C0280D">
        <w:rPr>
          <w:i/>
        </w:rPr>
        <w:t>Harper’s Young People</w:t>
      </w:r>
      <w:r w:rsidRPr="00C0280D">
        <w:t xml:space="preserve"> (November 29 1892), 95. </w:t>
      </w:r>
    </w:p>
  </w:footnote>
  <w:footnote w:id="94">
    <w:p w14:paraId="55343433" w14:textId="0F8928A7" w:rsidR="003B1C3B" w:rsidRPr="00C0280D" w:rsidRDefault="003B1C3B" w:rsidP="0045462D">
      <w:pPr>
        <w:pStyle w:val="FootnoteText"/>
      </w:pPr>
      <w:r w:rsidRPr="00C0280D">
        <w:rPr>
          <w:vertAlign w:val="superscript"/>
        </w:rPr>
        <w:footnoteRef/>
      </w:r>
      <w:r w:rsidRPr="00C0280D">
        <w:t xml:space="preserve"> Claudia Nelson, “The Convergence of the Twain: Representations of Asians in </w:t>
      </w:r>
      <w:r>
        <w:rPr>
          <w:i/>
        </w:rPr>
        <w:t>St. Nicholas</w:t>
      </w:r>
      <w:r w:rsidRPr="00C0280D">
        <w:t xml:space="preserve"> Magazine, 1888-1910</w:t>
      </w:r>
      <w:r>
        <w:t>,”</w:t>
      </w:r>
      <w:r w:rsidRPr="00C0280D">
        <w:t xml:space="preserve"> in Benson Tong ed., </w:t>
      </w:r>
      <w:r w:rsidRPr="00C0280D">
        <w:rPr>
          <w:i/>
        </w:rPr>
        <w:t>Asian American Children: A Historical Handbook and Guide</w:t>
      </w:r>
      <w:r w:rsidRPr="00C0280D">
        <w:t xml:space="preserve"> (Westport, Connecticut: Greenwood Press, 2004), 47-64, 48.</w:t>
      </w:r>
    </w:p>
  </w:footnote>
  <w:footnote w:id="95">
    <w:p w14:paraId="4EC359AD" w14:textId="343A25FB" w:rsidR="003B1C3B" w:rsidRPr="00C0280D" w:rsidRDefault="003B1C3B" w:rsidP="0045462D">
      <w:pPr>
        <w:pStyle w:val="FootnoteText"/>
      </w:pPr>
      <w:r w:rsidRPr="00C0280D">
        <w:rPr>
          <w:vertAlign w:val="superscript"/>
        </w:rPr>
        <w:footnoteRef/>
      </w:r>
      <w:r w:rsidRPr="00C0280D">
        <w:t xml:space="preserve"> Henry W. Jessup, “The Amusements of Arab Children</w:t>
      </w:r>
      <w:r>
        <w:t>,”</w:t>
      </w:r>
      <w:r w:rsidRPr="00C0280D">
        <w:t xml:space="preserve"> </w:t>
      </w:r>
      <w:r>
        <w:rPr>
          <w:i/>
        </w:rPr>
        <w:t>St. Nicholas</w:t>
      </w:r>
      <w:r w:rsidRPr="00C0280D">
        <w:rPr>
          <w:i/>
        </w:rPr>
        <w:t xml:space="preserve"> Magazine</w:t>
      </w:r>
      <w:r>
        <w:t xml:space="preserve"> (January 1888), 174-</w:t>
      </w:r>
      <w:r w:rsidRPr="00C0280D">
        <w:t>79.</w:t>
      </w:r>
    </w:p>
  </w:footnote>
  <w:footnote w:id="96">
    <w:p w14:paraId="375410D3" w14:textId="0E804717" w:rsidR="003B1C3B" w:rsidRPr="00C0280D" w:rsidRDefault="003B1C3B" w:rsidP="0045462D">
      <w:pPr>
        <w:pStyle w:val="FootnoteText"/>
      </w:pPr>
      <w:r w:rsidRPr="00C0280D">
        <w:rPr>
          <w:vertAlign w:val="superscript"/>
        </w:rPr>
        <w:footnoteRef/>
      </w:r>
      <w:r w:rsidRPr="00C0280D">
        <w:t xml:space="preserve"> Lieut. Frederick </w:t>
      </w:r>
      <w:proofErr w:type="spellStart"/>
      <w:r w:rsidRPr="00C0280D">
        <w:t>Shwatka</w:t>
      </w:r>
      <w:proofErr w:type="spellEnd"/>
      <w:r w:rsidRPr="00C0280D">
        <w:t>, “The Children of the Cold: Third Paper</w:t>
      </w:r>
      <w:r>
        <w:t>,”</w:t>
      </w:r>
      <w:r w:rsidRPr="00C0280D">
        <w:t xml:space="preserve"> </w:t>
      </w:r>
      <w:r>
        <w:rPr>
          <w:i/>
        </w:rPr>
        <w:t>St. Nicholas</w:t>
      </w:r>
      <w:r w:rsidRPr="00C0280D">
        <w:rPr>
          <w:i/>
        </w:rPr>
        <w:t xml:space="preserve"> Magazine</w:t>
      </w:r>
      <w:r>
        <w:t xml:space="preserve"> (May 1885), 513-</w:t>
      </w:r>
      <w:r w:rsidRPr="00C0280D">
        <w:t>18, 516.</w:t>
      </w:r>
    </w:p>
  </w:footnote>
  <w:footnote w:id="97">
    <w:p w14:paraId="2F16335D" w14:textId="1871B4E0" w:rsidR="003B1C3B" w:rsidRPr="00C0280D" w:rsidRDefault="003B1C3B" w:rsidP="0045462D">
      <w:pPr>
        <w:pStyle w:val="FootnoteText"/>
        <w:rPr>
          <w:i/>
        </w:rPr>
      </w:pPr>
      <w:r w:rsidRPr="00C0280D">
        <w:rPr>
          <w:vertAlign w:val="superscript"/>
        </w:rPr>
        <w:footnoteRef/>
      </w:r>
      <w:r w:rsidRPr="00C0280D">
        <w:t xml:space="preserve"> Yan Phou Lee, “When I Was a Boy in China: IV</w:t>
      </w:r>
      <w:r>
        <w:t>,”</w:t>
      </w:r>
      <w:r w:rsidRPr="00C0280D">
        <w:t xml:space="preserve"> </w:t>
      </w:r>
      <w:r w:rsidRPr="00C0280D">
        <w:rPr>
          <w:i/>
        </w:rPr>
        <w:t>Wide Awake</w:t>
      </w:r>
      <w:r>
        <w:t xml:space="preserve"> (March 1885), 208-</w:t>
      </w:r>
      <w:r w:rsidRPr="00C0280D">
        <w:t xml:space="preserve">10, 208. </w:t>
      </w:r>
    </w:p>
  </w:footnote>
  <w:footnote w:id="98">
    <w:p w14:paraId="01BD3FEB" w14:textId="48FB4099" w:rsidR="003B1C3B" w:rsidRPr="00C0280D" w:rsidRDefault="003B1C3B" w:rsidP="0045462D">
      <w:pPr>
        <w:pStyle w:val="FootnoteText"/>
      </w:pPr>
      <w:r w:rsidRPr="00C0280D">
        <w:rPr>
          <w:vertAlign w:val="superscript"/>
        </w:rPr>
        <w:footnoteRef/>
      </w:r>
      <w:r w:rsidRPr="00C0280D">
        <w:t xml:space="preserve"> Yan Phou Lee, “The Boys and Girls of China</w:t>
      </w:r>
      <w:r>
        <w:t>,”</w:t>
      </w:r>
      <w:r w:rsidRPr="00C0280D">
        <w:t xml:space="preserve"> </w:t>
      </w:r>
      <w:r>
        <w:rPr>
          <w:i/>
        </w:rPr>
        <w:t>St. Nicholas</w:t>
      </w:r>
      <w:r w:rsidRPr="00C0280D">
        <w:rPr>
          <w:i/>
        </w:rPr>
        <w:t xml:space="preserve"> Magazine</w:t>
      </w:r>
      <w:r>
        <w:t xml:space="preserve"> (February 1890), 362-</w:t>
      </w:r>
      <w:r w:rsidRPr="00C0280D">
        <w:t>63.</w:t>
      </w:r>
    </w:p>
  </w:footnote>
  <w:footnote w:id="99">
    <w:p w14:paraId="5449D8A3" w14:textId="7950B06F" w:rsidR="003B1C3B" w:rsidRPr="00C0280D" w:rsidRDefault="003B1C3B" w:rsidP="0045462D">
      <w:pPr>
        <w:pStyle w:val="FootnoteText"/>
      </w:pPr>
      <w:r w:rsidRPr="00C0280D">
        <w:rPr>
          <w:vertAlign w:val="superscript"/>
        </w:rPr>
        <w:footnoteRef/>
      </w:r>
      <w:r w:rsidRPr="00C0280D">
        <w:t xml:space="preserve"> Olive </w:t>
      </w:r>
      <w:proofErr w:type="spellStart"/>
      <w:r w:rsidRPr="00C0280D">
        <w:t>Risley</w:t>
      </w:r>
      <w:proofErr w:type="spellEnd"/>
      <w:r w:rsidRPr="00C0280D">
        <w:t xml:space="preserve"> Seward, “The Fourth of July at Robert College</w:t>
      </w:r>
      <w:r>
        <w:t>,”</w:t>
      </w:r>
      <w:r w:rsidRPr="00C0280D">
        <w:t xml:space="preserve"> </w:t>
      </w:r>
      <w:r w:rsidRPr="00C0280D">
        <w:rPr>
          <w:i/>
        </w:rPr>
        <w:t>Wide Awake</w:t>
      </w:r>
      <w:r w:rsidRPr="00C0280D">
        <w:t xml:space="preserve"> (July 1889), 93-99, 93, 96, 99.</w:t>
      </w:r>
    </w:p>
  </w:footnote>
  <w:footnote w:id="100">
    <w:p w14:paraId="3008BCE2" w14:textId="5EA7E986" w:rsidR="003B1C3B" w:rsidRPr="00C0280D" w:rsidRDefault="003B1C3B" w:rsidP="0045462D">
      <w:pPr>
        <w:pStyle w:val="FootnoteText"/>
      </w:pPr>
      <w:r w:rsidRPr="00C0280D">
        <w:rPr>
          <w:vertAlign w:val="superscript"/>
        </w:rPr>
        <w:footnoteRef/>
      </w:r>
      <w:r w:rsidRPr="00C0280D">
        <w:t xml:space="preserve"> Con Dura, “How Hal Carson Found the Robber</w:t>
      </w:r>
      <w:r>
        <w:t>,”</w:t>
      </w:r>
      <w:r w:rsidRPr="00C0280D">
        <w:t xml:space="preserve"> </w:t>
      </w:r>
      <w:r w:rsidRPr="00C0280D">
        <w:rPr>
          <w:i/>
        </w:rPr>
        <w:t>Harper’s Young People</w:t>
      </w:r>
      <w:r w:rsidRPr="00C0280D">
        <w:t xml:space="preserve"> (May 30, 1893), 526-</w:t>
      </w:r>
      <w:r>
        <w:t>2</w:t>
      </w:r>
      <w:r w:rsidRPr="00C0280D">
        <w:t>7, 526.</w:t>
      </w:r>
    </w:p>
  </w:footnote>
  <w:footnote w:id="101">
    <w:p w14:paraId="5A430883" w14:textId="53F3C7AC" w:rsidR="003B1C3B" w:rsidRPr="00C0280D" w:rsidRDefault="003B1C3B" w:rsidP="0045462D">
      <w:pPr>
        <w:pStyle w:val="FootnoteText"/>
      </w:pPr>
      <w:r w:rsidRPr="00C0280D">
        <w:rPr>
          <w:vertAlign w:val="superscript"/>
        </w:rPr>
        <w:footnoteRef/>
      </w:r>
      <w:r w:rsidRPr="00C0280D">
        <w:t xml:space="preserve"> Fern Kory, “Once upon a Time in </w:t>
      </w:r>
      <w:proofErr w:type="spellStart"/>
      <w:r w:rsidRPr="00C0280D">
        <w:t>Aframerica</w:t>
      </w:r>
      <w:proofErr w:type="spellEnd"/>
      <w:r w:rsidRPr="00C0280D">
        <w:t xml:space="preserve">: The ‘Peculiar’ Significance of Fairies in the </w:t>
      </w:r>
      <w:r w:rsidRPr="00C0280D">
        <w:rPr>
          <w:i/>
        </w:rPr>
        <w:t>Brownies' Book</w:t>
      </w:r>
      <w:r>
        <w:t>,”</w:t>
      </w:r>
      <w:r w:rsidRPr="00C0280D">
        <w:t xml:space="preserve"> </w:t>
      </w:r>
      <w:r w:rsidRPr="00C0280D">
        <w:rPr>
          <w:i/>
        </w:rPr>
        <w:t>Children’s Literature</w:t>
      </w:r>
      <w:r w:rsidR="00C33FF8">
        <w:rPr>
          <w:i/>
        </w:rPr>
        <w:t xml:space="preserve">, </w:t>
      </w:r>
      <w:r w:rsidR="00C33FF8">
        <w:t>Volume</w:t>
      </w:r>
      <w:r w:rsidRPr="00C0280D">
        <w:t xml:space="preserve"> 29 (2001), 91-112, 93.</w:t>
      </w:r>
    </w:p>
  </w:footnote>
  <w:footnote w:id="102">
    <w:p w14:paraId="58AA5E55" w14:textId="24279BDC" w:rsidR="003B1C3B" w:rsidRPr="00C0280D" w:rsidRDefault="003B1C3B" w:rsidP="0045462D">
      <w:pPr>
        <w:pStyle w:val="FootnoteText"/>
      </w:pPr>
      <w:r w:rsidRPr="00C0280D">
        <w:rPr>
          <w:vertAlign w:val="superscript"/>
        </w:rPr>
        <w:footnoteRef/>
      </w:r>
      <w:r w:rsidRPr="00C0280D">
        <w:t xml:space="preserve"> McGhee, “A Study in the Play Life of Some South Carolina Children</w:t>
      </w:r>
      <w:r>
        <w:t>,”</w:t>
      </w:r>
      <w:r w:rsidRPr="00C0280D">
        <w:t xml:space="preserve"> 460.</w:t>
      </w:r>
    </w:p>
  </w:footnote>
  <w:footnote w:id="103">
    <w:p w14:paraId="1AF1CD6E" w14:textId="23A3FD06" w:rsidR="003B1C3B" w:rsidRPr="00C0280D" w:rsidRDefault="003B1C3B" w:rsidP="0045462D">
      <w:pPr>
        <w:pStyle w:val="FootnoteText"/>
      </w:pPr>
      <w:r w:rsidRPr="00C0280D">
        <w:rPr>
          <w:vertAlign w:val="superscript"/>
        </w:rPr>
        <w:footnoteRef/>
      </w:r>
      <w:r w:rsidRPr="00C0280D">
        <w:t xml:space="preserve"> Timothy Shaler Williams, “The Sports of Negro Children</w:t>
      </w:r>
      <w:r>
        <w:t>,”</w:t>
      </w:r>
      <w:r w:rsidRPr="00C0280D">
        <w:t xml:space="preserve"> </w:t>
      </w:r>
      <w:r>
        <w:rPr>
          <w:i/>
        </w:rPr>
        <w:t>St. Nicholas</w:t>
      </w:r>
      <w:r w:rsidRPr="00C0280D">
        <w:rPr>
          <w:i/>
        </w:rPr>
        <w:t xml:space="preserve"> Magazine</w:t>
      </w:r>
      <w:r>
        <w:t xml:space="preserve"> (September 1903), 1004-</w:t>
      </w:r>
      <w:r w:rsidRPr="00C0280D">
        <w:t>7, 1004.</w:t>
      </w:r>
    </w:p>
  </w:footnote>
  <w:footnote w:id="104">
    <w:p w14:paraId="4962B3AD" w14:textId="77777777" w:rsidR="003B1C3B" w:rsidRPr="00C0280D" w:rsidRDefault="003B1C3B" w:rsidP="0045462D">
      <w:pPr>
        <w:pStyle w:val="FootnoteText"/>
      </w:pPr>
      <w:r w:rsidRPr="00C0280D">
        <w:rPr>
          <w:vertAlign w:val="superscript"/>
        </w:rPr>
        <w:footnoteRef/>
      </w:r>
      <w:r w:rsidRPr="00C0280D">
        <w:t xml:space="preserve"> Jules </w:t>
      </w:r>
      <w:proofErr w:type="spellStart"/>
      <w:r w:rsidRPr="00C0280D">
        <w:t>Tygiel</w:t>
      </w:r>
      <w:proofErr w:type="spellEnd"/>
      <w:r w:rsidRPr="00C0280D">
        <w:t xml:space="preserve">, </w:t>
      </w:r>
      <w:r w:rsidRPr="00C0280D">
        <w:rPr>
          <w:i/>
        </w:rPr>
        <w:t>Baseball’s Great Experiment: Jackie Robinson and his Legacy</w:t>
      </w:r>
      <w:r w:rsidRPr="00C0280D">
        <w:t xml:space="preserve"> (New York: Oxford University Press, 2008), 10.</w:t>
      </w:r>
    </w:p>
  </w:footnote>
  <w:footnote w:id="105">
    <w:p w14:paraId="6A93CEF5" w14:textId="44D5B303" w:rsidR="003B1C3B" w:rsidRPr="00C0280D" w:rsidRDefault="003B1C3B" w:rsidP="0045462D">
      <w:pPr>
        <w:pStyle w:val="FootnoteText"/>
      </w:pPr>
      <w:r w:rsidRPr="00C0280D">
        <w:rPr>
          <w:vertAlign w:val="superscript"/>
        </w:rPr>
        <w:footnoteRef/>
      </w:r>
      <w:r w:rsidRPr="00C0280D">
        <w:t xml:space="preserve"> </w:t>
      </w:r>
      <w:r>
        <w:t>Ibid.</w:t>
      </w:r>
      <w:r w:rsidRPr="00C0280D">
        <w:t>, 13.</w:t>
      </w:r>
    </w:p>
  </w:footnote>
  <w:footnote w:id="106">
    <w:p w14:paraId="43778869" w14:textId="47BED1CE" w:rsidR="003B1C3B" w:rsidRPr="00C0280D" w:rsidRDefault="003B1C3B" w:rsidP="0045462D">
      <w:pPr>
        <w:pStyle w:val="FootnoteText"/>
      </w:pPr>
      <w:r w:rsidRPr="00C0280D">
        <w:rPr>
          <w:vertAlign w:val="superscript"/>
        </w:rPr>
        <w:footnoteRef/>
      </w:r>
      <w:r w:rsidRPr="00C0280D">
        <w:t xml:space="preserve"> </w:t>
      </w:r>
      <w:r>
        <w:t>Ibid.</w:t>
      </w:r>
      <w:r w:rsidRPr="00C0280D">
        <w:t>, 15-16.</w:t>
      </w:r>
    </w:p>
  </w:footnote>
  <w:footnote w:id="107">
    <w:p w14:paraId="5BB90434" w14:textId="1921CA6C" w:rsidR="003B1C3B" w:rsidRPr="00C0280D" w:rsidRDefault="003B1C3B" w:rsidP="0045462D">
      <w:pPr>
        <w:pStyle w:val="FootnoteText"/>
      </w:pPr>
      <w:r w:rsidRPr="00C0280D">
        <w:rPr>
          <w:vertAlign w:val="superscript"/>
        </w:rPr>
        <w:footnoteRef/>
      </w:r>
      <w:r w:rsidRPr="00C0280D">
        <w:t xml:space="preserve"> </w:t>
      </w:r>
      <w:r>
        <w:t>Ibid.</w:t>
      </w:r>
      <w:r w:rsidRPr="00C0280D">
        <w:t>, 16.</w:t>
      </w:r>
    </w:p>
  </w:footnote>
  <w:footnote w:id="108">
    <w:p w14:paraId="63E3137C" w14:textId="1F7502F8" w:rsidR="003B1C3B" w:rsidRPr="00C0280D" w:rsidRDefault="003B1C3B" w:rsidP="0045462D">
      <w:pPr>
        <w:pStyle w:val="FootnoteText"/>
      </w:pPr>
      <w:r w:rsidRPr="00C0280D">
        <w:rPr>
          <w:vertAlign w:val="superscript"/>
        </w:rPr>
        <w:footnoteRef/>
      </w:r>
      <w:r w:rsidRPr="00C0280D">
        <w:t xml:space="preserve"> “Little People of the Month</w:t>
      </w:r>
      <w:r>
        <w:t>,”</w:t>
      </w:r>
      <w:r w:rsidRPr="00C0280D">
        <w:t xml:space="preserve"> </w:t>
      </w:r>
      <w:r w:rsidRPr="00C0280D">
        <w:rPr>
          <w:i/>
        </w:rPr>
        <w:t>The Brownies’ Book</w:t>
      </w:r>
      <w:r w:rsidRPr="00C0280D">
        <w:t xml:space="preserve"> (January 1921), 20-21.</w:t>
      </w:r>
    </w:p>
  </w:footnote>
  <w:footnote w:id="109">
    <w:p w14:paraId="196F58A9" w14:textId="7A6D2D67" w:rsidR="003B1C3B" w:rsidRPr="00C0280D" w:rsidRDefault="003B1C3B" w:rsidP="0045462D">
      <w:pPr>
        <w:pStyle w:val="FootnoteText"/>
      </w:pPr>
      <w:r w:rsidRPr="00C0280D">
        <w:rPr>
          <w:vertAlign w:val="superscript"/>
        </w:rPr>
        <w:footnoteRef/>
      </w:r>
      <w:r w:rsidRPr="00C0280D">
        <w:t xml:space="preserve"> “Little People of the Month</w:t>
      </w:r>
      <w:r>
        <w:t>,”</w:t>
      </w:r>
      <w:r w:rsidRPr="00C0280D">
        <w:t xml:space="preserve"> </w:t>
      </w:r>
      <w:r w:rsidRPr="00C0280D">
        <w:rPr>
          <w:i/>
        </w:rPr>
        <w:t>The Brownies’ Book</w:t>
      </w:r>
      <w:r w:rsidRPr="00C0280D">
        <w:t xml:space="preserve"> (January 1920), 28-29.</w:t>
      </w:r>
    </w:p>
  </w:footnote>
  <w:footnote w:id="110">
    <w:p w14:paraId="7431E10E" w14:textId="4485FE96" w:rsidR="003B1C3B" w:rsidRPr="00C0280D" w:rsidRDefault="003B1C3B" w:rsidP="0045462D">
      <w:pPr>
        <w:pStyle w:val="FootnoteText"/>
      </w:pPr>
      <w:r w:rsidRPr="00C0280D">
        <w:rPr>
          <w:vertAlign w:val="superscript"/>
        </w:rPr>
        <w:footnoteRef/>
      </w:r>
      <w:r w:rsidRPr="00C0280D">
        <w:t xml:space="preserve"> Jessie Fauset, “Merry Christmas </w:t>
      </w:r>
      <w:proofErr w:type="gramStart"/>
      <w:r w:rsidRPr="00C0280D">
        <w:t>To</w:t>
      </w:r>
      <w:proofErr w:type="gramEnd"/>
      <w:r w:rsidRPr="00C0280D">
        <w:t xml:space="preserve"> All</w:t>
      </w:r>
      <w:r w:rsidR="00737781">
        <w:t>,”</w:t>
      </w:r>
      <w:r w:rsidRPr="00C0280D">
        <w:t xml:space="preserve"> </w:t>
      </w:r>
      <w:r w:rsidRPr="00C0280D">
        <w:rPr>
          <w:i/>
        </w:rPr>
        <w:t>The Brownies’ Book</w:t>
      </w:r>
      <w:r>
        <w:t xml:space="preserve"> (December 1920), 355-</w:t>
      </w:r>
      <w:r w:rsidRPr="00C0280D">
        <w:t>60, 357.</w:t>
      </w:r>
    </w:p>
  </w:footnote>
  <w:footnote w:id="111">
    <w:p w14:paraId="3893D889" w14:textId="77C360F6" w:rsidR="003B1C3B" w:rsidRPr="00C0280D" w:rsidRDefault="003B1C3B" w:rsidP="0045462D">
      <w:pPr>
        <w:pStyle w:val="FootnoteText"/>
      </w:pPr>
      <w:r w:rsidRPr="00C0280D">
        <w:rPr>
          <w:vertAlign w:val="superscript"/>
        </w:rPr>
        <w:footnoteRef/>
      </w:r>
      <w:r w:rsidRPr="00C0280D">
        <w:t xml:space="preserve"> “Baseball Team of Dupont Plant, Hopewell, Va.</w:t>
      </w:r>
      <w:r w:rsidR="00737781">
        <w:t>,”</w:t>
      </w:r>
      <w:r w:rsidRPr="00C0280D">
        <w:t xml:space="preserve"> </w:t>
      </w:r>
      <w:r w:rsidRPr="00C0280D">
        <w:rPr>
          <w:i/>
        </w:rPr>
        <w:t>The Brownies’ Book</w:t>
      </w:r>
      <w:r w:rsidRPr="00C0280D">
        <w:t xml:space="preserve"> (October 1921), 274.</w:t>
      </w:r>
    </w:p>
  </w:footnote>
  <w:footnote w:id="112">
    <w:p w14:paraId="1AE6E2C1" w14:textId="489C4AEF" w:rsidR="003B1C3B" w:rsidRPr="00C0280D" w:rsidRDefault="003B1C3B" w:rsidP="0045462D">
      <w:pPr>
        <w:pStyle w:val="FootnoteText"/>
      </w:pPr>
      <w:r w:rsidRPr="00C0280D">
        <w:rPr>
          <w:vertAlign w:val="superscript"/>
        </w:rPr>
        <w:footnoteRef/>
      </w:r>
      <w:r w:rsidRPr="00C0280D">
        <w:t xml:space="preserve"> Noah Brooks, “The Fairport Nine</w:t>
      </w:r>
      <w:r w:rsidR="00737781">
        <w:t>,”</w:t>
      </w:r>
      <w:r w:rsidRPr="00C0280D">
        <w:t xml:space="preserve"> </w:t>
      </w:r>
      <w:r>
        <w:rPr>
          <w:i/>
        </w:rPr>
        <w:t>St. Nicholas</w:t>
      </w:r>
      <w:r w:rsidRPr="00C0280D">
        <w:rPr>
          <w:i/>
        </w:rPr>
        <w:t xml:space="preserve"> Magazine</w:t>
      </w:r>
      <w:r>
        <w:t xml:space="preserve"> (May 1880), 562-</w:t>
      </w:r>
      <w:r w:rsidRPr="00C0280D">
        <w:t>73, 564.</w:t>
      </w:r>
    </w:p>
  </w:footnote>
  <w:footnote w:id="113">
    <w:p w14:paraId="2695B791" w14:textId="4EFDF7B9" w:rsidR="003B1C3B" w:rsidRPr="00C0280D" w:rsidRDefault="003B1C3B" w:rsidP="0045462D">
      <w:pPr>
        <w:pStyle w:val="FootnoteText"/>
      </w:pPr>
      <w:r w:rsidRPr="00C0280D">
        <w:rPr>
          <w:vertAlign w:val="superscript"/>
        </w:rPr>
        <w:footnoteRef/>
      </w:r>
      <w:r w:rsidRPr="00C0280D">
        <w:t xml:space="preserve"> </w:t>
      </w:r>
      <w:r w:rsidR="00737781">
        <w:t>Ibid.,</w:t>
      </w:r>
      <w:r w:rsidRPr="00C0280D">
        <w:t xml:space="preserve"> 567.</w:t>
      </w:r>
    </w:p>
  </w:footnote>
  <w:footnote w:id="114">
    <w:p w14:paraId="58B00B05" w14:textId="7DF7CFA1" w:rsidR="003B1C3B" w:rsidRPr="00C0280D" w:rsidRDefault="003B1C3B" w:rsidP="0045462D">
      <w:pPr>
        <w:pStyle w:val="FootnoteText"/>
      </w:pPr>
      <w:r w:rsidRPr="00C0280D">
        <w:rPr>
          <w:vertAlign w:val="superscript"/>
        </w:rPr>
        <w:footnoteRef/>
      </w:r>
      <w:r w:rsidRPr="00C0280D">
        <w:t xml:space="preserve"> Noah Brooks, “The Fairport Nine”, </w:t>
      </w:r>
      <w:r>
        <w:rPr>
          <w:i/>
        </w:rPr>
        <w:t>St. Nicholas</w:t>
      </w:r>
      <w:r w:rsidRPr="00C0280D">
        <w:rPr>
          <w:i/>
        </w:rPr>
        <w:t xml:space="preserve"> Magazine</w:t>
      </w:r>
      <w:r>
        <w:t xml:space="preserve"> (October 1880), 985-</w:t>
      </w:r>
      <w:r w:rsidRPr="00C0280D">
        <w:t>91, 991.</w:t>
      </w:r>
    </w:p>
  </w:footnote>
  <w:footnote w:id="115">
    <w:p w14:paraId="74A39462" w14:textId="793B3C0E" w:rsidR="003B1C3B" w:rsidRPr="00C0280D" w:rsidRDefault="003B1C3B" w:rsidP="0045462D">
      <w:pPr>
        <w:pStyle w:val="FootnoteText"/>
      </w:pPr>
      <w:r w:rsidRPr="00C0280D">
        <w:rPr>
          <w:vertAlign w:val="superscript"/>
        </w:rPr>
        <w:footnoteRef/>
      </w:r>
      <w:r w:rsidRPr="00C0280D">
        <w:t xml:space="preserve"> </w:t>
      </w:r>
      <w:r w:rsidR="00737781">
        <w:t>Ibid.,</w:t>
      </w:r>
      <w:r w:rsidRPr="00C0280D">
        <w:t xml:space="preserve"> 988.</w:t>
      </w:r>
    </w:p>
  </w:footnote>
  <w:footnote w:id="116">
    <w:p w14:paraId="42805E13" w14:textId="5B4B4DD9" w:rsidR="003B1C3B" w:rsidRPr="007B1ECB" w:rsidRDefault="003B1C3B" w:rsidP="0045462D">
      <w:pPr>
        <w:pStyle w:val="FootnoteText"/>
      </w:pPr>
      <w:r>
        <w:rPr>
          <w:rStyle w:val="FootnoteReference"/>
        </w:rPr>
        <w:footnoteRef/>
      </w:r>
      <w:r>
        <w:t xml:space="preserve"> “Difficulties of Base-ball at </w:t>
      </w:r>
      <w:proofErr w:type="spellStart"/>
      <w:r>
        <w:t>Crowville</w:t>
      </w:r>
      <w:proofErr w:type="spellEnd"/>
      <w:r w:rsidR="00737781">
        <w:t>,”</w:t>
      </w:r>
      <w:r>
        <w:t xml:space="preserve"> </w:t>
      </w:r>
      <w:r>
        <w:rPr>
          <w:i/>
          <w:iCs/>
        </w:rPr>
        <w:t>Harper’s Young People</w:t>
      </w:r>
      <w:r>
        <w:t xml:space="preserve"> (November 13</w:t>
      </w:r>
      <w:proofErr w:type="gramStart"/>
      <w:r>
        <w:t xml:space="preserve"> 1888</w:t>
      </w:r>
      <w:proofErr w:type="gramEnd"/>
      <w:r>
        <w:t>), 36.</w:t>
      </w:r>
    </w:p>
  </w:footnote>
  <w:footnote w:id="117">
    <w:p w14:paraId="51A5DD16" w14:textId="0F5B4EC4" w:rsidR="003B1C3B" w:rsidRDefault="003B1C3B" w:rsidP="0045462D">
      <w:pPr>
        <w:pStyle w:val="FootnoteText"/>
      </w:pPr>
      <w:r w:rsidRPr="00C0280D">
        <w:rPr>
          <w:vertAlign w:val="superscript"/>
        </w:rPr>
        <w:footnoteRef/>
      </w:r>
      <w:r w:rsidRPr="00C0280D">
        <w:t xml:space="preserve"> H. C. </w:t>
      </w:r>
      <w:proofErr w:type="spellStart"/>
      <w:r w:rsidRPr="00C0280D">
        <w:t>Bunner</w:t>
      </w:r>
      <w:proofErr w:type="spellEnd"/>
      <w:r w:rsidRPr="00C0280D">
        <w:t>, “Dolliver’s Travels</w:t>
      </w:r>
      <w:r w:rsidR="00840DAA">
        <w:t>,”</w:t>
      </w:r>
      <w:r w:rsidRPr="00C0280D">
        <w:t xml:space="preserve"> </w:t>
      </w:r>
      <w:r w:rsidRPr="00C0280D">
        <w:rPr>
          <w:i/>
        </w:rPr>
        <w:t>Harper’s Young People</w:t>
      </w:r>
      <w:r w:rsidRPr="00C0280D">
        <w:t xml:space="preserve"> (February 23</w:t>
      </w:r>
      <w:proofErr w:type="gramStart"/>
      <w:r w:rsidRPr="00C0280D">
        <w:t xml:space="preserve"> 1886</w:t>
      </w:r>
      <w:proofErr w:type="gramEnd"/>
      <w:r w:rsidRPr="00C0280D">
        <w:t>), 266-</w:t>
      </w:r>
      <w:r>
        <w:t>6</w:t>
      </w:r>
      <w:r w:rsidRPr="00C0280D">
        <w:t>8.</w:t>
      </w:r>
    </w:p>
  </w:footnote>
  <w:footnote w:id="118">
    <w:p w14:paraId="631F7B31" w14:textId="64052E7D" w:rsidR="003B1C3B" w:rsidRPr="005035B9" w:rsidRDefault="003B1C3B">
      <w:pPr>
        <w:pStyle w:val="FootnoteText"/>
      </w:pPr>
      <w:r>
        <w:rPr>
          <w:rStyle w:val="FootnoteReference"/>
        </w:rPr>
        <w:footnoteRef/>
      </w:r>
      <w:r>
        <w:t xml:space="preserve"> Alice Wellington Rollins, “The Boy Who Wasn’t There</w:t>
      </w:r>
      <w:r w:rsidR="00840DAA">
        <w:t>,</w:t>
      </w:r>
      <w:r>
        <w:t xml:space="preserve">” </w:t>
      </w:r>
      <w:r>
        <w:rPr>
          <w:i/>
          <w:iCs/>
        </w:rPr>
        <w:t>Harper’s Young People</w:t>
      </w:r>
      <w:r>
        <w:t xml:space="preserve"> (March 13</w:t>
      </w:r>
      <w:proofErr w:type="gramStart"/>
      <w:r>
        <w:t xml:space="preserve"> 1888</w:t>
      </w:r>
      <w:proofErr w:type="gramEnd"/>
      <w:r>
        <w:t xml:space="preserve">), 339. </w:t>
      </w:r>
    </w:p>
  </w:footnote>
  <w:footnote w:id="119">
    <w:p w14:paraId="49C5FDB6" w14:textId="16667A78" w:rsidR="003B1C3B" w:rsidRPr="00574000" w:rsidRDefault="003B1C3B">
      <w:pPr>
        <w:pStyle w:val="FootnoteText"/>
      </w:pPr>
      <w:r>
        <w:rPr>
          <w:rStyle w:val="FootnoteReference"/>
        </w:rPr>
        <w:footnoteRef/>
      </w:r>
      <w:r>
        <w:t xml:space="preserve"> Willis Boyd Allen, “Dick’s Flying Wedge</w:t>
      </w:r>
      <w:r w:rsidR="00840DAA">
        <w:t>,”</w:t>
      </w:r>
      <w:r>
        <w:t xml:space="preserve"> </w:t>
      </w:r>
      <w:r>
        <w:rPr>
          <w:i/>
          <w:iCs/>
        </w:rPr>
        <w:t>Harper’s Young People</w:t>
      </w:r>
      <w:r>
        <w:t xml:space="preserve"> (September 25</w:t>
      </w:r>
      <w:proofErr w:type="gramStart"/>
      <w:r>
        <w:t xml:space="preserve"> 1894</w:t>
      </w:r>
      <w:proofErr w:type="gramEnd"/>
      <w:r>
        <w:t>), 806.</w:t>
      </w:r>
    </w:p>
  </w:footnote>
  <w:footnote w:id="120">
    <w:p w14:paraId="4BA31312" w14:textId="7CC7329B" w:rsidR="003B1C3B" w:rsidRDefault="003B1C3B">
      <w:pPr>
        <w:pStyle w:val="FootnoteText"/>
      </w:pPr>
      <w:r>
        <w:rPr>
          <w:rStyle w:val="FootnoteReference"/>
        </w:rPr>
        <w:footnoteRef/>
      </w:r>
      <w:r>
        <w:t xml:space="preserve"> Laurence T. Bliss, “Handling and Training a College Base-Ball Team</w:t>
      </w:r>
      <w:r w:rsidR="00840DAA">
        <w:t>,”</w:t>
      </w:r>
      <w:r>
        <w:t xml:space="preserve"> </w:t>
      </w:r>
      <w:r>
        <w:rPr>
          <w:i/>
          <w:iCs/>
        </w:rPr>
        <w:t>Wide Awake</w:t>
      </w:r>
      <w:r>
        <w:t xml:space="preserve"> (March 1893), 369-72, 372.</w:t>
      </w:r>
    </w:p>
  </w:footnote>
  <w:footnote w:id="121">
    <w:p w14:paraId="4A1F7F37" w14:textId="76A2ACF3" w:rsidR="003B1C3B" w:rsidRDefault="003B1C3B" w:rsidP="00FD1E4A">
      <w:pPr>
        <w:pStyle w:val="FootnoteText"/>
      </w:pPr>
      <w:r>
        <w:rPr>
          <w:rStyle w:val="FootnoteReference"/>
        </w:rPr>
        <w:footnoteRef/>
      </w:r>
      <w:r>
        <w:t xml:space="preserve"> David </w:t>
      </w:r>
      <w:proofErr w:type="spellStart"/>
      <w:r>
        <w:t>Jenemann</w:t>
      </w:r>
      <w:proofErr w:type="spellEnd"/>
      <w:r>
        <w:t>, “‘The W</w:t>
      </w:r>
      <w:r w:rsidR="00840DAA">
        <w:t>ay You Enter a Church</w:t>
      </w:r>
      <w:r>
        <w:t>:</w:t>
      </w:r>
      <w:r w:rsidR="00840DAA">
        <w:t>’</w:t>
      </w:r>
      <w:r>
        <w:t xml:space="preserve"> The Dialectics of Ken </w:t>
      </w:r>
      <w:proofErr w:type="spellStart"/>
      <w:r>
        <w:t>Burns’s</w:t>
      </w:r>
      <w:proofErr w:type="spellEnd"/>
      <w:r>
        <w:t xml:space="preserve"> </w:t>
      </w:r>
      <w:r>
        <w:rPr>
          <w:i/>
          <w:iCs/>
        </w:rPr>
        <w:t>Baseball</w:t>
      </w:r>
      <w:r w:rsidR="00840DAA">
        <w:rPr>
          <w:i/>
          <w:iCs/>
        </w:rPr>
        <w:t>,</w:t>
      </w:r>
      <w:r w:rsidR="00840DAA">
        <w:t>”</w:t>
      </w:r>
      <w:r>
        <w:t xml:space="preserve"> </w:t>
      </w:r>
      <w:r>
        <w:rPr>
          <w:i/>
          <w:iCs/>
        </w:rPr>
        <w:t>Journal of Sport and Social Issues</w:t>
      </w:r>
      <w:r>
        <w:t xml:space="preserve">, </w:t>
      </w:r>
      <w:r w:rsidR="00C33FF8">
        <w:t xml:space="preserve">Volume 44, Issue </w:t>
      </w:r>
      <w:r>
        <w:t>6 (2020), 499-514, 500.</w:t>
      </w:r>
    </w:p>
  </w:footnote>
  <w:footnote w:id="122">
    <w:p w14:paraId="35604D7A" w14:textId="77777777" w:rsidR="003B1C3B" w:rsidRPr="00E66B95" w:rsidRDefault="003B1C3B">
      <w:pPr>
        <w:pStyle w:val="FootnoteText"/>
      </w:pPr>
      <w:r>
        <w:rPr>
          <w:rStyle w:val="FootnoteReference"/>
        </w:rPr>
        <w:footnoteRef/>
      </w:r>
      <w:r>
        <w:t xml:space="preserve"> </w:t>
      </w:r>
      <w:proofErr w:type="spellStart"/>
      <w:r>
        <w:t>Tygiel</w:t>
      </w:r>
      <w:proofErr w:type="spellEnd"/>
      <w:r>
        <w:t xml:space="preserve">, </w:t>
      </w:r>
      <w:r>
        <w:rPr>
          <w:i/>
          <w:iCs/>
        </w:rPr>
        <w:t>Past Time</w:t>
      </w:r>
      <w:r>
        <w:t>, 4-5.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818EC6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E780C3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AE6592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5D0E27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77CCC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BE8B1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A85A4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18E94B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8F28E9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F9E5B7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FEF3AB7"/>
    <w:multiLevelType w:val="multilevel"/>
    <w:tmpl w:val="63A29C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7B871AB"/>
    <w:multiLevelType w:val="multilevel"/>
    <w:tmpl w:val="0EB0DC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3783928"/>
    <w:multiLevelType w:val="multilevel"/>
    <w:tmpl w:val="EE3CF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EE327E2"/>
    <w:multiLevelType w:val="multilevel"/>
    <w:tmpl w:val="707246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DF17D0F"/>
    <w:multiLevelType w:val="multilevel"/>
    <w:tmpl w:val="FDD44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14"/>
  </w:num>
  <w:num w:numId="3">
    <w:abstractNumId w:val="11"/>
  </w:num>
  <w:num w:numId="4">
    <w:abstractNumId w:val="12"/>
  </w:num>
  <w:num w:numId="5">
    <w:abstractNumId w:val="13"/>
  </w:num>
  <w:num w:numId="6">
    <w:abstractNumId w:val="0"/>
  </w:num>
  <w:num w:numId="7">
    <w:abstractNumId w:val="1"/>
  </w:num>
  <w:num w:numId="8">
    <w:abstractNumId w:val="2"/>
  </w:num>
  <w:num w:numId="9">
    <w:abstractNumId w:val="3"/>
  </w:num>
  <w:num w:numId="10">
    <w:abstractNumId w:val="8"/>
  </w:num>
  <w:num w:numId="11">
    <w:abstractNumId w:val="4"/>
  </w:num>
  <w:num w:numId="12">
    <w:abstractNumId w:val="5"/>
  </w:num>
  <w:num w:numId="13">
    <w:abstractNumId w:val="6"/>
  </w:num>
  <w:num w:numId="14">
    <w:abstractNumId w:val="7"/>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0F77"/>
    <w:rsid w:val="00001E80"/>
    <w:rsid w:val="0001685E"/>
    <w:rsid w:val="00043F1A"/>
    <w:rsid w:val="00047B04"/>
    <w:rsid w:val="000B1BB0"/>
    <w:rsid w:val="000E0A84"/>
    <w:rsid w:val="000E1531"/>
    <w:rsid w:val="001102FA"/>
    <w:rsid w:val="00124859"/>
    <w:rsid w:val="0015147F"/>
    <w:rsid w:val="00195E5A"/>
    <w:rsid w:val="00197F36"/>
    <w:rsid w:val="001A7E0A"/>
    <w:rsid w:val="001B0C6D"/>
    <w:rsid w:val="001B18BB"/>
    <w:rsid w:val="001B5BD1"/>
    <w:rsid w:val="001B64D6"/>
    <w:rsid w:val="001C6027"/>
    <w:rsid w:val="001D1035"/>
    <w:rsid w:val="001D14B8"/>
    <w:rsid w:val="001F0F58"/>
    <w:rsid w:val="001F2212"/>
    <w:rsid w:val="00200264"/>
    <w:rsid w:val="00204D50"/>
    <w:rsid w:val="00223E9E"/>
    <w:rsid w:val="00234DA9"/>
    <w:rsid w:val="00235C2A"/>
    <w:rsid w:val="002576D3"/>
    <w:rsid w:val="00261635"/>
    <w:rsid w:val="00264113"/>
    <w:rsid w:val="002811AC"/>
    <w:rsid w:val="00286C73"/>
    <w:rsid w:val="0029291E"/>
    <w:rsid w:val="002A56B8"/>
    <w:rsid w:val="002A5765"/>
    <w:rsid w:val="002D49F8"/>
    <w:rsid w:val="002E3899"/>
    <w:rsid w:val="002F4739"/>
    <w:rsid w:val="00307907"/>
    <w:rsid w:val="003229DA"/>
    <w:rsid w:val="00346E42"/>
    <w:rsid w:val="00347C34"/>
    <w:rsid w:val="00363887"/>
    <w:rsid w:val="003710EF"/>
    <w:rsid w:val="00377569"/>
    <w:rsid w:val="00385ACD"/>
    <w:rsid w:val="003962B0"/>
    <w:rsid w:val="003A6D20"/>
    <w:rsid w:val="003B1C3B"/>
    <w:rsid w:val="003C533C"/>
    <w:rsid w:val="003C58CD"/>
    <w:rsid w:val="003C61F0"/>
    <w:rsid w:val="003D0B25"/>
    <w:rsid w:val="003D53CF"/>
    <w:rsid w:val="003F0515"/>
    <w:rsid w:val="00407CB7"/>
    <w:rsid w:val="00410942"/>
    <w:rsid w:val="00411F81"/>
    <w:rsid w:val="00423EB7"/>
    <w:rsid w:val="00435A20"/>
    <w:rsid w:val="00450501"/>
    <w:rsid w:val="0045462D"/>
    <w:rsid w:val="00465A33"/>
    <w:rsid w:val="00474D27"/>
    <w:rsid w:val="004A1162"/>
    <w:rsid w:val="004E473F"/>
    <w:rsid w:val="004E476E"/>
    <w:rsid w:val="004E6F31"/>
    <w:rsid w:val="004E7872"/>
    <w:rsid w:val="004F0215"/>
    <w:rsid w:val="004F158B"/>
    <w:rsid w:val="004F530D"/>
    <w:rsid w:val="005035B9"/>
    <w:rsid w:val="00515D7A"/>
    <w:rsid w:val="00534467"/>
    <w:rsid w:val="00537FFA"/>
    <w:rsid w:val="00542502"/>
    <w:rsid w:val="00542CC9"/>
    <w:rsid w:val="005570D2"/>
    <w:rsid w:val="00564313"/>
    <w:rsid w:val="00572334"/>
    <w:rsid w:val="005727DE"/>
    <w:rsid w:val="00573B27"/>
    <w:rsid w:val="00574000"/>
    <w:rsid w:val="00582413"/>
    <w:rsid w:val="005A77D3"/>
    <w:rsid w:val="005D57C7"/>
    <w:rsid w:val="005E176F"/>
    <w:rsid w:val="005E3BB2"/>
    <w:rsid w:val="005E7FA1"/>
    <w:rsid w:val="00603BB7"/>
    <w:rsid w:val="00625207"/>
    <w:rsid w:val="00637BD9"/>
    <w:rsid w:val="00647AD3"/>
    <w:rsid w:val="0065126A"/>
    <w:rsid w:val="00652AD3"/>
    <w:rsid w:val="00653691"/>
    <w:rsid w:val="00667647"/>
    <w:rsid w:val="006A10FD"/>
    <w:rsid w:val="006B24B3"/>
    <w:rsid w:val="006C46E9"/>
    <w:rsid w:val="006D5F3D"/>
    <w:rsid w:val="006E00D6"/>
    <w:rsid w:val="006E1A47"/>
    <w:rsid w:val="006E3985"/>
    <w:rsid w:val="006E53B9"/>
    <w:rsid w:val="006F2293"/>
    <w:rsid w:val="006F6EA1"/>
    <w:rsid w:val="006F78F2"/>
    <w:rsid w:val="0070017F"/>
    <w:rsid w:val="00700498"/>
    <w:rsid w:val="007135B7"/>
    <w:rsid w:val="00720361"/>
    <w:rsid w:val="00725649"/>
    <w:rsid w:val="00730F22"/>
    <w:rsid w:val="00737781"/>
    <w:rsid w:val="00744BE6"/>
    <w:rsid w:val="00750F77"/>
    <w:rsid w:val="007619F3"/>
    <w:rsid w:val="00763B47"/>
    <w:rsid w:val="007724B2"/>
    <w:rsid w:val="007B1ECB"/>
    <w:rsid w:val="007B2A3E"/>
    <w:rsid w:val="007C7017"/>
    <w:rsid w:val="007D2B10"/>
    <w:rsid w:val="007E095D"/>
    <w:rsid w:val="007E2238"/>
    <w:rsid w:val="007F2254"/>
    <w:rsid w:val="007F2324"/>
    <w:rsid w:val="0080435E"/>
    <w:rsid w:val="00813CEA"/>
    <w:rsid w:val="00827941"/>
    <w:rsid w:val="00831CC1"/>
    <w:rsid w:val="00840DAA"/>
    <w:rsid w:val="008559F4"/>
    <w:rsid w:val="00871152"/>
    <w:rsid w:val="008C626A"/>
    <w:rsid w:val="008D09FC"/>
    <w:rsid w:val="008D4DF5"/>
    <w:rsid w:val="008E34E1"/>
    <w:rsid w:val="008F389C"/>
    <w:rsid w:val="00901FF3"/>
    <w:rsid w:val="00914BEC"/>
    <w:rsid w:val="009205E9"/>
    <w:rsid w:val="00935434"/>
    <w:rsid w:val="00956FD2"/>
    <w:rsid w:val="00964902"/>
    <w:rsid w:val="00967507"/>
    <w:rsid w:val="00991DBC"/>
    <w:rsid w:val="00993727"/>
    <w:rsid w:val="00995B30"/>
    <w:rsid w:val="009A105C"/>
    <w:rsid w:val="00A16740"/>
    <w:rsid w:val="00A44E00"/>
    <w:rsid w:val="00A45786"/>
    <w:rsid w:val="00A56850"/>
    <w:rsid w:val="00A639D3"/>
    <w:rsid w:val="00A7575B"/>
    <w:rsid w:val="00AA4627"/>
    <w:rsid w:val="00AB6F82"/>
    <w:rsid w:val="00AC0433"/>
    <w:rsid w:val="00AF100F"/>
    <w:rsid w:val="00AF52AF"/>
    <w:rsid w:val="00B00D71"/>
    <w:rsid w:val="00B07B49"/>
    <w:rsid w:val="00B41CD9"/>
    <w:rsid w:val="00B60488"/>
    <w:rsid w:val="00B65D68"/>
    <w:rsid w:val="00B83ED3"/>
    <w:rsid w:val="00B84077"/>
    <w:rsid w:val="00B857FC"/>
    <w:rsid w:val="00BB41CA"/>
    <w:rsid w:val="00C00472"/>
    <w:rsid w:val="00C0280D"/>
    <w:rsid w:val="00C33FF8"/>
    <w:rsid w:val="00C4665F"/>
    <w:rsid w:val="00C544F9"/>
    <w:rsid w:val="00C846F1"/>
    <w:rsid w:val="00C90084"/>
    <w:rsid w:val="00CB618F"/>
    <w:rsid w:val="00CC3A92"/>
    <w:rsid w:val="00CE7206"/>
    <w:rsid w:val="00D0589D"/>
    <w:rsid w:val="00D11E21"/>
    <w:rsid w:val="00D1548C"/>
    <w:rsid w:val="00D25519"/>
    <w:rsid w:val="00D26791"/>
    <w:rsid w:val="00D546EB"/>
    <w:rsid w:val="00D707F3"/>
    <w:rsid w:val="00D874CE"/>
    <w:rsid w:val="00D92C23"/>
    <w:rsid w:val="00DA509B"/>
    <w:rsid w:val="00DA6E0C"/>
    <w:rsid w:val="00DD0A26"/>
    <w:rsid w:val="00DD5735"/>
    <w:rsid w:val="00DF28A8"/>
    <w:rsid w:val="00E01B0A"/>
    <w:rsid w:val="00E12152"/>
    <w:rsid w:val="00E27129"/>
    <w:rsid w:val="00E27889"/>
    <w:rsid w:val="00E35C20"/>
    <w:rsid w:val="00E37F9B"/>
    <w:rsid w:val="00E452D5"/>
    <w:rsid w:val="00E53609"/>
    <w:rsid w:val="00E56D15"/>
    <w:rsid w:val="00E66B95"/>
    <w:rsid w:val="00E966A7"/>
    <w:rsid w:val="00EB4336"/>
    <w:rsid w:val="00EC1A96"/>
    <w:rsid w:val="00EC3959"/>
    <w:rsid w:val="00EC3C85"/>
    <w:rsid w:val="00F03256"/>
    <w:rsid w:val="00F15A00"/>
    <w:rsid w:val="00F15EBE"/>
    <w:rsid w:val="00F324F2"/>
    <w:rsid w:val="00F33427"/>
    <w:rsid w:val="00F4741D"/>
    <w:rsid w:val="00F52595"/>
    <w:rsid w:val="00F71B1C"/>
    <w:rsid w:val="00F82FB9"/>
    <w:rsid w:val="00F83B7B"/>
    <w:rsid w:val="00F9469F"/>
    <w:rsid w:val="00FC36EF"/>
    <w:rsid w:val="00FC475B"/>
    <w:rsid w:val="00FD1E4A"/>
    <w:rsid w:val="00FD3ACB"/>
    <w:rsid w:val="00FD52DF"/>
    <w:rsid w:val="00FF03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7527431"/>
  <w15:docId w15:val="{C0FB25AC-BCA2-084C-BFC2-1228FFD2C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5462D"/>
    <w:pPr>
      <w:spacing w:line="240" w:lineRule="auto"/>
    </w:pPr>
    <w:rPr>
      <w:rFonts w:ascii="Times New Roman" w:eastAsia="Times New Roman" w:hAnsi="Times New Roman" w:cs="Times New Roman"/>
      <w:sz w:val="24"/>
      <w:szCs w:val="24"/>
      <w:lang w:val="en-GB"/>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FootnoteText">
    <w:name w:val="footnote text"/>
    <w:basedOn w:val="Normal"/>
    <w:link w:val="FootnoteTextChar"/>
    <w:uiPriority w:val="99"/>
    <w:unhideWhenUsed/>
    <w:rsid w:val="007B1ECB"/>
    <w:rPr>
      <w:sz w:val="20"/>
      <w:szCs w:val="20"/>
    </w:rPr>
  </w:style>
  <w:style w:type="character" w:customStyle="1" w:styleId="FootnoteTextChar">
    <w:name w:val="Footnote Text Char"/>
    <w:basedOn w:val="DefaultParagraphFont"/>
    <w:link w:val="FootnoteText"/>
    <w:uiPriority w:val="99"/>
    <w:rsid w:val="007B1ECB"/>
    <w:rPr>
      <w:rFonts w:ascii="Times New Roman" w:hAnsi="Times New Roman"/>
      <w:sz w:val="20"/>
      <w:szCs w:val="20"/>
    </w:rPr>
  </w:style>
  <w:style w:type="character" w:styleId="FootnoteReference">
    <w:name w:val="footnote reference"/>
    <w:basedOn w:val="DefaultParagraphFont"/>
    <w:uiPriority w:val="99"/>
    <w:unhideWhenUsed/>
    <w:rsid w:val="007B1ECB"/>
    <w:rPr>
      <w:vertAlign w:val="superscript"/>
    </w:rPr>
  </w:style>
  <w:style w:type="paragraph" w:styleId="Caption">
    <w:name w:val="caption"/>
    <w:basedOn w:val="Normal"/>
    <w:next w:val="Normal"/>
    <w:uiPriority w:val="35"/>
    <w:unhideWhenUsed/>
    <w:qFormat/>
    <w:rsid w:val="00AB6F82"/>
    <w:pPr>
      <w:spacing w:after="200"/>
    </w:pPr>
    <w:rPr>
      <w:i/>
      <w:iCs/>
      <w:color w:val="1F497D" w:themeColor="text2"/>
      <w:sz w:val="18"/>
      <w:szCs w:val="18"/>
    </w:rPr>
  </w:style>
  <w:style w:type="character" w:styleId="Hyperlink">
    <w:name w:val="Hyperlink"/>
    <w:basedOn w:val="DefaultParagraphFont"/>
    <w:uiPriority w:val="99"/>
    <w:unhideWhenUsed/>
    <w:rsid w:val="007B2A3E"/>
    <w:rPr>
      <w:color w:val="0000FF" w:themeColor="hyperlink"/>
      <w:u w:val="single"/>
    </w:rPr>
  </w:style>
  <w:style w:type="character" w:customStyle="1" w:styleId="UnresolvedMention1">
    <w:name w:val="Unresolved Mention1"/>
    <w:basedOn w:val="DefaultParagraphFont"/>
    <w:uiPriority w:val="99"/>
    <w:semiHidden/>
    <w:unhideWhenUsed/>
    <w:rsid w:val="007B2A3E"/>
    <w:rPr>
      <w:color w:val="605E5C"/>
      <w:shd w:val="clear" w:color="auto" w:fill="E1DFDD"/>
    </w:rPr>
  </w:style>
  <w:style w:type="character" w:styleId="FollowedHyperlink">
    <w:name w:val="FollowedHyperlink"/>
    <w:basedOn w:val="DefaultParagraphFont"/>
    <w:uiPriority w:val="99"/>
    <w:semiHidden/>
    <w:unhideWhenUsed/>
    <w:rsid w:val="00001E80"/>
    <w:rPr>
      <w:color w:val="800080" w:themeColor="followedHyperlink"/>
      <w:u w:val="single"/>
    </w:rPr>
  </w:style>
  <w:style w:type="paragraph" w:styleId="Footer">
    <w:name w:val="footer"/>
    <w:basedOn w:val="Normal"/>
    <w:link w:val="FooterChar"/>
    <w:uiPriority w:val="99"/>
    <w:unhideWhenUsed/>
    <w:rsid w:val="00235C2A"/>
    <w:pPr>
      <w:tabs>
        <w:tab w:val="center" w:pos="4513"/>
        <w:tab w:val="right" w:pos="9026"/>
      </w:tabs>
    </w:pPr>
  </w:style>
  <w:style w:type="character" w:customStyle="1" w:styleId="FooterChar">
    <w:name w:val="Footer Char"/>
    <w:basedOn w:val="DefaultParagraphFont"/>
    <w:link w:val="Footer"/>
    <w:uiPriority w:val="99"/>
    <w:rsid w:val="00235C2A"/>
    <w:rPr>
      <w:rFonts w:ascii="Times New Roman" w:eastAsia="Times New Roman" w:hAnsi="Times New Roman" w:cs="Times New Roman"/>
      <w:sz w:val="24"/>
      <w:szCs w:val="24"/>
      <w:lang w:val="en-GB"/>
    </w:rPr>
  </w:style>
  <w:style w:type="character" w:styleId="PageNumber">
    <w:name w:val="page number"/>
    <w:basedOn w:val="DefaultParagraphFont"/>
    <w:uiPriority w:val="99"/>
    <w:semiHidden/>
    <w:unhideWhenUsed/>
    <w:rsid w:val="00235C2A"/>
  </w:style>
  <w:style w:type="character" w:styleId="CommentReference">
    <w:name w:val="annotation reference"/>
    <w:basedOn w:val="DefaultParagraphFont"/>
    <w:uiPriority w:val="99"/>
    <w:semiHidden/>
    <w:unhideWhenUsed/>
    <w:rsid w:val="006B24B3"/>
    <w:rPr>
      <w:sz w:val="18"/>
      <w:szCs w:val="18"/>
    </w:rPr>
  </w:style>
  <w:style w:type="paragraph" w:styleId="CommentText">
    <w:name w:val="annotation text"/>
    <w:basedOn w:val="Normal"/>
    <w:link w:val="CommentTextChar"/>
    <w:uiPriority w:val="99"/>
    <w:semiHidden/>
    <w:unhideWhenUsed/>
    <w:rsid w:val="006B24B3"/>
  </w:style>
  <w:style w:type="character" w:customStyle="1" w:styleId="CommentTextChar">
    <w:name w:val="Comment Text Char"/>
    <w:basedOn w:val="DefaultParagraphFont"/>
    <w:link w:val="CommentText"/>
    <w:uiPriority w:val="99"/>
    <w:semiHidden/>
    <w:rsid w:val="006B24B3"/>
    <w:rPr>
      <w:rFonts w:ascii="Times New Roman" w:eastAsia="Times New Roman" w:hAnsi="Times New Roman" w:cs="Times New Roman"/>
      <w:sz w:val="24"/>
      <w:szCs w:val="24"/>
      <w:lang w:val="en-GB"/>
    </w:rPr>
  </w:style>
  <w:style w:type="paragraph" w:styleId="CommentSubject">
    <w:name w:val="annotation subject"/>
    <w:basedOn w:val="CommentText"/>
    <w:next w:val="CommentText"/>
    <w:link w:val="CommentSubjectChar"/>
    <w:uiPriority w:val="99"/>
    <w:semiHidden/>
    <w:unhideWhenUsed/>
    <w:rsid w:val="006B24B3"/>
    <w:rPr>
      <w:b/>
      <w:bCs/>
      <w:sz w:val="20"/>
      <w:szCs w:val="20"/>
    </w:rPr>
  </w:style>
  <w:style w:type="character" w:customStyle="1" w:styleId="CommentSubjectChar">
    <w:name w:val="Comment Subject Char"/>
    <w:basedOn w:val="CommentTextChar"/>
    <w:link w:val="CommentSubject"/>
    <w:uiPriority w:val="99"/>
    <w:semiHidden/>
    <w:rsid w:val="006B24B3"/>
    <w:rPr>
      <w:rFonts w:ascii="Times New Roman" w:eastAsia="Times New Roman" w:hAnsi="Times New Roman" w:cs="Times New Roman"/>
      <w:b/>
      <w:bCs/>
      <w:sz w:val="20"/>
      <w:szCs w:val="20"/>
      <w:lang w:val="en-GB"/>
    </w:rPr>
  </w:style>
  <w:style w:type="paragraph" w:styleId="BalloonText">
    <w:name w:val="Balloon Text"/>
    <w:basedOn w:val="Normal"/>
    <w:link w:val="BalloonTextChar"/>
    <w:uiPriority w:val="99"/>
    <w:semiHidden/>
    <w:unhideWhenUsed/>
    <w:rsid w:val="006B24B3"/>
    <w:rPr>
      <w:sz w:val="18"/>
      <w:szCs w:val="18"/>
    </w:rPr>
  </w:style>
  <w:style w:type="character" w:customStyle="1" w:styleId="BalloonTextChar">
    <w:name w:val="Balloon Text Char"/>
    <w:basedOn w:val="DefaultParagraphFont"/>
    <w:link w:val="BalloonText"/>
    <w:uiPriority w:val="99"/>
    <w:semiHidden/>
    <w:rsid w:val="006B24B3"/>
    <w:rPr>
      <w:rFonts w:ascii="Times New Roman" w:eastAsia="Times New Roman" w:hAnsi="Times New Roman" w:cs="Times New Roman"/>
      <w:sz w:val="18"/>
      <w:szCs w:val="18"/>
      <w:lang w:val="en-GB"/>
    </w:rPr>
  </w:style>
  <w:style w:type="paragraph" w:styleId="Revision">
    <w:name w:val="Revision"/>
    <w:hidden/>
    <w:uiPriority w:val="99"/>
    <w:semiHidden/>
    <w:rsid w:val="00307907"/>
    <w:pPr>
      <w:spacing w:line="240" w:lineRule="auto"/>
    </w:pPr>
    <w:rPr>
      <w:rFonts w:ascii="Times New Roman" w:eastAsia="Times New Roman" w:hAnsi="Times New Roman" w:cs="Times New Roman"/>
      <w:sz w:val="24"/>
      <w:szCs w:val="24"/>
      <w:lang w:val="en-GB"/>
    </w:rPr>
  </w:style>
  <w:style w:type="paragraph" w:styleId="NormalWeb">
    <w:name w:val="Normal (Web)"/>
    <w:basedOn w:val="Normal"/>
    <w:uiPriority w:val="99"/>
    <w:semiHidden/>
    <w:unhideWhenUsed/>
    <w:rsid w:val="004F530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895">
      <w:bodyDiv w:val="1"/>
      <w:marLeft w:val="0"/>
      <w:marRight w:val="0"/>
      <w:marTop w:val="0"/>
      <w:marBottom w:val="0"/>
      <w:divBdr>
        <w:top w:val="none" w:sz="0" w:space="0" w:color="auto"/>
        <w:left w:val="none" w:sz="0" w:space="0" w:color="auto"/>
        <w:bottom w:val="none" w:sz="0" w:space="0" w:color="auto"/>
        <w:right w:val="none" w:sz="0" w:space="0" w:color="auto"/>
      </w:divBdr>
    </w:div>
    <w:div w:id="27492337">
      <w:bodyDiv w:val="1"/>
      <w:marLeft w:val="0"/>
      <w:marRight w:val="0"/>
      <w:marTop w:val="0"/>
      <w:marBottom w:val="0"/>
      <w:divBdr>
        <w:top w:val="none" w:sz="0" w:space="0" w:color="auto"/>
        <w:left w:val="none" w:sz="0" w:space="0" w:color="auto"/>
        <w:bottom w:val="none" w:sz="0" w:space="0" w:color="auto"/>
        <w:right w:val="none" w:sz="0" w:space="0" w:color="auto"/>
      </w:divBdr>
    </w:div>
    <w:div w:id="50663818">
      <w:bodyDiv w:val="1"/>
      <w:marLeft w:val="0"/>
      <w:marRight w:val="0"/>
      <w:marTop w:val="0"/>
      <w:marBottom w:val="0"/>
      <w:divBdr>
        <w:top w:val="none" w:sz="0" w:space="0" w:color="auto"/>
        <w:left w:val="none" w:sz="0" w:space="0" w:color="auto"/>
        <w:bottom w:val="none" w:sz="0" w:space="0" w:color="auto"/>
        <w:right w:val="none" w:sz="0" w:space="0" w:color="auto"/>
      </w:divBdr>
    </w:div>
    <w:div w:id="166991425">
      <w:bodyDiv w:val="1"/>
      <w:marLeft w:val="0"/>
      <w:marRight w:val="0"/>
      <w:marTop w:val="0"/>
      <w:marBottom w:val="0"/>
      <w:divBdr>
        <w:top w:val="none" w:sz="0" w:space="0" w:color="auto"/>
        <w:left w:val="none" w:sz="0" w:space="0" w:color="auto"/>
        <w:bottom w:val="none" w:sz="0" w:space="0" w:color="auto"/>
        <w:right w:val="none" w:sz="0" w:space="0" w:color="auto"/>
      </w:divBdr>
    </w:div>
    <w:div w:id="253053003">
      <w:bodyDiv w:val="1"/>
      <w:marLeft w:val="0"/>
      <w:marRight w:val="0"/>
      <w:marTop w:val="0"/>
      <w:marBottom w:val="0"/>
      <w:divBdr>
        <w:top w:val="none" w:sz="0" w:space="0" w:color="auto"/>
        <w:left w:val="none" w:sz="0" w:space="0" w:color="auto"/>
        <w:bottom w:val="none" w:sz="0" w:space="0" w:color="auto"/>
        <w:right w:val="none" w:sz="0" w:space="0" w:color="auto"/>
      </w:divBdr>
    </w:div>
    <w:div w:id="505707331">
      <w:bodyDiv w:val="1"/>
      <w:marLeft w:val="0"/>
      <w:marRight w:val="0"/>
      <w:marTop w:val="0"/>
      <w:marBottom w:val="0"/>
      <w:divBdr>
        <w:top w:val="none" w:sz="0" w:space="0" w:color="auto"/>
        <w:left w:val="none" w:sz="0" w:space="0" w:color="auto"/>
        <w:bottom w:val="none" w:sz="0" w:space="0" w:color="auto"/>
        <w:right w:val="none" w:sz="0" w:space="0" w:color="auto"/>
      </w:divBdr>
    </w:div>
    <w:div w:id="692413450">
      <w:bodyDiv w:val="1"/>
      <w:marLeft w:val="0"/>
      <w:marRight w:val="0"/>
      <w:marTop w:val="0"/>
      <w:marBottom w:val="0"/>
      <w:divBdr>
        <w:top w:val="none" w:sz="0" w:space="0" w:color="auto"/>
        <w:left w:val="none" w:sz="0" w:space="0" w:color="auto"/>
        <w:bottom w:val="none" w:sz="0" w:space="0" w:color="auto"/>
        <w:right w:val="none" w:sz="0" w:space="0" w:color="auto"/>
      </w:divBdr>
    </w:div>
    <w:div w:id="924607664">
      <w:bodyDiv w:val="1"/>
      <w:marLeft w:val="0"/>
      <w:marRight w:val="0"/>
      <w:marTop w:val="0"/>
      <w:marBottom w:val="0"/>
      <w:divBdr>
        <w:top w:val="none" w:sz="0" w:space="0" w:color="auto"/>
        <w:left w:val="none" w:sz="0" w:space="0" w:color="auto"/>
        <w:bottom w:val="none" w:sz="0" w:space="0" w:color="auto"/>
        <w:right w:val="none" w:sz="0" w:space="0" w:color="auto"/>
      </w:divBdr>
    </w:div>
    <w:div w:id="970014273">
      <w:bodyDiv w:val="1"/>
      <w:marLeft w:val="0"/>
      <w:marRight w:val="0"/>
      <w:marTop w:val="0"/>
      <w:marBottom w:val="0"/>
      <w:divBdr>
        <w:top w:val="none" w:sz="0" w:space="0" w:color="auto"/>
        <w:left w:val="none" w:sz="0" w:space="0" w:color="auto"/>
        <w:bottom w:val="none" w:sz="0" w:space="0" w:color="auto"/>
        <w:right w:val="none" w:sz="0" w:space="0" w:color="auto"/>
      </w:divBdr>
    </w:div>
    <w:div w:id="973483763">
      <w:bodyDiv w:val="1"/>
      <w:marLeft w:val="0"/>
      <w:marRight w:val="0"/>
      <w:marTop w:val="0"/>
      <w:marBottom w:val="0"/>
      <w:divBdr>
        <w:top w:val="none" w:sz="0" w:space="0" w:color="auto"/>
        <w:left w:val="none" w:sz="0" w:space="0" w:color="auto"/>
        <w:bottom w:val="none" w:sz="0" w:space="0" w:color="auto"/>
        <w:right w:val="none" w:sz="0" w:space="0" w:color="auto"/>
      </w:divBdr>
    </w:div>
    <w:div w:id="997996202">
      <w:bodyDiv w:val="1"/>
      <w:marLeft w:val="0"/>
      <w:marRight w:val="0"/>
      <w:marTop w:val="0"/>
      <w:marBottom w:val="0"/>
      <w:divBdr>
        <w:top w:val="none" w:sz="0" w:space="0" w:color="auto"/>
        <w:left w:val="none" w:sz="0" w:space="0" w:color="auto"/>
        <w:bottom w:val="none" w:sz="0" w:space="0" w:color="auto"/>
        <w:right w:val="none" w:sz="0" w:space="0" w:color="auto"/>
      </w:divBdr>
    </w:div>
    <w:div w:id="1000547455">
      <w:bodyDiv w:val="1"/>
      <w:marLeft w:val="0"/>
      <w:marRight w:val="0"/>
      <w:marTop w:val="0"/>
      <w:marBottom w:val="0"/>
      <w:divBdr>
        <w:top w:val="none" w:sz="0" w:space="0" w:color="auto"/>
        <w:left w:val="none" w:sz="0" w:space="0" w:color="auto"/>
        <w:bottom w:val="none" w:sz="0" w:space="0" w:color="auto"/>
        <w:right w:val="none" w:sz="0" w:space="0" w:color="auto"/>
      </w:divBdr>
    </w:div>
    <w:div w:id="1095859658">
      <w:bodyDiv w:val="1"/>
      <w:marLeft w:val="0"/>
      <w:marRight w:val="0"/>
      <w:marTop w:val="0"/>
      <w:marBottom w:val="0"/>
      <w:divBdr>
        <w:top w:val="none" w:sz="0" w:space="0" w:color="auto"/>
        <w:left w:val="none" w:sz="0" w:space="0" w:color="auto"/>
        <w:bottom w:val="none" w:sz="0" w:space="0" w:color="auto"/>
        <w:right w:val="none" w:sz="0" w:space="0" w:color="auto"/>
      </w:divBdr>
    </w:div>
    <w:div w:id="1120953411">
      <w:bodyDiv w:val="1"/>
      <w:marLeft w:val="0"/>
      <w:marRight w:val="0"/>
      <w:marTop w:val="0"/>
      <w:marBottom w:val="0"/>
      <w:divBdr>
        <w:top w:val="none" w:sz="0" w:space="0" w:color="auto"/>
        <w:left w:val="none" w:sz="0" w:space="0" w:color="auto"/>
        <w:bottom w:val="none" w:sz="0" w:space="0" w:color="auto"/>
        <w:right w:val="none" w:sz="0" w:space="0" w:color="auto"/>
      </w:divBdr>
    </w:div>
    <w:div w:id="1152452012">
      <w:bodyDiv w:val="1"/>
      <w:marLeft w:val="0"/>
      <w:marRight w:val="0"/>
      <w:marTop w:val="0"/>
      <w:marBottom w:val="0"/>
      <w:divBdr>
        <w:top w:val="none" w:sz="0" w:space="0" w:color="auto"/>
        <w:left w:val="none" w:sz="0" w:space="0" w:color="auto"/>
        <w:bottom w:val="none" w:sz="0" w:space="0" w:color="auto"/>
        <w:right w:val="none" w:sz="0" w:space="0" w:color="auto"/>
      </w:divBdr>
    </w:div>
    <w:div w:id="1266691042">
      <w:bodyDiv w:val="1"/>
      <w:marLeft w:val="0"/>
      <w:marRight w:val="0"/>
      <w:marTop w:val="0"/>
      <w:marBottom w:val="0"/>
      <w:divBdr>
        <w:top w:val="none" w:sz="0" w:space="0" w:color="auto"/>
        <w:left w:val="none" w:sz="0" w:space="0" w:color="auto"/>
        <w:bottom w:val="none" w:sz="0" w:space="0" w:color="auto"/>
        <w:right w:val="none" w:sz="0" w:space="0" w:color="auto"/>
      </w:divBdr>
    </w:div>
    <w:div w:id="1277444217">
      <w:bodyDiv w:val="1"/>
      <w:marLeft w:val="0"/>
      <w:marRight w:val="0"/>
      <w:marTop w:val="0"/>
      <w:marBottom w:val="0"/>
      <w:divBdr>
        <w:top w:val="none" w:sz="0" w:space="0" w:color="auto"/>
        <w:left w:val="none" w:sz="0" w:space="0" w:color="auto"/>
        <w:bottom w:val="none" w:sz="0" w:space="0" w:color="auto"/>
        <w:right w:val="none" w:sz="0" w:space="0" w:color="auto"/>
      </w:divBdr>
    </w:div>
    <w:div w:id="1292397921">
      <w:bodyDiv w:val="1"/>
      <w:marLeft w:val="0"/>
      <w:marRight w:val="0"/>
      <w:marTop w:val="0"/>
      <w:marBottom w:val="0"/>
      <w:divBdr>
        <w:top w:val="none" w:sz="0" w:space="0" w:color="auto"/>
        <w:left w:val="none" w:sz="0" w:space="0" w:color="auto"/>
        <w:bottom w:val="none" w:sz="0" w:space="0" w:color="auto"/>
        <w:right w:val="none" w:sz="0" w:space="0" w:color="auto"/>
      </w:divBdr>
    </w:div>
    <w:div w:id="1295334547">
      <w:bodyDiv w:val="1"/>
      <w:marLeft w:val="0"/>
      <w:marRight w:val="0"/>
      <w:marTop w:val="0"/>
      <w:marBottom w:val="0"/>
      <w:divBdr>
        <w:top w:val="none" w:sz="0" w:space="0" w:color="auto"/>
        <w:left w:val="none" w:sz="0" w:space="0" w:color="auto"/>
        <w:bottom w:val="none" w:sz="0" w:space="0" w:color="auto"/>
        <w:right w:val="none" w:sz="0" w:space="0" w:color="auto"/>
      </w:divBdr>
    </w:div>
    <w:div w:id="1341852034">
      <w:bodyDiv w:val="1"/>
      <w:marLeft w:val="0"/>
      <w:marRight w:val="0"/>
      <w:marTop w:val="0"/>
      <w:marBottom w:val="0"/>
      <w:divBdr>
        <w:top w:val="none" w:sz="0" w:space="0" w:color="auto"/>
        <w:left w:val="none" w:sz="0" w:space="0" w:color="auto"/>
        <w:bottom w:val="none" w:sz="0" w:space="0" w:color="auto"/>
        <w:right w:val="none" w:sz="0" w:space="0" w:color="auto"/>
      </w:divBdr>
    </w:div>
    <w:div w:id="1386639554">
      <w:bodyDiv w:val="1"/>
      <w:marLeft w:val="0"/>
      <w:marRight w:val="0"/>
      <w:marTop w:val="0"/>
      <w:marBottom w:val="0"/>
      <w:divBdr>
        <w:top w:val="none" w:sz="0" w:space="0" w:color="auto"/>
        <w:left w:val="none" w:sz="0" w:space="0" w:color="auto"/>
        <w:bottom w:val="none" w:sz="0" w:space="0" w:color="auto"/>
        <w:right w:val="none" w:sz="0" w:space="0" w:color="auto"/>
      </w:divBdr>
    </w:div>
    <w:div w:id="1411926770">
      <w:bodyDiv w:val="1"/>
      <w:marLeft w:val="0"/>
      <w:marRight w:val="0"/>
      <w:marTop w:val="0"/>
      <w:marBottom w:val="0"/>
      <w:divBdr>
        <w:top w:val="none" w:sz="0" w:space="0" w:color="auto"/>
        <w:left w:val="none" w:sz="0" w:space="0" w:color="auto"/>
        <w:bottom w:val="none" w:sz="0" w:space="0" w:color="auto"/>
        <w:right w:val="none" w:sz="0" w:space="0" w:color="auto"/>
      </w:divBdr>
    </w:div>
    <w:div w:id="1486706985">
      <w:bodyDiv w:val="1"/>
      <w:marLeft w:val="0"/>
      <w:marRight w:val="0"/>
      <w:marTop w:val="0"/>
      <w:marBottom w:val="0"/>
      <w:divBdr>
        <w:top w:val="none" w:sz="0" w:space="0" w:color="auto"/>
        <w:left w:val="none" w:sz="0" w:space="0" w:color="auto"/>
        <w:bottom w:val="none" w:sz="0" w:space="0" w:color="auto"/>
        <w:right w:val="none" w:sz="0" w:space="0" w:color="auto"/>
      </w:divBdr>
    </w:div>
    <w:div w:id="1595817259">
      <w:bodyDiv w:val="1"/>
      <w:marLeft w:val="0"/>
      <w:marRight w:val="0"/>
      <w:marTop w:val="0"/>
      <w:marBottom w:val="0"/>
      <w:divBdr>
        <w:top w:val="none" w:sz="0" w:space="0" w:color="auto"/>
        <w:left w:val="none" w:sz="0" w:space="0" w:color="auto"/>
        <w:bottom w:val="none" w:sz="0" w:space="0" w:color="auto"/>
        <w:right w:val="none" w:sz="0" w:space="0" w:color="auto"/>
      </w:divBdr>
    </w:div>
    <w:div w:id="1640189859">
      <w:bodyDiv w:val="1"/>
      <w:marLeft w:val="0"/>
      <w:marRight w:val="0"/>
      <w:marTop w:val="0"/>
      <w:marBottom w:val="0"/>
      <w:divBdr>
        <w:top w:val="none" w:sz="0" w:space="0" w:color="auto"/>
        <w:left w:val="none" w:sz="0" w:space="0" w:color="auto"/>
        <w:bottom w:val="none" w:sz="0" w:space="0" w:color="auto"/>
        <w:right w:val="none" w:sz="0" w:space="0" w:color="auto"/>
      </w:divBdr>
    </w:div>
    <w:div w:id="1777166487">
      <w:bodyDiv w:val="1"/>
      <w:marLeft w:val="0"/>
      <w:marRight w:val="0"/>
      <w:marTop w:val="0"/>
      <w:marBottom w:val="0"/>
      <w:divBdr>
        <w:top w:val="none" w:sz="0" w:space="0" w:color="auto"/>
        <w:left w:val="none" w:sz="0" w:space="0" w:color="auto"/>
        <w:bottom w:val="none" w:sz="0" w:space="0" w:color="auto"/>
        <w:right w:val="none" w:sz="0" w:space="0" w:color="auto"/>
      </w:divBdr>
    </w:div>
    <w:div w:id="1791970884">
      <w:bodyDiv w:val="1"/>
      <w:marLeft w:val="0"/>
      <w:marRight w:val="0"/>
      <w:marTop w:val="0"/>
      <w:marBottom w:val="0"/>
      <w:divBdr>
        <w:top w:val="none" w:sz="0" w:space="0" w:color="auto"/>
        <w:left w:val="none" w:sz="0" w:space="0" w:color="auto"/>
        <w:bottom w:val="none" w:sz="0" w:space="0" w:color="auto"/>
        <w:right w:val="none" w:sz="0" w:space="0" w:color="auto"/>
      </w:divBdr>
    </w:div>
    <w:div w:id="1934822977">
      <w:bodyDiv w:val="1"/>
      <w:marLeft w:val="0"/>
      <w:marRight w:val="0"/>
      <w:marTop w:val="0"/>
      <w:marBottom w:val="0"/>
      <w:divBdr>
        <w:top w:val="none" w:sz="0" w:space="0" w:color="auto"/>
        <w:left w:val="none" w:sz="0" w:space="0" w:color="auto"/>
        <w:bottom w:val="none" w:sz="0" w:space="0" w:color="auto"/>
        <w:right w:val="none" w:sz="0" w:space="0" w:color="auto"/>
      </w:divBdr>
    </w:div>
    <w:div w:id="1990330419">
      <w:bodyDiv w:val="1"/>
      <w:marLeft w:val="0"/>
      <w:marRight w:val="0"/>
      <w:marTop w:val="0"/>
      <w:marBottom w:val="0"/>
      <w:divBdr>
        <w:top w:val="none" w:sz="0" w:space="0" w:color="auto"/>
        <w:left w:val="none" w:sz="0" w:space="0" w:color="auto"/>
        <w:bottom w:val="none" w:sz="0" w:space="0" w:color="auto"/>
        <w:right w:val="none" w:sz="0" w:space="0" w:color="auto"/>
      </w:divBdr>
    </w:div>
    <w:div w:id="2016566713">
      <w:bodyDiv w:val="1"/>
      <w:marLeft w:val="0"/>
      <w:marRight w:val="0"/>
      <w:marTop w:val="0"/>
      <w:marBottom w:val="0"/>
      <w:divBdr>
        <w:top w:val="none" w:sz="0" w:space="0" w:color="auto"/>
        <w:left w:val="none" w:sz="0" w:space="0" w:color="auto"/>
        <w:bottom w:val="none" w:sz="0" w:space="0" w:color="auto"/>
        <w:right w:val="none" w:sz="0" w:space="0" w:color="auto"/>
      </w:divBdr>
    </w:div>
    <w:div w:id="20910050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7A83183-3A43-DB43-9D5B-E10EB387A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31</Pages>
  <Words>9124</Words>
  <Characters>52010</Characters>
  <Application>Microsoft Office Word</Application>
  <DocSecurity>0</DocSecurity>
  <Lines>433</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Smith (AMA - Staff)</cp:lastModifiedBy>
  <cp:revision>20</cp:revision>
  <cp:lastPrinted>2021-08-17T11:37:00Z</cp:lastPrinted>
  <dcterms:created xsi:type="dcterms:W3CDTF">2023-07-03T13:09:00Z</dcterms:created>
  <dcterms:modified xsi:type="dcterms:W3CDTF">2023-07-04T08:38:00Z</dcterms:modified>
</cp:coreProperties>
</file>