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91D7E" w14:textId="7C1DE62B" w:rsidR="009D23C2" w:rsidRPr="00EE5ECB" w:rsidRDefault="009D23C2" w:rsidP="00EE5ECB">
      <w:pPr>
        <w:pStyle w:val="paragraph"/>
        <w:suppressLineNumbers/>
        <w:jc w:val="both"/>
        <w:rPr>
          <w:b/>
          <w:bCs/>
          <w:color w:val="000000"/>
          <w:sz w:val="28"/>
          <w:szCs w:val="28"/>
        </w:rPr>
      </w:pPr>
      <w:bookmarkStart w:id="0" w:name="_Hlk78811211"/>
      <w:bookmarkStart w:id="1" w:name="_Hlk110001455"/>
      <w:r w:rsidRPr="00EE5ECB">
        <w:rPr>
          <w:b/>
          <w:bCs/>
          <w:color w:val="000000"/>
          <w:sz w:val="28"/>
          <w:szCs w:val="28"/>
        </w:rPr>
        <w:t xml:space="preserve">Understanding the impact of an online </w:t>
      </w:r>
      <w:r w:rsidR="005B5A34">
        <w:rPr>
          <w:b/>
          <w:bCs/>
          <w:color w:val="000000"/>
          <w:sz w:val="28"/>
          <w:szCs w:val="28"/>
        </w:rPr>
        <w:t>L</w:t>
      </w:r>
      <w:r w:rsidRPr="00EE5ECB">
        <w:rPr>
          <w:b/>
          <w:bCs/>
          <w:color w:val="000000"/>
          <w:sz w:val="28"/>
          <w:szCs w:val="28"/>
        </w:rPr>
        <w:t xml:space="preserve">evel 1 </w:t>
      </w:r>
      <w:r w:rsidR="000C3AA9">
        <w:rPr>
          <w:b/>
          <w:bCs/>
          <w:color w:val="000000"/>
          <w:sz w:val="28"/>
          <w:szCs w:val="28"/>
        </w:rPr>
        <w:t xml:space="preserve">coach education </w:t>
      </w:r>
      <w:r w:rsidR="00247723" w:rsidRPr="00EE5ECB">
        <w:rPr>
          <w:b/>
          <w:bCs/>
          <w:color w:val="000000"/>
          <w:sz w:val="28"/>
          <w:szCs w:val="28"/>
        </w:rPr>
        <w:t>award</w:t>
      </w:r>
      <w:r w:rsidRPr="00EE5ECB">
        <w:rPr>
          <w:b/>
          <w:bCs/>
          <w:color w:val="000000"/>
          <w:sz w:val="28"/>
          <w:szCs w:val="28"/>
        </w:rPr>
        <w:t xml:space="preserve"> on dodgeball coaches’ learning and practice</w:t>
      </w:r>
    </w:p>
    <w:bookmarkEnd w:id="0"/>
    <w:p w14:paraId="52DE647C" w14:textId="38C1C669" w:rsidR="009D23C2" w:rsidRDefault="009D23C2" w:rsidP="00DA3DF7">
      <w:pPr>
        <w:pStyle w:val="paragraph"/>
        <w:suppressLineNumbers/>
        <w:jc w:val="both"/>
        <w:rPr>
          <w:color w:val="000000"/>
        </w:rPr>
      </w:pPr>
    </w:p>
    <w:p w14:paraId="3A2FBE5D" w14:textId="77777777" w:rsidR="00100AAC" w:rsidRDefault="00100AAC" w:rsidP="00100AAC">
      <w:pPr>
        <w:pStyle w:val="paragraph"/>
        <w:suppressLineNumbers/>
        <w:jc w:val="both"/>
        <w:rPr>
          <w:color w:val="000000"/>
        </w:rPr>
      </w:pPr>
      <w:r>
        <w:rPr>
          <w:color w:val="000000"/>
        </w:rPr>
        <w:t>Thomas M. Leeder*, Lee C. Beaumont, and Ciaran M. C. Maloney</w:t>
      </w:r>
    </w:p>
    <w:p w14:paraId="54A6C189" w14:textId="77777777" w:rsidR="00100AAC" w:rsidRDefault="00100AAC" w:rsidP="00100AAC">
      <w:pPr>
        <w:pStyle w:val="paragraph"/>
        <w:suppressLineNumbers/>
        <w:jc w:val="both"/>
        <w:rPr>
          <w:i/>
          <w:color w:val="000000"/>
        </w:rPr>
      </w:pPr>
      <w:r>
        <w:rPr>
          <w:i/>
          <w:color w:val="000000"/>
        </w:rPr>
        <w:t>School of Education and Lifelong Learning, University of East Anglia, Norwich, UK.</w:t>
      </w:r>
    </w:p>
    <w:p w14:paraId="28F69B36" w14:textId="17AD20FD" w:rsidR="00100AAC" w:rsidRDefault="00100AAC" w:rsidP="00100AAC">
      <w:pPr>
        <w:pStyle w:val="paragraph"/>
        <w:suppressLineNumbers/>
        <w:jc w:val="both"/>
        <w:rPr>
          <w:i/>
          <w:color w:val="000000"/>
        </w:rPr>
      </w:pPr>
      <w:r>
        <w:rPr>
          <w:i/>
          <w:color w:val="000000"/>
          <w:vertAlign w:val="superscript"/>
        </w:rPr>
        <w:t xml:space="preserve">* </w:t>
      </w:r>
      <w:r>
        <w:rPr>
          <w:i/>
          <w:color w:val="000000"/>
        </w:rPr>
        <w:t xml:space="preserve">Corresponding author. </w:t>
      </w:r>
    </w:p>
    <w:p w14:paraId="17EC5DC3" w14:textId="61D5C7AC" w:rsidR="009D23C2" w:rsidRDefault="009D23C2" w:rsidP="00DA3DF7">
      <w:pPr>
        <w:pStyle w:val="paragraph"/>
        <w:suppressLineNumbers/>
        <w:jc w:val="both"/>
        <w:rPr>
          <w:color w:val="000000"/>
        </w:rPr>
      </w:pPr>
    </w:p>
    <w:p w14:paraId="3049DF6C" w14:textId="77777777" w:rsidR="00FB0E1E" w:rsidRDefault="00ED7C40" w:rsidP="00DA3DF7">
      <w:pPr>
        <w:pStyle w:val="paragraph"/>
        <w:suppressLineNumbers/>
        <w:jc w:val="both"/>
        <w:rPr>
          <w:color w:val="000000"/>
        </w:rPr>
      </w:pPr>
      <w:r>
        <w:rPr>
          <w:color w:val="000000"/>
        </w:rPr>
        <w:t xml:space="preserve">Date of submission: July </w:t>
      </w:r>
      <w:r w:rsidR="001906E9">
        <w:rPr>
          <w:color w:val="000000"/>
        </w:rPr>
        <w:t>2</w:t>
      </w:r>
      <w:r w:rsidR="00FB0E1E">
        <w:rPr>
          <w:color w:val="000000"/>
        </w:rPr>
        <w:t>0</w:t>
      </w:r>
      <w:r w:rsidR="001906E9" w:rsidRPr="001906E9">
        <w:rPr>
          <w:color w:val="000000"/>
          <w:vertAlign w:val="superscript"/>
        </w:rPr>
        <w:t>th</w:t>
      </w:r>
      <w:r w:rsidR="001906E9">
        <w:rPr>
          <w:color w:val="000000"/>
        </w:rPr>
        <w:t>, 2022</w:t>
      </w:r>
    </w:p>
    <w:p w14:paraId="7E1165C7" w14:textId="77777777" w:rsidR="009D3BFB" w:rsidRDefault="00FB0E1E" w:rsidP="009D3BFB">
      <w:pPr>
        <w:pStyle w:val="paragraph"/>
        <w:suppressLineNumbers/>
        <w:jc w:val="both"/>
        <w:rPr>
          <w:color w:val="000000"/>
        </w:rPr>
      </w:pPr>
      <w:r>
        <w:rPr>
          <w:color w:val="000000"/>
        </w:rPr>
        <w:t>Date of re-submission: January 20</w:t>
      </w:r>
      <w:r w:rsidRPr="00FB0E1E">
        <w:rPr>
          <w:color w:val="000000"/>
          <w:vertAlign w:val="superscript"/>
        </w:rPr>
        <w:t>th</w:t>
      </w:r>
      <w:r>
        <w:rPr>
          <w:color w:val="000000"/>
        </w:rPr>
        <w:t>, 2023</w:t>
      </w:r>
      <w:r w:rsidR="001906E9">
        <w:rPr>
          <w:color w:val="000000"/>
        </w:rPr>
        <w:t xml:space="preserve"> </w:t>
      </w:r>
      <w:r w:rsidR="00ED7C40">
        <w:rPr>
          <w:color w:val="000000"/>
        </w:rPr>
        <w:t xml:space="preserve"> </w:t>
      </w:r>
    </w:p>
    <w:p w14:paraId="5C0BF68B" w14:textId="0C007E96" w:rsidR="009D3BFB" w:rsidRPr="009D3BFB" w:rsidRDefault="009D3BFB" w:rsidP="009D3BFB">
      <w:pPr>
        <w:pStyle w:val="paragraph"/>
        <w:suppressLineNumbers/>
        <w:jc w:val="both"/>
        <w:rPr>
          <w:color w:val="000000"/>
        </w:rPr>
      </w:pPr>
      <w:r w:rsidRPr="009D3BFB">
        <w:rPr>
          <w:color w:val="000000"/>
        </w:rPr>
        <w:t xml:space="preserve">Date of </w:t>
      </w:r>
      <w:r>
        <w:rPr>
          <w:color w:val="000000"/>
        </w:rPr>
        <w:t>2</w:t>
      </w:r>
      <w:r w:rsidRPr="009D3BFB">
        <w:rPr>
          <w:color w:val="000000"/>
          <w:vertAlign w:val="superscript"/>
        </w:rPr>
        <w:t>nd</w:t>
      </w:r>
      <w:r>
        <w:rPr>
          <w:color w:val="000000"/>
        </w:rPr>
        <w:t xml:space="preserve"> </w:t>
      </w:r>
      <w:r w:rsidRPr="009D3BFB">
        <w:rPr>
          <w:color w:val="000000"/>
        </w:rPr>
        <w:t xml:space="preserve">re-submission: </w:t>
      </w:r>
      <w:r>
        <w:rPr>
          <w:color w:val="000000"/>
        </w:rPr>
        <w:t>April 12</w:t>
      </w:r>
      <w:r w:rsidRPr="009D3BFB">
        <w:rPr>
          <w:color w:val="000000"/>
          <w:vertAlign w:val="superscript"/>
        </w:rPr>
        <w:t>th</w:t>
      </w:r>
      <w:r>
        <w:rPr>
          <w:color w:val="000000"/>
        </w:rPr>
        <w:t>, 2023</w:t>
      </w:r>
      <w:r w:rsidRPr="009D3BFB">
        <w:rPr>
          <w:color w:val="000000"/>
        </w:rPr>
        <w:t xml:space="preserve">  </w:t>
      </w:r>
    </w:p>
    <w:p w14:paraId="4DD7C64B" w14:textId="77777777" w:rsidR="009D3BFB" w:rsidRDefault="009D3BFB" w:rsidP="00DA3DF7">
      <w:pPr>
        <w:pStyle w:val="paragraph"/>
        <w:suppressLineNumbers/>
        <w:jc w:val="both"/>
        <w:rPr>
          <w:color w:val="000000"/>
        </w:rPr>
      </w:pPr>
    </w:p>
    <w:bookmarkEnd w:id="1"/>
    <w:p w14:paraId="70B63C05" w14:textId="77777777" w:rsidR="00100AAC" w:rsidRPr="00100AAC" w:rsidRDefault="00100AAC" w:rsidP="00100AAC">
      <w:pPr>
        <w:pStyle w:val="paragraph"/>
        <w:suppressLineNumbers/>
        <w:jc w:val="both"/>
        <w:rPr>
          <w:color w:val="000000"/>
        </w:rPr>
      </w:pPr>
      <w:r w:rsidRPr="00100AAC">
        <w:rPr>
          <w:color w:val="000000"/>
        </w:rPr>
        <w:t>The citation is as follows:</w:t>
      </w:r>
    </w:p>
    <w:p w14:paraId="1ACCCFDD" w14:textId="6CA707B6" w:rsidR="009D23C2" w:rsidRDefault="00100AAC" w:rsidP="00100AAC">
      <w:pPr>
        <w:pStyle w:val="paragraph"/>
        <w:suppressLineNumbers/>
        <w:jc w:val="both"/>
        <w:rPr>
          <w:color w:val="000000"/>
        </w:rPr>
      </w:pPr>
      <w:r w:rsidRPr="00100AAC">
        <w:rPr>
          <w:color w:val="000000"/>
        </w:rPr>
        <w:t>Leeder, T</w:t>
      </w:r>
      <w:r>
        <w:rPr>
          <w:color w:val="000000"/>
        </w:rPr>
        <w:t>. M.</w:t>
      </w:r>
      <w:r w:rsidRPr="00100AAC">
        <w:rPr>
          <w:color w:val="000000"/>
        </w:rPr>
        <w:t xml:space="preserve">., Beaumont, </w:t>
      </w:r>
      <w:r>
        <w:rPr>
          <w:color w:val="000000"/>
        </w:rPr>
        <w:t>L. C.,</w:t>
      </w:r>
      <w:r w:rsidRPr="00100AAC">
        <w:rPr>
          <w:color w:val="000000"/>
        </w:rPr>
        <w:t xml:space="preserve"> &amp; Maloney</w:t>
      </w:r>
      <w:r>
        <w:rPr>
          <w:color w:val="000000"/>
        </w:rPr>
        <w:t>,</w:t>
      </w:r>
      <w:r w:rsidRPr="00100AAC">
        <w:rPr>
          <w:color w:val="000000"/>
        </w:rPr>
        <w:t xml:space="preserve"> </w:t>
      </w:r>
      <w:r>
        <w:rPr>
          <w:color w:val="000000"/>
        </w:rPr>
        <w:t>C. M. C.</w:t>
      </w:r>
      <w:r w:rsidRPr="00100AAC">
        <w:rPr>
          <w:color w:val="000000"/>
        </w:rPr>
        <w:t xml:space="preserve"> (2023). Understanding the Impact of an Online Level 1 Coach Education Award on Dodgeball Coaches’ Learning and Practice. </w:t>
      </w:r>
      <w:r w:rsidRPr="00100AAC">
        <w:rPr>
          <w:i/>
          <w:iCs/>
          <w:color w:val="000000"/>
        </w:rPr>
        <w:t>International Sport Coaching Journal</w:t>
      </w:r>
      <w:r w:rsidRPr="00100AAC">
        <w:rPr>
          <w:color w:val="000000"/>
        </w:rPr>
        <w:t>. Advance online publication. https://doi.org/10.1123/iscj.2022-0072.</w:t>
      </w:r>
    </w:p>
    <w:p w14:paraId="79485511" w14:textId="66F472FF" w:rsidR="009D23C2" w:rsidRDefault="009D23C2" w:rsidP="00DA3DF7">
      <w:pPr>
        <w:pStyle w:val="paragraph"/>
        <w:suppressLineNumbers/>
        <w:jc w:val="both"/>
        <w:rPr>
          <w:color w:val="000000"/>
        </w:rPr>
      </w:pPr>
    </w:p>
    <w:p w14:paraId="4AEC8A5C" w14:textId="6F84D093" w:rsidR="009D23C2" w:rsidRDefault="009D23C2" w:rsidP="00DA3DF7">
      <w:pPr>
        <w:pStyle w:val="paragraph"/>
        <w:suppressLineNumbers/>
        <w:jc w:val="both"/>
        <w:rPr>
          <w:color w:val="000000"/>
        </w:rPr>
      </w:pPr>
    </w:p>
    <w:p w14:paraId="5542797C" w14:textId="723B5B0B" w:rsidR="009D23C2" w:rsidRDefault="009D23C2" w:rsidP="00DA3DF7">
      <w:pPr>
        <w:pStyle w:val="paragraph"/>
        <w:suppressLineNumbers/>
        <w:jc w:val="both"/>
        <w:rPr>
          <w:color w:val="000000"/>
        </w:rPr>
      </w:pPr>
    </w:p>
    <w:p w14:paraId="6A209C65" w14:textId="001CC203" w:rsidR="009D23C2" w:rsidRDefault="009D23C2" w:rsidP="00DA3DF7">
      <w:pPr>
        <w:pStyle w:val="paragraph"/>
        <w:suppressLineNumbers/>
        <w:jc w:val="both"/>
        <w:rPr>
          <w:color w:val="000000"/>
        </w:rPr>
      </w:pPr>
    </w:p>
    <w:p w14:paraId="6A4B8F1B" w14:textId="6FBDEA7B" w:rsidR="009D23C2" w:rsidRDefault="009D23C2" w:rsidP="00DA3DF7">
      <w:pPr>
        <w:pStyle w:val="paragraph"/>
        <w:suppressLineNumbers/>
        <w:jc w:val="both"/>
        <w:rPr>
          <w:color w:val="000000"/>
        </w:rPr>
      </w:pPr>
    </w:p>
    <w:p w14:paraId="63D95995" w14:textId="244E8E5C" w:rsidR="009D23C2" w:rsidRDefault="009D23C2" w:rsidP="00DA3DF7">
      <w:pPr>
        <w:pStyle w:val="paragraph"/>
        <w:suppressLineNumbers/>
        <w:jc w:val="both"/>
        <w:rPr>
          <w:color w:val="000000"/>
        </w:rPr>
      </w:pPr>
    </w:p>
    <w:p w14:paraId="74B8221B" w14:textId="570158F9" w:rsidR="009D23C2" w:rsidRDefault="009D23C2" w:rsidP="00DA3DF7">
      <w:pPr>
        <w:pStyle w:val="paragraph"/>
        <w:suppressLineNumbers/>
        <w:jc w:val="both"/>
        <w:rPr>
          <w:color w:val="000000"/>
        </w:rPr>
      </w:pPr>
    </w:p>
    <w:p w14:paraId="69BF2956" w14:textId="65A1C31F" w:rsidR="009D23C2" w:rsidRDefault="009D23C2" w:rsidP="00DA3DF7">
      <w:pPr>
        <w:pStyle w:val="paragraph"/>
        <w:suppressLineNumbers/>
        <w:jc w:val="both"/>
        <w:rPr>
          <w:color w:val="000000"/>
        </w:rPr>
      </w:pPr>
    </w:p>
    <w:p w14:paraId="64178B26" w14:textId="5187C34A" w:rsidR="00EE5ECB" w:rsidRDefault="00EE5ECB" w:rsidP="00DA3DF7">
      <w:pPr>
        <w:pStyle w:val="paragraph"/>
        <w:suppressLineNumbers/>
        <w:jc w:val="both"/>
        <w:rPr>
          <w:color w:val="000000"/>
        </w:rPr>
      </w:pPr>
    </w:p>
    <w:p w14:paraId="605BD4D5" w14:textId="77777777" w:rsidR="00100AAC" w:rsidRDefault="00100AAC" w:rsidP="00DA3DF7">
      <w:pPr>
        <w:pStyle w:val="paragraph"/>
        <w:suppressLineNumbers/>
        <w:jc w:val="both"/>
        <w:rPr>
          <w:color w:val="000000"/>
        </w:rPr>
      </w:pPr>
    </w:p>
    <w:p w14:paraId="50962BFD" w14:textId="5241DD41" w:rsidR="00EE5ECB" w:rsidRPr="00100AAC" w:rsidRDefault="00EE5ECB" w:rsidP="008B0989">
      <w:pPr>
        <w:spacing w:after="0" w:line="240" w:lineRule="auto"/>
        <w:jc w:val="both"/>
        <w:rPr>
          <w:rFonts w:ascii="Times New Roman" w:eastAsia="Times New Roman" w:hAnsi="Times New Roman" w:cs="Times New Roman"/>
          <w:b/>
          <w:bCs/>
          <w:color w:val="000000"/>
          <w:sz w:val="28"/>
          <w:szCs w:val="24"/>
          <w:lang w:eastAsia="en-GB"/>
        </w:rPr>
      </w:pPr>
      <w:r w:rsidRPr="00100AAC">
        <w:rPr>
          <w:rFonts w:ascii="Times New Roman" w:eastAsia="Times New Roman" w:hAnsi="Times New Roman" w:cs="Times New Roman"/>
          <w:b/>
          <w:bCs/>
          <w:color w:val="000000"/>
          <w:sz w:val="28"/>
          <w:szCs w:val="24"/>
          <w:lang w:eastAsia="en-GB"/>
        </w:rPr>
        <w:lastRenderedPageBreak/>
        <w:t>Understanding the impact of an online Level 1</w:t>
      </w:r>
      <w:r w:rsidR="00736CEA" w:rsidRPr="00100AAC">
        <w:rPr>
          <w:rFonts w:ascii="Times New Roman" w:eastAsia="Times New Roman" w:hAnsi="Times New Roman" w:cs="Times New Roman"/>
          <w:b/>
          <w:bCs/>
          <w:color w:val="000000"/>
          <w:sz w:val="28"/>
          <w:szCs w:val="24"/>
          <w:lang w:eastAsia="en-GB"/>
        </w:rPr>
        <w:t xml:space="preserve"> coach education</w:t>
      </w:r>
      <w:r w:rsidRPr="00100AAC">
        <w:rPr>
          <w:rFonts w:ascii="Times New Roman" w:eastAsia="Times New Roman" w:hAnsi="Times New Roman" w:cs="Times New Roman"/>
          <w:b/>
          <w:bCs/>
          <w:color w:val="000000"/>
          <w:sz w:val="28"/>
          <w:szCs w:val="24"/>
          <w:lang w:eastAsia="en-GB"/>
        </w:rPr>
        <w:t xml:space="preserve"> award on dodgeball coaches’ learning and practice</w:t>
      </w:r>
    </w:p>
    <w:p w14:paraId="096CA87E" w14:textId="77777777" w:rsidR="008B0989" w:rsidRPr="00100AAC" w:rsidRDefault="008B0989" w:rsidP="008B0989">
      <w:pPr>
        <w:spacing w:after="0" w:line="240" w:lineRule="auto"/>
        <w:jc w:val="both"/>
        <w:rPr>
          <w:rFonts w:ascii="Times New Roman" w:eastAsia="Times New Roman" w:hAnsi="Times New Roman" w:cs="Times New Roman"/>
          <w:b/>
          <w:bCs/>
          <w:color w:val="000000"/>
          <w:sz w:val="28"/>
          <w:szCs w:val="24"/>
          <w:lang w:eastAsia="en-GB"/>
        </w:rPr>
      </w:pPr>
    </w:p>
    <w:p w14:paraId="0A519F3D" w14:textId="095D6A50" w:rsidR="005460DC" w:rsidRPr="00100AAC" w:rsidRDefault="00E050B2" w:rsidP="00881F69">
      <w:pPr>
        <w:spacing w:after="0" w:line="480" w:lineRule="auto"/>
        <w:ind w:left="720" w:right="567"/>
        <w:jc w:val="both"/>
        <w:rPr>
          <w:rFonts w:ascii="Times New Roman" w:eastAsia="Times New Roman" w:hAnsi="Times New Roman" w:cs="Times New Roman"/>
          <w:color w:val="000000"/>
          <w:sz w:val="24"/>
          <w:szCs w:val="24"/>
          <w:lang w:eastAsia="en-GB"/>
        </w:rPr>
      </w:pPr>
      <w:r w:rsidRPr="00100AAC">
        <w:rPr>
          <w:rFonts w:ascii="Times New Roman" w:eastAsia="Times New Roman" w:hAnsi="Times New Roman" w:cs="Times New Roman"/>
          <w:color w:val="000000"/>
          <w:sz w:val="24"/>
          <w:szCs w:val="24"/>
          <w:lang w:eastAsia="en-GB"/>
        </w:rPr>
        <w:t>I</w:t>
      </w:r>
      <w:r w:rsidR="00B9568B" w:rsidRPr="00100AAC">
        <w:rPr>
          <w:rFonts w:ascii="Times New Roman" w:eastAsia="Times New Roman" w:hAnsi="Times New Roman" w:cs="Times New Roman"/>
          <w:color w:val="000000"/>
          <w:sz w:val="24"/>
          <w:szCs w:val="24"/>
          <w:lang w:eastAsia="en-GB"/>
        </w:rPr>
        <w:t>mproved</w:t>
      </w:r>
      <w:r w:rsidRPr="00100AAC">
        <w:rPr>
          <w:rFonts w:ascii="Times New Roman" w:eastAsia="Times New Roman" w:hAnsi="Times New Roman" w:cs="Times New Roman"/>
          <w:color w:val="000000"/>
          <w:sz w:val="24"/>
          <w:szCs w:val="24"/>
          <w:lang w:eastAsia="en-GB"/>
        </w:rPr>
        <w:t xml:space="preserve"> internet</w:t>
      </w:r>
      <w:r w:rsidR="00B9568B" w:rsidRPr="00100AAC">
        <w:rPr>
          <w:rFonts w:ascii="Times New Roman" w:eastAsia="Times New Roman" w:hAnsi="Times New Roman" w:cs="Times New Roman"/>
          <w:color w:val="000000"/>
          <w:sz w:val="24"/>
          <w:szCs w:val="24"/>
          <w:lang w:eastAsia="en-GB"/>
        </w:rPr>
        <w:t xml:space="preserve"> </w:t>
      </w:r>
      <w:r w:rsidR="009410C5" w:rsidRPr="00100AAC">
        <w:rPr>
          <w:rFonts w:ascii="Times New Roman" w:eastAsia="Times New Roman" w:hAnsi="Times New Roman" w:cs="Times New Roman"/>
          <w:color w:val="000000"/>
          <w:sz w:val="24"/>
          <w:szCs w:val="24"/>
          <w:lang w:eastAsia="en-GB"/>
        </w:rPr>
        <w:t>access</w:t>
      </w:r>
      <w:r w:rsidRPr="00100AAC">
        <w:rPr>
          <w:rFonts w:ascii="Times New Roman" w:eastAsia="Times New Roman" w:hAnsi="Times New Roman" w:cs="Times New Roman"/>
          <w:color w:val="000000"/>
          <w:sz w:val="24"/>
          <w:szCs w:val="24"/>
          <w:lang w:eastAsia="en-GB"/>
        </w:rPr>
        <w:t xml:space="preserve"> </w:t>
      </w:r>
      <w:r w:rsidR="009F6F18" w:rsidRPr="00100AAC">
        <w:rPr>
          <w:rFonts w:ascii="Times New Roman" w:eastAsia="Times New Roman" w:hAnsi="Times New Roman" w:cs="Times New Roman"/>
          <w:color w:val="000000"/>
          <w:sz w:val="24"/>
          <w:szCs w:val="24"/>
          <w:lang w:eastAsia="en-GB"/>
        </w:rPr>
        <w:t>and</w:t>
      </w:r>
      <w:r w:rsidR="009410C5" w:rsidRPr="00100AAC">
        <w:rPr>
          <w:rFonts w:ascii="Times New Roman" w:eastAsia="Times New Roman" w:hAnsi="Times New Roman" w:cs="Times New Roman"/>
          <w:color w:val="000000"/>
          <w:sz w:val="24"/>
          <w:szCs w:val="24"/>
          <w:lang w:eastAsia="en-GB"/>
        </w:rPr>
        <w:t xml:space="preserve"> technolog</w:t>
      </w:r>
      <w:r w:rsidR="00EB5AB7" w:rsidRPr="00100AAC">
        <w:rPr>
          <w:rFonts w:ascii="Times New Roman" w:eastAsia="Times New Roman" w:hAnsi="Times New Roman" w:cs="Times New Roman"/>
          <w:color w:val="000000"/>
          <w:sz w:val="24"/>
          <w:szCs w:val="24"/>
          <w:lang w:eastAsia="en-GB"/>
        </w:rPr>
        <w:t>ical advancements</w:t>
      </w:r>
      <w:r w:rsidR="009410C5" w:rsidRPr="00100AAC">
        <w:rPr>
          <w:rFonts w:ascii="Times New Roman" w:eastAsia="Times New Roman" w:hAnsi="Times New Roman" w:cs="Times New Roman"/>
          <w:color w:val="000000"/>
          <w:sz w:val="24"/>
          <w:szCs w:val="24"/>
          <w:lang w:eastAsia="en-GB"/>
        </w:rPr>
        <w:t xml:space="preserve"> has significantly </w:t>
      </w:r>
      <w:r w:rsidR="00881F69" w:rsidRPr="00100AAC">
        <w:rPr>
          <w:rFonts w:ascii="Times New Roman" w:eastAsia="Times New Roman" w:hAnsi="Times New Roman" w:cs="Times New Roman"/>
          <w:color w:val="000000"/>
          <w:sz w:val="24"/>
          <w:szCs w:val="24"/>
          <w:lang w:eastAsia="en-GB"/>
        </w:rPr>
        <w:t>influenced</w:t>
      </w:r>
      <w:r w:rsidR="00B9568B" w:rsidRPr="00100AAC">
        <w:rPr>
          <w:rFonts w:ascii="Times New Roman" w:eastAsia="Times New Roman" w:hAnsi="Times New Roman" w:cs="Times New Roman"/>
          <w:color w:val="000000"/>
          <w:sz w:val="24"/>
          <w:szCs w:val="24"/>
          <w:lang w:eastAsia="en-GB"/>
        </w:rPr>
        <w:t xml:space="preserve"> </w:t>
      </w:r>
      <w:r w:rsidR="009410C5" w:rsidRPr="00100AAC">
        <w:rPr>
          <w:rFonts w:ascii="Times New Roman" w:eastAsia="Times New Roman" w:hAnsi="Times New Roman" w:cs="Times New Roman"/>
          <w:color w:val="000000"/>
          <w:sz w:val="24"/>
          <w:szCs w:val="24"/>
          <w:lang w:eastAsia="en-GB"/>
        </w:rPr>
        <w:t xml:space="preserve">coaches’ </w:t>
      </w:r>
      <w:r w:rsidRPr="00100AAC">
        <w:rPr>
          <w:rFonts w:ascii="Times New Roman" w:eastAsia="Times New Roman" w:hAnsi="Times New Roman" w:cs="Times New Roman"/>
          <w:color w:val="000000"/>
          <w:sz w:val="24"/>
          <w:szCs w:val="24"/>
          <w:lang w:eastAsia="en-GB"/>
        </w:rPr>
        <w:t>learning</w:t>
      </w:r>
      <w:r w:rsidR="00881F69" w:rsidRPr="00100AAC">
        <w:rPr>
          <w:rFonts w:ascii="Times New Roman" w:eastAsia="Times New Roman" w:hAnsi="Times New Roman" w:cs="Times New Roman"/>
          <w:color w:val="000000"/>
          <w:sz w:val="24"/>
          <w:szCs w:val="24"/>
          <w:lang w:eastAsia="en-GB"/>
        </w:rPr>
        <w:t xml:space="preserve"> opportunities</w:t>
      </w:r>
      <w:r w:rsidR="00C16A7D" w:rsidRPr="00100AAC">
        <w:rPr>
          <w:rFonts w:ascii="Times New Roman" w:eastAsia="Times New Roman" w:hAnsi="Times New Roman" w:cs="Times New Roman"/>
          <w:color w:val="000000"/>
          <w:sz w:val="24"/>
          <w:szCs w:val="24"/>
          <w:lang w:eastAsia="en-GB"/>
        </w:rPr>
        <w:t xml:space="preserve">, </w:t>
      </w:r>
      <w:r w:rsidR="00B9568B" w:rsidRPr="00100AAC">
        <w:rPr>
          <w:rFonts w:ascii="Times New Roman" w:eastAsia="Times New Roman" w:hAnsi="Times New Roman" w:cs="Times New Roman"/>
          <w:color w:val="000000"/>
          <w:sz w:val="24"/>
          <w:szCs w:val="24"/>
          <w:lang w:eastAsia="en-GB"/>
        </w:rPr>
        <w:t xml:space="preserve">with </w:t>
      </w:r>
      <w:r w:rsidR="009F6F18" w:rsidRPr="00100AAC">
        <w:rPr>
          <w:rFonts w:ascii="Times New Roman" w:eastAsia="Times New Roman" w:hAnsi="Times New Roman" w:cs="Times New Roman"/>
          <w:color w:val="000000"/>
          <w:sz w:val="24"/>
          <w:szCs w:val="24"/>
          <w:lang w:eastAsia="en-GB"/>
        </w:rPr>
        <w:t>numerous</w:t>
      </w:r>
      <w:r w:rsidR="00881F69" w:rsidRPr="00100AAC">
        <w:rPr>
          <w:rFonts w:ascii="Times New Roman" w:eastAsia="Times New Roman" w:hAnsi="Times New Roman" w:cs="Times New Roman"/>
          <w:color w:val="000000"/>
          <w:sz w:val="24"/>
          <w:szCs w:val="24"/>
          <w:lang w:eastAsia="en-GB"/>
        </w:rPr>
        <w:t xml:space="preserve"> </w:t>
      </w:r>
      <w:r w:rsidR="00C16A7D" w:rsidRPr="00100AAC">
        <w:rPr>
          <w:rFonts w:ascii="Times New Roman" w:eastAsia="Times New Roman" w:hAnsi="Times New Roman" w:cs="Times New Roman"/>
          <w:color w:val="000000"/>
          <w:sz w:val="24"/>
          <w:szCs w:val="24"/>
          <w:lang w:eastAsia="en-GB"/>
        </w:rPr>
        <w:t>online coach education</w:t>
      </w:r>
      <w:r w:rsidR="00881F69" w:rsidRPr="00100AAC">
        <w:rPr>
          <w:rFonts w:ascii="Times New Roman" w:eastAsia="Times New Roman" w:hAnsi="Times New Roman" w:cs="Times New Roman"/>
          <w:color w:val="000000"/>
          <w:sz w:val="24"/>
          <w:szCs w:val="24"/>
          <w:lang w:eastAsia="en-GB"/>
        </w:rPr>
        <w:t xml:space="preserve"> courses now available</w:t>
      </w:r>
      <w:r w:rsidR="00C16A7D" w:rsidRPr="00100AAC">
        <w:rPr>
          <w:rFonts w:ascii="Times New Roman" w:eastAsia="Times New Roman" w:hAnsi="Times New Roman" w:cs="Times New Roman"/>
          <w:color w:val="000000"/>
          <w:sz w:val="24"/>
          <w:szCs w:val="24"/>
          <w:lang w:eastAsia="en-GB"/>
        </w:rPr>
        <w:t xml:space="preserve">. </w:t>
      </w:r>
      <w:r w:rsidR="009F6F18" w:rsidRPr="00100AAC">
        <w:rPr>
          <w:rFonts w:ascii="Times New Roman" w:eastAsia="Times New Roman" w:hAnsi="Times New Roman" w:cs="Times New Roman"/>
          <w:color w:val="000000"/>
          <w:sz w:val="24"/>
          <w:szCs w:val="24"/>
          <w:lang w:eastAsia="en-GB"/>
        </w:rPr>
        <w:t>Despite this</w:t>
      </w:r>
      <w:r w:rsidR="00C16A7D" w:rsidRPr="00100AAC">
        <w:rPr>
          <w:rFonts w:ascii="Times New Roman" w:eastAsia="Times New Roman" w:hAnsi="Times New Roman" w:cs="Times New Roman"/>
          <w:color w:val="000000"/>
          <w:sz w:val="24"/>
          <w:szCs w:val="24"/>
          <w:lang w:eastAsia="en-GB"/>
        </w:rPr>
        <w:t xml:space="preserve">, we know little about coaches’ experiences of </w:t>
      </w:r>
      <w:r w:rsidR="00B9568B" w:rsidRPr="00100AAC">
        <w:rPr>
          <w:rFonts w:ascii="Times New Roman" w:eastAsia="Times New Roman" w:hAnsi="Times New Roman" w:cs="Times New Roman"/>
          <w:color w:val="000000"/>
          <w:sz w:val="24"/>
          <w:szCs w:val="24"/>
          <w:lang w:eastAsia="en-GB"/>
        </w:rPr>
        <w:t>such provision</w:t>
      </w:r>
      <w:r w:rsidR="00EB5AB7" w:rsidRPr="00100AAC">
        <w:rPr>
          <w:rFonts w:ascii="Times New Roman" w:eastAsia="Times New Roman" w:hAnsi="Times New Roman" w:cs="Times New Roman"/>
          <w:color w:val="000000"/>
          <w:sz w:val="24"/>
          <w:szCs w:val="24"/>
          <w:lang w:eastAsia="en-GB"/>
        </w:rPr>
        <w:t xml:space="preserve"> and </w:t>
      </w:r>
      <w:r w:rsidR="009F6F18" w:rsidRPr="00100AAC">
        <w:rPr>
          <w:rFonts w:ascii="Times New Roman" w:eastAsia="Times New Roman" w:hAnsi="Times New Roman" w:cs="Times New Roman"/>
          <w:color w:val="000000"/>
          <w:sz w:val="24"/>
          <w:szCs w:val="24"/>
          <w:lang w:eastAsia="en-GB"/>
        </w:rPr>
        <w:t>how it shapes</w:t>
      </w:r>
      <w:r w:rsidR="00881F69" w:rsidRPr="00100AAC">
        <w:rPr>
          <w:rFonts w:ascii="Times New Roman" w:eastAsia="Times New Roman" w:hAnsi="Times New Roman" w:cs="Times New Roman"/>
          <w:color w:val="000000"/>
          <w:sz w:val="24"/>
          <w:szCs w:val="24"/>
          <w:lang w:eastAsia="en-GB"/>
        </w:rPr>
        <w:t xml:space="preserve"> </w:t>
      </w:r>
      <w:r w:rsidR="00C16A7D" w:rsidRPr="00100AAC">
        <w:rPr>
          <w:rFonts w:ascii="Times New Roman" w:eastAsia="Times New Roman" w:hAnsi="Times New Roman" w:cs="Times New Roman"/>
          <w:color w:val="000000"/>
          <w:sz w:val="24"/>
          <w:szCs w:val="24"/>
          <w:lang w:eastAsia="en-GB"/>
        </w:rPr>
        <w:t xml:space="preserve">coach learning. </w:t>
      </w:r>
      <w:r w:rsidR="00513038" w:rsidRPr="00100AAC">
        <w:rPr>
          <w:rFonts w:ascii="Times New Roman" w:eastAsia="Times New Roman" w:hAnsi="Times New Roman" w:cs="Times New Roman"/>
          <w:color w:val="000000"/>
          <w:sz w:val="24"/>
          <w:szCs w:val="24"/>
          <w:lang w:eastAsia="en-GB"/>
        </w:rPr>
        <w:t>Consequently, the aim of this research is to understand the impact of a</w:t>
      </w:r>
      <w:r w:rsidR="00EB5AB7" w:rsidRPr="00100AAC">
        <w:rPr>
          <w:rFonts w:ascii="Times New Roman" w:eastAsia="Times New Roman" w:hAnsi="Times New Roman" w:cs="Times New Roman"/>
          <w:color w:val="000000"/>
          <w:sz w:val="24"/>
          <w:szCs w:val="24"/>
          <w:lang w:eastAsia="en-GB"/>
        </w:rPr>
        <w:t xml:space="preserve">n </w:t>
      </w:r>
      <w:r w:rsidR="00513038" w:rsidRPr="00100AAC">
        <w:rPr>
          <w:rFonts w:ascii="Times New Roman" w:eastAsia="Times New Roman" w:hAnsi="Times New Roman" w:cs="Times New Roman"/>
          <w:color w:val="000000"/>
          <w:sz w:val="24"/>
          <w:szCs w:val="24"/>
          <w:lang w:eastAsia="en-GB"/>
        </w:rPr>
        <w:t>online Level 1 coach education award on dodgeball coaches’ learning and practice.</w:t>
      </w:r>
      <w:r w:rsidR="00B9568B" w:rsidRPr="00100AAC">
        <w:rPr>
          <w:rFonts w:ascii="Times New Roman" w:eastAsia="Times New Roman" w:hAnsi="Times New Roman" w:cs="Times New Roman"/>
          <w:color w:val="000000"/>
          <w:sz w:val="24"/>
          <w:szCs w:val="24"/>
          <w:lang w:eastAsia="en-GB"/>
        </w:rPr>
        <w:t xml:space="preserve"> </w:t>
      </w:r>
      <w:r w:rsidR="00513038" w:rsidRPr="00100AAC">
        <w:rPr>
          <w:rFonts w:ascii="Times New Roman" w:eastAsia="Times New Roman" w:hAnsi="Times New Roman" w:cs="Times New Roman"/>
          <w:color w:val="000000"/>
          <w:sz w:val="24"/>
          <w:szCs w:val="24"/>
          <w:lang w:eastAsia="en-GB"/>
        </w:rPr>
        <w:t>Data w</w:t>
      </w:r>
      <w:r w:rsidR="007374F8" w:rsidRPr="00100AAC">
        <w:rPr>
          <w:rFonts w:ascii="Times New Roman" w:eastAsia="Times New Roman" w:hAnsi="Times New Roman" w:cs="Times New Roman"/>
          <w:color w:val="000000"/>
          <w:sz w:val="24"/>
          <w:szCs w:val="24"/>
          <w:lang w:eastAsia="en-GB"/>
        </w:rPr>
        <w:t xml:space="preserve">as </w:t>
      </w:r>
      <w:r w:rsidR="00513038" w:rsidRPr="00100AAC">
        <w:rPr>
          <w:rFonts w:ascii="Times New Roman" w:eastAsia="Times New Roman" w:hAnsi="Times New Roman" w:cs="Times New Roman"/>
          <w:color w:val="000000"/>
          <w:sz w:val="24"/>
          <w:szCs w:val="24"/>
          <w:lang w:eastAsia="en-GB"/>
        </w:rPr>
        <w:t>collected via an online qualitative survey involving 57 dodgeball coaches who had</w:t>
      </w:r>
      <w:r w:rsidRPr="00100AAC">
        <w:rPr>
          <w:rFonts w:ascii="Times New Roman" w:eastAsia="Times New Roman" w:hAnsi="Times New Roman" w:cs="Times New Roman"/>
          <w:color w:val="000000"/>
          <w:sz w:val="24"/>
          <w:szCs w:val="24"/>
          <w:lang w:eastAsia="en-GB"/>
        </w:rPr>
        <w:t xml:space="preserve"> </w:t>
      </w:r>
      <w:r w:rsidR="00513038" w:rsidRPr="00100AAC">
        <w:rPr>
          <w:rFonts w:ascii="Times New Roman" w:eastAsia="Times New Roman" w:hAnsi="Times New Roman" w:cs="Times New Roman"/>
          <w:color w:val="000000"/>
          <w:sz w:val="24"/>
          <w:szCs w:val="24"/>
          <w:lang w:eastAsia="en-GB"/>
        </w:rPr>
        <w:t xml:space="preserve">completed the award, </w:t>
      </w:r>
      <w:r w:rsidR="00E1716D" w:rsidRPr="00100AAC">
        <w:rPr>
          <w:rFonts w:ascii="Times New Roman" w:eastAsia="Times New Roman" w:hAnsi="Times New Roman" w:cs="Times New Roman"/>
          <w:color w:val="000000"/>
          <w:sz w:val="24"/>
          <w:szCs w:val="24"/>
          <w:lang w:eastAsia="en-GB"/>
        </w:rPr>
        <w:t>alongside</w:t>
      </w:r>
      <w:r w:rsidR="00513038" w:rsidRPr="00100AAC">
        <w:rPr>
          <w:rFonts w:ascii="Times New Roman" w:eastAsia="Times New Roman" w:hAnsi="Times New Roman" w:cs="Times New Roman"/>
          <w:color w:val="000000"/>
          <w:sz w:val="24"/>
          <w:szCs w:val="24"/>
          <w:lang w:eastAsia="en-GB"/>
        </w:rPr>
        <w:t xml:space="preserve"> follow-up</w:t>
      </w:r>
      <w:r w:rsidR="00E1716D" w:rsidRPr="00100AAC">
        <w:rPr>
          <w:rFonts w:ascii="Times New Roman" w:eastAsia="Times New Roman" w:hAnsi="Times New Roman" w:cs="Times New Roman"/>
          <w:color w:val="000000"/>
          <w:sz w:val="24"/>
          <w:szCs w:val="24"/>
          <w:lang w:eastAsia="en-GB"/>
        </w:rPr>
        <w:t xml:space="preserve"> virtual </w:t>
      </w:r>
      <w:r w:rsidR="00513038" w:rsidRPr="00100AAC">
        <w:rPr>
          <w:rFonts w:ascii="Times New Roman" w:eastAsia="Times New Roman" w:hAnsi="Times New Roman" w:cs="Times New Roman"/>
          <w:color w:val="000000"/>
          <w:sz w:val="24"/>
          <w:szCs w:val="24"/>
          <w:lang w:eastAsia="en-GB"/>
        </w:rPr>
        <w:t>semi</w:t>
      </w:r>
      <w:r w:rsidR="005460DC" w:rsidRPr="00100AAC">
        <w:rPr>
          <w:rFonts w:ascii="Times New Roman" w:eastAsia="Times New Roman" w:hAnsi="Times New Roman" w:cs="Times New Roman"/>
          <w:color w:val="000000"/>
          <w:sz w:val="24"/>
          <w:szCs w:val="24"/>
          <w:lang w:eastAsia="en-GB"/>
        </w:rPr>
        <w:t>-structured interviews with eight coaches</w:t>
      </w:r>
      <w:r w:rsidRPr="00100AAC">
        <w:rPr>
          <w:rFonts w:ascii="Times New Roman" w:eastAsia="Times New Roman" w:hAnsi="Times New Roman" w:cs="Times New Roman"/>
          <w:color w:val="000000"/>
          <w:sz w:val="24"/>
          <w:szCs w:val="24"/>
          <w:lang w:eastAsia="en-GB"/>
        </w:rPr>
        <w:t xml:space="preserve">. </w:t>
      </w:r>
      <w:r w:rsidR="00513038" w:rsidRPr="00100AAC">
        <w:rPr>
          <w:rFonts w:ascii="Times New Roman" w:eastAsia="Times New Roman" w:hAnsi="Times New Roman" w:cs="Times New Roman"/>
          <w:color w:val="000000"/>
          <w:sz w:val="24"/>
          <w:szCs w:val="24"/>
          <w:lang w:eastAsia="en-GB"/>
        </w:rPr>
        <w:t>Following a reflexive thematic analysis process</w:t>
      </w:r>
      <w:r w:rsidR="00B9568B" w:rsidRPr="00100AAC">
        <w:rPr>
          <w:rFonts w:ascii="Times New Roman" w:eastAsia="Times New Roman" w:hAnsi="Times New Roman" w:cs="Times New Roman"/>
          <w:color w:val="000000"/>
          <w:sz w:val="24"/>
          <w:szCs w:val="24"/>
          <w:lang w:eastAsia="en-GB"/>
        </w:rPr>
        <w:t xml:space="preserve"> drawing upon the </w:t>
      </w:r>
      <w:r w:rsidR="00881F69" w:rsidRPr="00100AAC">
        <w:rPr>
          <w:rFonts w:ascii="Times New Roman" w:eastAsia="Times New Roman" w:hAnsi="Times New Roman" w:cs="Times New Roman"/>
          <w:color w:val="000000"/>
          <w:sz w:val="24"/>
          <w:szCs w:val="24"/>
          <w:lang w:eastAsia="en-GB"/>
        </w:rPr>
        <w:t xml:space="preserve">theoretical </w:t>
      </w:r>
      <w:r w:rsidRPr="00100AAC">
        <w:rPr>
          <w:rFonts w:ascii="Times New Roman" w:eastAsia="Times New Roman" w:hAnsi="Times New Roman" w:cs="Times New Roman"/>
          <w:color w:val="000000"/>
          <w:sz w:val="24"/>
          <w:szCs w:val="24"/>
          <w:lang w:eastAsia="en-GB"/>
        </w:rPr>
        <w:t>frame</w:t>
      </w:r>
      <w:r w:rsidR="00B9568B" w:rsidRPr="00100AAC">
        <w:rPr>
          <w:rFonts w:ascii="Times New Roman" w:eastAsia="Times New Roman" w:hAnsi="Times New Roman" w:cs="Times New Roman"/>
          <w:color w:val="000000"/>
          <w:sz w:val="24"/>
          <w:szCs w:val="24"/>
          <w:lang w:eastAsia="en-GB"/>
        </w:rPr>
        <w:t>work of Jennifer Moon,</w:t>
      </w:r>
      <w:r w:rsidR="00513038" w:rsidRPr="00100AAC">
        <w:rPr>
          <w:rFonts w:ascii="Times New Roman" w:eastAsia="Times New Roman" w:hAnsi="Times New Roman" w:cs="Times New Roman"/>
          <w:color w:val="000000"/>
          <w:sz w:val="24"/>
          <w:szCs w:val="24"/>
          <w:lang w:eastAsia="en-GB"/>
        </w:rPr>
        <w:t xml:space="preserve"> </w:t>
      </w:r>
      <w:r w:rsidR="005460DC" w:rsidRPr="00100AAC">
        <w:rPr>
          <w:rFonts w:ascii="Times New Roman" w:eastAsia="Times New Roman" w:hAnsi="Times New Roman" w:cs="Times New Roman"/>
          <w:color w:val="000000"/>
          <w:sz w:val="24"/>
          <w:szCs w:val="24"/>
          <w:lang w:eastAsia="en-GB"/>
        </w:rPr>
        <w:t xml:space="preserve">three themes were </w:t>
      </w:r>
      <w:r w:rsidR="00DB323B" w:rsidRPr="00100AAC">
        <w:rPr>
          <w:rFonts w:ascii="Times New Roman" w:eastAsia="Times New Roman" w:hAnsi="Times New Roman" w:cs="Times New Roman"/>
          <w:color w:val="000000"/>
          <w:sz w:val="24"/>
          <w:szCs w:val="24"/>
          <w:lang w:eastAsia="en-GB"/>
        </w:rPr>
        <w:t>generated</w:t>
      </w:r>
      <w:r w:rsidR="005460DC" w:rsidRPr="00100AAC">
        <w:rPr>
          <w:rFonts w:ascii="Times New Roman" w:eastAsia="Times New Roman" w:hAnsi="Times New Roman" w:cs="Times New Roman"/>
          <w:color w:val="000000"/>
          <w:sz w:val="24"/>
          <w:szCs w:val="24"/>
          <w:lang w:eastAsia="en-GB"/>
        </w:rPr>
        <w:t xml:space="preserve">: (1) A surface or deep approach? Understanding dodgeball coaches’ experiences of the </w:t>
      </w:r>
      <w:r w:rsidR="005B5A34" w:rsidRPr="00100AAC">
        <w:rPr>
          <w:rFonts w:ascii="Times New Roman" w:eastAsia="Times New Roman" w:hAnsi="Times New Roman" w:cs="Times New Roman"/>
          <w:color w:val="000000"/>
          <w:sz w:val="24"/>
          <w:szCs w:val="24"/>
          <w:lang w:eastAsia="en-GB"/>
        </w:rPr>
        <w:t>L</w:t>
      </w:r>
      <w:r w:rsidR="005460DC" w:rsidRPr="00100AAC">
        <w:rPr>
          <w:rFonts w:ascii="Times New Roman" w:eastAsia="Times New Roman" w:hAnsi="Times New Roman" w:cs="Times New Roman"/>
          <w:color w:val="000000"/>
          <w:sz w:val="24"/>
          <w:szCs w:val="24"/>
          <w:lang w:eastAsia="en-GB"/>
        </w:rPr>
        <w:t>evel 1 award; (2) Coaches’ preferences and learning styles: A barrier for online coach education; and (3) Enhancing the impact of online coach education: Assessment and post-</w:t>
      </w:r>
      <w:r w:rsidR="008B0989" w:rsidRPr="00100AAC">
        <w:rPr>
          <w:rFonts w:ascii="Times New Roman" w:eastAsia="Times New Roman" w:hAnsi="Times New Roman" w:cs="Times New Roman"/>
          <w:color w:val="000000"/>
          <w:sz w:val="24"/>
          <w:szCs w:val="24"/>
          <w:lang w:eastAsia="en-GB"/>
        </w:rPr>
        <w:t>award</w:t>
      </w:r>
      <w:r w:rsidR="005460DC" w:rsidRPr="00100AAC">
        <w:rPr>
          <w:rFonts w:ascii="Times New Roman" w:eastAsia="Times New Roman" w:hAnsi="Times New Roman" w:cs="Times New Roman"/>
          <w:color w:val="000000"/>
          <w:sz w:val="24"/>
          <w:szCs w:val="24"/>
          <w:lang w:eastAsia="en-GB"/>
        </w:rPr>
        <w:t xml:space="preserve"> support.</w:t>
      </w:r>
      <w:r w:rsidR="00EB5AB7" w:rsidRPr="00100AAC">
        <w:rPr>
          <w:rFonts w:ascii="Times New Roman" w:eastAsia="Times New Roman" w:hAnsi="Times New Roman" w:cs="Times New Roman"/>
          <w:color w:val="000000"/>
          <w:sz w:val="24"/>
          <w:szCs w:val="24"/>
          <w:lang w:eastAsia="en-GB"/>
        </w:rPr>
        <w:t xml:space="preserve"> Findings indicate that the award’s impact on learning and practice varied depending upon </w:t>
      </w:r>
      <w:r w:rsidR="007374F8" w:rsidRPr="00100AAC">
        <w:rPr>
          <w:rFonts w:ascii="Times New Roman" w:eastAsia="Times New Roman" w:hAnsi="Times New Roman" w:cs="Times New Roman"/>
          <w:color w:val="000000"/>
          <w:sz w:val="24"/>
          <w:szCs w:val="24"/>
          <w:lang w:eastAsia="en-GB"/>
        </w:rPr>
        <w:t>coaches’</w:t>
      </w:r>
      <w:r w:rsidR="00EB5AB7" w:rsidRPr="00100AAC">
        <w:rPr>
          <w:rFonts w:ascii="Times New Roman" w:eastAsia="Times New Roman" w:hAnsi="Times New Roman" w:cs="Times New Roman"/>
          <w:color w:val="000000"/>
          <w:sz w:val="24"/>
          <w:szCs w:val="24"/>
          <w:lang w:eastAsia="en-GB"/>
        </w:rPr>
        <w:t xml:space="preserve"> cognitive structure</w:t>
      </w:r>
      <w:r w:rsidR="007374F8" w:rsidRPr="00100AAC">
        <w:rPr>
          <w:rFonts w:ascii="Times New Roman" w:eastAsia="Times New Roman" w:hAnsi="Times New Roman" w:cs="Times New Roman"/>
          <w:color w:val="000000"/>
          <w:sz w:val="24"/>
          <w:szCs w:val="24"/>
          <w:lang w:eastAsia="en-GB"/>
        </w:rPr>
        <w:t>s</w:t>
      </w:r>
      <w:r w:rsidR="00881F69" w:rsidRPr="00100AAC">
        <w:rPr>
          <w:rFonts w:ascii="Times New Roman" w:eastAsia="Times New Roman" w:hAnsi="Times New Roman" w:cs="Times New Roman"/>
          <w:color w:val="000000"/>
          <w:sz w:val="24"/>
          <w:szCs w:val="24"/>
          <w:lang w:eastAsia="en-GB"/>
        </w:rPr>
        <w:t>,</w:t>
      </w:r>
      <w:r w:rsidR="00EB5AB7" w:rsidRPr="00100AAC">
        <w:rPr>
          <w:rFonts w:ascii="Times New Roman" w:eastAsia="Times New Roman" w:hAnsi="Times New Roman" w:cs="Times New Roman"/>
          <w:color w:val="000000"/>
          <w:sz w:val="24"/>
          <w:szCs w:val="24"/>
          <w:lang w:eastAsia="en-GB"/>
        </w:rPr>
        <w:t xml:space="preserve"> which </w:t>
      </w:r>
      <w:r w:rsidR="00B129AA" w:rsidRPr="00100AAC">
        <w:rPr>
          <w:rFonts w:ascii="Times New Roman" w:eastAsia="Times New Roman" w:hAnsi="Times New Roman" w:cs="Times New Roman"/>
          <w:color w:val="000000"/>
          <w:sz w:val="24"/>
          <w:szCs w:val="24"/>
          <w:lang w:eastAsia="en-GB"/>
        </w:rPr>
        <w:t>influenced</w:t>
      </w:r>
      <w:r w:rsidRPr="00100AAC">
        <w:rPr>
          <w:rFonts w:ascii="Times New Roman" w:eastAsia="Times New Roman" w:hAnsi="Times New Roman" w:cs="Times New Roman"/>
          <w:color w:val="000000"/>
          <w:sz w:val="24"/>
          <w:szCs w:val="24"/>
          <w:lang w:eastAsia="en-GB"/>
        </w:rPr>
        <w:t xml:space="preserve"> </w:t>
      </w:r>
      <w:r w:rsidR="00EB5AB7" w:rsidRPr="00100AAC">
        <w:rPr>
          <w:rFonts w:ascii="Times New Roman" w:eastAsia="Times New Roman" w:hAnsi="Times New Roman" w:cs="Times New Roman"/>
          <w:color w:val="000000"/>
          <w:sz w:val="24"/>
          <w:szCs w:val="24"/>
          <w:lang w:eastAsia="en-GB"/>
        </w:rPr>
        <w:t>their perceptions towards the value of online provision. While coaches</w:t>
      </w:r>
      <w:r w:rsidRPr="00100AAC">
        <w:rPr>
          <w:rFonts w:ascii="Times New Roman" w:eastAsia="Times New Roman" w:hAnsi="Times New Roman" w:cs="Times New Roman"/>
          <w:color w:val="000000"/>
          <w:sz w:val="24"/>
          <w:szCs w:val="24"/>
          <w:lang w:eastAsia="en-GB"/>
        </w:rPr>
        <w:t>’ experiences</w:t>
      </w:r>
      <w:r w:rsidR="00EB5AB7" w:rsidRPr="00100AAC">
        <w:rPr>
          <w:rFonts w:ascii="Times New Roman" w:eastAsia="Times New Roman" w:hAnsi="Times New Roman" w:cs="Times New Roman"/>
          <w:color w:val="000000"/>
          <w:sz w:val="24"/>
          <w:szCs w:val="24"/>
          <w:lang w:eastAsia="en-GB"/>
        </w:rPr>
        <w:t xml:space="preserve"> were </w:t>
      </w:r>
      <w:r w:rsidR="00927DC7" w:rsidRPr="00100AAC">
        <w:rPr>
          <w:rFonts w:ascii="Times New Roman" w:eastAsia="Times New Roman" w:hAnsi="Times New Roman" w:cs="Times New Roman"/>
          <w:color w:val="000000"/>
          <w:sz w:val="24"/>
          <w:szCs w:val="24"/>
          <w:lang w:eastAsia="en-GB"/>
        </w:rPr>
        <w:t xml:space="preserve">generally </w:t>
      </w:r>
      <w:r w:rsidR="00EB5AB7" w:rsidRPr="00100AAC">
        <w:rPr>
          <w:rFonts w:ascii="Times New Roman" w:eastAsia="Times New Roman" w:hAnsi="Times New Roman" w:cs="Times New Roman"/>
          <w:color w:val="000000"/>
          <w:sz w:val="24"/>
          <w:szCs w:val="24"/>
          <w:lang w:eastAsia="en-GB"/>
        </w:rPr>
        <w:t>positive, authentic assessment</w:t>
      </w:r>
      <w:r w:rsidR="00927DC7" w:rsidRPr="00100AAC">
        <w:rPr>
          <w:rFonts w:ascii="Times New Roman" w:eastAsia="Times New Roman" w:hAnsi="Times New Roman" w:cs="Times New Roman"/>
          <w:color w:val="000000"/>
          <w:sz w:val="24"/>
          <w:szCs w:val="24"/>
          <w:lang w:eastAsia="en-GB"/>
        </w:rPr>
        <w:t>(s)</w:t>
      </w:r>
      <w:r w:rsidR="00EB5AB7" w:rsidRPr="00100AAC">
        <w:rPr>
          <w:rFonts w:ascii="Times New Roman" w:eastAsia="Times New Roman" w:hAnsi="Times New Roman" w:cs="Times New Roman"/>
          <w:color w:val="000000"/>
          <w:sz w:val="24"/>
          <w:szCs w:val="24"/>
          <w:lang w:eastAsia="en-GB"/>
        </w:rPr>
        <w:t xml:space="preserve"> and mentoring opportunities were </w:t>
      </w:r>
      <w:r w:rsidR="00927DC7" w:rsidRPr="00100AAC">
        <w:rPr>
          <w:rFonts w:ascii="Times New Roman" w:eastAsia="Times New Roman" w:hAnsi="Times New Roman" w:cs="Times New Roman"/>
          <w:color w:val="000000"/>
          <w:sz w:val="24"/>
          <w:szCs w:val="24"/>
          <w:lang w:eastAsia="en-GB"/>
        </w:rPr>
        <w:t>proposed</w:t>
      </w:r>
      <w:r w:rsidR="00EB5AB7" w:rsidRPr="00100AAC">
        <w:rPr>
          <w:rFonts w:ascii="Times New Roman" w:eastAsia="Times New Roman" w:hAnsi="Times New Roman" w:cs="Times New Roman"/>
          <w:color w:val="000000"/>
          <w:sz w:val="24"/>
          <w:szCs w:val="24"/>
          <w:lang w:eastAsia="en-GB"/>
        </w:rPr>
        <w:t xml:space="preserve"> to</w:t>
      </w:r>
      <w:r w:rsidR="00927DC7" w:rsidRPr="00100AAC">
        <w:rPr>
          <w:rFonts w:ascii="Times New Roman" w:eastAsia="Times New Roman" w:hAnsi="Times New Roman" w:cs="Times New Roman"/>
          <w:color w:val="000000"/>
          <w:sz w:val="24"/>
          <w:szCs w:val="24"/>
          <w:lang w:eastAsia="en-GB"/>
        </w:rPr>
        <w:t xml:space="preserve"> further</w:t>
      </w:r>
      <w:r w:rsidR="00EB5AB7" w:rsidRPr="00100AAC">
        <w:rPr>
          <w:rFonts w:ascii="Times New Roman" w:eastAsia="Times New Roman" w:hAnsi="Times New Roman" w:cs="Times New Roman"/>
          <w:color w:val="000000"/>
          <w:sz w:val="24"/>
          <w:szCs w:val="24"/>
          <w:lang w:eastAsia="en-GB"/>
        </w:rPr>
        <w:t xml:space="preserve"> enhance the award’s impact. </w:t>
      </w:r>
    </w:p>
    <w:p w14:paraId="401EBB4F" w14:textId="77777777" w:rsidR="00EE5ECB" w:rsidRPr="00100AAC" w:rsidRDefault="00EE5ECB" w:rsidP="00EE5ECB">
      <w:pPr>
        <w:spacing w:after="0" w:line="360" w:lineRule="auto"/>
        <w:ind w:left="720" w:right="567"/>
        <w:jc w:val="both"/>
        <w:rPr>
          <w:rFonts w:ascii="Times New Roman" w:eastAsia="Times New Roman" w:hAnsi="Times New Roman" w:cs="Times New Roman"/>
          <w:color w:val="000000"/>
          <w:sz w:val="24"/>
          <w:szCs w:val="24"/>
          <w:lang w:eastAsia="en-GB"/>
        </w:rPr>
      </w:pPr>
    </w:p>
    <w:p w14:paraId="760490ED" w14:textId="776A0064" w:rsidR="00EE5ECB" w:rsidRPr="00100AAC" w:rsidRDefault="00EE5ECB" w:rsidP="00EE5ECB">
      <w:pPr>
        <w:spacing w:after="0" w:line="360" w:lineRule="auto"/>
        <w:ind w:left="720" w:right="567"/>
        <w:jc w:val="both"/>
        <w:rPr>
          <w:rFonts w:ascii="Times New Roman" w:eastAsia="Times New Roman" w:hAnsi="Times New Roman" w:cs="Times New Roman"/>
          <w:color w:val="000000"/>
          <w:sz w:val="24"/>
          <w:szCs w:val="24"/>
          <w:lang w:eastAsia="en-GB"/>
        </w:rPr>
      </w:pPr>
      <w:r w:rsidRPr="00100AAC">
        <w:rPr>
          <w:rFonts w:ascii="Times New Roman" w:eastAsia="Times New Roman" w:hAnsi="Times New Roman" w:cs="Times New Roman"/>
          <w:b/>
          <w:color w:val="000000"/>
          <w:sz w:val="24"/>
          <w:szCs w:val="24"/>
          <w:lang w:eastAsia="en-GB"/>
        </w:rPr>
        <w:t>Keywords</w:t>
      </w:r>
      <w:r w:rsidRPr="00100AAC">
        <w:rPr>
          <w:rFonts w:ascii="Times New Roman" w:eastAsia="Times New Roman" w:hAnsi="Times New Roman" w:cs="Times New Roman"/>
          <w:color w:val="000000"/>
          <w:sz w:val="24"/>
          <w:szCs w:val="24"/>
          <w:lang w:eastAsia="en-GB"/>
        </w:rPr>
        <w:t>:</w:t>
      </w:r>
      <w:r w:rsidR="009410C5" w:rsidRPr="00100AAC">
        <w:rPr>
          <w:rFonts w:ascii="Times New Roman" w:eastAsia="Times New Roman" w:hAnsi="Times New Roman" w:cs="Times New Roman"/>
          <w:color w:val="000000"/>
          <w:sz w:val="24"/>
          <w:szCs w:val="24"/>
          <w:lang w:eastAsia="en-GB"/>
        </w:rPr>
        <w:t xml:space="preserve"> </w:t>
      </w:r>
      <w:r w:rsidRPr="00100AAC">
        <w:rPr>
          <w:rFonts w:ascii="Times New Roman" w:eastAsia="Times New Roman" w:hAnsi="Times New Roman" w:cs="Times New Roman"/>
          <w:i/>
          <w:color w:val="000000"/>
          <w:sz w:val="24"/>
          <w:szCs w:val="24"/>
          <w:lang w:eastAsia="en-GB"/>
        </w:rPr>
        <w:t xml:space="preserve">coach education, </w:t>
      </w:r>
      <w:r w:rsidR="009410C5" w:rsidRPr="00100AAC">
        <w:rPr>
          <w:rFonts w:ascii="Times New Roman" w:eastAsia="Times New Roman" w:hAnsi="Times New Roman" w:cs="Times New Roman"/>
          <w:i/>
          <w:color w:val="000000"/>
          <w:sz w:val="24"/>
          <w:szCs w:val="24"/>
          <w:lang w:eastAsia="en-GB"/>
        </w:rPr>
        <w:t>technology enhanced learning</w:t>
      </w:r>
      <w:r w:rsidRPr="00100AAC">
        <w:rPr>
          <w:rFonts w:ascii="Times New Roman" w:eastAsia="Times New Roman" w:hAnsi="Times New Roman" w:cs="Times New Roman"/>
          <w:i/>
          <w:color w:val="000000"/>
          <w:sz w:val="24"/>
          <w:szCs w:val="24"/>
          <w:lang w:eastAsia="en-GB"/>
        </w:rPr>
        <w:t xml:space="preserve">, </w:t>
      </w:r>
      <w:r w:rsidR="009410C5" w:rsidRPr="00100AAC">
        <w:rPr>
          <w:rFonts w:ascii="Times New Roman" w:eastAsia="Times New Roman" w:hAnsi="Times New Roman" w:cs="Times New Roman"/>
          <w:i/>
          <w:color w:val="000000"/>
          <w:sz w:val="24"/>
          <w:szCs w:val="24"/>
          <w:lang w:eastAsia="en-GB"/>
        </w:rPr>
        <w:t>coach development</w:t>
      </w:r>
      <w:r w:rsidR="00513038" w:rsidRPr="00100AAC">
        <w:rPr>
          <w:rFonts w:ascii="Times New Roman" w:eastAsia="Times New Roman" w:hAnsi="Times New Roman" w:cs="Times New Roman"/>
          <w:i/>
          <w:color w:val="000000"/>
          <w:sz w:val="24"/>
          <w:szCs w:val="24"/>
          <w:lang w:eastAsia="en-GB"/>
        </w:rPr>
        <w:t>, coaching practice, online course</w:t>
      </w:r>
      <w:r w:rsidR="007374F8" w:rsidRPr="00100AAC">
        <w:rPr>
          <w:rFonts w:ascii="Times New Roman" w:eastAsia="Times New Roman" w:hAnsi="Times New Roman" w:cs="Times New Roman"/>
          <w:i/>
          <w:color w:val="000000"/>
          <w:sz w:val="24"/>
          <w:szCs w:val="24"/>
          <w:lang w:eastAsia="en-GB"/>
        </w:rPr>
        <w:t xml:space="preserve">, </w:t>
      </w:r>
      <w:r w:rsidR="00BF169F" w:rsidRPr="00100AAC">
        <w:rPr>
          <w:rFonts w:ascii="Times New Roman" w:eastAsia="Times New Roman" w:hAnsi="Times New Roman" w:cs="Times New Roman"/>
          <w:i/>
          <w:color w:val="000000"/>
          <w:sz w:val="24"/>
          <w:szCs w:val="24"/>
          <w:lang w:eastAsia="en-GB"/>
        </w:rPr>
        <w:t>e-learning</w:t>
      </w:r>
    </w:p>
    <w:p w14:paraId="4F33E07A" w14:textId="18BA1282" w:rsidR="008B0989" w:rsidRPr="00100AAC" w:rsidRDefault="008B0989" w:rsidP="00DA3DF7">
      <w:pPr>
        <w:pStyle w:val="paragraph"/>
        <w:suppressLineNumbers/>
        <w:jc w:val="both"/>
        <w:rPr>
          <w:color w:val="000000"/>
        </w:rPr>
      </w:pPr>
    </w:p>
    <w:p w14:paraId="3564BB53" w14:textId="77777777" w:rsidR="007374F8" w:rsidRPr="00100AAC" w:rsidRDefault="007374F8" w:rsidP="00DA3DF7">
      <w:pPr>
        <w:pStyle w:val="paragraph"/>
        <w:suppressLineNumbers/>
        <w:jc w:val="both"/>
        <w:rPr>
          <w:color w:val="000000"/>
        </w:rPr>
      </w:pPr>
    </w:p>
    <w:p w14:paraId="17E127EE" w14:textId="77777777" w:rsidR="009D3BFB" w:rsidRPr="00100AAC" w:rsidRDefault="009D3BFB" w:rsidP="00DA3DF7">
      <w:pPr>
        <w:pStyle w:val="paragraph"/>
        <w:suppressLineNumbers/>
        <w:jc w:val="both"/>
        <w:rPr>
          <w:color w:val="000000"/>
        </w:rPr>
      </w:pPr>
    </w:p>
    <w:p w14:paraId="5627AE64" w14:textId="6043F01D" w:rsidR="009D23C2" w:rsidRPr="00100AAC" w:rsidRDefault="009D23C2" w:rsidP="009D3BFB">
      <w:pPr>
        <w:pStyle w:val="paragraph"/>
        <w:jc w:val="center"/>
        <w:rPr>
          <w:b/>
          <w:bCs/>
          <w:color w:val="000000"/>
        </w:rPr>
      </w:pPr>
      <w:r w:rsidRPr="00100AAC">
        <w:rPr>
          <w:b/>
          <w:bCs/>
          <w:color w:val="000000"/>
        </w:rPr>
        <w:lastRenderedPageBreak/>
        <w:t>Introduction</w:t>
      </w:r>
    </w:p>
    <w:p w14:paraId="2A97D4AC" w14:textId="3B5A9BF4" w:rsidR="00F57C62" w:rsidRPr="00100AAC" w:rsidRDefault="00927DC7" w:rsidP="009D3BFB">
      <w:pPr>
        <w:pStyle w:val="paragraph"/>
        <w:spacing w:line="480" w:lineRule="auto"/>
        <w:ind w:firstLine="720"/>
        <w:jc w:val="both"/>
        <w:rPr>
          <w:color w:val="000000"/>
        </w:rPr>
      </w:pPr>
      <w:r w:rsidRPr="00100AAC">
        <w:rPr>
          <w:color w:val="000000"/>
        </w:rPr>
        <w:t>F</w:t>
      </w:r>
      <w:r w:rsidR="00137555" w:rsidRPr="00100AAC">
        <w:rPr>
          <w:color w:val="000000"/>
        </w:rPr>
        <w:t xml:space="preserve">ace-to-face coach education courses are frequently positioned as </w:t>
      </w:r>
      <w:r w:rsidR="001B7ACC" w:rsidRPr="00100AAC">
        <w:rPr>
          <w:color w:val="000000"/>
        </w:rPr>
        <w:t>the</w:t>
      </w:r>
      <w:r w:rsidR="00137555" w:rsidRPr="00100AAC">
        <w:rPr>
          <w:color w:val="000000"/>
        </w:rPr>
        <w:t xml:space="preserve"> traditional method of developing sport coaches</w:t>
      </w:r>
      <w:r w:rsidR="00F57C62" w:rsidRPr="00100AAC">
        <w:rPr>
          <w:color w:val="000000"/>
        </w:rPr>
        <w:t xml:space="preserve"> (Lyle &amp; Cushion, 2017)</w:t>
      </w:r>
      <w:r w:rsidR="00147619" w:rsidRPr="00100AAC">
        <w:rPr>
          <w:color w:val="000000"/>
        </w:rPr>
        <w:t>.</w:t>
      </w:r>
      <w:r w:rsidR="00137555" w:rsidRPr="00100AAC">
        <w:rPr>
          <w:color w:val="000000"/>
        </w:rPr>
        <w:t xml:space="preserve"> </w:t>
      </w:r>
      <w:r w:rsidR="00147619" w:rsidRPr="00100AAC">
        <w:rPr>
          <w:color w:val="000000"/>
        </w:rPr>
        <w:t>Yet,</w:t>
      </w:r>
      <w:r w:rsidRPr="00100AAC">
        <w:rPr>
          <w:color w:val="000000"/>
        </w:rPr>
        <w:t xml:space="preserve"> these have</w:t>
      </w:r>
      <w:r w:rsidR="00137555" w:rsidRPr="00100AAC">
        <w:rPr>
          <w:color w:val="000000"/>
        </w:rPr>
        <w:t xml:space="preserve"> been heavily </w:t>
      </w:r>
      <w:r w:rsidR="00147619" w:rsidRPr="00100AAC">
        <w:rPr>
          <w:color w:val="000000"/>
        </w:rPr>
        <w:t>criticised</w:t>
      </w:r>
      <w:r w:rsidR="00137555" w:rsidRPr="00100AAC">
        <w:rPr>
          <w:color w:val="000000"/>
        </w:rPr>
        <w:t xml:space="preserve"> due to </w:t>
      </w:r>
      <w:r w:rsidRPr="00100AAC">
        <w:rPr>
          <w:color w:val="000000"/>
        </w:rPr>
        <w:t>their</w:t>
      </w:r>
      <w:r w:rsidR="00137555" w:rsidRPr="00100AAC">
        <w:rPr>
          <w:color w:val="000000"/>
        </w:rPr>
        <w:t xml:space="preserve"> failure to enhance coach learning and practice (</w:t>
      </w:r>
      <w:r w:rsidR="00772CC5" w:rsidRPr="00100AAC">
        <w:rPr>
          <w:color w:val="000000"/>
        </w:rPr>
        <w:t>Van Woezik et al., 2022</w:t>
      </w:r>
      <w:r w:rsidR="00137555" w:rsidRPr="00100AAC">
        <w:rPr>
          <w:color w:val="000000"/>
        </w:rPr>
        <w:t xml:space="preserve">), </w:t>
      </w:r>
      <w:r w:rsidR="00F57C62" w:rsidRPr="00100AAC">
        <w:rPr>
          <w:color w:val="000000"/>
        </w:rPr>
        <w:t>while possessing</w:t>
      </w:r>
      <w:r w:rsidR="00147619" w:rsidRPr="00100AAC">
        <w:rPr>
          <w:color w:val="000000"/>
        </w:rPr>
        <w:t xml:space="preserve"> </w:t>
      </w:r>
      <w:r w:rsidR="00F57C62" w:rsidRPr="00100AAC">
        <w:rPr>
          <w:color w:val="000000"/>
        </w:rPr>
        <w:t xml:space="preserve">barriers </w:t>
      </w:r>
      <w:r w:rsidR="00147619" w:rsidRPr="00100AAC">
        <w:rPr>
          <w:color w:val="000000"/>
        </w:rPr>
        <w:t>related to</w:t>
      </w:r>
      <w:r w:rsidR="00F57C62" w:rsidRPr="00100AAC">
        <w:rPr>
          <w:color w:val="000000"/>
        </w:rPr>
        <w:t xml:space="preserve"> time, cost, tediousness, and </w:t>
      </w:r>
      <w:r w:rsidRPr="00100AAC">
        <w:rPr>
          <w:color w:val="000000"/>
        </w:rPr>
        <w:t>inaccessibility</w:t>
      </w:r>
      <w:r w:rsidR="00F57C62" w:rsidRPr="00100AAC">
        <w:rPr>
          <w:color w:val="000000"/>
        </w:rPr>
        <w:t xml:space="preserve"> (Gurgis et al., 2020).</w:t>
      </w:r>
      <w:r w:rsidRPr="00100AAC">
        <w:rPr>
          <w:color w:val="000000"/>
        </w:rPr>
        <w:t xml:space="preserve"> However, t</w:t>
      </w:r>
      <w:r w:rsidR="00F57C62" w:rsidRPr="00100AAC">
        <w:rPr>
          <w:color w:val="000000"/>
        </w:rPr>
        <w:t>he growth and expansion of the internet, social media, and additional technological advances ha</w:t>
      </w:r>
      <w:r w:rsidR="000378AA" w:rsidRPr="00100AAC">
        <w:rPr>
          <w:color w:val="000000"/>
        </w:rPr>
        <w:t>s</w:t>
      </w:r>
      <w:r w:rsidRPr="00100AAC">
        <w:rPr>
          <w:color w:val="000000"/>
        </w:rPr>
        <w:t xml:space="preserve"> somewhat</w:t>
      </w:r>
      <w:r w:rsidR="00772CC5" w:rsidRPr="00100AAC">
        <w:rPr>
          <w:color w:val="000000"/>
        </w:rPr>
        <w:t xml:space="preserve"> helped to </w:t>
      </w:r>
      <w:r w:rsidRPr="00100AAC">
        <w:rPr>
          <w:color w:val="000000"/>
        </w:rPr>
        <w:t>alleviate</w:t>
      </w:r>
      <w:r w:rsidR="00772CC5" w:rsidRPr="00100AAC">
        <w:rPr>
          <w:color w:val="000000"/>
        </w:rPr>
        <w:t xml:space="preserve"> these </w:t>
      </w:r>
      <w:r w:rsidRPr="00100AAC">
        <w:rPr>
          <w:color w:val="000000"/>
        </w:rPr>
        <w:t>issues</w:t>
      </w:r>
      <w:r w:rsidR="00772CC5" w:rsidRPr="00100AAC">
        <w:rPr>
          <w:color w:val="000000"/>
        </w:rPr>
        <w:t xml:space="preserve">, by </w:t>
      </w:r>
      <w:r w:rsidR="00F80332" w:rsidRPr="00100AAC">
        <w:rPr>
          <w:color w:val="000000"/>
        </w:rPr>
        <w:t>providing online</w:t>
      </w:r>
      <w:r w:rsidR="00F57C62" w:rsidRPr="00100AAC">
        <w:rPr>
          <w:color w:val="000000"/>
        </w:rPr>
        <w:t xml:space="preserve"> </w:t>
      </w:r>
      <w:r w:rsidR="00772CC5" w:rsidRPr="00100AAC">
        <w:rPr>
          <w:color w:val="000000"/>
        </w:rPr>
        <w:t xml:space="preserve">coach </w:t>
      </w:r>
      <w:r w:rsidR="000378AA" w:rsidRPr="00100AAC">
        <w:rPr>
          <w:color w:val="000000"/>
        </w:rPr>
        <w:t>learning</w:t>
      </w:r>
      <w:r w:rsidR="00F57C62" w:rsidRPr="00100AAC">
        <w:rPr>
          <w:color w:val="000000"/>
        </w:rPr>
        <w:t xml:space="preserve"> opportunities</w:t>
      </w:r>
      <w:r w:rsidRPr="00100AAC">
        <w:rPr>
          <w:color w:val="000000"/>
        </w:rPr>
        <w:t xml:space="preserve"> </w:t>
      </w:r>
      <w:r w:rsidR="00F57C62" w:rsidRPr="00100AAC">
        <w:rPr>
          <w:color w:val="000000"/>
        </w:rPr>
        <w:t>(Stoszkowski et al., 2021)</w:t>
      </w:r>
      <w:r w:rsidR="00772CC5" w:rsidRPr="00100AAC">
        <w:rPr>
          <w:color w:val="000000"/>
        </w:rPr>
        <w:t xml:space="preserve">. </w:t>
      </w:r>
      <w:r w:rsidR="00F80332" w:rsidRPr="00100AAC">
        <w:rPr>
          <w:color w:val="000000"/>
        </w:rPr>
        <w:t>Broadly</w:t>
      </w:r>
      <w:r w:rsidR="00772CC5" w:rsidRPr="00100AAC">
        <w:rPr>
          <w:color w:val="000000"/>
        </w:rPr>
        <w:t xml:space="preserve">, online coach education can be defined as any programme which is </w:t>
      </w:r>
      <w:r w:rsidR="00724737" w:rsidRPr="00100AAC">
        <w:rPr>
          <w:color w:val="000000"/>
        </w:rPr>
        <w:t>“</w:t>
      </w:r>
      <w:r w:rsidR="00772CC5" w:rsidRPr="00100AAC">
        <w:rPr>
          <w:color w:val="000000"/>
        </w:rPr>
        <w:t>delivered and completed by coaches online via video modules and/</w:t>
      </w:r>
      <w:r w:rsidR="001B7ACC" w:rsidRPr="00100AAC">
        <w:rPr>
          <w:color w:val="000000"/>
        </w:rPr>
        <w:t>o</w:t>
      </w:r>
      <w:r w:rsidR="00772CC5" w:rsidRPr="00100AAC">
        <w:rPr>
          <w:color w:val="000000"/>
        </w:rPr>
        <w:t>r audio/visual presentations</w:t>
      </w:r>
      <w:r w:rsidR="00724737" w:rsidRPr="00100AAC">
        <w:rPr>
          <w:color w:val="000000"/>
        </w:rPr>
        <w:t>”</w:t>
      </w:r>
      <w:r w:rsidR="00772CC5" w:rsidRPr="00100AAC">
        <w:rPr>
          <w:color w:val="000000"/>
        </w:rPr>
        <w:t xml:space="preserve"> (Lefebvre et al., 2016, p. 896)</w:t>
      </w:r>
      <w:r w:rsidR="006F6D26" w:rsidRPr="00100AAC">
        <w:rPr>
          <w:color w:val="000000"/>
        </w:rPr>
        <w:t xml:space="preserve">. </w:t>
      </w:r>
      <w:r w:rsidR="00772CC5" w:rsidRPr="00100AAC">
        <w:rPr>
          <w:color w:val="000000"/>
        </w:rPr>
        <w:t xml:space="preserve">Indeed, the COVID-19 pandemic </w:t>
      </w:r>
      <w:r w:rsidR="00422242" w:rsidRPr="00100AAC">
        <w:rPr>
          <w:color w:val="000000"/>
        </w:rPr>
        <w:t>emphasised</w:t>
      </w:r>
      <w:r w:rsidR="00772CC5" w:rsidRPr="00100AAC">
        <w:rPr>
          <w:color w:val="000000"/>
        </w:rPr>
        <w:t xml:space="preserve"> the </w:t>
      </w:r>
      <w:r w:rsidR="0060331B" w:rsidRPr="00100AAC">
        <w:rPr>
          <w:color w:val="000000"/>
        </w:rPr>
        <w:t xml:space="preserve">importance </w:t>
      </w:r>
      <w:r w:rsidR="00772CC5" w:rsidRPr="00100AAC">
        <w:rPr>
          <w:color w:val="000000"/>
        </w:rPr>
        <w:t xml:space="preserve">of having access to online coach education of some description, </w:t>
      </w:r>
      <w:r w:rsidR="0060331B" w:rsidRPr="00100AAC">
        <w:rPr>
          <w:color w:val="000000"/>
        </w:rPr>
        <w:t xml:space="preserve">although </w:t>
      </w:r>
      <w:r w:rsidR="00772CC5" w:rsidRPr="00100AAC">
        <w:rPr>
          <w:color w:val="000000"/>
        </w:rPr>
        <w:t xml:space="preserve">many </w:t>
      </w:r>
      <w:r w:rsidR="0060331B" w:rsidRPr="00100AAC">
        <w:rPr>
          <w:color w:val="000000"/>
        </w:rPr>
        <w:t>sports</w:t>
      </w:r>
      <w:r w:rsidR="00772CC5" w:rsidRPr="00100AAC">
        <w:rPr>
          <w:color w:val="000000"/>
        </w:rPr>
        <w:t xml:space="preserve"> governing bodies (SGBs) </w:t>
      </w:r>
      <w:r w:rsidR="001B7ACC" w:rsidRPr="00100AAC">
        <w:rPr>
          <w:color w:val="000000"/>
        </w:rPr>
        <w:t xml:space="preserve">identified that while </w:t>
      </w:r>
      <w:r w:rsidR="00E629F4" w:rsidRPr="00100AAC">
        <w:rPr>
          <w:color w:val="000000"/>
        </w:rPr>
        <w:t xml:space="preserve">existing systems </w:t>
      </w:r>
      <w:r w:rsidR="00422242" w:rsidRPr="00100AAC">
        <w:rPr>
          <w:color w:val="000000"/>
        </w:rPr>
        <w:t xml:space="preserve">were </w:t>
      </w:r>
      <w:r w:rsidR="00E629F4" w:rsidRPr="00100AAC">
        <w:rPr>
          <w:color w:val="000000"/>
        </w:rPr>
        <w:t>in place</w:t>
      </w:r>
      <w:r w:rsidR="001B7ACC" w:rsidRPr="00100AAC">
        <w:rPr>
          <w:color w:val="000000"/>
        </w:rPr>
        <w:t>,</w:t>
      </w:r>
      <w:r w:rsidR="00E629F4" w:rsidRPr="00100AAC">
        <w:rPr>
          <w:color w:val="000000"/>
        </w:rPr>
        <w:t xml:space="preserve"> </w:t>
      </w:r>
      <w:r w:rsidR="001B7ACC" w:rsidRPr="00100AAC">
        <w:rPr>
          <w:color w:val="000000"/>
        </w:rPr>
        <w:t>these</w:t>
      </w:r>
      <w:r w:rsidR="00E629F4" w:rsidRPr="00100AAC">
        <w:rPr>
          <w:color w:val="000000"/>
        </w:rPr>
        <w:t xml:space="preserve"> were </w:t>
      </w:r>
      <w:r w:rsidR="001B7ACC" w:rsidRPr="00100AAC">
        <w:rPr>
          <w:color w:val="000000"/>
        </w:rPr>
        <w:t xml:space="preserve">generally </w:t>
      </w:r>
      <w:r w:rsidR="00E629F4" w:rsidRPr="00100AAC">
        <w:rPr>
          <w:color w:val="000000"/>
        </w:rPr>
        <w:t xml:space="preserve">underutilised and </w:t>
      </w:r>
      <w:r w:rsidR="001B7ACC" w:rsidRPr="00100AAC">
        <w:rPr>
          <w:color w:val="000000"/>
        </w:rPr>
        <w:t>un</w:t>
      </w:r>
      <w:r w:rsidR="00E629F4" w:rsidRPr="00100AAC">
        <w:rPr>
          <w:color w:val="000000"/>
        </w:rPr>
        <w:t>developed (Callary et al., 2020</w:t>
      </w:r>
      <w:r w:rsidR="009D0697" w:rsidRPr="00100AAC">
        <w:rPr>
          <w:color w:val="000000"/>
        </w:rPr>
        <w:t>; Santos et al., 2021</w:t>
      </w:r>
      <w:r w:rsidR="00E629F4" w:rsidRPr="00100AAC">
        <w:rPr>
          <w:color w:val="000000"/>
        </w:rPr>
        <w:t xml:space="preserve">). </w:t>
      </w:r>
    </w:p>
    <w:p w14:paraId="17E709E0" w14:textId="3AE6FDE3" w:rsidR="00807140" w:rsidRPr="00100AAC" w:rsidRDefault="00807140" w:rsidP="007F4776">
      <w:pPr>
        <w:pStyle w:val="paragraph"/>
        <w:spacing w:line="480" w:lineRule="auto"/>
        <w:jc w:val="both"/>
        <w:rPr>
          <w:color w:val="000000"/>
        </w:rPr>
      </w:pPr>
      <w:r w:rsidRPr="00100AAC">
        <w:rPr>
          <w:color w:val="000000"/>
        </w:rPr>
        <w:tab/>
      </w:r>
      <w:r w:rsidR="00422242" w:rsidRPr="00100AAC">
        <w:rPr>
          <w:color w:val="000000"/>
        </w:rPr>
        <w:t>Nevertheless</w:t>
      </w:r>
      <w:r w:rsidRPr="00100AAC">
        <w:rPr>
          <w:color w:val="000000"/>
        </w:rPr>
        <w:t xml:space="preserve">, calls to </w:t>
      </w:r>
      <w:r w:rsidR="001B7ACC" w:rsidRPr="00100AAC">
        <w:rPr>
          <w:color w:val="000000"/>
        </w:rPr>
        <w:t>harness</w:t>
      </w:r>
      <w:r w:rsidRPr="00100AAC">
        <w:rPr>
          <w:color w:val="000000"/>
        </w:rPr>
        <w:t xml:space="preserve"> online provision within coach education is not a new phenomenon. Over 15 years ago</w:t>
      </w:r>
      <w:r w:rsidR="001B7ACC" w:rsidRPr="00100AAC">
        <w:rPr>
          <w:color w:val="000000"/>
        </w:rPr>
        <w:t>,</w:t>
      </w:r>
      <w:r w:rsidRPr="00100AAC">
        <w:rPr>
          <w:color w:val="000000"/>
        </w:rPr>
        <w:t xml:space="preserve"> Stewart (2006) attempted to highlight the value</w:t>
      </w:r>
      <w:r w:rsidR="0060331B" w:rsidRPr="00100AAC">
        <w:rPr>
          <w:color w:val="000000"/>
        </w:rPr>
        <w:t xml:space="preserve"> </w:t>
      </w:r>
      <w:r w:rsidRPr="00100AAC">
        <w:rPr>
          <w:color w:val="000000"/>
        </w:rPr>
        <w:t xml:space="preserve">of online coach education, arguing that </w:t>
      </w:r>
      <w:r w:rsidR="00724737" w:rsidRPr="00100AAC">
        <w:rPr>
          <w:color w:val="000000"/>
        </w:rPr>
        <w:t>“</w:t>
      </w:r>
      <w:r w:rsidRPr="00100AAC">
        <w:rPr>
          <w:color w:val="000000"/>
        </w:rPr>
        <w:t>with increased access to technology and the expansion of the web, few excuses remain for coaches to have limited access to coach education</w:t>
      </w:r>
      <w:r w:rsidR="00724737" w:rsidRPr="00100AAC">
        <w:rPr>
          <w:color w:val="000000"/>
        </w:rPr>
        <w:t>”</w:t>
      </w:r>
      <w:r w:rsidR="00F933E3" w:rsidRPr="00100AAC">
        <w:rPr>
          <w:color w:val="000000"/>
        </w:rPr>
        <w:t xml:space="preserve"> (p. 36)</w:t>
      </w:r>
      <w:r w:rsidRPr="00100AAC">
        <w:rPr>
          <w:color w:val="000000"/>
        </w:rPr>
        <w:t xml:space="preserve">. More recently, it has been </w:t>
      </w:r>
      <w:r w:rsidR="001B7ACC" w:rsidRPr="00100AAC">
        <w:rPr>
          <w:color w:val="000000"/>
        </w:rPr>
        <w:t>suggested</w:t>
      </w:r>
      <w:r w:rsidRPr="00100AAC">
        <w:rPr>
          <w:color w:val="000000"/>
        </w:rPr>
        <w:t xml:space="preserve"> that technology enhanced learning within coach education may offer diverse and learner-centred approaches to</w:t>
      </w:r>
      <w:r w:rsidR="003F1C90" w:rsidRPr="00100AAC">
        <w:rPr>
          <w:color w:val="000000"/>
        </w:rPr>
        <w:t xml:space="preserve"> assessment and content</w:t>
      </w:r>
      <w:r w:rsidR="00422242" w:rsidRPr="00100AAC">
        <w:rPr>
          <w:color w:val="000000"/>
        </w:rPr>
        <w:t xml:space="preserve"> delivery</w:t>
      </w:r>
      <w:r w:rsidR="003F1C90" w:rsidRPr="00100AAC">
        <w:rPr>
          <w:color w:val="000000"/>
        </w:rPr>
        <w:t xml:space="preserve">, given clear alignment between learners, learning outcomes, and </w:t>
      </w:r>
      <w:r w:rsidR="00422242" w:rsidRPr="00100AAC">
        <w:rPr>
          <w:color w:val="000000"/>
        </w:rPr>
        <w:t xml:space="preserve">the </w:t>
      </w:r>
      <w:r w:rsidR="003F1C90" w:rsidRPr="00100AAC">
        <w:rPr>
          <w:color w:val="000000"/>
        </w:rPr>
        <w:t xml:space="preserve">method of transmission (Cushion &amp; Townsend, 2019). </w:t>
      </w:r>
      <w:r w:rsidR="007F4776" w:rsidRPr="00100AAC">
        <w:rPr>
          <w:color w:val="000000"/>
        </w:rPr>
        <w:t xml:space="preserve">Online coach education has the potential to offer a variety of synchronous and asynchronous learning activities, </w:t>
      </w:r>
      <w:r w:rsidR="00BD4F11" w:rsidRPr="00100AAC">
        <w:rPr>
          <w:color w:val="000000"/>
        </w:rPr>
        <w:t>including</w:t>
      </w:r>
      <w:r w:rsidR="007F4776" w:rsidRPr="00100AAC">
        <w:rPr>
          <w:color w:val="000000"/>
        </w:rPr>
        <w:t xml:space="preserve"> video/audio lectures, interactive assessments, video-based reflections, collaborative discussions, and problem-based learning (Driska &amp; Nalepa, 2020; Stoszkowski et al., 2021)</w:t>
      </w:r>
      <w:r w:rsidR="00BD4F11" w:rsidRPr="00100AAC">
        <w:rPr>
          <w:color w:val="000000"/>
        </w:rPr>
        <w:t xml:space="preserve">. Whether pre-recorded or live, it has </w:t>
      </w:r>
      <w:r w:rsidR="00CC535D" w:rsidRPr="00100AAC">
        <w:rPr>
          <w:color w:val="000000"/>
        </w:rPr>
        <w:t xml:space="preserve">been </w:t>
      </w:r>
      <w:r w:rsidR="00BD4F11" w:rsidRPr="00100AAC">
        <w:rPr>
          <w:color w:val="000000"/>
        </w:rPr>
        <w:t xml:space="preserve">argued </w:t>
      </w:r>
      <w:r w:rsidR="00CC535D" w:rsidRPr="00100AAC">
        <w:rPr>
          <w:color w:val="000000"/>
        </w:rPr>
        <w:t xml:space="preserve">an </w:t>
      </w:r>
      <w:r w:rsidR="00CC535D" w:rsidRPr="00100AAC">
        <w:rPr>
          <w:color w:val="000000"/>
        </w:rPr>
        <w:lastRenderedPageBreak/>
        <w:t xml:space="preserve">online approach to coach education </w:t>
      </w:r>
      <w:r w:rsidR="00BD4F11" w:rsidRPr="00100AAC">
        <w:rPr>
          <w:color w:val="000000"/>
        </w:rPr>
        <w:t xml:space="preserve">is more flexible, cost-effective, ensures consistency in quality, and </w:t>
      </w:r>
      <w:r w:rsidR="00CC535D" w:rsidRPr="00100AAC">
        <w:rPr>
          <w:color w:val="000000"/>
        </w:rPr>
        <w:t>allows global audiences to be reached</w:t>
      </w:r>
      <w:r w:rsidR="00BD4F11" w:rsidRPr="00100AAC">
        <w:rPr>
          <w:color w:val="000000"/>
        </w:rPr>
        <w:t xml:space="preserve"> (Driska &amp; Nalepa, 2020; Newman et al., 2020; Stewart, 2006).</w:t>
      </w:r>
      <w:r w:rsidR="006F6D26" w:rsidRPr="00100AAC">
        <w:rPr>
          <w:color w:val="000000"/>
        </w:rPr>
        <w:t xml:space="preserve"> Furthermore, online provision which enables social interaction is considered particularly valuable for supporting coach learning</w:t>
      </w:r>
      <w:r w:rsidR="00EA0716" w:rsidRPr="00100AAC">
        <w:rPr>
          <w:color w:val="000000"/>
        </w:rPr>
        <w:t xml:space="preserve"> (Piggott, 2015)</w:t>
      </w:r>
      <w:r w:rsidR="006F6D26" w:rsidRPr="00100AAC">
        <w:rPr>
          <w:color w:val="000000"/>
        </w:rPr>
        <w:t xml:space="preserve">. </w:t>
      </w:r>
    </w:p>
    <w:p w14:paraId="6F008534" w14:textId="62390F32" w:rsidR="00E62CDA" w:rsidRPr="00100AAC" w:rsidRDefault="00CC535D" w:rsidP="009D0697">
      <w:pPr>
        <w:pStyle w:val="paragraph"/>
        <w:spacing w:line="480" w:lineRule="auto"/>
        <w:jc w:val="both"/>
        <w:rPr>
          <w:color w:val="000000"/>
        </w:rPr>
      </w:pPr>
      <w:r w:rsidRPr="00100AAC">
        <w:rPr>
          <w:color w:val="000000"/>
        </w:rPr>
        <w:tab/>
        <w:t xml:space="preserve">Despite these </w:t>
      </w:r>
      <w:r w:rsidR="00DD402F" w:rsidRPr="00100AAC">
        <w:rPr>
          <w:color w:val="000000"/>
        </w:rPr>
        <w:t xml:space="preserve">apparent </w:t>
      </w:r>
      <w:r w:rsidRPr="00100AAC">
        <w:rPr>
          <w:color w:val="000000"/>
        </w:rPr>
        <w:t xml:space="preserve">advantages, SGBs will </w:t>
      </w:r>
      <w:r w:rsidR="009D0697" w:rsidRPr="00100AAC">
        <w:rPr>
          <w:color w:val="000000"/>
        </w:rPr>
        <w:t>need to negotiate</w:t>
      </w:r>
      <w:r w:rsidRPr="00100AAC">
        <w:rPr>
          <w:color w:val="000000"/>
        </w:rPr>
        <w:t xml:space="preserve"> a balancing act between the benefits associated with </w:t>
      </w:r>
      <w:r w:rsidR="00DD402F" w:rsidRPr="00100AAC">
        <w:rPr>
          <w:color w:val="000000"/>
        </w:rPr>
        <w:t xml:space="preserve">the </w:t>
      </w:r>
      <w:r w:rsidRPr="00100AAC">
        <w:rPr>
          <w:color w:val="000000"/>
        </w:rPr>
        <w:t xml:space="preserve">financial and logistical aspects of online coach education provision, </w:t>
      </w:r>
      <w:r w:rsidR="00DD402F" w:rsidRPr="00100AAC">
        <w:rPr>
          <w:color w:val="000000"/>
        </w:rPr>
        <w:t>while contemplating</w:t>
      </w:r>
      <w:r w:rsidR="009D0697" w:rsidRPr="00100AAC">
        <w:rPr>
          <w:color w:val="000000"/>
        </w:rPr>
        <w:t xml:space="preserve"> what works on a pedagogical level, as course </w:t>
      </w:r>
      <w:r w:rsidR="0060331B" w:rsidRPr="00100AAC">
        <w:rPr>
          <w:color w:val="000000"/>
        </w:rPr>
        <w:t xml:space="preserve">design and </w:t>
      </w:r>
      <w:r w:rsidR="009D0697" w:rsidRPr="00100AAC">
        <w:rPr>
          <w:color w:val="000000"/>
        </w:rPr>
        <w:t>structure (e.g., synchronous,</w:t>
      </w:r>
      <w:r w:rsidR="00DD402F" w:rsidRPr="00100AAC">
        <w:rPr>
          <w:color w:val="000000"/>
        </w:rPr>
        <w:t xml:space="preserve"> </w:t>
      </w:r>
      <w:r w:rsidR="009D0697" w:rsidRPr="00100AAC">
        <w:rPr>
          <w:color w:val="000000"/>
        </w:rPr>
        <w:t xml:space="preserve">asynchronous, </w:t>
      </w:r>
      <w:r w:rsidR="00DD402F" w:rsidRPr="00100AAC">
        <w:rPr>
          <w:color w:val="000000"/>
        </w:rPr>
        <w:t>designated</w:t>
      </w:r>
      <w:r w:rsidR="009D0697" w:rsidRPr="00100AAC">
        <w:rPr>
          <w:color w:val="000000"/>
        </w:rPr>
        <w:t xml:space="preserve"> learning activities</w:t>
      </w:r>
      <w:r w:rsidR="0060331B" w:rsidRPr="00100AAC">
        <w:rPr>
          <w:color w:val="000000"/>
        </w:rPr>
        <w:t>, assessment</w:t>
      </w:r>
      <w:r w:rsidR="009D0697" w:rsidRPr="00100AAC">
        <w:rPr>
          <w:color w:val="000000"/>
        </w:rPr>
        <w:t xml:space="preserve">) </w:t>
      </w:r>
      <w:r w:rsidR="00DD402F" w:rsidRPr="00100AAC">
        <w:rPr>
          <w:color w:val="000000"/>
        </w:rPr>
        <w:t xml:space="preserve">will </w:t>
      </w:r>
      <w:r w:rsidR="009D0697" w:rsidRPr="00100AAC">
        <w:rPr>
          <w:color w:val="000000"/>
        </w:rPr>
        <w:t xml:space="preserve">not automatically result in learning outcomes being achieved (Cushion &amp; Townsend, 2019; Newman et al., 2020; Santos et al., 2021). </w:t>
      </w:r>
      <w:r w:rsidR="00C869A1" w:rsidRPr="00100AAC">
        <w:rPr>
          <w:color w:val="000000"/>
        </w:rPr>
        <w:t xml:space="preserve">Thus, </w:t>
      </w:r>
      <w:r w:rsidR="005B5A34" w:rsidRPr="00100AAC">
        <w:rPr>
          <w:color w:val="000000"/>
        </w:rPr>
        <w:t>although</w:t>
      </w:r>
      <w:r w:rsidR="00DD402F" w:rsidRPr="00100AAC">
        <w:rPr>
          <w:color w:val="000000"/>
        </w:rPr>
        <w:t xml:space="preserve"> </w:t>
      </w:r>
      <w:r w:rsidR="00C869A1" w:rsidRPr="00100AAC">
        <w:rPr>
          <w:color w:val="000000"/>
        </w:rPr>
        <w:t>online coach education</w:t>
      </w:r>
      <w:r w:rsidR="00DD402F" w:rsidRPr="00100AAC">
        <w:rPr>
          <w:color w:val="000000"/>
        </w:rPr>
        <w:t xml:space="preserve"> has its merits</w:t>
      </w:r>
      <w:r w:rsidR="00C869A1" w:rsidRPr="00100AAC">
        <w:rPr>
          <w:color w:val="000000"/>
        </w:rPr>
        <w:t xml:space="preserve">, we are at a stage where it is </w:t>
      </w:r>
      <w:r w:rsidR="00DD402F" w:rsidRPr="00100AAC">
        <w:rPr>
          <w:color w:val="000000"/>
        </w:rPr>
        <w:t>unclear</w:t>
      </w:r>
      <w:r w:rsidR="00C869A1" w:rsidRPr="00100AAC">
        <w:rPr>
          <w:color w:val="000000"/>
        </w:rPr>
        <w:t xml:space="preserve"> how to support the integratio</w:t>
      </w:r>
      <w:r w:rsidR="003A3AF2" w:rsidRPr="00100AAC">
        <w:rPr>
          <w:color w:val="000000"/>
        </w:rPr>
        <w:t>n</w:t>
      </w:r>
      <w:r w:rsidR="00C869A1" w:rsidRPr="00100AAC">
        <w:rPr>
          <w:color w:val="000000"/>
        </w:rPr>
        <w:t xml:space="preserve"> of technology</w:t>
      </w:r>
      <w:r w:rsidR="003A3AF2" w:rsidRPr="00100AAC">
        <w:rPr>
          <w:color w:val="000000"/>
        </w:rPr>
        <w:t xml:space="preserve"> enhanced learning </w:t>
      </w:r>
      <w:r w:rsidR="00DD402F" w:rsidRPr="00100AAC">
        <w:rPr>
          <w:color w:val="000000"/>
        </w:rPr>
        <w:t>within</w:t>
      </w:r>
      <w:r w:rsidR="00C869A1" w:rsidRPr="00100AAC">
        <w:rPr>
          <w:color w:val="000000"/>
        </w:rPr>
        <w:t xml:space="preserve"> coach education</w:t>
      </w:r>
      <w:r w:rsidR="003A3AF2" w:rsidRPr="00100AAC">
        <w:rPr>
          <w:color w:val="000000"/>
        </w:rPr>
        <w:t xml:space="preserve">, with </w:t>
      </w:r>
      <w:r w:rsidR="00A97F07" w:rsidRPr="00100AAC">
        <w:rPr>
          <w:color w:val="000000"/>
        </w:rPr>
        <w:t>suggestions</w:t>
      </w:r>
      <w:r w:rsidR="003A3AF2" w:rsidRPr="00100AAC">
        <w:rPr>
          <w:color w:val="000000"/>
        </w:rPr>
        <w:t xml:space="preserve"> for</w:t>
      </w:r>
      <w:r w:rsidR="00A97F07" w:rsidRPr="00100AAC">
        <w:rPr>
          <w:color w:val="000000"/>
        </w:rPr>
        <w:t xml:space="preserve"> its implementation</w:t>
      </w:r>
      <w:r w:rsidR="003A3AF2" w:rsidRPr="00100AAC">
        <w:rPr>
          <w:color w:val="000000"/>
        </w:rPr>
        <w:t xml:space="preserve">, but limited evidence of </w:t>
      </w:r>
      <w:r w:rsidR="00A97F07" w:rsidRPr="00100AAC">
        <w:rPr>
          <w:color w:val="000000"/>
        </w:rPr>
        <w:t>successful outcomes</w:t>
      </w:r>
      <w:r w:rsidR="003A3AF2" w:rsidRPr="00100AAC">
        <w:rPr>
          <w:color w:val="000000"/>
        </w:rPr>
        <w:t xml:space="preserve"> </w:t>
      </w:r>
      <w:r w:rsidR="00C869A1" w:rsidRPr="00100AAC">
        <w:rPr>
          <w:color w:val="000000"/>
        </w:rPr>
        <w:t>(Cushion &amp; Townsend, 2019</w:t>
      </w:r>
      <w:r w:rsidR="003A3AF2" w:rsidRPr="00100AAC">
        <w:rPr>
          <w:color w:val="000000"/>
        </w:rPr>
        <w:t xml:space="preserve">). </w:t>
      </w:r>
      <w:r w:rsidR="00DD402F" w:rsidRPr="00100AAC">
        <w:rPr>
          <w:color w:val="000000"/>
        </w:rPr>
        <w:t>In sum, o</w:t>
      </w:r>
      <w:r w:rsidR="003A3AF2" w:rsidRPr="00100AAC">
        <w:rPr>
          <w:color w:val="000000"/>
        </w:rPr>
        <w:t xml:space="preserve">nline programmes to support coach education are increasing, </w:t>
      </w:r>
      <w:r w:rsidR="00DD402F" w:rsidRPr="00100AAC">
        <w:rPr>
          <w:color w:val="000000"/>
        </w:rPr>
        <w:t>but</w:t>
      </w:r>
      <w:r w:rsidR="003A3AF2" w:rsidRPr="00100AAC">
        <w:rPr>
          <w:color w:val="000000"/>
        </w:rPr>
        <w:t xml:space="preserve"> we know little about the effectiveness </w:t>
      </w:r>
      <w:r w:rsidR="00DD402F" w:rsidRPr="00100AAC">
        <w:rPr>
          <w:color w:val="000000"/>
        </w:rPr>
        <w:t xml:space="preserve">and impact </w:t>
      </w:r>
      <w:r w:rsidR="003A3AF2" w:rsidRPr="00100AAC">
        <w:rPr>
          <w:color w:val="000000"/>
        </w:rPr>
        <w:t xml:space="preserve">of </w:t>
      </w:r>
      <w:r w:rsidR="00B0027F" w:rsidRPr="00100AAC">
        <w:rPr>
          <w:color w:val="000000"/>
        </w:rPr>
        <w:t xml:space="preserve">such provision </w:t>
      </w:r>
      <w:r w:rsidR="00DD402F" w:rsidRPr="00100AAC">
        <w:rPr>
          <w:color w:val="000000"/>
        </w:rPr>
        <w:t xml:space="preserve">on </w:t>
      </w:r>
      <w:r w:rsidR="00F933E3" w:rsidRPr="00100AAC">
        <w:rPr>
          <w:color w:val="000000"/>
        </w:rPr>
        <w:t xml:space="preserve">both </w:t>
      </w:r>
      <w:r w:rsidR="00DD402F" w:rsidRPr="00100AAC">
        <w:rPr>
          <w:color w:val="000000"/>
        </w:rPr>
        <w:t>coach learning</w:t>
      </w:r>
      <w:r w:rsidR="00F933E3" w:rsidRPr="00100AAC">
        <w:rPr>
          <w:color w:val="000000"/>
        </w:rPr>
        <w:t xml:space="preserve"> and practice</w:t>
      </w:r>
      <w:r w:rsidR="00DD402F" w:rsidRPr="00100AAC">
        <w:rPr>
          <w:color w:val="000000"/>
        </w:rPr>
        <w:t xml:space="preserve"> </w:t>
      </w:r>
      <w:r w:rsidR="003A3AF2" w:rsidRPr="00100AAC">
        <w:rPr>
          <w:color w:val="000000"/>
        </w:rPr>
        <w:t>(</w:t>
      </w:r>
      <w:r w:rsidR="00EA0716" w:rsidRPr="00100AAC">
        <w:rPr>
          <w:color w:val="000000"/>
        </w:rPr>
        <w:t xml:space="preserve">see </w:t>
      </w:r>
      <w:r w:rsidR="003A3AF2" w:rsidRPr="00100AAC">
        <w:rPr>
          <w:color w:val="000000"/>
        </w:rPr>
        <w:t>Cushion &amp; Townsend, 2019; Griffiths et al., 2022; Trudel et al., 2013).</w:t>
      </w:r>
    </w:p>
    <w:p w14:paraId="4097D387" w14:textId="04071F92" w:rsidR="001011A6" w:rsidRPr="00100AAC" w:rsidRDefault="00B0027F" w:rsidP="00EB79AC">
      <w:pPr>
        <w:pStyle w:val="paragraph"/>
        <w:spacing w:line="480" w:lineRule="auto"/>
        <w:ind w:firstLine="720"/>
        <w:jc w:val="both"/>
        <w:rPr>
          <w:color w:val="000000"/>
        </w:rPr>
      </w:pPr>
      <w:r w:rsidRPr="00100AAC">
        <w:rPr>
          <w:color w:val="000000"/>
        </w:rPr>
        <w:t>As Callary et al. (2020) reiterate, there is</w:t>
      </w:r>
      <w:r w:rsidR="0036486F" w:rsidRPr="00100AAC">
        <w:rPr>
          <w:color w:val="000000"/>
        </w:rPr>
        <w:t xml:space="preserve"> a need to understand how</w:t>
      </w:r>
      <w:r w:rsidRPr="00100AAC">
        <w:rPr>
          <w:color w:val="000000"/>
        </w:rPr>
        <w:t xml:space="preserve"> coaches are experiencing online coach development </w:t>
      </w:r>
      <w:r w:rsidR="0036486F" w:rsidRPr="00100AAC">
        <w:rPr>
          <w:color w:val="000000"/>
        </w:rPr>
        <w:t>to identify best practice, as there are</w:t>
      </w:r>
      <w:r w:rsidR="00DB59B5" w:rsidRPr="00100AAC">
        <w:rPr>
          <w:color w:val="000000"/>
        </w:rPr>
        <w:t xml:space="preserve"> </w:t>
      </w:r>
      <w:r w:rsidR="0036486F" w:rsidRPr="00100AAC">
        <w:rPr>
          <w:color w:val="000000"/>
        </w:rPr>
        <w:t xml:space="preserve">relatively few studies </w:t>
      </w:r>
      <w:r w:rsidR="00A97F07" w:rsidRPr="00100AAC">
        <w:rPr>
          <w:color w:val="000000"/>
        </w:rPr>
        <w:t>which</w:t>
      </w:r>
      <w:r w:rsidR="0036486F" w:rsidRPr="00100AAC">
        <w:rPr>
          <w:color w:val="000000"/>
        </w:rPr>
        <w:t xml:space="preserve"> ex</w:t>
      </w:r>
      <w:r w:rsidR="00A97F07" w:rsidRPr="00100AAC">
        <w:rPr>
          <w:color w:val="000000"/>
        </w:rPr>
        <w:t>plore</w:t>
      </w:r>
      <w:r w:rsidR="0036486F" w:rsidRPr="00100AAC">
        <w:rPr>
          <w:color w:val="000000"/>
        </w:rPr>
        <w:t xml:space="preserve"> coach education programmes that use online educational tools (Stoszkowski &amp; Collins, 202</w:t>
      </w:r>
      <w:r w:rsidR="009667BA" w:rsidRPr="00100AAC">
        <w:rPr>
          <w:color w:val="000000"/>
        </w:rPr>
        <w:t>2</w:t>
      </w:r>
      <w:r w:rsidR="00E62CDA" w:rsidRPr="00100AAC">
        <w:rPr>
          <w:color w:val="000000"/>
        </w:rPr>
        <w:t xml:space="preserve">). </w:t>
      </w:r>
      <w:r w:rsidR="00EB79AC" w:rsidRPr="00100AAC">
        <w:rPr>
          <w:color w:val="000000"/>
        </w:rPr>
        <w:t xml:space="preserve">Consequently, </w:t>
      </w:r>
      <w:r w:rsidR="00DB59B5" w:rsidRPr="00100AAC">
        <w:rPr>
          <w:color w:val="000000"/>
        </w:rPr>
        <w:t xml:space="preserve">to </w:t>
      </w:r>
      <w:r w:rsidR="00EB79AC" w:rsidRPr="00100AAC">
        <w:rPr>
          <w:color w:val="000000"/>
        </w:rPr>
        <w:t xml:space="preserve">address this evident gap in the literature, the aim of this research is to understand the impact of an online </w:t>
      </w:r>
      <w:bookmarkStart w:id="2" w:name="_Hlk109925451"/>
      <w:r w:rsidR="005B5A34" w:rsidRPr="00100AAC">
        <w:rPr>
          <w:color w:val="000000"/>
        </w:rPr>
        <w:t>L</w:t>
      </w:r>
      <w:r w:rsidR="00EB79AC" w:rsidRPr="00100AAC">
        <w:rPr>
          <w:color w:val="000000"/>
        </w:rPr>
        <w:t>evel 1 coach education award</w:t>
      </w:r>
      <w:bookmarkEnd w:id="2"/>
      <w:r w:rsidR="00EB79AC" w:rsidRPr="00100AAC">
        <w:rPr>
          <w:color w:val="000000"/>
        </w:rPr>
        <w:t xml:space="preserve"> on dodgeball coaches’ learning and practice. </w:t>
      </w:r>
      <w:r w:rsidR="00DB59B5" w:rsidRPr="00100AAC">
        <w:rPr>
          <w:color w:val="000000"/>
        </w:rPr>
        <w:t>I</w:t>
      </w:r>
      <w:r w:rsidR="00EB79AC" w:rsidRPr="00100AAC">
        <w:rPr>
          <w:color w:val="000000"/>
        </w:rPr>
        <w:t>t is important to recognise that how</w:t>
      </w:r>
      <w:r w:rsidR="00E62CDA" w:rsidRPr="00100AAC">
        <w:rPr>
          <w:color w:val="000000"/>
        </w:rPr>
        <w:t xml:space="preserve"> coaches experience, interpret, and engage with online coach education</w:t>
      </w:r>
      <w:r w:rsidR="009D0697" w:rsidRPr="00100AAC">
        <w:rPr>
          <w:color w:val="000000"/>
        </w:rPr>
        <w:t xml:space="preserve"> </w:t>
      </w:r>
      <w:r w:rsidR="00E62CDA" w:rsidRPr="00100AAC">
        <w:rPr>
          <w:color w:val="000000"/>
        </w:rPr>
        <w:t xml:space="preserve">provision will </w:t>
      </w:r>
      <w:r w:rsidR="00DB59B5" w:rsidRPr="00100AAC">
        <w:rPr>
          <w:color w:val="000000"/>
        </w:rPr>
        <w:t>fluctuate,</w:t>
      </w:r>
      <w:r w:rsidR="00E62CDA" w:rsidRPr="00100AAC">
        <w:rPr>
          <w:color w:val="000000"/>
        </w:rPr>
        <w:t xml:space="preserve"> depend</w:t>
      </w:r>
      <w:r w:rsidR="00DB59B5" w:rsidRPr="00100AAC">
        <w:rPr>
          <w:color w:val="000000"/>
        </w:rPr>
        <w:t xml:space="preserve">ing </w:t>
      </w:r>
      <w:r w:rsidR="00E62CDA" w:rsidRPr="00100AAC">
        <w:rPr>
          <w:color w:val="000000"/>
        </w:rPr>
        <w:t>upon their</w:t>
      </w:r>
      <w:r w:rsidR="009D0697" w:rsidRPr="00100AAC">
        <w:rPr>
          <w:color w:val="000000"/>
        </w:rPr>
        <w:t xml:space="preserve"> biography</w:t>
      </w:r>
      <w:r w:rsidR="00E62CDA" w:rsidRPr="00100AAC">
        <w:rPr>
          <w:color w:val="000000"/>
        </w:rPr>
        <w:t xml:space="preserve"> which acts as a filter to guide new learning </w:t>
      </w:r>
      <w:r w:rsidR="009D0697" w:rsidRPr="00100AAC">
        <w:rPr>
          <w:color w:val="000000"/>
        </w:rPr>
        <w:t>(</w:t>
      </w:r>
      <w:r w:rsidR="00E62CDA" w:rsidRPr="00100AAC">
        <w:rPr>
          <w:color w:val="000000"/>
        </w:rPr>
        <w:t xml:space="preserve">Stodter &amp; </w:t>
      </w:r>
      <w:r w:rsidR="00E62CDA" w:rsidRPr="00100AAC">
        <w:rPr>
          <w:color w:val="000000"/>
        </w:rPr>
        <w:lastRenderedPageBreak/>
        <w:t xml:space="preserve">Cushion, 2017; </w:t>
      </w:r>
      <w:r w:rsidR="009D0697" w:rsidRPr="00100AAC">
        <w:rPr>
          <w:color w:val="000000"/>
        </w:rPr>
        <w:t>Trudel et al., 2013)</w:t>
      </w:r>
      <w:r w:rsidR="00E62CDA" w:rsidRPr="00100AAC">
        <w:rPr>
          <w:color w:val="000000"/>
        </w:rPr>
        <w:t xml:space="preserve">. </w:t>
      </w:r>
      <w:r w:rsidR="00EB79AC" w:rsidRPr="00100AAC">
        <w:rPr>
          <w:color w:val="000000"/>
        </w:rPr>
        <w:t>Hence, to</w:t>
      </w:r>
      <w:r w:rsidR="000C1C47" w:rsidRPr="00100AAC">
        <w:rPr>
          <w:color w:val="000000"/>
        </w:rPr>
        <w:t xml:space="preserve"> understand the idiosyncrasies in how </w:t>
      </w:r>
      <w:r w:rsidR="00EB79AC" w:rsidRPr="00100AAC">
        <w:rPr>
          <w:color w:val="000000"/>
        </w:rPr>
        <w:t xml:space="preserve">dodgeball </w:t>
      </w:r>
      <w:r w:rsidR="000C1C47" w:rsidRPr="00100AAC">
        <w:rPr>
          <w:color w:val="000000"/>
        </w:rPr>
        <w:t xml:space="preserve">coaches experience </w:t>
      </w:r>
      <w:r w:rsidR="00EB79AC" w:rsidRPr="00100AAC">
        <w:rPr>
          <w:color w:val="000000"/>
        </w:rPr>
        <w:t xml:space="preserve">the online </w:t>
      </w:r>
      <w:r w:rsidR="005B5A34" w:rsidRPr="00100AAC">
        <w:rPr>
          <w:color w:val="000000"/>
        </w:rPr>
        <w:t>L</w:t>
      </w:r>
      <w:r w:rsidR="00EB79AC" w:rsidRPr="00100AAC">
        <w:rPr>
          <w:color w:val="000000"/>
        </w:rPr>
        <w:t>evel 1 coach education award</w:t>
      </w:r>
      <w:r w:rsidR="000C1C47" w:rsidRPr="00100AAC">
        <w:rPr>
          <w:color w:val="000000"/>
        </w:rPr>
        <w:t>,</w:t>
      </w:r>
      <w:r w:rsidR="00EB79AC" w:rsidRPr="00100AAC">
        <w:rPr>
          <w:color w:val="000000"/>
        </w:rPr>
        <w:t xml:space="preserve"> the theoretical framework of Jennifer Moon (2001, 2004) </w:t>
      </w:r>
      <w:r w:rsidR="001D7DF2" w:rsidRPr="00100AAC">
        <w:rPr>
          <w:color w:val="000000"/>
        </w:rPr>
        <w:t>is</w:t>
      </w:r>
      <w:r w:rsidR="00EB79AC" w:rsidRPr="00100AAC">
        <w:rPr>
          <w:color w:val="000000"/>
        </w:rPr>
        <w:t xml:space="preserve"> relevant</w:t>
      </w:r>
      <w:r w:rsidR="0041233C" w:rsidRPr="00100AAC">
        <w:rPr>
          <w:color w:val="000000"/>
        </w:rPr>
        <w:t xml:space="preserve"> due to its focus on exploring the impact of short courses</w:t>
      </w:r>
      <w:r w:rsidR="001D7DF2" w:rsidRPr="00100AAC">
        <w:rPr>
          <w:color w:val="000000"/>
        </w:rPr>
        <w:t xml:space="preserve"> (awards)</w:t>
      </w:r>
      <w:r w:rsidR="0041233C" w:rsidRPr="00100AAC">
        <w:rPr>
          <w:color w:val="000000"/>
        </w:rPr>
        <w:t xml:space="preserve"> on learning</w:t>
      </w:r>
      <w:r w:rsidR="00EB79AC" w:rsidRPr="00100AAC">
        <w:rPr>
          <w:color w:val="000000"/>
        </w:rPr>
        <w:t>. The following section provides an overview of the key concepts which inform</w:t>
      </w:r>
      <w:r w:rsidR="0041233C" w:rsidRPr="00100AAC">
        <w:rPr>
          <w:color w:val="000000"/>
        </w:rPr>
        <w:t xml:space="preserve"> Moon’s (2001, 2004) work and </w:t>
      </w:r>
      <w:r w:rsidR="00F933E3" w:rsidRPr="00100AAC">
        <w:rPr>
          <w:color w:val="000000"/>
        </w:rPr>
        <w:t>its</w:t>
      </w:r>
      <w:r w:rsidR="0041233C" w:rsidRPr="00100AAC">
        <w:rPr>
          <w:color w:val="000000"/>
        </w:rPr>
        <w:t xml:space="preserve"> application to coach education. </w:t>
      </w:r>
    </w:p>
    <w:p w14:paraId="02D18F90" w14:textId="6795C62F" w:rsidR="001B7603" w:rsidRPr="00100AAC" w:rsidRDefault="009D23C2" w:rsidP="009D3BFB">
      <w:pPr>
        <w:pStyle w:val="paragraph"/>
        <w:jc w:val="center"/>
        <w:rPr>
          <w:b/>
          <w:bCs/>
          <w:color w:val="000000"/>
        </w:rPr>
      </w:pPr>
      <w:r w:rsidRPr="00100AAC">
        <w:rPr>
          <w:b/>
          <w:bCs/>
          <w:color w:val="000000"/>
        </w:rPr>
        <w:t>Theoretical framework</w:t>
      </w:r>
      <w:r w:rsidR="001B7603" w:rsidRPr="00100AAC">
        <w:rPr>
          <w:b/>
          <w:bCs/>
          <w:color w:val="000000"/>
        </w:rPr>
        <w:t>: Jennifer Moon and learning from short courses</w:t>
      </w:r>
    </w:p>
    <w:p w14:paraId="77E0DBAD" w14:textId="778E65CC" w:rsidR="00333718" w:rsidRPr="00100AAC" w:rsidRDefault="00333718" w:rsidP="009D3BFB">
      <w:pPr>
        <w:pStyle w:val="paragraph"/>
        <w:spacing w:line="480" w:lineRule="auto"/>
        <w:ind w:firstLine="720"/>
        <w:jc w:val="both"/>
        <w:rPr>
          <w:color w:val="000000"/>
        </w:rPr>
      </w:pPr>
      <w:r w:rsidRPr="00100AAC">
        <w:rPr>
          <w:color w:val="000000"/>
        </w:rPr>
        <w:t>Jennifer Moon (2001, 2004)</w:t>
      </w:r>
      <w:r w:rsidR="00A313C1" w:rsidRPr="00100AAC">
        <w:rPr>
          <w:color w:val="000000"/>
        </w:rPr>
        <w:t xml:space="preserve"> adopts a constructivist and generic view of learning, which underpins a framework developed to enhance the impact of learning from short courses</w:t>
      </w:r>
      <w:r w:rsidR="00E70D7B" w:rsidRPr="00100AAC">
        <w:rPr>
          <w:color w:val="000000"/>
        </w:rPr>
        <w:t>, awards,</w:t>
      </w:r>
      <w:r w:rsidR="00A313C1" w:rsidRPr="00100AAC">
        <w:rPr>
          <w:color w:val="000000"/>
        </w:rPr>
        <w:t xml:space="preserve"> and workshops. </w:t>
      </w:r>
      <w:r w:rsidR="005A03BB" w:rsidRPr="00100AAC">
        <w:rPr>
          <w:color w:val="000000"/>
        </w:rPr>
        <w:t xml:space="preserve">While it is beyond the scope of this paper to delve fully into Moon’s </w:t>
      </w:r>
      <w:r w:rsidR="007674CD" w:rsidRPr="00100AAC">
        <w:rPr>
          <w:color w:val="000000"/>
        </w:rPr>
        <w:t xml:space="preserve">extensive </w:t>
      </w:r>
      <w:r w:rsidR="005A03BB" w:rsidRPr="00100AAC">
        <w:rPr>
          <w:color w:val="000000"/>
        </w:rPr>
        <w:t xml:space="preserve">theoretical framework, </w:t>
      </w:r>
      <w:r w:rsidR="002C725D" w:rsidRPr="00100AAC">
        <w:rPr>
          <w:color w:val="000000"/>
        </w:rPr>
        <w:t xml:space="preserve">her </w:t>
      </w:r>
      <w:r w:rsidR="005A03BB" w:rsidRPr="00100AAC">
        <w:rPr>
          <w:color w:val="000000"/>
        </w:rPr>
        <w:t>fundamental concepts</w:t>
      </w:r>
      <w:r w:rsidR="002C725D" w:rsidRPr="00100AAC">
        <w:rPr>
          <w:color w:val="000000"/>
        </w:rPr>
        <w:t xml:space="preserve"> related to learning from short courses </w:t>
      </w:r>
      <w:r w:rsidR="008C6AD5" w:rsidRPr="00100AAC">
        <w:rPr>
          <w:color w:val="000000"/>
        </w:rPr>
        <w:t xml:space="preserve">including </w:t>
      </w:r>
      <w:r w:rsidR="007674CD" w:rsidRPr="00100AAC">
        <w:rPr>
          <w:i/>
          <w:iCs/>
          <w:color w:val="000000"/>
        </w:rPr>
        <w:t xml:space="preserve">learning </w:t>
      </w:r>
      <w:r w:rsidR="008C6AD5" w:rsidRPr="00100AAC">
        <w:rPr>
          <w:i/>
          <w:iCs/>
          <w:color w:val="000000"/>
        </w:rPr>
        <w:t xml:space="preserve">context </w:t>
      </w:r>
      <w:r w:rsidR="008C6AD5" w:rsidRPr="00100AAC">
        <w:rPr>
          <w:color w:val="000000"/>
        </w:rPr>
        <w:t>and</w:t>
      </w:r>
      <w:r w:rsidR="008C6AD5" w:rsidRPr="00100AAC">
        <w:rPr>
          <w:i/>
          <w:iCs/>
          <w:color w:val="000000"/>
        </w:rPr>
        <w:t xml:space="preserve"> learning </w:t>
      </w:r>
      <w:r w:rsidR="007674CD" w:rsidRPr="00100AAC">
        <w:rPr>
          <w:i/>
          <w:iCs/>
          <w:color w:val="000000"/>
        </w:rPr>
        <w:t>situation</w:t>
      </w:r>
      <w:r w:rsidR="007674CD" w:rsidRPr="00100AAC">
        <w:rPr>
          <w:color w:val="000000"/>
        </w:rPr>
        <w:t xml:space="preserve">, </w:t>
      </w:r>
      <w:r w:rsidR="005A03BB" w:rsidRPr="00100AAC">
        <w:rPr>
          <w:i/>
          <w:iCs/>
          <w:color w:val="000000"/>
        </w:rPr>
        <w:t>cognitive structure</w:t>
      </w:r>
      <w:r w:rsidR="005A03BB" w:rsidRPr="00100AAC">
        <w:rPr>
          <w:color w:val="000000"/>
        </w:rPr>
        <w:t>,</w:t>
      </w:r>
      <w:r w:rsidR="002C725D" w:rsidRPr="00100AAC">
        <w:rPr>
          <w:color w:val="000000"/>
        </w:rPr>
        <w:t xml:space="preserve"> a</w:t>
      </w:r>
      <w:r w:rsidR="009C2295" w:rsidRPr="00100AAC">
        <w:rPr>
          <w:color w:val="000000"/>
        </w:rPr>
        <w:t>longside</w:t>
      </w:r>
      <w:r w:rsidR="005A03BB" w:rsidRPr="00100AAC">
        <w:rPr>
          <w:color w:val="000000"/>
        </w:rPr>
        <w:t xml:space="preserve"> </w:t>
      </w:r>
      <w:r w:rsidR="005A03BB" w:rsidRPr="00100AAC">
        <w:rPr>
          <w:i/>
          <w:iCs/>
          <w:color w:val="000000"/>
        </w:rPr>
        <w:t>surface</w:t>
      </w:r>
      <w:r w:rsidR="005A03BB" w:rsidRPr="00100AAC">
        <w:rPr>
          <w:color w:val="000000"/>
        </w:rPr>
        <w:t xml:space="preserve"> </w:t>
      </w:r>
      <w:r w:rsidR="009C2295" w:rsidRPr="00100AAC">
        <w:rPr>
          <w:color w:val="000000"/>
        </w:rPr>
        <w:t>and</w:t>
      </w:r>
      <w:r w:rsidR="002C725D" w:rsidRPr="00100AAC">
        <w:rPr>
          <w:color w:val="000000"/>
        </w:rPr>
        <w:t xml:space="preserve"> </w:t>
      </w:r>
      <w:r w:rsidR="005A03BB" w:rsidRPr="00100AAC">
        <w:rPr>
          <w:i/>
          <w:iCs/>
          <w:color w:val="000000"/>
        </w:rPr>
        <w:t xml:space="preserve">deep </w:t>
      </w:r>
      <w:r w:rsidR="009C2295" w:rsidRPr="00100AAC">
        <w:rPr>
          <w:i/>
          <w:iCs/>
          <w:color w:val="000000"/>
        </w:rPr>
        <w:t>approaches</w:t>
      </w:r>
      <w:r w:rsidR="009C2295" w:rsidRPr="00100AAC">
        <w:rPr>
          <w:color w:val="000000"/>
        </w:rPr>
        <w:t xml:space="preserve"> to </w:t>
      </w:r>
      <w:r w:rsidR="005A03BB" w:rsidRPr="00100AAC">
        <w:rPr>
          <w:color w:val="000000"/>
        </w:rPr>
        <w:t>learning</w:t>
      </w:r>
      <w:r w:rsidR="006C7A17" w:rsidRPr="00100AAC">
        <w:rPr>
          <w:color w:val="000000"/>
        </w:rPr>
        <w:t xml:space="preserve"> </w:t>
      </w:r>
      <w:r w:rsidR="008C6AD5" w:rsidRPr="00100AAC">
        <w:rPr>
          <w:color w:val="000000"/>
        </w:rPr>
        <w:t xml:space="preserve">are </w:t>
      </w:r>
      <w:r w:rsidR="0060331B" w:rsidRPr="00100AAC">
        <w:rPr>
          <w:color w:val="000000"/>
        </w:rPr>
        <w:t>discussed</w:t>
      </w:r>
      <w:r w:rsidR="008C6AD5" w:rsidRPr="00100AAC">
        <w:rPr>
          <w:color w:val="000000"/>
        </w:rPr>
        <w:t xml:space="preserve">. </w:t>
      </w:r>
    </w:p>
    <w:p w14:paraId="69D599A7" w14:textId="53B3986D" w:rsidR="0090028A" w:rsidRPr="00100AAC" w:rsidRDefault="0090028A" w:rsidP="00E70D7B">
      <w:pPr>
        <w:pStyle w:val="paragraph"/>
        <w:spacing w:line="480" w:lineRule="auto"/>
        <w:ind w:firstLine="720"/>
        <w:jc w:val="both"/>
        <w:rPr>
          <w:color w:val="000000"/>
        </w:rPr>
      </w:pPr>
      <w:r w:rsidRPr="00100AAC">
        <w:rPr>
          <w:color w:val="000000"/>
        </w:rPr>
        <w:t xml:space="preserve">Moon (2001) makes a </w:t>
      </w:r>
      <w:r w:rsidR="008C6AD5" w:rsidRPr="00100AAC">
        <w:rPr>
          <w:color w:val="000000"/>
        </w:rPr>
        <w:t xml:space="preserve">clear </w:t>
      </w:r>
      <w:r w:rsidRPr="00100AAC">
        <w:rPr>
          <w:color w:val="000000"/>
        </w:rPr>
        <w:t xml:space="preserve">distinction between a learning </w:t>
      </w:r>
      <w:r w:rsidR="008C6AD5" w:rsidRPr="00100AAC">
        <w:rPr>
          <w:color w:val="000000"/>
        </w:rPr>
        <w:t xml:space="preserve">context and a </w:t>
      </w:r>
      <w:r w:rsidRPr="00100AAC">
        <w:rPr>
          <w:color w:val="000000"/>
        </w:rPr>
        <w:t xml:space="preserve">learning </w:t>
      </w:r>
      <w:r w:rsidR="008C6AD5" w:rsidRPr="00100AAC">
        <w:rPr>
          <w:color w:val="000000"/>
        </w:rPr>
        <w:t>situation</w:t>
      </w:r>
      <w:r w:rsidRPr="00100AAC">
        <w:rPr>
          <w:color w:val="000000"/>
        </w:rPr>
        <w:t xml:space="preserve"> (Trudel et al., 2013). For example, </w:t>
      </w:r>
      <w:r w:rsidR="00F933E3" w:rsidRPr="00100AAC">
        <w:rPr>
          <w:color w:val="000000"/>
        </w:rPr>
        <w:t>Moon (2001) suggests that the</w:t>
      </w:r>
      <w:r w:rsidRPr="00100AAC">
        <w:rPr>
          <w:color w:val="000000"/>
        </w:rPr>
        <w:t xml:space="preserve"> learning context refers to </w:t>
      </w:r>
      <w:r w:rsidR="00724737" w:rsidRPr="00100AAC">
        <w:rPr>
          <w:color w:val="000000"/>
        </w:rPr>
        <w:t>“</w:t>
      </w:r>
      <w:r w:rsidRPr="00100AAC">
        <w:rPr>
          <w:color w:val="000000"/>
        </w:rPr>
        <w:t>the setting in which learning occurs – the course, the instructor, relevant organisations</w:t>
      </w:r>
      <w:r w:rsidR="008C6AD5" w:rsidRPr="00100AAC">
        <w:rPr>
          <w:color w:val="000000"/>
        </w:rPr>
        <w:t>…</w:t>
      </w:r>
      <w:r w:rsidRPr="00100AAC">
        <w:rPr>
          <w:color w:val="000000"/>
        </w:rPr>
        <w:t xml:space="preserve"> the learning situation, is the learner’s perception of the context</w:t>
      </w:r>
      <w:r w:rsidR="00724737" w:rsidRPr="00100AAC">
        <w:rPr>
          <w:color w:val="000000"/>
        </w:rPr>
        <w:t>”</w:t>
      </w:r>
      <w:r w:rsidRPr="00100AAC">
        <w:rPr>
          <w:color w:val="000000"/>
        </w:rPr>
        <w:t xml:space="preserve"> </w:t>
      </w:r>
      <w:r w:rsidR="00F933E3" w:rsidRPr="00100AAC">
        <w:rPr>
          <w:color w:val="000000"/>
        </w:rPr>
        <w:t>(</w:t>
      </w:r>
      <w:r w:rsidRPr="00100AAC">
        <w:rPr>
          <w:color w:val="000000"/>
        </w:rPr>
        <w:t xml:space="preserve">p. 48). In this </w:t>
      </w:r>
      <w:r w:rsidR="00374918" w:rsidRPr="00100AAC">
        <w:rPr>
          <w:color w:val="000000"/>
        </w:rPr>
        <w:t xml:space="preserve">research, the online </w:t>
      </w:r>
      <w:r w:rsidR="005B5A34" w:rsidRPr="00100AAC">
        <w:rPr>
          <w:color w:val="000000"/>
        </w:rPr>
        <w:t>L</w:t>
      </w:r>
      <w:r w:rsidR="00374918" w:rsidRPr="00100AAC">
        <w:rPr>
          <w:color w:val="000000"/>
        </w:rPr>
        <w:t>evel 1 award in coaching dodgeball is the learning context</w:t>
      </w:r>
      <w:r w:rsidR="00CD1B63" w:rsidRPr="00100AAC">
        <w:rPr>
          <w:color w:val="000000"/>
        </w:rPr>
        <w:t>. However,</w:t>
      </w:r>
      <w:r w:rsidR="00374918" w:rsidRPr="00100AAC">
        <w:rPr>
          <w:color w:val="000000"/>
        </w:rPr>
        <w:t xml:space="preserve"> this could be perceived </w:t>
      </w:r>
      <w:r w:rsidR="00E24D8A" w:rsidRPr="00100AAC">
        <w:rPr>
          <w:color w:val="000000"/>
        </w:rPr>
        <w:t xml:space="preserve">by learners as </w:t>
      </w:r>
      <w:r w:rsidR="00374918" w:rsidRPr="00100AAC">
        <w:rPr>
          <w:color w:val="000000"/>
        </w:rPr>
        <w:t>a mediated (</w:t>
      </w:r>
      <w:r w:rsidR="00CD1B63" w:rsidRPr="00100AAC">
        <w:rPr>
          <w:color w:val="000000"/>
        </w:rPr>
        <w:t>learn</w:t>
      </w:r>
      <w:r w:rsidR="008C6AD5" w:rsidRPr="00100AAC">
        <w:rPr>
          <w:color w:val="000000"/>
        </w:rPr>
        <w:t>ing directed by another</w:t>
      </w:r>
      <w:r w:rsidR="00374918" w:rsidRPr="00100AAC">
        <w:rPr>
          <w:color w:val="000000"/>
        </w:rPr>
        <w:t>), unmediated (</w:t>
      </w:r>
      <w:r w:rsidR="008C6AD5" w:rsidRPr="00100AAC">
        <w:rPr>
          <w:color w:val="000000"/>
        </w:rPr>
        <w:t>learning directed by the learner</w:t>
      </w:r>
      <w:r w:rsidR="00CD1B63" w:rsidRPr="00100AAC">
        <w:rPr>
          <w:color w:val="000000"/>
        </w:rPr>
        <w:t>)</w:t>
      </w:r>
      <w:r w:rsidR="00374918" w:rsidRPr="00100AAC">
        <w:rPr>
          <w:color w:val="000000"/>
        </w:rPr>
        <w:t>, or internal (</w:t>
      </w:r>
      <w:r w:rsidR="008C6AD5" w:rsidRPr="00100AAC">
        <w:rPr>
          <w:color w:val="000000"/>
        </w:rPr>
        <w:t>learner engages in</w:t>
      </w:r>
      <w:r w:rsidR="00374918" w:rsidRPr="00100AAC">
        <w:rPr>
          <w:color w:val="000000"/>
        </w:rPr>
        <w:t xml:space="preserve"> self-reflection) learning situation, with these perceptions shifting through</w:t>
      </w:r>
      <w:r w:rsidR="00E24D8A" w:rsidRPr="00100AAC">
        <w:rPr>
          <w:color w:val="000000"/>
        </w:rPr>
        <w:t>out engagement within</w:t>
      </w:r>
      <w:r w:rsidR="00374918" w:rsidRPr="00100AAC">
        <w:rPr>
          <w:color w:val="000000"/>
        </w:rPr>
        <w:t xml:space="preserve"> a learning context (see Trudel et al., 2013; Werthner &amp; Trudel, 2006)</w:t>
      </w:r>
      <w:r w:rsidR="00CD1B63" w:rsidRPr="00100AAC">
        <w:rPr>
          <w:color w:val="000000"/>
        </w:rPr>
        <w:t>.</w:t>
      </w:r>
      <w:r w:rsidR="00E70D7B" w:rsidRPr="00100AAC">
        <w:rPr>
          <w:color w:val="000000"/>
        </w:rPr>
        <w:t xml:space="preserve"> </w:t>
      </w:r>
      <w:r w:rsidR="00CD1B63" w:rsidRPr="00100AAC">
        <w:rPr>
          <w:color w:val="000000"/>
        </w:rPr>
        <w:t>Learning situations are filtered by an individual’s c</w:t>
      </w:r>
      <w:r w:rsidR="002C725D" w:rsidRPr="00100AAC">
        <w:rPr>
          <w:color w:val="000000"/>
        </w:rPr>
        <w:t>ognitive structure</w:t>
      </w:r>
      <w:r w:rsidR="00CD1B63" w:rsidRPr="00100AAC">
        <w:rPr>
          <w:color w:val="000000"/>
        </w:rPr>
        <w:t xml:space="preserve">, defined as </w:t>
      </w:r>
      <w:r w:rsidR="00724737" w:rsidRPr="00100AAC">
        <w:rPr>
          <w:color w:val="000000"/>
        </w:rPr>
        <w:t>“</w:t>
      </w:r>
      <w:r w:rsidR="00CD1B63" w:rsidRPr="00100AAC">
        <w:rPr>
          <w:color w:val="000000"/>
        </w:rPr>
        <w:t>the network of concepts, emotion, knowledge, experiences and beliefs that guides a person’s functioning at a particular time</w:t>
      </w:r>
      <w:r w:rsidR="00724737" w:rsidRPr="00100AAC">
        <w:rPr>
          <w:color w:val="000000"/>
        </w:rPr>
        <w:t>”</w:t>
      </w:r>
      <w:r w:rsidR="00CD1B63" w:rsidRPr="00100AAC">
        <w:rPr>
          <w:color w:val="000000"/>
        </w:rPr>
        <w:t xml:space="preserve"> (Moon, 2004, p. 231). Specifically, a learner’s cognitive structure </w:t>
      </w:r>
      <w:r w:rsidR="00096DA6" w:rsidRPr="00100AAC">
        <w:rPr>
          <w:color w:val="000000"/>
        </w:rPr>
        <w:t xml:space="preserve">guides new learning and what is considered </w:t>
      </w:r>
      <w:r w:rsidR="00096DA6" w:rsidRPr="00100AAC">
        <w:rPr>
          <w:color w:val="000000"/>
        </w:rPr>
        <w:lastRenderedPageBreak/>
        <w:t xml:space="preserve">as relevant and important (Moon, 2001). As a central concept, cognitive structures </w:t>
      </w:r>
      <w:r w:rsidR="00E24D8A" w:rsidRPr="00100AAC">
        <w:rPr>
          <w:color w:val="000000"/>
        </w:rPr>
        <w:t>direct</w:t>
      </w:r>
      <w:r w:rsidR="00096DA6" w:rsidRPr="00100AAC">
        <w:rPr>
          <w:color w:val="000000"/>
        </w:rPr>
        <w:t xml:space="preserve"> new learning and are also changed by new learning (Leduc et al., 2012)</w:t>
      </w:r>
      <w:r w:rsidR="006F6D26" w:rsidRPr="00100AAC">
        <w:rPr>
          <w:color w:val="000000"/>
        </w:rPr>
        <w:t>.</w:t>
      </w:r>
      <w:r w:rsidR="00096DA6" w:rsidRPr="00100AAC">
        <w:rPr>
          <w:color w:val="000000"/>
        </w:rPr>
        <w:t xml:space="preserve"> </w:t>
      </w:r>
      <w:r w:rsidR="006F6D26" w:rsidRPr="00100AAC">
        <w:rPr>
          <w:color w:val="000000"/>
        </w:rPr>
        <w:t>This means</w:t>
      </w:r>
      <w:r w:rsidR="00096DA6" w:rsidRPr="00100AAC">
        <w:rPr>
          <w:color w:val="000000"/>
        </w:rPr>
        <w:t xml:space="preserve"> individuals either assimilat</w:t>
      </w:r>
      <w:r w:rsidR="006F6D26" w:rsidRPr="00100AAC">
        <w:rPr>
          <w:color w:val="000000"/>
        </w:rPr>
        <w:t xml:space="preserve">e, they process </w:t>
      </w:r>
      <w:r w:rsidR="00096DA6" w:rsidRPr="00100AAC">
        <w:rPr>
          <w:color w:val="000000"/>
        </w:rPr>
        <w:t xml:space="preserve">new information </w:t>
      </w:r>
      <w:r w:rsidR="006F6D26" w:rsidRPr="00100AAC">
        <w:rPr>
          <w:color w:val="000000"/>
        </w:rPr>
        <w:t>by</w:t>
      </w:r>
      <w:r w:rsidR="00096DA6" w:rsidRPr="00100AAC">
        <w:rPr>
          <w:color w:val="000000"/>
        </w:rPr>
        <w:t xml:space="preserve"> adding to</w:t>
      </w:r>
      <w:r w:rsidR="00E24D8A" w:rsidRPr="00100AAC">
        <w:rPr>
          <w:color w:val="000000"/>
        </w:rPr>
        <w:t xml:space="preserve"> </w:t>
      </w:r>
      <w:r w:rsidR="006F6D26" w:rsidRPr="00100AAC">
        <w:rPr>
          <w:color w:val="000000"/>
        </w:rPr>
        <w:t xml:space="preserve">their </w:t>
      </w:r>
      <w:r w:rsidR="00096DA6" w:rsidRPr="00100AAC">
        <w:rPr>
          <w:color w:val="000000"/>
        </w:rPr>
        <w:t>cognitive structure</w:t>
      </w:r>
      <w:r w:rsidR="006F6D26" w:rsidRPr="00100AAC">
        <w:rPr>
          <w:color w:val="000000"/>
        </w:rPr>
        <w:t xml:space="preserve">, </w:t>
      </w:r>
      <w:r w:rsidR="00096DA6" w:rsidRPr="00100AAC">
        <w:rPr>
          <w:color w:val="000000"/>
        </w:rPr>
        <w:t>or accommodat</w:t>
      </w:r>
      <w:r w:rsidR="006F6D26" w:rsidRPr="00100AAC">
        <w:rPr>
          <w:color w:val="000000"/>
        </w:rPr>
        <w:t xml:space="preserve">e, as they </w:t>
      </w:r>
      <w:r w:rsidR="00096DA6" w:rsidRPr="00100AAC">
        <w:rPr>
          <w:color w:val="000000"/>
        </w:rPr>
        <w:t xml:space="preserve">modify new information </w:t>
      </w:r>
      <w:r w:rsidR="006F6D26" w:rsidRPr="00100AAC">
        <w:rPr>
          <w:color w:val="000000"/>
        </w:rPr>
        <w:t xml:space="preserve">and </w:t>
      </w:r>
      <w:r w:rsidR="00096DA6" w:rsidRPr="00100AAC">
        <w:rPr>
          <w:color w:val="000000"/>
        </w:rPr>
        <w:t>chang</w:t>
      </w:r>
      <w:r w:rsidR="006F6D26" w:rsidRPr="00100AAC">
        <w:rPr>
          <w:color w:val="000000"/>
        </w:rPr>
        <w:t>e</w:t>
      </w:r>
      <w:r w:rsidR="00E24D8A" w:rsidRPr="00100AAC">
        <w:rPr>
          <w:color w:val="000000"/>
        </w:rPr>
        <w:t xml:space="preserve"> </w:t>
      </w:r>
      <w:r w:rsidR="006F6D26" w:rsidRPr="00100AAC">
        <w:rPr>
          <w:color w:val="000000"/>
        </w:rPr>
        <w:t xml:space="preserve">their </w:t>
      </w:r>
      <w:r w:rsidR="00096DA6" w:rsidRPr="00100AAC">
        <w:rPr>
          <w:color w:val="000000"/>
        </w:rPr>
        <w:t>cognitive structure (Moon, 2001; Trudel et al., 2013). Ultimately</w:t>
      </w:r>
      <w:r w:rsidR="00E70D7B" w:rsidRPr="00100AAC">
        <w:rPr>
          <w:color w:val="000000"/>
        </w:rPr>
        <w:t xml:space="preserve">, </w:t>
      </w:r>
      <w:r w:rsidRPr="00100AAC">
        <w:rPr>
          <w:color w:val="000000"/>
        </w:rPr>
        <w:t>learning from short courses</w:t>
      </w:r>
      <w:r w:rsidR="00E70D7B" w:rsidRPr="00100AAC">
        <w:rPr>
          <w:color w:val="000000"/>
        </w:rPr>
        <w:t xml:space="preserve"> and awards</w:t>
      </w:r>
      <w:r w:rsidRPr="00100AAC">
        <w:rPr>
          <w:color w:val="000000"/>
        </w:rPr>
        <w:t xml:space="preserve"> should involve the change and modification of an individual’s cognitive structure (Leduc et al., 2012</w:t>
      </w:r>
      <w:r w:rsidR="00E70D7B" w:rsidRPr="00100AAC">
        <w:rPr>
          <w:color w:val="000000"/>
        </w:rPr>
        <w:t>; Moon, 2001</w:t>
      </w:r>
      <w:r w:rsidRPr="00100AAC">
        <w:rPr>
          <w:color w:val="000000"/>
        </w:rPr>
        <w:t xml:space="preserve">). </w:t>
      </w:r>
      <w:r w:rsidR="00343F5D" w:rsidRPr="00100AAC">
        <w:rPr>
          <w:color w:val="000000"/>
        </w:rPr>
        <w:t xml:space="preserve">Thus, to encapsulate the processes of assimilation and accommodation, Moon (2001) outlines two approaches to learning: surface </w:t>
      </w:r>
      <w:r w:rsidR="005F3BEE" w:rsidRPr="00100AAC">
        <w:rPr>
          <w:color w:val="000000"/>
        </w:rPr>
        <w:t>and</w:t>
      </w:r>
      <w:r w:rsidR="00343F5D" w:rsidRPr="00100AAC">
        <w:rPr>
          <w:color w:val="000000"/>
        </w:rPr>
        <w:t xml:space="preserve"> deep. </w:t>
      </w:r>
    </w:p>
    <w:p w14:paraId="17283A1C" w14:textId="1E6562D8" w:rsidR="00DC2DBA" w:rsidRPr="00100AAC" w:rsidRDefault="005F3BEE" w:rsidP="006536B2">
      <w:pPr>
        <w:pStyle w:val="paragraph"/>
        <w:spacing w:line="480" w:lineRule="auto"/>
        <w:jc w:val="both"/>
        <w:rPr>
          <w:color w:val="000000"/>
        </w:rPr>
      </w:pPr>
      <w:r w:rsidRPr="00100AAC">
        <w:rPr>
          <w:color w:val="000000"/>
        </w:rPr>
        <w:tab/>
        <w:t>Surface learning involves assimilation but not accommodation. It is a non-reflective approach where learners might already know taught material and engage in processes of reproduction, attempting to memorise</w:t>
      </w:r>
      <w:r w:rsidR="00E70D7B" w:rsidRPr="00100AAC">
        <w:rPr>
          <w:color w:val="000000"/>
        </w:rPr>
        <w:t xml:space="preserve"> and repeat</w:t>
      </w:r>
      <w:r w:rsidRPr="00100AAC">
        <w:rPr>
          <w:color w:val="000000"/>
        </w:rPr>
        <w:t xml:space="preserve"> content </w:t>
      </w:r>
      <w:r w:rsidR="00E24D8A" w:rsidRPr="00100AAC">
        <w:rPr>
          <w:color w:val="000000"/>
        </w:rPr>
        <w:t>which fails</w:t>
      </w:r>
      <w:r w:rsidRPr="00100AAC">
        <w:rPr>
          <w:color w:val="000000"/>
        </w:rPr>
        <w:t xml:space="preserve"> to modify their cognitive structure (Leduc et al., 2012; Moon, 2001; Trudel et al., 2013). In contrast, a deep approach to learning should be the aim of short courses</w:t>
      </w:r>
      <w:r w:rsidR="00E70D7B" w:rsidRPr="00100AAC">
        <w:rPr>
          <w:color w:val="000000"/>
        </w:rPr>
        <w:t xml:space="preserve"> and awards</w:t>
      </w:r>
      <w:r w:rsidRPr="00100AAC">
        <w:rPr>
          <w:color w:val="000000"/>
        </w:rPr>
        <w:t xml:space="preserve"> (Moon, 2001). This occurs when learners critically reflect upon material and seek meaning by connecting content to their previous knowledge and experiences (Moon, 2001). </w:t>
      </w:r>
      <w:r w:rsidR="00E70D7B" w:rsidRPr="00100AAC">
        <w:rPr>
          <w:color w:val="000000"/>
        </w:rPr>
        <w:t xml:space="preserve">A </w:t>
      </w:r>
      <w:r w:rsidRPr="00100AAC">
        <w:rPr>
          <w:color w:val="000000"/>
        </w:rPr>
        <w:t xml:space="preserve">deep approach to learning </w:t>
      </w:r>
      <w:r w:rsidR="006536B2" w:rsidRPr="00100AAC">
        <w:rPr>
          <w:color w:val="000000"/>
        </w:rPr>
        <w:t>involves considerable engagement with reflective practice, resulting in changes to a learner’s cognitive structure and eventually their practice. However, T</w:t>
      </w:r>
      <w:r w:rsidR="00343F5D" w:rsidRPr="00100AAC">
        <w:rPr>
          <w:color w:val="000000"/>
        </w:rPr>
        <w:t xml:space="preserve">rudel et al. (2013) argue that currently </w:t>
      </w:r>
      <w:r w:rsidR="00DC2DBA" w:rsidRPr="00100AAC">
        <w:rPr>
          <w:color w:val="000000"/>
        </w:rPr>
        <w:t>“there are no clear indications that online coach education programs help coaches adopt a deep approach to their learning”</w:t>
      </w:r>
      <w:r w:rsidR="00A97F07" w:rsidRPr="00100AAC">
        <w:rPr>
          <w:color w:val="000000"/>
        </w:rPr>
        <w:t xml:space="preserve"> (p. 382).</w:t>
      </w:r>
      <w:r w:rsidR="00343F5D" w:rsidRPr="00100AAC">
        <w:rPr>
          <w:color w:val="000000"/>
        </w:rPr>
        <w:t xml:space="preserve"> </w:t>
      </w:r>
      <w:r w:rsidR="00A97F07" w:rsidRPr="00100AAC">
        <w:rPr>
          <w:color w:val="000000"/>
        </w:rPr>
        <w:t xml:space="preserve">Thus, </w:t>
      </w:r>
      <w:r w:rsidR="00343F5D" w:rsidRPr="00100AAC">
        <w:rPr>
          <w:color w:val="000000"/>
        </w:rPr>
        <w:t xml:space="preserve">providing a further rationale to explore this </w:t>
      </w:r>
      <w:r w:rsidR="006536B2" w:rsidRPr="00100AAC">
        <w:rPr>
          <w:color w:val="000000"/>
        </w:rPr>
        <w:t>aspect within the present research.</w:t>
      </w:r>
    </w:p>
    <w:p w14:paraId="22822567" w14:textId="129AD018" w:rsidR="002C725D" w:rsidRPr="00100AAC" w:rsidRDefault="006C7A17" w:rsidP="002C725D">
      <w:pPr>
        <w:pStyle w:val="paragraph"/>
        <w:spacing w:line="480" w:lineRule="auto"/>
        <w:ind w:firstLine="720"/>
        <w:jc w:val="both"/>
        <w:rPr>
          <w:color w:val="000000"/>
        </w:rPr>
      </w:pPr>
      <w:bookmarkStart w:id="3" w:name="_Hlk109754343"/>
      <w:r w:rsidRPr="00100AAC">
        <w:rPr>
          <w:color w:val="000000"/>
        </w:rPr>
        <w:t xml:space="preserve">Since Werthner and Trudel’s (2006) seminal paper, </w:t>
      </w:r>
      <w:r w:rsidR="001B7603" w:rsidRPr="00100AAC">
        <w:rPr>
          <w:color w:val="000000"/>
        </w:rPr>
        <w:t xml:space="preserve">Moon’s (2001, 2004) </w:t>
      </w:r>
      <w:r w:rsidR="00DC2DBA" w:rsidRPr="00100AAC">
        <w:rPr>
          <w:color w:val="000000"/>
        </w:rPr>
        <w:t>generic view of learning</w:t>
      </w:r>
      <w:r w:rsidRPr="00100AAC">
        <w:rPr>
          <w:color w:val="000000"/>
        </w:rPr>
        <w:t xml:space="preserve"> </w:t>
      </w:r>
      <w:r w:rsidR="0038641D" w:rsidRPr="00100AAC">
        <w:rPr>
          <w:color w:val="000000"/>
        </w:rPr>
        <w:t xml:space="preserve">has been applied </w:t>
      </w:r>
      <w:r w:rsidRPr="00100AAC">
        <w:rPr>
          <w:color w:val="000000"/>
        </w:rPr>
        <w:t>extensively</w:t>
      </w:r>
      <w:r w:rsidR="0038641D" w:rsidRPr="00100AAC">
        <w:rPr>
          <w:color w:val="000000"/>
        </w:rPr>
        <w:t xml:space="preserve"> within the coach education</w:t>
      </w:r>
      <w:r w:rsidRPr="00100AAC">
        <w:rPr>
          <w:color w:val="000000"/>
        </w:rPr>
        <w:t xml:space="preserve"> </w:t>
      </w:r>
      <w:r w:rsidR="0038641D" w:rsidRPr="00100AAC">
        <w:rPr>
          <w:color w:val="000000"/>
        </w:rPr>
        <w:t>literature</w:t>
      </w:r>
      <w:r w:rsidR="001B7603" w:rsidRPr="00100AAC">
        <w:rPr>
          <w:color w:val="000000"/>
        </w:rPr>
        <w:t xml:space="preserve"> (</w:t>
      </w:r>
      <w:r w:rsidR="00881AC7" w:rsidRPr="00100AAC">
        <w:rPr>
          <w:color w:val="000000"/>
        </w:rPr>
        <w:t>see</w:t>
      </w:r>
      <w:r w:rsidR="0038641D" w:rsidRPr="00100AAC">
        <w:rPr>
          <w:color w:val="000000"/>
        </w:rPr>
        <w:t xml:space="preserve"> </w:t>
      </w:r>
      <w:r w:rsidR="001B7603" w:rsidRPr="00100AAC">
        <w:rPr>
          <w:color w:val="000000"/>
        </w:rPr>
        <w:t>Culver et al., 2019</w:t>
      </w:r>
      <w:r w:rsidR="0038641D" w:rsidRPr="00100AAC">
        <w:rPr>
          <w:color w:val="000000"/>
        </w:rPr>
        <w:t>; Leduc et al., 2012;</w:t>
      </w:r>
      <w:r w:rsidR="007C43C4" w:rsidRPr="00100AAC">
        <w:rPr>
          <w:color w:val="000000"/>
        </w:rPr>
        <w:t xml:space="preserve"> </w:t>
      </w:r>
      <w:r w:rsidR="0038641D" w:rsidRPr="00100AAC">
        <w:rPr>
          <w:color w:val="000000"/>
        </w:rPr>
        <w:t>Trudel et al., 2013</w:t>
      </w:r>
      <w:r w:rsidR="001B7603" w:rsidRPr="00100AAC">
        <w:rPr>
          <w:color w:val="000000"/>
        </w:rPr>
        <w:t>)</w:t>
      </w:r>
      <w:r w:rsidRPr="00100AAC">
        <w:rPr>
          <w:color w:val="000000"/>
        </w:rPr>
        <w:t>.</w:t>
      </w:r>
      <w:r w:rsidR="0038641D" w:rsidRPr="00100AAC">
        <w:rPr>
          <w:color w:val="000000"/>
        </w:rPr>
        <w:t xml:space="preserve"> </w:t>
      </w:r>
      <w:r w:rsidR="000C4209" w:rsidRPr="00100AAC">
        <w:rPr>
          <w:color w:val="000000"/>
        </w:rPr>
        <w:t>However, these studies have focused on understanding</w:t>
      </w:r>
      <w:r w:rsidR="00E24D8A" w:rsidRPr="00100AAC">
        <w:rPr>
          <w:color w:val="000000"/>
        </w:rPr>
        <w:t xml:space="preserve"> learning within</w:t>
      </w:r>
      <w:r w:rsidR="000C4209" w:rsidRPr="00100AAC">
        <w:rPr>
          <w:color w:val="000000"/>
        </w:rPr>
        <w:t xml:space="preserve"> traditional face-to-face</w:t>
      </w:r>
      <w:r w:rsidR="00E24D8A" w:rsidRPr="00100AAC">
        <w:rPr>
          <w:color w:val="000000"/>
        </w:rPr>
        <w:t xml:space="preserve"> coach education</w:t>
      </w:r>
      <w:r w:rsidR="000C4209" w:rsidRPr="00100AAC">
        <w:rPr>
          <w:color w:val="000000"/>
        </w:rPr>
        <w:t xml:space="preserve"> courses, </w:t>
      </w:r>
      <w:r w:rsidR="00DC2DBA" w:rsidRPr="00100AAC">
        <w:rPr>
          <w:color w:val="000000"/>
        </w:rPr>
        <w:t xml:space="preserve">with Moon’s </w:t>
      </w:r>
      <w:r w:rsidR="00DC2DBA" w:rsidRPr="00100AAC">
        <w:rPr>
          <w:color w:val="000000"/>
        </w:rPr>
        <w:lastRenderedPageBreak/>
        <w:t>concepts</w:t>
      </w:r>
      <w:r w:rsidR="0038641D" w:rsidRPr="00100AAC">
        <w:rPr>
          <w:color w:val="000000"/>
        </w:rPr>
        <w:t xml:space="preserve"> yet to be </w:t>
      </w:r>
      <w:r w:rsidR="00DC2DBA" w:rsidRPr="00100AAC">
        <w:rPr>
          <w:color w:val="000000"/>
        </w:rPr>
        <w:t>explicitly applied</w:t>
      </w:r>
      <w:r w:rsidR="0038641D" w:rsidRPr="00100AAC">
        <w:rPr>
          <w:color w:val="000000"/>
        </w:rPr>
        <w:t xml:space="preserve"> </w:t>
      </w:r>
      <w:r w:rsidR="00DC2DBA" w:rsidRPr="00100AAC">
        <w:rPr>
          <w:color w:val="000000"/>
        </w:rPr>
        <w:t>when exploring</w:t>
      </w:r>
      <w:r w:rsidR="0038641D" w:rsidRPr="00100AAC">
        <w:rPr>
          <w:color w:val="000000"/>
        </w:rPr>
        <w:t xml:space="preserve"> </w:t>
      </w:r>
      <w:r w:rsidR="00DC2DBA" w:rsidRPr="00100AAC">
        <w:rPr>
          <w:color w:val="000000"/>
        </w:rPr>
        <w:t>the impact of</w:t>
      </w:r>
      <w:r w:rsidR="0038641D" w:rsidRPr="00100AAC">
        <w:rPr>
          <w:color w:val="000000"/>
        </w:rPr>
        <w:t xml:space="preserve"> online </w:t>
      </w:r>
      <w:r w:rsidR="00ED7C40" w:rsidRPr="00100AAC">
        <w:rPr>
          <w:color w:val="000000"/>
        </w:rPr>
        <w:t>provision</w:t>
      </w:r>
      <w:r w:rsidR="00DC2DBA" w:rsidRPr="00100AAC">
        <w:rPr>
          <w:color w:val="000000"/>
        </w:rPr>
        <w:t xml:space="preserve"> on coaches’ learning and practice, especially within underrepresented sports such as dodgeball.</w:t>
      </w:r>
      <w:bookmarkEnd w:id="3"/>
      <w:r w:rsidR="00DC2DBA" w:rsidRPr="00100AAC">
        <w:rPr>
          <w:color w:val="000000"/>
        </w:rPr>
        <w:t xml:space="preserve"> Consequently</w:t>
      </w:r>
      <w:r w:rsidR="0038641D" w:rsidRPr="00100AAC">
        <w:rPr>
          <w:color w:val="000000"/>
        </w:rPr>
        <w:t>,</w:t>
      </w:r>
      <w:r w:rsidR="00ED7C40" w:rsidRPr="00100AAC">
        <w:rPr>
          <w:color w:val="000000"/>
        </w:rPr>
        <w:t xml:space="preserve"> in this context</w:t>
      </w:r>
      <w:r w:rsidR="0038641D" w:rsidRPr="00100AAC">
        <w:rPr>
          <w:color w:val="000000"/>
        </w:rPr>
        <w:t xml:space="preserve"> applying Moon’s (2001</w:t>
      </w:r>
      <w:r w:rsidR="00DC2DBA" w:rsidRPr="00100AAC">
        <w:rPr>
          <w:color w:val="000000"/>
        </w:rPr>
        <w:t>, 2004</w:t>
      </w:r>
      <w:r w:rsidR="0038641D" w:rsidRPr="00100AAC">
        <w:rPr>
          <w:color w:val="000000"/>
        </w:rPr>
        <w:t>)</w:t>
      </w:r>
      <w:r w:rsidR="00ED7C40" w:rsidRPr="00100AAC">
        <w:rPr>
          <w:color w:val="000000"/>
        </w:rPr>
        <w:t xml:space="preserve"> framework</w:t>
      </w:r>
      <w:r w:rsidR="0038641D" w:rsidRPr="00100AAC">
        <w:rPr>
          <w:color w:val="000000"/>
        </w:rPr>
        <w:t xml:space="preserve"> </w:t>
      </w:r>
      <w:r w:rsidR="00ED7C40" w:rsidRPr="00100AAC">
        <w:rPr>
          <w:color w:val="000000"/>
        </w:rPr>
        <w:t>to interpret</w:t>
      </w:r>
      <w:r w:rsidR="0038641D" w:rsidRPr="00100AAC">
        <w:rPr>
          <w:color w:val="000000"/>
        </w:rPr>
        <w:t xml:space="preserve"> the experiences of</w:t>
      </w:r>
      <w:r w:rsidR="00DC2DBA" w:rsidRPr="00100AAC">
        <w:rPr>
          <w:color w:val="000000"/>
        </w:rPr>
        <w:t xml:space="preserve"> dodgeball coaches </w:t>
      </w:r>
      <w:r w:rsidR="0038641D" w:rsidRPr="00100AAC">
        <w:rPr>
          <w:color w:val="000000"/>
        </w:rPr>
        <w:t xml:space="preserve">may help contribute towards </w:t>
      </w:r>
      <w:r w:rsidR="00881AC7" w:rsidRPr="00100AAC">
        <w:rPr>
          <w:color w:val="000000"/>
        </w:rPr>
        <w:t>“</w:t>
      </w:r>
      <w:r w:rsidR="0038641D" w:rsidRPr="00100AAC">
        <w:rPr>
          <w:color w:val="000000"/>
        </w:rPr>
        <w:t xml:space="preserve">an evidence base concerning how technology is currently used in coach learning and the impact of its use, as well as developing guidelines about how it might be integrated to improve and </w:t>
      </w:r>
      <w:r w:rsidR="00881AC7" w:rsidRPr="00100AAC">
        <w:rPr>
          <w:color w:val="000000"/>
        </w:rPr>
        <w:t>‘</w:t>
      </w:r>
      <w:r w:rsidR="0038641D" w:rsidRPr="00100AAC">
        <w:rPr>
          <w:color w:val="000000"/>
        </w:rPr>
        <w:t>enhance</w:t>
      </w:r>
      <w:r w:rsidR="00881AC7" w:rsidRPr="00100AAC">
        <w:rPr>
          <w:color w:val="000000"/>
        </w:rPr>
        <w:t>’</w:t>
      </w:r>
      <w:r w:rsidR="0038641D" w:rsidRPr="00100AAC">
        <w:rPr>
          <w:color w:val="000000"/>
        </w:rPr>
        <w:t xml:space="preserve"> coach education and learning</w:t>
      </w:r>
      <w:r w:rsidR="00881AC7" w:rsidRPr="00100AAC">
        <w:rPr>
          <w:color w:val="000000"/>
        </w:rPr>
        <w:t>”</w:t>
      </w:r>
      <w:r w:rsidR="0038641D" w:rsidRPr="00100AAC">
        <w:rPr>
          <w:color w:val="000000"/>
        </w:rPr>
        <w:t xml:space="preserve"> (Cushion &amp; Townsend, 2019, p. </w:t>
      </w:r>
      <w:r w:rsidR="00DC2DBA" w:rsidRPr="00100AAC">
        <w:rPr>
          <w:color w:val="000000"/>
        </w:rPr>
        <w:t>632</w:t>
      </w:r>
      <w:r w:rsidR="0038641D" w:rsidRPr="00100AAC">
        <w:rPr>
          <w:color w:val="000000"/>
        </w:rPr>
        <w:t>)</w:t>
      </w:r>
      <w:r w:rsidR="00DC2DBA" w:rsidRPr="00100AAC">
        <w:rPr>
          <w:color w:val="000000"/>
        </w:rPr>
        <w:t xml:space="preserve">. </w:t>
      </w:r>
    </w:p>
    <w:p w14:paraId="258DE905" w14:textId="6AF7D542" w:rsidR="009D23C2" w:rsidRPr="00100AAC" w:rsidRDefault="00F016F2" w:rsidP="009D3BFB">
      <w:pPr>
        <w:pStyle w:val="paragraph"/>
        <w:spacing w:line="480" w:lineRule="auto"/>
        <w:jc w:val="center"/>
        <w:rPr>
          <w:color w:val="000000"/>
        </w:rPr>
      </w:pPr>
      <w:r w:rsidRPr="00100AAC">
        <w:rPr>
          <w:b/>
          <w:bCs/>
          <w:color w:val="000000"/>
        </w:rPr>
        <w:t>Dodgeball: A contentious sport?</w:t>
      </w:r>
    </w:p>
    <w:p w14:paraId="37CFD025" w14:textId="4ECBFE3E" w:rsidR="00AB76E7" w:rsidRPr="00100AAC" w:rsidRDefault="00AB76E7" w:rsidP="009D3BFB">
      <w:pPr>
        <w:pStyle w:val="paragraph"/>
        <w:spacing w:line="480" w:lineRule="auto"/>
        <w:ind w:firstLine="720"/>
        <w:jc w:val="both"/>
        <w:rPr>
          <w:color w:val="000000"/>
        </w:rPr>
      </w:pPr>
      <w:r w:rsidRPr="00100AAC">
        <w:rPr>
          <w:color w:val="000000"/>
        </w:rPr>
        <w:t>R</w:t>
      </w:r>
      <w:r w:rsidR="007E26AA" w:rsidRPr="00100AAC">
        <w:rPr>
          <w:color w:val="000000"/>
        </w:rPr>
        <w:t xml:space="preserve">esearch </w:t>
      </w:r>
      <w:r w:rsidRPr="00100AAC">
        <w:rPr>
          <w:color w:val="000000"/>
        </w:rPr>
        <w:t>exploring</w:t>
      </w:r>
      <w:r w:rsidR="007E26AA" w:rsidRPr="00100AAC">
        <w:rPr>
          <w:color w:val="000000"/>
        </w:rPr>
        <w:t xml:space="preserve"> dodgeball has </w:t>
      </w:r>
      <w:r w:rsidR="00E70D7B" w:rsidRPr="00100AAC">
        <w:rPr>
          <w:color w:val="000000"/>
        </w:rPr>
        <w:t>predominantly</w:t>
      </w:r>
      <w:r w:rsidR="007E26AA" w:rsidRPr="00100AAC">
        <w:rPr>
          <w:color w:val="000000"/>
        </w:rPr>
        <w:t xml:space="preserve"> </w:t>
      </w:r>
      <w:r w:rsidR="00E70D7B" w:rsidRPr="00100AAC">
        <w:rPr>
          <w:color w:val="000000"/>
        </w:rPr>
        <w:t>originated</w:t>
      </w:r>
      <w:r w:rsidR="007E26AA" w:rsidRPr="00100AAC">
        <w:rPr>
          <w:color w:val="000000"/>
        </w:rPr>
        <w:t xml:space="preserve"> from </w:t>
      </w:r>
      <w:r w:rsidR="00E70D7B" w:rsidRPr="00100AAC">
        <w:rPr>
          <w:color w:val="000000"/>
        </w:rPr>
        <w:t>North America</w:t>
      </w:r>
      <w:r w:rsidR="007E26AA" w:rsidRPr="00100AAC">
        <w:rPr>
          <w:color w:val="000000"/>
        </w:rPr>
        <w:t xml:space="preserve">, with debates surrounding </w:t>
      </w:r>
      <w:r w:rsidR="003D2624" w:rsidRPr="00100AAC">
        <w:rPr>
          <w:color w:val="000000"/>
        </w:rPr>
        <w:t>the sport’s</w:t>
      </w:r>
      <w:r w:rsidR="007E26AA" w:rsidRPr="00100AAC">
        <w:rPr>
          <w:color w:val="000000"/>
        </w:rPr>
        <w:t xml:space="preserve"> inclusion within physical education</w:t>
      </w:r>
      <w:r w:rsidR="000A061C" w:rsidRPr="00100AAC">
        <w:rPr>
          <w:color w:val="000000"/>
        </w:rPr>
        <w:t xml:space="preserve"> (PE)</w:t>
      </w:r>
      <w:r w:rsidR="007E26AA" w:rsidRPr="00100AAC">
        <w:rPr>
          <w:color w:val="000000"/>
        </w:rPr>
        <w:t xml:space="preserve">. </w:t>
      </w:r>
      <w:r w:rsidR="003D2624" w:rsidRPr="00100AAC">
        <w:rPr>
          <w:color w:val="000000"/>
        </w:rPr>
        <w:t>Arguments against dodgeball’s inclusion claim the sport promotes violence, is overly competitive, and possesses an increased risk of injury</w:t>
      </w:r>
      <w:r w:rsidR="00A0335A" w:rsidRPr="00100AAC">
        <w:rPr>
          <w:color w:val="000000"/>
        </w:rPr>
        <w:t>,</w:t>
      </w:r>
      <w:r w:rsidR="003D2624" w:rsidRPr="00100AAC">
        <w:rPr>
          <w:color w:val="000000"/>
        </w:rPr>
        <w:t xml:space="preserve"> with little rationale to support the use of human-targets (Manning et al., 2016). More critical accounts question what</w:t>
      </w:r>
      <w:r w:rsidR="00680C3D" w:rsidRPr="00100AAC">
        <w:rPr>
          <w:color w:val="000000"/>
        </w:rPr>
        <w:t xml:space="preserve"> </w:t>
      </w:r>
      <w:r w:rsidR="003D2624" w:rsidRPr="00100AAC">
        <w:rPr>
          <w:color w:val="000000"/>
        </w:rPr>
        <w:t xml:space="preserve">students learn from playing dodgeball, with it being suggested that participation “habituates the practice of aggression and fails to contribute positively to an ethical education” (Butler et al., 2021, p. 27). Despite these adversaries, </w:t>
      </w:r>
      <w:r w:rsidRPr="00100AAC">
        <w:rPr>
          <w:color w:val="000000"/>
        </w:rPr>
        <w:t xml:space="preserve">counterarguments highlight dodgeball’s potential to develop several fundamental physical and sport-specific skills </w:t>
      </w:r>
      <w:r w:rsidR="00A97F07" w:rsidRPr="00100AAC">
        <w:rPr>
          <w:color w:val="000000"/>
        </w:rPr>
        <w:t xml:space="preserve">such as </w:t>
      </w:r>
      <w:r w:rsidRPr="00100AAC">
        <w:rPr>
          <w:color w:val="000000"/>
        </w:rPr>
        <w:t xml:space="preserve">throwing, catching, </w:t>
      </w:r>
      <w:r w:rsidR="00680C3D" w:rsidRPr="00100AAC">
        <w:rPr>
          <w:color w:val="000000"/>
        </w:rPr>
        <w:t xml:space="preserve">and </w:t>
      </w:r>
      <w:r w:rsidRPr="00100AAC">
        <w:rPr>
          <w:color w:val="000000"/>
        </w:rPr>
        <w:t xml:space="preserve">balance, </w:t>
      </w:r>
      <w:r w:rsidR="005B5A34" w:rsidRPr="00100AAC">
        <w:rPr>
          <w:color w:val="000000"/>
        </w:rPr>
        <w:t xml:space="preserve">with </w:t>
      </w:r>
      <w:r w:rsidRPr="00100AAC">
        <w:rPr>
          <w:color w:val="000000"/>
        </w:rPr>
        <w:t xml:space="preserve">practices </w:t>
      </w:r>
      <w:r w:rsidR="005B5A34" w:rsidRPr="00100AAC">
        <w:rPr>
          <w:color w:val="000000"/>
        </w:rPr>
        <w:t xml:space="preserve">being </w:t>
      </w:r>
      <w:r w:rsidRPr="00100AAC">
        <w:rPr>
          <w:color w:val="000000"/>
        </w:rPr>
        <w:t xml:space="preserve">modified to </w:t>
      </w:r>
      <w:r w:rsidR="00A97F07" w:rsidRPr="00100AAC">
        <w:rPr>
          <w:color w:val="000000"/>
        </w:rPr>
        <w:t>increase inclusivity</w:t>
      </w:r>
      <w:r w:rsidRPr="00100AAC">
        <w:rPr>
          <w:color w:val="000000"/>
        </w:rPr>
        <w:t xml:space="preserve"> </w:t>
      </w:r>
      <w:r w:rsidR="00AE73EB" w:rsidRPr="00100AAC">
        <w:rPr>
          <w:color w:val="000000"/>
        </w:rPr>
        <w:t>and</w:t>
      </w:r>
      <w:r w:rsidRPr="00100AAC">
        <w:rPr>
          <w:color w:val="000000"/>
        </w:rPr>
        <w:t xml:space="preserve"> </w:t>
      </w:r>
      <w:r w:rsidR="00AE73EB" w:rsidRPr="00100AAC">
        <w:rPr>
          <w:color w:val="000000"/>
        </w:rPr>
        <w:t>participant enjoyment</w:t>
      </w:r>
      <w:r w:rsidRPr="00100AAC">
        <w:rPr>
          <w:color w:val="000000"/>
        </w:rPr>
        <w:t xml:space="preserve"> (Barney &amp; Prusak, 2021).</w:t>
      </w:r>
      <w:r w:rsidR="00A0335A" w:rsidRPr="00100AAC">
        <w:rPr>
          <w:color w:val="000000"/>
        </w:rPr>
        <w:t xml:space="preserve"> </w:t>
      </w:r>
      <w:r w:rsidR="009076FC" w:rsidRPr="00100AAC">
        <w:rPr>
          <w:color w:val="000000"/>
        </w:rPr>
        <w:t>I</w:t>
      </w:r>
      <w:r w:rsidRPr="00100AAC">
        <w:rPr>
          <w:color w:val="000000"/>
        </w:rPr>
        <w:t xml:space="preserve">n recent years </w:t>
      </w:r>
      <w:r w:rsidR="00AE73EB" w:rsidRPr="00100AAC">
        <w:rPr>
          <w:color w:val="000000"/>
        </w:rPr>
        <w:t>dodgeball</w:t>
      </w:r>
      <w:r w:rsidRPr="00100AAC">
        <w:rPr>
          <w:color w:val="000000"/>
        </w:rPr>
        <w:t xml:space="preserve"> has grown in stature and popularity within </w:t>
      </w:r>
      <w:r w:rsidR="00112921" w:rsidRPr="00100AAC">
        <w:rPr>
          <w:color w:val="000000"/>
        </w:rPr>
        <w:t xml:space="preserve">both school and community settings in </w:t>
      </w:r>
      <w:r w:rsidRPr="00100AAC">
        <w:rPr>
          <w:color w:val="000000"/>
        </w:rPr>
        <w:t xml:space="preserve">the United Kingdom (UK). </w:t>
      </w:r>
      <w:r w:rsidR="00A0335A" w:rsidRPr="00100AAC">
        <w:rPr>
          <w:color w:val="000000"/>
        </w:rPr>
        <w:t>R</w:t>
      </w:r>
      <w:r w:rsidRPr="00100AAC">
        <w:rPr>
          <w:color w:val="000000"/>
        </w:rPr>
        <w:t xml:space="preserve">ecent figures indicate that dodgeball is the second most participated team sport in schools and the fourth most participated </w:t>
      </w:r>
      <w:r w:rsidR="00112921" w:rsidRPr="00100AAC">
        <w:rPr>
          <w:color w:val="000000"/>
        </w:rPr>
        <w:t xml:space="preserve">community </w:t>
      </w:r>
      <w:r w:rsidRPr="00100AAC">
        <w:rPr>
          <w:color w:val="000000"/>
        </w:rPr>
        <w:t>team sport in the UK amongst young people aged 5-16 (British Dodgeball, 2019). In primary schools</w:t>
      </w:r>
      <w:r w:rsidR="00112921" w:rsidRPr="00100AAC">
        <w:rPr>
          <w:color w:val="000000"/>
        </w:rPr>
        <w:t xml:space="preserve"> (ages 5-11) specifically</w:t>
      </w:r>
      <w:r w:rsidRPr="00100AAC">
        <w:rPr>
          <w:color w:val="000000"/>
        </w:rPr>
        <w:t xml:space="preserve">, dodgeball is only second to </w:t>
      </w:r>
      <w:r w:rsidR="00A0335A" w:rsidRPr="00100AAC">
        <w:rPr>
          <w:color w:val="000000"/>
        </w:rPr>
        <w:t xml:space="preserve">association </w:t>
      </w:r>
      <w:r w:rsidRPr="00100AAC">
        <w:rPr>
          <w:color w:val="000000"/>
        </w:rPr>
        <w:t>football as the most in-demand sport desired by students (</w:t>
      </w:r>
      <w:r w:rsidR="001D1E9F" w:rsidRPr="00100AAC">
        <w:rPr>
          <w:color w:val="000000"/>
        </w:rPr>
        <w:t>British Dodgeball, 2019</w:t>
      </w:r>
      <w:r w:rsidRPr="00100AAC">
        <w:rPr>
          <w:color w:val="000000"/>
        </w:rPr>
        <w:t xml:space="preserve">), while there are currently over 100 adult and </w:t>
      </w:r>
      <w:r w:rsidRPr="00100AAC">
        <w:rPr>
          <w:color w:val="000000"/>
        </w:rPr>
        <w:lastRenderedPageBreak/>
        <w:t>junior community clubs, with roughly 5000 players participating in 230 sessions</w:t>
      </w:r>
      <w:r w:rsidR="00A0335A" w:rsidRPr="00100AAC">
        <w:rPr>
          <w:color w:val="000000"/>
        </w:rPr>
        <w:t xml:space="preserve"> weekly</w:t>
      </w:r>
      <w:r w:rsidRPr="00100AAC">
        <w:rPr>
          <w:color w:val="000000"/>
        </w:rPr>
        <w:t xml:space="preserve"> </w:t>
      </w:r>
      <w:r w:rsidR="00680C3D" w:rsidRPr="00100AAC">
        <w:rPr>
          <w:color w:val="000000"/>
        </w:rPr>
        <w:t>across the UK</w:t>
      </w:r>
      <w:r w:rsidRPr="00100AAC">
        <w:rPr>
          <w:color w:val="000000"/>
        </w:rPr>
        <w:t xml:space="preserve"> (British Dodgeball, 2022a).</w:t>
      </w:r>
      <w:r w:rsidR="00F91D34" w:rsidRPr="00100AAC">
        <w:rPr>
          <w:color w:val="000000"/>
        </w:rPr>
        <w:t xml:space="preserve"> </w:t>
      </w:r>
      <w:r w:rsidR="00A0335A" w:rsidRPr="00100AAC">
        <w:rPr>
          <w:color w:val="000000"/>
        </w:rPr>
        <w:t>Hence</w:t>
      </w:r>
      <w:r w:rsidR="00F91D34" w:rsidRPr="00100AAC">
        <w:rPr>
          <w:color w:val="000000"/>
        </w:rPr>
        <w:t>, to cope with dodgeball’s increased participation and popularity across the UK, there is a need to ensure coaches are appropriately educated</w:t>
      </w:r>
      <w:r w:rsidR="00680C3D" w:rsidRPr="00100AAC">
        <w:rPr>
          <w:color w:val="000000"/>
        </w:rPr>
        <w:t xml:space="preserve"> and supported.</w:t>
      </w:r>
      <w:r w:rsidR="00C934C2" w:rsidRPr="00100AAC">
        <w:rPr>
          <w:color w:val="000000"/>
        </w:rPr>
        <w:t xml:space="preserve"> Indeed, enhanced coach education and development opportunities for dodgeball coaches may also result in the delivery of more ethical</w:t>
      </w:r>
      <w:r w:rsidR="000454CC" w:rsidRPr="00100AAC">
        <w:rPr>
          <w:color w:val="000000"/>
        </w:rPr>
        <w:t xml:space="preserve"> </w:t>
      </w:r>
      <w:r w:rsidR="00C934C2" w:rsidRPr="00100AAC">
        <w:rPr>
          <w:color w:val="000000"/>
        </w:rPr>
        <w:t xml:space="preserve">and meaningful practices for participants. </w:t>
      </w:r>
    </w:p>
    <w:p w14:paraId="1E70B5FA" w14:textId="663817DF" w:rsidR="00AE73EB" w:rsidRPr="00100AAC" w:rsidRDefault="00C934C2" w:rsidP="00247723">
      <w:pPr>
        <w:pStyle w:val="paragraph"/>
        <w:spacing w:line="480" w:lineRule="auto"/>
        <w:ind w:firstLine="720"/>
        <w:jc w:val="both"/>
        <w:rPr>
          <w:color w:val="000000"/>
        </w:rPr>
      </w:pPr>
      <w:r w:rsidRPr="00100AAC">
        <w:rPr>
          <w:color w:val="000000"/>
        </w:rPr>
        <w:t>Despite this stance,</w:t>
      </w:r>
      <w:r w:rsidR="00F91D34" w:rsidRPr="00100AAC">
        <w:rPr>
          <w:color w:val="000000"/>
        </w:rPr>
        <w:t xml:space="preserve"> we know little about the experiences of </w:t>
      </w:r>
      <w:r w:rsidR="00AE73EB" w:rsidRPr="00100AAC">
        <w:rPr>
          <w:color w:val="000000"/>
        </w:rPr>
        <w:t xml:space="preserve">coaches charged with delivering inclusive </w:t>
      </w:r>
      <w:r w:rsidR="00F91D34" w:rsidRPr="00100AAC">
        <w:rPr>
          <w:color w:val="000000"/>
        </w:rPr>
        <w:t>dodgeball</w:t>
      </w:r>
      <w:r w:rsidR="00AE73EB" w:rsidRPr="00100AAC">
        <w:rPr>
          <w:color w:val="000000"/>
        </w:rPr>
        <w:t xml:space="preserve"> practices</w:t>
      </w:r>
      <w:r w:rsidR="00F016F2" w:rsidRPr="00100AAC">
        <w:rPr>
          <w:color w:val="000000"/>
        </w:rPr>
        <w:t xml:space="preserve">, especially in relation to their </w:t>
      </w:r>
      <w:r w:rsidR="00112921" w:rsidRPr="00100AAC">
        <w:rPr>
          <w:color w:val="000000"/>
        </w:rPr>
        <w:t>learning and development</w:t>
      </w:r>
      <w:r w:rsidR="00EB62CB" w:rsidRPr="00100AAC">
        <w:rPr>
          <w:color w:val="000000"/>
        </w:rPr>
        <w:t xml:space="preserve"> when compared to more traditional team sports (e.g., football, cricket)</w:t>
      </w:r>
      <w:r w:rsidR="00127B14" w:rsidRPr="00100AAC">
        <w:rPr>
          <w:color w:val="000000"/>
        </w:rPr>
        <w:t xml:space="preserve">. </w:t>
      </w:r>
      <w:r w:rsidR="00F016F2" w:rsidRPr="00100AAC">
        <w:rPr>
          <w:color w:val="000000"/>
        </w:rPr>
        <w:t xml:space="preserve">Founded on the belief that understanding coaches’ experiences of </w:t>
      </w:r>
      <w:r w:rsidR="00E43A6E" w:rsidRPr="00100AAC">
        <w:rPr>
          <w:color w:val="000000"/>
        </w:rPr>
        <w:t xml:space="preserve">innovative </w:t>
      </w:r>
      <w:r w:rsidR="00F016F2" w:rsidRPr="00100AAC">
        <w:rPr>
          <w:color w:val="000000"/>
        </w:rPr>
        <w:t>coach education initiatives</w:t>
      </w:r>
      <w:r w:rsidR="00E43A6E" w:rsidRPr="00100AAC">
        <w:rPr>
          <w:color w:val="000000"/>
        </w:rPr>
        <w:t xml:space="preserve"> (e.g., technology enhanced learning)</w:t>
      </w:r>
      <w:r w:rsidR="00F016F2" w:rsidRPr="00100AAC">
        <w:rPr>
          <w:color w:val="000000"/>
        </w:rPr>
        <w:t xml:space="preserve"> has the potential to enhance </w:t>
      </w:r>
      <w:r w:rsidR="00E43A6E" w:rsidRPr="00100AAC">
        <w:rPr>
          <w:color w:val="000000"/>
        </w:rPr>
        <w:t>the</w:t>
      </w:r>
      <w:r w:rsidR="00F016F2" w:rsidRPr="00100AAC">
        <w:rPr>
          <w:color w:val="000000"/>
        </w:rPr>
        <w:t xml:space="preserve"> provision</w:t>
      </w:r>
      <w:r w:rsidR="00E43A6E" w:rsidRPr="00100AAC">
        <w:rPr>
          <w:color w:val="000000"/>
        </w:rPr>
        <w:t xml:space="preserve"> of </w:t>
      </w:r>
      <w:r w:rsidR="00A0335A" w:rsidRPr="00100AAC">
        <w:rPr>
          <w:color w:val="000000"/>
        </w:rPr>
        <w:t>SGBs,</w:t>
      </w:r>
      <w:r w:rsidR="00F016F2" w:rsidRPr="00100AAC">
        <w:rPr>
          <w:color w:val="000000"/>
        </w:rPr>
        <w:t xml:space="preserve"> </w:t>
      </w:r>
      <w:bookmarkStart w:id="4" w:name="_Hlk109925368"/>
      <w:r w:rsidR="00A0335A" w:rsidRPr="00100AAC">
        <w:rPr>
          <w:color w:val="000000"/>
        </w:rPr>
        <w:t>u</w:t>
      </w:r>
      <w:r w:rsidR="00AE73EB" w:rsidRPr="00100AAC">
        <w:rPr>
          <w:color w:val="000000"/>
        </w:rPr>
        <w:t>nderstand</w:t>
      </w:r>
      <w:r w:rsidR="00A0335A" w:rsidRPr="00100AAC">
        <w:rPr>
          <w:color w:val="000000"/>
        </w:rPr>
        <w:t xml:space="preserve">ing </w:t>
      </w:r>
      <w:r w:rsidR="00AE73EB" w:rsidRPr="00100AAC">
        <w:rPr>
          <w:color w:val="000000"/>
        </w:rPr>
        <w:t>the impact of an online Level 1 coach education award on dodgeball coaches’ learning and practice</w:t>
      </w:r>
      <w:r w:rsidR="00A0335A" w:rsidRPr="00100AAC">
        <w:rPr>
          <w:color w:val="000000"/>
        </w:rPr>
        <w:t xml:space="preserve"> would seem to be a worthwhile endeavour. </w:t>
      </w:r>
    </w:p>
    <w:bookmarkEnd w:id="4"/>
    <w:p w14:paraId="04DBB591" w14:textId="4CE72D7B" w:rsidR="009D23C2" w:rsidRPr="00100AAC" w:rsidRDefault="009D23C2" w:rsidP="009D3BFB">
      <w:pPr>
        <w:pStyle w:val="paragraph"/>
        <w:jc w:val="center"/>
        <w:rPr>
          <w:b/>
          <w:bCs/>
          <w:color w:val="000000"/>
        </w:rPr>
      </w:pPr>
      <w:r w:rsidRPr="00100AAC">
        <w:rPr>
          <w:b/>
          <w:bCs/>
          <w:color w:val="000000"/>
        </w:rPr>
        <w:t>Method</w:t>
      </w:r>
      <w:r w:rsidR="00C60C77" w:rsidRPr="00100AAC">
        <w:rPr>
          <w:b/>
          <w:bCs/>
          <w:color w:val="000000"/>
        </w:rPr>
        <w:t>ology</w:t>
      </w:r>
    </w:p>
    <w:p w14:paraId="5BC8B7DA" w14:textId="6A471E90" w:rsidR="00C60C77" w:rsidRPr="00100AAC" w:rsidRDefault="00C60C77" w:rsidP="00BF0E58">
      <w:pPr>
        <w:pStyle w:val="paragraph"/>
        <w:jc w:val="both"/>
        <w:rPr>
          <w:b/>
          <w:bCs/>
          <w:color w:val="000000"/>
        </w:rPr>
      </w:pPr>
      <w:r w:rsidRPr="00100AAC">
        <w:rPr>
          <w:b/>
          <w:bCs/>
          <w:color w:val="000000"/>
        </w:rPr>
        <w:t xml:space="preserve">Context: </w:t>
      </w:r>
      <w:r w:rsidR="00A0335A" w:rsidRPr="00100AAC">
        <w:rPr>
          <w:b/>
          <w:bCs/>
          <w:color w:val="000000"/>
        </w:rPr>
        <w:t>The</w:t>
      </w:r>
      <w:r w:rsidRPr="00100AAC">
        <w:rPr>
          <w:b/>
          <w:bCs/>
          <w:color w:val="000000"/>
        </w:rPr>
        <w:t xml:space="preserve"> </w:t>
      </w:r>
      <w:r w:rsidR="005B5A34" w:rsidRPr="00100AAC">
        <w:rPr>
          <w:b/>
          <w:bCs/>
          <w:color w:val="000000"/>
        </w:rPr>
        <w:t>L</w:t>
      </w:r>
      <w:r w:rsidR="0015094B" w:rsidRPr="00100AAC">
        <w:rPr>
          <w:b/>
          <w:bCs/>
          <w:color w:val="000000"/>
        </w:rPr>
        <w:t xml:space="preserve">evel </w:t>
      </w:r>
      <w:r w:rsidRPr="00100AAC">
        <w:rPr>
          <w:b/>
          <w:bCs/>
          <w:color w:val="000000"/>
        </w:rPr>
        <w:t>1</w:t>
      </w:r>
      <w:r w:rsidR="0015094B" w:rsidRPr="00100AAC">
        <w:rPr>
          <w:b/>
          <w:bCs/>
          <w:color w:val="000000"/>
        </w:rPr>
        <w:t xml:space="preserve"> </w:t>
      </w:r>
      <w:r w:rsidR="00E43A6E" w:rsidRPr="00100AAC">
        <w:rPr>
          <w:b/>
          <w:bCs/>
          <w:color w:val="000000"/>
        </w:rPr>
        <w:t>a</w:t>
      </w:r>
      <w:r w:rsidR="0015094B" w:rsidRPr="00100AAC">
        <w:rPr>
          <w:b/>
          <w:bCs/>
          <w:color w:val="000000"/>
        </w:rPr>
        <w:t>ward</w:t>
      </w:r>
      <w:r w:rsidRPr="00100AAC">
        <w:rPr>
          <w:b/>
          <w:bCs/>
          <w:color w:val="000000"/>
        </w:rPr>
        <w:t xml:space="preserve"> in </w:t>
      </w:r>
      <w:r w:rsidR="00E43A6E" w:rsidRPr="00100AAC">
        <w:rPr>
          <w:b/>
          <w:bCs/>
          <w:color w:val="000000"/>
        </w:rPr>
        <w:t>c</w:t>
      </w:r>
      <w:r w:rsidRPr="00100AAC">
        <w:rPr>
          <w:b/>
          <w:bCs/>
          <w:color w:val="000000"/>
        </w:rPr>
        <w:t xml:space="preserve">oaching </w:t>
      </w:r>
      <w:r w:rsidR="00E43A6E" w:rsidRPr="00100AAC">
        <w:rPr>
          <w:b/>
          <w:bCs/>
          <w:color w:val="000000"/>
        </w:rPr>
        <w:t>d</w:t>
      </w:r>
      <w:r w:rsidRPr="00100AAC">
        <w:rPr>
          <w:b/>
          <w:bCs/>
          <w:color w:val="000000"/>
        </w:rPr>
        <w:t>odgeball</w:t>
      </w:r>
    </w:p>
    <w:p w14:paraId="7AA95D85" w14:textId="6BCD6E9D" w:rsidR="00A06DA4" w:rsidRPr="00100AAC" w:rsidRDefault="003435A9" w:rsidP="009D3BFB">
      <w:pPr>
        <w:pStyle w:val="paragraph"/>
        <w:spacing w:line="480" w:lineRule="auto"/>
        <w:ind w:firstLine="720"/>
        <w:jc w:val="both"/>
        <w:rPr>
          <w:color w:val="000000"/>
        </w:rPr>
      </w:pPr>
      <w:r w:rsidRPr="00100AAC">
        <w:rPr>
          <w:color w:val="000000"/>
        </w:rPr>
        <w:t>In 20</w:t>
      </w:r>
      <w:r w:rsidR="001850FC" w:rsidRPr="00100AAC">
        <w:rPr>
          <w:color w:val="000000"/>
        </w:rPr>
        <w:t xml:space="preserve">20, British Dodgeball re-vamped </w:t>
      </w:r>
      <w:r w:rsidR="00A97F07" w:rsidRPr="00100AAC">
        <w:rPr>
          <w:color w:val="000000"/>
        </w:rPr>
        <w:t>its</w:t>
      </w:r>
      <w:r w:rsidR="001850FC" w:rsidRPr="00100AAC">
        <w:rPr>
          <w:color w:val="000000"/>
        </w:rPr>
        <w:t xml:space="preserve"> coach education provision to offer a range of online and face-to-face courses to meet the needs of </w:t>
      </w:r>
      <w:r w:rsidR="00A06DA4" w:rsidRPr="00100AAC">
        <w:rPr>
          <w:color w:val="000000"/>
        </w:rPr>
        <w:t xml:space="preserve">all </w:t>
      </w:r>
      <w:r w:rsidR="001850FC" w:rsidRPr="00100AAC">
        <w:rPr>
          <w:color w:val="000000"/>
        </w:rPr>
        <w:t xml:space="preserve">learners. British Dodgeball’s coach education pathway begins with several introductory </w:t>
      </w:r>
      <w:r w:rsidR="000A061C" w:rsidRPr="00100AAC">
        <w:rPr>
          <w:color w:val="000000"/>
        </w:rPr>
        <w:t xml:space="preserve">courses </w:t>
      </w:r>
      <w:r w:rsidR="001850FC" w:rsidRPr="00100AAC">
        <w:rPr>
          <w:color w:val="000000"/>
        </w:rPr>
        <w:t xml:space="preserve">aimed at young leaders and introducing people to the sport, before progressing </w:t>
      </w:r>
      <w:r w:rsidR="00451212" w:rsidRPr="00100AAC">
        <w:rPr>
          <w:color w:val="000000"/>
        </w:rPr>
        <w:t>on to Level 1, 2, and 3 awards in coaching dodgeball</w:t>
      </w:r>
      <w:r w:rsidR="009076FC" w:rsidRPr="00100AAC">
        <w:rPr>
          <w:color w:val="000000"/>
        </w:rPr>
        <w:t>,</w:t>
      </w:r>
      <w:r w:rsidR="00751B12" w:rsidRPr="00100AAC">
        <w:rPr>
          <w:color w:val="000000"/>
        </w:rPr>
        <w:t xml:space="preserve"> which target </w:t>
      </w:r>
      <w:r w:rsidR="000A061C" w:rsidRPr="00100AAC">
        <w:rPr>
          <w:color w:val="000000"/>
        </w:rPr>
        <w:t>PE</w:t>
      </w:r>
      <w:r w:rsidR="00751B12" w:rsidRPr="00100AAC">
        <w:rPr>
          <w:color w:val="000000"/>
        </w:rPr>
        <w:t xml:space="preserve"> teachers and community/club sport coaches</w:t>
      </w:r>
      <w:r w:rsidR="00EA0E9A" w:rsidRPr="00100AAC">
        <w:rPr>
          <w:color w:val="000000"/>
        </w:rPr>
        <w:t xml:space="preserve"> w</w:t>
      </w:r>
      <w:r w:rsidR="0015094B" w:rsidRPr="00100AAC">
        <w:rPr>
          <w:color w:val="000000"/>
        </w:rPr>
        <w:t>ho require</w:t>
      </w:r>
      <w:r w:rsidR="00EA0E9A" w:rsidRPr="00100AAC">
        <w:rPr>
          <w:color w:val="000000"/>
        </w:rPr>
        <w:t xml:space="preserve"> an increased amount of technical and tactical knowledge</w:t>
      </w:r>
      <w:r w:rsidR="00451212" w:rsidRPr="00100AAC">
        <w:rPr>
          <w:color w:val="000000"/>
        </w:rPr>
        <w:t xml:space="preserve"> (British Dodgeball, 2022b).</w:t>
      </w:r>
      <w:r w:rsidR="00A06DA4" w:rsidRPr="00100AAC">
        <w:rPr>
          <w:color w:val="000000"/>
        </w:rPr>
        <w:t xml:space="preserve"> </w:t>
      </w:r>
      <w:r w:rsidR="00EA0E9A" w:rsidRPr="00100AAC">
        <w:rPr>
          <w:color w:val="000000"/>
        </w:rPr>
        <w:t>The first of these coaching awards, the L</w:t>
      </w:r>
      <w:r w:rsidR="0015094B" w:rsidRPr="00100AAC">
        <w:rPr>
          <w:color w:val="000000"/>
        </w:rPr>
        <w:t xml:space="preserve">evel </w:t>
      </w:r>
      <w:r w:rsidR="00EA0E9A" w:rsidRPr="00100AAC">
        <w:rPr>
          <w:color w:val="000000"/>
        </w:rPr>
        <w:t>1</w:t>
      </w:r>
      <w:r w:rsidR="0015094B" w:rsidRPr="00100AAC">
        <w:rPr>
          <w:color w:val="000000"/>
        </w:rPr>
        <w:t xml:space="preserve"> </w:t>
      </w:r>
      <w:r w:rsidR="00EA0E9A" w:rsidRPr="00100AAC">
        <w:rPr>
          <w:color w:val="000000"/>
        </w:rPr>
        <w:t>A</w:t>
      </w:r>
      <w:r w:rsidR="0015094B" w:rsidRPr="00100AAC">
        <w:rPr>
          <w:color w:val="000000"/>
        </w:rPr>
        <w:t>ward (L1A)</w:t>
      </w:r>
      <w:r w:rsidR="00EA0E9A" w:rsidRPr="00100AAC">
        <w:rPr>
          <w:color w:val="000000"/>
        </w:rPr>
        <w:t xml:space="preserve">, is </w:t>
      </w:r>
      <w:r w:rsidR="00C60C77" w:rsidRPr="00100AAC">
        <w:rPr>
          <w:color w:val="000000"/>
        </w:rPr>
        <w:t>an online course</w:t>
      </w:r>
      <w:r w:rsidR="009076FC" w:rsidRPr="00100AAC">
        <w:rPr>
          <w:color w:val="000000"/>
        </w:rPr>
        <w:t>,</w:t>
      </w:r>
      <w:r w:rsidR="00C60C77" w:rsidRPr="00100AAC">
        <w:rPr>
          <w:color w:val="000000"/>
        </w:rPr>
        <w:t xml:space="preserve"> which </w:t>
      </w:r>
      <w:r w:rsidR="00EA0E9A" w:rsidRPr="00100AAC">
        <w:rPr>
          <w:color w:val="000000"/>
        </w:rPr>
        <w:t xml:space="preserve">aims to </w:t>
      </w:r>
      <w:r w:rsidR="00C60C77" w:rsidRPr="00100AAC">
        <w:rPr>
          <w:color w:val="000000"/>
        </w:rPr>
        <w:t xml:space="preserve">provide learners with </w:t>
      </w:r>
      <w:r w:rsidR="00EA0E9A" w:rsidRPr="00100AAC">
        <w:rPr>
          <w:color w:val="000000"/>
        </w:rPr>
        <w:t>the core</w:t>
      </w:r>
      <w:r w:rsidR="00C60C77" w:rsidRPr="00100AAC">
        <w:rPr>
          <w:color w:val="000000"/>
        </w:rPr>
        <w:t xml:space="preserve"> knowledge </w:t>
      </w:r>
      <w:r w:rsidR="00EA0E9A" w:rsidRPr="00100AAC">
        <w:rPr>
          <w:color w:val="000000"/>
        </w:rPr>
        <w:t xml:space="preserve">needed </w:t>
      </w:r>
      <w:r w:rsidR="00C60C77" w:rsidRPr="00100AAC">
        <w:rPr>
          <w:color w:val="000000"/>
        </w:rPr>
        <w:t xml:space="preserve">to </w:t>
      </w:r>
      <w:r w:rsidR="00EA0E9A" w:rsidRPr="00100AAC">
        <w:rPr>
          <w:color w:val="000000"/>
        </w:rPr>
        <w:t>deliver</w:t>
      </w:r>
      <w:r w:rsidR="00C60C77" w:rsidRPr="00100AAC">
        <w:rPr>
          <w:color w:val="000000"/>
        </w:rPr>
        <w:t xml:space="preserve"> </w:t>
      </w:r>
      <w:r w:rsidR="00A06DA4" w:rsidRPr="00100AAC">
        <w:rPr>
          <w:color w:val="000000"/>
        </w:rPr>
        <w:t xml:space="preserve">safe </w:t>
      </w:r>
      <w:r w:rsidR="00C60C77" w:rsidRPr="00100AAC">
        <w:rPr>
          <w:color w:val="000000"/>
        </w:rPr>
        <w:t xml:space="preserve">dodgeball </w:t>
      </w:r>
      <w:r w:rsidR="00EA0E9A" w:rsidRPr="00100AAC">
        <w:rPr>
          <w:color w:val="000000"/>
        </w:rPr>
        <w:t>coaching sessions</w:t>
      </w:r>
      <w:r w:rsidR="00C60C77" w:rsidRPr="00100AAC">
        <w:rPr>
          <w:color w:val="000000"/>
        </w:rPr>
        <w:t xml:space="preserve"> </w:t>
      </w:r>
      <w:r w:rsidR="0015094B" w:rsidRPr="00100AAC">
        <w:rPr>
          <w:color w:val="000000"/>
        </w:rPr>
        <w:t xml:space="preserve">across </w:t>
      </w:r>
      <w:r w:rsidR="0015094B" w:rsidRPr="00100AAC">
        <w:rPr>
          <w:color w:val="000000"/>
        </w:rPr>
        <w:lastRenderedPageBreak/>
        <w:t>various</w:t>
      </w:r>
      <w:r w:rsidR="00C60C77" w:rsidRPr="00100AAC">
        <w:rPr>
          <w:color w:val="000000"/>
        </w:rPr>
        <w:t xml:space="preserve"> settings</w:t>
      </w:r>
      <w:r w:rsidR="00EA0E9A" w:rsidRPr="00100AAC">
        <w:rPr>
          <w:color w:val="000000"/>
        </w:rPr>
        <w:t xml:space="preserve">, with content covering the </w:t>
      </w:r>
      <w:r w:rsidR="00C60C77" w:rsidRPr="00100AAC">
        <w:rPr>
          <w:color w:val="000000"/>
        </w:rPr>
        <w:t>rules</w:t>
      </w:r>
      <w:r w:rsidR="00EA0E9A" w:rsidRPr="00100AAC">
        <w:rPr>
          <w:color w:val="000000"/>
        </w:rPr>
        <w:t xml:space="preserve"> and </w:t>
      </w:r>
      <w:r w:rsidR="00C60C77" w:rsidRPr="00100AAC">
        <w:rPr>
          <w:color w:val="000000"/>
        </w:rPr>
        <w:t xml:space="preserve">equipment, </w:t>
      </w:r>
      <w:r w:rsidR="00EA0E9A" w:rsidRPr="00100AAC">
        <w:rPr>
          <w:color w:val="000000"/>
        </w:rPr>
        <w:t>in addition to sport-specific techniques and</w:t>
      </w:r>
      <w:r w:rsidR="00C60C77" w:rsidRPr="00100AAC">
        <w:rPr>
          <w:color w:val="000000"/>
        </w:rPr>
        <w:t xml:space="preserve"> </w:t>
      </w:r>
      <w:r w:rsidR="00EA0E9A" w:rsidRPr="00100AAC">
        <w:rPr>
          <w:color w:val="000000"/>
        </w:rPr>
        <w:t>coaching styles</w:t>
      </w:r>
      <w:r w:rsidR="00C60C77" w:rsidRPr="00100AAC">
        <w:rPr>
          <w:color w:val="000000"/>
        </w:rPr>
        <w:t xml:space="preserve"> (British Dodgeball, 2022</w:t>
      </w:r>
      <w:r w:rsidR="00751B12" w:rsidRPr="00100AAC">
        <w:rPr>
          <w:color w:val="000000"/>
        </w:rPr>
        <w:t>c</w:t>
      </w:r>
      <w:r w:rsidR="00C60C77" w:rsidRPr="00100AAC">
        <w:rPr>
          <w:color w:val="000000"/>
        </w:rPr>
        <w:t>)</w:t>
      </w:r>
      <w:r w:rsidR="00EA0E9A" w:rsidRPr="00100AAC">
        <w:rPr>
          <w:color w:val="000000"/>
        </w:rPr>
        <w:t xml:space="preserve">. </w:t>
      </w:r>
    </w:p>
    <w:p w14:paraId="2E2FBF99" w14:textId="5D20CDD2" w:rsidR="00D30B0B" w:rsidRPr="00100AAC" w:rsidRDefault="00EA0E9A" w:rsidP="00A06DA4">
      <w:pPr>
        <w:pStyle w:val="paragraph"/>
        <w:spacing w:line="480" w:lineRule="auto"/>
        <w:ind w:firstLine="720"/>
        <w:jc w:val="both"/>
        <w:rPr>
          <w:color w:val="000000"/>
        </w:rPr>
      </w:pPr>
      <w:r w:rsidRPr="00100AAC">
        <w:rPr>
          <w:color w:val="000000"/>
        </w:rPr>
        <w:t xml:space="preserve">The L1A contains a series of content sections </w:t>
      </w:r>
      <w:r w:rsidR="00C60C77" w:rsidRPr="00100AAC">
        <w:rPr>
          <w:color w:val="000000"/>
        </w:rPr>
        <w:t>which incorporate asynchronous</w:t>
      </w:r>
      <w:r w:rsidRPr="00100AAC">
        <w:rPr>
          <w:color w:val="000000"/>
        </w:rPr>
        <w:t xml:space="preserve"> and automated</w:t>
      </w:r>
      <w:r w:rsidR="00C60C77" w:rsidRPr="00100AAC">
        <w:rPr>
          <w:color w:val="000000"/>
        </w:rPr>
        <w:t xml:space="preserve"> passages of text</w:t>
      </w:r>
      <w:r w:rsidR="0015094B" w:rsidRPr="00100AAC">
        <w:rPr>
          <w:color w:val="000000"/>
        </w:rPr>
        <w:t xml:space="preserve"> and</w:t>
      </w:r>
      <w:r w:rsidR="00C60C77" w:rsidRPr="00100AAC">
        <w:rPr>
          <w:color w:val="000000"/>
        </w:rPr>
        <w:t xml:space="preserve"> images,</w:t>
      </w:r>
      <w:r w:rsidRPr="00100AAC">
        <w:rPr>
          <w:color w:val="000000"/>
        </w:rPr>
        <w:t xml:space="preserve"> with </w:t>
      </w:r>
      <w:r w:rsidR="00C60C77" w:rsidRPr="00100AAC">
        <w:rPr>
          <w:color w:val="000000"/>
        </w:rPr>
        <w:t xml:space="preserve">interactive elements </w:t>
      </w:r>
      <w:r w:rsidRPr="00100AAC">
        <w:rPr>
          <w:color w:val="000000"/>
        </w:rPr>
        <w:t xml:space="preserve">such as </w:t>
      </w:r>
      <w:r w:rsidR="00C60C77" w:rsidRPr="00100AAC">
        <w:rPr>
          <w:color w:val="000000"/>
        </w:rPr>
        <w:t>video</w:t>
      </w:r>
      <w:r w:rsidRPr="00100AAC">
        <w:rPr>
          <w:color w:val="000000"/>
        </w:rPr>
        <w:t>s and multiple-choice quizzes to</w:t>
      </w:r>
      <w:r w:rsidR="00C60C77" w:rsidRPr="00100AAC">
        <w:rPr>
          <w:color w:val="000000"/>
        </w:rPr>
        <w:t xml:space="preserve"> </w:t>
      </w:r>
      <w:r w:rsidR="0015094B" w:rsidRPr="00100AAC">
        <w:rPr>
          <w:color w:val="000000"/>
        </w:rPr>
        <w:t xml:space="preserve">assess </w:t>
      </w:r>
      <w:r w:rsidR="00D30B0B" w:rsidRPr="00100AAC">
        <w:rPr>
          <w:color w:val="000000"/>
        </w:rPr>
        <w:t>learners’ understanding</w:t>
      </w:r>
      <w:r w:rsidR="00C60C77" w:rsidRPr="00100AAC">
        <w:rPr>
          <w:color w:val="000000"/>
        </w:rPr>
        <w:t xml:space="preserve"> of the content and ability to apply knowledge</w:t>
      </w:r>
      <w:r w:rsidR="00AF12ED" w:rsidRPr="00100AAC">
        <w:rPr>
          <w:color w:val="000000"/>
        </w:rPr>
        <w:t>, while enabling self-paced reflecti</w:t>
      </w:r>
      <w:r w:rsidR="000454CC" w:rsidRPr="00100AAC">
        <w:rPr>
          <w:color w:val="000000"/>
        </w:rPr>
        <w:t>ve opportunities</w:t>
      </w:r>
      <w:r w:rsidR="00C60C77" w:rsidRPr="00100AAC">
        <w:rPr>
          <w:color w:val="000000"/>
        </w:rPr>
        <w:t xml:space="preserve">. </w:t>
      </w:r>
      <w:bookmarkStart w:id="5" w:name="_Hlk109126729"/>
      <w:r w:rsidR="00D30B0B" w:rsidRPr="00100AAC">
        <w:rPr>
          <w:color w:val="000000"/>
        </w:rPr>
        <w:t xml:space="preserve">The multiple-choice quizzes can be considered </w:t>
      </w:r>
      <w:r w:rsidR="0015094B" w:rsidRPr="00100AAC">
        <w:rPr>
          <w:color w:val="000000"/>
        </w:rPr>
        <w:t xml:space="preserve">a form of </w:t>
      </w:r>
      <w:r w:rsidR="00D30B0B" w:rsidRPr="00100AAC">
        <w:rPr>
          <w:color w:val="000000"/>
        </w:rPr>
        <w:t xml:space="preserve">on-going assessment, as learners cannot progress to the next content section </w:t>
      </w:r>
      <w:r w:rsidR="00A06DA4" w:rsidRPr="00100AAC">
        <w:rPr>
          <w:color w:val="000000"/>
        </w:rPr>
        <w:t>without achieving</w:t>
      </w:r>
      <w:r w:rsidR="00D30B0B" w:rsidRPr="00100AAC">
        <w:rPr>
          <w:color w:val="000000"/>
        </w:rPr>
        <w:t xml:space="preserve"> a minimum of 60%. However, a written summative assessment is also required, where learners must produce</w:t>
      </w:r>
      <w:r w:rsidR="000454CC" w:rsidRPr="00100AAC">
        <w:rPr>
          <w:color w:val="000000"/>
        </w:rPr>
        <w:t xml:space="preserve"> and upload</w:t>
      </w:r>
      <w:r w:rsidR="00D30B0B" w:rsidRPr="00100AAC">
        <w:rPr>
          <w:color w:val="000000"/>
        </w:rPr>
        <w:t xml:space="preserve"> a dodgeball coaching session plan which demonstrates their understanding of the course content and assessment criteria (see Table 1). This is marked by a tutor and can be failed, </w:t>
      </w:r>
      <w:r w:rsidR="00840156" w:rsidRPr="00100AAC">
        <w:rPr>
          <w:color w:val="000000"/>
        </w:rPr>
        <w:t>with</w:t>
      </w:r>
      <w:r w:rsidR="00D30B0B" w:rsidRPr="00100AAC">
        <w:rPr>
          <w:color w:val="000000"/>
        </w:rPr>
        <w:t xml:space="preserve"> retake </w:t>
      </w:r>
      <w:r w:rsidR="00840156" w:rsidRPr="00100AAC">
        <w:rPr>
          <w:color w:val="000000"/>
        </w:rPr>
        <w:t>opportunities</w:t>
      </w:r>
      <w:r w:rsidR="00D30B0B" w:rsidRPr="00100AAC">
        <w:rPr>
          <w:color w:val="000000"/>
        </w:rPr>
        <w:t xml:space="preserve"> available</w:t>
      </w:r>
      <w:r w:rsidR="00F933E3" w:rsidRPr="00100AAC">
        <w:rPr>
          <w:color w:val="000000"/>
        </w:rPr>
        <w:t xml:space="preserve"> following tutor feedback</w:t>
      </w:r>
      <w:r w:rsidR="00D30B0B" w:rsidRPr="00100AAC">
        <w:rPr>
          <w:color w:val="000000"/>
        </w:rPr>
        <w:t xml:space="preserve">. </w:t>
      </w:r>
      <w:bookmarkEnd w:id="5"/>
      <w:r w:rsidR="009076FC" w:rsidRPr="00100AAC">
        <w:rPr>
          <w:color w:val="000000"/>
        </w:rPr>
        <w:t>Although</w:t>
      </w:r>
      <w:r w:rsidR="00D30B0B" w:rsidRPr="00100AAC">
        <w:rPr>
          <w:color w:val="000000"/>
        </w:rPr>
        <w:t xml:space="preserve"> the focus of this research is the online L1A, it </w:t>
      </w:r>
      <w:r w:rsidR="00840156" w:rsidRPr="00100AAC">
        <w:rPr>
          <w:color w:val="000000"/>
        </w:rPr>
        <w:t>should be acknowledged that</w:t>
      </w:r>
      <w:r w:rsidR="00D30B0B" w:rsidRPr="00100AAC">
        <w:rPr>
          <w:color w:val="000000"/>
        </w:rPr>
        <w:t xml:space="preserve"> there is a</w:t>
      </w:r>
      <w:r w:rsidR="000454CC" w:rsidRPr="00100AAC">
        <w:rPr>
          <w:color w:val="000000"/>
        </w:rPr>
        <w:t>lso a</w:t>
      </w:r>
      <w:r w:rsidR="00D30B0B" w:rsidRPr="00100AAC">
        <w:rPr>
          <w:color w:val="000000"/>
        </w:rPr>
        <w:t xml:space="preserve"> face-to-face</w:t>
      </w:r>
      <w:r w:rsidR="00840156" w:rsidRPr="00100AAC">
        <w:rPr>
          <w:color w:val="000000"/>
        </w:rPr>
        <w:t xml:space="preserve"> </w:t>
      </w:r>
      <w:r w:rsidR="00D30B0B" w:rsidRPr="00100AAC">
        <w:rPr>
          <w:color w:val="000000"/>
        </w:rPr>
        <w:t xml:space="preserve">version </w:t>
      </w:r>
      <w:r w:rsidR="000454CC" w:rsidRPr="00100AAC">
        <w:rPr>
          <w:color w:val="000000"/>
        </w:rPr>
        <w:t xml:space="preserve">of the L1A </w:t>
      </w:r>
      <w:r w:rsidR="00840156" w:rsidRPr="00100AAC">
        <w:rPr>
          <w:color w:val="000000"/>
        </w:rPr>
        <w:t>available</w:t>
      </w:r>
      <w:r w:rsidR="00D30B0B" w:rsidRPr="00100AAC">
        <w:rPr>
          <w:color w:val="000000"/>
        </w:rPr>
        <w:t xml:space="preserve">. </w:t>
      </w:r>
      <w:r w:rsidR="00226E36" w:rsidRPr="00100AAC">
        <w:rPr>
          <w:color w:val="000000"/>
        </w:rPr>
        <w:t>T</w:t>
      </w:r>
      <w:r w:rsidR="00D30B0B" w:rsidRPr="00100AAC">
        <w:rPr>
          <w:color w:val="000000"/>
        </w:rPr>
        <w:t xml:space="preserve">he taught content </w:t>
      </w:r>
      <w:r w:rsidR="00226E36" w:rsidRPr="00100AAC">
        <w:rPr>
          <w:color w:val="000000"/>
        </w:rPr>
        <w:t>remains</w:t>
      </w:r>
      <w:r w:rsidR="00D30B0B" w:rsidRPr="00100AAC">
        <w:rPr>
          <w:color w:val="000000"/>
        </w:rPr>
        <w:t xml:space="preserve"> the same,</w:t>
      </w:r>
      <w:r w:rsidR="00226E36" w:rsidRPr="00100AAC">
        <w:rPr>
          <w:color w:val="000000"/>
        </w:rPr>
        <w:t xml:space="preserve"> however,</w:t>
      </w:r>
      <w:r w:rsidR="00D30B0B" w:rsidRPr="00100AAC">
        <w:rPr>
          <w:color w:val="000000"/>
        </w:rPr>
        <w:t xml:space="preserve"> </w:t>
      </w:r>
      <w:r w:rsidR="00A06DA4" w:rsidRPr="00100AAC">
        <w:rPr>
          <w:color w:val="000000"/>
        </w:rPr>
        <w:t>this</w:t>
      </w:r>
      <w:r w:rsidR="00D30B0B" w:rsidRPr="00100AAC">
        <w:rPr>
          <w:color w:val="000000"/>
        </w:rPr>
        <w:t xml:space="preserve"> version includes practical coaching delivery as the summative assessment. </w:t>
      </w:r>
    </w:p>
    <w:p w14:paraId="100EDD61" w14:textId="28A1F164" w:rsidR="0041786E" w:rsidRPr="00100AAC" w:rsidRDefault="0041786E" w:rsidP="0041786E">
      <w:pPr>
        <w:pStyle w:val="paragraph"/>
        <w:jc w:val="center"/>
        <w:rPr>
          <w:b/>
          <w:bCs/>
          <w:color w:val="000000"/>
        </w:rPr>
      </w:pPr>
      <w:bookmarkStart w:id="6" w:name="_Hlk109906878"/>
      <w:r w:rsidRPr="00100AAC">
        <w:rPr>
          <w:b/>
          <w:bCs/>
          <w:color w:val="000000"/>
        </w:rPr>
        <w:t>***INSERT TABLE 1 HERE***</w:t>
      </w:r>
    </w:p>
    <w:bookmarkEnd w:id="6"/>
    <w:p w14:paraId="607C993F" w14:textId="7986023B" w:rsidR="006910F8" w:rsidRPr="00100AAC" w:rsidRDefault="00196FCF" w:rsidP="007C7E00">
      <w:pPr>
        <w:pStyle w:val="paragraph"/>
        <w:spacing w:after="0" w:afterAutospacing="0" w:line="480" w:lineRule="auto"/>
        <w:ind w:firstLine="720"/>
        <w:jc w:val="both"/>
        <w:rPr>
          <w:color w:val="000000"/>
        </w:rPr>
      </w:pPr>
      <w:r w:rsidRPr="00100AAC">
        <w:rPr>
          <w:color w:val="000000"/>
        </w:rPr>
        <w:t xml:space="preserve">Despite </w:t>
      </w:r>
      <w:r w:rsidR="00D30B0B" w:rsidRPr="00100AAC">
        <w:rPr>
          <w:color w:val="000000"/>
        </w:rPr>
        <w:t xml:space="preserve">no time limit, </w:t>
      </w:r>
      <w:r w:rsidR="00355E95" w:rsidRPr="00100AAC">
        <w:rPr>
          <w:color w:val="000000"/>
        </w:rPr>
        <w:t xml:space="preserve">British Dodgeball indicate that </w:t>
      </w:r>
      <w:r w:rsidR="00D30B0B" w:rsidRPr="00100AAC">
        <w:rPr>
          <w:color w:val="000000"/>
        </w:rPr>
        <w:t xml:space="preserve">the </w:t>
      </w:r>
      <w:r w:rsidR="006910F8" w:rsidRPr="00100AAC">
        <w:rPr>
          <w:color w:val="000000"/>
        </w:rPr>
        <w:t xml:space="preserve">online </w:t>
      </w:r>
      <w:r w:rsidR="00D30B0B" w:rsidRPr="00100AAC">
        <w:rPr>
          <w:color w:val="000000"/>
        </w:rPr>
        <w:t>L1A should take roughly 4 hours to complete</w:t>
      </w:r>
      <w:r w:rsidR="00355E95" w:rsidRPr="00100AAC">
        <w:rPr>
          <w:color w:val="000000"/>
        </w:rPr>
        <w:t>,</w:t>
      </w:r>
      <w:r w:rsidR="00D30B0B" w:rsidRPr="00100AAC">
        <w:rPr>
          <w:color w:val="000000"/>
        </w:rPr>
        <w:t xml:space="preserve"> </w:t>
      </w:r>
      <w:r w:rsidR="006910F8" w:rsidRPr="00100AAC">
        <w:rPr>
          <w:color w:val="000000"/>
        </w:rPr>
        <w:t>including</w:t>
      </w:r>
      <w:r w:rsidR="00355E95" w:rsidRPr="00100AAC">
        <w:rPr>
          <w:color w:val="000000"/>
        </w:rPr>
        <w:t xml:space="preserve"> </w:t>
      </w:r>
      <w:r w:rsidR="006910F8" w:rsidRPr="00100AAC">
        <w:rPr>
          <w:color w:val="000000"/>
        </w:rPr>
        <w:t xml:space="preserve">the assessment. </w:t>
      </w:r>
      <w:r w:rsidR="002A2476" w:rsidRPr="00100AAC">
        <w:rPr>
          <w:color w:val="000000"/>
        </w:rPr>
        <w:t>D</w:t>
      </w:r>
      <w:r w:rsidR="00355E95" w:rsidRPr="00100AAC">
        <w:rPr>
          <w:color w:val="000000"/>
        </w:rPr>
        <w:t xml:space="preserve">ue to the </w:t>
      </w:r>
      <w:r w:rsidR="002A2476" w:rsidRPr="00100AAC">
        <w:rPr>
          <w:color w:val="000000"/>
        </w:rPr>
        <w:t xml:space="preserve">design </w:t>
      </w:r>
      <w:r w:rsidR="00355E95" w:rsidRPr="00100AAC">
        <w:rPr>
          <w:color w:val="000000"/>
        </w:rPr>
        <w:t xml:space="preserve">and structure of the course, </w:t>
      </w:r>
      <w:r w:rsidR="00D30B0B" w:rsidRPr="00100AAC">
        <w:rPr>
          <w:color w:val="000000"/>
        </w:rPr>
        <w:t>the L1A can be considered an example of self-paced online learning</w:t>
      </w:r>
      <w:r w:rsidR="006910F8" w:rsidRPr="00100AAC">
        <w:rPr>
          <w:color w:val="000000"/>
        </w:rPr>
        <w:t xml:space="preserve">, where </w:t>
      </w:r>
      <w:r w:rsidR="00355E95" w:rsidRPr="00100AAC">
        <w:rPr>
          <w:color w:val="000000"/>
        </w:rPr>
        <w:t>some</w:t>
      </w:r>
      <w:r w:rsidR="006910F8" w:rsidRPr="00100AAC">
        <w:rPr>
          <w:color w:val="000000"/>
        </w:rPr>
        <w:t xml:space="preserve"> interaction </w:t>
      </w:r>
      <w:r w:rsidR="00355E95" w:rsidRPr="00100AAC">
        <w:rPr>
          <w:color w:val="000000"/>
        </w:rPr>
        <w:t xml:space="preserve">exists </w:t>
      </w:r>
      <w:r w:rsidR="006910F8" w:rsidRPr="00100AAC">
        <w:rPr>
          <w:color w:val="000000"/>
        </w:rPr>
        <w:t>between</w:t>
      </w:r>
      <w:r w:rsidR="00E438C8" w:rsidRPr="00100AAC">
        <w:rPr>
          <w:color w:val="000000"/>
        </w:rPr>
        <w:t xml:space="preserve"> the</w:t>
      </w:r>
      <w:r w:rsidR="006910F8" w:rsidRPr="00100AAC">
        <w:rPr>
          <w:color w:val="000000"/>
        </w:rPr>
        <w:t xml:space="preserve"> learner, learning activities, and a tutor (Driska &amp; Nalepa, 2020). </w:t>
      </w:r>
      <w:r w:rsidR="007C7E00" w:rsidRPr="00100AAC">
        <w:rPr>
          <w:color w:val="000000"/>
        </w:rPr>
        <w:t>Nevertheless</w:t>
      </w:r>
      <w:r w:rsidR="006910F8" w:rsidRPr="00100AAC">
        <w:rPr>
          <w:color w:val="000000"/>
        </w:rPr>
        <w:t>, the term online training might be more appropriate for the L1A</w:t>
      </w:r>
      <w:r w:rsidR="00355E95" w:rsidRPr="00100AAC">
        <w:rPr>
          <w:color w:val="000000"/>
        </w:rPr>
        <w:t>,</w:t>
      </w:r>
      <w:r w:rsidR="006910F8" w:rsidRPr="00100AAC">
        <w:rPr>
          <w:color w:val="000000"/>
        </w:rPr>
        <w:t xml:space="preserve"> as “interaction with an instructor might be zero or minimal, relying on automated tasks and assessments” (Driska &amp; Nalepa, 2020, p. 167).</w:t>
      </w:r>
      <w:r w:rsidR="00355E95" w:rsidRPr="00100AAC">
        <w:rPr>
          <w:color w:val="000000"/>
        </w:rPr>
        <w:t xml:space="preserve"> Automated/asynchronous tasks and assessments such as readings, lecture-type videos, and multiple-choice quizzes are reflective of eXtended massive </w:t>
      </w:r>
      <w:r w:rsidR="00355E95" w:rsidRPr="00100AAC">
        <w:rPr>
          <w:color w:val="000000"/>
        </w:rPr>
        <w:lastRenderedPageBreak/>
        <w:t>open online courses (MOOCs), grounded in a behaviourist pedagogical approach</w:t>
      </w:r>
      <w:r w:rsidR="004652F4" w:rsidRPr="00100AAC">
        <w:rPr>
          <w:color w:val="000000"/>
        </w:rPr>
        <w:t xml:space="preserve"> which emphasises individual learning</w:t>
      </w:r>
      <w:r w:rsidR="00355E95" w:rsidRPr="00100AAC">
        <w:rPr>
          <w:color w:val="000000"/>
        </w:rPr>
        <w:t xml:space="preserve"> (Conole, 2016; Griffiths et al., 202</w:t>
      </w:r>
      <w:r w:rsidR="00357F89" w:rsidRPr="00100AAC">
        <w:rPr>
          <w:color w:val="000000"/>
        </w:rPr>
        <w:t>2</w:t>
      </w:r>
      <w:r w:rsidR="00355E95" w:rsidRPr="00100AAC">
        <w:rPr>
          <w:color w:val="000000"/>
        </w:rPr>
        <w:t xml:space="preserve">). </w:t>
      </w:r>
      <w:r w:rsidR="00E438C8" w:rsidRPr="00100AAC">
        <w:rPr>
          <w:color w:val="000000"/>
        </w:rPr>
        <w:t xml:space="preserve">These </w:t>
      </w:r>
      <w:r w:rsidR="00355E95" w:rsidRPr="00100AAC">
        <w:rPr>
          <w:color w:val="000000"/>
        </w:rPr>
        <w:t xml:space="preserve">learning activities </w:t>
      </w:r>
      <w:r w:rsidR="002A2476" w:rsidRPr="00100AAC">
        <w:rPr>
          <w:color w:val="000000"/>
        </w:rPr>
        <w:t xml:space="preserve">which </w:t>
      </w:r>
      <w:r w:rsidR="00355E95" w:rsidRPr="00100AAC">
        <w:rPr>
          <w:color w:val="000000"/>
        </w:rPr>
        <w:t>characterise eXtended MOOCs</w:t>
      </w:r>
      <w:r w:rsidR="003410A2" w:rsidRPr="00100AAC">
        <w:rPr>
          <w:color w:val="000000"/>
        </w:rPr>
        <w:t xml:space="preserve"> (e.g., mass-user online educational platforms, such as courses and other digital resources)</w:t>
      </w:r>
      <w:r w:rsidR="002A2476" w:rsidRPr="00100AAC">
        <w:rPr>
          <w:color w:val="000000"/>
        </w:rPr>
        <w:t xml:space="preserve"> </w:t>
      </w:r>
      <w:r w:rsidR="00355E95" w:rsidRPr="00100AAC">
        <w:rPr>
          <w:color w:val="000000"/>
        </w:rPr>
        <w:t>result in active</w:t>
      </w:r>
      <w:r w:rsidR="006C00DC" w:rsidRPr="00100AAC">
        <w:rPr>
          <w:color w:val="000000"/>
        </w:rPr>
        <w:t xml:space="preserve"> rather than social</w:t>
      </w:r>
      <w:r w:rsidR="00355E95" w:rsidRPr="00100AAC">
        <w:rPr>
          <w:color w:val="000000"/>
        </w:rPr>
        <w:t xml:space="preserve"> learning use</w:t>
      </w:r>
      <w:r w:rsidR="006C00DC" w:rsidRPr="00100AAC">
        <w:rPr>
          <w:color w:val="000000"/>
        </w:rPr>
        <w:t>r</w:t>
      </w:r>
      <w:r w:rsidR="00355E95" w:rsidRPr="00100AAC">
        <w:rPr>
          <w:color w:val="000000"/>
        </w:rPr>
        <w:t>s (Griffiths et al., 202</w:t>
      </w:r>
      <w:r w:rsidR="00357F89" w:rsidRPr="00100AAC">
        <w:rPr>
          <w:color w:val="000000"/>
        </w:rPr>
        <w:t>2</w:t>
      </w:r>
      <w:r w:rsidR="00355E95" w:rsidRPr="00100AAC">
        <w:rPr>
          <w:color w:val="000000"/>
        </w:rPr>
        <w:t xml:space="preserve">), where learners engage in individual reflection, due to an inability to interact with </w:t>
      </w:r>
      <w:r w:rsidR="00E438C8" w:rsidRPr="00100AAC">
        <w:rPr>
          <w:color w:val="000000"/>
        </w:rPr>
        <w:t>others</w:t>
      </w:r>
      <w:r w:rsidR="00355E95" w:rsidRPr="00100AAC">
        <w:rPr>
          <w:color w:val="000000"/>
        </w:rPr>
        <w:t xml:space="preserve">. </w:t>
      </w:r>
      <w:r w:rsidR="00E438C8" w:rsidRPr="00100AAC">
        <w:rPr>
          <w:color w:val="000000"/>
        </w:rPr>
        <w:t>S</w:t>
      </w:r>
      <w:r w:rsidR="00355E95" w:rsidRPr="00100AAC">
        <w:rPr>
          <w:color w:val="000000"/>
        </w:rPr>
        <w:t xml:space="preserve">elf-paced online learning </w:t>
      </w:r>
      <w:r w:rsidR="006C00DC" w:rsidRPr="00100AAC">
        <w:rPr>
          <w:color w:val="000000"/>
        </w:rPr>
        <w:t>is</w:t>
      </w:r>
      <w:r w:rsidR="00355E95" w:rsidRPr="00100AAC">
        <w:rPr>
          <w:color w:val="000000"/>
        </w:rPr>
        <w:t xml:space="preserve"> praised for </w:t>
      </w:r>
      <w:r w:rsidR="00E438C8" w:rsidRPr="00100AAC">
        <w:rPr>
          <w:color w:val="000000"/>
        </w:rPr>
        <w:t>its</w:t>
      </w:r>
      <w:r w:rsidR="006C00DC" w:rsidRPr="00100AAC">
        <w:rPr>
          <w:color w:val="000000"/>
        </w:rPr>
        <w:t xml:space="preserve"> </w:t>
      </w:r>
      <w:r w:rsidR="00355E95" w:rsidRPr="00100AAC">
        <w:rPr>
          <w:color w:val="000000"/>
        </w:rPr>
        <w:t>extensive reach, low cost</w:t>
      </w:r>
      <w:r w:rsidR="006C00DC" w:rsidRPr="00100AAC">
        <w:rPr>
          <w:color w:val="000000"/>
        </w:rPr>
        <w:t>s</w:t>
      </w:r>
      <w:r w:rsidR="00355E95" w:rsidRPr="00100AAC">
        <w:rPr>
          <w:color w:val="000000"/>
        </w:rPr>
        <w:t xml:space="preserve">, and reduced burden </w:t>
      </w:r>
      <w:r w:rsidR="006C00DC" w:rsidRPr="00100AAC">
        <w:rPr>
          <w:color w:val="000000"/>
        </w:rPr>
        <w:t>on</w:t>
      </w:r>
      <w:r w:rsidR="00355E95" w:rsidRPr="00100AAC">
        <w:rPr>
          <w:color w:val="000000"/>
        </w:rPr>
        <w:t xml:space="preserve"> coaches (Driska &amp; Nalepa, 2020</w:t>
      </w:r>
      <w:r w:rsidR="00B6561A" w:rsidRPr="00100AAC">
        <w:rPr>
          <w:color w:val="000000"/>
        </w:rPr>
        <w:t>)</w:t>
      </w:r>
      <w:r w:rsidR="004652F4" w:rsidRPr="00100AAC">
        <w:rPr>
          <w:color w:val="000000"/>
        </w:rPr>
        <w:t>.</w:t>
      </w:r>
      <w:r w:rsidR="00355E95" w:rsidRPr="00100AAC">
        <w:rPr>
          <w:color w:val="000000"/>
        </w:rPr>
        <w:t xml:space="preserve"> </w:t>
      </w:r>
      <w:r w:rsidR="007C7E00" w:rsidRPr="00100AAC">
        <w:rPr>
          <w:color w:val="000000"/>
        </w:rPr>
        <w:t>Nonetheless</w:t>
      </w:r>
      <w:r w:rsidR="00E438C8" w:rsidRPr="00100AAC">
        <w:rPr>
          <w:color w:val="000000"/>
        </w:rPr>
        <w:t xml:space="preserve">, </w:t>
      </w:r>
      <w:r w:rsidR="006910F8" w:rsidRPr="00100AAC">
        <w:rPr>
          <w:color w:val="000000"/>
        </w:rPr>
        <w:t xml:space="preserve">it has been questioned whether </w:t>
      </w:r>
      <w:r w:rsidR="00E438C8" w:rsidRPr="00100AAC">
        <w:rPr>
          <w:color w:val="000000"/>
        </w:rPr>
        <w:t>this format</w:t>
      </w:r>
      <w:r w:rsidR="006910F8" w:rsidRPr="00100AAC">
        <w:rPr>
          <w:color w:val="000000"/>
        </w:rPr>
        <w:t xml:space="preserve"> can provide authentic learning </w:t>
      </w:r>
      <w:r w:rsidR="002A2476" w:rsidRPr="00100AAC">
        <w:rPr>
          <w:color w:val="000000"/>
        </w:rPr>
        <w:t>opportunities</w:t>
      </w:r>
      <w:r w:rsidR="006910F8" w:rsidRPr="00100AAC">
        <w:rPr>
          <w:color w:val="000000"/>
        </w:rPr>
        <w:t xml:space="preserve"> </w:t>
      </w:r>
      <w:r w:rsidR="000454CC" w:rsidRPr="00100AAC">
        <w:rPr>
          <w:color w:val="000000"/>
        </w:rPr>
        <w:t>which impacts upon</w:t>
      </w:r>
      <w:r w:rsidR="007C7E00" w:rsidRPr="00100AAC">
        <w:rPr>
          <w:color w:val="000000"/>
        </w:rPr>
        <w:t xml:space="preserve"> coaching</w:t>
      </w:r>
      <w:r w:rsidR="000454CC" w:rsidRPr="00100AAC">
        <w:rPr>
          <w:color w:val="000000"/>
        </w:rPr>
        <w:t xml:space="preserve"> practice </w:t>
      </w:r>
      <w:r w:rsidR="006910F8" w:rsidRPr="00100AAC">
        <w:rPr>
          <w:color w:val="000000"/>
        </w:rPr>
        <w:t>(</w:t>
      </w:r>
      <w:proofErr w:type="spellStart"/>
      <w:r w:rsidR="006910F8" w:rsidRPr="00100AAC">
        <w:rPr>
          <w:color w:val="000000"/>
        </w:rPr>
        <w:t>Crudgington</w:t>
      </w:r>
      <w:proofErr w:type="spellEnd"/>
      <w:r w:rsidR="006910F8" w:rsidRPr="00100AAC">
        <w:rPr>
          <w:color w:val="000000"/>
        </w:rPr>
        <w:t>, 2020</w:t>
      </w:r>
      <w:r w:rsidR="00A15192" w:rsidRPr="00100AAC">
        <w:rPr>
          <w:color w:val="000000"/>
        </w:rPr>
        <w:t>; Griffiths et al., 202</w:t>
      </w:r>
      <w:r w:rsidR="00357F89" w:rsidRPr="00100AAC">
        <w:rPr>
          <w:color w:val="000000"/>
        </w:rPr>
        <w:t>2</w:t>
      </w:r>
      <w:r w:rsidR="006910F8" w:rsidRPr="00100AAC">
        <w:rPr>
          <w:color w:val="000000"/>
        </w:rPr>
        <w:t xml:space="preserve">). </w:t>
      </w:r>
      <w:r w:rsidR="005B5A34" w:rsidRPr="00100AAC">
        <w:rPr>
          <w:color w:val="000000"/>
        </w:rPr>
        <w:t xml:space="preserve">Although </w:t>
      </w:r>
      <w:r w:rsidR="00E438C8" w:rsidRPr="00100AAC">
        <w:rPr>
          <w:color w:val="000000"/>
        </w:rPr>
        <w:t xml:space="preserve">Moon (2001) does not offer </w:t>
      </w:r>
      <w:r w:rsidR="000454CC" w:rsidRPr="00100AAC">
        <w:rPr>
          <w:color w:val="000000"/>
        </w:rPr>
        <w:t>a precise</w:t>
      </w:r>
      <w:r w:rsidR="00E438C8" w:rsidRPr="00100AAC">
        <w:rPr>
          <w:color w:val="000000"/>
        </w:rPr>
        <w:t xml:space="preserve"> definition, the online L1A can be considered a short course</w:t>
      </w:r>
      <w:r w:rsidR="008B0989" w:rsidRPr="00100AAC">
        <w:rPr>
          <w:color w:val="000000"/>
        </w:rPr>
        <w:t xml:space="preserve"> </w:t>
      </w:r>
      <w:r w:rsidR="00E438C8" w:rsidRPr="00100AAC">
        <w:rPr>
          <w:color w:val="000000"/>
        </w:rPr>
        <w:t xml:space="preserve">due to </w:t>
      </w:r>
      <w:r w:rsidR="002A2476" w:rsidRPr="00100AAC">
        <w:rPr>
          <w:color w:val="000000"/>
        </w:rPr>
        <w:t>its</w:t>
      </w:r>
      <w:r w:rsidR="008547CB" w:rsidRPr="00100AAC">
        <w:rPr>
          <w:color w:val="000000"/>
        </w:rPr>
        <w:t xml:space="preserve"> duration, c</w:t>
      </w:r>
      <w:r w:rsidR="00E438C8" w:rsidRPr="00100AAC">
        <w:rPr>
          <w:color w:val="000000"/>
        </w:rPr>
        <w:t>oncentrated subject matter</w:t>
      </w:r>
      <w:r w:rsidR="008547CB" w:rsidRPr="00100AAC">
        <w:rPr>
          <w:color w:val="000000"/>
        </w:rPr>
        <w:t xml:space="preserve">, tutor(s) and learners not knowing each other, cost effectiveness, and the inclusion of </w:t>
      </w:r>
      <w:r w:rsidR="002A2476" w:rsidRPr="00100AAC">
        <w:rPr>
          <w:color w:val="000000"/>
        </w:rPr>
        <w:t xml:space="preserve">multiple </w:t>
      </w:r>
      <w:r w:rsidR="008547CB" w:rsidRPr="00100AAC">
        <w:rPr>
          <w:color w:val="000000"/>
        </w:rPr>
        <w:t xml:space="preserve">learning activities. </w:t>
      </w:r>
    </w:p>
    <w:p w14:paraId="3F724706" w14:textId="18FD225C" w:rsidR="00992B06" w:rsidRPr="00100AAC" w:rsidRDefault="00E43A6E" w:rsidP="00E43A6E">
      <w:pPr>
        <w:pStyle w:val="paragraph"/>
        <w:spacing w:line="480" w:lineRule="auto"/>
        <w:rPr>
          <w:b/>
          <w:bCs/>
          <w:color w:val="000000"/>
        </w:rPr>
      </w:pPr>
      <w:r w:rsidRPr="00100AAC">
        <w:rPr>
          <w:b/>
          <w:bCs/>
          <w:color w:val="000000"/>
        </w:rPr>
        <w:t>Research design</w:t>
      </w:r>
      <w:r w:rsidR="00992B06" w:rsidRPr="00100AAC">
        <w:rPr>
          <w:b/>
          <w:bCs/>
          <w:color w:val="000000"/>
        </w:rPr>
        <w:t xml:space="preserve"> and data collection</w:t>
      </w:r>
    </w:p>
    <w:p w14:paraId="6456063F" w14:textId="20507ABB" w:rsidR="00557E85" w:rsidRPr="00100AAC" w:rsidRDefault="00992B06" w:rsidP="009D3BFB">
      <w:pPr>
        <w:pStyle w:val="paragraph"/>
        <w:spacing w:line="480" w:lineRule="auto"/>
        <w:ind w:firstLine="720"/>
        <w:jc w:val="both"/>
        <w:rPr>
          <w:color w:val="000000"/>
        </w:rPr>
      </w:pPr>
      <w:r w:rsidRPr="00100AAC">
        <w:rPr>
          <w:color w:val="000000"/>
        </w:rPr>
        <w:t xml:space="preserve">Situated within the interpretivist paradigm, a relativist ontology was adopted which assumes reality is socially constructed and multifaceted, alongside a subjectivist epistemology, </w:t>
      </w:r>
      <w:r w:rsidR="000F67FB" w:rsidRPr="00100AAC">
        <w:rPr>
          <w:color w:val="000000"/>
        </w:rPr>
        <w:t>which emphasises how knowledge is co-constructed</w:t>
      </w:r>
      <w:r w:rsidR="00C8786D" w:rsidRPr="00100AAC">
        <w:rPr>
          <w:color w:val="000000"/>
        </w:rPr>
        <w:t xml:space="preserve"> and represents a non-foundational approach</w:t>
      </w:r>
      <w:r w:rsidRPr="00100AAC">
        <w:rPr>
          <w:color w:val="000000"/>
        </w:rPr>
        <w:t xml:space="preserve"> (Sparkes &amp; Smith, 2014). </w:t>
      </w:r>
      <w:r w:rsidR="00557E85" w:rsidRPr="00100AAC">
        <w:rPr>
          <w:color w:val="000000"/>
        </w:rPr>
        <w:t>B</w:t>
      </w:r>
      <w:r w:rsidRPr="00100AAC">
        <w:rPr>
          <w:color w:val="000000"/>
        </w:rPr>
        <w:t xml:space="preserve">ased upon these </w:t>
      </w:r>
      <w:r w:rsidR="00557E85" w:rsidRPr="00100AAC">
        <w:rPr>
          <w:color w:val="000000"/>
        </w:rPr>
        <w:t>paradigmatic assumptions</w:t>
      </w:r>
      <w:r w:rsidRPr="00100AAC">
        <w:rPr>
          <w:color w:val="000000"/>
        </w:rPr>
        <w:t xml:space="preserve">, a </w:t>
      </w:r>
      <w:r w:rsidR="00557E85" w:rsidRPr="00100AAC">
        <w:rPr>
          <w:color w:val="000000"/>
        </w:rPr>
        <w:t>qualitative research</w:t>
      </w:r>
      <w:r w:rsidRPr="00100AAC">
        <w:rPr>
          <w:color w:val="000000"/>
        </w:rPr>
        <w:t xml:space="preserve"> approach was </w:t>
      </w:r>
      <w:r w:rsidR="00557E85" w:rsidRPr="00100AAC">
        <w:rPr>
          <w:color w:val="000000"/>
        </w:rPr>
        <w:t xml:space="preserve">used to uncover </w:t>
      </w:r>
      <w:r w:rsidR="007A0280" w:rsidRPr="00100AAC">
        <w:rPr>
          <w:color w:val="000000"/>
        </w:rPr>
        <w:t>coaches’</w:t>
      </w:r>
      <w:r w:rsidR="00557E85" w:rsidRPr="00100AAC">
        <w:rPr>
          <w:color w:val="000000"/>
        </w:rPr>
        <w:t xml:space="preserve"> perspectives, </w:t>
      </w:r>
      <w:r w:rsidR="007A0280" w:rsidRPr="00100AAC">
        <w:rPr>
          <w:color w:val="000000"/>
        </w:rPr>
        <w:t>experiences</w:t>
      </w:r>
      <w:r w:rsidR="00557E85" w:rsidRPr="00100AAC">
        <w:rPr>
          <w:color w:val="000000"/>
        </w:rPr>
        <w:t xml:space="preserve">, and understanding, in relation to an issue (Creswell, 2013). </w:t>
      </w:r>
    </w:p>
    <w:p w14:paraId="518CD664" w14:textId="7575646C" w:rsidR="00B61836" w:rsidRPr="00100AAC" w:rsidRDefault="00F139E7" w:rsidP="00B61836">
      <w:pPr>
        <w:pStyle w:val="paragraph"/>
        <w:spacing w:line="480" w:lineRule="auto"/>
        <w:ind w:firstLine="720"/>
        <w:jc w:val="both"/>
        <w:rPr>
          <w:color w:val="000000"/>
        </w:rPr>
      </w:pPr>
      <w:r w:rsidRPr="00100AAC">
        <w:rPr>
          <w:color w:val="000000"/>
        </w:rPr>
        <w:t xml:space="preserve">Akin to Nelson et al. (2013), we </w:t>
      </w:r>
      <w:r w:rsidR="000C4209" w:rsidRPr="00100AAC">
        <w:rPr>
          <w:color w:val="000000"/>
        </w:rPr>
        <w:t>believed</w:t>
      </w:r>
      <w:r w:rsidRPr="00100AAC">
        <w:rPr>
          <w:color w:val="000000"/>
        </w:rPr>
        <w:t xml:space="preserve"> that a combination of </w:t>
      </w:r>
      <w:r w:rsidR="009303B2" w:rsidRPr="00100AAC">
        <w:rPr>
          <w:color w:val="000000"/>
        </w:rPr>
        <w:t xml:space="preserve">research </w:t>
      </w:r>
      <w:r w:rsidRPr="00100AAC">
        <w:rPr>
          <w:color w:val="000000"/>
        </w:rPr>
        <w:t xml:space="preserve">methods </w:t>
      </w:r>
      <w:r w:rsidR="00E1716D" w:rsidRPr="00100AAC">
        <w:rPr>
          <w:color w:val="000000"/>
        </w:rPr>
        <w:t xml:space="preserve">in the form of a qualitative online survey and virtual semi-structured interviews </w:t>
      </w:r>
      <w:r w:rsidR="000C4209" w:rsidRPr="00100AAC">
        <w:rPr>
          <w:color w:val="000000"/>
        </w:rPr>
        <w:t xml:space="preserve">would offer </w:t>
      </w:r>
      <w:r w:rsidRPr="00100AAC">
        <w:rPr>
          <w:color w:val="000000"/>
        </w:rPr>
        <w:t>greater brea</w:t>
      </w:r>
      <w:r w:rsidR="000C4209" w:rsidRPr="00100AAC">
        <w:rPr>
          <w:color w:val="000000"/>
        </w:rPr>
        <w:t>d</w:t>
      </w:r>
      <w:r w:rsidRPr="00100AAC">
        <w:rPr>
          <w:color w:val="000000"/>
        </w:rPr>
        <w:t>th and depth of data</w:t>
      </w:r>
      <w:r w:rsidR="000C4209" w:rsidRPr="00100AAC">
        <w:rPr>
          <w:color w:val="000000"/>
        </w:rPr>
        <w:t xml:space="preserve"> when exploring coaches’ experiences of the L1A and its</w:t>
      </w:r>
      <w:r w:rsidR="009303B2" w:rsidRPr="00100AAC">
        <w:rPr>
          <w:color w:val="000000"/>
        </w:rPr>
        <w:t xml:space="preserve"> perceived</w:t>
      </w:r>
      <w:r w:rsidR="000C4209" w:rsidRPr="00100AAC">
        <w:rPr>
          <w:color w:val="000000"/>
        </w:rPr>
        <w:t xml:space="preserve"> impact on </w:t>
      </w:r>
      <w:r w:rsidR="009303B2" w:rsidRPr="00100AAC">
        <w:rPr>
          <w:color w:val="000000"/>
        </w:rPr>
        <w:t xml:space="preserve">their </w:t>
      </w:r>
      <w:r w:rsidR="000C4209" w:rsidRPr="00100AAC">
        <w:rPr>
          <w:color w:val="000000"/>
        </w:rPr>
        <w:t>learning</w:t>
      </w:r>
      <w:r w:rsidR="004E3765" w:rsidRPr="00100AAC">
        <w:rPr>
          <w:color w:val="000000"/>
        </w:rPr>
        <w:t xml:space="preserve"> and practice</w:t>
      </w:r>
      <w:r w:rsidR="000C4209" w:rsidRPr="00100AAC">
        <w:rPr>
          <w:color w:val="000000"/>
        </w:rPr>
        <w:t>.</w:t>
      </w:r>
      <w:r w:rsidR="00D76944" w:rsidRPr="00100AAC">
        <w:rPr>
          <w:color w:val="000000"/>
        </w:rPr>
        <w:t xml:space="preserve"> During the first phase of data collection, a qualitative online survey was utilised to gather “nuanced, in-depth and sometimes new understandings of </w:t>
      </w:r>
      <w:r w:rsidR="00D76944" w:rsidRPr="00100AAC">
        <w:rPr>
          <w:color w:val="000000"/>
        </w:rPr>
        <w:lastRenderedPageBreak/>
        <w:t xml:space="preserve">social issues” (Braun et al., 2021 p. </w:t>
      </w:r>
      <w:r w:rsidR="006B706D" w:rsidRPr="00100AAC">
        <w:rPr>
          <w:color w:val="000000"/>
        </w:rPr>
        <w:t>64</w:t>
      </w:r>
      <w:r w:rsidR="00D76944" w:rsidRPr="00100AAC">
        <w:rPr>
          <w:color w:val="000000"/>
        </w:rPr>
        <w:t xml:space="preserve">1). </w:t>
      </w:r>
      <w:r w:rsidR="007402E6" w:rsidRPr="00100AAC">
        <w:rPr>
          <w:color w:val="000000"/>
        </w:rPr>
        <w:t>Alongside</w:t>
      </w:r>
      <w:r w:rsidR="00D76944" w:rsidRPr="00100AAC">
        <w:rPr>
          <w:color w:val="000000"/>
        </w:rPr>
        <w:t xml:space="preserve"> possessing various logistical advantages, qualitative online surveys provide a wide-angle lens to explore</w:t>
      </w:r>
      <w:r w:rsidR="004020B2" w:rsidRPr="00100AAC">
        <w:rPr>
          <w:color w:val="000000"/>
        </w:rPr>
        <w:t xml:space="preserve"> </w:t>
      </w:r>
      <w:r w:rsidR="00D76944" w:rsidRPr="00100AAC">
        <w:rPr>
          <w:color w:val="000000"/>
        </w:rPr>
        <w:t xml:space="preserve">broad and </w:t>
      </w:r>
      <w:r w:rsidR="004020B2" w:rsidRPr="00100AAC">
        <w:rPr>
          <w:color w:val="000000"/>
        </w:rPr>
        <w:t>niche</w:t>
      </w:r>
      <w:r w:rsidR="00D76944" w:rsidRPr="00100AAC">
        <w:rPr>
          <w:color w:val="000000"/>
        </w:rPr>
        <w:t xml:space="preserve"> topic areas, capturing a diverse range of participant experiences, perceptions, and practices (Braun et al., 2021). The qualitative online survey was developed using Google Forms and </w:t>
      </w:r>
      <w:r w:rsidR="004020B2" w:rsidRPr="00100AAC">
        <w:rPr>
          <w:color w:val="000000"/>
        </w:rPr>
        <w:t xml:space="preserve">was </w:t>
      </w:r>
      <w:r w:rsidR="00D76944" w:rsidRPr="00100AAC">
        <w:rPr>
          <w:color w:val="000000"/>
        </w:rPr>
        <w:t xml:space="preserve">structured via five sections. A participant information page was provided at the start of the survey </w:t>
      </w:r>
      <w:r w:rsidR="004020B2" w:rsidRPr="00100AAC">
        <w:rPr>
          <w:color w:val="000000"/>
        </w:rPr>
        <w:t>containing</w:t>
      </w:r>
      <w:r w:rsidR="00D76944" w:rsidRPr="00100AAC">
        <w:rPr>
          <w:color w:val="000000"/>
        </w:rPr>
        <w:t xml:space="preserve"> information of the research aim, participant confidentiality, </w:t>
      </w:r>
      <w:r w:rsidR="00B61836" w:rsidRPr="00100AAC">
        <w:rPr>
          <w:color w:val="000000"/>
        </w:rPr>
        <w:t>research outcomes</w:t>
      </w:r>
      <w:r w:rsidR="00D76944" w:rsidRPr="00100AAC">
        <w:rPr>
          <w:color w:val="000000"/>
        </w:rPr>
        <w:t xml:space="preserve">, and completion instructions. </w:t>
      </w:r>
      <w:r w:rsidR="00B61836" w:rsidRPr="00100AAC">
        <w:rPr>
          <w:color w:val="000000"/>
        </w:rPr>
        <w:t>Following this, p</w:t>
      </w:r>
      <w:r w:rsidR="00D76944" w:rsidRPr="00100AAC">
        <w:rPr>
          <w:color w:val="000000"/>
        </w:rPr>
        <w:t xml:space="preserve">articipants progressed to Section 1 which </w:t>
      </w:r>
      <w:r w:rsidR="004020B2" w:rsidRPr="00100AAC">
        <w:rPr>
          <w:color w:val="000000"/>
        </w:rPr>
        <w:t>comprised</w:t>
      </w:r>
      <w:r w:rsidR="00D76944" w:rsidRPr="00100AAC">
        <w:rPr>
          <w:color w:val="000000"/>
        </w:rPr>
        <w:t xml:space="preserve"> a series of statements</w:t>
      </w:r>
      <w:r w:rsidR="004652F4" w:rsidRPr="00100AAC">
        <w:rPr>
          <w:color w:val="000000"/>
        </w:rPr>
        <w:t>,</w:t>
      </w:r>
      <w:r w:rsidR="00D76944" w:rsidRPr="00100AAC">
        <w:rPr>
          <w:color w:val="000000"/>
        </w:rPr>
        <w:t xml:space="preserve"> where participants needed to digitally sign to </w:t>
      </w:r>
      <w:r w:rsidR="00B61836" w:rsidRPr="00100AAC">
        <w:rPr>
          <w:color w:val="000000"/>
        </w:rPr>
        <w:t>provide</w:t>
      </w:r>
      <w:r w:rsidR="00D76944" w:rsidRPr="00100AAC">
        <w:rPr>
          <w:color w:val="000000"/>
        </w:rPr>
        <w:t xml:space="preserve"> their informed consent</w:t>
      </w:r>
      <w:r w:rsidR="004020B2" w:rsidRPr="00100AAC">
        <w:rPr>
          <w:color w:val="000000"/>
        </w:rPr>
        <w:t xml:space="preserve"> </w:t>
      </w:r>
      <w:r w:rsidR="000454CC" w:rsidRPr="00100AAC">
        <w:rPr>
          <w:color w:val="000000"/>
        </w:rPr>
        <w:t>to</w:t>
      </w:r>
      <w:r w:rsidR="00D76944" w:rsidRPr="00100AAC">
        <w:rPr>
          <w:color w:val="000000"/>
        </w:rPr>
        <w:t xml:space="preserve"> </w:t>
      </w:r>
      <w:r w:rsidR="00B61836" w:rsidRPr="00100AAC">
        <w:rPr>
          <w:color w:val="000000"/>
        </w:rPr>
        <w:t>pro</w:t>
      </w:r>
      <w:r w:rsidR="000454CC" w:rsidRPr="00100AAC">
        <w:rPr>
          <w:color w:val="000000"/>
        </w:rPr>
        <w:t>ceed</w:t>
      </w:r>
      <w:r w:rsidR="00D76944" w:rsidRPr="00100AAC">
        <w:rPr>
          <w:color w:val="000000"/>
        </w:rPr>
        <w:t xml:space="preserve"> </w:t>
      </w:r>
      <w:r w:rsidR="004020B2" w:rsidRPr="00100AAC">
        <w:rPr>
          <w:color w:val="000000"/>
        </w:rPr>
        <w:t xml:space="preserve">with the survey. </w:t>
      </w:r>
      <w:r w:rsidR="00D76944" w:rsidRPr="00100AAC">
        <w:rPr>
          <w:color w:val="000000"/>
        </w:rPr>
        <w:t xml:space="preserve"> </w:t>
      </w:r>
    </w:p>
    <w:p w14:paraId="5952DB95" w14:textId="7CE96869" w:rsidR="00D76944" w:rsidRPr="00100AAC" w:rsidRDefault="00EB591A" w:rsidP="00083429">
      <w:pPr>
        <w:pStyle w:val="paragraph"/>
        <w:spacing w:line="480" w:lineRule="auto"/>
        <w:ind w:firstLine="720"/>
        <w:jc w:val="both"/>
        <w:rPr>
          <w:color w:val="000000"/>
        </w:rPr>
      </w:pPr>
      <w:r w:rsidRPr="00100AAC">
        <w:rPr>
          <w:color w:val="000000"/>
        </w:rPr>
        <w:t>The remainder of the survey was split into the following sections:</w:t>
      </w:r>
      <w:r w:rsidR="00D76944" w:rsidRPr="00100AAC">
        <w:rPr>
          <w:color w:val="000000"/>
        </w:rPr>
        <w:t xml:space="preserve"> Section 2 </w:t>
      </w:r>
      <w:r w:rsidR="00C753D4" w:rsidRPr="00100AAC">
        <w:rPr>
          <w:color w:val="000000"/>
        </w:rPr>
        <w:t xml:space="preserve">collected </w:t>
      </w:r>
      <w:r w:rsidR="00D76944" w:rsidRPr="00100AAC">
        <w:rPr>
          <w:color w:val="000000"/>
        </w:rPr>
        <w:t>demographic information</w:t>
      </w:r>
      <w:r w:rsidRPr="00100AAC">
        <w:rPr>
          <w:color w:val="000000"/>
        </w:rPr>
        <w:t xml:space="preserve"> </w:t>
      </w:r>
      <w:r w:rsidR="000454CC" w:rsidRPr="00100AAC">
        <w:rPr>
          <w:color w:val="000000"/>
        </w:rPr>
        <w:t>(</w:t>
      </w:r>
      <w:r w:rsidRPr="00100AAC">
        <w:rPr>
          <w:color w:val="000000"/>
        </w:rPr>
        <w:t>e.g.,</w:t>
      </w:r>
      <w:r w:rsidR="00D76944" w:rsidRPr="00100AAC">
        <w:rPr>
          <w:color w:val="000000"/>
        </w:rPr>
        <w:t xml:space="preserve"> participants’ age, gender, country of residence, and ethnicity</w:t>
      </w:r>
      <w:r w:rsidR="000454CC" w:rsidRPr="00100AAC">
        <w:rPr>
          <w:color w:val="000000"/>
        </w:rPr>
        <w:t>)</w:t>
      </w:r>
      <w:r w:rsidR="00D76944" w:rsidRPr="00100AAC">
        <w:rPr>
          <w:color w:val="000000"/>
        </w:rPr>
        <w:t xml:space="preserve">. Section 3 focused on the participants’ </w:t>
      </w:r>
      <w:r w:rsidR="00C753D4" w:rsidRPr="00100AAC">
        <w:rPr>
          <w:color w:val="000000"/>
        </w:rPr>
        <w:t xml:space="preserve">coaching </w:t>
      </w:r>
      <w:r w:rsidR="00D76944" w:rsidRPr="00100AAC">
        <w:rPr>
          <w:color w:val="000000"/>
        </w:rPr>
        <w:t xml:space="preserve">background, involving a combination of 10 open and closed questions </w:t>
      </w:r>
      <w:r w:rsidR="004020B2" w:rsidRPr="00100AAC">
        <w:rPr>
          <w:color w:val="000000"/>
        </w:rPr>
        <w:t>related to the</w:t>
      </w:r>
      <w:r w:rsidR="00D76944" w:rsidRPr="00100AAC">
        <w:rPr>
          <w:color w:val="000000"/>
        </w:rPr>
        <w:t xml:space="preserve"> </w:t>
      </w:r>
      <w:r w:rsidR="00C753D4" w:rsidRPr="00100AAC">
        <w:rPr>
          <w:color w:val="000000"/>
        </w:rPr>
        <w:t xml:space="preserve">age </w:t>
      </w:r>
      <w:r w:rsidR="004020B2" w:rsidRPr="00100AAC">
        <w:rPr>
          <w:color w:val="000000"/>
        </w:rPr>
        <w:t>of their athletes</w:t>
      </w:r>
      <w:r w:rsidR="00C753D4" w:rsidRPr="00100AAC">
        <w:rPr>
          <w:color w:val="000000"/>
        </w:rPr>
        <w:t xml:space="preserve">, </w:t>
      </w:r>
      <w:r w:rsidR="004020B2" w:rsidRPr="00100AAC">
        <w:rPr>
          <w:color w:val="000000"/>
        </w:rPr>
        <w:t xml:space="preserve">their </w:t>
      </w:r>
      <w:r w:rsidR="00C753D4" w:rsidRPr="00100AAC">
        <w:rPr>
          <w:color w:val="000000"/>
        </w:rPr>
        <w:t xml:space="preserve">coaching domain, additional </w:t>
      </w:r>
      <w:r w:rsidR="00D76944" w:rsidRPr="00100AAC">
        <w:rPr>
          <w:color w:val="000000"/>
        </w:rPr>
        <w:t xml:space="preserve">qualifications, </w:t>
      </w:r>
      <w:r w:rsidR="004020B2" w:rsidRPr="00100AAC">
        <w:rPr>
          <w:color w:val="000000"/>
        </w:rPr>
        <w:t xml:space="preserve">and </w:t>
      </w:r>
      <w:r w:rsidR="00C753D4" w:rsidRPr="00100AAC">
        <w:rPr>
          <w:color w:val="000000"/>
        </w:rPr>
        <w:t xml:space="preserve">coaching experience. </w:t>
      </w:r>
      <w:r w:rsidR="00D76944" w:rsidRPr="00100AAC">
        <w:rPr>
          <w:color w:val="000000"/>
        </w:rPr>
        <w:t xml:space="preserve">Section 4 included </w:t>
      </w:r>
      <w:r w:rsidR="00083429" w:rsidRPr="00100AAC">
        <w:rPr>
          <w:color w:val="000000"/>
        </w:rPr>
        <w:t>nine</w:t>
      </w:r>
      <w:r w:rsidR="00D76944" w:rsidRPr="00100AAC">
        <w:rPr>
          <w:color w:val="000000"/>
        </w:rPr>
        <w:t xml:space="preserve"> topic-based questions </w:t>
      </w:r>
      <w:r w:rsidR="00EA143A" w:rsidRPr="00100AAC">
        <w:rPr>
          <w:color w:val="000000"/>
        </w:rPr>
        <w:t>(Braun et al., 2021)</w:t>
      </w:r>
      <w:r w:rsidR="00D76944" w:rsidRPr="00100AAC">
        <w:rPr>
          <w:color w:val="000000"/>
        </w:rPr>
        <w:t xml:space="preserve">, </w:t>
      </w:r>
      <w:r w:rsidR="00083429" w:rsidRPr="00100AAC">
        <w:rPr>
          <w:color w:val="000000"/>
        </w:rPr>
        <w:t>which focused on</w:t>
      </w:r>
      <w:r w:rsidR="00D76944" w:rsidRPr="00100AAC">
        <w:rPr>
          <w:color w:val="000000"/>
        </w:rPr>
        <w:t xml:space="preserve"> addressing the aim </w:t>
      </w:r>
      <w:r w:rsidR="00083429" w:rsidRPr="00100AAC">
        <w:rPr>
          <w:color w:val="000000"/>
        </w:rPr>
        <w:t>of the research</w:t>
      </w:r>
      <w:r w:rsidR="004B7B51" w:rsidRPr="00100AAC">
        <w:rPr>
          <w:color w:val="000000"/>
        </w:rPr>
        <w:t xml:space="preserve"> and </w:t>
      </w:r>
      <w:r w:rsidR="000454CC" w:rsidRPr="00100AAC">
        <w:rPr>
          <w:color w:val="000000"/>
        </w:rPr>
        <w:t xml:space="preserve">understanding </w:t>
      </w:r>
      <w:r w:rsidR="004B7B51" w:rsidRPr="00100AAC">
        <w:rPr>
          <w:color w:val="000000"/>
        </w:rPr>
        <w:t>participants</w:t>
      </w:r>
      <w:r w:rsidR="004020B2" w:rsidRPr="00100AAC">
        <w:rPr>
          <w:color w:val="000000"/>
        </w:rPr>
        <w:t>’</w:t>
      </w:r>
      <w:r w:rsidR="004B7B51" w:rsidRPr="00100AAC">
        <w:rPr>
          <w:color w:val="000000"/>
        </w:rPr>
        <w:t xml:space="preserve"> perspectives and experiences of the L1A</w:t>
      </w:r>
      <w:r w:rsidR="00D76944" w:rsidRPr="00100AAC">
        <w:rPr>
          <w:color w:val="000000"/>
        </w:rPr>
        <w:t xml:space="preserve"> (see Table </w:t>
      </w:r>
      <w:r w:rsidRPr="00100AAC">
        <w:rPr>
          <w:color w:val="000000"/>
        </w:rPr>
        <w:t>2</w:t>
      </w:r>
      <w:r w:rsidR="00D76944" w:rsidRPr="00100AAC">
        <w:rPr>
          <w:color w:val="000000"/>
        </w:rPr>
        <w:t xml:space="preserve">). Section 5 concluded the survey </w:t>
      </w:r>
      <w:r w:rsidR="00083429" w:rsidRPr="00100AAC">
        <w:rPr>
          <w:color w:val="000000"/>
        </w:rPr>
        <w:t xml:space="preserve">and </w:t>
      </w:r>
      <w:r w:rsidR="00D76944" w:rsidRPr="00100AAC">
        <w:rPr>
          <w:color w:val="000000"/>
        </w:rPr>
        <w:t>invit</w:t>
      </w:r>
      <w:r w:rsidR="00083429" w:rsidRPr="00100AAC">
        <w:rPr>
          <w:color w:val="000000"/>
        </w:rPr>
        <w:t>ed</w:t>
      </w:r>
      <w:r w:rsidR="00D76944" w:rsidRPr="00100AAC">
        <w:rPr>
          <w:color w:val="000000"/>
        </w:rPr>
        <w:t xml:space="preserve"> participants </w:t>
      </w:r>
      <w:r w:rsidR="00083429" w:rsidRPr="00100AAC">
        <w:rPr>
          <w:color w:val="000000"/>
        </w:rPr>
        <w:t xml:space="preserve">to </w:t>
      </w:r>
      <w:r w:rsidR="004020B2" w:rsidRPr="00100AAC">
        <w:rPr>
          <w:color w:val="000000"/>
        </w:rPr>
        <w:t>take part</w:t>
      </w:r>
      <w:r w:rsidR="00083429" w:rsidRPr="00100AAC">
        <w:rPr>
          <w:color w:val="000000"/>
        </w:rPr>
        <w:t xml:space="preserve"> in a follow-up virtual interview</w:t>
      </w:r>
      <w:r w:rsidR="000074C1" w:rsidRPr="00100AAC">
        <w:rPr>
          <w:color w:val="000000"/>
        </w:rPr>
        <w:t xml:space="preserve"> to supplement the survey data</w:t>
      </w:r>
      <w:r w:rsidR="00083429" w:rsidRPr="00100AAC">
        <w:rPr>
          <w:color w:val="000000"/>
        </w:rPr>
        <w:t>.</w:t>
      </w:r>
    </w:p>
    <w:p w14:paraId="132DA279" w14:textId="77777777" w:rsidR="00083429" w:rsidRPr="00100AAC" w:rsidRDefault="00083429" w:rsidP="00083429">
      <w:pPr>
        <w:pStyle w:val="paragraph"/>
        <w:spacing w:line="480" w:lineRule="auto"/>
        <w:jc w:val="center"/>
        <w:rPr>
          <w:b/>
          <w:bCs/>
          <w:color w:val="000000"/>
        </w:rPr>
      </w:pPr>
      <w:r w:rsidRPr="00100AAC">
        <w:rPr>
          <w:b/>
          <w:bCs/>
          <w:color w:val="000000"/>
        </w:rPr>
        <w:t>***INSERT TABLE 2 HERE***</w:t>
      </w:r>
    </w:p>
    <w:p w14:paraId="5D0C7476" w14:textId="57DD2211" w:rsidR="009303B2" w:rsidRPr="00100AAC" w:rsidRDefault="004020B2" w:rsidP="007402E6">
      <w:pPr>
        <w:pStyle w:val="paragraph"/>
        <w:spacing w:line="480" w:lineRule="auto"/>
        <w:ind w:firstLine="720"/>
        <w:jc w:val="both"/>
        <w:rPr>
          <w:color w:val="000000"/>
          <w:lang w:val="en-US"/>
        </w:rPr>
      </w:pPr>
      <w:bookmarkStart w:id="7" w:name="_Hlk109992876"/>
      <w:r w:rsidRPr="00100AAC">
        <w:rPr>
          <w:color w:val="000000"/>
        </w:rPr>
        <w:t>During the second phase</w:t>
      </w:r>
      <w:r w:rsidR="00AF12ED" w:rsidRPr="00100AAC">
        <w:rPr>
          <w:color w:val="000000"/>
        </w:rPr>
        <w:t xml:space="preserve"> (</w:t>
      </w:r>
      <w:r w:rsidR="004C2284" w:rsidRPr="00100AAC">
        <w:rPr>
          <w:color w:val="000000"/>
        </w:rPr>
        <w:t>1</w:t>
      </w:r>
      <w:r w:rsidR="00AF12ED" w:rsidRPr="00100AAC">
        <w:rPr>
          <w:color w:val="000000"/>
        </w:rPr>
        <w:t xml:space="preserve"> month post survey)</w:t>
      </w:r>
      <w:r w:rsidRPr="00100AAC">
        <w:rPr>
          <w:color w:val="000000"/>
        </w:rPr>
        <w:t>, c</w:t>
      </w:r>
      <w:r w:rsidR="000074C1" w:rsidRPr="00100AAC">
        <w:rPr>
          <w:color w:val="000000"/>
        </w:rPr>
        <w:t>o</w:t>
      </w:r>
      <w:r w:rsidR="00CB5572" w:rsidRPr="00100AAC">
        <w:rPr>
          <w:color w:val="000000"/>
        </w:rPr>
        <w:t>aches who were willing participated</w:t>
      </w:r>
      <w:r w:rsidR="004B7B51" w:rsidRPr="00100AAC">
        <w:rPr>
          <w:color w:val="000000"/>
        </w:rPr>
        <w:t xml:space="preserve"> in a follow-up virtual interview, </w:t>
      </w:r>
      <w:r w:rsidR="00CB5572" w:rsidRPr="00100AAC">
        <w:rPr>
          <w:color w:val="000000"/>
        </w:rPr>
        <w:t>conducted via</w:t>
      </w:r>
      <w:r w:rsidR="004B7B51" w:rsidRPr="00100AAC">
        <w:rPr>
          <w:color w:val="000000"/>
        </w:rPr>
        <w:t xml:space="preserve"> Microsoft Teams. </w:t>
      </w:r>
      <w:r w:rsidR="00112AA9" w:rsidRPr="00100AAC">
        <w:rPr>
          <w:color w:val="000000"/>
          <w:lang w:val="en-US"/>
        </w:rPr>
        <w:t xml:space="preserve">As opposed to </w:t>
      </w:r>
      <w:r w:rsidRPr="00100AAC">
        <w:rPr>
          <w:color w:val="000000"/>
          <w:lang w:val="en-US"/>
        </w:rPr>
        <w:t>traditional in person</w:t>
      </w:r>
      <w:r w:rsidR="00112AA9" w:rsidRPr="00100AAC">
        <w:rPr>
          <w:color w:val="000000"/>
          <w:lang w:val="en-US"/>
        </w:rPr>
        <w:t xml:space="preserve"> interviews, virtual interviews should be viewed an </w:t>
      </w:r>
      <w:r w:rsidR="00112AA9" w:rsidRPr="00100AAC">
        <w:rPr>
          <w:i/>
          <w:iCs/>
          <w:color w:val="000000"/>
          <w:lang w:val="en-US"/>
        </w:rPr>
        <w:t xml:space="preserve">alternative method </w:t>
      </w:r>
      <w:r w:rsidR="00112AA9" w:rsidRPr="00100AAC">
        <w:rPr>
          <w:color w:val="000000"/>
          <w:lang w:val="en-US"/>
        </w:rPr>
        <w:t xml:space="preserve">of data collection researchers can employ (Hanna &amp; Mwale, 2017). Specifically, interviews using Microsoft Teams provide several benefits, for example, flexibility of scheduling, </w:t>
      </w:r>
      <w:r w:rsidR="00A36D0A" w:rsidRPr="00100AAC">
        <w:rPr>
          <w:color w:val="000000"/>
          <w:lang w:val="en-US"/>
        </w:rPr>
        <w:t xml:space="preserve">enhanced </w:t>
      </w:r>
      <w:r w:rsidR="00112AA9" w:rsidRPr="00100AAC">
        <w:rPr>
          <w:color w:val="000000"/>
          <w:lang w:val="en-US"/>
        </w:rPr>
        <w:t xml:space="preserve">participant </w:t>
      </w:r>
      <w:r w:rsidR="00112AA9" w:rsidRPr="00100AAC">
        <w:rPr>
          <w:color w:val="000000"/>
          <w:lang w:val="en-US"/>
        </w:rPr>
        <w:lastRenderedPageBreak/>
        <w:t xml:space="preserve">control, ease of data capture, in addition to </w:t>
      </w:r>
      <w:r w:rsidR="007402E6" w:rsidRPr="00100AAC">
        <w:rPr>
          <w:color w:val="000000"/>
          <w:lang w:val="en-US"/>
        </w:rPr>
        <w:t>offering</w:t>
      </w:r>
      <w:r w:rsidR="00112AA9" w:rsidRPr="00100AAC">
        <w:rPr>
          <w:color w:val="000000"/>
          <w:lang w:val="en-US"/>
        </w:rPr>
        <w:t xml:space="preserve"> a more comfortable and empowering experience for participants (Hanna &amp; Mwale, 2017). </w:t>
      </w:r>
      <w:r w:rsidR="000074C1" w:rsidRPr="00100AAC">
        <w:rPr>
          <w:color w:val="000000"/>
          <w:lang w:val="en-US"/>
        </w:rPr>
        <w:t>On average, interviews lasted for 48 minutes and were of a semi-</w:t>
      </w:r>
      <w:r w:rsidR="005775AD" w:rsidRPr="00100AAC">
        <w:rPr>
          <w:color w:val="000000"/>
          <w:lang w:val="en-US"/>
        </w:rPr>
        <w:t>structured</w:t>
      </w:r>
      <w:r w:rsidR="000074C1" w:rsidRPr="00100AAC">
        <w:rPr>
          <w:color w:val="000000"/>
          <w:lang w:val="en-US"/>
        </w:rPr>
        <w:t xml:space="preserve"> nature. </w:t>
      </w:r>
      <w:r w:rsidR="007402E6" w:rsidRPr="00100AAC">
        <w:rPr>
          <w:color w:val="000000"/>
          <w:lang w:val="en-US"/>
        </w:rPr>
        <w:t>T</w:t>
      </w:r>
      <w:r w:rsidR="000074C1" w:rsidRPr="00100AAC">
        <w:rPr>
          <w:color w:val="000000"/>
          <w:lang w:val="en-US"/>
        </w:rPr>
        <w:t xml:space="preserve">he interview guide was developed following </w:t>
      </w:r>
      <w:r w:rsidR="00A36D0A" w:rsidRPr="00100AAC">
        <w:rPr>
          <w:color w:val="000000"/>
          <w:lang w:val="en-US"/>
        </w:rPr>
        <w:t xml:space="preserve">preliminary </w:t>
      </w:r>
      <w:r w:rsidR="000074C1" w:rsidRPr="00100AAC">
        <w:rPr>
          <w:color w:val="000000"/>
          <w:lang w:val="en-US"/>
        </w:rPr>
        <w:t xml:space="preserve">analysis of the survey </w:t>
      </w:r>
      <w:proofErr w:type="gramStart"/>
      <w:r w:rsidR="005775AD" w:rsidRPr="00100AAC">
        <w:rPr>
          <w:color w:val="000000"/>
          <w:lang w:val="en-US"/>
        </w:rPr>
        <w:t>d</w:t>
      </w:r>
      <w:r w:rsidR="000074C1" w:rsidRPr="00100AAC">
        <w:rPr>
          <w:color w:val="000000"/>
          <w:lang w:val="en-US"/>
        </w:rPr>
        <w:t>ata,</w:t>
      </w:r>
      <w:proofErr w:type="gramEnd"/>
      <w:r w:rsidR="007402E6" w:rsidRPr="00100AAC">
        <w:rPr>
          <w:color w:val="000000"/>
          <w:lang w:val="en-US"/>
        </w:rPr>
        <w:t xml:space="preserve"> however,</w:t>
      </w:r>
      <w:r w:rsidR="000074C1" w:rsidRPr="00100AAC">
        <w:rPr>
          <w:color w:val="000000"/>
          <w:lang w:val="en-US"/>
        </w:rPr>
        <w:t xml:space="preserve"> </w:t>
      </w:r>
      <w:r w:rsidR="005775AD" w:rsidRPr="00100AAC">
        <w:rPr>
          <w:color w:val="000000"/>
        </w:rPr>
        <w:t>the semi</w:t>
      </w:r>
      <w:r w:rsidR="000074C1" w:rsidRPr="00100AAC">
        <w:rPr>
          <w:color w:val="000000"/>
        </w:rPr>
        <w:t>-structured nature provided an element of adaptability</w:t>
      </w:r>
      <w:r w:rsidR="00A36D0A" w:rsidRPr="00100AAC">
        <w:rPr>
          <w:color w:val="000000"/>
        </w:rPr>
        <w:t>,</w:t>
      </w:r>
      <w:r w:rsidR="000074C1" w:rsidRPr="00100AAC">
        <w:rPr>
          <w:color w:val="000000"/>
        </w:rPr>
        <w:t xml:space="preserve"> </w:t>
      </w:r>
      <w:r w:rsidR="005775AD" w:rsidRPr="00100AAC">
        <w:rPr>
          <w:color w:val="000000"/>
        </w:rPr>
        <w:t>allow</w:t>
      </w:r>
      <w:r w:rsidR="00A36D0A" w:rsidRPr="00100AAC">
        <w:rPr>
          <w:color w:val="000000"/>
        </w:rPr>
        <w:t>ing the</w:t>
      </w:r>
      <w:r w:rsidR="000074C1" w:rsidRPr="00100AAC">
        <w:rPr>
          <w:color w:val="000000"/>
        </w:rPr>
        <w:t xml:space="preserve"> interviews </w:t>
      </w:r>
      <w:r w:rsidR="005775AD" w:rsidRPr="00100AAC">
        <w:rPr>
          <w:color w:val="000000"/>
        </w:rPr>
        <w:t>to diverge and progress</w:t>
      </w:r>
      <w:r w:rsidR="000074C1" w:rsidRPr="00100AAC">
        <w:rPr>
          <w:color w:val="000000"/>
        </w:rPr>
        <w:t xml:space="preserve"> as the conversations</w:t>
      </w:r>
      <w:r w:rsidR="005775AD" w:rsidRPr="00100AAC">
        <w:rPr>
          <w:color w:val="000000"/>
        </w:rPr>
        <w:t xml:space="preserve"> evolved</w:t>
      </w:r>
      <w:r w:rsidR="000074C1" w:rsidRPr="00100AAC">
        <w:rPr>
          <w:color w:val="000000"/>
        </w:rPr>
        <w:t xml:space="preserve"> (Sparkes &amp; Smith, 2014).</w:t>
      </w:r>
      <w:bookmarkEnd w:id="7"/>
      <w:r w:rsidR="00310410" w:rsidRPr="00100AAC">
        <w:rPr>
          <w:rFonts w:asciiTheme="minorHAnsi" w:eastAsiaTheme="minorHAnsi" w:hAnsiTheme="minorHAnsi" w:cstheme="minorBidi"/>
          <w:sz w:val="22"/>
          <w:szCs w:val="22"/>
          <w:lang w:eastAsia="en-US"/>
        </w:rPr>
        <w:t xml:space="preserve"> </w:t>
      </w:r>
    </w:p>
    <w:p w14:paraId="1EDD9C3C" w14:textId="4D467799" w:rsidR="00C60C77" w:rsidRPr="00100AAC" w:rsidRDefault="003E05BE" w:rsidP="00BF0E58">
      <w:pPr>
        <w:pStyle w:val="paragraph"/>
        <w:jc w:val="both"/>
        <w:rPr>
          <w:b/>
          <w:bCs/>
          <w:color w:val="000000"/>
        </w:rPr>
      </w:pPr>
      <w:r w:rsidRPr="00100AAC">
        <w:rPr>
          <w:b/>
          <w:bCs/>
          <w:color w:val="000000"/>
        </w:rPr>
        <w:t>P</w:t>
      </w:r>
      <w:r w:rsidR="00C60C77" w:rsidRPr="00100AAC">
        <w:rPr>
          <w:b/>
          <w:bCs/>
          <w:color w:val="000000"/>
        </w:rPr>
        <w:t>articipants</w:t>
      </w:r>
      <w:r w:rsidRPr="00100AAC">
        <w:rPr>
          <w:b/>
          <w:bCs/>
          <w:color w:val="000000"/>
        </w:rPr>
        <w:t>, recruitment, and sampling</w:t>
      </w:r>
    </w:p>
    <w:p w14:paraId="4CBB22B6" w14:textId="01217804" w:rsidR="004B7B51" w:rsidRPr="00100AAC" w:rsidRDefault="00301228" w:rsidP="009D3BFB">
      <w:pPr>
        <w:pStyle w:val="paragraph"/>
        <w:spacing w:line="480" w:lineRule="auto"/>
        <w:ind w:firstLine="720"/>
        <w:jc w:val="both"/>
        <w:rPr>
          <w:color w:val="000000"/>
        </w:rPr>
      </w:pPr>
      <w:r w:rsidRPr="00100AAC">
        <w:rPr>
          <w:color w:val="000000"/>
        </w:rPr>
        <w:t>Having obtained</w:t>
      </w:r>
      <w:r w:rsidR="00B61836" w:rsidRPr="00100AAC">
        <w:rPr>
          <w:color w:val="000000"/>
        </w:rPr>
        <w:t xml:space="preserve"> </w:t>
      </w:r>
      <w:r w:rsidR="003E05BE" w:rsidRPr="00100AAC">
        <w:rPr>
          <w:color w:val="000000"/>
        </w:rPr>
        <w:t>institutional ethical</w:t>
      </w:r>
      <w:r w:rsidR="00B61836" w:rsidRPr="00100AAC">
        <w:rPr>
          <w:color w:val="000000"/>
        </w:rPr>
        <w:t xml:space="preserve"> approval</w:t>
      </w:r>
      <w:r w:rsidR="003E05BE" w:rsidRPr="00100AAC">
        <w:rPr>
          <w:color w:val="000000"/>
        </w:rPr>
        <w:t xml:space="preserve">, participants were recruited via email, with British Dodgeball disseminating </w:t>
      </w:r>
      <w:r w:rsidR="000454CC" w:rsidRPr="00100AAC">
        <w:rPr>
          <w:color w:val="000000"/>
        </w:rPr>
        <w:t xml:space="preserve">the </w:t>
      </w:r>
      <w:r w:rsidR="003E05BE" w:rsidRPr="00100AAC">
        <w:rPr>
          <w:color w:val="000000"/>
        </w:rPr>
        <w:t xml:space="preserve">Google Forms </w:t>
      </w:r>
      <w:r w:rsidR="00CB5572" w:rsidRPr="00100AAC">
        <w:rPr>
          <w:color w:val="000000"/>
        </w:rPr>
        <w:t xml:space="preserve">online </w:t>
      </w:r>
      <w:r w:rsidR="003E05BE" w:rsidRPr="00100AAC">
        <w:rPr>
          <w:color w:val="000000"/>
        </w:rPr>
        <w:t>survey</w:t>
      </w:r>
      <w:r w:rsidRPr="00100AAC">
        <w:rPr>
          <w:color w:val="000000"/>
        </w:rPr>
        <w:t xml:space="preserve"> link</w:t>
      </w:r>
      <w:r w:rsidR="003E05BE" w:rsidRPr="00100AAC">
        <w:rPr>
          <w:color w:val="000000"/>
        </w:rPr>
        <w:t xml:space="preserve"> through </w:t>
      </w:r>
      <w:r w:rsidR="000454CC" w:rsidRPr="00100AAC">
        <w:rPr>
          <w:color w:val="000000"/>
        </w:rPr>
        <w:t xml:space="preserve">social media </w:t>
      </w:r>
      <w:r w:rsidR="003E05BE" w:rsidRPr="00100AAC">
        <w:rPr>
          <w:color w:val="000000"/>
        </w:rPr>
        <w:t xml:space="preserve">and </w:t>
      </w:r>
      <w:r w:rsidR="00CB5572" w:rsidRPr="00100AAC">
        <w:rPr>
          <w:color w:val="000000"/>
        </w:rPr>
        <w:t xml:space="preserve">their </w:t>
      </w:r>
      <w:r w:rsidR="003E05BE" w:rsidRPr="00100AAC">
        <w:rPr>
          <w:color w:val="000000"/>
        </w:rPr>
        <w:t>mailing list</w:t>
      </w:r>
      <w:r w:rsidRPr="00100AAC">
        <w:rPr>
          <w:color w:val="000000"/>
        </w:rPr>
        <w:t xml:space="preserve"> of coaches</w:t>
      </w:r>
      <w:r w:rsidR="003E05BE" w:rsidRPr="00100AAC">
        <w:rPr>
          <w:color w:val="000000"/>
        </w:rPr>
        <w:t xml:space="preserve">. Thus, sampling was broadly purposive </w:t>
      </w:r>
      <w:r w:rsidR="00F143CC" w:rsidRPr="00100AAC">
        <w:rPr>
          <w:color w:val="000000"/>
        </w:rPr>
        <w:t>(Braun &amp; Clarke, 2013)</w:t>
      </w:r>
      <w:r w:rsidR="003E05BE" w:rsidRPr="00100AAC">
        <w:rPr>
          <w:color w:val="000000"/>
        </w:rPr>
        <w:t xml:space="preserve">, as participants needed to be an active UK-based dodgeball coach who had completed the L1A at least 6-weeks before </w:t>
      </w:r>
      <w:r w:rsidRPr="00100AAC">
        <w:rPr>
          <w:color w:val="000000"/>
        </w:rPr>
        <w:t>completing</w:t>
      </w:r>
      <w:r w:rsidR="003E05BE" w:rsidRPr="00100AAC">
        <w:rPr>
          <w:color w:val="000000"/>
        </w:rPr>
        <w:t xml:space="preserve"> the survey. However,</w:t>
      </w:r>
      <w:r w:rsidR="00F143CC" w:rsidRPr="00100AAC">
        <w:rPr>
          <w:color w:val="000000"/>
        </w:rPr>
        <w:t xml:space="preserve"> </w:t>
      </w:r>
      <w:r w:rsidR="003E05BE" w:rsidRPr="00100AAC">
        <w:rPr>
          <w:color w:val="000000"/>
        </w:rPr>
        <w:t>sampling</w:t>
      </w:r>
      <w:r w:rsidR="00F143CC" w:rsidRPr="00100AAC">
        <w:rPr>
          <w:color w:val="000000"/>
        </w:rPr>
        <w:t xml:space="preserve"> </w:t>
      </w:r>
      <w:r w:rsidR="003E05BE" w:rsidRPr="00100AAC">
        <w:rPr>
          <w:color w:val="000000"/>
        </w:rPr>
        <w:t xml:space="preserve">also </w:t>
      </w:r>
      <w:r w:rsidR="00F143CC" w:rsidRPr="00100AAC">
        <w:rPr>
          <w:color w:val="000000"/>
        </w:rPr>
        <w:t xml:space="preserve">incorporated </w:t>
      </w:r>
      <w:r w:rsidR="003E05BE" w:rsidRPr="00100AAC">
        <w:rPr>
          <w:color w:val="000000"/>
        </w:rPr>
        <w:t>convenience-based (e.g.,</w:t>
      </w:r>
      <w:r w:rsidR="00B3417C" w:rsidRPr="00100AAC">
        <w:rPr>
          <w:color w:val="000000"/>
        </w:rPr>
        <w:t xml:space="preserve"> </w:t>
      </w:r>
      <w:r w:rsidR="00F143CC" w:rsidRPr="00100AAC">
        <w:rPr>
          <w:color w:val="000000"/>
        </w:rPr>
        <w:t>who</w:t>
      </w:r>
      <w:r w:rsidR="00B3417C" w:rsidRPr="00100AAC">
        <w:rPr>
          <w:color w:val="000000"/>
        </w:rPr>
        <w:t>ever</w:t>
      </w:r>
      <w:r w:rsidR="003E05BE" w:rsidRPr="00100AAC">
        <w:rPr>
          <w:color w:val="000000"/>
        </w:rPr>
        <w:t xml:space="preserve"> completed the survey was recruited) and snowballing (e.g., participants may share the survey within their networks) strategies (</w:t>
      </w:r>
      <w:r w:rsidR="00F143CC" w:rsidRPr="00100AAC">
        <w:rPr>
          <w:color w:val="000000"/>
        </w:rPr>
        <w:t xml:space="preserve">Braun &amp; Clarke, 2013; Sparkes &amp; Smith, 2014). </w:t>
      </w:r>
      <w:r w:rsidR="003E05BE" w:rsidRPr="00100AAC">
        <w:rPr>
          <w:color w:val="000000"/>
        </w:rPr>
        <w:t xml:space="preserve">Sample size within qualitative survey research is not straightforward, </w:t>
      </w:r>
      <w:r w:rsidR="00F143CC" w:rsidRPr="00100AAC">
        <w:rPr>
          <w:color w:val="000000"/>
        </w:rPr>
        <w:t>with sizes generally ranging from</w:t>
      </w:r>
      <w:r w:rsidR="003E05BE" w:rsidRPr="00100AAC">
        <w:rPr>
          <w:color w:val="000000"/>
        </w:rPr>
        <w:t xml:space="preserve"> 20 to over 100 responses</w:t>
      </w:r>
      <w:r w:rsidR="00F143CC" w:rsidRPr="00100AAC">
        <w:rPr>
          <w:color w:val="000000"/>
        </w:rPr>
        <w:t xml:space="preserve"> (Braun et al., 2021)</w:t>
      </w:r>
      <w:r w:rsidR="003E05BE" w:rsidRPr="00100AAC">
        <w:rPr>
          <w:color w:val="000000"/>
        </w:rPr>
        <w:t xml:space="preserve">. </w:t>
      </w:r>
      <w:r w:rsidR="00F143CC" w:rsidRPr="00100AAC">
        <w:rPr>
          <w:color w:val="000000"/>
        </w:rPr>
        <w:t>Driven</w:t>
      </w:r>
      <w:r w:rsidR="003E05BE" w:rsidRPr="00100AAC">
        <w:rPr>
          <w:color w:val="000000"/>
        </w:rPr>
        <w:t xml:space="preserve"> by the aim and scope of the study, </w:t>
      </w:r>
      <w:r w:rsidR="00F143CC" w:rsidRPr="00100AAC">
        <w:rPr>
          <w:color w:val="000000"/>
        </w:rPr>
        <w:t xml:space="preserve">in addition to the </w:t>
      </w:r>
      <w:r w:rsidR="003E05BE" w:rsidRPr="00100AAC">
        <w:rPr>
          <w:color w:val="000000"/>
        </w:rPr>
        <w:t>breadth of topic area, 5</w:t>
      </w:r>
      <w:r w:rsidR="00F143CC" w:rsidRPr="00100AAC">
        <w:rPr>
          <w:color w:val="000000"/>
        </w:rPr>
        <w:t>7</w:t>
      </w:r>
      <w:r w:rsidR="003E05BE" w:rsidRPr="00100AAC">
        <w:rPr>
          <w:color w:val="000000"/>
        </w:rPr>
        <w:t xml:space="preserve"> participants completed the online survey (see Table </w:t>
      </w:r>
      <w:r w:rsidR="009303B2" w:rsidRPr="00100AAC">
        <w:rPr>
          <w:color w:val="000000"/>
        </w:rPr>
        <w:t>3</w:t>
      </w:r>
      <w:r w:rsidR="003E05BE" w:rsidRPr="00100AAC">
        <w:rPr>
          <w:color w:val="000000"/>
        </w:rPr>
        <w:t xml:space="preserve">). </w:t>
      </w:r>
      <w:r w:rsidR="00347297" w:rsidRPr="00100AAC">
        <w:rPr>
          <w:color w:val="000000"/>
        </w:rPr>
        <w:t>Following this</w:t>
      </w:r>
      <w:r w:rsidR="004B7B51" w:rsidRPr="00100AAC">
        <w:rPr>
          <w:color w:val="000000"/>
        </w:rPr>
        <w:t>, 19 out of the 57 participants</w:t>
      </w:r>
      <w:r w:rsidR="00B3417C" w:rsidRPr="00100AAC">
        <w:rPr>
          <w:color w:val="000000"/>
        </w:rPr>
        <w:t xml:space="preserve"> </w:t>
      </w:r>
      <w:r w:rsidR="004B7B51" w:rsidRPr="00100AAC">
        <w:rPr>
          <w:color w:val="000000"/>
        </w:rPr>
        <w:t>indicated they would be willing to take part in a virtual interview</w:t>
      </w:r>
      <w:r w:rsidR="00347297" w:rsidRPr="00100AAC">
        <w:rPr>
          <w:color w:val="000000"/>
        </w:rPr>
        <w:t xml:space="preserve"> to delve </w:t>
      </w:r>
      <w:r w:rsidR="00B3417C" w:rsidRPr="00100AAC">
        <w:rPr>
          <w:color w:val="000000"/>
        </w:rPr>
        <w:t xml:space="preserve">further </w:t>
      </w:r>
      <w:r w:rsidR="00347297" w:rsidRPr="00100AAC">
        <w:rPr>
          <w:color w:val="000000"/>
        </w:rPr>
        <w:t>into their perspectives and experiences</w:t>
      </w:r>
      <w:r w:rsidR="004B7B51" w:rsidRPr="00100AAC">
        <w:rPr>
          <w:color w:val="000000"/>
        </w:rPr>
        <w:t xml:space="preserve">. However, due to coaches’ availability and time passed since initial survey completion, a total of eight participants </w:t>
      </w:r>
      <w:r w:rsidR="00F25DA4" w:rsidRPr="00100AAC">
        <w:rPr>
          <w:color w:val="000000"/>
        </w:rPr>
        <w:t>were interview</w:t>
      </w:r>
      <w:r w:rsidR="00CB5572" w:rsidRPr="00100AAC">
        <w:rPr>
          <w:color w:val="000000"/>
        </w:rPr>
        <w:t>ed</w:t>
      </w:r>
      <w:r w:rsidR="00F25DA4" w:rsidRPr="00100AAC">
        <w:rPr>
          <w:color w:val="000000"/>
        </w:rPr>
        <w:t xml:space="preserve">. </w:t>
      </w:r>
    </w:p>
    <w:p w14:paraId="3C8C149F" w14:textId="24B5F2BB" w:rsidR="000C4209" w:rsidRPr="00100AAC" w:rsidRDefault="000C4209" w:rsidP="00347297">
      <w:pPr>
        <w:pStyle w:val="paragraph"/>
        <w:jc w:val="center"/>
        <w:rPr>
          <w:b/>
          <w:bCs/>
          <w:color w:val="000000"/>
        </w:rPr>
      </w:pPr>
      <w:r w:rsidRPr="00100AAC">
        <w:rPr>
          <w:b/>
          <w:bCs/>
          <w:color w:val="000000"/>
        </w:rPr>
        <w:t>***INSERT TABLE 3 HERE***</w:t>
      </w:r>
    </w:p>
    <w:p w14:paraId="068BC537" w14:textId="7AE79B69" w:rsidR="00C60C77" w:rsidRPr="00100AAC" w:rsidRDefault="00C60C77" w:rsidP="00BF0E58">
      <w:pPr>
        <w:pStyle w:val="paragraph"/>
        <w:jc w:val="both"/>
        <w:rPr>
          <w:b/>
          <w:bCs/>
          <w:color w:val="000000"/>
        </w:rPr>
      </w:pPr>
      <w:r w:rsidRPr="00100AAC">
        <w:rPr>
          <w:b/>
          <w:bCs/>
          <w:color w:val="000000"/>
        </w:rPr>
        <w:t xml:space="preserve">Data analysis </w:t>
      </w:r>
    </w:p>
    <w:p w14:paraId="2F2334FC" w14:textId="73183485" w:rsidR="00D84D89" w:rsidRPr="00100AAC" w:rsidRDefault="006F6BF5" w:rsidP="009D3BFB">
      <w:pPr>
        <w:pStyle w:val="paragraph"/>
        <w:spacing w:line="480" w:lineRule="auto"/>
        <w:ind w:firstLine="720"/>
        <w:jc w:val="both"/>
        <w:rPr>
          <w:color w:val="000000"/>
        </w:rPr>
      </w:pPr>
      <w:r w:rsidRPr="00100AAC">
        <w:rPr>
          <w:color w:val="000000"/>
        </w:rPr>
        <w:lastRenderedPageBreak/>
        <w:t>A reflexive thematic analysis process was adopted to interpret both the survey and interview data (Braun &amp; Clarke, 2019). A reflexive approach builds upon Braun and Clarkes’ (2006) original six-phase model of thematic analysis</w:t>
      </w:r>
      <w:r w:rsidR="00EE24D9" w:rsidRPr="00100AAC">
        <w:rPr>
          <w:color w:val="000000"/>
        </w:rPr>
        <w:t xml:space="preserve"> in a recursive manner</w:t>
      </w:r>
      <w:r w:rsidRPr="00100AAC">
        <w:rPr>
          <w:color w:val="000000"/>
        </w:rPr>
        <w:t xml:space="preserve">: familiarisation; coding; generating initial themes; reviewing and developing themes; refining, </w:t>
      </w:r>
      <w:r w:rsidR="003D6ADB" w:rsidRPr="00100AAC">
        <w:rPr>
          <w:color w:val="000000"/>
        </w:rPr>
        <w:t>defining,</w:t>
      </w:r>
      <w:r w:rsidRPr="00100AAC">
        <w:rPr>
          <w:color w:val="000000"/>
        </w:rPr>
        <w:t xml:space="preserve"> and naming themes; and writing up</w:t>
      </w:r>
      <w:r w:rsidR="00EE24D9" w:rsidRPr="00100AAC">
        <w:rPr>
          <w:color w:val="000000"/>
        </w:rPr>
        <w:t xml:space="preserve">. </w:t>
      </w:r>
      <w:r w:rsidR="00D6350C" w:rsidRPr="00100AAC">
        <w:rPr>
          <w:color w:val="000000"/>
        </w:rPr>
        <w:t>A r</w:t>
      </w:r>
      <w:r w:rsidRPr="00100AAC">
        <w:rPr>
          <w:color w:val="000000"/>
        </w:rPr>
        <w:t xml:space="preserve">eflexive thematic analysis process is </w:t>
      </w:r>
      <w:r w:rsidR="003D6ADB" w:rsidRPr="00100AAC">
        <w:rPr>
          <w:color w:val="000000"/>
        </w:rPr>
        <w:t xml:space="preserve">theoretically flexible; </w:t>
      </w:r>
      <w:r w:rsidRPr="00100AAC">
        <w:rPr>
          <w:color w:val="000000"/>
        </w:rPr>
        <w:t>th</w:t>
      </w:r>
      <w:r w:rsidR="003D6ADB" w:rsidRPr="00100AAC">
        <w:rPr>
          <w:color w:val="000000"/>
        </w:rPr>
        <w:t>us</w:t>
      </w:r>
      <w:r w:rsidRPr="00100AAC">
        <w:rPr>
          <w:color w:val="000000"/>
        </w:rPr>
        <w:t xml:space="preserve">, </w:t>
      </w:r>
      <w:r w:rsidR="003D6ADB" w:rsidRPr="00100AAC">
        <w:rPr>
          <w:color w:val="000000"/>
        </w:rPr>
        <w:t>Moon’s</w:t>
      </w:r>
      <w:r w:rsidRPr="00100AAC">
        <w:rPr>
          <w:color w:val="000000"/>
        </w:rPr>
        <w:t xml:space="preserve"> (</w:t>
      </w:r>
      <w:r w:rsidR="003D6ADB" w:rsidRPr="00100AAC">
        <w:rPr>
          <w:color w:val="000000"/>
        </w:rPr>
        <w:t>2001, 2004</w:t>
      </w:r>
      <w:r w:rsidRPr="00100AAC">
        <w:rPr>
          <w:color w:val="000000"/>
        </w:rPr>
        <w:t xml:space="preserve">) </w:t>
      </w:r>
      <w:r w:rsidR="003D6ADB" w:rsidRPr="00100AAC">
        <w:rPr>
          <w:color w:val="000000"/>
        </w:rPr>
        <w:t>framework</w:t>
      </w:r>
      <w:r w:rsidRPr="00100AAC">
        <w:rPr>
          <w:color w:val="000000"/>
        </w:rPr>
        <w:t xml:space="preserve"> </w:t>
      </w:r>
      <w:r w:rsidR="003D6ADB" w:rsidRPr="00100AAC">
        <w:rPr>
          <w:color w:val="000000"/>
        </w:rPr>
        <w:t>was</w:t>
      </w:r>
      <w:r w:rsidRPr="00100AAC">
        <w:rPr>
          <w:color w:val="000000"/>
        </w:rPr>
        <w:t xml:space="preserve"> </w:t>
      </w:r>
      <w:r w:rsidR="00C84281" w:rsidRPr="00100AAC">
        <w:rPr>
          <w:color w:val="000000"/>
        </w:rPr>
        <w:t>adopted</w:t>
      </w:r>
      <w:r w:rsidR="003D6ADB" w:rsidRPr="00100AAC">
        <w:rPr>
          <w:color w:val="000000"/>
        </w:rPr>
        <w:t xml:space="preserve"> </w:t>
      </w:r>
      <w:r w:rsidRPr="00100AAC">
        <w:rPr>
          <w:color w:val="000000"/>
        </w:rPr>
        <w:t xml:space="preserve">as a lens </w:t>
      </w:r>
      <w:r w:rsidR="00133C19" w:rsidRPr="00100AAC">
        <w:rPr>
          <w:color w:val="000000"/>
        </w:rPr>
        <w:t xml:space="preserve">to </w:t>
      </w:r>
      <w:r w:rsidR="003D6ADB" w:rsidRPr="00100AAC">
        <w:rPr>
          <w:color w:val="000000"/>
        </w:rPr>
        <w:t>make sense of</w:t>
      </w:r>
      <w:r w:rsidRPr="00100AAC">
        <w:rPr>
          <w:color w:val="000000"/>
        </w:rPr>
        <w:t xml:space="preserve"> the data</w:t>
      </w:r>
      <w:r w:rsidR="00C84281" w:rsidRPr="00100AAC">
        <w:rPr>
          <w:color w:val="000000"/>
        </w:rPr>
        <w:t xml:space="preserve"> and to add analytic power</w:t>
      </w:r>
      <w:r w:rsidRPr="00100AAC">
        <w:rPr>
          <w:color w:val="000000"/>
        </w:rPr>
        <w:t xml:space="preserve"> (Braun &amp; Clarke, 2019</w:t>
      </w:r>
      <w:r w:rsidR="003D6ADB" w:rsidRPr="00100AAC">
        <w:rPr>
          <w:color w:val="000000"/>
        </w:rPr>
        <w:t>, 2022</w:t>
      </w:r>
      <w:r w:rsidRPr="00100AAC">
        <w:rPr>
          <w:color w:val="000000"/>
        </w:rPr>
        <w:t>)</w:t>
      </w:r>
      <w:r w:rsidR="00EE24D9" w:rsidRPr="00100AAC">
        <w:rPr>
          <w:color w:val="000000"/>
        </w:rPr>
        <w:t xml:space="preserve">. </w:t>
      </w:r>
      <w:r w:rsidR="00133C19" w:rsidRPr="00100AAC">
        <w:rPr>
          <w:color w:val="000000"/>
        </w:rPr>
        <w:t>The authors familiarised themselves with the data by reading/re-reading the survey responses</w:t>
      </w:r>
      <w:r w:rsidR="009C680F" w:rsidRPr="00100AAC">
        <w:rPr>
          <w:color w:val="000000"/>
        </w:rPr>
        <w:t xml:space="preserve"> through a process of immersion</w:t>
      </w:r>
      <w:r w:rsidR="00133C19" w:rsidRPr="00100AAC">
        <w:rPr>
          <w:color w:val="000000"/>
        </w:rPr>
        <w:t xml:space="preserve">. </w:t>
      </w:r>
      <w:r w:rsidR="003F33D4" w:rsidRPr="00100AAC">
        <w:rPr>
          <w:color w:val="000000"/>
        </w:rPr>
        <w:t>The</w:t>
      </w:r>
      <w:r w:rsidR="00133C19" w:rsidRPr="00100AAC">
        <w:rPr>
          <w:color w:val="000000"/>
        </w:rPr>
        <w:t xml:space="preserve"> responses were then inductively</w:t>
      </w:r>
      <w:r w:rsidR="0057597B" w:rsidRPr="00100AAC">
        <w:rPr>
          <w:color w:val="000000"/>
        </w:rPr>
        <w:t xml:space="preserve"> (</w:t>
      </w:r>
      <w:r w:rsidR="0092708E" w:rsidRPr="00100AAC">
        <w:rPr>
          <w:color w:val="000000"/>
        </w:rPr>
        <w:t xml:space="preserve">e.g., </w:t>
      </w:r>
      <w:r w:rsidR="0057597B" w:rsidRPr="00100AAC">
        <w:rPr>
          <w:color w:val="000000"/>
        </w:rPr>
        <w:t>driven by the data)</w:t>
      </w:r>
      <w:r w:rsidR="00133C19" w:rsidRPr="00100AAC">
        <w:rPr>
          <w:color w:val="000000"/>
        </w:rPr>
        <w:t xml:space="preserve"> and deductively</w:t>
      </w:r>
      <w:r w:rsidR="0057597B" w:rsidRPr="00100AAC">
        <w:rPr>
          <w:color w:val="000000"/>
        </w:rPr>
        <w:t xml:space="preserve"> (</w:t>
      </w:r>
      <w:r w:rsidR="0092708E" w:rsidRPr="00100AAC">
        <w:rPr>
          <w:color w:val="000000"/>
        </w:rPr>
        <w:t>e.g., guided</w:t>
      </w:r>
      <w:r w:rsidR="0057597B" w:rsidRPr="00100AAC">
        <w:rPr>
          <w:color w:val="000000"/>
        </w:rPr>
        <w:t xml:space="preserve"> by Moon’s concepts)</w:t>
      </w:r>
      <w:r w:rsidR="00133C19" w:rsidRPr="00100AAC">
        <w:rPr>
          <w:color w:val="000000"/>
        </w:rPr>
        <w:t xml:space="preserve"> coded</w:t>
      </w:r>
      <w:r w:rsidR="003F33D4" w:rsidRPr="00100AAC">
        <w:rPr>
          <w:color w:val="000000"/>
        </w:rPr>
        <w:t>,</w:t>
      </w:r>
      <w:r w:rsidR="00EE24D9" w:rsidRPr="00100AAC">
        <w:rPr>
          <w:color w:val="000000"/>
        </w:rPr>
        <w:t xml:space="preserve"> through</w:t>
      </w:r>
      <w:r w:rsidR="00133C19" w:rsidRPr="00100AAC">
        <w:rPr>
          <w:color w:val="000000"/>
        </w:rPr>
        <w:t xml:space="preserve"> identifying passages of interest </w:t>
      </w:r>
      <w:r w:rsidR="00D84D89" w:rsidRPr="00100AAC">
        <w:rPr>
          <w:color w:val="000000"/>
        </w:rPr>
        <w:t>guided by</w:t>
      </w:r>
      <w:r w:rsidR="00133C19" w:rsidRPr="00100AAC">
        <w:rPr>
          <w:color w:val="000000"/>
        </w:rPr>
        <w:t xml:space="preserve"> both theoretical and content relevance</w:t>
      </w:r>
      <w:r w:rsidR="0028325C" w:rsidRPr="00100AAC">
        <w:rPr>
          <w:color w:val="000000"/>
        </w:rPr>
        <w:t xml:space="preserve"> following </w:t>
      </w:r>
      <w:r w:rsidR="00EE24D9" w:rsidRPr="00100AAC">
        <w:rPr>
          <w:color w:val="000000"/>
        </w:rPr>
        <w:t>prolonged</w:t>
      </w:r>
      <w:r w:rsidR="0028325C" w:rsidRPr="00100AAC">
        <w:rPr>
          <w:color w:val="000000"/>
        </w:rPr>
        <w:t xml:space="preserve"> engagement</w:t>
      </w:r>
      <w:r w:rsidR="00133C19" w:rsidRPr="00100AAC">
        <w:rPr>
          <w:color w:val="000000"/>
        </w:rPr>
        <w:t xml:space="preserve"> </w:t>
      </w:r>
      <w:r w:rsidR="00AE3D61" w:rsidRPr="00100AAC">
        <w:rPr>
          <w:color w:val="000000"/>
        </w:rPr>
        <w:t xml:space="preserve">with the data </w:t>
      </w:r>
      <w:r w:rsidR="00133C19" w:rsidRPr="00100AAC">
        <w:rPr>
          <w:color w:val="000000"/>
        </w:rPr>
        <w:t xml:space="preserve">(Braun </w:t>
      </w:r>
      <w:r w:rsidR="003F33D4" w:rsidRPr="00100AAC">
        <w:rPr>
          <w:color w:val="000000"/>
        </w:rPr>
        <w:t>&amp; Clarke, 2022</w:t>
      </w:r>
      <w:r w:rsidR="00133C19" w:rsidRPr="00100AAC">
        <w:rPr>
          <w:color w:val="000000"/>
        </w:rPr>
        <w:t>).</w:t>
      </w:r>
      <w:r w:rsidR="0092708E" w:rsidRPr="00100AAC">
        <w:rPr>
          <w:color w:val="000000"/>
        </w:rPr>
        <w:t xml:space="preserve"> Code labels as succinct words or phrases were attached to survey responses, to identify and highlight analytically interesting concepts and ideas (Braun &amp; Clarke, 2022).</w:t>
      </w:r>
      <w:r w:rsidR="00133C19" w:rsidRPr="00100AAC">
        <w:rPr>
          <w:color w:val="000000"/>
        </w:rPr>
        <w:t xml:space="preserve"> </w:t>
      </w:r>
      <w:r w:rsidR="0057597B" w:rsidRPr="00100AAC">
        <w:rPr>
          <w:color w:val="000000"/>
        </w:rPr>
        <w:t xml:space="preserve">Rather than seeking a consensus, </w:t>
      </w:r>
      <w:r w:rsidR="0028325C" w:rsidRPr="00100AAC">
        <w:rPr>
          <w:color w:val="000000"/>
        </w:rPr>
        <w:t xml:space="preserve">the </w:t>
      </w:r>
      <w:r w:rsidR="0057597B" w:rsidRPr="00100AAC">
        <w:rPr>
          <w:color w:val="000000"/>
        </w:rPr>
        <w:t>process of coding survey responses</w:t>
      </w:r>
      <w:r w:rsidR="0028325C" w:rsidRPr="00100AAC">
        <w:rPr>
          <w:color w:val="000000"/>
        </w:rPr>
        <w:t xml:space="preserve"> was collaborative</w:t>
      </w:r>
      <w:r w:rsidR="0092708E" w:rsidRPr="00100AAC">
        <w:rPr>
          <w:color w:val="000000"/>
        </w:rPr>
        <w:t xml:space="preserve"> between the researchers</w:t>
      </w:r>
      <w:r w:rsidR="0057597B" w:rsidRPr="00100AAC">
        <w:rPr>
          <w:color w:val="000000"/>
        </w:rPr>
        <w:t xml:space="preserve"> to enhance both reflexivity and interpretative depth</w:t>
      </w:r>
      <w:r w:rsidR="00066191" w:rsidRPr="00100AAC">
        <w:rPr>
          <w:color w:val="000000"/>
        </w:rPr>
        <w:t xml:space="preserve">, alongside recognising the existence of </w:t>
      </w:r>
      <w:r w:rsidR="0092708E" w:rsidRPr="00100AAC">
        <w:rPr>
          <w:color w:val="000000"/>
        </w:rPr>
        <w:t>multiple ideas, assumptions, and interpretations of qualitative data</w:t>
      </w:r>
      <w:r w:rsidR="0057597B" w:rsidRPr="00100AAC">
        <w:rPr>
          <w:color w:val="000000"/>
        </w:rPr>
        <w:t xml:space="preserve"> </w:t>
      </w:r>
      <w:r w:rsidR="0028325C" w:rsidRPr="00100AAC">
        <w:rPr>
          <w:color w:val="000000"/>
        </w:rPr>
        <w:t xml:space="preserve">(Braun &amp; Clarke, </w:t>
      </w:r>
      <w:r w:rsidR="00066191" w:rsidRPr="00100AAC">
        <w:rPr>
          <w:color w:val="000000"/>
        </w:rPr>
        <w:t xml:space="preserve">2019, </w:t>
      </w:r>
      <w:r w:rsidR="0028325C" w:rsidRPr="00100AAC">
        <w:rPr>
          <w:color w:val="000000"/>
        </w:rPr>
        <w:t>2022).</w:t>
      </w:r>
      <w:r w:rsidR="00C84281" w:rsidRPr="00100AAC">
        <w:rPr>
          <w:color w:val="000000"/>
        </w:rPr>
        <w:t xml:space="preserve"> As such, initial codes were developed following interpretative engagement with the survey data,</w:t>
      </w:r>
      <w:r w:rsidR="0092708E" w:rsidRPr="00100AAC">
        <w:rPr>
          <w:color w:val="000000"/>
        </w:rPr>
        <w:t xml:space="preserve"> </w:t>
      </w:r>
      <w:r w:rsidR="00C84281" w:rsidRPr="00100AAC">
        <w:rPr>
          <w:color w:val="000000"/>
        </w:rPr>
        <w:t>acknowledging these might evolve and change through further immersion with the</w:t>
      </w:r>
      <w:r w:rsidR="0092708E" w:rsidRPr="00100AAC">
        <w:rPr>
          <w:color w:val="000000"/>
        </w:rPr>
        <w:t xml:space="preserve"> forthcoming</w:t>
      </w:r>
      <w:r w:rsidR="00C84281" w:rsidRPr="00100AAC">
        <w:rPr>
          <w:color w:val="000000"/>
        </w:rPr>
        <w:t xml:space="preserve"> interview data (Braun &amp; Clarke, 2023). </w:t>
      </w:r>
    </w:p>
    <w:p w14:paraId="3C95C5DE" w14:textId="53C2D721" w:rsidR="00104A1D" w:rsidRPr="00100AAC" w:rsidRDefault="00BE40B9" w:rsidP="00D84D89">
      <w:pPr>
        <w:pStyle w:val="paragraph"/>
        <w:spacing w:line="480" w:lineRule="auto"/>
        <w:ind w:firstLine="720"/>
        <w:jc w:val="both"/>
        <w:rPr>
          <w:color w:val="000000"/>
        </w:rPr>
      </w:pPr>
      <w:r w:rsidRPr="00100AAC">
        <w:rPr>
          <w:color w:val="000000"/>
        </w:rPr>
        <w:t xml:space="preserve"> Having coded the survey responses</w:t>
      </w:r>
      <w:r w:rsidR="009C680F" w:rsidRPr="00100AAC">
        <w:rPr>
          <w:color w:val="000000"/>
        </w:rPr>
        <w:t xml:space="preserve">, </w:t>
      </w:r>
      <w:r w:rsidRPr="00100AAC">
        <w:rPr>
          <w:color w:val="000000"/>
        </w:rPr>
        <w:t xml:space="preserve">interviews were conducted, with the </w:t>
      </w:r>
      <w:r w:rsidR="00EE24D9" w:rsidRPr="00100AAC">
        <w:rPr>
          <w:color w:val="000000"/>
        </w:rPr>
        <w:t>preliminary</w:t>
      </w:r>
      <w:r w:rsidRPr="00100AAC">
        <w:rPr>
          <w:color w:val="000000"/>
        </w:rPr>
        <w:t xml:space="preserve"> ideas and insights from the</w:t>
      </w:r>
      <w:r w:rsidR="00EE24D9" w:rsidRPr="00100AAC">
        <w:rPr>
          <w:color w:val="000000"/>
        </w:rPr>
        <w:t xml:space="preserve"> </w:t>
      </w:r>
      <w:r w:rsidRPr="00100AAC">
        <w:rPr>
          <w:color w:val="000000"/>
        </w:rPr>
        <w:t xml:space="preserve">survey dataset informing the construction of the interview guide. </w:t>
      </w:r>
      <w:r w:rsidR="00104A1D" w:rsidRPr="00100AAC">
        <w:rPr>
          <w:color w:val="000000"/>
        </w:rPr>
        <w:t xml:space="preserve">Initial codes from the survey data were tentatively grouped together and placed into sections within the interview guide. For example, the interview guide was divided into topical sections derived from the survey codes such as ‘course structure and assessment’, ‘coaching beliefs and practices’, and ‘recommendations for SGB’. </w:t>
      </w:r>
      <w:r w:rsidR="00EE24D9" w:rsidRPr="00100AAC">
        <w:rPr>
          <w:color w:val="000000"/>
        </w:rPr>
        <w:t>After</w:t>
      </w:r>
      <w:r w:rsidRPr="00100AAC">
        <w:rPr>
          <w:color w:val="000000"/>
        </w:rPr>
        <w:t xml:space="preserve"> </w:t>
      </w:r>
      <w:r w:rsidR="00EE24D9" w:rsidRPr="00100AAC">
        <w:rPr>
          <w:color w:val="000000"/>
        </w:rPr>
        <w:t xml:space="preserve">transcribing </w:t>
      </w:r>
      <w:r w:rsidRPr="00100AAC">
        <w:rPr>
          <w:color w:val="000000"/>
        </w:rPr>
        <w:t xml:space="preserve">all interviews, the phases of </w:t>
      </w:r>
      <w:r w:rsidRPr="00100AAC">
        <w:rPr>
          <w:color w:val="000000"/>
        </w:rPr>
        <w:lastRenderedPageBreak/>
        <w:t>familiarisation and coding were followed once again</w:t>
      </w:r>
      <w:r w:rsidR="00C84281" w:rsidRPr="00100AAC">
        <w:rPr>
          <w:color w:val="000000"/>
        </w:rPr>
        <w:t xml:space="preserve"> with the interview data</w:t>
      </w:r>
      <w:r w:rsidR="009C680F" w:rsidRPr="00100AAC">
        <w:rPr>
          <w:color w:val="000000"/>
        </w:rPr>
        <w:t xml:space="preserve"> in an iterative manner. Furthermore, during th</w:t>
      </w:r>
      <w:r w:rsidR="00AE3D61" w:rsidRPr="00100AAC">
        <w:rPr>
          <w:color w:val="000000"/>
        </w:rPr>
        <w:t>ese</w:t>
      </w:r>
      <w:r w:rsidR="009C680F" w:rsidRPr="00100AAC">
        <w:rPr>
          <w:color w:val="000000"/>
        </w:rPr>
        <w:t xml:space="preserve"> phase</w:t>
      </w:r>
      <w:r w:rsidR="00AE3D61" w:rsidRPr="00100AAC">
        <w:rPr>
          <w:color w:val="000000"/>
        </w:rPr>
        <w:t>s</w:t>
      </w:r>
      <w:r w:rsidR="009C680F" w:rsidRPr="00100AAC">
        <w:rPr>
          <w:color w:val="000000"/>
        </w:rPr>
        <w:t xml:space="preserve"> t</w:t>
      </w:r>
      <w:r w:rsidR="00C84281" w:rsidRPr="00100AAC">
        <w:rPr>
          <w:color w:val="000000"/>
        </w:rPr>
        <w:t>he</w:t>
      </w:r>
      <w:r w:rsidR="005727D0" w:rsidRPr="00100AAC">
        <w:rPr>
          <w:color w:val="000000"/>
        </w:rPr>
        <w:t xml:space="preserve"> initial codes </w:t>
      </w:r>
      <w:r w:rsidR="009C680F" w:rsidRPr="00100AAC">
        <w:rPr>
          <w:color w:val="000000"/>
        </w:rPr>
        <w:t>a</w:t>
      </w:r>
      <w:r w:rsidR="00AE3D61" w:rsidRPr="00100AAC">
        <w:rPr>
          <w:color w:val="000000"/>
        </w:rPr>
        <w:t>ssigned</w:t>
      </w:r>
      <w:r w:rsidR="009C680F" w:rsidRPr="00100AAC">
        <w:rPr>
          <w:color w:val="000000"/>
        </w:rPr>
        <w:t xml:space="preserve"> to</w:t>
      </w:r>
      <w:r w:rsidR="005727D0" w:rsidRPr="00100AAC">
        <w:rPr>
          <w:color w:val="000000"/>
        </w:rPr>
        <w:t xml:space="preserve"> the</w:t>
      </w:r>
      <w:r w:rsidR="00C84281" w:rsidRPr="00100AAC">
        <w:rPr>
          <w:color w:val="000000"/>
        </w:rPr>
        <w:t xml:space="preserve"> survey data </w:t>
      </w:r>
      <w:r w:rsidR="00104A1D" w:rsidRPr="00100AAC">
        <w:rPr>
          <w:color w:val="000000"/>
        </w:rPr>
        <w:t xml:space="preserve">and used to inform the interview guide </w:t>
      </w:r>
      <w:r w:rsidR="00C84281" w:rsidRPr="00100AAC">
        <w:rPr>
          <w:color w:val="000000"/>
        </w:rPr>
        <w:t>w</w:t>
      </w:r>
      <w:r w:rsidR="001C76CA" w:rsidRPr="00100AAC">
        <w:rPr>
          <w:color w:val="000000"/>
        </w:rPr>
        <w:t>ere</w:t>
      </w:r>
      <w:r w:rsidR="00C84281" w:rsidRPr="00100AAC">
        <w:rPr>
          <w:color w:val="000000"/>
        </w:rPr>
        <w:t xml:space="preserve"> revisited</w:t>
      </w:r>
      <w:r w:rsidR="005727D0" w:rsidRPr="00100AAC">
        <w:rPr>
          <w:color w:val="000000"/>
        </w:rPr>
        <w:t xml:space="preserve"> to enhance rigour (Braun &amp; Clarke, 2022)</w:t>
      </w:r>
      <w:r w:rsidRPr="00100AAC">
        <w:rPr>
          <w:color w:val="000000"/>
        </w:rPr>
        <w:t xml:space="preserve">. This distancing </w:t>
      </w:r>
      <w:r w:rsidR="005727D0" w:rsidRPr="00100AAC">
        <w:rPr>
          <w:color w:val="000000"/>
        </w:rPr>
        <w:t>and time lapse between</w:t>
      </w:r>
      <w:r w:rsidR="001C76CA" w:rsidRPr="00100AAC">
        <w:rPr>
          <w:color w:val="000000"/>
        </w:rPr>
        <w:t xml:space="preserve"> initial survey data coding</w:t>
      </w:r>
      <w:r w:rsidR="009C680F" w:rsidRPr="00100AAC">
        <w:rPr>
          <w:color w:val="000000"/>
        </w:rPr>
        <w:t xml:space="preserve"> </w:t>
      </w:r>
      <w:r w:rsidR="001C76CA" w:rsidRPr="00100AAC">
        <w:rPr>
          <w:color w:val="000000"/>
        </w:rPr>
        <w:t>and interview data coding</w:t>
      </w:r>
      <w:r w:rsidR="009C680F" w:rsidRPr="00100AAC">
        <w:rPr>
          <w:color w:val="000000"/>
        </w:rPr>
        <w:t xml:space="preserve"> </w:t>
      </w:r>
      <w:r w:rsidR="005727D0" w:rsidRPr="00100AAC">
        <w:rPr>
          <w:color w:val="000000"/>
        </w:rPr>
        <w:t>enabled</w:t>
      </w:r>
      <w:r w:rsidRPr="00100AAC">
        <w:rPr>
          <w:color w:val="000000"/>
        </w:rPr>
        <w:t xml:space="preserve"> reflection and further insight</w:t>
      </w:r>
      <w:r w:rsidR="005727D0" w:rsidRPr="00100AAC">
        <w:rPr>
          <w:color w:val="000000"/>
        </w:rPr>
        <w:t xml:space="preserve"> </w:t>
      </w:r>
      <w:r w:rsidR="001C76CA" w:rsidRPr="00100AAC">
        <w:rPr>
          <w:color w:val="000000"/>
        </w:rPr>
        <w:t>to develop.</w:t>
      </w:r>
      <w:r w:rsidRPr="00100AAC">
        <w:rPr>
          <w:color w:val="000000"/>
        </w:rPr>
        <w:t xml:space="preserve"> </w:t>
      </w:r>
      <w:r w:rsidR="007402E6" w:rsidRPr="00100AAC">
        <w:rPr>
          <w:color w:val="000000"/>
        </w:rPr>
        <w:t>Accordingly</w:t>
      </w:r>
      <w:r w:rsidRPr="00100AAC">
        <w:rPr>
          <w:color w:val="000000"/>
        </w:rPr>
        <w:t xml:space="preserve">, </w:t>
      </w:r>
      <w:r w:rsidR="00AE3D61" w:rsidRPr="00100AAC">
        <w:rPr>
          <w:color w:val="000000"/>
        </w:rPr>
        <w:t xml:space="preserve">the </w:t>
      </w:r>
      <w:r w:rsidRPr="00100AAC">
        <w:rPr>
          <w:color w:val="000000"/>
        </w:rPr>
        <w:t>initial codes</w:t>
      </w:r>
      <w:r w:rsidR="009C680F" w:rsidRPr="00100AAC">
        <w:rPr>
          <w:color w:val="000000"/>
        </w:rPr>
        <w:t xml:space="preserve"> </w:t>
      </w:r>
      <w:r w:rsidR="00D84D89" w:rsidRPr="00100AAC">
        <w:rPr>
          <w:color w:val="000000"/>
        </w:rPr>
        <w:t xml:space="preserve">evolved in an organic way following </w:t>
      </w:r>
      <w:r w:rsidR="00AE3D61" w:rsidRPr="00100AAC">
        <w:rPr>
          <w:color w:val="000000"/>
        </w:rPr>
        <w:t>enhanced</w:t>
      </w:r>
      <w:r w:rsidR="00D84D89" w:rsidRPr="00100AAC">
        <w:rPr>
          <w:color w:val="000000"/>
        </w:rPr>
        <w:t xml:space="preserve"> understanding</w:t>
      </w:r>
      <w:r w:rsidR="00EE24D9" w:rsidRPr="00100AAC">
        <w:rPr>
          <w:color w:val="000000"/>
        </w:rPr>
        <w:t xml:space="preserve"> and </w:t>
      </w:r>
      <w:r w:rsidR="009C680F" w:rsidRPr="00100AAC">
        <w:rPr>
          <w:color w:val="000000"/>
        </w:rPr>
        <w:t>(re)</w:t>
      </w:r>
      <w:r w:rsidR="004F27FC" w:rsidRPr="00100AAC">
        <w:rPr>
          <w:color w:val="000000"/>
        </w:rPr>
        <w:t>interpretation</w:t>
      </w:r>
      <w:r w:rsidR="009C680F" w:rsidRPr="00100AAC">
        <w:rPr>
          <w:color w:val="000000"/>
        </w:rPr>
        <w:t xml:space="preserve"> of the data</w:t>
      </w:r>
      <w:r w:rsidR="004F27FC" w:rsidRPr="00100AAC">
        <w:rPr>
          <w:color w:val="000000"/>
        </w:rPr>
        <w:t xml:space="preserve"> and</w:t>
      </w:r>
      <w:r w:rsidR="005727D0" w:rsidRPr="00100AAC">
        <w:rPr>
          <w:color w:val="000000"/>
        </w:rPr>
        <w:t xml:space="preserve"> were</w:t>
      </w:r>
      <w:r w:rsidR="00AE3D61" w:rsidRPr="00100AAC">
        <w:rPr>
          <w:color w:val="000000"/>
        </w:rPr>
        <w:t xml:space="preserve"> then</w:t>
      </w:r>
      <w:r w:rsidR="005727D0" w:rsidRPr="00100AAC">
        <w:rPr>
          <w:color w:val="000000"/>
        </w:rPr>
        <w:t xml:space="preserve"> </w:t>
      </w:r>
      <w:r w:rsidR="004F27FC" w:rsidRPr="00100AAC">
        <w:rPr>
          <w:color w:val="000000"/>
        </w:rPr>
        <w:t>(re)</w:t>
      </w:r>
      <w:r w:rsidR="005727D0" w:rsidRPr="00100AAC">
        <w:rPr>
          <w:color w:val="000000"/>
        </w:rPr>
        <w:t>applied across the</w:t>
      </w:r>
      <w:r w:rsidR="00AE3D61" w:rsidRPr="00100AAC">
        <w:rPr>
          <w:color w:val="000000"/>
        </w:rPr>
        <w:t xml:space="preserve"> entire</w:t>
      </w:r>
      <w:r w:rsidR="005727D0" w:rsidRPr="00100AAC">
        <w:rPr>
          <w:color w:val="000000"/>
        </w:rPr>
        <w:t xml:space="preserve"> survey and interview dataset</w:t>
      </w:r>
      <w:r w:rsidR="00104A1D" w:rsidRPr="00100AAC">
        <w:rPr>
          <w:color w:val="000000"/>
        </w:rPr>
        <w:t xml:space="preserve"> at both a latent and semantic level</w:t>
      </w:r>
      <w:r w:rsidR="001C76CA" w:rsidRPr="00100AAC">
        <w:rPr>
          <w:color w:val="000000"/>
        </w:rPr>
        <w:t xml:space="preserve"> </w:t>
      </w:r>
      <w:r w:rsidR="00D84D89" w:rsidRPr="00100AAC">
        <w:rPr>
          <w:color w:val="000000"/>
        </w:rPr>
        <w:t>(Braun &amp; Clarke, 2022). Finalised</w:t>
      </w:r>
      <w:r w:rsidR="0028325C" w:rsidRPr="00100AAC">
        <w:rPr>
          <w:color w:val="000000"/>
        </w:rPr>
        <w:t xml:space="preserve"> </w:t>
      </w:r>
      <w:r w:rsidR="00D84D89" w:rsidRPr="00100AAC">
        <w:rPr>
          <w:color w:val="000000"/>
        </w:rPr>
        <w:t>c</w:t>
      </w:r>
      <w:r w:rsidR="00133C19" w:rsidRPr="00100AAC">
        <w:rPr>
          <w:color w:val="000000"/>
        </w:rPr>
        <w:t>odes were</w:t>
      </w:r>
      <w:r w:rsidR="0028325C" w:rsidRPr="00100AAC">
        <w:rPr>
          <w:color w:val="000000"/>
        </w:rPr>
        <w:t xml:space="preserve"> </w:t>
      </w:r>
      <w:r w:rsidR="00133C19" w:rsidRPr="00100AAC">
        <w:rPr>
          <w:color w:val="000000"/>
        </w:rPr>
        <w:t xml:space="preserve">collated into </w:t>
      </w:r>
      <w:r w:rsidR="00CD78D0" w:rsidRPr="00100AAC">
        <w:rPr>
          <w:color w:val="000000"/>
        </w:rPr>
        <w:t>generated</w:t>
      </w:r>
      <w:r w:rsidR="00133C19" w:rsidRPr="00100AAC">
        <w:rPr>
          <w:color w:val="000000"/>
        </w:rPr>
        <w:t xml:space="preserve"> themes</w:t>
      </w:r>
      <w:r w:rsidR="0028325C" w:rsidRPr="00100AAC">
        <w:rPr>
          <w:color w:val="000000"/>
        </w:rPr>
        <w:t xml:space="preserve"> as analytical outputs</w:t>
      </w:r>
      <w:r w:rsidR="00133C19" w:rsidRPr="00100AAC">
        <w:rPr>
          <w:color w:val="000000"/>
        </w:rPr>
        <w:t xml:space="preserve">, </w:t>
      </w:r>
      <w:r w:rsidR="0028325C" w:rsidRPr="00100AAC">
        <w:rPr>
          <w:color w:val="000000"/>
        </w:rPr>
        <w:t>which attempt</w:t>
      </w:r>
      <w:r w:rsidR="00D84D89" w:rsidRPr="00100AAC">
        <w:rPr>
          <w:color w:val="000000"/>
        </w:rPr>
        <w:t>ed</w:t>
      </w:r>
      <w:r w:rsidR="0028325C" w:rsidRPr="00100AAC">
        <w:rPr>
          <w:color w:val="000000"/>
        </w:rPr>
        <w:t xml:space="preserve"> to capture</w:t>
      </w:r>
      <w:r w:rsidR="00133C19" w:rsidRPr="00100AAC">
        <w:rPr>
          <w:color w:val="000000"/>
        </w:rPr>
        <w:t xml:space="preserve"> patterns </w:t>
      </w:r>
      <w:r w:rsidR="0028325C" w:rsidRPr="00100AAC">
        <w:rPr>
          <w:color w:val="000000"/>
        </w:rPr>
        <w:t>and highlight</w:t>
      </w:r>
      <w:r w:rsidR="00133C19" w:rsidRPr="00100AAC">
        <w:rPr>
          <w:color w:val="000000"/>
        </w:rPr>
        <w:t xml:space="preserve"> significant </w:t>
      </w:r>
      <w:r w:rsidR="00EE24D9" w:rsidRPr="00100AAC">
        <w:rPr>
          <w:color w:val="000000"/>
        </w:rPr>
        <w:t>areas of interest</w:t>
      </w:r>
      <w:r w:rsidR="00AE3D61" w:rsidRPr="00100AAC">
        <w:rPr>
          <w:color w:val="000000"/>
        </w:rPr>
        <w:t xml:space="preserve"> within the data</w:t>
      </w:r>
      <w:r w:rsidR="00133C19" w:rsidRPr="00100AAC">
        <w:rPr>
          <w:color w:val="000000"/>
        </w:rPr>
        <w:t xml:space="preserve"> (Braun </w:t>
      </w:r>
      <w:r w:rsidR="0028325C" w:rsidRPr="00100AAC">
        <w:rPr>
          <w:color w:val="000000"/>
        </w:rPr>
        <w:t>&amp; Clarke, 2019, 2022).</w:t>
      </w:r>
    </w:p>
    <w:p w14:paraId="3C7EE6E5" w14:textId="5BB7FDF0" w:rsidR="00133C19" w:rsidRPr="00100AAC" w:rsidRDefault="00CD78D0" w:rsidP="00D84D89">
      <w:pPr>
        <w:pStyle w:val="paragraph"/>
        <w:spacing w:line="480" w:lineRule="auto"/>
        <w:ind w:firstLine="720"/>
        <w:jc w:val="both"/>
        <w:rPr>
          <w:color w:val="000000"/>
        </w:rPr>
      </w:pPr>
      <w:r w:rsidRPr="00100AAC">
        <w:rPr>
          <w:color w:val="000000"/>
        </w:rPr>
        <w:t xml:space="preserve"> Following prolonged analytical work, themes were generated to capture shared meaning around </w:t>
      </w:r>
      <w:r w:rsidR="00AE3D61" w:rsidRPr="00100AAC">
        <w:rPr>
          <w:color w:val="000000"/>
        </w:rPr>
        <w:t>centralised</w:t>
      </w:r>
      <w:r w:rsidRPr="00100AAC">
        <w:rPr>
          <w:color w:val="000000"/>
        </w:rPr>
        <w:t xml:space="preserve"> concept</w:t>
      </w:r>
      <w:r w:rsidR="00AE3D61" w:rsidRPr="00100AAC">
        <w:rPr>
          <w:color w:val="000000"/>
        </w:rPr>
        <w:t>s</w:t>
      </w:r>
      <w:r w:rsidRPr="00100AAC">
        <w:rPr>
          <w:color w:val="000000"/>
        </w:rPr>
        <w:t xml:space="preserve">, </w:t>
      </w:r>
      <w:r w:rsidR="009C680F" w:rsidRPr="00100AAC">
        <w:rPr>
          <w:color w:val="000000"/>
        </w:rPr>
        <w:t xml:space="preserve">as opposed to </w:t>
      </w:r>
      <w:r w:rsidR="00AE3D61" w:rsidRPr="00100AAC">
        <w:rPr>
          <w:color w:val="000000"/>
        </w:rPr>
        <w:t xml:space="preserve">merely </w:t>
      </w:r>
      <w:r w:rsidR="009C680F" w:rsidRPr="00100AAC">
        <w:rPr>
          <w:color w:val="000000"/>
        </w:rPr>
        <w:t>summarising topic areas</w:t>
      </w:r>
      <w:r w:rsidRPr="00100AAC">
        <w:rPr>
          <w:color w:val="000000"/>
        </w:rPr>
        <w:t xml:space="preserve"> (Braun &amp; Clarke, 2023). </w:t>
      </w:r>
      <w:r w:rsidR="00066191" w:rsidRPr="00100AAC">
        <w:rPr>
          <w:color w:val="000000"/>
        </w:rPr>
        <w:t>Indeed, reflexive approaches to thematic analysis involve delayed theme generation following a substantial coding process, with generated themes considered a representation of the researchers’ subjectivit</w:t>
      </w:r>
      <w:r w:rsidR="009C680F" w:rsidRPr="00100AAC">
        <w:rPr>
          <w:color w:val="000000"/>
        </w:rPr>
        <w:t>ies</w:t>
      </w:r>
      <w:r w:rsidR="00066191" w:rsidRPr="00100AAC">
        <w:rPr>
          <w:color w:val="000000"/>
        </w:rPr>
        <w:t xml:space="preserve"> and </w:t>
      </w:r>
      <w:r w:rsidR="009C680F" w:rsidRPr="00100AAC">
        <w:rPr>
          <w:color w:val="000000"/>
        </w:rPr>
        <w:t xml:space="preserve">personal </w:t>
      </w:r>
      <w:r w:rsidR="00066191" w:rsidRPr="00100AAC">
        <w:rPr>
          <w:color w:val="000000"/>
        </w:rPr>
        <w:t xml:space="preserve">interpretation (Braun &amp; Clarke, 2022). </w:t>
      </w:r>
      <w:r w:rsidR="00133C19" w:rsidRPr="00100AAC">
        <w:rPr>
          <w:color w:val="000000"/>
        </w:rPr>
        <w:t xml:space="preserve">The </w:t>
      </w:r>
      <w:r w:rsidR="00D84D89" w:rsidRPr="00100AAC">
        <w:rPr>
          <w:color w:val="000000"/>
        </w:rPr>
        <w:t xml:space="preserve">final phases </w:t>
      </w:r>
      <w:r w:rsidR="0028325C" w:rsidRPr="00100AAC">
        <w:rPr>
          <w:color w:val="000000"/>
        </w:rPr>
        <w:t>involved</w:t>
      </w:r>
      <w:r w:rsidR="00133C19" w:rsidRPr="00100AAC">
        <w:rPr>
          <w:color w:val="000000"/>
        </w:rPr>
        <w:t xml:space="preserve"> </w:t>
      </w:r>
      <w:r w:rsidR="00AE3D61" w:rsidRPr="00100AAC">
        <w:rPr>
          <w:color w:val="000000"/>
        </w:rPr>
        <w:t>refining, defining, and naming</w:t>
      </w:r>
      <w:r w:rsidR="00133C19" w:rsidRPr="00100AAC">
        <w:rPr>
          <w:color w:val="000000"/>
        </w:rPr>
        <w:t xml:space="preserve"> the </w:t>
      </w:r>
      <w:r w:rsidR="00066191" w:rsidRPr="00100AAC">
        <w:rPr>
          <w:color w:val="000000"/>
        </w:rPr>
        <w:t>generated</w:t>
      </w:r>
      <w:r w:rsidR="00133C19" w:rsidRPr="00100AAC">
        <w:rPr>
          <w:color w:val="000000"/>
        </w:rPr>
        <w:t xml:space="preserve"> </w:t>
      </w:r>
      <w:r w:rsidR="004B431D" w:rsidRPr="00100AAC">
        <w:rPr>
          <w:color w:val="000000"/>
        </w:rPr>
        <w:t>themes before</w:t>
      </w:r>
      <w:r w:rsidR="0001654A" w:rsidRPr="00100AAC">
        <w:rPr>
          <w:color w:val="000000"/>
        </w:rPr>
        <w:t xml:space="preserve"> the writ</w:t>
      </w:r>
      <w:r w:rsidR="00AE3D61" w:rsidRPr="00100AAC">
        <w:rPr>
          <w:color w:val="000000"/>
        </w:rPr>
        <w:t>e</w:t>
      </w:r>
      <w:r w:rsidR="0001654A" w:rsidRPr="00100AAC">
        <w:rPr>
          <w:color w:val="000000"/>
        </w:rPr>
        <w:t xml:space="preserve"> up</w:t>
      </w:r>
      <w:r w:rsidR="00AE3D61" w:rsidRPr="00100AAC">
        <w:rPr>
          <w:color w:val="000000"/>
        </w:rPr>
        <w:t>,</w:t>
      </w:r>
      <w:r w:rsidR="0001654A" w:rsidRPr="00100AAC">
        <w:rPr>
          <w:color w:val="000000"/>
        </w:rPr>
        <w:t xml:space="preserve"> which incorporate</w:t>
      </w:r>
      <w:r w:rsidR="00EE24D9" w:rsidRPr="00100AAC">
        <w:rPr>
          <w:color w:val="000000"/>
        </w:rPr>
        <w:t>d</w:t>
      </w:r>
      <w:r w:rsidR="0001654A" w:rsidRPr="00100AAC">
        <w:rPr>
          <w:color w:val="000000"/>
        </w:rPr>
        <w:t xml:space="preserve"> data extracts </w:t>
      </w:r>
      <w:r w:rsidR="00AE3D61" w:rsidRPr="00100AAC">
        <w:rPr>
          <w:color w:val="000000"/>
        </w:rPr>
        <w:t>alongside an</w:t>
      </w:r>
      <w:r w:rsidR="00133C19" w:rsidRPr="00100AAC">
        <w:rPr>
          <w:color w:val="000000"/>
        </w:rPr>
        <w:t xml:space="preserve"> analytic</w:t>
      </w:r>
      <w:r w:rsidR="00AE3D61" w:rsidRPr="00100AAC">
        <w:rPr>
          <w:color w:val="000000"/>
        </w:rPr>
        <w:t>al</w:t>
      </w:r>
      <w:r w:rsidR="00133C19" w:rsidRPr="00100AAC">
        <w:rPr>
          <w:color w:val="000000"/>
        </w:rPr>
        <w:t xml:space="preserve"> narrative</w:t>
      </w:r>
      <w:r w:rsidR="00066191" w:rsidRPr="00100AAC">
        <w:rPr>
          <w:color w:val="000000"/>
        </w:rPr>
        <w:t xml:space="preserve"> </w:t>
      </w:r>
      <w:r w:rsidR="00944882" w:rsidRPr="00100AAC">
        <w:rPr>
          <w:color w:val="000000"/>
        </w:rPr>
        <w:t>to move</w:t>
      </w:r>
      <w:r w:rsidR="00066191" w:rsidRPr="00100AAC">
        <w:rPr>
          <w:color w:val="000000"/>
        </w:rPr>
        <w:t xml:space="preserve"> beyond descriptive account</w:t>
      </w:r>
      <w:r w:rsidR="00944882" w:rsidRPr="00100AAC">
        <w:rPr>
          <w:color w:val="000000"/>
        </w:rPr>
        <w:t>s</w:t>
      </w:r>
      <w:r w:rsidR="00066191" w:rsidRPr="00100AAC">
        <w:rPr>
          <w:color w:val="000000"/>
        </w:rPr>
        <w:t xml:space="preserve"> (Braun &amp; Clarke, 2019)</w:t>
      </w:r>
      <w:r w:rsidR="00EE24D9" w:rsidRPr="00100AAC">
        <w:rPr>
          <w:color w:val="000000"/>
        </w:rPr>
        <w:t>.</w:t>
      </w:r>
      <w:r w:rsidR="0057597B" w:rsidRPr="00100AAC">
        <w:rPr>
          <w:color w:val="000000"/>
        </w:rPr>
        <w:t xml:space="preserve"> In </w:t>
      </w:r>
      <w:r w:rsidR="005727D0" w:rsidRPr="00100AAC">
        <w:rPr>
          <w:color w:val="000000"/>
        </w:rPr>
        <w:t>recognising Braun &amp; Clarke’s (2023) call for researchers to display theoretical knowingness</w:t>
      </w:r>
      <w:r w:rsidR="0057597B" w:rsidRPr="00100AAC">
        <w:rPr>
          <w:color w:val="000000"/>
        </w:rPr>
        <w:t>, a relativist approach to reflexive thematic analysis was deployed</w:t>
      </w:r>
      <w:r w:rsidRPr="00100AAC">
        <w:rPr>
          <w:color w:val="000000"/>
        </w:rPr>
        <w:t xml:space="preserve"> which aligns with the researchers’ paradigmatic position. As such, the analysis </w:t>
      </w:r>
      <w:r w:rsidR="001C76CA" w:rsidRPr="00100AAC">
        <w:rPr>
          <w:color w:val="000000"/>
        </w:rPr>
        <w:t>of data presents</w:t>
      </w:r>
      <w:r w:rsidRPr="00100AAC">
        <w:rPr>
          <w:color w:val="000000"/>
        </w:rPr>
        <w:t xml:space="preserve"> an account of the </w:t>
      </w:r>
      <w:r w:rsidR="001C76CA" w:rsidRPr="00100AAC">
        <w:rPr>
          <w:color w:val="000000"/>
        </w:rPr>
        <w:t xml:space="preserve">co-constructed (between participants and researchers) </w:t>
      </w:r>
      <w:r w:rsidRPr="00100AAC">
        <w:rPr>
          <w:color w:val="000000"/>
        </w:rPr>
        <w:t>meaning within the dataset</w:t>
      </w:r>
      <w:r w:rsidR="004220C2" w:rsidRPr="00100AAC">
        <w:rPr>
          <w:color w:val="000000"/>
        </w:rPr>
        <w:t>, offering a reading of constructed realities</w:t>
      </w:r>
      <w:r w:rsidR="001C76CA" w:rsidRPr="00100AAC">
        <w:rPr>
          <w:color w:val="000000"/>
        </w:rPr>
        <w:t xml:space="preserve"> as opposed to </w:t>
      </w:r>
      <w:r w:rsidR="00944882" w:rsidRPr="00100AAC">
        <w:rPr>
          <w:color w:val="000000"/>
        </w:rPr>
        <w:t xml:space="preserve">an </w:t>
      </w:r>
      <w:r w:rsidR="001C76CA" w:rsidRPr="00100AAC">
        <w:rPr>
          <w:color w:val="000000"/>
        </w:rPr>
        <w:t>underlying truth</w:t>
      </w:r>
      <w:r w:rsidR="004220C2" w:rsidRPr="00100AAC">
        <w:rPr>
          <w:color w:val="000000"/>
        </w:rPr>
        <w:t xml:space="preserve"> (Braun &amp; Clarke, 2022). </w:t>
      </w:r>
      <w:r w:rsidR="0057597B" w:rsidRPr="00100AAC">
        <w:rPr>
          <w:color w:val="000000"/>
        </w:rPr>
        <w:t xml:space="preserve"> </w:t>
      </w:r>
    </w:p>
    <w:p w14:paraId="731FCA27" w14:textId="074250A7" w:rsidR="0050031C" w:rsidRPr="00100AAC" w:rsidRDefault="0050031C" w:rsidP="009D3BFB">
      <w:pPr>
        <w:pStyle w:val="paragraph"/>
        <w:jc w:val="center"/>
        <w:rPr>
          <w:b/>
          <w:bCs/>
          <w:color w:val="000000"/>
        </w:rPr>
      </w:pPr>
      <w:r w:rsidRPr="00100AAC">
        <w:rPr>
          <w:b/>
          <w:bCs/>
          <w:color w:val="000000"/>
        </w:rPr>
        <w:t xml:space="preserve">Results </w:t>
      </w:r>
      <w:r w:rsidR="000C4209" w:rsidRPr="00100AAC">
        <w:rPr>
          <w:b/>
          <w:bCs/>
          <w:color w:val="000000"/>
        </w:rPr>
        <w:t>and</w:t>
      </w:r>
      <w:r w:rsidRPr="00100AAC">
        <w:rPr>
          <w:b/>
          <w:bCs/>
          <w:color w:val="000000"/>
        </w:rPr>
        <w:t xml:space="preserve"> discussion</w:t>
      </w:r>
    </w:p>
    <w:p w14:paraId="4136EC9B" w14:textId="656112DB" w:rsidR="0050031C" w:rsidRPr="00100AAC" w:rsidRDefault="0050031C" w:rsidP="009D3BFB">
      <w:pPr>
        <w:pStyle w:val="paragraph"/>
        <w:spacing w:line="480" w:lineRule="auto"/>
        <w:ind w:firstLine="720"/>
        <w:jc w:val="both"/>
        <w:rPr>
          <w:color w:val="000000"/>
        </w:rPr>
      </w:pPr>
      <w:bookmarkStart w:id="8" w:name="_Hlk109903347"/>
      <w:r w:rsidRPr="00100AAC">
        <w:rPr>
          <w:color w:val="000000"/>
        </w:rPr>
        <w:lastRenderedPageBreak/>
        <w:t>As a result of the reflexive thematic analysis process</w:t>
      </w:r>
      <w:r w:rsidR="001C7E70" w:rsidRPr="00100AAC">
        <w:rPr>
          <w:color w:val="000000"/>
        </w:rPr>
        <w:t xml:space="preserve">, </w:t>
      </w:r>
      <w:r w:rsidR="001D7604" w:rsidRPr="00100AAC">
        <w:rPr>
          <w:color w:val="000000"/>
        </w:rPr>
        <w:t>three</w:t>
      </w:r>
      <w:r w:rsidR="001C7E70" w:rsidRPr="00100AAC">
        <w:rPr>
          <w:color w:val="000000"/>
        </w:rPr>
        <w:t xml:space="preserve"> themes were </w:t>
      </w:r>
      <w:r w:rsidR="00DB323B" w:rsidRPr="00100AAC">
        <w:rPr>
          <w:color w:val="000000"/>
        </w:rPr>
        <w:t>generated</w:t>
      </w:r>
      <w:r w:rsidR="001C7E70" w:rsidRPr="00100AAC">
        <w:rPr>
          <w:color w:val="000000"/>
        </w:rPr>
        <w:t xml:space="preserve">: (1) </w:t>
      </w:r>
      <w:r w:rsidR="006C00DC" w:rsidRPr="00100AAC">
        <w:rPr>
          <w:color w:val="000000"/>
        </w:rPr>
        <w:t>A s</w:t>
      </w:r>
      <w:r w:rsidR="001C7E70" w:rsidRPr="00100AAC">
        <w:rPr>
          <w:color w:val="000000"/>
        </w:rPr>
        <w:t xml:space="preserve">urface or deep approach? Understanding dodgeball </w:t>
      </w:r>
      <w:r w:rsidR="00196ABC" w:rsidRPr="00100AAC">
        <w:rPr>
          <w:color w:val="000000"/>
        </w:rPr>
        <w:t>coaches’</w:t>
      </w:r>
      <w:r w:rsidR="001C7E70" w:rsidRPr="00100AAC">
        <w:rPr>
          <w:color w:val="000000"/>
        </w:rPr>
        <w:t xml:space="preserve"> </w:t>
      </w:r>
      <w:r w:rsidR="006C00DC" w:rsidRPr="00100AAC">
        <w:rPr>
          <w:color w:val="000000"/>
        </w:rPr>
        <w:t>experiences of</w:t>
      </w:r>
      <w:r w:rsidR="001C7E70" w:rsidRPr="00100AAC">
        <w:rPr>
          <w:color w:val="000000"/>
        </w:rPr>
        <w:t xml:space="preserve"> the </w:t>
      </w:r>
      <w:r w:rsidR="00064905" w:rsidRPr="00100AAC">
        <w:rPr>
          <w:color w:val="000000"/>
        </w:rPr>
        <w:t xml:space="preserve">level </w:t>
      </w:r>
      <w:r w:rsidR="001C7E70" w:rsidRPr="00100AAC">
        <w:rPr>
          <w:color w:val="000000"/>
        </w:rPr>
        <w:t>1</w:t>
      </w:r>
      <w:r w:rsidR="00064905" w:rsidRPr="00100AAC">
        <w:rPr>
          <w:color w:val="000000"/>
        </w:rPr>
        <w:t xml:space="preserve"> award</w:t>
      </w:r>
      <w:r w:rsidR="001C7E70" w:rsidRPr="00100AAC">
        <w:rPr>
          <w:color w:val="000000"/>
        </w:rPr>
        <w:t xml:space="preserve">; (2) </w:t>
      </w:r>
      <w:r w:rsidR="001D7604" w:rsidRPr="00100AAC">
        <w:rPr>
          <w:color w:val="000000"/>
        </w:rPr>
        <w:t>Coaches’ preferences and learning styles: A barrier for online coach education;</w:t>
      </w:r>
      <w:r w:rsidR="001C7E70" w:rsidRPr="00100AAC">
        <w:rPr>
          <w:color w:val="000000"/>
        </w:rPr>
        <w:t xml:space="preserve"> and (3) </w:t>
      </w:r>
      <w:r w:rsidR="001D7604" w:rsidRPr="00100AAC">
        <w:rPr>
          <w:color w:val="000000"/>
        </w:rPr>
        <w:t>Enhancing the impact of online coach education: Assessment and post-</w:t>
      </w:r>
      <w:r w:rsidR="008B0989" w:rsidRPr="00100AAC">
        <w:rPr>
          <w:color w:val="000000"/>
        </w:rPr>
        <w:t>award</w:t>
      </w:r>
      <w:r w:rsidR="001D7604" w:rsidRPr="00100AAC">
        <w:rPr>
          <w:color w:val="000000"/>
        </w:rPr>
        <w:t xml:space="preserve"> support.</w:t>
      </w:r>
    </w:p>
    <w:bookmarkEnd w:id="8"/>
    <w:p w14:paraId="71EF8918" w14:textId="7B3B64CE" w:rsidR="00356B57" w:rsidRPr="00100AAC" w:rsidRDefault="006C00DC" w:rsidP="00BF0E58">
      <w:pPr>
        <w:pStyle w:val="paragraph"/>
        <w:jc w:val="both"/>
        <w:rPr>
          <w:b/>
          <w:bCs/>
          <w:color w:val="000000"/>
        </w:rPr>
      </w:pPr>
      <w:r w:rsidRPr="00100AAC">
        <w:rPr>
          <w:b/>
          <w:bCs/>
          <w:color w:val="000000"/>
        </w:rPr>
        <w:t>A s</w:t>
      </w:r>
      <w:r w:rsidR="006F2CE6" w:rsidRPr="00100AAC">
        <w:rPr>
          <w:b/>
          <w:bCs/>
          <w:color w:val="000000"/>
        </w:rPr>
        <w:t xml:space="preserve">urface or deep approach? </w:t>
      </w:r>
      <w:r w:rsidR="001C7E70" w:rsidRPr="00100AAC">
        <w:rPr>
          <w:b/>
          <w:bCs/>
          <w:color w:val="000000"/>
        </w:rPr>
        <w:t>Understanding dodgeball c</w:t>
      </w:r>
      <w:r w:rsidR="006F2CE6" w:rsidRPr="00100AAC">
        <w:rPr>
          <w:b/>
          <w:bCs/>
          <w:color w:val="000000"/>
        </w:rPr>
        <w:t>oaches’</w:t>
      </w:r>
      <w:r w:rsidR="00356B57" w:rsidRPr="00100AAC">
        <w:rPr>
          <w:b/>
          <w:bCs/>
          <w:color w:val="000000"/>
        </w:rPr>
        <w:t xml:space="preserve"> </w:t>
      </w:r>
      <w:r w:rsidRPr="00100AAC">
        <w:rPr>
          <w:b/>
          <w:bCs/>
          <w:color w:val="000000"/>
        </w:rPr>
        <w:t>experiences of</w:t>
      </w:r>
      <w:r w:rsidR="006F2CE6" w:rsidRPr="00100AAC">
        <w:rPr>
          <w:b/>
          <w:bCs/>
          <w:color w:val="000000"/>
        </w:rPr>
        <w:t xml:space="preserve"> the </w:t>
      </w:r>
      <w:r w:rsidR="005B5A34" w:rsidRPr="00100AAC">
        <w:rPr>
          <w:b/>
          <w:bCs/>
          <w:color w:val="000000"/>
        </w:rPr>
        <w:t>L</w:t>
      </w:r>
      <w:r w:rsidR="00064905" w:rsidRPr="00100AAC">
        <w:rPr>
          <w:b/>
          <w:bCs/>
          <w:color w:val="000000"/>
        </w:rPr>
        <w:t xml:space="preserve">evel </w:t>
      </w:r>
      <w:r w:rsidR="001C7E70" w:rsidRPr="00100AAC">
        <w:rPr>
          <w:b/>
          <w:bCs/>
          <w:color w:val="000000"/>
        </w:rPr>
        <w:t>1</w:t>
      </w:r>
      <w:r w:rsidR="00064905" w:rsidRPr="00100AAC">
        <w:rPr>
          <w:b/>
          <w:bCs/>
          <w:color w:val="000000"/>
        </w:rPr>
        <w:t xml:space="preserve"> award</w:t>
      </w:r>
    </w:p>
    <w:p w14:paraId="0DDD4A5C" w14:textId="0DE6EFA4" w:rsidR="00356B57" w:rsidRPr="00100AAC" w:rsidRDefault="00160AF9" w:rsidP="009D3BFB">
      <w:pPr>
        <w:pStyle w:val="paragraph"/>
        <w:spacing w:line="480" w:lineRule="auto"/>
        <w:ind w:firstLine="720"/>
        <w:jc w:val="both"/>
        <w:rPr>
          <w:color w:val="000000"/>
        </w:rPr>
      </w:pPr>
      <w:r w:rsidRPr="00100AAC">
        <w:rPr>
          <w:color w:val="000000"/>
        </w:rPr>
        <w:t xml:space="preserve">Callary et al. (2020) </w:t>
      </w:r>
      <w:r w:rsidR="00196ABC" w:rsidRPr="00100AAC">
        <w:rPr>
          <w:color w:val="000000"/>
        </w:rPr>
        <w:t xml:space="preserve">have highlighted a need to understand how coaches’ experience online coach education provision. </w:t>
      </w:r>
      <w:r w:rsidR="00401EAD" w:rsidRPr="00100AAC">
        <w:rPr>
          <w:color w:val="000000"/>
        </w:rPr>
        <w:t>I</w:t>
      </w:r>
      <w:r w:rsidR="00196ABC" w:rsidRPr="00100AAC">
        <w:rPr>
          <w:color w:val="000000"/>
        </w:rPr>
        <w:t>n building upon existing research</w:t>
      </w:r>
      <w:r w:rsidRPr="00100AAC">
        <w:rPr>
          <w:color w:val="000000"/>
        </w:rPr>
        <w:t xml:space="preserve"> (e.g., Driska, 2018</w:t>
      </w:r>
      <w:r w:rsidR="001D1E9F" w:rsidRPr="00100AAC">
        <w:rPr>
          <w:color w:val="000000"/>
        </w:rPr>
        <w:t xml:space="preserve">), </w:t>
      </w:r>
      <w:r w:rsidR="00196ABC" w:rsidRPr="00100AAC">
        <w:rPr>
          <w:color w:val="000000"/>
        </w:rPr>
        <w:t>participants were</w:t>
      </w:r>
      <w:r w:rsidR="00393E33" w:rsidRPr="00100AAC">
        <w:rPr>
          <w:color w:val="000000"/>
        </w:rPr>
        <w:t xml:space="preserve"> generally</w:t>
      </w:r>
      <w:r w:rsidR="00196ABC" w:rsidRPr="00100AAC">
        <w:rPr>
          <w:color w:val="000000"/>
        </w:rPr>
        <w:t xml:space="preserve"> positive about their experiences of completing the L1A, praising the</w:t>
      </w:r>
      <w:r w:rsidR="00592D5D" w:rsidRPr="00100AAC">
        <w:rPr>
          <w:color w:val="000000"/>
        </w:rPr>
        <w:t xml:space="preserve"> </w:t>
      </w:r>
      <w:r w:rsidR="00393E33" w:rsidRPr="00100AAC">
        <w:rPr>
          <w:color w:val="000000"/>
        </w:rPr>
        <w:t xml:space="preserve">structure and learning activities, </w:t>
      </w:r>
      <w:r w:rsidR="00B91E84" w:rsidRPr="00100AAC">
        <w:rPr>
          <w:color w:val="000000"/>
        </w:rPr>
        <w:t>while</w:t>
      </w:r>
      <w:r w:rsidR="00393E33" w:rsidRPr="00100AAC">
        <w:rPr>
          <w:color w:val="000000"/>
        </w:rPr>
        <w:t xml:space="preserve"> </w:t>
      </w:r>
      <w:r w:rsidR="00401EAD" w:rsidRPr="00100AAC">
        <w:rPr>
          <w:color w:val="000000"/>
        </w:rPr>
        <w:t>indicating that</w:t>
      </w:r>
      <w:r w:rsidR="00592D5D" w:rsidRPr="00100AAC">
        <w:rPr>
          <w:color w:val="000000"/>
        </w:rPr>
        <w:t xml:space="preserve"> the L1A </w:t>
      </w:r>
      <w:r w:rsidR="00393E33" w:rsidRPr="00100AAC">
        <w:rPr>
          <w:color w:val="000000"/>
        </w:rPr>
        <w:t>enhanc</w:t>
      </w:r>
      <w:r w:rsidR="00592D5D" w:rsidRPr="00100AAC">
        <w:rPr>
          <w:color w:val="000000"/>
        </w:rPr>
        <w:t>ed</w:t>
      </w:r>
      <w:r w:rsidR="00393E33" w:rsidRPr="00100AAC">
        <w:rPr>
          <w:color w:val="000000"/>
        </w:rPr>
        <w:t xml:space="preserve"> their confidence to deliver dodgeball sessions. </w:t>
      </w:r>
    </w:p>
    <w:p w14:paraId="7F4888F0" w14:textId="5B5F1569" w:rsidR="00393E33" w:rsidRPr="00100AAC" w:rsidRDefault="00393E33" w:rsidP="009D3BFB">
      <w:pPr>
        <w:pStyle w:val="paragraph"/>
        <w:spacing w:line="480" w:lineRule="auto"/>
        <w:ind w:left="720"/>
        <w:jc w:val="both"/>
        <w:rPr>
          <w:color w:val="000000"/>
        </w:rPr>
      </w:pPr>
      <w:r w:rsidRPr="00100AAC">
        <w:rPr>
          <w:color w:val="000000"/>
        </w:rPr>
        <w:t>Really enjoyed the course, enhanced my knowledge, and gave me more confidence to deliver the sport. (P</w:t>
      </w:r>
      <w:r w:rsidR="008E76CF" w:rsidRPr="00100AAC">
        <w:rPr>
          <w:color w:val="000000"/>
        </w:rPr>
        <w:t xml:space="preserve">articipant </w:t>
      </w:r>
      <w:r w:rsidRPr="00100AAC">
        <w:rPr>
          <w:color w:val="000000"/>
        </w:rPr>
        <w:t>10)</w:t>
      </w:r>
    </w:p>
    <w:p w14:paraId="51E43503" w14:textId="5BFC2B09" w:rsidR="004536C9" w:rsidRPr="00100AAC" w:rsidRDefault="004536C9" w:rsidP="009D3BFB">
      <w:pPr>
        <w:pStyle w:val="paragraph"/>
        <w:spacing w:line="480" w:lineRule="auto"/>
        <w:ind w:left="720"/>
        <w:jc w:val="both"/>
        <w:rPr>
          <w:color w:val="000000"/>
        </w:rPr>
      </w:pPr>
      <w:r w:rsidRPr="00100AAC">
        <w:rPr>
          <w:color w:val="000000"/>
        </w:rPr>
        <w:t>I thought it was good. It was very well presented, very easy to understand and had good access to video links. For an online course, you can find them a bit repetitive and boring, but I genuinely enjoyed that one. (P</w:t>
      </w:r>
      <w:r w:rsidR="008E76CF" w:rsidRPr="00100AAC">
        <w:rPr>
          <w:color w:val="000000"/>
        </w:rPr>
        <w:t xml:space="preserve">articipant </w:t>
      </w:r>
      <w:r w:rsidRPr="00100AAC">
        <w:rPr>
          <w:color w:val="000000"/>
        </w:rPr>
        <w:t>32, interview)</w:t>
      </w:r>
    </w:p>
    <w:p w14:paraId="5984AEAF" w14:textId="761D3708" w:rsidR="00393E33" w:rsidRPr="00100AAC" w:rsidRDefault="00393E33" w:rsidP="009D3BFB">
      <w:pPr>
        <w:pStyle w:val="paragraph"/>
        <w:spacing w:line="480" w:lineRule="auto"/>
        <w:ind w:left="720"/>
        <w:jc w:val="both"/>
        <w:rPr>
          <w:color w:val="000000"/>
        </w:rPr>
      </w:pPr>
      <w:r w:rsidRPr="00100AAC">
        <w:rPr>
          <w:color w:val="000000"/>
        </w:rPr>
        <w:t>I thought the course was knowledgeable and gave you all the information needed to be able to deliver dodgeball sessions. (P</w:t>
      </w:r>
      <w:r w:rsidR="008E76CF" w:rsidRPr="00100AAC">
        <w:rPr>
          <w:color w:val="000000"/>
        </w:rPr>
        <w:t xml:space="preserve">articipant </w:t>
      </w:r>
      <w:r w:rsidRPr="00100AAC">
        <w:rPr>
          <w:color w:val="000000"/>
        </w:rPr>
        <w:t>52)</w:t>
      </w:r>
    </w:p>
    <w:p w14:paraId="7291ABDE" w14:textId="3EAE1FD4" w:rsidR="00DB12F0" w:rsidRPr="00100AAC" w:rsidRDefault="009425BA" w:rsidP="009304DE">
      <w:pPr>
        <w:pStyle w:val="paragraph"/>
        <w:spacing w:line="480" w:lineRule="auto"/>
        <w:ind w:firstLine="720"/>
        <w:jc w:val="both"/>
        <w:rPr>
          <w:color w:val="000000"/>
        </w:rPr>
      </w:pPr>
      <w:r w:rsidRPr="00100AAC">
        <w:rPr>
          <w:color w:val="000000"/>
        </w:rPr>
        <w:t>L</w:t>
      </w:r>
      <w:r w:rsidR="00DB12F0" w:rsidRPr="00100AAC">
        <w:rPr>
          <w:color w:val="000000"/>
        </w:rPr>
        <w:t>ogistical factors such as time</w:t>
      </w:r>
      <w:r w:rsidRPr="00100AAC">
        <w:rPr>
          <w:color w:val="000000"/>
        </w:rPr>
        <w:t xml:space="preserve">, </w:t>
      </w:r>
      <w:r w:rsidR="00DB12F0" w:rsidRPr="00100AAC">
        <w:rPr>
          <w:color w:val="000000"/>
        </w:rPr>
        <w:t>cost</w:t>
      </w:r>
      <w:r w:rsidRPr="00100AAC">
        <w:rPr>
          <w:color w:val="000000"/>
        </w:rPr>
        <w:t xml:space="preserve">, and </w:t>
      </w:r>
      <w:r w:rsidR="00BE6585" w:rsidRPr="00100AAC">
        <w:rPr>
          <w:color w:val="000000"/>
        </w:rPr>
        <w:t>travel</w:t>
      </w:r>
      <w:r w:rsidR="00DB12F0" w:rsidRPr="00100AAC">
        <w:rPr>
          <w:color w:val="000000"/>
        </w:rPr>
        <w:t xml:space="preserve"> have been</w:t>
      </w:r>
      <w:r w:rsidR="00592D5D" w:rsidRPr="00100AAC">
        <w:rPr>
          <w:color w:val="000000"/>
        </w:rPr>
        <w:t xml:space="preserve"> recognised</w:t>
      </w:r>
      <w:r w:rsidR="00DB12F0" w:rsidRPr="00100AAC">
        <w:rPr>
          <w:color w:val="000000"/>
        </w:rPr>
        <w:t xml:space="preserve"> as barriers</w:t>
      </w:r>
      <w:r w:rsidR="00B91E84" w:rsidRPr="00100AAC">
        <w:rPr>
          <w:color w:val="000000"/>
        </w:rPr>
        <w:t xml:space="preserve"> </w:t>
      </w:r>
      <w:r w:rsidRPr="00100AAC">
        <w:rPr>
          <w:color w:val="000000"/>
        </w:rPr>
        <w:t>prevent</w:t>
      </w:r>
      <w:r w:rsidR="00B91E84" w:rsidRPr="00100AAC">
        <w:rPr>
          <w:color w:val="000000"/>
        </w:rPr>
        <w:t>ing</w:t>
      </w:r>
      <w:r w:rsidRPr="00100AAC">
        <w:rPr>
          <w:color w:val="000000"/>
        </w:rPr>
        <w:t xml:space="preserve"> coaches from</w:t>
      </w:r>
      <w:r w:rsidR="00DB12F0" w:rsidRPr="00100AAC">
        <w:rPr>
          <w:color w:val="000000"/>
        </w:rPr>
        <w:t xml:space="preserve"> </w:t>
      </w:r>
      <w:r w:rsidR="00592D5D" w:rsidRPr="00100AAC">
        <w:rPr>
          <w:color w:val="000000"/>
        </w:rPr>
        <w:t>attending</w:t>
      </w:r>
      <w:r w:rsidR="00DB12F0" w:rsidRPr="00100AAC">
        <w:rPr>
          <w:color w:val="000000"/>
        </w:rPr>
        <w:t xml:space="preserve"> face-to-face coach education (Gurgis et al., 2020). </w:t>
      </w:r>
      <w:r w:rsidR="00592D5D" w:rsidRPr="00100AAC">
        <w:rPr>
          <w:color w:val="000000"/>
        </w:rPr>
        <w:t>Therefore</w:t>
      </w:r>
      <w:r w:rsidRPr="00100AAC">
        <w:rPr>
          <w:color w:val="000000"/>
        </w:rPr>
        <w:t xml:space="preserve">, it has been argued that online provision </w:t>
      </w:r>
      <w:r w:rsidR="00592D5D" w:rsidRPr="00100AAC">
        <w:rPr>
          <w:color w:val="000000"/>
        </w:rPr>
        <w:t>might</w:t>
      </w:r>
      <w:r w:rsidRPr="00100AAC">
        <w:rPr>
          <w:color w:val="000000"/>
        </w:rPr>
        <w:t xml:space="preserve"> overcome these </w:t>
      </w:r>
      <w:r w:rsidR="00A14C64" w:rsidRPr="00100AAC">
        <w:rPr>
          <w:color w:val="000000"/>
        </w:rPr>
        <w:t xml:space="preserve">obstacles, </w:t>
      </w:r>
      <w:r w:rsidRPr="00100AAC">
        <w:rPr>
          <w:color w:val="000000"/>
        </w:rPr>
        <w:t>offering coaches increased accessibility and flexibility (</w:t>
      </w:r>
      <w:r w:rsidR="00BE6585" w:rsidRPr="00100AAC">
        <w:rPr>
          <w:color w:val="000000"/>
        </w:rPr>
        <w:t xml:space="preserve">e.g., </w:t>
      </w:r>
      <w:r w:rsidRPr="00100AAC">
        <w:rPr>
          <w:color w:val="000000"/>
        </w:rPr>
        <w:t>Cushion &amp; Townsend, 2019; Griffiths et al., 202</w:t>
      </w:r>
      <w:r w:rsidR="00357F89" w:rsidRPr="00100AAC">
        <w:rPr>
          <w:color w:val="000000"/>
        </w:rPr>
        <w:t>2</w:t>
      </w:r>
      <w:r w:rsidRPr="00100AAC">
        <w:rPr>
          <w:color w:val="000000"/>
        </w:rPr>
        <w:t xml:space="preserve">; Santos et al., 2019; </w:t>
      </w:r>
      <w:r w:rsidR="00CF58AB" w:rsidRPr="00100AAC">
        <w:rPr>
          <w:color w:val="000000"/>
        </w:rPr>
        <w:t>Stoszkowski</w:t>
      </w:r>
      <w:r w:rsidRPr="00100AAC">
        <w:rPr>
          <w:color w:val="000000"/>
        </w:rPr>
        <w:t xml:space="preserve"> &amp; Collins, 202</w:t>
      </w:r>
      <w:r w:rsidR="009667BA" w:rsidRPr="00100AAC">
        <w:rPr>
          <w:color w:val="000000"/>
        </w:rPr>
        <w:t>2</w:t>
      </w:r>
      <w:r w:rsidRPr="00100AAC">
        <w:rPr>
          <w:color w:val="000000"/>
        </w:rPr>
        <w:t>)</w:t>
      </w:r>
      <w:r w:rsidR="00B91E84" w:rsidRPr="00100AAC">
        <w:rPr>
          <w:color w:val="000000"/>
        </w:rPr>
        <w:t xml:space="preserve">. </w:t>
      </w:r>
      <w:r w:rsidR="000D6F9D" w:rsidRPr="00100AAC">
        <w:rPr>
          <w:color w:val="000000"/>
        </w:rPr>
        <w:t xml:space="preserve">In building upon this perspective, </w:t>
      </w:r>
      <w:r w:rsidR="000D6F9D" w:rsidRPr="00100AAC">
        <w:rPr>
          <w:color w:val="000000"/>
        </w:rPr>
        <w:lastRenderedPageBreak/>
        <w:t>p</w:t>
      </w:r>
      <w:r w:rsidR="00BE6585" w:rsidRPr="00100AAC">
        <w:rPr>
          <w:color w:val="000000"/>
        </w:rPr>
        <w:t xml:space="preserve">articipants </w:t>
      </w:r>
      <w:r w:rsidR="00401EAD" w:rsidRPr="00100AAC">
        <w:rPr>
          <w:color w:val="000000"/>
        </w:rPr>
        <w:t>revealed</w:t>
      </w:r>
      <w:r w:rsidR="00BE6585" w:rsidRPr="00100AAC">
        <w:rPr>
          <w:color w:val="000000"/>
        </w:rPr>
        <w:t xml:space="preserve"> that the self-paced nature of the online L1A was beneficial given their </w:t>
      </w:r>
      <w:r w:rsidR="00592D5D" w:rsidRPr="00100AAC">
        <w:rPr>
          <w:color w:val="000000"/>
        </w:rPr>
        <w:t xml:space="preserve">current </w:t>
      </w:r>
      <w:r w:rsidR="00BE6585" w:rsidRPr="00100AAC">
        <w:rPr>
          <w:color w:val="000000"/>
        </w:rPr>
        <w:t>situation</w:t>
      </w:r>
      <w:r w:rsidR="00401EAD" w:rsidRPr="00100AAC">
        <w:rPr>
          <w:color w:val="000000"/>
        </w:rPr>
        <w:t>.</w:t>
      </w:r>
    </w:p>
    <w:p w14:paraId="5CD1BE0A" w14:textId="22C1A755" w:rsidR="00356B57" w:rsidRPr="00100AAC" w:rsidRDefault="00356B57" w:rsidP="009D3BFB">
      <w:pPr>
        <w:pStyle w:val="paragraph"/>
        <w:spacing w:line="480" w:lineRule="auto"/>
        <w:ind w:left="720"/>
        <w:jc w:val="both"/>
        <w:rPr>
          <w:color w:val="000000"/>
        </w:rPr>
      </w:pPr>
      <w:r w:rsidRPr="00100AAC">
        <w:rPr>
          <w:color w:val="000000"/>
        </w:rPr>
        <w:t>Incredibly positive, it gave me the opportunity to undertake the course at home at my own pace and meant that I could go back over any areas of the course if required. (P</w:t>
      </w:r>
      <w:r w:rsidR="008E76CF" w:rsidRPr="00100AAC">
        <w:rPr>
          <w:color w:val="000000"/>
        </w:rPr>
        <w:t xml:space="preserve">articipant </w:t>
      </w:r>
      <w:r w:rsidRPr="00100AAC">
        <w:rPr>
          <w:color w:val="000000"/>
        </w:rPr>
        <w:t>1)</w:t>
      </w:r>
    </w:p>
    <w:p w14:paraId="22915108" w14:textId="5B113D04" w:rsidR="00356B57" w:rsidRPr="00100AAC" w:rsidRDefault="00356B57" w:rsidP="009D3BFB">
      <w:pPr>
        <w:pStyle w:val="paragraph"/>
        <w:spacing w:line="480" w:lineRule="auto"/>
        <w:ind w:left="720"/>
        <w:jc w:val="both"/>
        <w:rPr>
          <w:color w:val="000000"/>
        </w:rPr>
      </w:pPr>
      <w:r w:rsidRPr="00100AAC">
        <w:rPr>
          <w:color w:val="000000"/>
        </w:rPr>
        <w:t>Extremely good. Childcare is an issue for me to attend face</w:t>
      </w:r>
      <w:r w:rsidR="00BE6585" w:rsidRPr="00100AAC">
        <w:rPr>
          <w:color w:val="000000"/>
        </w:rPr>
        <w:t>-</w:t>
      </w:r>
      <w:r w:rsidRPr="00100AAC">
        <w:rPr>
          <w:color w:val="000000"/>
        </w:rPr>
        <w:t>to</w:t>
      </w:r>
      <w:r w:rsidR="00BE6585" w:rsidRPr="00100AAC">
        <w:rPr>
          <w:color w:val="000000"/>
        </w:rPr>
        <w:t>-</w:t>
      </w:r>
      <w:r w:rsidRPr="00100AAC">
        <w:rPr>
          <w:color w:val="000000"/>
        </w:rPr>
        <w:t>face coaching</w:t>
      </w:r>
      <w:r w:rsidR="00BE6585" w:rsidRPr="00100AAC">
        <w:rPr>
          <w:color w:val="000000"/>
        </w:rPr>
        <w:t xml:space="preserve"> courses,</w:t>
      </w:r>
      <w:r w:rsidRPr="00100AAC">
        <w:rPr>
          <w:color w:val="000000"/>
        </w:rPr>
        <w:t xml:space="preserve"> whereas I could do this under my own steam at home. Feedback was great and the structure of the course was easy to understand. (P</w:t>
      </w:r>
      <w:r w:rsidR="008E76CF" w:rsidRPr="00100AAC">
        <w:rPr>
          <w:color w:val="000000"/>
        </w:rPr>
        <w:t xml:space="preserve">articipant </w:t>
      </w:r>
      <w:r w:rsidRPr="00100AAC">
        <w:rPr>
          <w:color w:val="000000"/>
        </w:rPr>
        <w:t>7)</w:t>
      </w:r>
    </w:p>
    <w:p w14:paraId="344CC64B" w14:textId="62171238" w:rsidR="0033785A" w:rsidRPr="00100AAC" w:rsidRDefault="0033785A" w:rsidP="009D3BFB">
      <w:pPr>
        <w:pStyle w:val="paragraph"/>
        <w:spacing w:line="480" w:lineRule="auto"/>
        <w:ind w:left="720"/>
        <w:jc w:val="both"/>
        <w:rPr>
          <w:color w:val="000000"/>
        </w:rPr>
      </w:pPr>
      <w:r w:rsidRPr="00100AAC">
        <w:rPr>
          <w:color w:val="000000"/>
        </w:rPr>
        <w:t xml:space="preserve">It was easy, in the sense that, it is there. You don’t have to go to a face-to-face course, so for some people, it was much more accessible, and I understand during lockdown that it worked </w:t>
      </w:r>
      <w:r w:rsidR="009304DE" w:rsidRPr="00100AAC">
        <w:rPr>
          <w:color w:val="000000"/>
        </w:rPr>
        <w:t>well</w:t>
      </w:r>
      <w:r w:rsidRPr="00100AAC">
        <w:rPr>
          <w:color w:val="000000"/>
        </w:rPr>
        <w:t xml:space="preserve"> as people were still able to access the </w:t>
      </w:r>
      <w:r w:rsidR="000D6F9D" w:rsidRPr="00100AAC">
        <w:rPr>
          <w:color w:val="000000"/>
        </w:rPr>
        <w:t>L</w:t>
      </w:r>
      <w:r w:rsidRPr="00100AAC">
        <w:rPr>
          <w:color w:val="000000"/>
        </w:rPr>
        <w:t xml:space="preserve">evel one course </w:t>
      </w:r>
      <w:proofErr w:type="gramStart"/>
      <w:r w:rsidRPr="00100AAC">
        <w:rPr>
          <w:color w:val="000000"/>
        </w:rPr>
        <w:t>and also</w:t>
      </w:r>
      <w:proofErr w:type="gramEnd"/>
      <w:r w:rsidRPr="00100AAC">
        <w:rPr>
          <w:color w:val="000000"/>
        </w:rPr>
        <w:t>, I think if you got anything wrong, you could go back and do it again. So, that was the benefit of doing it online and you could do it in your own time. (P</w:t>
      </w:r>
      <w:r w:rsidR="008E76CF" w:rsidRPr="00100AAC">
        <w:rPr>
          <w:color w:val="000000"/>
        </w:rPr>
        <w:t xml:space="preserve">articipant </w:t>
      </w:r>
      <w:r w:rsidRPr="00100AAC">
        <w:rPr>
          <w:color w:val="000000"/>
        </w:rPr>
        <w:t>41, interview)</w:t>
      </w:r>
    </w:p>
    <w:p w14:paraId="7DF35FFE" w14:textId="2211A34B" w:rsidR="009960B3" w:rsidRPr="00100AAC" w:rsidRDefault="00BE6585" w:rsidP="009304DE">
      <w:pPr>
        <w:pStyle w:val="paragraph"/>
        <w:spacing w:line="480" w:lineRule="auto"/>
        <w:ind w:firstLine="720"/>
        <w:jc w:val="both"/>
        <w:rPr>
          <w:color w:val="000000"/>
        </w:rPr>
      </w:pPr>
      <w:r w:rsidRPr="00100AAC">
        <w:rPr>
          <w:color w:val="000000"/>
        </w:rPr>
        <w:t xml:space="preserve">While increased flexibility </w:t>
      </w:r>
      <w:r w:rsidR="00401EAD" w:rsidRPr="00100AAC">
        <w:rPr>
          <w:color w:val="000000"/>
        </w:rPr>
        <w:t>is</w:t>
      </w:r>
      <w:r w:rsidRPr="00100AAC">
        <w:rPr>
          <w:color w:val="000000"/>
        </w:rPr>
        <w:t xml:space="preserve"> advantageous, it has been argued that </w:t>
      </w:r>
      <w:r w:rsidR="00592D5D" w:rsidRPr="00100AAC">
        <w:rPr>
          <w:color w:val="000000"/>
        </w:rPr>
        <w:t>curriculum designers</w:t>
      </w:r>
      <w:r w:rsidRPr="00100AAC">
        <w:rPr>
          <w:color w:val="000000"/>
        </w:rPr>
        <w:t xml:space="preserve"> and coach developers</w:t>
      </w:r>
      <w:r w:rsidR="00DB12F0" w:rsidRPr="00100AAC">
        <w:rPr>
          <w:color w:val="000000"/>
        </w:rPr>
        <w:t xml:space="preserve"> need to </w:t>
      </w:r>
      <w:r w:rsidRPr="00100AAC">
        <w:rPr>
          <w:color w:val="000000"/>
        </w:rPr>
        <w:t>strike a balance</w:t>
      </w:r>
      <w:r w:rsidR="00DB12F0" w:rsidRPr="00100AAC">
        <w:rPr>
          <w:color w:val="000000"/>
        </w:rPr>
        <w:t xml:space="preserve"> between </w:t>
      </w:r>
      <w:r w:rsidR="00A14C64" w:rsidRPr="00100AAC">
        <w:rPr>
          <w:color w:val="000000"/>
        </w:rPr>
        <w:t xml:space="preserve">effectively </w:t>
      </w:r>
      <w:r w:rsidR="00DB12F0" w:rsidRPr="00100AAC">
        <w:rPr>
          <w:color w:val="000000"/>
        </w:rPr>
        <w:t>managing resources</w:t>
      </w:r>
      <w:r w:rsidRPr="00100AAC">
        <w:rPr>
          <w:color w:val="000000"/>
        </w:rPr>
        <w:t xml:space="preserve"> </w:t>
      </w:r>
      <w:r w:rsidR="00DB12F0" w:rsidRPr="00100AAC">
        <w:rPr>
          <w:color w:val="000000"/>
        </w:rPr>
        <w:t xml:space="preserve">and </w:t>
      </w:r>
      <w:r w:rsidRPr="00100AAC">
        <w:rPr>
          <w:color w:val="000000"/>
        </w:rPr>
        <w:t>facilitating coach learning</w:t>
      </w:r>
      <w:r w:rsidR="00401EAD" w:rsidRPr="00100AAC">
        <w:rPr>
          <w:color w:val="000000"/>
        </w:rPr>
        <w:t xml:space="preserve"> within online settings</w:t>
      </w:r>
      <w:r w:rsidRPr="00100AAC">
        <w:rPr>
          <w:color w:val="000000"/>
        </w:rPr>
        <w:t xml:space="preserve"> </w:t>
      </w:r>
      <w:r w:rsidR="00DB12F0" w:rsidRPr="00100AAC">
        <w:rPr>
          <w:color w:val="000000"/>
        </w:rPr>
        <w:t>(Newman et al., 2020</w:t>
      </w:r>
      <w:r w:rsidRPr="00100AAC">
        <w:rPr>
          <w:color w:val="000000"/>
        </w:rPr>
        <w:t>).</w:t>
      </w:r>
      <w:r w:rsidR="00DB12F0" w:rsidRPr="00100AAC">
        <w:rPr>
          <w:color w:val="000000"/>
        </w:rPr>
        <w:t xml:space="preserve"> </w:t>
      </w:r>
      <w:r w:rsidR="00592D5D" w:rsidRPr="00100AAC">
        <w:rPr>
          <w:color w:val="000000"/>
        </w:rPr>
        <w:t>As such</w:t>
      </w:r>
      <w:r w:rsidRPr="00100AAC">
        <w:rPr>
          <w:color w:val="000000"/>
        </w:rPr>
        <w:t xml:space="preserve">, while the L1A worked from a structural (self-paced, asynchronous) and logistical (reduced time, cost, and travel) perspective, this does not guarantee </w:t>
      </w:r>
      <w:r w:rsidR="00592D5D" w:rsidRPr="00100AAC">
        <w:rPr>
          <w:color w:val="000000"/>
        </w:rPr>
        <w:t>meaningful</w:t>
      </w:r>
      <w:r w:rsidR="00401EAD" w:rsidRPr="00100AAC">
        <w:rPr>
          <w:color w:val="000000"/>
        </w:rPr>
        <w:t xml:space="preserve"> </w:t>
      </w:r>
      <w:r w:rsidRPr="00100AAC">
        <w:rPr>
          <w:color w:val="000000"/>
        </w:rPr>
        <w:t>learning within online coach education (</w:t>
      </w:r>
      <w:r w:rsidR="000D6F9D" w:rsidRPr="00100AAC">
        <w:rPr>
          <w:color w:val="000000"/>
        </w:rPr>
        <w:t xml:space="preserve">see </w:t>
      </w:r>
      <w:r w:rsidRPr="00100AAC">
        <w:rPr>
          <w:color w:val="000000"/>
        </w:rPr>
        <w:t>Santos et al., 2021).</w:t>
      </w:r>
      <w:r w:rsidR="00B91E84" w:rsidRPr="00100AAC">
        <w:rPr>
          <w:color w:val="000000"/>
        </w:rPr>
        <w:t xml:space="preserve"> </w:t>
      </w:r>
      <w:r w:rsidR="00401EAD" w:rsidRPr="00100AAC">
        <w:rPr>
          <w:color w:val="000000"/>
        </w:rPr>
        <w:t>Indeed</w:t>
      </w:r>
      <w:r w:rsidR="009960B3" w:rsidRPr="00100AAC">
        <w:rPr>
          <w:color w:val="000000"/>
        </w:rPr>
        <w:t>, there was evidence to suggest that participants engaged in a surface, rather than deep, approach to learning when completing the L1A</w:t>
      </w:r>
      <w:r w:rsidR="00401EAD" w:rsidRPr="00100AAC">
        <w:rPr>
          <w:color w:val="000000"/>
        </w:rPr>
        <w:t xml:space="preserve"> (Moon, 2001)</w:t>
      </w:r>
      <w:r w:rsidR="00451CC2" w:rsidRPr="00100AAC">
        <w:rPr>
          <w:color w:val="000000"/>
        </w:rPr>
        <w:t xml:space="preserve">. This occurs when </w:t>
      </w:r>
      <w:r w:rsidR="009960B3" w:rsidRPr="00100AAC">
        <w:rPr>
          <w:color w:val="000000"/>
        </w:rPr>
        <w:t xml:space="preserve">an individual does not reflect on content </w:t>
      </w:r>
      <w:r w:rsidR="00DB323B" w:rsidRPr="00100AAC">
        <w:rPr>
          <w:color w:val="000000"/>
        </w:rPr>
        <w:t>considering</w:t>
      </w:r>
      <w:r w:rsidR="009960B3" w:rsidRPr="00100AAC">
        <w:rPr>
          <w:color w:val="000000"/>
        </w:rPr>
        <w:t xml:space="preserve"> their own experiences and understanding, instead, content is memorised </w:t>
      </w:r>
      <w:r w:rsidR="00DA3DF7" w:rsidRPr="00100AAC">
        <w:rPr>
          <w:color w:val="000000"/>
        </w:rPr>
        <w:t>routinely</w:t>
      </w:r>
      <w:r w:rsidR="009960B3" w:rsidRPr="00100AAC">
        <w:rPr>
          <w:color w:val="000000"/>
        </w:rPr>
        <w:t xml:space="preserve"> which often </w:t>
      </w:r>
      <w:r w:rsidR="009960B3" w:rsidRPr="00100AAC">
        <w:rPr>
          <w:color w:val="000000"/>
        </w:rPr>
        <w:lastRenderedPageBreak/>
        <w:t xml:space="preserve">fails to impact practice (Moon, 2001). </w:t>
      </w:r>
      <w:r w:rsidR="00DA3DF7" w:rsidRPr="00100AAC">
        <w:rPr>
          <w:color w:val="000000"/>
        </w:rPr>
        <w:t>For example</w:t>
      </w:r>
      <w:r w:rsidR="00F91F13" w:rsidRPr="00100AAC">
        <w:rPr>
          <w:color w:val="000000"/>
        </w:rPr>
        <w:t xml:space="preserve">, Trudel et al. (2013) </w:t>
      </w:r>
      <w:r w:rsidR="00DA3DF7" w:rsidRPr="00100AAC">
        <w:rPr>
          <w:color w:val="000000"/>
        </w:rPr>
        <w:t>state</w:t>
      </w:r>
      <w:r w:rsidR="00F91F13" w:rsidRPr="00100AAC">
        <w:rPr>
          <w:color w:val="000000"/>
        </w:rPr>
        <w:t xml:space="preserve"> a “surface learning approach will be privileged when learners think, for example, that they already know the content (new material of learning), or the content appears useless”</w:t>
      </w:r>
      <w:r w:rsidR="004652F4" w:rsidRPr="00100AAC">
        <w:rPr>
          <w:color w:val="000000"/>
        </w:rPr>
        <w:t xml:space="preserve"> (p. 378)</w:t>
      </w:r>
      <w:r w:rsidR="00F91F13" w:rsidRPr="00100AAC">
        <w:rPr>
          <w:color w:val="000000"/>
        </w:rPr>
        <w:t xml:space="preserve">. </w:t>
      </w:r>
      <w:r w:rsidR="00B97ECC" w:rsidRPr="00100AAC">
        <w:rPr>
          <w:color w:val="000000"/>
        </w:rPr>
        <w:t xml:space="preserve">This was </w:t>
      </w:r>
      <w:r w:rsidR="00DB323B" w:rsidRPr="00100AAC">
        <w:rPr>
          <w:color w:val="000000"/>
        </w:rPr>
        <w:t>demonstrated by participants</w:t>
      </w:r>
      <w:r w:rsidR="00B97ECC" w:rsidRPr="00100AAC">
        <w:rPr>
          <w:color w:val="000000"/>
        </w:rPr>
        <w:t xml:space="preserve"> within the data. </w:t>
      </w:r>
      <w:r w:rsidR="00F91F13" w:rsidRPr="00100AAC">
        <w:rPr>
          <w:color w:val="000000"/>
        </w:rPr>
        <w:t xml:space="preserve"> </w:t>
      </w:r>
    </w:p>
    <w:p w14:paraId="58484018" w14:textId="7226F39C" w:rsidR="00356B57" w:rsidRPr="00100AAC" w:rsidRDefault="00453B18" w:rsidP="009D3BFB">
      <w:pPr>
        <w:pStyle w:val="paragraph"/>
        <w:spacing w:line="480" w:lineRule="auto"/>
        <w:ind w:left="720"/>
        <w:jc w:val="both"/>
        <w:rPr>
          <w:color w:val="000000"/>
        </w:rPr>
      </w:pPr>
      <w:r w:rsidRPr="00100AAC">
        <w:rPr>
          <w:color w:val="000000"/>
        </w:rPr>
        <w:t>F</w:t>
      </w:r>
      <w:r w:rsidR="00356B57" w:rsidRPr="00100AAC">
        <w:rPr>
          <w:color w:val="000000"/>
        </w:rPr>
        <w:t>or those that have informally coached and played dodgeball, there was quite a bit of repetition and already known knowledge. (P</w:t>
      </w:r>
      <w:r w:rsidR="008E76CF" w:rsidRPr="00100AAC">
        <w:rPr>
          <w:color w:val="000000"/>
        </w:rPr>
        <w:t xml:space="preserve">articipant </w:t>
      </w:r>
      <w:r w:rsidR="00356B57" w:rsidRPr="00100AAC">
        <w:rPr>
          <w:color w:val="000000"/>
        </w:rPr>
        <w:t>1)</w:t>
      </w:r>
    </w:p>
    <w:p w14:paraId="543BA508" w14:textId="0746A101" w:rsidR="00F709DA" w:rsidRPr="00100AAC" w:rsidRDefault="00F709DA" w:rsidP="009D3BFB">
      <w:pPr>
        <w:pStyle w:val="paragraph"/>
        <w:spacing w:line="480" w:lineRule="auto"/>
        <w:ind w:left="720"/>
        <w:jc w:val="both"/>
        <w:rPr>
          <w:color w:val="000000"/>
        </w:rPr>
      </w:pPr>
      <w:r w:rsidRPr="00100AAC">
        <w:rPr>
          <w:color w:val="000000"/>
        </w:rPr>
        <w:t>I don’t think any course is going to help you change your attitude or beliefs. I think you kind of have to want as a coach to develop and deliver things, and if you don’t want to change the way you deliver, I don’t think any course is going to help. (P</w:t>
      </w:r>
      <w:r w:rsidR="008E76CF" w:rsidRPr="00100AAC">
        <w:rPr>
          <w:color w:val="000000"/>
        </w:rPr>
        <w:t xml:space="preserve">articipant </w:t>
      </w:r>
      <w:r w:rsidRPr="00100AAC">
        <w:rPr>
          <w:color w:val="000000"/>
        </w:rPr>
        <w:t>14, interview)</w:t>
      </w:r>
    </w:p>
    <w:p w14:paraId="689B7286" w14:textId="46CD0834" w:rsidR="0033785A" w:rsidRPr="00100AAC" w:rsidRDefault="0033785A" w:rsidP="009D3BFB">
      <w:pPr>
        <w:pStyle w:val="paragraph"/>
        <w:spacing w:line="480" w:lineRule="auto"/>
        <w:ind w:left="720"/>
        <w:jc w:val="both"/>
        <w:rPr>
          <w:color w:val="000000"/>
        </w:rPr>
      </w:pPr>
      <w:r w:rsidRPr="00100AAC">
        <w:rPr>
          <w:color w:val="000000"/>
        </w:rPr>
        <w:t>I’ve probably forgotten stuff, yeah, but I don’t think it is influencing my practice that much</w:t>
      </w:r>
      <w:r w:rsidR="00DA3DF7" w:rsidRPr="00100AAC">
        <w:rPr>
          <w:color w:val="000000"/>
        </w:rPr>
        <w:t xml:space="preserve">… </w:t>
      </w:r>
      <w:r w:rsidRPr="00100AAC">
        <w:rPr>
          <w:color w:val="000000"/>
        </w:rPr>
        <w:t>I think most people going into it are wanting to go and do a bit of coaching and I don’t think it changes their beliefs or their attitudes. (P</w:t>
      </w:r>
      <w:r w:rsidR="008E76CF" w:rsidRPr="00100AAC">
        <w:rPr>
          <w:color w:val="000000"/>
        </w:rPr>
        <w:t xml:space="preserve">articipant </w:t>
      </w:r>
      <w:r w:rsidRPr="00100AAC">
        <w:rPr>
          <w:color w:val="000000"/>
        </w:rPr>
        <w:t>41, interview)</w:t>
      </w:r>
    </w:p>
    <w:p w14:paraId="624977FA" w14:textId="09780AE6" w:rsidR="006F6572" w:rsidRPr="00100AAC" w:rsidRDefault="00147496" w:rsidP="009D3BFB">
      <w:pPr>
        <w:pStyle w:val="paragraph"/>
        <w:spacing w:line="480" w:lineRule="auto"/>
        <w:ind w:firstLine="720"/>
        <w:jc w:val="both"/>
        <w:rPr>
          <w:color w:val="000000"/>
        </w:rPr>
      </w:pPr>
      <w:r w:rsidRPr="00100AAC">
        <w:rPr>
          <w:color w:val="000000"/>
        </w:rPr>
        <w:t>My coaching beliefs are still the same and haven't changed. (P</w:t>
      </w:r>
      <w:r w:rsidR="008E76CF" w:rsidRPr="00100AAC">
        <w:rPr>
          <w:color w:val="000000"/>
        </w:rPr>
        <w:t xml:space="preserve">articipant </w:t>
      </w:r>
      <w:r w:rsidRPr="00100AAC">
        <w:rPr>
          <w:color w:val="000000"/>
        </w:rPr>
        <w:t>52)</w:t>
      </w:r>
    </w:p>
    <w:p w14:paraId="2168D7D7" w14:textId="00DD87D6" w:rsidR="002A7E80" w:rsidRPr="00100AAC" w:rsidRDefault="002A7E80" w:rsidP="009304DE">
      <w:pPr>
        <w:pStyle w:val="paragraph"/>
        <w:spacing w:line="480" w:lineRule="auto"/>
        <w:ind w:firstLine="720"/>
        <w:jc w:val="both"/>
        <w:rPr>
          <w:color w:val="000000"/>
        </w:rPr>
      </w:pPr>
      <w:r w:rsidRPr="00100AAC">
        <w:rPr>
          <w:color w:val="000000"/>
        </w:rPr>
        <w:t xml:space="preserve">It would </w:t>
      </w:r>
      <w:r w:rsidR="00451CC2" w:rsidRPr="00100AAC">
        <w:rPr>
          <w:color w:val="000000"/>
        </w:rPr>
        <w:t>appear</w:t>
      </w:r>
      <w:r w:rsidRPr="00100AAC">
        <w:rPr>
          <w:color w:val="000000"/>
        </w:rPr>
        <w:t xml:space="preserve"> </w:t>
      </w:r>
      <w:r w:rsidR="00DA3DF7" w:rsidRPr="00100AAC">
        <w:rPr>
          <w:color w:val="000000"/>
        </w:rPr>
        <w:t>some</w:t>
      </w:r>
      <w:r w:rsidRPr="00100AAC">
        <w:rPr>
          <w:color w:val="000000"/>
        </w:rPr>
        <w:t xml:space="preserve"> participants have engaged </w:t>
      </w:r>
      <w:r w:rsidR="006F6572" w:rsidRPr="00100AAC">
        <w:rPr>
          <w:color w:val="000000"/>
        </w:rPr>
        <w:t>in</w:t>
      </w:r>
      <w:r w:rsidRPr="00100AAC">
        <w:rPr>
          <w:color w:val="000000"/>
        </w:rPr>
        <w:t xml:space="preserve"> non-reflective learning</w:t>
      </w:r>
      <w:r w:rsidR="00DA3DF7" w:rsidRPr="00100AAC">
        <w:rPr>
          <w:color w:val="000000"/>
        </w:rPr>
        <w:t xml:space="preserve"> via</w:t>
      </w:r>
      <w:r w:rsidRPr="00100AAC">
        <w:rPr>
          <w:color w:val="000000"/>
        </w:rPr>
        <w:t xml:space="preserve"> processes of assimilation</w:t>
      </w:r>
      <w:r w:rsidR="006F6572" w:rsidRPr="00100AAC">
        <w:rPr>
          <w:color w:val="000000"/>
        </w:rPr>
        <w:t xml:space="preserve"> (Moon, 2004)</w:t>
      </w:r>
      <w:r w:rsidRPr="00100AAC">
        <w:rPr>
          <w:color w:val="000000"/>
        </w:rPr>
        <w:t xml:space="preserve">. Through adopting a surface approach to learning, the cognitive structures of these coaches have remained unchanged by the </w:t>
      </w:r>
      <w:r w:rsidR="00DA3DF7" w:rsidRPr="00100AAC">
        <w:rPr>
          <w:color w:val="000000"/>
        </w:rPr>
        <w:t xml:space="preserve">L1A’s </w:t>
      </w:r>
      <w:r w:rsidRPr="00100AAC">
        <w:rPr>
          <w:color w:val="000000"/>
        </w:rPr>
        <w:t xml:space="preserve">content (Moon, 2001). </w:t>
      </w:r>
      <w:r w:rsidR="00451CC2" w:rsidRPr="00100AAC">
        <w:rPr>
          <w:color w:val="000000"/>
        </w:rPr>
        <w:t>R</w:t>
      </w:r>
      <w:r w:rsidR="00745A49" w:rsidRPr="00100AAC">
        <w:rPr>
          <w:color w:val="000000"/>
        </w:rPr>
        <w:t xml:space="preserve">esearch indicates that </w:t>
      </w:r>
      <w:r w:rsidR="004652F4" w:rsidRPr="00100AAC">
        <w:rPr>
          <w:color w:val="000000"/>
        </w:rPr>
        <w:t>the</w:t>
      </w:r>
      <w:r w:rsidR="00745A49" w:rsidRPr="00100AAC">
        <w:rPr>
          <w:color w:val="000000"/>
        </w:rPr>
        <w:t xml:space="preserve"> cognitive structure</w:t>
      </w:r>
      <w:r w:rsidR="004652F4" w:rsidRPr="00100AAC">
        <w:rPr>
          <w:color w:val="000000"/>
        </w:rPr>
        <w:t xml:space="preserve"> of a coach</w:t>
      </w:r>
      <w:r w:rsidR="00745A49" w:rsidRPr="00100AAC">
        <w:rPr>
          <w:color w:val="000000"/>
        </w:rPr>
        <w:t xml:space="preserve"> function</w:t>
      </w:r>
      <w:r w:rsidR="004652F4" w:rsidRPr="00100AAC">
        <w:rPr>
          <w:color w:val="000000"/>
        </w:rPr>
        <w:t>s</w:t>
      </w:r>
      <w:r w:rsidR="00745A49" w:rsidRPr="00100AAC">
        <w:rPr>
          <w:color w:val="000000"/>
        </w:rPr>
        <w:t xml:space="preserve"> as </w:t>
      </w:r>
      <w:r w:rsidR="004652F4" w:rsidRPr="00100AAC">
        <w:rPr>
          <w:color w:val="000000"/>
        </w:rPr>
        <w:t xml:space="preserve">a </w:t>
      </w:r>
      <w:r w:rsidR="00745A49" w:rsidRPr="00100AAC">
        <w:rPr>
          <w:color w:val="000000"/>
        </w:rPr>
        <w:t xml:space="preserve">filter, </w:t>
      </w:r>
      <w:r w:rsidR="00451CC2" w:rsidRPr="00100AAC">
        <w:rPr>
          <w:color w:val="000000"/>
        </w:rPr>
        <w:t>dictating</w:t>
      </w:r>
      <w:r w:rsidR="00745A49" w:rsidRPr="00100AAC">
        <w:rPr>
          <w:color w:val="000000"/>
        </w:rPr>
        <w:t xml:space="preserve"> whether content is either assimilated, accommodated, or rejected based upon prior experiences (Moon, 2001; Stodter &amp; Cushion, 2017).</w:t>
      </w:r>
      <w:r w:rsidR="00DA3DF7" w:rsidRPr="00100AAC">
        <w:rPr>
          <w:color w:val="000000"/>
        </w:rPr>
        <w:t xml:space="preserve"> </w:t>
      </w:r>
      <w:r w:rsidR="000D6F9D" w:rsidRPr="00100AAC">
        <w:rPr>
          <w:color w:val="000000"/>
        </w:rPr>
        <w:t xml:space="preserve">In line with existing research (e.g., Cushion, 2013; </w:t>
      </w:r>
      <w:proofErr w:type="spellStart"/>
      <w:r w:rsidR="000D6F9D" w:rsidRPr="00100AAC">
        <w:rPr>
          <w:color w:val="000000"/>
        </w:rPr>
        <w:t>Stodter</w:t>
      </w:r>
      <w:proofErr w:type="spellEnd"/>
      <w:r w:rsidR="000D6F9D" w:rsidRPr="00100AAC">
        <w:rPr>
          <w:color w:val="000000"/>
        </w:rPr>
        <w:t xml:space="preserve"> &amp; Cushion, 2017), </w:t>
      </w:r>
      <w:r w:rsidR="00745A49" w:rsidRPr="00100AAC">
        <w:rPr>
          <w:color w:val="000000"/>
        </w:rPr>
        <w:t xml:space="preserve">for some coaches </w:t>
      </w:r>
      <w:r w:rsidR="00EA3FA8" w:rsidRPr="00100AAC">
        <w:rPr>
          <w:color w:val="000000"/>
        </w:rPr>
        <w:t>a</w:t>
      </w:r>
      <w:r w:rsidR="00745A49" w:rsidRPr="00100AAC">
        <w:rPr>
          <w:color w:val="000000"/>
        </w:rPr>
        <w:t xml:space="preserve"> surface approach to learning transpired through</w:t>
      </w:r>
      <w:r w:rsidR="00EA3FA8" w:rsidRPr="00100AAC">
        <w:rPr>
          <w:color w:val="000000"/>
        </w:rPr>
        <w:t xml:space="preserve"> cherry picking ideas from the L1A which matched their existing cognitive structure</w:t>
      </w:r>
      <w:r w:rsidR="000D6F9D" w:rsidRPr="00100AAC">
        <w:rPr>
          <w:color w:val="000000"/>
        </w:rPr>
        <w:t xml:space="preserve">. </w:t>
      </w:r>
      <w:r w:rsidR="009304DE" w:rsidRPr="00100AAC">
        <w:rPr>
          <w:color w:val="000000"/>
        </w:rPr>
        <w:t xml:space="preserve">Therefore, </w:t>
      </w:r>
      <w:r w:rsidR="009304DE" w:rsidRPr="00100AAC">
        <w:rPr>
          <w:color w:val="000000"/>
        </w:rPr>
        <w:lastRenderedPageBreak/>
        <w:t>s</w:t>
      </w:r>
      <w:r w:rsidR="00EA3FA8" w:rsidRPr="00100AAC">
        <w:rPr>
          <w:color w:val="000000"/>
        </w:rPr>
        <w:t>ession plans and</w:t>
      </w:r>
      <w:r w:rsidR="00B97ECC" w:rsidRPr="00100AAC">
        <w:rPr>
          <w:color w:val="000000"/>
        </w:rPr>
        <w:t xml:space="preserve"> practice</w:t>
      </w:r>
      <w:r w:rsidR="00EA3FA8" w:rsidRPr="00100AAC">
        <w:rPr>
          <w:color w:val="000000"/>
        </w:rPr>
        <w:t xml:space="preserve"> ideas </w:t>
      </w:r>
      <w:r w:rsidR="00451CC2" w:rsidRPr="00100AAC">
        <w:rPr>
          <w:color w:val="000000"/>
        </w:rPr>
        <w:t>were</w:t>
      </w:r>
      <w:r w:rsidR="00EA3FA8" w:rsidRPr="00100AAC">
        <w:rPr>
          <w:color w:val="000000"/>
        </w:rPr>
        <w:t xml:space="preserve"> reproduc</w:t>
      </w:r>
      <w:r w:rsidR="00451CC2" w:rsidRPr="00100AAC">
        <w:rPr>
          <w:color w:val="000000"/>
        </w:rPr>
        <w:t>ed</w:t>
      </w:r>
      <w:r w:rsidR="00EA3FA8" w:rsidRPr="00100AAC">
        <w:rPr>
          <w:color w:val="000000"/>
        </w:rPr>
        <w:t xml:space="preserve"> </w:t>
      </w:r>
      <w:r w:rsidR="00451CC2" w:rsidRPr="00100AAC">
        <w:rPr>
          <w:color w:val="000000"/>
        </w:rPr>
        <w:t>if individuals</w:t>
      </w:r>
      <w:r w:rsidR="00EA3FA8" w:rsidRPr="00100AAC">
        <w:rPr>
          <w:color w:val="000000"/>
        </w:rPr>
        <w:t xml:space="preserve"> </w:t>
      </w:r>
      <w:r w:rsidR="00451CC2" w:rsidRPr="00100AAC">
        <w:rPr>
          <w:color w:val="000000"/>
        </w:rPr>
        <w:t>believed they</w:t>
      </w:r>
      <w:r w:rsidR="00EA3FA8" w:rsidRPr="00100AAC">
        <w:rPr>
          <w:color w:val="000000"/>
        </w:rPr>
        <w:t xml:space="preserve"> would work in their context.</w:t>
      </w:r>
    </w:p>
    <w:p w14:paraId="7A978DAF" w14:textId="276DBFAA" w:rsidR="00147496" w:rsidRPr="00100AAC" w:rsidRDefault="00147496" w:rsidP="009D3BFB">
      <w:pPr>
        <w:pStyle w:val="paragraph"/>
        <w:spacing w:line="480" w:lineRule="auto"/>
        <w:ind w:left="720"/>
        <w:jc w:val="both"/>
        <w:rPr>
          <w:color w:val="000000"/>
        </w:rPr>
      </w:pPr>
      <w:r w:rsidRPr="00100AAC">
        <w:rPr>
          <w:color w:val="000000"/>
        </w:rPr>
        <w:t>I’m going to be planning new session</w:t>
      </w:r>
      <w:r w:rsidR="00DB323B" w:rsidRPr="00100AAC">
        <w:rPr>
          <w:color w:val="000000"/>
        </w:rPr>
        <w:t>s</w:t>
      </w:r>
      <w:r w:rsidRPr="00100AAC">
        <w:rPr>
          <w:color w:val="000000"/>
        </w:rPr>
        <w:t xml:space="preserve"> in </w:t>
      </w:r>
      <w:r w:rsidR="009304DE" w:rsidRPr="00100AAC">
        <w:rPr>
          <w:color w:val="000000"/>
        </w:rPr>
        <w:t xml:space="preserve">the </w:t>
      </w:r>
      <w:r w:rsidRPr="00100AAC">
        <w:rPr>
          <w:color w:val="000000"/>
        </w:rPr>
        <w:t xml:space="preserve">coming weeks </w:t>
      </w:r>
      <w:r w:rsidR="009304DE" w:rsidRPr="00100AAC">
        <w:rPr>
          <w:color w:val="000000"/>
        </w:rPr>
        <w:t xml:space="preserve">in </w:t>
      </w:r>
      <w:r w:rsidRPr="00100AAC">
        <w:rPr>
          <w:color w:val="000000"/>
        </w:rPr>
        <w:t>which I will incorporate the games/practices that were given as examples. (P</w:t>
      </w:r>
      <w:r w:rsidR="008E76CF" w:rsidRPr="00100AAC">
        <w:rPr>
          <w:color w:val="000000"/>
        </w:rPr>
        <w:t xml:space="preserve">articipant </w:t>
      </w:r>
      <w:r w:rsidRPr="00100AAC">
        <w:rPr>
          <w:color w:val="000000"/>
        </w:rPr>
        <w:t>10)</w:t>
      </w:r>
    </w:p>
    <w:p w14:paraId="17FAABAD" w14:textId="61416636" w:rsidR="00F832B3" w:rsidRPr="00100AAC" w:rsidRDefault="00F832B3" w:rsidP="009D3BFB">
      <w:pPr>
        <w:pStyle w:val="paragraph"/>
        <w:spacing w:line="480" w:lineRule="auto"/>
        <w:ind w:left="720"/>
        <w:jc w:val="both"/>
        <w:rPr>
          <w:color w:val="000000"/>
        </w:rPr>
      </w:pPr>
      <w:r w:rsidRPr="00100AAC">
        <w:rPr>
          <w:color w:val="000000"/>
        </w:rPr>
        <w:t>It was a very informative course that provided me with lots of ideas for sessions to do with the primary school children I teach. (P</w:t>
      </w:r>
      <w:r w:rsidR="008E76CF" w:rsidRPr="00100AAC">
        <w:rPr>
          <w:color w:val="000000"/>
        </w:rPr>
        <w:t xml:space="preserve">articipant </w:t>
      </w:r>
      <w:r w:rsidRPr="00100AAC">
        <w:rPr>
          <w:color w:val="000000"/>
        </w:rPr>
        <w:t>56)</w:t>
      </w:r>
    </w:p>
    <w:p w14:paraId="77EAEAA4" w14:textId="4630C71D" w:rsidR="00147496" w:rsidRPr="00100AAC" w:rsidRDefault="00147496" w:rsidP="009D3BFB">
      <w:pPr>
        <w:pStyle w:val="paragraph"/>
        <w:spacing w:line="480" w:lineRule="auto"/>
        <w:ind w:left="720"/>
        <w:jc w:val="both"/>
        <w:rPr>
          <w:color w:val="000000"/>
        </w:rPr>
      </w:pPr>
      <w:r w:rsidRPr="00100AAC">
        <w:rPr>
          <w:color w:val="000000"/>
        </w:rPr>
        <w:t>Given me more ideas about smaller games to play, and also how to design appropriate areas for the ages that I teach. (P</w:t>
      </w:r>
      <w:r w:rsidR="008E76CF" w:rsidRPr="00100AAC">
        <w:rPr>
          <w:color w:val="000000"/>
        </w:rPr>
        <w:t xml:space="preserve">articipant </w:t>
      </w:r>
      <w:r w:rsidRPr="00100AAC">
        <w:rPr>
          <w:color w:val="000000"/>
        </w:rPr>
        <w:t>14)</w:t>
      </w:r>
    </w:p>
    <w:p w14:paraId="6CC5EE21" w14:textId="0FAFFD59" w:rsidR="00147496" w:rsidRPr="00100AAC" w:rsidRDefault="00147496" w:rsidP="009D3BFB">
      <w:pPr>
        <w:pStyle w:val="paragraph"/>
        <w:spacing w:line="480" w:lineRule="auto"/>
        <w:ind w:left="720"/>
        <w:jc w:val="both"/>
        <w:rPr>
          <w:color w:val="000000"/>
        </w:rPr>
      </w:pPr>
      <w:r w:rsidRPr="00100AAC">
        <w:rPr>
          <w:color w:val="000000"/>
        </w:rPr>
        <w:t>For future teaching I have some great ideas of how to get students active and mixed abilities working together. (P</w:t>
      </w:r>
      <w:r w:rsidR="008E76CF" w:rsidRPr="00100AAC">
        <w:rPr>
          <w:color w:val="000000"/>
        </w:rPr>
        <w:t xml:space="preserve">articipant </w:t>
      </w:r>
      <w:r w:rsidRPr="00100AAC">
        <w:rPr>
          <w:color w:val="000000"/>
        </w:rPr>
        <w:t>44)</w:t>
      </w:r>
    </w:p>
    <w:p w14:paraId="2E23B386" w14:textId="57018000" w:rsidR="00EA3FA8" w:rsidRPr="00100AAC" w:rsidRDefault="00F854DE" w:rsidP="009304DE">
      <w:pPr>
        <w:pStyle w:val="paragraph"/>
        <w:spacing w:line="480" w:lineRule="auto"/>
        <w:ind w:firstLine="720"/>
        <w:jc w:val="both"/>
        <w:rPr>
          <w:color w:val="000000"/>
        </w:rPr>
      </w:pPr>
      <w:r w:rsidRPr="00100AAC">
        <w:rPr>
          <w:color w:val="000000"/>
        </w:rPr>
        <w:t xml:space="preserve">The focus on adopting ideas which coaches </w:t>
      </w:r>
      <w:r w:rsidR="00451CC2" w:rsidRPr="00100AAC">
        <w:rPr>
          <w:color w:val="000000"/>
        </w:rPr>
        <w:t>think</w:t>
      </w:r>
      <w:r w:rsidRPr="00100AAC">
        <w:rPr>
          <w:color w:val="000000"/>
        </w:rPr>
        <w:t xml:space="preserve"> will work</w:t>
      </w:r>
      <w:r w:rsidR="007374F8" w:rsidRPr="00100AAC">
        <w:rPr>
          <w:color w:val="000000"/>
        </w:rPr>
        <w:t xml:space="preserve"> in practice</w:t>
      </w:r>
      <w:r w:rsidRPr="00100AAC">
        <w:rPr>
          <w:color w:val="000000"/>
        </w:rPr>
        <w:t xml:space="preserve"> resonates with a surface approach to learning, emphasised by content considere</w:t>
      </w:r>
      <w:r w:rsidR="00451CC2" w:rsidRPr="00100AAC">
        <w:rPr>
          <w:color w:val="000000"/>
        </w:rPr>
        <w:t>d</w:t>
      </w:r>
      <w:r w:rsidRPr="00100AAC">
        <w:rPr>
          <w:color w:val="000000"/>
        </w:rPr>
        <w:t xml:space="preserve"> relevant being organised “on the basis of relatively superficial similarity”</w:t>
      </w:r>
      <w:r w:rsidR="004652F4" w:rsidRPr="00100AAC">
        <w:rPr>
          <w:color w:val="000000"/>
        </w:rPr>
        <w:t xml:space="preserve"> (Moon, 2001, p. 72), </w:t>
      </w:r>
      <w:r w:rsidRPr="00100AAC">
        <w:rPr>
          <w:color w:val="000000"/>
        </w:rPr>
        <w:t>to coaches’ existing practice</w:t>
      </w:r>
      <w:r w:rsidR="006F6572" w:rsidRPr="00100AAC">
        <w:rPr>
          <w:color w:val="000000"/>
        </w:rPr>
        <w:t xml:space="preserve"> and</w:t>
      </w:r>
      <w:r w:rsidR="004652F4" w:rsidRPr="00100AAC">
        <w:rPr>
          <w:color w:val="000000"/>
        </w:rPr>
        <w:t xml:space="preserve"> beliefs</w:t>
      </w:r>
      <w:r w:rsidRPr="00100AAC">
        <w:rPr>
          <w:color w:val="000000"/>
        </w:rPr>
        <w:t xml:space="preserve">. </w:t>
      </w:r>
      <w:r w:rsidR="009304DE" w:rsidRPr="00100AAC">
        <w:rPr>
          <w:color w:val="000000"/>
        </w:rPr>
        <w:t>Akin</w:t>
      </w:r>
      <w:r w:rsidR="008E76CF" w:rsidRPr="00100AAC">
        <w:rPr>
          <w:color w:val="000000"/>
        </w:rPr>
        <w:t xml:space="preserve"> to</w:t>
      </w:r>
      <w:r w:rsidR="004652F4" w:rsidRPr="00100AAC">
        <w:rPr>
          <w:color w:val="000000"/>
        </w:rPr>
        <w:t xml:space="preserve"> Cushion</w:t>
      </w:r>
      <w:r w:rsidR="008E76CF" w:rsidRPr="00100AAC">
        <w:rPr>
          <w:color w:val="000000"/>
        </w:rPr>
        <w:t>’s</w:t>
      </w:r>
      <w:r w:rsidR="004652F4" w:rsidRPr="00100AAC">
        <w:rPr>
          <w:color w:val="000000"/>
        </w:rPr>
        <w:t xml:space="preserve"> (2013) </w:t>
      </w:r>
      <w:r w:rsidR="008E76CF" w:rsidRPr="00100AAC">
        <w:rPr>
          <w:color w:val="000000"/>
        </w:rPr>
        <w:t>critical analysis of</w:t>
      </w:r>
      <w:r w:rsidR="004652F4" w:rsidRPr="00100AAC">
        <w:rPr>
          <w:color w:val="000000"/>
        </w:rPr>
        <w:t xml:space="preserve"> games-based coaching approaches, the data here suggests that</w:t>
      </w:r>
      <w:r w:rsidRPr="00100AAC">
        <w:rPr>
          <w:color w:val="000000"/>
        </w:rPr>
        <w:t xml:space="preserve"> </w:t>
      </w:r>
      <w:r w:rsidR="006F6572" w:rsidRPr="00100AAC">
        <w:rPr>
          <w:color w:val="000000"/>
        </w:rPr>
        <w:t xml:space="preserve">coaches </w:t>
      </w:r>
      <w:r w:rsidR="008E76CF" w:rsidRPr="00100AAC">
        <w:rPr>
          <w:color w:val="000000"/>
        </w:rPr>
        <w:t>tampered</w:t>
      </w:r>
      <w:r w:rsidRPr="00100AAC">
        <w:rPr>
          <w:color w:val="000000"/>
        </w:rPr>
        <w:t xml:space="preserve"> with </w:t>
      </w:r>
      <w:r w:rsidR="00695EB2" w:rsidRPr="00100AAC">
        <w:rPr>
          <w:color w:val="000000"/>
        </w:rPr>
        <w:t xml:space="preserve">L1A </w:t>
      </w:r>
      <w:r w:rsidR="00B97ECC" w:rsidRPr="00100AAC">
        <w:rPr>
          <w:color w:val="000000"/>
        </w:rPr>
        <w:t>material</w:t>
      </w:r>
      <w:r w:rsidRPr="00100AAC">
        <w:rPr>
          <w:color w:val="000000"/>
        </w:rPr>
        <w:t xml:space="preserve"> and reproduce</w:t>
      </w:r>
      <w:r w:rsidR="00695EB2" w:rsidRPr="00100AAC">
        <w:rPr>
          <w:color w:val="000000"/>
        </w:rPr>
        <w:t>d delivered</w:t>
      </w:r>
      <w:r w:rsidRPr="00100AAC">
        <w:rPr>
          <w:color w:val="000000"/>
        </w:rPr>
        <w:t xml:space="preserve"> ideas</w:t>
      </w:r>
      <w:r w:rsidR="00695EB2" w:rsidRPr="00100AAC">
        <w:rPr>
          <w:color w:val="000000"/>
        </w:rPr>
        <w:t xml:space="preserve"> which matched their cognitive structure</w:t>
      </w:r>
      <w:r w:rsidRPr="00100AAC">
        <w:rPr>
          <w:color w:val="000000"/>
        </w:rPr>
        <w:t xml:space="preserve">, rather than </w:t>
      </w:r>
      <w:r w:rsidR="00695EB2" w:rsidRPr="00100AAC">
        <w:rPr>
          <w:color w:val="000000"/>
        </w:rPr>
        <w:t>reflecting upon and accommodating knowledge</w:t>
      </w:r>
      <w:r w:rsidR="004652F4" w:rsidRPr="00100AAC">
        <w:rPr>
          <w:color w:val="000000"/>
        </w:rPr>
        <w:t xml:space="preserve">. </w:t>
      </w:r>
    </w:p>
    <w:p w14:paraId="2B515CE3" w14:textId="1D12C279" w:rsidR="0032284D" w:rsidRPr="00100AAC" w:rsidRDefault="00CA470E" w:rsidP="004C2284">
      <w:pPr>
        <w:pStyle w:val="paragraph"/>
        <w:spacing w:line="480" w:lineRule="auto"/>
        <w:ind w:firstLine="720"/>
        <w:jc w:val="both"/>
        <w:rPr>
          <w:color w:val="000000"/>
        </w:rPr>
      </w:pPr>
      <w:r w:rsidRPr="00100AAC">
        <w:rPr>
          <w:color w:val="000000"/>
        </w:rPr>
        <w:t xml:space="preserve">Nonetheless, </w:t>
      </w:r>
      <w:r w:rsidR="0032284D" w:rsidRPr="00100AAC">
        <w:rPr>
          <w:color w:val="000000"/>
        </w:rPr>
        <w:t xml:space="preserve">limited </w:t>
      </w:r>
      <w:r w:rsidR="00695EB2" w:rsidRPr="00100AAC">
        <w:rPr>
          <w:color w:val="000000"/>
        </w:rPr>
        <w:t>signs of a</w:t>
      </w:r>
      <w:r w:rsidRPr="00100AAC">
        <w:rPr>
          <w:color w:val="000000"/>
        </w:rPr>
        <w:t xml:space="preserve"> deep or transformative approach to learning</w:t>
      </w:r>
      <w:r w:rsidR="00695EB2" w:rsidRPr="00100AAC">
        <w:rPr>
          <w:color w:val="000000"/>
        </w:rPr>
        <w:t xml:space="preserve"> within the L1A w</w:t>
      </w:r>
      <w:r w:rsidR="00B97ECC" w:rsidRPr="00100AAC">
        <w:rPr>
          <w:color w:val="000000"/>
        </w:rPr>
        <w:t>ere</w:t>
      </w:r>
      <w:r w:rsidR="00695EB2" w:rsidRPr="00100AAC">
        <w:rPr>
          <w:color w:val="000000"/>
        </w:rPr>
        <w:t xml:space="preserve"> present</w:t>
      </w:r>
      <w:r w:rsidRPr="00100AAC">
        <w:rPr>
          <w:color w:val="000000"/>
        </w:rPr>
        <w:t xml:space="preserve"> (Moon, 2001). </w:t>
      </w:r>
      <w:r w:rsidR="00695EB2" w:rsidRPr="00100AAC">
        <w:rPr>
          <w:color w:val="000000"/>
        </w:rPr>
        <w:t>W</w:t>
      </w:r>
      <w:r w:rsidRPr="00100AAC">
        <w:rPr>
          <w:color w:val="000000"/>
        </w:rPr>
        <w:t>hen a learner adopts a deep approach to learning they possess “an orientation towards seeking the meaning in the material and understanding the ideas in it… relating it to previous knowledge and understandings” (</w:t>
      </w:r>
      <w:r w:rsidR="000134C1" w:rsidRPr="00100AAC">
        <w:rPr>
          <w:color w:val="000000"/>
        </w:rPr>
        <w:t xml:space="preserve">Moon, 2001, </w:t>
      </w:r>
      <w:r w:rsidRPr="00100AAC">
        <w:rPr>
          <w:color w:val="000000"/>
        </w:rPr>
        <w:t>p. 61)</w:t>
      </w:r>
      <w:r w:rsidR="000134C1" w:rsidRPr="00100AAC">
        <w:rPr>
          <w:color w:val="000000"/>
        </w:rPr>
        <w:t xml:space="preserve">. </w:t>
      </w:r>
      <w:r w:rsidR="009304DE" w:rsidRPr="00100AAC">
        <w:rPr>
          <w:color w:val="000000"/>
        </w:rPr>
        <w:t>Although</w:t>
      </w:r>
      <w:r w:rsidR="0032284D" w:rsidRPr="00100AAC">
        <w:rPr>
          <w:color w:val="000000"/>
        </w:rPr>
        <w:t xml:space="preserve"> self-reported, </w:t>
      </w:r>
      <w:r w:rsidR="000134C1" w:rsidRPr="00100AAC">
        <w:rPr>
          <w:color w:val="000000"/>
        </w:rPr>
        <w:t>coaches</w:t>
      </w:r>
      <w:r w:rsidR="0032284D" w:rsidRPr="00100AAC">
        <w:rPr>
          <w:color w:val="000000"/>
        </w:rPr>
        <w:t xml:space="preserve"> to some extent</w:t>
      </w:r>
      <w:r w:rsidR="000134C1" w:rsidRPr="00100AAC">
        <w:rPr>
          <w:color w:val="000000"/>
        </w:rPr>
        <w:t xml:space="preserve"> </w:t>
      </w:r>
      <w:r w:rsidR="00695EB2" w:rsidRPr="00100AAC">
        <w:rPr>
          <w:color w:val="000000"/>
        </w:rPr>
        <w:t>demonstrated</w:t>
      </w:r>
      <w:r w:rsidR="000134C1" w:rsidRPr="00100AAC">
        <w:rPr>
          <w:color w:val="000000"/>
        </w:rPr>
        <w:t xml:space="preserve"> a process of accommodation, </w:t>
      </w:r>
      <w:r w:rsidR="0032284D" w:rsidRPr="00100AAC">
        <w:rPr>
          <w:color w:val="000000"/>
        </w:rPr>
        <w:lastRenderedPageBreak/>
        <w:t>leading to</w:t>
      </w:r>
      <w:r w:rsidR="000134C1" w:rsidRPr="00100AAC">
        <w:rPr>
          <w:color w:val="000000"/>
        </w:rPr>
        <w:t xml:space="preserve"> a change in their </w:t>
      </w:r>
      <w:r w:rsidR="001E62D2" w:rsidRPr="00100AAC">
        <w:rPr>
          <w:color w:val="000000"/>
        </w:rPr>
        <w:t>cognitive structure and subsequent coaching practice</w:t>
      </w:r>
      <w:r w:rsidR="000134C1" w:rsidRPr="00100AAC">
        <w:rPr>
          <w:color w:val="000000"/>
        </w:rPr>
        <w:t xml:space="preserve"> (Moon, 2001, 2004). </w:t>
      </w:r>
      <w:r w:rsidR="0032284D" w:rsidRPr="00100AAC">
        <w:rPr>
          <w:color w:val="000000"/>
        </w:rPr>
        <w:t>For example, P</w:t>
      </w:r>
      <w:r w:rsidR="008E76CF" w:rsidRPr="00100AAC">
        <w:rPr>
          <w:color w:val="000000"/>
        </w:rPr>
        <w:t xml:space="preserve">articipant </w:t>
      </w:r>
      <w:r w:rsidR="0032284D" w:rsidRPr="00100AAC">
        <w:rPr>
          <w:color w:val="000000"/>
        </w:rPr>
        <w:t>11 explained how the</w:t>
      </w:r>
      <w:r w:rsidR="004C2284" w:rsidRPr="00100AAC">
        <w:rPr>
          <w:color w:val="000000"/>
        </w:rPr>
        <w:t xml:space="preserve"> content within the L1A has enabled them to build upon their previous knowledge related to inclusivity and session reviewing, helping to develop greater understanding. </w:t>
      </w:r>
    </w:p>
    <w:p w14:paraId="2FCA2F1B" w14:textId="6E7B83C9" w:rsidR="0032284D" w:rsidRPr="00100AAC" w:rsidRDefault="0032284D" w:rsidP="009D3BFB">
      <w:pPr>
        <w:pStyle w:val="paragraph"/>
        <w:spacing w:line="480" w:lineRule="auto"/>
        <w:ind w:left="720"/>
        <w:jc w:val="both"/>
        <w:rPr>
          <w:color w:val="000000"/>
        </w:rPr>
      </w:pPr>
      <w:r w:rsidRPr="00100AAC">
        <w:rPr>
          <w:color w:val="000000"/>
        </w:rPr>
        <w:t>Interviewer: So, as a result of completing the online course, do you feel that you now coach dodgeball differently?</w:t>
      </w:r>
    </w:p>
    <w:p w14:paraId="09117081" w14:textId="58047F6C" w:rsidR="00996E47" w:rsidRPr="00100AAC" w:rsidRDefault="0032284D" w:rsidP="009D3BFB">
      <w:pPr>
        <w:pStyle w:val="paragraph"/>
        <w:spacing w:line="480" w:lineRule="auto"/>
        <w:ind w:left="720"/>
        <w:jc w:val="both"/>
        <w:rPr>
          <w:color w:val="000000"/>
        </w:rPr>
      </w:pPr>
      <w:r w:rsidRPr="00100AAC">
        <w:rPr>
          <w:color w:val="000000"/>
        </w:rPr>
        <w:t xml:space="preserve">I would say yes, definitely. Because at some point I may be teaching children in a primary </w:t>
      </w:r>
      <w:r w:rsidR="008966FF" w:rsidRPr="00100AAC">
        <w:rPr>
          <w:color w:val="000000"/>
        </w:rPr>
        <w:t>school,</w:t>
      </w:r>
      <w:r w:rsidRPr="00100AAC">
        <w:rPr>
          <w:color w:val="000000"/>
        </w:rPr>
        <w:t xml:space="preserve"> and I now know that I do not want to be too technical</w:t>
      </w:r>
      <w:r w:rsidR="008966FF" w:rsidRPr="00100AAC">
        <w:rPr>
          <w:color w:val="000000"/>
        </w:rPr>
        <w:t>. F</w:t>
      </w:r>
      <w:r w:rsidRPr="00100AAC">
        <w:rPr>
          <w:color w:val="000000"/>
        </w:rPr>
        <w:t>or example, when they do some specific dodges and they do them well</w:t>
      </w:r>
      <w:r w:rsidR="004C2284" w:rsidRPr="00100AAC">
        <w:rPr>
          <w:color w:val="000000"/>
        </w:rPr>
        <w:t>…</w:t>
      </w:r>
      <w:r w:rsidRPr="00100AAC">
        <w:rPr>
          <w:color w:val="000000"/>
        </w:rPr>
        <w:t xml:space="preserve"> </w:t>
      </w:r>
      <w:r w:rsidR="008966FF" w:rsidRPr="00100AAC">
        <w:rPr>
          <w:color w:val="000000"/>
        </w:rPr>
        <w:t>having</w:t>
      </w:r>
      <w:r w:rsidRPr="00100AAC">
        <w:rPr>
          <w:color w:val="000000"/>
        </w:rPr>
        <w:t xml:space="preserve"> knowledge of this specific action I think is good for the kids because it is good to reinforce everything, and it is part of the technical part which I think helps a lot with kids. The whole part about inclusion and reviewing, I had an idea beforehand, but I didn’t have it in practice, I was maybe doing it informally, but it is something that I do in a different way now, even when it focused on specific skills, I used to coach that informally, but it has made me confident and I underst</w:t>
      </w:r>
      <w:r w:rsidR="008966FF" w:rsidRPr="00100AAC">
        <w:rPr>
          <w:color w:val="000000"/>
        </w:rPr>
        <w:t>an</w:t>
      </w:r>
      <w:r w:rsidRPr="00100AAC">
        <w:rPr>
          <w:color w:val="000000"/>
        </w:rPr>
        <w:t>d it more, about why I am doing that</w:t>
      </w:r>
      <w:r w:rsidR="008966FF" w:rsidRPr="00100AAC">
        <w:rPr>
          <w:color w:val="000000"/>
        </w:rPr>
        <w:t>.</w:t>
      </w:r>
      <w:r w:rsidRPr="00100AAC">
        <w:rPr>
          <w:color w:val="000000"/>
        </w:rPr>
        <w:t xml:space="preserve"> </w:t>
      </w:r>
      <w:r w:rsidR="00996E47" w:rsidRPr="00100AAC">
        <w:rPr>
          <w:color w:val="000000"/>
        </w:rPr>
        <w:t>(P</w:t>
      </w:r>
      <w:r w:rsidR="008E76CF" w:rsidRPr="00100AAC">
        <w:rPr>
          <w:color w:val="000000"/>
        </w:rPr>
        <w:t xml:space="preserve">articipant </w:t>
      </w:r>
      <w:r w:rsidR="00996E47" w:rsidRPr="00100AAC">
        <w:rPr>
          <w:color w:val="000000"/>
        </w:rPr>
        <w:t>11, interview)</w:t>
      </w:r>
    </w:p>
    <w:p w14:paraId="2F13C0B0" w14:textId="2CBDFC45" w:rsidR="004C2284" w:rsidRPr="00100AAC" w:rsidRDefault="004C2284" w:rsidP="009304DE">
      <w:pPr>
        <w:pStyle w:val="paragraph"/>
        <w:spacing w:line="480" w:lineRule="auto"/>
        <w:ind w:firstLine="720"/>
        <w:jc w:val="both"/>
        <w:rPr>
          <w:color w:val="000000"/>
        </w:rPr>
      </w:pPr>
      <w:r w:rsidRPr="00100AAC">
        <w:rPr>
          <w:color w:val="000000"/>
        </w:rPr>
        <w:t>In addition to enhancing their understanding of inclusivity and the importance of session reviewing, P</w:t>
      </w:r>
      <w:r w:rsidR="008E76CF" w:rsidRPr="00100AAC">
        <w:rPr>
          <w:color w:val="000000"/>
        </w:rPr>
        <w:t xml:space="preserve">articipant </w:t>
      </w:r>
      <w:r w:rsidRPr="00100AAC">
        <w:rPr>
          <w:color w:val="000000"/>
        </w:rPr>
        <w:t xml:space="preserve">11 further highlighted how the L1A was able to expand upon their dodgeball specific technical knowledge and rules of the game.   </w:t>
      </w:r>
    </w:p>
    <w:p w14:paraId="0EB79136" w14:textId="0D9A6B59" w:rsidR="004C2284" w:rsidRPr="00100AAC" w:rsidRDefault="004C2284" w:rsidP="009D3BFB">
      <w:pPr>
        <w:pStyle w:val="paragraph"/>
        <w:spacing w:line="480" w:lineRule="auto"/>
        <w:ind w:left="720"/>
        <w:jc w:val="both"/>
        <w:rPr>
          <w:color w:val="000000"/>
        </w:rPr>
      </w:pPr>
      <w:r w:rsidRPr="00100AAC">
        <w:rPr>
          <w:color w:val="000000"/>
        </w:rPr>
        <w:t xml:space="preserve">I think from my current perspective, especially when I planned the review, inclusion, and all these parts, it was the first steppingstone really, and I think it has had an influence, it was my first try really, and it was the first steppingstone for me to carry on different things. For example, I really think I would have struggled to have the technical </w:t>
      </w:r>
      <w:r w:rsidRPr="00100AAC">
        <w:rPr>
          <w:color w:val="000000"/>
        </w:rPr>
        <w:lastRenderedPageBreak/>
        <w:t>knowledge that I have in dodgeball, I would not have it, so it definitely helps me in terms of the rules and situations. (P</w:t>
      </w:r>
      <w:r w:rsidR="008E76CF" w:rsidRPr="00100AAC">
        <w:rPr>
          <w:color w:val="000000"/>
        </w:rPr>
        <w:t xml:space="preserve">articipant </w:t>
      </w:r>
      <w:r w:rsidRPr="00100AAC">
        <w:rPr>
          <w:color w:val="000000"/>
        </w:rPr>
        <w:t>11, interview)</w:t>
      </w:r>
    </w:p>
    <w:p w14:paraId="25E01431" w14:textId="0A590CBD" w:rsidR="008966FF" w:rsidRPr="00100AAC" w:rsidRDefault="008966FF" w:rsidP="009304DE">
      <w:pPr>
        <w:pStyle w:val="paragraph"/>
        <w:spacing w:line="480" w:lineRule="auto"/>
        <w:ind w:firstLine="720"/>
        <w:jc w:val="both"/>
        <w:rPr>
          <w:color w:val="000000"/>
        </w:rPr>
      </w:pPr>
      <w:r w:rsidRPr="00100AAC">
        <w:rPr>
          <w:color w:val="000000"/>
        </w:rPr>
        <w:t xml:space="preserve">Additional participants also began to suggest that the L1A has enabled them to make changes to their coaching practice, specifically in relation to their session planning, design, and adopted pedagogical approach. </w:t>
      </w:r>
    </w:p>
    <w:p w14:paraId="25FC8509" w14:textId="7E7DA25C" w:rsidR="00996E47" w:rsidRPr="00100AAC" w:rsidRDefault="00996E47" w:rsidP="009D3BFB">
      <w:pPr>
        <w:pStyle w:val="paragraph"/>
        <w:spacing w:line="480" w:lineRule="auto"/>
        <w:ind w:left="720"/>
        <w:jc w:val="both"/>
        <w:rPr>
          <w:color w:val="000000"/>
        </w:rPr>
      </w:pPr>
      <w:r w:rsidRPr="00100AAC">
        <w:rPr>
          <w:color w:val="000000"/>
        </w:rPr>
        <w:t>Yes, more actively writing down session plans and sharing with other coaches rather than improvising. Structuring sessions differently to include more time to engage with participants on a 1:1 basis. (P</w:t>
      </w:r>
      <w:r w:rsidR="008E76CF" w:rsidRPr="00100AAC">
        <w:rPr>
          <w:color w:val="000000"/>
        </w:rPr>
        <w:t xml:space="preserve">articipant </w:t>
      </w:r>
      <w:r w:rsidRPr="00100AAC">
        <w:rPr>
          <w:color w:val="000000"/>
        </w:rPr>
        <w:t>40)</w:t>
      </w:r>
    </w:p>
    <w:p w14:paraId="4EFEF4A7" w14:textId="1C3D9962" w:rsidR="00996E47" w:rsidRPr="00100AAC" w:rsidRDefault="00996E47" w:rsidP="009D3BFB">
      <w:pPr>
        <w:pStyle w:val="paragraph"/>
        <w:spacing w:line="480" w:lineRule="auto"/>
        <w:ind w:left="720"/>
        <w:jc w:val="both"/>
        <w:rPr>
          <w:color w:val="000000"/>
        </w:rPr>
      </w:pPr>
      <w:r w:rsidRPr="00100AAC">
        <w:rPr>
          <w:color w:val="000000"/>
        </w:rPr>
        <w:t>I have been able to take a different approach to when I am planning a session with a particular focus on age and ability. (P</w:t>
      </w:r>
      <w:r w:rsidR="008E76CF" w:rsidRPr="00100AAC">
        <w:rPr>
          <w:color w:val="000000"/>
        </w:rPr>
        <w:t xml:space="preserve">articipant </w:t>
      </w:r>
      <w:r w:rsidRPr="00100AAC">
        <w:rPr>
          <w:color w:val="000000"/>
        </w:rPr>
        <w:t>51)</w:t>
      </w:r>
    </w:p>
    <w:p w14:paraId="454513AA" w14:textId="01DAF1B4" w:rsidR="00996E47" w:rsidRPr="00100AAC" w:rsidRDefault="00996E47" w:rsidP="009D3BFB">
      <w:pPr>
        <w:pStyle w:val="paragraph"/>
        <w:spacing w:line="480" w:lineRule="auto"/>
        <w:ind w:left="720"/>
        <w:jc w:val="both"/>
        <w:rPr>
          <w:color w:val="000000"/>
        </w:rPr>
      </w:pPr>
      <w:r w:rsidRPr="00100AAC">
        <w:rPr>
          <w:color w:val="000000"/>
        </w:rPr>
        <w:t>Changes to the area layout has been the biggest change. Also, now I deliver the sessions more of a whole-part-whole theme rather than just games-based. (P</w:t>
      </w:r>
      <w:r w:rsidR="008E76CF" w:rsidRPr="00100AAC">
        <w:rPr>
          <w:color w:val="000000"/>
        </w:rPr>
        <w:t xml:space="preserve">articipant </w:t>
      </w:r>
      <w:r w:rsidRPr="00100AAC">
        <w:rPr>
          <w:color w:val="000000"/>
        </w:rPr>
        <w:t>52)</w:t>
      </w:r>
    </w:p>
    <w:p w14:paraId="1B9FA3D1" w14:textId="6A4EAD4F" w:rsidR="00E77A4D" w:rsidRPr="00100AAC" w:rsidRDefault="008966FF" w:rsidP="009304DE">
      <w:pPr>
        <w:pStyle w:val="paragraph"/>
        <w:spacing w:line="480" w:lineRule="auto"/>
        <w:ind w:firstLine="720"/>
        <w:jc w:val="both"/>
        <w:rPr>
          <w:color w:val="000000"/>
        </w:rPr>
      </w:pPr>
      <w:r w:rsidRPr="00100AAC">
        <w:rPr>
          <w:color w:val="000000"/>
        </w:rPr>
        <w:t>It has been proposed that o</w:t>
      </w:r>
      <w:r w:rsidR="000134C1" w:rsidRPr="00100AAC">
        <w:rPr>
          <w:color w:val="000000"/>
        </w:rPr>
        <w:t>nline coach education has the potential to</w:t>
      </w:r>
      <w:r w:rsidR="0091739B" w:rsidRPr="00100AAC">
        <w:rPr>
          <w:color w:val="000000"/>
        </w:rPr>
        <w:t xml:space="preserve"> help coaches</w:t>
      </w:r>
      <w:r w:rsidR="000134C1" w:rsidRPr="00100AAC">
        <w:rPr>
          <w:color w:val="000000"/>
        </w:rPr>
        <w:t xml:space="preserve"> </w:t>
      </w:r>
      <w:r w:rsidR="00E77A4D" w:rsidRPr="00100AAC">
        <w:rPr>
          <w:color w:val="000000"/>
        </w:rPr>
        <w:t>deepen</w:t>
      </w:r>
      <w:r w:rsidR="0091739B" w:rsidRPr="00100AAC">
        <w:rPr>
          <w:color w:val="000000"/>
        </w:rPr>
        <w:t xml:space="preserve"> their</w:t>
      </w:r>
      <w:r w:rsidR="00E77A4D" w:rsidRPr="00100AAC">
        <w:rPr>
          <w:color w:val="000000"/>
        </w:rPr>
        <w:t xml:space="preserve"> understanding of reflecti</w:t>
      </w:r>
      <w:r w:rsidR="0091739B" w:rsidRPr="00100AAC">
        <w:rPr>
          <w:color w:val="000000"/>
        </w:rPr>
        <w:t>on</w:t>
      </w:r>
      <w:r w:rsidR="00E77A4D" w:rsidRPr="00100AAC">
        <w:rPr>
          <w:color w:val="000000"/>
        </w:rPr>
        <w:t xml:space="preserve"> </w:t>
      </w:r>
      <w:r w:rsidR="000134C1" w:rsidRPr="00100AAC">
        <w:rPr>
          <w:color w:val="000000"/>
        </w:rPr>
        <w:t>(Cushion &amp; Townsend, 2019)</w:t>
      </w:r>
      <w:r w:rsidR="00B83B44" w:rsidRPr="00100AAC">
        <w:rPr>
          <w:color w:val="000000"/>
        </w:rPr>
        <w:t>, with</w:t>
      </w:r>
      <w:r w:rsidR="001E62D2" w:rsidRPr="00100AAC">
        <w:rPr>
          <w:color w:val="000000"/>
        </w:rPr>
        <w:t xml:space="preserve"> recent literature demonstrat</w:t>
      </w:r>
      <w:r w:rsidR="00B83B44" w:rsidRPr="00100AAC">
        <w:rPr>
          <w:color w:val="000000"/>
        </w:rPr>
        <w:t>ing</w:t>
      </w:r>
      <w:r w:rsidR="001E62D2" w:rsidRPr="00100AAC">
        <w:rPr>
          <w:color w:val="000000"/>
        </w:rPr>
        <w:t xml:space="preserve"> </w:t>
      </w:r>
      <w:r w:rsidR="00B83B44" w:rsidRPr="00100AAC">
        <w:rPr>
          <w:color w:val="000000"/>
        </w:rPr>
        <w:t xml:space="preserve">how </w:t>
      </w:r>
      <w:r w:rsidR="00266B3D" w:rsidRPr="00100AAC">
        <w:rPr>
          <w:color w:val="000000"/>
        </w:rPr>
        <w:t xml:space="preserve">such provision </w:t>
      </w:r>
      <w:r w:rsidR="00B83B44" w:rsidRPr="00100AAC">
        <w:rPr>
          <w:color w:val="000000"/>
        </w:rPr>
        <w:t>can</w:t>
      </w:r>
      <w:r w:rsidR="001E62D2" w:rsidRPr="00100AAC">
        <w:rPr>
          <w:color w:val="000000"/>
        </w:rPr>
        <w:t xml:space="preserve"> facilitate</w:t>
      </w:r>
      <w:r w:rsidR="002542C4" w:rsidRPr="00100AAC">
        <w:rPr>
          <w:color w:val="000000"/>
        </w:rPr>
        <w:t xml:space="preserve"> </w:t>
      </w:r>
      <w:r w:rsidR="00004775" w:rsidRPr="00100AAC">
        <w:rPr>
          <w:color w:val="000000"/>
        </w:rPr>
        <w:t xml:space="preserve">coaches’ </w:t>
      </w:r>
      <w:r w:rsidR="00C16830" w:rsidRPr="00100AAC">
        <w:rPr>
          <w:color w:val="000000"/>
        </w:rPr>
        <w:t>capacity</w:t>
      </w:r>
      <w:r w:rsidR="00004775" w:rsidRPr="00100AAC">
        <w:rPr>
          <w:color w:val="000000"/>
        </w:rPr>
        <w:t xml:space="preserve"> to become self-reflective</w:t>
      </w:r>
      <w:r w:rsidR="001E62D2" w:rsidRPr="00100AAC">
        <w:rPr>
          <w:color w:val="000000"/>
        </w:rPr>
        <w:t xml:space="preserve"> (e.g., </w:t>
      </w:r>
      <w:r w:rsidR="00141A86" w:rsidRPr="00100AAC">
        <w:rPr>
          <w:color w:val="000000"/>
        </w:rPr>
        <w:t>Driska, 2018; Griffiths et al., 202</w:t>
      </w:r>
      <w:r w:rsidR="00357F89" w:rsidRPr="00100AAC">
        <w:rPr>
          <w:color w:val="000000"/>
        </w:rPr>
        <w:t>2</w:t>
      </w:r>
      <w:r w:rsidR="00141A86" w:rsidRPr="00100AAC">
        <w:rPr>
          <w:color w:val="000000"/>
        </w:rPr>
        <w:t xml:space="preserve">; Santos et al., 2019). </w:t>
      </w:r>
      <w:r w:rsidR="002542C4" w:rsidRPr="00100AAC">
        <w:rPr>
          <w:color w:val="000000"/>
        </w:rPr>
        <w:t xml:space="preserve">Findings from this research echo these sentiments, with </w:t>
      </w:r>
      <w:r w:rsidR="00266B3D" w:rsidRPr="00100AAC">
        <w:rPr>
          <w:color w:val="000000"/>
        </w:rPr>
        <w:t>P</w:t>
      </w:r>
      <w:r w:rsidR="008E76CF" w:rsidRPr="00100AAC">
        <w:rPr>
          <w:color w:val="000000"/>
        </w:rPr>
        <w:t xml:space="preserve">articipant </w:t>
      </w:r>
      <w:r w:rsidR="00266B3D" w:rsidRPr="00100AAC">
        <w:rPr>
          <w:color w:val="000000"/>
        </w:rPr>
        <w:t>47 describing</w:t>
      </w:r>
      <w:r w:rsidR="002542C4" w:rsidRPr="00100AAC">
        <w:rPr>
          <w:color w:val="000000"/>
        </w:rPr>
        <w:t xml:space="preserve"> how the online L1A has improved their ability to </w:t>
      </w:r>
      <w:r w:rsidR="0091739B" w:rsidRPr="00100AAC">
        <w:rPr>
          <w:color w:val="000000"/>
        </w:rPr>
        <w:t>engage with ref</w:t>
      </w:r>
      <w:r w:rsidR="004339DD" w:rsidRPr="00100AAC">
        <w:rPr>
          <w:color w:val="000000"/>
        </w:rPr>
        <w:t>l</w:t>
      </w:r>
      <w:r w:rsidR="0091739B" w:rsidRPr="00100AAC">
        <w:rPr>
          <w:color w:val="000000"/>
        </w:rPr>
        <w:t>ecti</w:t>
      </w:r>
      <w:r w:rsidR="00266B3D" w:rsidRPr="00100AAC">
        <w:rPr>
          <w:color w:val="000000"/>
        </w:rPr>
        <w:t xml:space="preserve">on and critically reflect upon their </w:t>
      </w:r>
      <w:r w:rsidRPr="00100AAC">
        <w:rPr>
          <w:color w:val="000000"/>
        </w:rPr>
        <w:t>use of coaching interventions</w:t>
      </w:r>
      <w:r w:rsidR="0091739B" w:rsidRPr="00100AAC">
        <w:rPr>
          <w:color w:val="000000"/>
        </w:rPr>
        <w:t>.</w:t>
      </w:r>
    </w:p>
    <w:p w14:paraId="77F733C9" w14:textId="531A47DC" w:rsidR="00C16830" w:rsidRPr="00100AAC" w:rsidRDefault="00C16830" w:rsidP="009D3BFB">
      <w:pPr>
        <w:pStyle w:val="paragraph"/>
        <w:spacing w:line="480" w:lineRule="auto"/>
        <w:ind w:left="720"/>
        <w:jc w:val="both"/>
        <w:rPr>
          <w:color w:val="000000"/>
        </w:rPr>
      </w:pPr>
      <w:r w:rsidRPr="00100AAC">
        <w:rPr>
          <w:color w:val="000000"/>
        </w:rPr>
        <w:t xml:space="preserve">I would probably say like the reflection, there was a section where they put you in a scenario as if you were the coach and what are you trying to get out of the session and I think that’s the most important thing that I thought I was going into because it gave me an idea of what I want to get out of the session and different age groups, I think I </w:t>
      </w:r>
      <w:r w:rsidRPr="00100AAC">
        <w:rPr>
          <w:color w:val="000000"/>
        </w:rPr>
        <w:lastRenderedPageBreak/>
        <w:t>mentioned before about the kids having fun</w:t>
      </w:r>
      <w:r w:rsidR="00EC35B3" w:rsidRPr="00100AAC">
        <w:rPr>
          <w:color w:val="000000"/>
        </w:rPr>
        <w:t xml:space="preserve">… </w:t>
      </w:r>
      <w:r w:rsidRPr="00100AAC">
        <w:rPr>
          <w:color w:val="000000"/>
        </w:rPr>
        <w:t>and it got me thinking how to coach some of the kids, do you show them or tell them? Demonstrate or let one of them demonstrate? (P</w:t>
      </w:r>
      <w:r w:rsidR="008E76CF" w:rsidRPr="00100AAC">
        <w:rPr>
          <w:color w:val="000000"/>
        </w:rPr>
        <w:t xml:space="preserve">articipant </w:t>
      </w:r>
      <w:r w:rsidRPr="00100AAC">
        <w:rPr>
          <w:color w:val="000000"/>
        </w:rPr>
        <w:t>47, interview)</w:t>
      </w:r>
    </w:p>
    <w:p w14:paraId="0FA35346" w14:textId="7BF8C86E" w:rsidR="0034473D" w:rsidRPr="00100AAC" w:rsidRDefault="00266B3D" w:rsidP="009304DE">
      <w:pPr>
        <w:pStyle w:val="paragraph"/>
        <w:spacing w:line="480" w:lineRule="auto"/>
        <w:ind w:firstLine="720"/>
        <w:jc w:val="both"/>
        <w:rPr>
          <w:color w:val="000000"/>
        </w:rPr>
      </w:pPr>
      <w:r w:rsidRPr="00100AAC">
        <w:rPr>
          <w:color w:val="000000"/>
        </w:rPr>
        <w:t>This aspect was emphasised further by P</w:t>
      </w:r>
      <w:r w:rsidR="008E76CF" w:rsidRPr="00100AAC">
        <w:rPr>
          <w:color w:val="000000"/>
        </w:rPr>
        <w:t xml:space="preserve">articipant </w:t>
      </w:r>
      <w:r w:rsidRPr="00100AAC">
        <w:rPr>
          <w:color w:val="000000"/>
        </w:rPr>
        <w:t xml:space="preserve">47, who explained how the L1A has encouraged them to critically reflect before, during, and after session delivery </w:t>
      </w:r>
      <w:r w:rsidR="00024E00" w:rsidRPr="00100AAC">
        <w:rPr>
          <w:color w:val="000000"/>
        </w:rPr>
        <w:t>regarding</w:t>
      </w:r>
      <w:r w:rsidRPr="00100AAC">
        <w:rPr>
          <w:color w:val="000000"/>
        </w:rPr>
        <w:t xml:space="preserve"> their session aims and participant needs. </w:t>
      </w:r>
    </w:p>
    <w:p w14:paraId="148B2D0B" w14:textId="5AA6391D" w:rsidR="0034473D" w:rsidRPr="00100AAC" w:rsidRDefault="0034473D" w:rsidP="009D3BFB">
      <w:pPr>
        <w:pStyle w:val="paragraph"/>
        <w:spacing w:line="480" w:lineRule="auto"/>
        <w:ind w:left="720"/>
        <w:jc w:val="both"/>
        <w:rPr>
          <w:color w:val="000000"/>
        </w:rPr>
      </w:pPr>
      <w:r w:rsidRPr="00100AAC">
        <w:rPr>
          <w:color w:val="000000"/>
        </w:rPr>
        <w:t xml:space="preserve">So, you know what </w:t>
      </w:r>
      <w:r w:rsidR="00266B3D" w:rsidRPr="00100AAC">
        <w:rPr>
          <w:color w:val="000000"/>
        </w:rPr>
        <w:t>you’re</w:t>
      </w:r>
      <w:r w:rsidRPr="00100AAC">
        <w:rPr>
          <w:color w:val="000000"/>
        </w:rPr>
        <w:t xml:space="preserve"> doing before the session, during the session and then after the session as well, so you’re reflecting after the session on how you coach and take that on which I didn’t really know</w:t>
      </w:r>
      <w:r w:rsidR="008966FF" w:rsidRPr="00100AAC">
        <w:rPr>
          <w:color w:val="000000"/>
        </w:rPr>
        <w:t>.</w:t>
      </w:r>
      <w:r w:rsidRPr="00100AAC">
        <w:rPr>
          <w:color w:val="000000"/>
        </w:rPr>
        <w:t xml:space="preserve"> </w:t>
      </w:r>
      <w:r w:rsidR="008966FF" w:rsidRPr="00100AAC">
        <w:rPr>
          <w:color w:val="000000"/>
        </w:rPr>
        <w:t>Before i</w:t>
      </w:r>
      <w:r w:rsidRPr="00100AAC">
        <w:rPr>
          <w:color w:val="000000"/>
        </w:rPr>
        <w:t xml:space="preserve">f I was going </w:t>
      </w:r>
      <w:r w:rsidR="008966FF" w:rsidRPr="00100AAC">
        <w:rPr>
          <w:color w:val="000000"/>
        </w:rPr>
        <w:t>t</w:t>
      </w:r>
      <w:r w:rsidRPr="00100AAC">
        <w:rPr>
          <w:color w:val="000000"/>
        </w:rPr>
        <w:t xml:space="preserve">o coach, I wouldn’t reflect, and it is a massive part of coaching, getting the right session, meeting the aims of the session. So, in terms of the level one, it did that for me. It also kind of meant I thought about the different types of participants, you’ve got some that you know and also some that may have never played it before, so </w:t>
      </w:r>
      <w:r w:rsidR="008966FF" w:rsidRPr="00100AAC">
        <w:rPr>
          <w:color w:val="000000"/>
        </w:rPr>
        <w:t>they</w:t>
      </w:r>
      <w:r w:rsidRPr="00100AAC">
        <w:rPr>
          <w:color w:val="000000"/>
        </w:rPr>
        <w:t>’ve got experience but still make the effort to get to know them and stuff like that, so it was interesting. (P</w:t>
      </w:r>
      <w:r w:rsidR="008E76CF" w:rsidRPr="00100AAC">
        <w:rPr>
          <w:color w:val="000000"/>
        </w:rPr>
        <w:t xml:space="preserve">articipant </w:t>
      </w:r>
      <w:r w:rsidRPr="00100AAC">
        <w:rPr>
          <w:color w:val="000000"/>
        </w:rPr>
        <w:t xml:space="preserve">47, interview)  </w:t>
      </w:r>
    </w:p>
    <w:p w14:paraId="69B2AFCA" w14:textId="77AD2936" w:rsidR="004339DD" w:rsidRPr="00100AAC" w:rsidRDefault="00024E00" w:rsidP="00130132">
      <w:pPr>
        <w:pStyle w:val="paragraph"/>
        <w:spacing w:line="480" w:lineRule="auto"/>
        <w:ind w:firstLine="720"/>
        <w:jc w:val="both"/>
        <w:rPr>
          <w:color w:val="000000"/>
        </w:rPr>
      </w:pPr>
      <w:r w:rsidRPr="00100AAC">
        <w:rPr>
          <w:color w:val="000000"/>
        </w:rPr>
        <w:t>Consequently, the L1A supported participants in becoming more self-reflective towards their coaching practice</w:t>
      </w:r>
      <w:r w:rsidR="00130132" w:rsidRPr="00100AAC">
        <w:rPr>
          <w:color w:val="000000"/>
        </w:rPr>
        <w:t>, echoing previous research into online coach education</w:t>
      </w:r>
      <w:r w:rsidRPr="00100AAC">
        <w:rPr>
          <w:color w:val="000000"/>
        </w:rPr>
        <w:t xml:space="preserve"> (</w:t>
      </w:r>
      <w:r w:rsidR="00130132" w:rsidRPr="00100AAC">
        <w:rPr>
          <w:color w:val="000000"/>
        </w:rPr>
        <w:t xml:space="preserve">see </w:t>
      </w:r>
      <w:proofErr w:type="spellStart"/>
      <w:r w:rsidRPr="00100AAC">
        <w:rPr>
          <w:color w:val="000000"/>
        </w:rPr>
        <w:t>Driska</w:t>
      </w:r>
      <w:proofErr w:type="spellEnd"/>
      <w:r w:rsidRPr="00100AAC">
        <w:rPr>
          <w:color w:val="000000"/>
        </w:rPr>
        <w:t xml:space="preserve">, 2018). Specifically, </w:t>
      </w:r>
      <w:r w:rsidR="004339DD" w:rsidRPr="00100AAC">
        <w:rPr>
          <w:color w:val="000000"/>
        </w:rPr>
        <w:t>P</w:t>
      </w:r>
      <w:r w:rsidR="008E76CF" w:rsidRPr="00100AAC">
        <w:rPr>
          <w:color w:val="000000"/>
        </w:rPr>
        <w:t xml:space="preserve">articipant </w:t>
      </w:r>
      <w:r w:rsidR="004339DD" w:rsidRPr="00100AAC">
        <w:rPr>
          <w:color w:val="000000"/>
        </w:rPr>
        <w:t xml:space="preserve">11 </w:t>
      </w:r>
      <w:r w:rsidRPr="00100AAC">
        <w:rPr>
          <w:color w:val="000000"/>
        </w:rPr>
        <w:t>alluded to developing</w:t>
      </w:r>
      <w:r w:rsidR="004339DD" w:rsidRPr="00100AAC">
        <w:rPr>
          <w:color w:val="000000"/>
        </w:rPr>
        <w:t xml:space="preserve"> enhanced confidence </w:t>
      </w:r>
      <w:r w:rsidRPr="00100AAC">
        <w:rPr>
          <w:color w:val="000000"/>
        </w:rPr>
        <w:t>and knowledge</w:t>
      </w:r>
      <w:r w:rsidR="004339DD" w:rsidRPr="00100AAC">
        <w:rPr>
          <w:color w:val="000000"/>
        </w:rPr>
        <w:t xml:space="preserve"> from the L1A, </w:t>
      </w:r>
      <w:r w:rsidRPr="00100AAC">
        <w:rPr>
          <w:color w:val="000000"/>
        </w:rPr>
        <w:t xml:space="preserve">which </w:t>
      </w:r>
      <w:r w:rsidR="004339DD" w:rsidRPr="00100AAC">
        <w:rPr>
          <w:color w:val="000000"/>
        </w:rPr>
        <w:t>ha</w:t>
      </w:r>
      <w:r w:rsidR="008966FF" w:rsidRPr="00100AAC">
        <w:rPr>
          <w:color w:val="000000"/>
        </w:rPr>
        <w:t>s</w:t>
      </w:r>
      <w:r w:rsidR="004339DD" w:rsidRPr="00100AAC">
        <w:rPr>
          <w:color w:val="000000"/>
        </w:rPr>
        <w:t xml:space="preserve"> increased their ability to reflect </w:t>
      </w:r>
      <w:r w:rsidRPr="00100AAC">
        <w:rPr>
          <w:color w:val="000000"/>
        </w:rPr>
        <w:t>upon their</w:t>
      </w:r>
      <w:r w:rsidR="004339DD" w:rsidRPr="00100AAC">
        <w:rPr>
          <w:color w:val="000000"/>
        </w:rPr>
        <w:t xml:space="preserve"> session delivery </w:t>
      </w:r>
      <w:r w:rsidR="008966FF" w:rsidRPr="00100AAC">
        <w:rPr>
          <w:color w:val="000000"/>
        </w:rPr>
        <w:t>while planning</w:t>
      </w:r>
      <w:r w:rsidR="004339DD" w:rsidRPr="00100AAC">
        <w:rPr>
          <w:color w:val="000000"/>
        </w:rPr>
        <w:t xml:space="preserve"> future changes to practice</w:t>
      </w:r>
      <w:r w:rsidRPr="00100AAC">
        <w:rPr>
          <w:color w:val="000000"/>
        </w:rPr>
        <w:t>.</w:t>
      </w:r>
      <w:r w:rsidR="004339DD" w:rsidRPr="00100AAC">
        <w:rPr>
          <w:color w:val="000000"/>
        </w:rPr>
        <w:t xml:space="preserve"> </w:t>
      </w:r>
    </w:p>
    <w:p w14:paraId="3178A42C" w14:textId="7DD388C8" w:rsidR="004339DD" w:rsidRPr="00100AAC" w:rsidRDefault="004339DD" w:rsidP="009D3BFB">
      <w:pPr>
        <w:pStyle w:val="paragraph"/>
        <w:spacing w:line="480" w:lineRule="auto"/>
        <w:ind w:left="720"/>
        <w:jc w:val="both"/>
        <w:rPr>
          <w:color w:val="000000"/>
        </w:rPr>
      </w:pPr>
      <w:r w:rsidRPr="00100AAC">
        <w:rPr>
          <w:color w:val="000000"/>
        </w:rPr>
        <w:t xml:space="preserve">First, is confidence and knowledge, I am much more confident and knowledgeable about the sport, and it was good as well for my school. For me, it gave me some ideas of what we can focus on to have an order and it gives a plan of what to do, so when you do something and then review it and you think of what you are going to do next time. </w:t>
      </w:r>
      <w:r w:rsidRPr="00100AAC">
        <w:rPr>
          <w:color w:val="000000"/>
        </w:rPr>
        <w:lastRenderedPageBreak/>
        <w:t>It gives you a basis, where before I th</w:t>
      </w:r>
      <w:r w:rsidR="008966FF" w:rsidRPr="00100AAC">
        <w:rPr>
          <w:color w:val="000000"/>
        </w:rPr>
        <w:t>ought</w:t>
      </w:r>
      <w:r w:rsidRPr="00100AAC">
        <w:rPr>
          <w:color w:val="000000"/>
        </w:rPr>
        <w:t xml:space="preserve"> about it a little but now, I am more precise than before, I would say m</w:t>
      </w:r>
      <w:r w:rsidR="008966FF" w:rsidRPr="00100AAC">
        <w:rPr>
          <w:color w:val="000000"/>
        </w:rPr>
        <w:t>ore</w:t>
      </w:r>
      <w:r w:rsidRPr="00100AAC">
        <w:rPr>
          <w:color w:val="000000"/>
        </w:rPr>
        <w:t xml:space="preserve"> confiden</w:t>
      </w:r>
      <w:r w:rsidR="008966FF" w:rsidRPr="00100AAC">
        <w:rPr>
          <w:color w:val="000000"/>
        </w:rPr>
        <w:t>t</w:t>
      </w:r>
      <w:r w:rsidRPr="00100AAC">
        <w:rPr>
          <w:color w:val="000000"/>
        </w:rPr>
        <w:t xml:space="preserve"> in what I am doing. (P</w:t>
      </w:r>
      <w:r w:rsidR="008E76CF" w:rsidRPr="00100AAC">
        <w:rPr>
          <w:color w:val="000000"/>
        </w:rPr>
        <w:t xml:space="preserve">articipant </w:t>
      </w:r>
      <w:r w:rsidRPr="00100AAC">
        <w:rPr>
          <w:color w:val="000000"/>
        </w:rPr>
        <w:t>11, interview)</w:t>
      </w:r>
    </w:p>
    <w:p w14:paraId="497273BF" w14:textId="653ADAB0" w:rsidR="00B83B44" w:rsidRPr="00100AAC" w:rsidRDefault="00B83B44" w:rsidP="00130132">
      <w:pPr>
        <w:pStyle w:val="paragraph"/>
        <w:spacing w:line="480" w:lineRule="auto"/>
        <w:ind w:firstLine="720"/>
        <w:jc w:val="both"/>
        <w:rPr>
          <w:color w:val="000000"/>
        </w:rPr>
      </w:pPr>
      <w:r w:rsidRPr="00100AAC">
        <w:rPr>
          <w:color w:val="000000"/>
        </w:rPr>
        <w:t>Moon (2001) argues that unless courses have an impact on an individual’s practice (e.g., by facilitating deep learning</w:t>
      </w:r>
      <w:r w:rsidR="00C16830" w:rsidRPr="00100AAC">
        <w:rPr>
          <w:color w:val="000000"/>
        </w:rPr>
        <w:t xml:space="preserve"> and reflection</w:t>
      </w:r>
      <w:r w:rsidRPr="00100AAC">
        <w:rPr>
          <w:color w:val="000000"/>
        </w:rPr>
        <w:t>), there is little point in their existence.</w:t>
      </w:r>
      <w:r w:rsidR="00C16830" w:rsidRPr="00100AAC">
        <w:t xml:space="preserve"> </w:t>
      </w:r>
      <w:r w:rsidR="00C16830" w:rsidRPr="00100AAC">
        <w:rPr>
          <w:color w:val="000000"/>
        </w:rPr>
        <w:t xml:space="preserve">Problematically, online provision is often evaluated via course attendance, as opposed to changes in coaches’ learning and behaviour (Trudel et al., 2013). Nonetheless, </w:t>
      </w:r>
      <w:r w:rsidR="00167B06" w:rsidRPr="00100AAC">
        <w:rPr>
          <w:color w:val="000000"/>
        </w:rPr>
        <w:t xml:space="preserve">these findings echo previous </w:t>
      </w:r>
      <w:r w:rsidR="00C16830" w:rsidRPr="00100AAC">
        <w:rPr>
          <w:color w:val="000000"/>
        </w:rPr>
        <w:t>research</w:t>
      </w:r>
      <w:r w:rsidR="00167B06" w:rsidRPr="00100AAC">
        <w:rPr>
          <w:color w:val="000000"/>
        </w:rPr>
        <w:t xml:space="preserve"> (e.g., Driska, 2018), which demonstrates how online coach education can </w:t>
      </w:r>
      <w:r w:rsidR="00C16830" w:rsidRPr="00100AAC">
        <w:rPr>
          <w:color w:val="000000"/>
        </w:rPr>
        <w:t xml:space="preserve">instigate </w:t>
      </w:r>
      <w:r w:rsidR="007E6010" w:rsidRPr="00100AAC">
        <w:rPr>
          <w:color w:val="000000"/>
        </w:rPr>
        <w:t xml:space="preserve">self-reported </w:t>
      </w:r>
      <w:r w:rsidR="00167B06" w:rsidRPr="00100AAC">
        <w:rPr>
          <w:color w:val="000000"/>
        </w:rPr>
        <w:t>changes to coaching</w:t>
      </w:r>
      <w:r w:rsidR="00C16830" w:rsidRPr="00100AAC">
        <w:rPr>
          <w:color w:val="000000"/>
        </w:rPr>
        <w:t xml:space="preserve"> practice</w:t>
      </w:r>
      <w:r w:rsidR="00024E00" w:rsidRPr="00100AAC">
        <w:rPr>
          <w:color w:val="000000"/>
        </w:rPr>
        <w:t xml:space="preserve"> through enhanced reflection</w:t>
      </w:r>
      <w:r w:rsidR="00167B06" w:rsidRPr="00100AAC">
        <w:rPr>
          <w:color w:val="000000"/>
        </w:rPr>
        <w:t xml:space="preserve">. </w:t>
      </w:r>
      <w:r w:rsidR="00EC35B3" w:rsidRPr="00100AAC">
        <w:rPr>
          <w:color w:val="000000"/>
        </w:rPr>
        <w:t>Fundamentally</w:t>
      </w:r>
      <w:r w:rsidR="00167B06" w:rsidRPr="00100AAC">
        <w:rPr>
          <w:color w:val="000000"/>
        </w:rPr>
        <w:t xml:space="preserve">, the impact of the L1A on practice </w:t>
      </w:r>
      <w:r w:rsidR="00024E00" w:rsidRPr="00100AAC">
        <w:rPr>
          <w:color w:val="000000"/>
        </w:rPr>
        <w:t>i</w:t>
      </w:r>
      <w:r w:rsidR="00167B06" w:rsidRPr="00100AAC">
        <w:rPr>
          <w:color w:val="000000"/>
        </w:rPr>
        <w:t>s guided by a coach’s</w:t>
      </w:r>
      <w:r w:rsidR="00C16830" w:rsidRPr="00100AAC">
        <w:rPr>
          <w:color w:val="000000"/>
        </w:rPr>
        <w:t xml:space="preserve"> cognitive structure, </w:t>
      </w:r>
      <w:r w:rsidR="00167B06" w:rsidRPr="00100AAC">
        <w:rPr>
          <w:color w:val="000000"/>
        </w:rPr>
        <w:t xml:space="preserve">which </w:t>
      </w:r>
      <w:r w:rsidR="0034473D" w:rsidRPr="00100AAC">
        <w:rPr>
          <w:color w:val="000000"/>
        </w:rPr>
        <w:t xml:space="preserve">largely </w:t>
      </w:r>
      <w:r w:rsidR="00167B06" w:rsidRPr="00100AAC">
        <w:rPr>
          <w:color w:val="000000"/>
        </w:rPr>
        <w:t xml:space="preserve">facilitated </w:t>
      </w:r>
      <w:r w:rsidR="0034473D" w:rsidRPr="00100AAC">
        <w:rPr>
          <w:color w:val="000000"/>
        </w:rPr>
        <w:t>a surface, rather than</w:t>
      </w:r>
      <w:r w:rsidR="00167B06" w:rsidRPr="00100AAC">
        <w:rPr>
          <w:color w:val="000000"/>
        </w:rPr>
        <w:t xml:space="preserve"> deep</w:t>
      </w:r>
      <w:r w:rsidR="0034473D" w:rsidRPr="00100AAC">
        <w:rPr>
          <w:color w:val="000000"/>
        </w:rPr>
        <w:t>,</w:t>
      </w:r>
      <w:r w:rsidR="00167B06" w:rsidRPr="00100AAC">
        <w:rPr>
          <w:color w:val="000000"/>
        </w:rPr>
        <w:t xml:space="preserve"> approach to learning</w:t>
      </w:r>
      <w:r w:rsidR="00C16830" w:rsidRPr="00100AAC">
        <w:rPr>
          <w:color w:val="000000"/>
        </w:rPr>
        <w:t xml:space="preserve"> (Leduc et al., 2012; Moon, 2001).</w:t>
      </w:r>
    </w:p>
    <w:p w14:paraId="60C96D7F" w14:textId="2A42FE3D" w:rsidR="00610714" w:rsidRPr="00100AAC" w:rsidRDefault="006F2CE6" w:rsidP="00BF0E58">
      <w:pPr>
        <w:pStyle w:val="paragraph"/>
        <w:jc w:val="both"/>
        <w:rPr>
          <w:b/>
          <w:bCs/>
          <w:color w:val="000000"/>
        </w:rPr>
      </w:pPr>
      <w:bookmarkStart w:id="9" w:name="_Hlk109737966"/>
      <w:r w:rsidRPr="00100AAC">
        <w:rPr>
          <w:b/>
          <w:bCs/>
          <w:color w:val="000000"/>
        </w:rPr>
        <w:t>Co</w:t>
      </w:r>
      <w:r w:rsidR="001E3664" w:rsidRPr="00100AAC">
        <w:rPr>
          <w:b/>
          <w:bCs/>
          <w:color w:val="000000"/>
        </w:rPr>
        <w:t xml:space="preserve">aches’ preferences </w:t>
      </w:r>
      <w:r w:rsidR="00610714" w:rsidRPr="00100AAC">
        <w:rPr>
          <w:b/>
          <w:bCs/>
          <w:color w:val="000000"/>
        </w:rPr>
        <w:t>and learning styles: A barrier for online</w:t>
      </w:r>
      <w:r w:rsidRPr="00100AAC">
        <w:rPr>
          <w:b/>
          <w:bCs/>
          <w:color w:val="000000"/>
        </w:rPr>
        <w:t xml:space="preserve"> coach educatio</w:t>
      </w:r>
      <w:r w:rsidR="001D7604" w:rsidRPr="00100AAC">
        <w:rPr>
          <w:b/>
          <w:bCs/>
          <w:color w:val="000000"/>
        </w:rPr>
        <w:t>n</w:t>
      </w:r>
    </w:p>
    <w:bookmarkEnd w:id="9"/>
    <w:p w14:paraId="2F7C3B4D" w14:textId="4819446F" w:rsidR="00A010F1" w:rsidRPr="00100AAC" w:rsidRDefault="004C55BF" w:rsidP="009D3BFB">
      <w:pPr>
        <w:pStyle w:val="paragraph"/>
        <w:spacing w:line="480" w:lineRule="auto"/>
        <w:ind w:firstLine="720"/>
        <w:jc w:val="both"/>
        <w:rPr>
          <w:color w:val="000000"/>
        </w:rPr>
      </w:pPr>
      <w:r w:rsidRPr="00100AAC">
        <w:rPr>
          <w:color w:val="000000"/>
        </w:rPr>
        <w:t xml:space="preserve">The L1A in coaching dodgeball </w:t>
      </w:r>
      <w:r w:rsidR="00D16DF9" w:rsidRPr="00100AAC">
        <w:rPr>
          <w:color w:val="000000"/>
        </w:rPr>
        <w:t xml:space="preserve">can be completed either </w:t>
      </w:r>
      <w:r w:rsidR="00E27049" w:rsidRPr="00100AAC">
        <w:rPr>
          <w:color w:val="000000"/>
        </w:rPr>
        <w:t>100%</w:t>
      </w:r>
      <w:r w:rsidR="00D16DF9" w:rsidRPr="00100AAC">
        <w:rPr>
          <w:color w:val="000000"/>
        </w:rPr>
        <w:t xml:space="preserve"> online or face-to-face, </w:t>
      </w:r>
      <w:r w:rsidR="00E27049" w:rsidRPr="00100AAC">
        <w:rPr>
          <w:color w:val="000000"/>
        </w:rPr>
        <w:t>allowing</w:t>
      </w:r>
      <w:r w:rsidR="00D16DF9" w:rsidRPr="00100AAC">
        <w:rPr>
          <w:color w:val="000000"/>
        </w:rPr>
        <w:t xml:space="preserve"> coaches to tailor their learning experience.</w:t>
      </w:r>
      <w:r w:rsidR="00AA01B5" w:rsidRPr="00100AAC">
        <w:rPr>
          <w:color w:val="000000"/>
        </w:rPr>
        <w:t xml:space="preserve"> </w:t>
      </w:r>
      <w:r w:rsidR="00A010F1" w:rsidRPr="00100AAC">
        <w:rPr>
          <w:color w:val="000000"/>
        </w:rPr>
        <w:t xml:space="preserve">While social interaction can facilitate, reinforce, or </w:t>
      </w:r>
      <w:r w:rsidR="00AA01B5" w:rsidRPr="00100AAC">
        <w:rPr>
          <w:color w:val="000000"/>
        </w:rPr>
        <w:t xml:space="preserve">even </w:t>
      </w:r>
      <w:r w:rsidR="00A010F1" w:rsidRPr="00100AAC">
        <w:rPr>
          <w:color w:val="000000"/>
        </w:rPr>
        <w:t>hinder learning</w:t>
      </w:r>
      <w:r w:rsidR="00AA01B5" w:rsidRPr="00100AAC">
        <w:rPr>
          <w:color w:val="000000"/>
        </w:rPr>
        <w:t xml:space="preserve"> (Moon, 2001)</w:t>
      </w:r>
      <w:r w:rsidR="00A010F1" w:rsidRPr="00100AAC">
        <w:rPr>
          <w:color w:val="000000"/>
        </w:rPr>
        <w:t xml:space="preserve">, </w:t>
      </w:r>
      <w:r w:rsidR="00AA01B5" w:rsidRPr="00100AAC">
        <w:rPr>
          <w:color w:val="000000"/>
        </w:rPr>
        <w:t>coaches indicated that completing the L1A online prevented them from asking questions and engaging in informal discussions with other learners, which they believed to be beneficial to their learning. Moreover, there were suggestions that taught content within online coach education is finite, whereas further knowledge could be accessed in face-to-face courses</w:t>
      </w:r>
      <w:r w:rsidR="00666432" w:rsidRPr="00100AAC">
        <w:rPr>
          <w:color w:val="000000"/>
        </w:rPr>
        <w:t>.</w:t>
      </w:r>
    </w:p>
    <w:p w14:paraId="71215F4D" w14:textId="3D4DC12B" w:rsidR="00D16DF9" w:rsidRPr="00100AAC" w:rsidRDefault="00D16DF9" w:rsidP="009D3BFB">
      <w:pPr>
        <w:pStyle w:val="paragraph"/>
        <w:spacing w:line="480" w:lineRule="auto"/>
        <w:ind w:left="720"/>
        <w:jc w:val="both"/>
        <w:rPr>
          <w:color w:val="000000"/>
        </w:rPr>
      </w:pPr>
      <w:r w:rsidRPr="00100AAC">
        <w:rPr>
          <w:color w:val="000000"/>
        </w:rPr>
        <w:t>Being able to ask more in-depth questions would have been helpful. The knowledge on the online courses is finite whereas when face-to-face with an experienced coach</w:t>
      </w:r>
      <w:r w:rsidR="00AA01B5" w:rsidRPr="00100AAC">
        <w:rPr>
          <w:color w:val="000000"/>
        </w:rPr>
        <w:t xml:space="preserve"> [tutor]</w:t>
      </w:r>
      <w:r w:rsidRPr="00100AAC">
        <w:rPr>
          <w:color w:val="000000"/>
        </w:rPr>
        <w:t xml:space="preserve"> there is a greater depth of knowledge to be gained. </w:t>
      </w:r>
      <w:r w:rsidR="00635A4C" w:rsidRPr="00100AAC">
        <w:rPr>
          <w:color w:val="000000"/>
        </w:rPr>
        <w:t>(P</w:t>
      </w:r>
      <w:r w:rsidR="008E76CF" w:rsidRPr="00100AAC">
        <w:rPr>
          <w:color w:val="000000"/>
        </w:rPr>
        <w:t xml:space="preserve">articipant </w:t>
      </w:r>
      <w:r w:rsidR="00635A4C" w:rsidRPr="00100AAC">
        <w:rPr>
          <w:color w:val="000000"/>
        </w:rPr>
        <w:t>30)</w:t>
      </w:r>
      <w:r w:rsidRPr="00100AAC">
        <w:rPr>
          <w:color w:val="000000"/>
        </w:rPr>
        <w:t xml:space="preserve"> </w:t>
      </w:r>
    </w:p>
    <w:p w14:paraId="4BB93DA7" w14:textId="09D7245D" w:rsidR="00D16DF9" w:rsidRPr="00100AAC" w:rsidRDefault="00D16DF9" w:rsidP="009D3BFB">
      <w:pPr>
        <w:pStyle w:val="paragraph"/>
        <w:spacing w:line="480" w:lineRule="auto"/>
        <w:ind w:left="720"/>
        <w:jc w:val="both"/>
        <w:rPr>
          <w:color w:val="000000"/>
        </w:rPr>
      </w:pPr>
      <w:r w:rsidRPr="00100AAC">
        <w:rPr>
          <w:color w:val="000000"/>
        </w:rPr>
        <w:lastRenderedPageBreak/>
        <w:t>I do think, the shared experience of a mentor</w:t>
      </w:r>
      <w:r w:rsidR="00BF651E" w:rsidRPr="00100AAC">
        <w:rPr>
          <w:color w:val="000000"/>
        </w:rPr>
        <w:t xml:space="preserve"> [tutor]</w:t>
      </w:r>
      <w:r w:rsidRPr="00100AAC">
        <w:rPr>
          <w:color w:val="000000"/>
        </w:rPr>
        <w:t xml:space="preserve"> can be invaluable, although it does depend on the mentor</w:t>
      </w:r>
      <w:r w:rsidR="00BF651E" w:rsidRPr="00100AAC">
        <w:rPr>
          <w:color w:val="000000"/>
        </w:rPr>
        <w:t xml:space="preserve"> [tutor]</w:t>
      </w:r>
      <w:r w:rsidRPr="00100AAC">
        <w:rPr>
          <w:color w:val="000000"/>
        </w:rPr>
        <w:t>. Face</w:t>
      </w:r>
      <w:r w:rsidR="00AA01B5" w:rsidRPr="00100AAC">
        <w:rPr>
          <w:color w:val="000000"/>
        </w:rPr>
        <w:t>-</w:t>
      </w:r>
      <w:r w:rsidRPr="00100AAC">
        <w:rPr>
          <w:color w:val="000000"/>
        </w:rPr>
        <w:t>to</w:t>
      </w:r>
      <w:r w:rsidR="00AA01B5" w:rsidRPr="00100AAC">
        <w:rPr>
          <w:color w:val="000000"/>
        </w:rPr>
        <w:t>-</w:t>
      </w:r>
      <w:r w:rsidRPr="00100AAC">
        <w:rPr>
          <w:color w:val="000000"/>
        </w:rPr>
        <w:t xml:space="preserve">face will trump online </w:t>
      </w:r>
      <w:r w:rsidR="00AA01B5" w:rsidRPr="00100AAC">
        <w:rPr>
          <w:color w:val="000000"/>
        </w:rPr>
        <w:t>regarding</w:t>
      </w:r>
      <w:r w:rsidRPr="00100AAC">
        <w:rPr>
          <w:color w:val="000000"/>
        </w:rPr>
        <w:t xml:space="preserve"> the wealth of knowledge gained (the knowledge obtainable from online is finite, whereas face</w:t>
      </w:r>
      <w:r w:rsidR="00AA01B5" w:rsidRPr="00100AAC">
        <w:rPr>
          <w:color w:val="000000"/>
        </w:rPr>
        <w:t>-</w:t>
      </w:r>
      <w:r w:rsidRPr="00100AAC">
        <w:rPr>
          <w:color w:val="000000"/>
        </w:rPr>
        <w:t>to</w:t>
      </w:r>
      <w:r w:rsidR="00AA01B5" w:rsidRPr="00100AAC">
        <w:rPr>
          <w:color w:val="000000"/>
        </w:rPr>
        <w:t>-</w:t>
      </w:r>
      <w:r w:rsidRPr="00100AAC">
        <w:rPr>
          <w:color w:val="000000"/>
        </w:rPr>
        <w:t xml:space="preserve">face the potential topics or experiences are </w:t>
      </w:r>
      <w:r w:rsidR="00BF651E" w:rsidRPr="00100AAC">
        <w:rPr>
          <w:color w:val="000000"/>
        </w:rPr>
        <w:t xml:space="preserve">endless) … </w:t>
      </w:r>
      <w:r w:rsidR="00F00E4A" w:rsidRPr="00100AAC">
        <w:rPr>
          <w:color w:val="000000"/>
        </w:rPr>
        <w:t>Being able to rely on a mentor's</w:t>
      </w:r>
      <w:r w:rsidR="00BF651E" w:rsidRPr="00100AAC">
        <w:rPr>
          <w:color w:val="000000"/>
        </w:rPr>
        <w:t xml:space="preserve"> [tutor’s]</w:t>
      </w:r>
      <w:r w:rsidR="00F00E4A" w:rsidRPr="00100AAC">
        <w:rPr>
          <w:color w:val="000000"/>
        </w:rPr>
        <w:t xml:space="preserve"> own unique experiences and ask them questions when being face-to-face is an obvious advantage over an online course. </w:t>
      </w:r>
      <w:r w:rsidRPr="00100AAC">
        <w:rPr>
          <w:color w:val="000000"/>
        </w:rPr>
        <w:t>(P</w:t>
      </w:r>
      <w:r w:rsidR="008E76CF" w:rsidRPr="00100AAC">
        <w:rPr>
          <w:color w:val="000000"/>
        </w:rPr>
        <w:t xml:space="preserve">articipant </w:t>
      </w:r>
      <w:r w:rsidRPr="00100AAC">
        <w:rPr>
          <w:color w:val="000000"/>
        </w:rPr>
        <w:t>34)</w:t>
      </w:r>
    </w:p>
    <w:p w14:paraId="270C42F7" w14:textId="7A557C2B" w:rsidR="00F00E4A" w:rsidRPr="00100AAC" w:rsidRDefault="00D16DF9" w:rsidP="009D3BFB">
      <w:pPr>
        <w:pStyle w:val="paragraph"/>
        <w:spacing w:line="480" w:lineRule="auto"/>
        <w:ind w:left="720"/>
        <w:jc w:val="both"/>
        <w:rPr>
          <w:color w:val="000000"/>
        </w:rPr>
      </w:pPr>
      <w:r w:rsidRPr="00100AAC">
        <w:rPr>
          <w:color w:val="000000"/>
        </w:rPr>
        <w:t>I think the content is sufficient for learning online. I have always found face</w:t>
      </w:r>
      <w:r w:rsidR="00AA01B5" w:rsidRPr="00100AAC">
        <w:rPr>
          <w:color w:val="000000"/>
        </w:rPr>
        <w:t>-</w:t>
      </w:r>
      <w:r w:rsidRPr="00100AAC">
        <w:rPr>
          <w:color w:val="000000"/>
        </w:rPr>
        <w:t>to</w:t>
      </w:r>
      <w:r w:rsidR="00AA01B5" w:rsidRPr="00100AAC">
        <w:rPr>
          <w:color w:val="000000"/>
        </w:rPr>
        <w:t>-</w:t>
      </w:r>
      <w:r w:rsidRPr="00100AAC">
        <w:rPr>
          <w:color w:val="000000"/>
        </w:rPr>
        <w:t>face courses more ideal for Q&amp;A, seeing practices in person and meeting other coaches. I always find that you learn just as much from other coaches as the course itself. (P</w:t>
      </w:r>
      <w:r w:rsidR="008E76CF" w:rsidRPr="00100AAC">
        <w:rPr>
          <w:color w:val="000000"/>
        </w:rPr>
        <w:t xml:space="preserve">articipant </w:t>
      </w:r>
      <w:r w:rsidRPr="00100AAC">
        <w:rPr>
          <w:color w:val="000000"/>
        </w:rPr>
        <w:t>52)</w:t>
      </w:r>
    </w:p>
    <w:p w14:paraId="62F76261" w14:textId="39E97562" w:rsidR="00666432" w:rsidRPr="00100AAC" w:rsidRDefault="00A05698" w:rsidP="00130132">
      <w:pPr>
        <w:pStyle w:val="paragraph"/>
        <w:spacing w:line="480" w:lineRule="auto"/>
        <w:ind w:firstLine="720"/>
        <w:jc w:val="both"/>
        <w:rPr>
          <w:color w:val="000000"/>
        </w:rPr>
      </w:pPr>
      <w:r w:rsidRPr="00100AAC">
        <w:rPr>
          <w:color w:val="000000"/>
        </w:rPr>
        <w:t xml:space="preserve">Research has consistently </w:t>
      </w:r>
      <w:r w:rsidR="00666432" w:rsidRPr="00100AAC">
        <w:rPr>
          <w:color w:val="000000"/>
        </w:rPr>
        <w:t>showed</w:t>
      </w:r>
      <w:r w:rsidRPr="00100AAC">
        <w:rPr>
          <w:color w:val="000000"/>
        </w:rPr>
        <w:t xml:space="preserve"> that coaches prefer to learn through informal mechanisms such as interactions and observations with other coaches (</w:t>
      </w:r>
      <w:r w:rsidR="00791834" w:rsidRPr="00100AAC">
        <w:rPr>
          <w:color w:val="000000"/>
        </w:rPr>
        <w:t xml:space="preserve">Nelson et al., 2013; Leeder et al., 2021; </w:t>
      </w:r>
      <w:r w:rsidRPr="00100AAC">
        <w:rPr>
          <w:color w:val="000000"/>
        </w:rPr>
        <w:t xml:space="preserve">Van </w:t>
      </w:r>
      <w:proofErr w:type="spellStart"/>
      <w:r w:rsidRPr="00100AAC">
        <w:rPr>
          <w:color w:val="000000"/>
        </w:rPr>
        <w:t>Woezik</w:t>
      </w:r>
      <w:proofErr w:type="spellEnd"/>
      <w:r w:rsidRPr="00100AAC">
        <w:rPr>
          <w:color w:val="000000"/>
        </w:rPr>
        <w:t xml:space="preserve"> et al., 202</w:t>
      </w:r>
      <w:r w:rsidR="00187907" w:rsidRPr="00100AAC">
        <w:rPr>
          <w:color w:val="000000"/>
        </w:rPr>
        <w:t>2</w:t>
      </w:r>
      <w:r w:rsidRPr="00100AAC">
        <w:rPr>
          <w:color w:val="000000"/>
        </w:rPr>
        <w:t>). Furthermore, within formal learning context</w:t>
      </w:r>
      <w:r w:rsidR="00635A4C" w:rsidRPr="00100AAC">
        <w:rPr>
          <w:color w:val="000000"/>
        </w:rPr>
        <w:t>s</w:t>
      </w:r>
      <w:r w:rsidRPr="00100AAC">
        <w:rPr>
          <w:color w:val="000000"/>
        </w:rPr>
        <w:t xml:space="preserve">, coaches have </w:t>
      </w:r>
      <w:r w:rsidR="00666432" w:rsidRPr="00100AAC">
        <w:rPr>
          <w:color w:val="000000"/>
        </w:rPr>
        <w:t>expressed</w:t>
      </w:r>
      <w:r w:rsidRPr="00100AAC">
        <w:rPr>
          <w:color w:val="000000"/>
        </w:rPr>
        <w:t xml:space="preserve"> a desire for opportunit</w:t>
      </w:r>
      <w:r w:rsidR="00666432" w:rsidRPr="00100AAC">
        <w:rPr>
          <w:color w:val="000000"/>
        </w:rPr>
        <w:t>ies</w:t>
      </w:r>
      <w:r w:rsidRPr="00100AAC">
        <w:rPr>
          <w:color w:val="000000"/>
        </w:rPr>
        <w:t xml:space="preserve"> to discuss, debate, and share ideas with fellow learners (Nelson et al., 2013). </w:t>
      </w:r>
      <w:r w:rsidR="00896F7C" w:rsidRPr="00100AAC">
        <w:rPr>
          <w:color w:val="000000"/>
        </w:rPr>
        <w:t>Interactive l</w:t>
      </w:r>
      <w:r w:rsidR="002F4821" w:rsidRPr="00100AAC">
        <w:rPr>
          <w:color w:val="000000"/>
        </w:rPr>
        <w:t>earning activities such as group</w:t>
      </w:r>
      <w:r w:rsidR="00896F7C" w:rsidRPr="00100AAC">
        <w:rPr>
          <w:color w:val="000000"/>
        </w:rPr>
        <w:t xml:space="preserve"> discussions, questioning, and problem solving “</w:t>
      </w:r>
      <w:r w:rsidR="00F00E4A" w:rsidRPr="00100AAC">
        <w:rPr>
          <w:color w:val="000000"/>
        </w:rPr>
        <w:t>are common means of stimulating the deepening or integration of learning”</w:t>
      </w:r>
      <w:r w:rsidR="00896F7C" w:rsidRPr="00100AAC">
        <w:rPr>
          <w:color w:val="000000"/>
        </w:rPr>
        <w:t xml:space="preserve"> (Moon, 2001, p. 146). For Moon (2001), learning activities </w:t>
      </w:r>
      <w:r w:rsidR="00666432" w:rsidRPr="00100AAC">
        <w:rPr>
          <w:color w:val="000000"/>
        </w:rPr>
        <w:t>such as these</w:t>
      </w:r>
      <w:r w:rsidR="00896F7C" w:rsidRPr="00100AAC">
        <w:rPr>
          <w:color w:val="000000"/>
        </w:rPr>
        <w:t xml:space="preserve"> have</w:t>
      </w:r>
      <w:r w:rsidR="00666432" w:rsidRPr="00100AAC">
        <w:rPr>
          <w:color w:val="000000"/>
        </w:rPr>
        <w:t xml:space="preserve"> a</w:t>
      </w:r>
      <w:r w:rsidR="00896F7C" w:rsidRPr="00100AAC">
        <w:rPr>
          <w:color w:val="000000"/>
        </w:rPr>
        <w:t xml:space="preserve"> greater potential to </w:t>
      </w:r>
      <w:r w:rsidR="00666432" w:rsidRPr="00100AAC">
        <w:rPr>
          <w:color w:val="000000"/>
        </w:rPr>
        <w:t>facilitate</w:t>
      </w:r>
      <w:r w:rsidR="00896F7C" w:rsidRPr="00100AAC">
        <w:rPr>
          <w:color w:val="000000"/>
        </w:rPr>
        <w:t xml:space="preserve"> deep and reflective learning</w:t>
      </w:r>
      <w:r w:rsidR="00BF651E" w:rsidRPr="00100AAC">
        <w:rPr>
          <w:color w:val="000000"/>
        </w:rPr>
        <w:t>.</w:t>
      </w:r>
    </w:p>
    <w:p w14:paraId="29305989" w14:textId="5FBB2FFC" w:rsidR="007E2239" w:rsidRPr="00100AAC" w:rsidRDefault="006259F0" w:rsidP="00666432">
      <w:pPr>
        <w:pStyle w:val="paragraph"/>
        <w:spacing w:line="480" w:lineRule="auto"/>
        <w:ind w:firstLine="720"/>
        <w:jc w:val="both"/>
        <w:rPr>
          <w:color w:val="000000"/>
        </w:rPr>
      </w:pPr>
      <w:r w:rsidRPr="00100AAC">
        <w:rPr>
          <w:color w:val="000000"/>
        </w:rPr>
        <w:t>Although</w:t>
      </w:r>
      <w:r w:rsidR="00896F7C" w:rsidRPr="00100AAC">
        <w:rPr>
          <w:color w:val="000000"/>
        </w:rPr>
        <w:t xml:space="preserve"> online coach education provision </w:t>
      </w:r>
      <w:r w:rsidR="00B114CE" w:rsidRPr="00100AAC">
        <w:rPr>
          <w:color w:val="000000"/>
        </w:rPr>
        <w:t>can</w:t>
      </w:r>
      <w:r w:rsidR="00896F7C" w:rsidRPr="00100AAC">
        <w:rPr>
          <w:color w:val="000000"/>
        </w:rPr>
        <w:t xml:space="preserve"> offer</w:t>
      </w:r>
      <w:r w:rsidR="00FD43DB" w:rsidRPr="00100AAC">
        <w:rPr>
          <w:color w:val="000000"/>
        </w:rPr>
        <w:t xml:space="preserve"> </w:t>
      </w:r>
      <w:r w:rsidR="00896F7C" w:rsidRPr="00100AAC">
        <w:rPr>
          <w:color w:val="000000"/>
        </w:rPr>
        <w:t>interactive</w:t>
      </w:r>
      <w:r w:rsidR="00FD43DB" w:rsidRPr="00100AAC">
        <w:rPr>
          <w:color w:val="000000"/>
        </w:rPr>
        <w:t xml:space="preserve"> and collaborative</w:t>
      </w:r>
      <w:r w:rsidR="00896F7C" w:rsidRPr="00100AAC">
        <w:rPr>
          <w:color w:val="000000"/>
        </w:rPr>
        <w:t xml:space="preserve"> </w:t>
      </w:r>
      <w:r w:rsidR="00B114CE" w:rsidRPr="00100AAC">
        <w:rPr>
          <w:color w:val="000000"/>
        </w:rPr>
        <w:t>activities</w:t>
      </w:r>
      <w:r w:rsidR="00FD43DB" w:rsidRPr="00100AAC">
        <w:rPr>
          <w:color w:val="000000"/>
        </w:rPr>
        <w:t xml:space="preserve"> which stimulate deep learning</w:t>
      </w:r>
      <w:r w:rsidR="00BF651E" w:rsidRPr="00100AAC">
        <w:rPr>
          <w:color w:val="000000"/>
        </w:rPr>
        <w:t>, such as</w:t>
      </w:r>
      <w:r w:rsidR="00896F7C" w:rsidRPr="00100AAC">
        <w:rPr>
          <w:color w:val="000000"/>
        </w:rPr>
        <w:t xml:space="preserve"> </w:t>
      </w:r>
      <w:r w:rsidR="00B114CE" w:rsidRPr="00100AAC">
        <w:rPr>
          <w:color w:val="000000"/>
        </w:rPr>
        <w:t>written blogs,</w:t>
      </w:r>
      <w:r w:rsidR="00896F7C" w:rsidRPr="00100AAC">
        <w:rPr>
          <w:color w:val="000000"/>
        </w:rPr>
        <w:t xml:space="preserve"> synchronous discussions, </w:t>
      </w:r>
      <w:r w:rsidR="00FD43DB" w:rsidRPr="00100AAC">
        <w:rPr>
          <w:color w:val="000000"/>
        </w:rPr>
        <w:t xml:space="preserve">and </w:t>
      </w:r>
      <w:r w:rsidR="00B114CE" w:rsidRPr="00100AAC">
        <w:rPr>
          <w:color w:val="000000"/>
        </w:rPr>
        <w:t>video-based online communication</w:t>
      </w:r>
      <w:r w:rsidR="00FD43DB" w:rsidRPr="00100AAC">
        <w:rPr>
          <w:color w:val="000000"/>
        </w:rPr>
        <w:t xml:space="preserve"> </w:t>
      </w:r>
      <w:r w:rsidR="00896F7C" w:rsidRPr="00100AAC">
        <w:rPr>
          <w:color w:val="000000"/>
        </w:rPr>
        <w:t>(</w:t>
      </w:r>
      <w:r w:rsidR="00D00538" w:rsidRPr="00100AAC">
        <w:rPr>
          <w:color w:val="000000"/>
        </w:rPr>
        <w:t xml:space="preserve">Cushion &amp; Townsend, 2019; </w:t>
      </w:r>
      <w:r w:rsidR="00B114CE" w:rsidRPr="00100AAC">
        <w:rPr>
          <w:color w:val="000000"/>
        </w:rPr>
        <w:t>Driska &amp; Nalepa, 2020; Santos et al., 202</w:t>
      </w:r>
      <w:r w:rsidR="00D00538" w:rsidRPr="00100AAC">
        <w:rPr>
          <w:color w:val="000000"/>
        </w:rPr>
        <w:t>1</w:t>
      </w:r>
      <w:r w:rsidR="00B114CE" w:rsidRPr="00100AAC">
        <w:rPr>
          <w:color w:val="000000"/>
        </w:rPr>
        <w:t>; Stoszkowski et al., 2021), this potential was lost</w:t>
      </w:r>
      <w:r w:rsidR="00FD43DB" w:rsidRPr="00100AAC">
        <w:rPr>
          <w:color w:val="000000"/>
        </w:rPr>
        <w:t xml:space="preserve"> </w:t>
      </w:r>
      <w:r w:rsidR="00B114CE" w:rsidRPr="00100AAC">
        <w:rPr>
          <w:color w:val="000000"/>
        </w:rPr>
        <w:t>due to the asynchronous, self-paced format of the online L1A.</w:t>
      </w:r>
      <w:r w:rsidR="00666432" w:rsidRPr="00100AAC">
        <w:rPr>
          <w:color w:val="000000"/>
        </w:rPr>
        <w:t xml:space="preserve"> </w:t>
      </w:r>
      <w:r w:rsidR="00FD43DB" w:rsidRPr="00100AAC">
        <w:rPr>
          <w:color w:val="000000"/>
        </w:rPr>
        <w:t>Hence, d</w:t>
      </w:r>
      <w:r w:rsidR="007E2239" w:rsidRPr="00100AAC">
        <w:rPr>
          <w:color w:val="000000"/>
        </w:rPr>
        <w:t xml:space="preserve">ue to the L1A being positioned as an eXtended MOOC which emphasises individual learning and limited collaboration (Conole, 2016; </w:t>
      </w:r>
      <w:r w:rsidR="007E2239" w:rsidRPr="00100AAC">
        <w:rPr>
          <w:color w:val="000000"/>
        </w:rPr>
        <w:lastRenderedPageBreak/>
        <w:t>Griffiths et al., 202</w:t>
      </w:r>
      <w:r w:rsidR="00357F89" w:rsidRPr="00100AAC">
        <w:rPr>
          <w:color w:val="000000"/>
        </w:rPr>
        <w:t>2</w:t>
      </w:r>
      <w:r w:rsidR="007E2239" w:rsidRPr="00100AAC">
        <w:rPr>
          <w:color w:val="000000"/>
        </w:rPr>
        <w:t>), participants</w:t>
      </w:r>
      <w:r w:rsidR="005F3E0A" w:rsidRPr="00100AAC">
        <w:rPr>
          <w:color w:val="000000"/>
        </w:rPr>
        <w:t xml:space="preserve"> assumed that</w:t>
      </w:r>
      <w:r w:rsidR="007E2239" w:rsidRPr="00100AAC">
        <w:rPr>
          <w:color w:val="000000"/>
        </w:rPr>
        <w:t xml:space="preserve"> attending the face-to-face version would have enabled them to </w:t>
      </w:r>
      <w:r w:rsidR="005F3E0A" w:rsidRPr="00100AAC">
        <w:rPr>
          <w:color w:val="000000"/>
        </w:rPr>
        <w:t>discuss</w:t>
      </w:r>
      <w:r w:rsidR="007E2239" w:rsidRPr="00100AAC">
        <w:rPr>
          <w:color w:val="000000"/>
        </w:rPr>
        <w:t xml:space="preserve"> and network with </w:t>
      </w:r>
      <w:r w:rsidR="005F3E0A" w:rsidRPr="00100AAC">
        <w:rPr>
          <w:color w:val="000000"/>
        </w:rPr>
        <w:t>others</w:t>
      </w:r>
      <w:r w:rsidR="00FD43DB" w:rsidRPr="00100AAC">
        <w:rPr>
          <w:color w:val="000000"/>
        </w:rPr>
        <w:t>.</w:t>
      </w:r>
      <w:r w:rsidR="007E2239" w:rsidRPr="00100AAC">
        <w:rPr>
          <w:color w:val="000000"/>
        </w:rPr>
        <w:t xml:space="preserve"> Nonetheless, a trade</w:t>
      </w:r>
      <w:r w:rsidR="005F3E0A" w:rsidRPr="00100AAC">
        <w:rPr>
          <w:color w:val="000000"/>
        </w:rPr>
        <w:t>-</w:t>
      </w:r>
      <w:r w:rsidR="007E2239" w:rsidRPr="00100AAC">
        <w:rPr>
          <w:color w:val="000000"/>
        </w:rPr>
        <w:t>off existed, while participants desired interaction with other</w:t>
      </w:r>
      <w:r w:rsidR="005F3E0A" w:rsidRPr="00100AAC">
        <w:rPr>
          <w:color w:val="000000"/>
        </w:rPr>
        <w:t>s</w:t>
      </w:r>
      <w:r w:rsidR="007E2239" w:rsidRPr="00100AAC">
        <w:rPr>
          <w:color w:val="000000"/>
        </w:rPr>
        <w:t xml:space="preserve"> </w:t>
      </w:r>
      <w:r w:rsidR="005F3E0A" w:rsidRPr="00100AAC">
        <w:rPr>
          <w:color w:val="000000"/>
        </w:rPr>
        <w:t>that</w:t>
      </w:r>
      <w:r w:rsidR="007E2239" w:rsidRPr="00100AAC">
        <w:rPr>
          <w:color w:val="000000"/>
        </w:rPr>
        <w:t xml:space="preserve"> face-to-face coach education provides, they were aware this</w:t>
      </w:r>
      <w:r w:rsidR="00A010F1" w:rsidRPr="00100AAC">
        <w:rPr>
          <w:color w:val="000000"/>
        </w:rPr>
        <w:t xml:space="preserve"> would decrease</w:t>
      </w:r>
      <w:r w:rsidR="005F3E0A" w:rsidRPr="00100AAC">
        <w:rPr>
          <w:color w:val="000000"/>
        </w:rPr>
        <w:t xml:space="preserve"> the</w:t>
      </w:r>
      <w:r w:rsidR="00A010F1" w:rsidRPr="00100AAC">
        <w:rPr>
          <w:color w:val="000000"/>
        </w:rPr>
        <w:t xml:space="preserve"> accessibility </w:t>
      </w:r>
      <w:r w:rsidR="005F3E0A" w:rsidRPr="00100AAC">
        <w:rPr>
          <w:color w:val="000000"/>
        </w:rPr>
        <w:t>of coach education</w:t>
      </w:r>
      <w:r w:rsidRPr="00100AAC">
        <w:rPr>
          <w:color w:val="000000"/>
        </w:rPr>
        <w:t xml:space="preserve"> as previous research has indicated</w:t>
      </w:r>
      <w:r w:rsidR="00A010F1" w:rsidRPr="00100AAC">
        <w:rPr>
          <w:color w:val="000000"/>
        </w:rPr>
        <w:t xml:space="preserve"> (</w:t>
      </w:r>
      <w:r w:rsidRPr="00100AAC">
        <w:rPr>
          <w:color w:val="000000"/>
        </w:rPr>
        <w:t xml:space="preserve">see </w:t>
      </w:r>
      <w:proofErr w:type="spellStart"/>
      <w:r w:rsidR="00A010F1" w:rsidRPr="00100AAC">
        <w:rPr>
          <w:color w:val="000000"/>
        </w:rPr>
        <w:t>Gurgis</w:t>
      </w:r>
      <w:proofErr w:type="spellEnd"/>
      <w:r w:rsidR="00A010F1" w:rsidRPr="00100AAC">
        <w:rPr>
          <w:color w:val="000000"/>
        </w:rPr>
        <w:t xml:space="preserve"> et al., 2020</w:t>
      </w:r>
      <w:r w:rsidR="00FD43DB" w:rsidRPr="00100AAC">
        <w:rPr>
          <w:color w:val="000000"/>
        </w:rPr>
        <w:t>; Van Woezik et al., 202</w:t>
      </w:r>
      <w:r w:rsidR="00187907" w:rsidRPr="00100AAC">
        <w:rPr>
          <w:color w:val="000000"/>
        </w:rPr>
        <w:t>2</w:t>
      </w:r>
      <w:r w:rsidR="00A010F1" w:rsidRPr="00100AAC">
        <w:rPr>
          <w:color w:val="000000"/>
        </w:rPr>
        <w:t>).</w:t>
      </w:r>
    </w:p>
    <w:p w14:paraId="5F94C374" w14:textId="46C3B6DE" w:rsidR="00356B57" w:rsidRPr="00100AAC" w:rsidRDefault="00356B57" w:rsidP="009D3BFB">
      <w:pPr>
        <w:pStyle w:val="paragraph"/>
        <w:spacing w:line="480" w:lineRule="auto"/>
        <w:ind w:left="720"/>
        <w:jc w:val="both"/>
        <w:rPr>
          <w:color w:val="000000"/>
        </w:rPr>
      </w:pPr>
      <w:r w:rsidRPr="00100AAC">
        <w:rPr>
          <w:color w:val="000000"/>
        </w:rPr>
        <w:t>With face</w:t>
      </w:r>
      <w:r w:rsidR="007E2239" w:rsidRPr="00100AAC">
        <w:rPr>
          <w:color w:val="000000"/>
        </w:rPr>
        <w:t>-</w:t>
      </w:r>
      <w:r w:rsidRPr="00100AAC">
        <w:rPr>
          <w:color w:val="000000"/>
        </w:rPr>
        <w:t>to</w:t>
      </w:r>
      <w:r w:rsidR="007E2239" w:rsidRPr="00100AAC">
        <w:rPr>
          <w:color w:val="000000"/>
        </w:rPr>
        <w:t>-</w:t>
      </w:r>
      <w:r w:rsidRPr="00100AAC">
        <w:rPr>
          <w:color w:val="000000"/>
        </w:rPr>
        <w:t>face you are able to bounce ideas off each other and demonstrate the different areas of the course which you are not able to do online, but an online course means that you are able to do it at your own pace and go over any content. (P</w:t>
      </w:r>
      <w:r w:rsidR="008E76CF" w:rsidRPr="00100AAC">
        <w:rPr>
          <w:color w:val="000000"/>
        </w:rPr>
        <w:t xml:space="preserve">articipant </w:t>
      </w:r>
      <w:r w:rsidRPr="00100AAC">
        <w:rPr>
          <w:color w:val="000000"/>
        </w:rPr>
        <w:t>1)</w:t>
      </w:r>
    </w:p>
    <w:p w14:paraId="6E72A2E0" w14:textId="4AC677E8" w:rsidR="00A010F1" w:rsidRPr="00100AAC" w:rsidRDefault="00A010F1" w:rsidP="009D3BFB">
      <w:pPr>
        <w:pStyle w:val="paragraph"/>
        <w:spacing w:line="480" w:lineRule="auto"/>
        <w:ind w:left="720"/>
        <w:jc w:val="both"/>
        <w:rPr>
          <w:color w:val="000000"/>
        </w:rPr>
      </w:pPr>
      <w:r w:rsidRPr="00100AAC">
        <w:rPr>
          <w:color w:val="000000"/>
        </w:rPr>
        <w:t>I think especially it is difficult to find courses because of the travel</w:t>
      </w:r>
      <w:r w:rsidR="005F3E0A" w:rsidRPr="00100AAC">
        <w:rPr>
          <w:color w:val="000000"/>
        </w:rPr>
        <w:t xml:space="preserve">… </w:t>
      </w:r>
      <w:r w:rsidRPr="00100AAC">
        <w:rPr>
          <w:color w:val="000000"/>
        </w:rPr>
        <w:t>I mean I had to take the train at 5:30</w:t>
      </w:r>
      <w:r w:rsidR="005F3E0A" w:rsidRPr="00100AAC">
        <w:rPr>
          <w:color w:val="000000"/>
        </w:rPr>
        <w:t xml:space="preserve">am </w:t>
      </w:r>
      <w:r w:rsidRPr="00100AAC">
        <w:rPr>
          <w:color w:val="000000"/>
        </w:rPr>
        <w:t xml:space="preserve">to go to the courses and things like this for some of my courses so online, especially at the time of COVID, the practicality of it was </w:t>
      </w:r>
      <w:proofErr w:type="gramStart"/>
      <w:r w:rsidRPr="00100AAC">
        <w:rPr>
          <w:color w:val="000000"/>
        </w:rPr>
        <w:t>really great</w:t>
      </w:r>
      <w:proofErr w:type="gramEnd"/>
      <w:r w:rsidRPr="00100AAC">
        <w:rPr>
          <w:color w:val="000000"/>
        </w:rPr>
        <w:t xml:space="preserve">… You can be </w:t>
      </w:r>
      <w:r w:rsidR="005F3E0A" w:rsidRPr="00100AAC">
        <w:rPr>
          <w:color w:val="000000"/>
        </w:rPr>
        <w:t>anywhere;</w:t>
      </w:r>
      <w:r w:rsidRPr="00100AAC">
        <w:rPr>
          <w:color w:val="000000"/>
        </w:rPr>
        <w:t xml:space="preserve"> you do not have to worry about money to travel or the practicality of trains or anything like this… The thing is</w:t>
      </w:r>
      <w:r w:rsidR="008E76CF" w:rsidRPr="00100AAC">
        <w:rPr>
          <w:color w:val="000000"/>
        </w:rPr>
        <w:t>,</w:t>
      </w:r>
      <w:r w:rsidRPr="00100AAC">
        <w:rPr>
          <w:color w:val="000000"/>
        </w:rPr>
        <w:t xml:space="preserve"> when I did a face-to-face course, I felt like I knew nothing, the coach [tutor] made me realise that I did not know it, so face-to-face definitely has </w:t>
      </w:r>
      <w:r w:rsidR="005F3E0A" w:rsidRPr="00100AAC">
        <w:rPr>
          <w:color w:val="000000"/>
        </w:rPr>
        <w:t>its</w:t>
      </w:r>
      <w:r w:rsidRPr="00100AAC">
        <w:rPr>
          <w:color w:val="000000"/>
        </w:rPr>
        <w:t xml:space="preserve"> advantage</w:t>
      </w:r>
      <w:r w:rsidR="005F3E0A" w:rsidRPr="00100AAC">
        <w:rPr>
          <w:color w:val="000000"/>
        </w:rPr>
        <w:t>s</w:t>
      </w:r>
      <w:r w:rsidRPr="00100AAC">
        <w:rPr>
          <w:color w:val="000000"/>
        </w:rPr>
        <w:t>… most people will want to say they want to do it online for the practicality. (P</w:t>
      </w:r>
      <w:r w:rsidR="008E76CF" w:rsidRPr="00100AAC">
        <w:rPr>
          <w:color w:val="000000"/>
        </w:rPr>
        <w:t xml:space="preserve">articipant </w:t>
      </w:r>
      <w:r w:rsidRPr="00100AAC">
        <w:rPr>
          <w:color w:val="000000"/>
        </w:rPr>
        <w:t>11, interview)</w:t>
      </w:r>
    </w:p>
    <w:p w14:paraId="172D17E1" w14:textId="25F9CF83" w:rsidR="00356B57" w:rsidRPr="00100AAC" w:rsidRDefault="005F3E0A" w:rsidP="009D3BFB">
      <w:pPr>
        <w:pStyle w:val="paragraph"/>
        <w:spacing w:line="480" w:lineRule="auto"/>
        <w:ind w:left="720"/>
        <w:jc w:val="both"/>
        <w:rPr>
          <w:color w:val="000000"/>
        </w:rPr>
      </w:pPr>
      <w:r w:rsidRPr="00100AAC">
        <w:rPr>
          <w:color w:val="000000"/>
        </w:rPr>
        <w:t>T</w:t>
      </w:r>
      <w:r w:rsidR="00356B57" w:rsidRPr="00100AAC">
        <w:rPr>
          <w:color w:val="000000"/>
        </w:rPr>
        <w:t xml:space="preserve">he direct comparison in delivery vehicles is that human interaction makes the learning more impactful and practical observation and participation removes a great deal of confusion and many misconceptions. </w:t>
      </w:r>
      <w:r w:rsidR="00A010F1" w:rsidRPr="00100AAC">
        <w:rPr>
          <w:color w:val="000000"/>
        </w:rPr>
        <w:t>Also,</w:t>
      </w:r>
      <w:r w:rsidR="00356B57" w:rsidRPr="00100AAC">
        <w:rPr>
          <w:color w:val="000000"/>
        </w:rPr>
        <w:t xml:space="preserve"> the chance to share tips, stories</w:t>
      </w:r>
      <w:r w:rsidRPr="00100AAC">
        <w:rPr>
          <w:color w:val="000000"/>
        </w:rPr>
        <w:t>,</w:t>
      </w:r>
      <w:r w:rsidR="00356B57" w:rsidRPr="00100AAC">
        <w:rPr>
          <w:color w:val="000000"/>
        </w:rPr>
        <w:t xml:space="preserve"> and network is fantastic. </w:t>
      </w:r>
      <w:r w:rsidR="00A010F1" w:rsidRPr="00100AAC">
        <w:rPr>
          <w:color w:val="000000"/>
        </w:rPr>
        <w:t>However,</w:t>
      </w:r>
      <w:r w:rsidR="00356B57" w:rsidRPr="00100AAC">
        <w:rPr>
          <w:color w:val="000000"/>
        </w:rPr>
        <w:t xml:space="preserve"> the online option for a basic level course is great as it allows for own pace of learning, no embarrassment if no knowledge or experience in the </w:t>
      </w:r>
      <w:r w:rsidR="00BF651E" w:rsidRPr="00100AAC">
        <w:rPr>
          <w:color w:val="000000"/>
        </w:rPr>
        <w:t>sport and</w:t>
      </w:r>
      <w:r w:rsidR="00356B57" w:rsidRPr="00100AAC">
        <w:rPr>
          <w:color w:val="000000"/>
        </w:rPr>
        <w:t xml:space="preserve"> can fit into personal or allocated time at work to complete. (P</w:t>
      </w:r>
      <w:r w:rsidR="000E3F39" w:rsidRPr="00100AAC">
        <w:rPr>
          <w:color w:val="000000"/>
        </w:rPr>
        <w:t xml:space="preserve">articipant </w:t>
      </w:r>
      <w:r w:rsidR="00356B57" w:rsidRPr="00100AAC">
        <w:rPr>
          <w:color w:val="000000"/>
        </w:rPr>
        <w:t>25)</w:t>
      </w:r>
    </w:p>
    <w:p w14:paraId="12C49CCB" w14:textId="7F5EF45C" w:rsidR="00356B57" w:rsidRPr="00100AAC" w:rsidRDefault="00356B57" w:rsidP="009D3BFB">
      <w:pPr>
        <w:pStyle w:val="paragraph"/>
        <w:spacing w:line="480" w:lineRule="auto"/>
        <w:ind w:left="720"/>
        <w:jc w:val="both"/>
        <w:rPr>
          <w:color w:val="000000"/>
        </w:rPr>
      </w:pPr>
      <w:r w:rsidRPr="00100AAC">
        <w:rPr>
          <w:color w:val="000000"/>
        </w:rPr>
        <w:lastRenderedPageBreak/>
        <w:t xml:space="preserve">The opportunity to share ideas with other coaches would be </w:t>
      </w:r>
      <w:r w:rsidR="00A010F1" w:rsidRPr="00100AAC">
        <w:rPr>
          <w:color w:val="000000"/>
        </w:rPr>
        <w:t>beneficial</w:t>
      </w:r>
      <w:r w:rsidRPr="00100AAC">
        <w:rPr>
          <w:color w:val="000000"/>
        </w:rPr>
        <w:t>, though the convenience of completing it online in my own time would have been lost. (P</w:t>
      </w:r>
      <w:r w:rsidR="000E3F39" w:rsidRPr="00100AAC">
        <w:rPr>
          <w:color w:val="000000"/>
        </w:rPr>
        <w:t xml:space="preserve">articipant </w:t>
      </w:r>
      <w:r w:rsidRPr="00100AAC">
        <w:rPr>
          <w:color w:val="000000"/>
        </w:rPr>
        <w:t>54)</w:t>
      </w:r>
    </w:p>
    <w:p w14:paraId="7E6C08D5" w14:textId="0B53A7F7" w:rsidR="00B806D7" w:rsidRPr="00100AAC" w:rsidRDefault="005F3E0A" w:rsidP="00F624F5">
      <w:pPr>
        <w:pStyle w:val="paragraph"/>
        <w:spacing w:line="480" w:lineRule="auto"/>
        <w:ind w:firstLine="720"/>
        <w:jc w:val="both"/>
        <w:rPr>
          <w:color w:val="000000"/>
        </w:rPr>
      </w:pPr>
      <w:r w:rsidRPr="00100AAC">
        <w:rPr>
          <w:color w:val="000000"/>
        </w:rPr>
        <w:t>C</w:t>
      </w:r>
      <w:r w:rsidR="005203F4" w:rsidRPr="00100AAC">
        <w:rPr>
          <w:color w:val="000000"/>
        </w:rPr>
        <w:t xml:space="preserve">oaches’ perspectives and preferences towards </w:t>
      </w:r>
      <w:r w:rsidR="00B806D7" w:rsidRPr="00100AAC">
        <w:rPr>
          <w:color w:val="000000"/>
        </w:rPr>
        <w:t xml:space="preserve">the </w:t>
      </w:r>
      <w:r w:rsidR="005203F4" w:rsidRPr="00100AAC">
        <w:rPr>
          <w:color w:val="000000"/>
        </w:rPr>
        <w:t>L1A</w:t>
      </w:r>
      <w:r w:rsidR="00B806D7" w:rsidRPr="00100AAC">
        <w:rPr>
          <w:color w:val="000000"/>
        </w:rPr>
        <w:t xml:space="preserve"> </w:t>
      </w:r>
      <w:r w:rsidR="005203F4" w:rsidRPr="00100AAC">
        <w:rPr>
          <w:color w:val="000000"/>
        </w:rPr>
        <w:t>is likely to be influenced by their cognitive structure, which acts as a filter towards new learning (</w:t>
      </w:r>
      <w:r w:rsidR="00F624F5" w:rsidRPr="00100AAC">
        <w:rPr>
          <w:color w:val="000000"/>
        </w:rPr>
        <w:t xml:space="preserve">see </w:t>
      </w:r>
      <w:r w:rsidR="005203F4" w:rsidRPr="00100AAC">
        <w:rPr>
          <w:color w:val="000000"/>
        </w:rPr>
        <w:t>Leduc et al., 2012; Moon, 2001; Stodter &amp; Cushion, 2017).</w:t>
      </w:r>
      <w:r w:rsidRPr="00100AAC">
        <w:rPr>
          <w:color w:val="000000"/>
        </w:rPr>
        <w:t xml:space="preserve"> </w:t>
      </w:r>
      <w:r w:rsidR="005203F4" w:rsidRPr="00100AAC">
        <w:rPr>
          <w:color w:val="000000"/>
        </w:rPr>
        <w:t>Recent research has highlighted how coaches’</w:t>
      </w:r>
      <w:r w:rsidR="008F4DAF" w:rsidRPr="00100AAC">
        <w:rPr>
          <w:color w:val="000000"/>
        </w:rPr>
        <w:t xml:space="preserve"> dispositions towards</w:t>
      </w:r>
      <w:r w:rsidR="005203F4" w:rsidRPr="00100AAC">
        <w:rPr>
          <w:color w:val="000000"/>
        </w:rPr>
        <w:t xml:space="preserve"> </w:t>
      </w:r>
      <w:r w:rsidR="008F4DAF" w:rsidRPr="00100AAC">
        <w:rPr>
          <w:color w:val="000000"/>
        </w:rPr>
        <w:t>engaging</w:t>
      </w:r>
      <w:r w:rsidR="005203F4" w:rsidRPr="00100AAC">
        <w:rPr>
          <w:color w:val="000000"/>
        </w:rPr>
        <w:t xml:space="preserve"> with online learning </w:t>
      </w:r>
      <w:r w:rsidR="000E3F39" w:rsidRPr="00100AAC">
        <w:rPr>
          <w:color w:val="000000"/>
        </w:rPr>
        <w:t>depends on</w:t>
      </w:r>
      <w:r w:rsidR="008F4DAF" w:rsidRPr="00100AAC">
        <w:rPr>
          <w:color w:val="000000"/>
        </w:rPr>
        <w:t xml:space="preserve"> whether their previous experiences of using such provision were positive or negative (Leeder et al., 2021). Consequently, coaches’ will possess idiosyncratic perspectives towards the perceived value in the online L1A</w:t>
      </w:r>
      <w:r w:rsidR="00F202A6" w:rsidRPr="00100AAC">
        <w:rPr>
          <w:color w:val="000000"/>
        </w:rPr>
        <w:t>, with</w:t>
      </w:r>
      <w:r w:rsidR="00B806D7" w:rsidRPr="00100AAC">
        <w:rPr>
          <w:color w:val="000000"/>
        </w:rPr>
        <w:t xml:space="preserve"> differences between learners </w:t>
      </w:r>
      <w:r w:rsidR="00F202A6" w:rsidRPr="00100AAC">
        <w:rPr>
          <w:color w:val="000000"/>
        </w:rPr>
        <w:t>attributed to their understanding of learning (Moon, 2001).</w:t>
      </w:r>
      <w:r w:rsidR="00B806D7" w:rsidRPr="00100AAC">
        <w:rPr>
          <w:color w:val="000000"/>
        </w:rPr>
        <w:t xml:space="preserve"> </w:t>
      </w:r>
    </w:p>
    <w:p w14:paraId="046EAAAB" w14:textId="521FEEAB" w:rsidR="00B806D7" w:rsidRPr="00100AAC" w:rsidRDefault="00F202A6" w:rsidP="00F202A6">
      <w:pPr>
        <w:pStyle w:val="paragraph"/>
        <w:spacing w:line="480" w:lineRule="auto"/>
        <w:ind w:firstLine="720"/>
        <w:jc w:val="both"/>
        <w:rPr>
          <w:color w:val="000000"/>
        </w:rPr>
      </w:pPr>
      <w:r w:rsidRPr="00100AAC">
        <w:rPr>
          <w:color w:val="000000"/>
        </w:rPr>
        <w:t>T</w:t>
      </w:r>
      <w:r w:rsidR="001E3409" w:rsidRPr="00100AAC">
        <w:rPr>
          <w:color w:val="000000"/>
        </w:rPr>
        <w:t>h</w:t>
      </w:r>
      <w:r w:rsidRPr="00100AAC">
        <w:rPr>
          <w:color w:val="000000"/>
        </w:rPr>
        <w:t>us, the</w:t>
      </w:r>
      <w:r w:rsidR="001E3409" w:rsidRPr="00100AAC">
        <w:rPr>
          <w:color w:val="000000"/>
        </w:rPr>
        <w:t xml:space="preserve"> findings suggest that coaches’ </w:t>
      </w:r>
      <w:r w:rsidR="00610714" w:rsidRPr="00100AAC">
        <w:rPr>
          <w:color w:val="000000"/>
        </w:rPr>
        <w:t>beliefs about</w:t>
      </w:r>
      <w:r w:rsidR="001E3409" w:rsidRPr="00100AAC">
        <w:rPr>
          <w:color w:val="000000"/>
        </w:rPr>
        <w:t xml:space="preserve"> learning </w:t>
      </w:r>
      <w:r w:rsidR="006F3A79" w:rsidRPr="00100AAC">
        <w:rPr>
          <w:color w:val="000000"/>
        </w:rPr>
        <w:t>(</w:t>
      </w:r>
      <w:r w:rsidR="001E3409" w:rsidRPr="00100AAC">
        <w:rPr>
          <w:color w:val="000000"/>
        </w:rPr>
        <w:t xml:space="preserve">e.g., how they </w:t>
      </w:r>
      <w:r w:rsidR="00610714" w:rsidRPr="00100AAC">
        <w:rPr>
          <w:color w:val="000000"/>
        </w:rPr>
        <w:t>t</w:t>
      </w:r>
      <w:r w:rsidR="008456B0" w:rsidRPr="00100AAC">
        <w:rPr>
          <w:color w:val="000000"/>
        </w:rPr>
        <w:t xml:space="preserve">hink </w:t>
      </w:r>
      <w:r w:rsidR="001E3409" w:rsidRPr="00100AAC">
        <w:rPr>
          <w:color w:val="000000"/>
        </w:rPr>
        <w:t>they learn best</w:t>
      </w:r>
      <w:r w:rsidR="006F3A79" w:rsidRPr="00100AAC">
        <w:rPr>
          <w:color w:val="000000"/>
        </w:rPr>
        <w:t>)</w:t>
      </w:r>
      <w:r w:rsidR="001E3409" w:rsidRPr="00100AAC">
        <w:rPr>
          <w:color w:val="000000"/>
        </w:rPr>
        <w:t xml:space="preserve">, influenced how beneficial they </w:t>
      </w:r>
      <w:r w:rsidR="00610714" w:rsidRPr="00100AAC">
        <w:rPr>
          <w:color w:val="000000"/>
        </w:rPr>
        <w:t xml:space="preserve">perceived the </w:t>
      </w:r>
      <w:r w:rsidR="001E3409" w:rsidRPr="00100AAC">
        <w:rPr>
          <w:color w:val="000000"/>
        </w:rPr>
        <w:t xml:space="preserve">online L1A to be. </w:t>
      </w:r>
      <w:r w:rsidR="000E3F39" w:rsidRPr="00100AAC">
        <w:rPr>
          <w:color w:val="000000"/>
        </w:rPr>
        <w:t>In echoing</w:t>
      </w:r>
      <w:r w:rsidR="00500D09" w:rsidRPr="00100AAC">
        <w:rPr>
          <w:color w:val="000000"/>
        </w:rPr>
        <w:t xml:space="preserve"> the work of</w:t>
      </w:r>
      <w:r w:rsidR="000E3F39" w:rsidRPr="00100AAC">
        <w:rPr>
          <w:color w:val="000000"/>
        </w:rPr>
        <w:t xml:space="preserve"> </w:t>
      </w:r>
      <w:r w:rsidR="00500D09" w:rsidRPr="00100AAC">
        <w:rPr>
          <w:color w:val="000000"/>
        </w:rPr>
        <w:t>Bailey et al. (2018),</w:t>
      </w:r>
      <w:r w:rsidR="000E3F39" w:rsidRPr="00100AAC">
        <w:rPr>
          <w:color w:val="000000"/>
        </w:rPr>
        <w:t xml:space="preserve"> c</w:t>
      </w:r>
      <w:r w:rsidR="001E3409" w:rsidRPr="00100AAC">
        <w:rPr>
          <w:color w:val="000000"/>
        </w:rPr>
        <w:t xml:space="preserve">oaches </w:t>
      </w:r>
      <w:r w:rsidR="00610714" w:rsidRPr="00100AAC">
        <w:rPr>
          <w:color w:val="000000"/>
        </w:rPr>
        <w:t>frequently referred to</w:t>
      </w:r>
      <w:r w:rsidR="001E3409" w:rsidRPr="00100AAC">
        <w:rPr>
          <w:color w:val="000000"/>
        </w:rPr>
        <w:t xml:space="preserve"> the notion of learning styles and the visual, audio, reading, and kinaesthetic (VARK) inventory</w:t>
      </w:r>
      <w:r w:rsidR="00E313BE" w:rsidRPr="00100AAC">
        <w:rPr>
          <w:color w:val="000000"/>
        </w:rPr>
        <w:t xml:space="preserve">, despite limited evidence </w:t>
      </w:r>
      <w:r w:rsidR="00610714" w:rsidRPr="00100AAC">
        <w:rPr>
          <w:color w:val="000000"/>
        </w:rPr>
        <w:t xml:space="preserve">to </w:t>
      </w:r>
      <w:r w:rsidR="00E313BE" w:rsidRPr="00100AAC">
        <w:rPr>
          <w:color w:val="000000"/>
        </w:rPr>
        <w:t>support its claims</w:t>
      </w:r>
      <w:r w:rsidR="001E3409" w:rsidRPr="00100AAC">
        <w:rPr>
          <w:color w:val="000000"/>
        </w:rPr>
        <w:t xml:space="preserve">. Coaches’ perceptions towards the L1A </w:t>
      </w:r>
      <w:r w:rsidR="00F7546A" w:rsidRPr="00100AAC">
        <w:rPr>
          <w:color w:val="000000"/>
        </w:rPr>
        <w:t>were</w:t>
      </w:r>
      <w:r w:rsidR="001E3409" w:rsidRPr="00100AAC">
        <w:rPr>
          <w:color w:val="000000"/>
        </w:rPr>
        <w:t xml:space="preserve"> structured by beliefs towards whether the online course </w:t>
      </w:r>
      <w:r w:rsidR="006532A0" w:rsidRPr="00100AAC">
        <w:rPr>
          <w:color w:val="000000"/>
        </w:rPr>
        <w:t>facilitated</w:t>
      </w:r>
      <w:r w:rsidR="001E3409" w:rsidRPr="00100AAC">
        <w:rPr>
          <w:color w:val="000000"/>
        </w:rPr>
        <w:t xml:space="preserve"> their preferred learning style.</w:t>
      </w:r>
      <w:r w:rsidR="00F7546A" w:rsidRPr="00100AAC">
        <w:rPr>
          <w:color w:val="000000"/>
        </w:rPr>
        <w:t xml:space="preserve"> For example, </w:t>
      </w:r>
      <w:r w:rsidR="00576CFE" w:rsidRPr="00100AAC">
        <w:rPr>
          <w:color w:val="000000"/>
        </w:rPr>
        <w:t>P</w:t>
      </w:r>
      <w:r w:rsidR="00500D09" w:rsidRPr="00100AAC">
        <w:rPr>
          <w:color w:val="000000"/>
        </w:rPr>
        <w:t xml:space="preserve">articipant </w:t>
      </w:r>
      <w:r w:rsidR="00576CFE" w:rsidRPr="00100AAC">
        <w:rPr>
          <w:color w:val="000000"/>
        </w:rPr>
        <w:t>7</w:t>
      </w:r>
      <w:r w:rsidR="00F7546A" w:rsidRPr="00100AAC">
        <w:rPr>
          <w:color w:val="000000"/>
        </w:rPr>
        <w:t xml:space="preserve"> highlighted how they are a visual learner, with the online L1A supporting their perceived learning style. </w:t>
      </w:r>
      <w:r w:rsidR="001E3409" w:rsidRPr="00100AAC">
        <w:rPr>
          <w:color w:val="000000"/>
        </w:rPr>
        <w:t xml:space="preserve">   </w:t>
      </w:r>
    </w:p>
    <w:p w14:paraId="7E5CC6C8" w14:textId="583EB38C" w:rsidR="0083715F" w:rsidRPr="00100AAC" w:rsidRDefault="00F7546A" w:rsidP="009D3BFB">
      <w:pPr>
        <w:pStyle w:val="paragraph"/>
        <w:spacing w:line="480" w:lineRule="auto"/>
        <w:ind w:left="720"/>
        <w:jc w:val="both"/>
        <w:rPr>
          <w:color w:val="000000"/>
        </w:rPr>
      </w:pPr>
      <w:r w:rsidRPr="00100AAC">
        <w:rPr>
          <w:color w:val="000000"/>
        </w:rPr>
        <w:t xml:space="preserve">I really liked looking at the pictures of the courts. I'm a visual learner and it helped me to understand the proper layout and then how you implement the rules… I am personally a very visual person as well, so I am not good in an academic setting and if you sit me down for too long then I will just get bored and I want stuff that has my attention. So, yeah, I do think it’s great that I can read something, then re-read </w:t>
      </w:r>
      <w:r w:rsidRPr="00100AAC">
        <w:rPr>
          <w:color w:val="000000"/>
        </w:rPr>
        <w:lastRenderedPageBreak/>
        <w:t xml:space="preserve">something or go away and get a drink, come </w:t>
      </w:r>
      <w:r w:rsidR="0083715F" w:rsidRPr="00100AAC">
        <w:rPr>
          <w:color w:val="000000"/>
        </w:rPr>
        <w:t>back,</w:t>
      </w:r>
      <w:r w:rsidRPr="00100AAC">
        <w:rPr>
          <w:color w:val="000000"/>
        </w:rPr>
        <w:t xml:space="preserve"> and read it again. (P</w:t>
      </w:r>
      <w:r w:rsidR="00500D09" w:rsidRPr="00100AAC">
        <w:rPr>
          <w:color w:val="000000"/>
        </w:rPr>
        <w:t xml:space="preserve">articipant </w:t>
      </w:r>
      <w:r w:rsidRPr="00100AAC">
        <w:rPr>
          <w:color w:val="000000"/>
        </w:rPr>
        <w:t>7, interview) </w:t>
      </w:r>
    </w:p>
    <w:p w14:paraId="59261A1C" w14:textId="234FBFC4" w:rsidR="00923D90" w:rsidRPr="00100AAC" w:rsidRDefault="0083715F" w:rsidP="00F624F5">
      <w:pPr>
        <w:pStyle w:val="paragraph"/>
        <w:spacing w:line="480" w:lineRule="auto"/>
        <w:ind w:firstLine="720"/>
        <w:jc w:val="both"/>
        <w:rPr>
          <w:color w:val="000000"/>
        </w:rPr>
      </w:pPr>
      <w:r w:rsidRPr="00100AAC">
        <w:rPr>
          <w:color w:val="000000"/>
        </w:rPr>
        <w:t>Despite a lack of compelling evidence, research by Bailey et al. (201</w:t>
      </w:r>
      <w:r w:rsidR="000B3CE7" w:rsidRPr="00100AAC">
        <w:rPr>
          <w:color w:val="000000"/>
        </w:rPr>
        <w:t>8</w:t>
      </w:r>
      <w:r w:rsidRPr="00100AAC">
        <w:rPr>
          <w:color w:val="000000"/>
        </w:rPr>
        <w:t>) indicate</w:t>
      </w:r>
      <w:r w:rsidR="001D7604" w:rsidRPr="00100AAC">
        <w:rPr>
          <w:color w:val="000000"/>
        </w:rPr>
        <w:t>s</w:t>
      </w:r>
      <w:r w:rsidRPr="00100AAC">
        <w:rPr>
          <w:color w:val="000000"/>
        </w:rPr>
        <w:t xml:space="preserve"> that 62% of coaches believe they learn better when they receive information in their preferred style. Thus, coaches’ misconceptions towards learning styles can be considered a conceptual dilemma, referring to </w:t>
      </w:r>
      <w:r w:rsidR="00F624F5" w:rsidRPr="00100AAC">
        <w:rPr>
          <w:color w:val="000000"/>
        </w:rPr>
        <w:t>“</w:t>
      </w:r>
      <w:r w:rsidRPr="00100AAC">
        <w:rPr>
          <w:color w:val="000000"/>
        </w:rPr>
        <w:t>practitioners’ understanding of learning, their assumptions and beliefs, and their ontological and epistemological underpinnings</w:t>
      </w:r>
      <w:r w:rsidR="00F624F5" w:rsidRPr="00100AAC">
        <w:rPr>
          <w:color w:val="000000"/>
        </w:rPr>
        <w:t>”</w:t>
      </w:r>
      <w:r w:rsidRPr="00100AAC">
        <w:rPr>
          <w:color w:val="000000"/>
        </w:rPr>
        <w:t xml:space="preserve"> (Cushion, 2013, p. 65). Coaches’ understanding of learning was underpinned by folk pedagogies</w:t>
      </w:r>
      <w:r w:rsidR="00500D09" w:rsidRPr="00100AAC">
        <w:rPr>
          <w:color w:val="000000"/>
        </w:rPr>
        <w:t xml:space="preserve"> (i.e., implicit beliefs)</w:t>
      </w:r>
      <w:r w:rsidRPr="00100AAC">
        <w:rPr>
          <w:color w:val="000000"/>
        </w:rPr>
        <w:t xml:space="preserve"> regarding learning styles and what is considered as good learning, which functions as a filter and structures whether the online L1A was considered a meaningful learning opportunity (Bruner, 1999; Cushion, 2013). Some coaches believed they </w:t>
      </w:r>
      <w:r w:rsidR="006532A0" w:rsidRPr="00100AAC">
        <w:rPr>
          <w:color w:val="000000"/>
        </w:rPr>
        <w:t>would have learned more</w:t>
      </w:r>
      <w:r w:rsidRPr="00100AAC">
        <w:rPr>
          <w:color w:val="000000"/>
        </w:rPr>
        <w:t xml:space="preserve"> if the</w:t>
      </w:r>
      <w:r w:rsidR="006532A0" w:rsidRPr="00100AAC">
        <w:rPr>
          <w:color w:val="000000"/>
        </w:rPr>
        <w:t>y</w:t>
      </w:r>
      <w:r w:rsidRPr="00100AAC">
        <w:rPr>
          <w:color w:val="000000"/>
        </w:rPr>
        <w:t xml:space="preserve"> attended the face-to-face version of the L1A, due to being either a visual or kinaesthetic (practical) learner. </w:t>
      </w:r>
    </w:p>
    <w:p w14:paraId="0348FDA3" w14:textId="0FFDD56E" w:rsidR="00744C4B" w:rsidRPr="00100AAC" w:rsidRDefault="00744C4B" w:rsidP="009D3BFB">
      <w:pPr>
        <w:pStyle w:val="paragraph"/>
        <w:spacing w:line="480" w:lineRule="auto"/>
        <w:ind w:left="720"/>
        <w:jc w:val="both"/>
        <w:rPr>
          <w:color w:val="000000"/>
        </w:rPr>
      </w:pPr>
      <w:r w:rsidRPr="00100AAC">
        <w:rPr>
          <w:color w:val="000000"/>
        </w:rPr>
        <w:t>I think it was better than a lot of the online courses</w:t>
      </w:r>
      <w:r w:rsidR="00F7546A" w:rsidRPr="00100AAC">
        <w:rPr>
          <w:color w:val="000000"/>
        </w:rPr>
        <w:t xml:space="preserve">… </w:t>
      </w:r>
      <w:r w:rsidRPr="00100AAC">
        <w:rPr>
          <w:color w:val="000000"/>
        </w:rPr>
        <w:t xml:space="preserve">In terms of other </w:t>
      </w:r>
      <w:r w:rsidR="000423C6" w:rsidRPr="00100AAC">
        <w:rPr>
          <w:color w:val="000000"/>
        </w:rPr>
        <w:t>courses,</w:t>
      </w:r>
      <w:r w:rsidR="001D7604" w:rsidRPr="00100AAC">
        <w:rPr>
          <w:color w:val="000000"/>
        </w:rPr>
        <w:t xml:space="preserve"> </w:t>
      </w:r>
      <w:r w:rsidRPr="00100AAC">
        <w:rPr>
          <w:color w:val="000000"/>
        </w:rPr>
        <w:t>I have done, they have been in person, and I think people learn in different ways and I am kind of better at learning by seeing so having someone deliver a session and being able to go and deliver it. I think that’s more beneficial to me, but I did still learn a lot from the online course. (</w:t>
      </w:r>
      <w:r w:rsidR="001E3409" w:rsidRPr="00100AAC">
        <w:rPr>
          <w:color w:val="000000"/>
        </w:rPr>
        <w:t>P</w:t>
      </w:r>
      <w:r w:rsidR="00C54BBB" w:rsidRPr="00100AAC">
        <w:rPr>
          <w:color w:val="000000"/>
        </w:rPr>
        <w:t xml:space="preserve">articipant </w:t>
      </w:r>
      <w:r w:rsidR="001E3409" w:rsidRPr="00100AAC">
        <w:rPr>
          <w:color w:val="000000"/>
        </w:rPr>
        <w:t>14, interview</w:t>
      </w:r>
      <w:r w:rsidRPr="00100AAC">
        <w:rPr>
          <w:color w:val="000000"/>
        </w:rPr>
        <w:t>)</w:t>
      </w:r>
    </w:p>
    <w:p w14:paraId="6D1E2D05" w14:textId="03E6EA2E" w:rsidR="00635A4C" w:rsidRPr="00100AAC" w:rsidRDefault="00635A4C" w:rsidP="009D3BFB">
      <w:pPr>
        <w:pStyle w:val="paragraph"/>
        <w:spacing w:line="480" w:lineRule="auto"/>
        <w:ind w:left="720"/>
        <w:jc w:val="both"/>
        <w:rPr>
          <w:color w:val="000000"/>
        </w:rPr>
      </w:pPr>
      <w:r w:rsidRPr="00100AAC">
        <w:rPr>
          <w:color w:val="000000"/>
        </w:rPr>
        <w:t>I like to see the exercises in action, and it is helpful to experience these first-hand before trying to use them in your own coaching sessions. (P</w:t>
      </w:r>
      <w:r w:rsidR="00C54BBB" w:rsidRPr="00100AAC">
        <w:rPr>
          <w:color w:val="000000"/>
        </w:rPr>
        <w:t xml:space="preserve">articipant </w:t>
      </w:r>
      <w:r w:rsidRPr="00100AAC">
        <w:rPr>
          <w:color w:val="000000"/>
        </w:rPr>
        <w:t>30)</w:t>
      </w:r>
    </w:p>
    <w:p w14:paraId="35A96F66" w14:textId="40D0269F" w:rsidR="00744C4B" w:rsidRPr="00100AAC" w:rsidRDefault="00744C4B" w:rsidP="00C54BBB">
      <w:pPr>
        <w:pStyle w:val="paragraph"/>
        <w:spacing w:line="480" w:lineRule="auto"/>
        <w:ind w:left="720"/>
        <w:jc w:val="both"/>
        <w:rPr>
          <w:color w:val="000000"/>
        </w:rPr>
      </w:pPr>
      <w:r w:rsidRPr="00100AAC">
        <w:rPr>
          <w:color w:val="000000"/>
        </w:rPr>
        <w:t>I am a kinaesthetic learner - learn best by doing not sitting at a computer. (</w:t>
      </w:r>
      <w:r w:rsidR="00C54BBB" w:rsidRPr="00100AAC">
        <w:rPr>
          <w:color w:val="000000"/>
        </w:rPr>
        <w:t xml:space="preserve">Participant </w:t>
      </w:r>
      <w:r w:rsidRPr="00100AAC">
        <w:rPr>
          <w:color w:val="000000"/>
        </w:rPr>
        <w:t>33)</w:t>
      </w:r>
    </w:p>
    <w:p w14:paraId="5132C161" w14:textId="1607155B" w:rsidR="00744C4B" w:rsidRPr="00100AAC" w:rsidRDefault="00744C4B" w:rsidP="009D3BFB">
      <w:pPr>
        <w:pStyle w:val="paragraph"/>
        <w:spacing w:line="480" w:lineRule="auto"/>
        <w:ind w:left="720"/>
        <w:jc w:val="both"/>
        <w:rPr>
          <w:color w:val="000000"/>
        </w:rPr>
      </w:pPr>
      <w:r w:rsidRPr="00100AAC">
        <w:rPr>
          <w:color w:val="000000"/>
        </w:rPr>
        <w:lastRenderedPageBreak/>
        <w:t xml:space="preserve">I learn better when I am </w:t>
      </w:r>
      <w:r w:rsidR="00500D09" w:rsidRPr="00100AAC">
        <w:rPr>
          <w:color w:val="000000"/>
        </w:rPr>
        <w:t>practical, because</w:t>
      </w:r>
      <w:r w:rsidRPr="00100AAC">
        <w:rPr>
          <w:color w:val="000000"/>
        </w:rPr>
        <w:t xml:space="preserve"> I’m there talking so I can ask more questions, and that was one of the things on the course that I couldn't do, you know, ask questions. If I wanted to know information a bit more, I had to kind of do that myself and go on Google and stuff like that. Whereas if I was in person and doing it, then I can just ask questions and s</w:t>
      </w:r>
      <w:r w:rsidR="00F7546A" w:rsidRPr="00100AAC">
        <w:rPr>
          <w:color w:val="000000"/>
        </w:rPr>
        <w:t>ee</w:t>
      </w:r>
      <w:r w:rsidRPr="00100AAC">
        <w:rPr>
          <w:color w:val="000000"/>
        </w:rPr>
        <w:t xml:space="preserve"> how it's done</w:t>
      </w:r>
      <w:r w:rsidR="00F7546A" w:rsidRPr="00100AAC">
        <w:rPr>
          <w:color w:val="000000"/>
        </w:rPr>
        <w:t>. (P</w:t>
      </w:r>
      <w:r w:rsidR="00C54BBB" w:rsidRPr="00100AAC">
        <w:rPr>
          <w:color w:val="000000"/>
        </w:rPr>
        <w:t xml:space="preserve">articipant </w:t>
      </w:r>
      <w:r w:rsidR="00F7546A" w:rsidRPr="00100AAC">
        <w:rPr>
          <w:color w:val="000000"/>
        </w:rPr>
        <w:t>47, interview)</w:t>
      </w:r>
    </w:p>
    <w:p w14:paraId="21565A20" w14:textId="4DB88057" w:rsidR="0083715F" w:rsidRPr="00100AAC" w:rsidRDefault="0083715F" w:rsidP="006259F0">
      <w:pPr>
        <w:pStyle w:val="paragraph"/>
        <w:spacing w:line="480" w:lineRule="auto"/>
        <w:ind w:firstLine="720"/>
        <w:jc w:val="both"/>
        <w:rPr>
          <w:color w:val="000000"/>
        </w:rPr>
      </w:pPr>
      <w:r w:rsidRPr="00100AAC">
        <w:rPr>
          <w:color w:val="000000"/>
        </w:rPr>
        <w:t>Moon (2001) suggests that learners will develop different perceptions of learning through experiences within variable educational cultures, with pseudoscientific myths such as the VARK inventory prevalent within coach education provision (Stodter, 2021). Indeed, Bailey et al. (201</w:t>
      </w:r>
      <w:r w:rsidR="000B3CE7" w:rsidRPr="00100AAC">
        <w:rPr>
          <w:color w:val="000000"/>
        </w:rPr>
        <w:t>8</w:t>
      </w:r>
      <w:r w:rsidRPr="00100AAC">
        <w:rPr>
          <w:color w:val="000000"/>
        </w:rPr>
        <w:t>) outline how “questionable ideas and practices, like learning styles… are not simply acquired by coaches through their own personal interest, they are often actively promoted by sports organi</w:t>
      </w:r>
      <w:r w:rsidR="006532A0" w:rsidRPr="00100AAC">
        <w:rPr>
          <w:color w:val="000000"/>
        </w:rPr>
        <w:t>s</w:t>
      </w:r>
      <w:r w:rsidRPr="00100AAC">
        <w:rPr>
          <w:color w:val="000000"/>
        </w:rPr>
        <w:t>ations” (p. 9).</w:t>
      </w:r>
      <w:r w:rsidR="00576CFE" w:rsidRPr="00100AAC">
        <w:rPr>
          <w:color w:val="000000"/>
        </w:rPr>
        <w:t xml:space="preserve"> Nonetheless, while the L1A did not promote the VARK inventory, the course did little to dispel the myth. </w:t>
      </w:r>
      <w:r w:rsidR="006532A0" w:rsidRPr="00100AAC">
        <w:rPr>
          <w:color w:val="000000"/>
        </w:rPr>
        <w:t xml:space="preserve">When considering online coach learning, folk pedagogies surrounding learning styles </w:t>
      </w:r>
      <w:r w:rsidR="008456B0" w:rsidRPr="00100AAC">
        <w:rPr>
          <w:color w:val="000000"/>
        </w:rPr>
        <w:t>are</w:t>
      </w:r>
      <w:r w:rsidR="006532A0" w:rsidRPr="00100AAC">
        <w:rPr>
          <w:color w:val="000000"/>
        </w:rPr>
        <w:t xml:space="preserve"> restrictive and potentially harmful, as these unfounded beliefs might </w:t>
      </w:r>
      <w:r w:rsidR="00CA470E" w:rsidRPr="00100AAC">
        <w:rPr>
          <w:color w:val="000000"/>
        </w:rPr>
        <w:t>deter coaches’ from engaging with</w:t>
      </w:r>
      <w:r w:rsidR="006532A0" w:rsidRPr="00100AAC">
        <w:rPr>
          <w:color w:val="000000"/>
        </w:rPr>
        <w:t xml:space="preserve"> online learning opportunities</w:t>
      </w:r>
      <w:r w:rsidR="00CA470E" w:rsidRPr="00100AAC">
        <w:rPr>
          <w:color w:val="000000"/>
        </w:rPr>
        <w:t xml:space="preserve"> without </w:t>
      </w:r>
      <w:r w:rsidR="000423C6" w:rsidRPr="00100AAC">
        <w:rPr>
          <w:color w:val="000000"/>
        </w:rPr>
        <w:t>an</w:t>
      </w:r>
      <w:r w:rsidR="00CA470E" w:rsidRPr="00100AAC">
        <w:rPr>
          <w:color w:val="000000"/>
        </w:rPr>
        <w:t xml:space="preserve"> </w:t>
      </w:r>
      <w:r w:rsidR="001D7604" w:rsidRPr="00100AAC">
        <w:rPr>
          <w:color w:val="000000"/>
        </w:rPr>
        <w:t>evidenced-informed</w:t>
      </w:r>
      <w:r w:rsidR="00CA470E" w:rsidRPr="00100AAC">
        <w:rPr>
          <w:color w:val="000000"/>
        </w:rPr>
        <w:t xml:space="preserve"> rationale</w:t>
      </w:r>
      <w:r w:rsidR="006532A0" w:rsidRPr="00100AAC">
        <w:rPr>
          <w:color w:val="000000"/>
        </w:rPr>
        <w:t xml:space="preserve"> (Stodter, 2021)</w:t>
      </w:r>
      <w:r w:rsidR="00CA470E" w:rsidRPr="00100AAC">
        <w:rPr>
          <w:color w:val="000000"/>
        </w:rPr>
        <w:t xml:space="preserve">. </w:t>
      </w:r>
    </w:p>
    <w:p w14:paraId="70D9D861" w14:textId="55D88ACD" w:rsidR="00356B57" w:rsidRPr="00100AAC" w:rsidRDefault="006F2CE6" w:rsidP="00BF0E58">
      <w:pPr>
        <w:pStyle w:val="paragraph"/>
        <w:jc w:val="both"/>
        <w:rPr>
          <w:b/>
          <w:bCs/>
          <w:color w:val="000000"/>
        </w:rPr>
      </w:pPr>
      <w:bookmarkStart w:id="10" w:name="_Hlk109738018"/>
      <w:r w:rsidRPr="00100AAC">
        <w:rPr>
          <w:b/>
          <w:bCs/>
          <w:color w:val="000000"/>
        </w:rPr>
        <w:t>E</w:t>
      </w:r>
      <w:r w:rsidR="00356B57" w:rsidRPr="00100AAC">
        <w:rPr>
          <w:b/>
          <w:bCs/>
          <w:color w:val="000000"/>
        </w:rPr>
        <w:t>nhanc</w:t>
      </w:r>
      <w:r w:rsidRPr="00100AAC">
        <w:rPr>
          <w:b/>
          <w:bCs/>
          <w:color w:val="000000"/>
        </w:rPr>
        <w:t>ing</w:t>
      </w:r>
      <w:r w:rsidR="00356B57" w:rsidRPr="00100AAC">
        <w:rPr>
          <w:b/>
          <w:bCs/>
          <w:color w:val="000000"/>
        </w:rPr>
        <w:t xml:space="preserve"> the impact of online co</w:t>
      </w:r>
      <w:r w:rsidRPr="00100AAC">
        <w:rPr>
          <w:b/>
          <w:bCs/>
          <w:color w:val="000000"/>
        </w:rPr>
        <w:t xml:space="preserve">ach education: </w:t>
      </w:r>
      <w:r w:rsidR="008A234E" w:rsidRPr="00100AAC">
        <w:rPr>
          <w:b/>
          <w:bCs/>
          <w:color w:val="000000"/>
        </w:rPr>
        <w:t xml:space="preserve">Assessment and </w:t>
      </w:r>
      <w:r w:rsidR="008B0989" w:rsidRPr="00100AAC">
        <w:rPr>
          <w:b/>
          <w:bCs/>
          <w:color w:val="000000"/>
        </w:rPr>
        <w:t>post-award</w:t>
      </w:r>
      <w:r w:rsidR="008A234E" w:rsidRPr="00100AAC">
        <w:rPr>
          <w:b/>
          <w:bCs/>
          <w:color w:val="000000"/>
        </w:rPr>
        <w:t xml:space="preserve"> support</w:t>
      </w:r>
    </w:p>
    <w:bookmarkEnd w:id="10"/>
    <w:p w14:paraId="1915F027" w14:textId="375264F5" w:rsidR="00720BCE" w:rsidRPr="00100AAC" w:rsidRDefault="00720BCE" w:rsidP="009D3BFB">
      <w:pPr>
        <w:pStyle w:val="paragraph"/>
        <w:spacing w:line="480" w:lineRule="auto"/>
        <w:ind w:firstLine="720"/>
        <w:jc w:val="both"/>
        <w:rPr>
          <w:color w:val="000000"/>
        </w:rPr>
      </w:pPr>
      <w:r w:rsidRPr="00100AAC">
        <w:rPr>
          <w:color w:val="000000"/>
        </w:rPr>
        <w:t xml:space="preserve">Online coach education can provide SGBs with flexible, diverse, and innovative approaches towards assessment (Cushion &amp; </w:t>
      </w:r>
      <w:r w:rsidR="00B129D8" w:rsidRPr="00100AAC">
        <w:rPr>
          <w:color w:val="000000"/>
        </w:rPr>
        <w:t>Townsend, 2019)</w:t>
      </w:r>
      <w:r w:rsidR="00CE12A3" w:rsidRPr="00100AAC">
        <w:rPr>
          <w:color w:val="000000"/>
        </w:rPr>
        <w:t>.</w:t>
      </w:r>
      <w:r w:rsidR="00B129D8" w:rsidRPr="00100AAC">
        <w:rPr>
          <w:color w:val="000000"/>
        </w:rPr>
        <w:t xml:space="preserve"> </w:t>
      </w:r>
      <w:r w:rsidR="00CE12A3" w:rsidRPr="00100AAC">
        <w:rPr>
          <w:color w:val="000000"/>
        </w:rPr>
        <w:t>H</w:t>
      </w:r>
      <w:r w:rsidR="00B129D8" w:rsidRPr="00100AAC">
        <w:rPr>
          <w:color w:val="000000"/>
        </w:rPr>
        <w:t xml:space="preserve">owever, curriculum designers </w:t>
      </w:r>
      <w:r w:rsidR="00F202A6" w:rsidRPr="00100AAC">
        <w:rPr>
          <w:color w:val="000000"/>
        </w:rPr>
        <w:t xml:space="preserve">and coach developers </w:t>
      </w:r>
      <w:r w:rsidR="00B129D8" w:rsidRPr="00100AAC">
        <w:rPr>
          <w:color w:val="000000"/>
        </w:rPr>
        <w:t xml:space="preserve">must </w:t>
      </w:r>
      <w:r w:rsidR="00CE12A3" w:rsidRPr="00100AAC">
        <w:rPr>
          <w:color w:val="000000"/>
        </w:rPr>
        <w:t xml:space="preserve">consider what they want coaches to learn and how that can be assessed, rather than choosing assessment formats which are easy to implement (e.g., automated quizzes), as they </w:t>
      </w:r>
      <w:r w:rsidR="00FD3027" w:rsidRPr="00100AAC">
        <w:rPr>
          <w:color w:val="000000"/>
        </w:rPr>
        <w:t xml:space="preserve">may lack depth and authenticity (Driska &amp; Nalepa, 2020; Santos et al., 2021). For Moon (2001), </w:t>
      </w:r>
      <w:r w:rsidR="00961C0B" w:rsidRPr="00100AAC">
        <w:rPr>
          <w:color w:val="000000"/>
        </w:rPr>
        <w:t xml:space="preserve">assessment can be seen as an opportunity for learning to be represented, with different assessment formats resulting in different forms of representation (e.g., a deep or surface approach to learning). </w:t>
      </w:r>
    </w:p>
    <w:p w14:paraId="46C7F315" w14:textId="0EFBFB17" w:rsidR="00961C0B" w:rsidRPr="00100AAC" w:rsidRDefault="00961C0B" w:rsidP="00247723">
      <w:pPr>
        <w:pStyle w:val="paragraph"/>
        <w:spacing w:line="480" w:lineRule="auto"/>
        <w:jc w:val="both"/>
        <w:rPr>
          <w:color w:val="000000"/>
        </w:rPr>
      </w:pPr>
      <w:r w:rsidRPr="00100AAC">
        <w:rPr>
          <w:color w:val="000000"/>
        </w:rPr>
        <w:lastRenderedPageBreak/>
        <w:tab/>
        <w:t xml:space="preserve">The online L1A contains regular multiple-choice quizzes </w:t>
      </w:r>
      <w:r w:rsidR="006B768E" w:rsidRPr="00100AAC">
        <w:rPr>
          <w:color w:val="000000"/>
        </w:rPr>
        <w:t xml:space="preserve">which </w:t>
      </w:r>
      <w:r w:rsidRPr="00100AAC">
        <w:rPr>
          <w:color w:val="000000"/>
        </w:rPr>
        <w:t xml:space="preserve">can be considered as on-going assessment. However, the primary summative assessment for the L1A involves a written </w:t>
      </w:r>
      <w:r w:rsidR="006B768E" w:rsidRPr="00100AAC">
        <w:rPr>
          <w:color w:val="000000"/>
        </w:rPr>
        <w:t>task</w:t>
      </w:r>
      <w:r w:rsidRPr="00100AAC">
        <w:rPr>
          <w:color w:val="000000"/>
        </w:rPr>
        <w:t xml:space="preserve">, where learners must produce a dodgeball coaching session plan </w:t>
      </w:r>
      <w:r w:rsidR="00500D09" w:rsidRPr="00100AAC">
        <w:rPr>
          <w:color w:val="000000"/>
        </w:rPr>
        <w:t>demonstrating</w:t>
      </w:r>
      <w:r w:rsidRPr="00100AAC">
        <w:rPr>
          <w:color w:val="000000"/>
        </w:rPr>
        <w:t xml:space="preserve"> their understanding of the course content and assessment criteria, which is marked by a tutor and can be failed</w:t>
      </w:r>
      <w:r w:rsidR="00FC137D" w:rsidRPr="00100AAC">
        <w:rPr>
          <w:color w:val="000000"/>
        </w:rPr>
        <w:t>, with resubmission opportunities available</w:t>
      </w:r>
      <w:r w:rsidRPr="00100AAC">
        <w:rPr>
          <w:color w:val="000000"/>
        </w:rPr>
        <w:t>.</w:t>
      </w:r>
      <w:r w:rsidR="00526B4A" w:rsidRPr="00100AAC">
        <w:rPr>
          <w:color w:val="000000"/>
        </w:rPr>
        <w:t xml:space="preserve"> </w:t>
      </w:r>
      <w:r w:rsidR="00FC137D" w:rsidRPr="00100AAC">
        <w:rPr>
          <w:color w:val="000000"/>
        </w:rPr>
        <w:t>As P</w:t>
      </w:r>
      <w:r w:rsidR="00C54BBB" w:rsidRPr="00100AAC">
        <w:rPr>
          <w:color w:val="000000"/>
        </w:rPr>
        <w:t xml:space="preserve">articipant </w:t>
      </w:r>
      <w:r w:rsidR="00FC137D" w:rsidRPr="00100AAC">
        <w:rPr>
          <w:color w:val="000000"/>
        </w:rPr>
        <w:t xml:space="preserve">43 demonstrates, there was </w:t>
      </w:r>
      <w:r w:rsidR="00526B4A" w:rsidRPr="00100AAC">
        <w:rPr>
          <w:color w:val="000000"/>
        </w:rPr>
        <w:t xml:space="preserve">evidence </w:t>
      </w:r>
      <w:r w:rsidR="00FC137D" w:rsidRPr="00100AAC">
        <w:rPr>
          <w:color w:val="000000"/>
        </w:rPr>
        <w:t>to suggest</w:t>
      </w:r>
      <w:r w:rsidR="00526B4A" w:rsidRPr="00100AAC">
        <w:rPr>
          <w:color w:val="000000"/>
        </w:rPr>
        <w:t xml:space="preserve"> this assessment resulted in a surface approach, driving learning the wrong way (Moon, 2001). </w:t>
      </w:r>
    </w:p>
    <w:p w14:paraId="507347A2" w14:textId="4C175A1F" w:rsidR="00526B4A" w:rsidRPr="00100AAC" w:rsidRDefault="00526B4A" w:rsidP="009D3BFB">
      <w:pPr>
        <w:pStyle w:val="paragraph"/>
        <w:spacing w:line="480" w:lineRule="auto"/>
        <w:ind w:left="720"/>
        <w:jc w:val="both"/>
        <w:rPr>
          <w:color w:val="000000"/>
        </w:rPr>
      </w:pPr>
      <w:r w:rsidRPr="00100AAC">
        <w:rPr>
          <w:color w:val="000000"/>
        </w:rPr>
        <w:t>I think there’s needs to be some sort of assessment to show an understanding because the question that they set, it was just a case of me looking through the text and going, oh okay, I’m just going to copy and paste that</w:t>
      </w:r>
      <w:r w:rsidR="002A48C9" w:rsidRPr="00100AAC">
        <w:rPr>
          <w:color w:val="000000"/>
        </w:rPr>
        <w:t>…</w:t>
      </w:r>
      <w:r w:rsidRPr="00100AAC">
        <w:rPr>
          <w:color w:val="000000"/>
        </w:rPr>
        <w:t xml:space="preserve"> I think the assessment, well that part should change.</w:t>
      </w:r>
      <w:r w:rsidR="002A48C9" w:rsidRPr="00100AAC">
        <w:rPr>
          <w:color w:val="000000"/>
        </w:rPr>
        <w:t xml:space="preserve"> </w:t>
      </w:r>
      <w:r w:rsidRPr="00100AAC">
        <w:rPr>
          <w:color w:val="000000"/>
        </w:rPr>
        <w:t>(P</w:t>
      </w:r>
      <w:r w:rsidR="00C54BBB" w:rsidRPr="00100AAC">
        <w:rPr>
          <w:color w:val="000000"/>
        </w:rPr>
        <w:t xml:space="preserve">articipant </w:t>
      </w:r>
      <w:r w:rsidRPr="00100AAC">
        <w:rPr>
          <w:color w:val="000000"/>
        </w:rPr>
        <w:t>43, interview)</w:t>
      </w:r>
    </w:p>
    <w:p w14:paraId="3F25D644" w14:textId="2509AF9E" w:rsidR="00526B4A" w:rsidRPr="00100AAC" w:rsidRDefault="002A48C9" w:rsidP="006259F0">
      <w:pPr>
        <w:pStyle w:val="paragraph"/>
        <w:spacing w:line="480" w:lineRule="auto"/>
        <w:ind w:firstLine="720"/>
        <w:jc w:val="both"/>
        <w:rPr>
          <w:color w:val="000000"/>
        </w:rPr>
      </w:pPr>
      <w:r w:rsidRPr="00100AAC">
        <w:rPr>
          <w:color w:val="000000"/>
        </w:rPr>
        <w:t>Some participants recognised that the assessment in its current format resulted in a different learning strategy being adopted</w:t>
      </w:r>
      <w:r w:rsidR="00F624F5" w:rsidRPr="00100AAC">
        <w:rPr>
          <w:color w:val="000000"/>
        </w:rPr>
        <w:t xml:space="preserve"> i.e., </w:t>
      </w:r>
      <w:r w:rsidR="000423C6" w:rsidRPr="00100AAC">
        <w:rPr>
          <w:color w:val="000000"/>
        </w:rPr>
        <w:t>copying,</w:t>
      </w:r>
      <w:r w:rsidR="006B768E" w:rsidRPr="00100AAC">
        <w:rPr>
          <w:color w:val="000000"/>
        </w:rPr>
        <w:t xml:space="preserve"> </w:t>
      </w:r>
      <w:r w:rsidRPr="00100AAC">
        <w:rPr>
          <w:color w:val="000000"/>
        </w:rPr>
        <w:t>and pasting taught content needed to pass (Moon, 2001). Consequently, there were suggestions that the L1A could embrace more innovative forms of assessment, which help capture coaches’ understanding and interpretation of taught content</w:t>
      </w:r>
      <w:r w:rsidR="00F624F5" w:rsidRPr="00100AAC">
        <w:rPr>
          <w:color w:val="000000"/>
        </w:rPr>
        <w:t xml:space="preserve">. </w:t>
      </w:r>
      <w:r w:rsidR="001210BD" w:rsidRPr="00100AAC">
        <w:rPr>
          <w:color w:val="000000"/>
        </w:rPr>
        <w:t>Indeed, a key driver of this was the need to provide evidence of practical coaching delivery, as explained by P</w:t>
      </w:r>
      <w:r w:rsidR="00500D09" w:rsidRPr="00100AAC">
        <w:rPr>
          <w:color w:val="000000"/>
        </w:rPr>
        <w:t xml:space="preserve">articipant </w:t>
      </w:r>
      <w:r w:rsidR="001210BD" w:rsidRPr="00100AAC">
        <w:rPr>
          <w:color w:val="000000"/>
        </w:rPr>
        <w:t>14.</w:t>
      </w:r>
    </w:p>
    <w:p w14:paraId="4773BE5F" w14:textId="7BE7259D" w:rsidR="00D907F8" w:rsidRPr="00100AAC" w:rsidRDefault="00B2263F" w:rsidP="009D3BFB">
      <w:pPr>
        <w:pStyle w:val="paragraph"/>
        <w:spacing w:line="480" w:lineRule="auto"/>
        <w:ind w:left="720"/>
        <w:jc w:val="both"/>
        <w:rPr>
          <w:color w:val="000000"/>
        </w:rPr>
      </w:pPr>
      <w:r w:rsidRPr="00100AAC">
        <w:rPr>
          <w:color w:val="000000"/>
        </w:rPr>
        <w:t xml:space="preserve">I think maybe being able to show evidence or proof that you’ve delivered a session, I think that could be quite useful. I know with the </w:t>
      </w:r>
      <w:r w:rsidR="00F624F5" w:rsidRPr="00100AAC">
        <w:rPr>
          <w:color w:val="000000"/>
        </w:rPr>
        <w:t>L</w:t>
      </w:r>
      <w:r w:rsidRPr="00100AAC">
        <w:rPr>
          <w:color w:val="000000"/>
        </w:rPr>
        <w:t xml:space="preserve">evel two football; you </w:t>
      </w:r>
      <w:proofErr w:type="gramStart"/>
      <w:r w:rsidRPr="00100AAC">
        <w:rPr>
          <w:color w:val="000000"/>
        </w:rPr>
        <w:t>have to</w:t>
      </w:r>
      <w:proofErr w:type="gramEnd"/>
      <w:r w:rsidRPr="00100AAC">
        <w:rPr>
          <w:color w:val="000000"/>
        </w:rPr>
        <w:t xml:space="preserve"> prove that you’ve delivered ten sessions. So even if you just kind of have evidence that you have deliver</w:t>
      </w:r>
      <w:r w:rsidR="00500D09" w:rsidRPr="00100AAC">
        <w:rPr>
          <w:color w:val="000000"/>
        </w:rPr>
        <w:t>ed</w:t>
      </w:r>
      <w:r w:rsidRPr="00100AAC">
        <w:rPr>
          <w:color w:val="000000"/>
        </w:rPr>
        <w:t xml:space="preserve"> a session, whether that’s to your friend or someone else, that you kind of film meeting all the points that they want</w:t>
      </w:r>
      <w:r w:rsidR="00500D09" w:rsidRPr="00100AAC">
        <w:rPr>
          <w:color w:val="000000"/>
        </w:rPr>
        <w:t>.</w:t>
      </w:r>
      <w:r w:rsidR="00D907F8" w:rsidRPr="00100AAC">
        <w:rPr>
          <w:color w:val="000000"/>
        </w:rPr>
        <w:t xml:space="preserve"> (P</w:t>
      </w:r>
      <w:r w:rsidR="00500D09" w:rsidRPr="00100AAC">
        <w:rPr>
          <w:color w:val="000000"/>
        </w:rPr>
        <w:t xml:space="preserve">articipant </w:t>
      </w:r>
      <w:r w:rsidR="00D907F8" w:rsidRPr="00100AAC">
        <w:rPr>
          <w:color w:val="000000"/>
        </w:rPr>
        <w:t>14, interview)</w:t>
      </w:r>
    </w:p>
    <w:p w14:paraId="51851BAF" w14:textId="10BC9483" w:rsidR="0040057E" w:rsidRPr="00100AAC" w:rsidRDefault="0040057E" w:rsidP="006259F0">
      <w:pPr>
        <w:pStyle w:val="paragraph"/>
        <w:spacing w:line="480" w:lineRule="auto"/>
        <w:ind w:firstLine="720"/>
        <w:jc w:val="both"/>
        <w:rPr>
          <w:color w:val="000000"/>
        </w:rPr>
      </w:pPr>
      <w:r w:rsidRPr="00100AAC">
        <w:rPr>
          <w:color w:val="000000"/>
        </w:rPr>
        <w:lastRenderedPageBreak/>
        <w:t>P</w:t>
      </w:r>
      <w:r w:rsidR="00500D09" w:rsidRPr="00100AAC">
        <w:rPr>
          <w:color w:val="000000"/>
        </w:rPr>
        <w:t xml:space="preserve">articipant </w:t>
      </w:r>
      <w:r w:rsidRPr="00100AAC">
        <w:rPr>
          <w:color w:val="000000"/>
        </w:rPr>
        <w:t xml:space="preserve">14 </w:t>
      </w:r>
      <w:r w:rsidR="00CD0DB5" w:rsidRPr="00100AAC">
        <w:rPr>
          <w:color w:val="000000"/>
        </w:rPr>
        <w:t xml:space="preserve">further </w:t>
      </w:r>
      <w:r w:rsidRPr="00100AAC">
        <w:rPr>
          <w:color w:val="000000"/>
        </w:rPr>
        <w:t>outlined how a flipped or hybrid approach to assessment could be included within the L1A</w:t>
      </w:r>
      <w:r w:rsidR="00500D09" w:rsidRPr="00100AAC">
        <w:rPr>
          <w:color w:val="000000"/>
        </w:rPr>
        <w:t>, which has been suggested by</w:t>
      </w:r>
      <w:r w:rsidRPr="00100AAC">
        <w:rPr>
          <w:color w:val="000000"/>
        </w:rPr>
        <w:t xml:space="preserve"> </w:t>
      </w:r>
      <w:proofErr w:type="spellStart"/>
      <w:r w:rsidRPr="00100AAC">
        <w:rPr>
          <w:color w:val="000000"/>
        </w:rPr>
        <w:t>Crudgington</w:t>
      </w:r>
      <w:proofErr w:type="spellEnd"/>
      <w:r w:rsidR="00500D09" w:rsidRPr="00100AAC">
        <w:rPr>
          <w:color w:val="000000"/>
        </w:rPr>
        <w:t xml:space="preserve"> (</w:t>
      </w:r>
      <w:r w:rsidRPr="00100AAC">
        <w:rPr>
          <w:color w:val="000000"/>
        </w:rPr>
        <w:t>2020)</w:t>
      </w:r>
      <w:r w:rsidR="00CD0DB5" w:rsidRPr="00100AAC">
        <w:rPr>
          <w:color w:val="000000"/>
        </w:rPr>
        <w:t xml:space="preserve">. This format would involve delivered content remaining online, supplemented with follow-up assessment workshops in person. </w:t>
      </w:r>
    </w:p>
    <w:p w14:paraId="7C7FEF4F" w14:textId="523423E1" w:rsidR="0040057E" w:rsidRPr="00100AAC" w:rsidRDefault="0040057E" w:rsidP="009D3BFB">
      <w:pPr>
        <w:pStyle w:val="paragraph"/>
        <w:spacing w:line="480" w:lineRule="auto"/>
        <w:ind w:left="720"/>
        <w:jc w:val="both"/>
        <w:rPr>
          <w:color w:val="000000"/>
        </w:rPr>
      </w:pPr>
      <w:r w:rsidRPr="00100AAC">
        <w:rPr>
          <w:color w:val="000000"/>
        </w:rPr>
        <w:t>I think having the information online is still really useful, but I think it would be good, maybe even to ha</w:t>
      </w:r>
      <w:r w:rsidR="00CD0DB5" w:rsidRPr="00100AAC">
        <w:rPr>
          <w:color w:val="000000"/>
        </w:rPr>
        <w:t>ve</w:t>
      </w:r>
      <w:r w:rsidRPr="00100AAC">
        <w:rPr>
          <w:color w:val="000000"/>
        </w:rPr>
        <w:t xml:space="preserve"> a half day, just with the assessment to be able to deliver a session</w:t>
      </w:r>
      <w:r w:rsidR="00CD0DB5" w:rsidRPr="00100AAC">
        <w:rPr>
          <w:color w:val="000000"/>
        </w:rPr>
        <w:t>.</w:t>
      </w:r>
      <w:r w:rsidRPr="00100AAC">
        <w:rPr>
          <w:color w:val="000000"/>
        </w:rPr>
        <w:t xml:space="preserve"> </w:t>
      </w:r>
      <w:r w:rsidR="00CD0DB5" w:rsidRPr="00100AAC">
        <w:rPr>
          <w:color w:val="000000"/>
        </w:rPr>
        <w:t>S</w:t>
      </w:r>
      <w:r w:rsidRPr="00100AAC">
        <w:rPr>
          <w:color w:val="000000"/>
        </w:rPr>
        <w:t>o having a tutor to go through sessions first and then kind of having different people there to deliver a session, so you’ve already done the information because that’s kind of the longest part of the course</w:t>
      </w:r>
      <w:r w:rsidR="00CD0DB5" w:rsidRPr="00100AAC">
        <w:rPr>
          <w:color w:val="000000"/>
        </w:rPr>
        <w:t xml:space="preserve">… </w:t>
      </w:r>
      <w:r w:rsidRPr="00100AAC">
        <w:rPr>
          <w:color w:val="000000"/>
        </w:rPr>
        <w:t>so already having read through it and already knowing the information but then doing an assessment and actually delivering with other people, I think would be really useful. (P</w:t>
      </w:r>
      <w:r w:rsidR="00C54BBB" w:rsidRPr="00100AAC">
        <w:rPr>
          <w:color w:val="000000"/>
        </w:rPr>
        <w:t xml:space="preserve">articipant </w:t>
      </w:r>
      <w:r w:rsidRPr="00100AAC">
        <w:rPr>
          <w:color w:val="000000"/>
        </w:rPr>
        <w:t>14, interview)</w:t>
      </w:r>
    </w:p>
    <w:p w14:paraId="789765BB" w14:textId="0D1FEE7F" w:rsidR="001210BD" w:rsidRPr="00100AAC" w:rsidRDefault="00CD0DB5" w:rsidP="006259F0">
      <w:pPr>
        <w:pStyle w:val="paragraph"/>
        <w:spacing w:line="480" w:lineRule="auto"/>
        <w:ind w:firstLine="720"/>
        <w:jc w:val="both"/>
        <w:rPr>
          <w:color w:val="000000"/>
        </w:rPr>
      </w:pPr>
      <w:r w:rsidRPr="00100AAC">
        <w:rPr>
          <w:color w:val="000000"/>
        </w:rPr>
        <w:t xml:space="preserve">While acknowledging the logistical aspects associated with embedding in person assessment days within online courses, </w:t>
      </w:r>
      <w:r w:rsidR="001210BD" w:rsidRPr="00100AAC">
        <w:rPr>
          <w:color w:val="000000"/>
        </w:rPr>
        <w:t>participants</w:t>
      </w:r>
      <w:r w:rsidRPr="00100AAC">
        <w:rPr>
          <w:color w:val="000000"/>
        </w:rPr>
        <w:t xml:space="preserve"> also</w:t>
      </w:r>
      <w:r w:rsidR="001210BD" w:rsidRPr="00100AAC">
        <w:rPr>
          <w:color w:val="000000"/>
        </w:rPr>
        <w:t xml:space="preserve"> believed there </w:t>
      </w:r>
      <w:r w:rsidRPr="00100AAC">
        <w:rPr>
          <w:color w:val="000000"/>
        </w:rPr>
        <w:t>would be</w:t>
      </w:r>
      <w:r w:rsidR="001210BD" w:rsidRPr="00100AAC">
        <w:rPr>
          <w:color w:val="000000"/>
        </w:rPr>
        <w:t xml:space="preserve"> value in uploading </w:t>
      </w:r>
      <w:r w:rsidRPr="00100AAC">
        <w:rPr>
          <w:color w:val="000000"/>
        </w:rPr>
        <w:t xml:space="preserve">recorded </w:t>
      </w:r>
      <w:r w:rsidR="001210BD" w:rsidRPr="00100AAC">
        <w:rPr>
          <w:color w:val="000000"/>
        </w:rPr>
        <w:t>videos of practical coaching sessions</w:t>
      </w:r>
      <w:r w:rsidR="00B2263F" w:rsidRPr="00100AAC">
        <w:rPr>
          <w:color w:val="000000"/>
        </w:rPr>
        <w:t xml:space="preserve">, </w:t>
      </w:r>
      <w:r w:rsidRPr="00100AAC">
        <w:rPr>
          <w:color w:val="000000"/>
        </w:rPr>
        <w:t>which</w:t>
      </w:r>
      <w:r w:rsidR="00B2263F" w:rsidRPr="00100AAC">
        <w:rPr>
          <w:color w:val="000000"/>
        </w:rPr>
        <w:t xml:space="preserve"> </w:t>
      </w:r>
      <w:r w:rsidRPr="00100AAC">
        <w:rPr>
          <w:color w:val="000000"/>
        </w:rPr>
        <w:t>would</w:t>
      </w:r>
      <w:r w:rsidR="001210BD" w:rsidRPr="00100AAC">
        <w:rPr>
          <w:color w:val="000000"/>
        </w:rPr>
        <w:t xml:space="preserve"> </w:t>
      </w:r>
      <w:r w:rsidR="00B2263F" w:rsidRPr="00100AAC">
        <w:rPr>
          <w:color w:val="000000"/>
        </w:rPr>
        <w:t>allow</w:t>
      </w:r>
      <w:r w:rsidR="001210BD" w:rsidRPr="00100AAC">
        <w:rPr>
          <w:color w:val="000000"/>
        </w:rPr>
        <w:t xml:space="preserve"> </w:t>
      </w:r>
      <w:r w:rsidR="00B2263F" w:rsidRPr="00100AAC">
        <w:rPr>
          <w:color w:val="000000"/>
        </w:rPr>
        <w:t>collaborative</w:t>
      </w:r>
      <w:r w:rsidR="001210BD" w:rsidRPr="00100AAC">
        <w:rPr>
          <w:color w:val="000000"/>
        </w:rPr>
        <w:t xml:space="preserve"> discussions</w:t>
      </w:r>
      <w:r w:rsidR="0027591F" w:rsidRPr="00100AAC">
        <w:rPr>
          <w:color w:val="000000"/>
        </w:rPr>
        <w:t xml:space="preserve"> (synchronously or asynchronously)</w:t>
      </w:r>
      <w:r w:rsidR="001210BD" w:rsidRPr="00100AAC">
        <w:rPr>
          <w:color w:val="000000"/>
        </w:rPr>
        <w:t xml:space="preserve"> and</w:t>
      </w:r>
      <w:r w:rsidRPr="00100AAC">
        <w:rPr>
          <w:color w:val="000000"/>
        </w:rPr>
        <w:t xml:space="preserve"> </w:t>
      </w:r>
      <w:r w:rsidR="00B2263F" w:rsidRPr="00100AAC">
        <w:rPr>
          <w:color w:val="000000"/>
        </w:rPr>
        <w:t xml:space="preserve">shared </w:t>
      </w:r>
      <w:r w:rsidR="001210BD" w:rsidRPr="00100AAC">
        <w:rPr>
          <w:color w:val="000000"/>
        </w:rPr>
        <w:t>reflections (see McCarthy et al., 2021).</w:t>
      </w:r>
      <w:r w:rsidR="0009164B" w:rsidRPr="00100AAC">
        <w:rPr>
          <w:color w:val="000000"/>
        </w:rPr>
        <w:t xml:space="preserve"> </w:t>
      </w:r>
      <w:r w:rsidR="0027591F" w:rsidRPr="00100AAC">
        <w:rPr>
          <w:color w:val="000000"/>
        </w:rPr>
        <w:t xml:space="preserve">Video review also shifts the responsibility to the coach and enables a more contextualised assessment experience (Cushion &amp; Townsend, 2019; Hay et al., 2012). </w:t>
      </w:r>
    </w:p>
    <w:p w14:paraId="233749C4" w14:textId="569582AC" w:rsidR="008A234E" w:rsidRPr="00100AAC" w:rsidRDefault="008A234E" w:rsidP="009D3BFB">
      <w:pPr>
        <w:pStyle w:val="paragraph"/>
        <w:spacing w:line="480" w:lineRule="auto"/>
        <w:ind w:left="720"/>
        <w:jc w:val="both"/>
        <w:rPr>
          <w:color w:val="000000"/>
        </w:rPr>
      </w:pPr>
      <w:r w:rsidRPr="00100AAC">
        <w:rPr>
          <w:color w:val="000000"/>
        </w:rPr>
        <w:t>Perhaps a session video submission option instead of a written plan - to be more equivalent to a face-to-face session. Plus, a feedback session (peer and tutor) to go through written or video submissions. (P</w:t>
      </w:r>
      <w:r w:rsidR="00C54BBB" w:rsidRPr="00100AAC">
        <w:rPr>
          <w:color w:val="000000"/>
        </w:rPr>
        <w:t xml:space="preserve">articipant </w:t>
      </w:r>
      <w:r w:rsidRPr="00100AAC">
        <w:rPr>
          <w:color w:val="000000"/>
        </w:rPr>
        <w:t>40)</w:t>
      </w:r>
    </w:p>
    <w:p w14:paraId="3A55310A" w14:textId="037D536B" w:rsidR="00CB0A60" w:rsidRPr="00100AAC" w:rsidRDefault="00CB0A60" w:rsidP="009D3BFB">
      <w:pPr>
        <w:pStyle w:val="paragraph"/>
        <w:spacing w:line="480" w:lineRule="auto"/>
        <w:ind w:left="720"/>
        <w:jc w:val="both"/>
        <w:rPr>
          <w:color w:val="000000"/>
        </w:rPr>
      </w:pPr>
      <w:r w:rsidRPr="00100AAC">
        <w:rPr>
          <w:color w:val="000000"/>
        </w:rPr>
        <w:t xml:space="preserve">Perhaps, they could do something where the participants have to do a video of themselves delivering a session, and then that gets uploaded and that becomes part of </w:t>
      </w:r>
      <w:r w:rsidRPr="00100AAC">
        <w:rPr>
          <w:color w:val="000000"/>
        </w:rPr>
        <w:lastRenderedPageBreak/>
        <w:t>their assessment because obviously in a face-to-face course, the assessor is constantly assessing them all day</w:t>
      </w:r>
      <w:r w:rsidR="00D907F8" w:rsidRPr="00100AAC">
        <w:rPr>
          <w:color w:val="000000"/>
        </w:rPr>
        <w:t>.</w:t>
      </w:r>
      <w:r w:rsidRPr="00100AAC">
        <w:rPr>
          <w:color w:val="000000"/>
        </w:rPr>
        <w:t xml:space="preserve"> (P</w:t>
      </w:r>
      <w:r w:rsidR="00C54BBB" w:rsidRPr="00100AAC">
        <w:rPr>
          <w:color w:val="000000"/>
        </w:rPr>
        <w:t xml:space="preserve">articipant </w:t>
      </w:r>
      <w:r w:rsidRPr="00100AAC">
        <w:rPr>
          <w:color w:val="000000"/>
        </w:rPr>
        <w:t>41, interview)</w:t>
      </w:r>
    </w:p>
    <w:p w14:paraId="136A4AC8" w14:textId="00099565" w:rsidR="009E1FE4" w:rsidRPr="00100AAC" w:rsidRDefault="009E1FE4" w:rsidP="009D3BFB">
      <w:pPr>
        <w:pStyle w:val="paragraph"/>
        <w:spacing w:line="480" w:lineRule="auto"/>
        <w:ind w:left="720"/>
        <w:jc w:val="both"/>
        <w:rPr>
          <w:color w:val="000000"/>
        </w:rPr>
      </w:pPr>
      <w:r w:rsidRPr="00100AAC">
        <w:rPr>
          <w:color w:val="000000"/>
        </w:rPr>
        <w:t xml:space="preserve">There are numerous ways of doing it [assessment] so you could do something like this [Microsoft Teams video call] and do a presentation or if in person, it could be in a sports hall, and then the </w:t>
      </w:r>
      <w:r w:rsidR="00F624F5" w:rsidRPr="00100AAC">
        <w:rPr>
          <w:color w:val="000000"/>
        </w:rPr>
        <w:t>L</w:t>
      </w:r>
      <w:r w:rsidRPr="00100AAC">
        <w:rPr>
          <w:color w:val="000000"/>
        </w:rPr>
        <w:t xml:space="preserve">evel two coach can be the one marking you and then they send the results in so there’s </w:t>
      </w:r>
      <w:proofErr w:type="gramStart"/>
      <w:r w:rsidRPr="00100AAC">
        <w:rPr>
          <w:color w:val="000000"/>
        </w:rPr>
        <w:t>a number of</w:t>
      </w:r>
      <w:proofErr w:type="gramEnd"/>
      <w:r w:rsidRPr="00100AAC">
        <w:rPr>
          <w:color w:val="000000"/>
        </w:rPr>
        <w:t xml:space="preserve"> ways of doing it. (P</w:t>
      </w:r>
      <w:r w:rsidR="00C54BBB" w:rsidRPr="00100AAC">
        <w:rPr>
          <w:color w:val="000000"/>
        </w:rPr>
        <w:t xml:space="preserve">articipant </w:t>
      </w:r>
      <w:r w:rsidRPr="00100AAC">
        <w:rPr>
          <w:color w:val="000000"/>
        </w:rPr>
        <w:t>43, interview)</w:t>
      </w:r>
    </w:p>
    <w:p w14:paraId="2862BB08" w14:textId="2F31CFDD" w:rsidR="009E1FE4" w:rsidRPr="00100AAC" w:rsidRDefault="009E1FE4" w:rsidP="006259F0">
      <w:pPr>
        <w:pStyle w:val="paragraph"/>
        <w:spacing w:line="480" w:lineRule="auto"/>
        <w:ind w:firstLine="720"/>
        <w:jc w:val="both"/>
        <w:rPr>
          <w:color w:val="000000"/>
        </w:rPr>
      </w:pPr>
      <w:r w:rsidRPr="00100AAC">
        <w:rPr>
          <w:color w:val="000000"/>
        </w:rPr>
        <w:t xml:space="preserve">Despite the L1A being online, </w:t>
      </w:r>
      <w:r w:rsidR="001A5287" w:rsidRPr="00100AAC">
        <w:rPr>
          <w:color w:val="000000"/>
        </w:rPr>
        <w:t>utilising video review would represent</w:t>
      </w:r>
      <w:r w:rsidR="0051640E" w:rsidRPr="00100AAC">
        <w:rPr>
          <w:color w:val="000000"/>
        </w:rPr>
        <w:t xml:space="preserve"> a move towards </w:t>
      </w:r>
      <w:r w:rsidR="001A5287" w:rsidRPr="00100AAC">
        <w:rPr>
          <w:color w:val="000000"/>
        </w:rPr>
        <w:t xml:space="preserve">more </w:t>
      </w:r>
      <w:r w:rsidR="0051640E" w:rsidRPr="00100AAC">
        <w:rPr>
          <w:color w:val="000000"/>
        </w:rPr>
        <w:t xml:space="preserve">authentic forms of assessment where deep learning is </w:t>
      </w:r>
      <w:r w:rsidR="0027591F" w:rsidRPr="00100AAC">
        <w:rPr>
          <w:color w:val="000000"/>
        </w:rPr>
        <w:t>enhanced</w:t>
      </w:r>
      <w:r w:rsidR="001A5287" w:rsidRPr="00100AAC">
        <w:rPr>
          <w:color w:val="000000"/>
        </w:rPr>
        <w:t xml:space="preserve"> </w:t>
      </w:r>
      <w:r w:rsidR="0051640E" w:rsidRPr="00100AAC">
        <w:rPr>
          <w:color w:val="000000"/>
        </w:rPr>
        <w:t xml:space="preserve">(Moon, 2001). </w:t>
      </w:r>
      <w:r w:rsidR="00C54BBB" w:rsidRPr="00100AAC">
        <w:rPr>
          <w:color w:val="000000"/>
        </w:rPr>
        <w:t>R</w:t>
      </w:r>
      <w:r w:rsidR="001A5287" w:rsidRPr="00100AAC">
        <w:rPr>
          <w:color w:val="000000"/>
        </w:rPr>
        <w:t>esearch has indicated that adopting video review within coach education has the potential to enhance coaches’ pedagogical knowledge</w:t>
      </w:r>
      <w:r w:rsidR="0027591F" w:rsidRPr="00100AAC">
        <w:rPr>
          <w:color w:val="000000"/>
        </w:rPr>
        <w:t xml:space="preserve"> in a contextual and bespoke manner</w:t>
      </w:r>
      <w:r w:rsidR="001A5287" w:rsidRPr="00100AAC">
        <w:rPr>
          <w:color w:val="000000"/>
        </w:rPr>
        <w:t xml:space="preserve"> (Araya et al., 2015</w:t>
      </w:r>
      <w:r w:rsidR="0027591F" w:rsidRPr="00100AAC">
        <w:rPr>
          <w:color w:val="000000"/>
        </w:rPr>
        <w:t>; Hay et al., 2012</w:t>
      </w:r>
      <w:r w:rsidR="001A5287" w:rsidRPr="00100AAC">
        <w:rPr>
          <w:color w:val="000000"/>
        </w:rPr>
        <w:t xml:space="preserve">). </w:t>
      </w:r>
      <w:r w:rsidR="0051640E" w:rsidRPr="00100AAC">
        <w:rPr>
          <w:color w:val="000000"/>
        </w:rPr>
        <w:t>I</w:t>
      </w:r>
      <w:r w:rsidR="001A5287" w:rsidRPr="00100AAC">
        <w:rPr>
          <w:color w:val="000000"/>
        </w:rPr>
        <w:t>n this instance, if</w:t>
      </w:r>
      <w:r w:rsidR="0051640E" w:rsidRPr="00100AAC">
        <w:rPr>
          <w:color w:val="000000"/>
        </w:rPr>
        <w:t xml:space="preserve"> learners’ video themselves delivering a coaching </w:t>
      </w:r>
      <w:r w:rsidR="00665FC8" w:rsidRPr="00100AAC">
        <w:rPr>
          <w:color w:val="000000"/>
        </w:rPr>
        <w:t>session</w:t>
      </w:r>
      <w:r w:rsidR="0051640E" w:rsidRPr="00100AAC">
        <w:rPr>
          <w:color w:val="000000"/>
        </w:rPr>
        <w:t xml:space="preserve"> and submit the</w:t>
      </w:r>
      <w:r w:rsidR="00AF1725" w:rsidRPr="00100AAC">
        <w:rPr>
          <w:color w:val="000000"/>
        </w:rPr>
        <w:t>ir</w:t>
      </w:r>
      <w:r w:rsidR="0051640E" w:rsidRPr="00100AAC">
        <w:rPr>
          <w:color w:val="000000"/>
        </w:rPr>
        <w:t xml:space="preserve"> footage for feedback, they are likely to enter an </w:t>
      </w:r>
      <w:r w:rsidR="0051640E" w:rsidRPr="00100AAC">
        <w:rPr>
          <w:i/>
          <w:iCs/>
          <w:color w:val="000000"/>
        </w:rPr>
        <w:t>active experimentation</w:t>
      </w:r>
      <w:r w:rsidR="0051640E" w:rsidRPr="00100AAC">
        <w:rPr>
          <w:color w:val="000000"/>
        </w:rPr>
        <w:t xml:space="preserve"> phase, where learning is represented beyond merely reproducing taught content</w:t>
      </w:r>
      <w:r w:rsidR="0002453D" w:rsidRPr="00100AAC">
        <w:rPr>
          <w:color w:val="000000"/>
        </w:rPr>
        <w:t xml:space="preserve"> (Moon, 2001). </w:t>
      </w:r>
      <w:r w:rsidR="00C54BBB" w:rsidRPr="00100AAC">
        <w:rPr>
          <w:color w:val="000000"/>
        </w:rPr>
        <w:t>Moreover</w:t>
      </w:r>
      <w:r w:rsidR="0002453D" w:rsidRPr="00100AAC">
        <w:rPr>
          <w:color w:val="000000"/>
        </w:rPr>
        <w:t>,</w:t>
      </w:r>
      <w:r w:rsidR="001A5287" w:rsidRPr="00100AAC">
        <w:rPr>
          <w:color w:val="000000"/>
        </w:rPr>
        <w:t xml:space="preserve"> Moon (2001) has indicated that</w:t>
      </w:r>
      <w:r w:rsidR="0002453D" w:rsidRPr="00100AAC">
        <w:rPr>
          <w:color w:val="000000"/>
        </w:rPr>
        <w:t xml:space="preserve"> “teaching the material of learning meaningfully to another…</w:t>
      </w:r>
      <w:r w:rsidR="00626AFB" w:rsidRPr="00100AAC">
        <w:rPr>
          <w:color w:val="000000"/>
        </w:rPr>
        <w:t xml:space="preserve"> may require even deeper stages of learning” (p. 79). </w:t>
      </w:r>
      <w:r w:rsidR="00665FC8" w:rsidRPr="00100AAC">
        <w:rPr>
          <w:color w:val="000000"/>
        </w:rPr>
        <w:t>Thus, participants’ recommendations for more authentic forms of assessment within the L1A, whe</w:t>
      </w:r>
      <w:r w:rsidR="006B768E" w:rsidRPr="00100AAC">
        <w:rPr>
          <w:color w:val="000000"/>
        </w:rPr>
        <w:t>re</w:t>
      </w:r>
      <w:r w:rsidR="00665FC8" w:rsidRPr="00100AAC">
        <w:rPr>
          <w:color w:val="000000"/>
        </w:rPr>
        <w:t xml:space="preserve"> individuals can </w:t>
      </w:r>
      <w:r w:rsidR="00AF1725" w:rsidRPr="00100AAC">
        <w:rPr>
          <w:color w:val="000000"/>
        </w:rPr>
        <w:t xml:space="preserve">video themselves </w:t>
      </w:r>
      <w:r w:rsidR="00665FC8" w:rsidRPr="00100AAC">
        <w:rPr>
          <w:color w:val="000000"/>
        </w:rPr>
        <w:t>practically coach</w:t>
      </w:r>
      <w:r w:rsidR="00AF1725" w:rsidRPr="00100AAC">
        <w:rPr>
          <w:color w:val="000000"/>
        </w:rPr>
        <w:t>ing</w:t>
      </w:r>
      <w:r w:rsidR="006B768E" w:rsidRPr="00100AAC">
        <w:rPr>
          <w:color w:val="000000"/>
        </w:rPr>
        <w:t xml:space="preserve"> others</w:t>
      </w:r>
      <w:r w:rsidR="00665FC8" w:rsidRPr="00100AAC">
        <w:rPr>
          <w:color w:val="000000"/>
        </w:rPr>
        <w:t>, might result in a deeper</w:t>
      </w:r>
      <w:r w:rsidR="0027591F" w:rsidRPr="00100AAC">
        <w:rPr>
          <w:color w:val="000000"/>
        </w:rPr>
        <w:t xml:space="preserve"> </w:t>
      </w:r>
      <w:r w:rsidR="00665FC8" w:rsidRPr="00100AAC">
        <w:rPr>
          <w:color w:val="000000"/>
        </w:rPr>
        <w:t>approach to learning</w:t>
      </w:r>
      <w:r w:rsidR="004E3765" w:rsidRPr="00100AAC">
        <w:rPr>
          <w:color w:val="000000"/>
        </w:rPr>
        <w:t xml:space="preserve"> and warrants further research exploration</w:t>
      </w:r>
      <w:r w:rsidR="00665FC8" w:rsidRPr="00100AAC">
        <w:rPr>
          <w:color w:val="000000"/>
        </w:rPr>
        <w:t xml:space="preserve">. </w:t>
      </w:r>
    </w:p>
    <w:p w14:paraId="15F6EC36" w14:textId="6EACB104" w:rsidR="008A234E" w:rsidRPr="00100AAC" w:rsidRDefault="002F3CC8" w:rsidP="00FE7EFD">
      <w:pPr>
        <w:pStyle w:val="paragraph"/>
        <w:spacing w:line="480" w:lineRule="auto"/>
        <w:jc w:val="both"/>
        <w:rPr>
          <w:color w:val="000000"/>
        </w:rPr>
      </w:pPr>
      <w:r w:rsidRPr="00100AAC">
        <w:rPr>
          <w:color w:val="000000"/>
        </w:rPr>
        <w:tab/>
        <w:t xml:space="preserve">In addition to offering their thoughts on how the assessment could be improved, participants identified a need for </w:t>
      </w:r>
      <w:r w:rsidR="00AF1725" w:rsidRPr="00100AAC">
        <w:rPr>
          <w:color w:val="000000"/>
        </w:rPr>
        <w:t>follow-up</w:t>
      </w:r>
      <w:r w:rsidRPr="00100AAC">
        <w:rPr>
          <w:color w:val="000000"/>
        </w:rPr>
        <w:t xml:space="preserve"> support </w:t>
      </w:r>
      <w:r w:rsidR="00F624F5" w:rsidRPr="00100AAC">
        <w:rPr>
          <w:color w:val="000000"/>
        </w:rPr>
        <w:t>post-</w:t>
      </w:r>
      <w:r w:rsidRPr="00100AAC">
        <w:rPr>
          <w:color w:val="000000"/>
        </w:rPr>
        <w:t xml:space="preserve">completion of the L1A. </w:t>
      </w:r>
      <w:r w:rsidR="00A05B4E" w:rsidRPr="00100AAC">
        <w:rPr>
          <w:color w:val="000000"/>
        </w:rPr>
        <w:t xml:space="preserve">As </w:t>
      </w:r>
      <w:r w:rsidR="006B768E" w:rsidRPr="00100AAC">
        <w:rPr>
          <w:color w:val="000000"/>
        </w:rPr>
        <w:t>acknowledged</w:t>
      </w:r>
      <w:r w:rsidR="00A05B4E" w:rsidRPr="00100AAC">
        <w:rPr>
          <w:color w:val="000000"/>
        </w:rPr>
        <w:t xml:space="preserve"> previously, interaction and engagement with fellow learners and the course tutor are limited within the current L1A structure. Therefore, this aspect was strongly desired by participants</w:t>
      </w:r>
      <w:r w:rsidR="00CB2C50" w:rsidRPr="00100AAC">
        <w:rPr>
          <w:color w:val="000000"/>
        </w:rPr>
        <w:t>, with online discussion boards presented as potential avenue</w:t>
      </w:r>
      <w:r w:rsidR="009667BA" w:rsidRPr="00100AAC">
        <w:rPr>
          <w:color w:val="000000"/>
        </w:rPr>
        <w:t xml:space="preserve"> </w:t>
      </w:r>
      <w:r w:rsidR="00F624F5" w:rsidRPr="00100AAC">
        <w:rPr>
          <w:color w:val="000000"/>
        </w:rPr>
        <w:t xml:space="preserve">as recent research has suggested </w:t>
      </w:r>
      <w:r w:rsidR="009667BA" w:rsidRPr="00100AAC">
        <w:rPr>
          <w:color w:val="000000"/>
        </w:rPr>
        <w:t>(</w:t>
      </w:r>
      <w:r w:rsidR="00F624F5" w:rsidRPr="00100AAC">
        <w:rPr>
          <w:color w:val="000000"/>
        </w:rPr>
        <w:t xml:space="preserve">see </w:t>
      </w:r>
      <w:proofErr w:type="spellStart"/>
      <w:r w:rsidR="009667BA" w:rsidRPr="00100AAC">
        <w:rPr>
          <w:color w:val="000000"/>
        </w:rPr>
        <w:t>Stoszkowski</w:t>
      </w:r>
      <w:proofErr w:type="spellEnd"/>
      <w:r w:rsidR="009667BA" w:rsidRPr="00100AAC">
        <w:rPr>
          <w:color w:val="000000"/>
        </w:rPr>
        <w:t xml:space="preserve"> et al., 2021; Stoszkowski &amp; Collins, 2022)</w:t>
      </w:r>
      <w:r w:rsidR="006B768E" w:rsidRPr="00100AAC">
        <w:rPr>
          <w:color w:val="000000"/>
        </w:rPr>
        <w:t>.</w:t>
      </w:r>
    </w:p>
    <w:p w14:paraId="45A1F5D8" w14:textId="09448AEB" w:rsidR="00A05B4E" w:rsidRPr="00100AAC" w:rsidRDefault="00CB2C50" w:rsidP="009D3BFB">
      <w:pPr>
        <w:pStyle w:val="paragraph"/>
        <w:spacing w:line="480" w:lineRule="auto"/>
        <w:ind w:left="720"/>
        <w:jc w:val="both"/>
      </w:pPr>
      <w:r w:rsidRPr="00100AAC">
        <w:lastRenderedPageBreak/>
        <w:t>You could create an online forum on the British Dodgeball website so there is their own forum page. You could also, get in contact with other people completing the course so we could get in contact with each other, and they can share their knowledge. Mainly networking through exchanging emails too</w:t>
      </w:r>
      <w:r w:rsidR="00A05B4E" w:rsidRPr="00100AAC">
        <w:t>. (P</w:t>
      </w:r>
      <w:r w:rsidR="00C54BBB" w:rsidRPr="00100AAC">
        <w:t xml:space="preserve">articipant </w:t>
      </w:r>
      <w:r w:rsidRPr="00100AAC">
        <w:t>43</w:t>
      </w:r>
      <w:r w:rsidR="00A05B4E" w:rsidRPr="00100AAC">
        <w:t>)</w:t>
      </w:r>
    </w:p>
    <w:p w14:paraId="761146F6" w14:textId="1B46C413" w:rsidR="00CB2C50" w:rsidRPr="00100AAC" w:rsidRDefault="00CB2C50" w:rsidP="009D3BFB">
      <w:pPr>
        <w:pStyle w:val="paragraph"/>
        <w:spacing w:line="480" w:lineRule="auto"/>
        <w:ind w:left="720"/>
        <w:jc w:val="both"/>
      </w:pPr>
      <w:r w:rsidRPr="00100AAC">
        <w:t>Maybe like a Facebook group chat, you know people who are doing dodgeball sessions and delivering on a weekly basis so</w:t>
      </w:r>
      <w:r w:rsidR="00C54BBB" w:rsidRPr="00100AAC">
        <w:t xml:space="preserve"> you can</w:t>
      </w:r>
      <w:r w:rsidRPr="00100AAC">
        <w:t xml:space="preserve"> say you’re stuck with the scenarios or stuck with something, then you could ask in the group chat and someone might give you an answer to help each other out or someone might live locally or close by then they could come help put with the session. (P</w:t>
      </w:r>
      <w:r w:rsidR="00C54BBB" w:rsidRPr="00100AAC">
        <w:t xml:space="preserve">articipant </w:t>
      </w:r>
      <w:r w:rsidRPr="00100AAC">
        <w:t xml:space="preserve">47, interview)  </w:t>
      </w:r>
    </w:p>
    <w:p w14:paraId="74F00A3F" w14:textId="45127CCB" w:rsidR="007B1CC6" w:rsidRPr="00100AAC" w:rsidRDefault="002F3CC8" w:rsidP="00A33B36">
      <w:pPr>
        <w:pStyle w:val="paragraph"/>
        <w:spacing w:line="480" w:lineRule="auto"/>
        <w:ind w:firstLine="720"/>
        <w:jc w:val="both"/>
        <w:rPr>
          <w:color w:val="000000"/>
        </w:rPr>
      </w:pPr>
      <w:r w:rsidRPr="00100AAC">
        <w:rPr>
          <w:color w:val="000000"/>
        </w:rPr>
        <w:t xml:space="preserve">Moon (2001) </w:t>
      </w:r>
      <w:r w:rsidR="008A234E" w:rsidRPr="00100AAC">
        <w:rPr>
          <w:color w:val="000000"/>
        </w:rPr>
        <w:t>outlines</w:t>
      </w:r>
      <w:r w:rsidRPr="00100AAC">
        <w:rPr>
          <w:color w:val="000000"/>
        </w:rPr>
        <w:t xml:space="preserve"> how extra support via</w:t>
      </w:r>
      <w:r w:rsidR="008A234E" w:rsidRPr="00100AAC">
        <w:rPr>
          <w:color w:val="000000"/>
        </w:rPr>
        <w:t xml:space="preserve"> mentoring or tutorials after short courses can help bridge the transition between theoretical content and </w:t>
      </w:r>
      <w:r w:rsidR="00AF1725" w:rsidRPr="00100AAC">
        <w:rPr>
          <w:color w:val="000000"/>
        </w:rPr>
        <w:t xml:space="preserve">workplace </w:t>
      </w:r>
      <w:r w:rsidR="008A234E" w:rsidRPr="00100AAC">
        <w:rPr>
          <w:color w:val="000000"/>
        </w:rPr>
        <w:t xml:space="preserve">practice. </w:t>
      </w:r>
      <w:r w:rsidR="00A05B4E" w:rsidRPr="00100AAC">
        <w:rPr>
          <w:color w:val="000000"/>
        </w:rPr>
        <w:t xml:space="preserve">Within the sport coaching literature, mentoring has been </w:t>
      </w:r>
      <w:r w:rsidR="00F640F7" w:rsidRPr="00100AAC">
        <w:rPr>
          <w:color w:val="000000"/>
        </w:rPr>
        <w:t>identified</w:t>
      </w:r>
      <w:r w:rsidR="00A05B4E" w:rsidRPr="00100AAC">
        <w:rPr>
          <w:color w:val="000000"/>
        </w:rPr>
        <w:t xml:space="preserve"> as a preferred source of learning for sport coaches, offering contextualised learning opportunities </w:t>
      </w:r>
      <w:r w:rsidR="00A05B4E" w:rsidRPr="00100AAC">
        <w:rPr>
          <w:i/>
          <w:iCs/>
          <w:color w:val="000000"/>
        </w:rPr>
        <w:t>in situ</w:t>
      </w:r>
      <w:r w:rsidR="00A05B4E" w:rsidRPr="00100AAC">
        <w:rPr>
          <w:color w:val="000000"/>
        </w:rPr>
        <w:t xml:space="preserve"> (</w:t>
      </w:r>
      <w:bookmarkStart w:id="11" w:name="_Hlk109900053"/>
      <w:r w:rsidR="00A05B4E" w:rsidRPr="00100AAC">
        <w:rPr>
          <w:color w:val="000000"/>
        </w:rPr>
        <w:t>Leeder &amp; Sawiuk, 202</w:t>
      </w:r>
      <w:r w:rsidR="00F27FE6" w:rsidRPr="00100AAC">
        <w:rPr>
          <w:color w:val="000000"/>
        </w:rPr>
        <w:t>1</w:t>
      </w:r>
      <w:r w:rsidR="00A05B4E" w:rsidRPr="00100AAC">
        <w:rPr>
          <w:color w:val="000000"/>
        </w:rPr>
        <w:t>; Van Woezik et al., 202</w:t>
      </w:r>
      <w:r w:rsidR="00187907" w:rsidRPr="00100AAC">
        <w:rPr>
          <w:color w:val="000000"/>
        </w:rPr>
        <w:t>2</w:t>
      </w:r>
      <w:bookmarkEnd w:id="11"/>
      <w:r w:rsidR="00A05B4E" w:rsidRPr="00100AAC">
        <w:rPr>
          <w:color w:val="000000"/>
        </w:rPr>
        <w:t>). Th</w:t>
      </w:r>
      <w:r w:rsidR="00A33B36" w:rsidRPr="00100AAC">
        <w:rPr>
          <w:color w:val="000000"/>
        </w:rPr>
        <w:t>erefore</w:t>
      </w:r>
      <w:r w:rsidR="00A05B4E" w:rsidRPr="00100AAC">
        <w:rPr>
          <w:color w:val="000000"/>
        </w:rPr>
        <w:t xml:space="preserve">, having </w:t>
      </w:r>
      <w:r w:rsidR="00CB2C50" w:rsidRPr="00100AAC">
        <w:rPr>
          <w:color w:val="000000"/>
        </w:rPr>
        <w:t xml:space="preserve">specific </w:t>
      </w:r>
      <w:r w:rsidR="00A05B4E" w:rsidRPr="00100AAC">
        <w:rPr>
          <w:color w:val="000000"/>
        </w:rPr>
        <w:t>access to a mentor who could answer questions, stimulate reflectio</w:t>
      </w:r>
      <w:r w:rsidR="005939AE" w:rsidRPr="00100AAC">
        <w:rPr>
          <w:color w:val="000000"/>
        </w:rPr>
        <w:t>n</w:t>
      </w:r>
      <w:r w:rsidR="00A05B4E" w:rsidRPr="00100AAC">
        <w:rPr>
          <w:color w:val="000000"/>
        </w:rPr>
        <w:t xml:space="preserve">, and generally support the </w:t>
      </w:r>
      <w:r w:rsidR="005939AE" w:rsidRPr="00100AAC">
        <w:rPr>
          <w:color w:val="000000"/>
        </w:rPr>
        <w:t xml:space="preserve">coach </w:t>
      </w:r>
      <w:r w:rsidR="00A05B4E" w:rsidRPr="00100AAC">
        <w:rPr>
          <w:color w:val="000000"/>
        </w:rPr>
        <w:t>learning process was considered a valuable addition to support the online L1A</w:t>
      </w:r>
      <w:r w:rsidR="00CB2C50" w:rsidRPr="00100AAC">
        <w:rPr>
          <w:color w:val="000000"/>
        </w:rPr>
        <w:t>, as indicated by P</w:t>
      </w:r>
      <w:r w:rsidR="00C54BBB" w:rsidRPr="00100AAC">
        <w:rPr>
          <w:color w:val="000000"/>
        </w:rPr>
        <w:t xml:space="preserve">articipants </w:t>
      </w:r>
      <w:r w:rsidR="00CB2C50" w:rsidRPr="00100AAC">
        <w:rPr>
          <w:color w:val="000000"/>
        </w:rPr>
        <w:t>14 and</w:t>
      </w:r>
      <w:r w:rsidR="00C54BBB" w:rsidRPr="00100AAC">
        <w:rPr>
          <w:color w:val="000000"/>
        </w:rPr>
        <w:t xml:space="preserve"> </w:t>
      </w:r>
      <w:r w:rsidR="00CB2C50" w:rsidRPr="00100AAC">
        <w:rPr>
          <w:color w:val="000000"/>
        </w:rPr>
        <w:t>47</w:t>
      </w:r>
      <w:r w:rsidR="00A05B4E" w:rsidRPr="00100AAC">
        <w:rPr>
          <w:color w:val="000000"/>
        </w:rPr>
        <w:t xml:space="preserve">. </w:t>
      </w:r>
    </w:p>
    <w:p w14:paraId="17F713FB" w14:textId="4989F7DA" w:rsidR="00CB2C50" w:rsidRPr="00100AAC" w:rsidRDefault="00CB2C50" w:rsidP="009D3BFB">
      <w:pPr>
        <w:pStyle w:val="paragraph"/>
        <w:spacing w:line="480" w:lineRule="auto"/>
        <w:ind w:left="720"/>
        <w:jc w:val="both"/>
        <w:rPr>
          <w:color w:val="000000"/>
        </w:rPr>
      </w:pPr>
      <w:r w:rsidRPr="00100AAC">
        <w:rPr>
          <w:color w:val="000000"/>
        </w:rPr>
        <w:t>Maybe someone from British Dodgeball to catch up with you every three or six months, just seeing kind of like what you’re doing, how it is going, and being there to support if you have any questions or ideas, not forever, maybe just like for the first year. Maybe, twice after six months in the year, so kind of just to give you ideas or be there for support. (P</w:t>
      </w:r>
      <w:r w:rsidR="00C54BBB" w:rsidRPr="00100AAC">
        <w:rPr>
          <w:color w:val="000000"/>
        </w:rPr>
        <w:t xml:space="preserve">articipant </w:t>
      </w:r>
      <w:r w:rsidRPr="00100AAC">
        <w:rPr>
          <w:color w:val="000000"/>
        </w:rPr>
        <w:t>14, interview)</w:t>
      </w:r>
    </w:p>
    <w:p w14:paraId="0B80C4F6" w14:textId="72176A92" w:rsidR="007B1CC6" w:rsidRPr="00100AAC" w:rsidRDefault="007B1CC6" w:rsidP="009D3BFB">
      <w:pPr>
        <w:pStyle w:val="paragraph"/>
        <w:spacing w:line="480" w:lineRule="auto"/>
        <w:ind w:left="720"/>
        <w:jc w:val="both"/>
        <w:rPr>
          <w:color w:val="000000"/>
        </w:rPr>
      </w:pPr>
      <w:r w:rsidRPr="00100AAC">
        <w:rPr>
          <w:color w:val="000000"/>
        </w:rPr>
        <w:lastRenderedPageBreak/>
        <w:t>Since I did the course, I've not really heard anything back or anything</w:t>
      </w:r>
      <w:r w:rsidR="00CB2C50" w:rsidRPr="00100AAC">
        <w:rPr>
          <w:color w:val="000000"/>
        </w:rPr>
        <w:t>…</w:t>
      </w:r>
      <w:r w:rsidRPr="00100AAC">
        <w:rPr>
          <w:color w:val="000000"/>
        </w:rPr>
        <w:t xml:space="preserve"> But having a mentor or someone, say you’re doing the sessions on a weekly basis like I am, every two weeks o</w:t>
      </w:r>
      <w:r w:rsidR="00F640F7" w:rsidRPr="00100AAC">
        <w:rPr>
          <w:color w:val="000000"/>
        </w:rPr>
        <w:t>r</w:t>
      </w:r>
      <w:r w:rsidRPr="00100AAC">
        <w:rPr>
          <w:color w:val="000000"/>
        </w:rPr>
        <w:t xml:space="preserve"> even a month, going to them and explaining to them and then just talking with them, letting them guide you for someone who has been coaching for a longer time or knows more than me, I think that could make a big difference. (P</w:t>
      </w:r>
      <w:r w:rsidR="00C54BBB" w:rsidRPr="00100AAC">
        <w:rPr>
          <w:color w:val="000000"/>
        </w:rPr>
        <w:t xml:space="preserve">articipant </w:t>
      </w:r>
      <w:r w:rsidRPr="00100AAC">
        <w:rPr>
          <w:color w:val="000000"/>
        </w:rPr>
        <w:t>47, interview)</w:t>
      </w:r>
    </w:p>
    <w:p w14:paraId="271D9E6F" w14:textId="3266A43C" w:rsidR="002F3CC8" w:rsidRPr="00100AAC" w:rsidRDefault="00A33B36" w:rsidP="00A33B36">
      <w:pPr>
        <w:pStyle w:val="paragraph"/>
        <w:spacing w:line="480" w:lineRule="auto"/>
        <w:ind w:firstLine="720"/>
        <w:jc w:val="both"/>
        <w:rPr>
          <w:color w:val="000000"/>
        </w:rPr>
      </w:pPr>
      <w:r w:rsidRPr="00100AAC">
        <w:rPr>
          <w:color w:val="000000"/>
        </w:rPr>
        <w:t>Although</w:t>
      </w:r>
      <w:r w:rsidR="00CB2C50" w:rsidRPr="00100AAC">
        <w:rPr>
          <w:color w:val="000000"/>
        </w:rPr>
        <w:t xml:space="preserve"> mentoring opportunities</w:t>
      </w:r>
      <w:r w:rsidR="007B1CC6" w:rsidRPr="00100AAC">
        <w:rPr>
          <w:color w:val="000000"/>
        </w:rPr>
        <w:t xml:space="preserve"> could be in person, </w:t>
      </w:r>
      <w:r w:rsidRPr="00100AAC">
        <w:rPr>
          <w:color w:val="000000"/>
        </w:rPr>
        <w:t>considering</w:t>
      </w:r>
      <w:r w:rsidR="007B1CC6" w:rsidRPr="00100AAC">
        <w:rPr>
          <w:color w:val="000000"/>
        </w:rPr>
        <w:t xml:space="preserve"> the online nature of the L1A, virtual mentorship</w:t>
      </w:r>
      <w:r w:rsidR="00CB2C50" w:rsidRPr="00100AAC">
        <w:rPr>
          <w:color w:val="000000"/>
        </w:rPr>
        <w:t xml:space="preserve"> via email, online </w:t>
      </w:r>
      <w:r w:rsidRPr="00100AAC">
        <w:rPr>
          <w:color w:val="000000"/>
        </w:rPr>
        <w:t>workshops</w:t>
      </w:r>
      <w:r w:rsidR="00CB2C50" w:rsidRPr="00100AAC">
        <w:rPr>
          <w:color w:val="000000"/>
        </w:rPr>
        <w:t>, and other digital devices</w:t>
      </w:r>
      <w:r w:rsidR="007B1CC6" w:rsidRPr="00100AAC">
        <w:rPr>
          <w:color w:val="000000"/>
        </w:rPr>
        <w:t xml:space="preserve"> was proposed by participants (see Grant et al., 2020). </w:t>
      </w:r>
    </w:p>
    <w:p w14:paraId="64A57195" w14:textId="3B867EB7" w:rsidR="00E725EB" w:rsidRPr="00100AAC" w:rsidRDefault="00E725EB" w:rsidP="009D3BFB">
      <w:pPr>
        <w:pStyle w:val="paragraph"/>
        <w:spacing w:line="480" w:lineRule="auto"/>
        <w:ind w:left="720"/>
        <w:jc w:val="both"/>
        <w:rPr>
          <w:color w:val="000000"/>
        </w:rPr>
      </w:pPr>
      <w:r w:rsidRPr="00100AAC">
        <w:rPr>
          <w:color w:val="000000"/>
        </w:rPr>
        <w:t>I would love a mentor that actually taught me how to be a good coach… a dedicated mentor, even if it's just like a WhatsApp thing or email questions. It would be good to have someone that you’re not working with or coaching with all the time, yeah, an objective or independent person, that would be really helpful. (P</w:t>
      </w:r>
      <w:r w:rsidR="00C54BBB" w:rsidRPr="00100AAC">
        <w:rPr>
          <w:color w:val="000000"/>
        </w:rPr>
        <w:t xml:space="preserve">articipant </w:t>
      </w:r>
      <w:r w:rsidRPr="00100AAC">
        <w:rPr>
          <w:color w:val="000000"/>
        </w:rPr>
        <w:t>2, interview)</w:t>
      </w:r>
    </w:p>
    <w:p w14:paraId="7A62A96F" w14:textId="66E3C8B8" w:rsidR="00E725EB" w:rsidRPr="00100AAC" w:rsidRDefault="00E725EB" w:rsidP="009D3BFB">
      <w:pPr>
        <w:pStyle w:val="paragraph"/>
        <w:spacing w:line="480" w:lineRule="auto"/>
        <w:ind w:left="720"/>
        <w:jc w:val="both"/>
        <w:rPr>
          <w:color w:val="000000"/>
        </w:rPr>
      </w:pPr>
      <w:r w:rsidRPr="00100AAC">
        <w:rPr>
          <w:color w:val="000000"/>
        </w:rPr>
        <w:t xml:space="preserve">Each person should be assigned a mentor who has got experience at </w:t>
      </w:r>
      <w:r w:rsidR="00A33B36" w:rsidRPr="00100AAC">
        <w:rPr>
          <w:color w:val="000000"/>
        </w:rPr>
        <w:t>L</w:t>
      </w:r>
      <w:r w:rsidRPr="00100AAC">
        <w:rPr>
          <w:color w:val="000000"/>
        </w:rPr>
        <w:t xml:space="preserve">evel two with maybe three of four years’ experience, and they can </w:t>
      </w:r>
      <w:r w:rsidR="007B1CC6" w:rsidRPr="00100AAC">
        <w:rPr>
          <w:color w:val="000000"/>
        </w:rPr>
        <w:t>help</w:t>
      </w:r>
      <w:r w:rsidRPr="00100AAC">
        <w:rPr>
          <w:color w:val="000000"/>
        </w:rPr>
        <w:t xml:space="preserve"> the </w:t>
      </w:r>
      <w:r w:rsidR="00A33B36" w:rsidRPr="00100AAC">
        <w:rPr>
          <w:color w:val="000000"/>
        </w:rPr>
        <w:t>L</w:t>
      </w:r>
      <w:r w:rsidRPr="00100AAC">
        <w:rPr>
          <w:color w:val="000000"/>
        </w:rPr>
        <w:t>evel ones</w:t>
      </w:r>
      <w:r w:rsidR="007B1CC6" w:rsidRPr="00100AAC">
        <w:rPr>
          <w:color w:val="000000"/>
        </w:rPr>
        <w:t>… it would have been useful to have a mentor or forum page where you can ask questions and a level two coach would answer them or it would be useful to have online classes. It doesn’t have to be in person because if somebody's on the other side of the country or the other side of the world, it would still be possible.</w:t>
      </w:r>
      <w:r w:rsidRPr="00100AAC">
        <w:rPr>
          <w:color w:val="000000"/>
        </w:rPr>
        <w:t> (P</w:t>
      </w:r>
      <w:r w:rsidR="00C54BBB" w:rsidRPr="00100AAC">
        <w:rPr>
          <w:color w:val="000000"/>
        </w:rPr>
        <w:t xml:space="preserve">articipant </w:t>
      </w:r>
      <w:r w:rsidRPr="00100AAC">
        <w:rPr>
          <w:color w:val="000000"/>
        </w:rPr>
        <w:t>43, interview)</w:t>
      </w:r>
    </w:p>
    <w:p w14:paraId="09DA0D6C" w14:textId="27822576" w:rsidR="00E725EB" w:rsidRPr="00100AAC" w:rsidRDefault="00F27FE6" w:rsidP="00A33B36">
      <w:pPr>
        <w:pStyle w:val="paragraph"/>
        <w:spacing w:line="480" w:lineRule="auto"/>
        <w:ind w:firstLine="720"/>
        <w:jc w:val="both"/>
        <w:rPr>
          <w:color w:val="000000"/>
        </w:rPr>
      </w:pPr>
      <w:r w:rsidRPr="00100AAC">
        <w:rPr>
          <w:color w:val="000000"/>
        </w:rPr>
        <w:t>Accessing</w:t>
      </w:r>
      <w:r w:rsidR="006A5A85" w:rsidRPr="00100AAC">
        <w:rPr>
          <w:color w:val="000000"/>
        </w:rPr>
        <w:t xml:space="preserve"> a mentor who can offer support and facilitate discussion-based learning opportunities would provide dodgeball coaches with the chance to upgrade their learning, progressing from a surface to a deep approach (Moon, 2001).</w:t>
      </w:r>
      <w:r w:rsidR="00CF3416" w:rsidRPr="00100AAC">
        <w:rPr>
          <w:color w:val="000000"/>
        </w:rPr>
        <w:t xml:space="preserve"> While participants were able to </w:t>
      </w:r>
      <w:r w:rsidRPr="00100AAC">
        <w:rPr>
          <w:color w:val="000000"/>
        </w:rPr>
        <w:t>demonstrate some evidence</w:t>
      </w:r>
      <w:r w:rsidR="00CF3416" w:rsidRPr="00100AAC">
        <w:rPr>
          <w:color w:val="000000"/>
        </w:rPr>
        <w:t xml:space="preserve"> </w:t>
      </w:r>
      <w:r w:rsidRPr="00100AAC">
        <w:rPr>
          <w:color w:val="000000"/>
        </w:rPr>
        <w:t xml:space="preserve">of </w:t>
      </w:r>
      <w:r w:rsidR="00CF3416" w:rsidRPr="00100AAC">
        <w:rPr>
          <w:color w:val="000000"/>
        </w:rPr>
        <w:t xml:space="preserve">deep learning, </w:t>
      </w:r>
      <w:r w:rsidR="00CF3416" w:rsidRPr="00100AAC">
        <w:t xml:space="preserve">further benefits may have arisen if they were </w:t>
      </w:r>
      <w:r w:rsidR="00CF3416" w:rsidRPr="00100AAC">
        <w:lastRenderedPageBreak/>
        <w:t>“afforded moments to take part in on-the-ground instructor-facilitated opportunities” (Santos et al., 2019, p. 7).</w:t>
      </w:r>
      <w:r w:rsidR="007B1CC6" w:rsidRPr="00100AAC">
        <w:t xml:space="preserve"> </w:t>
      </w:r>
      <w:r w:rsidR="006A5A85" w:rsidRPr="00100AAC">
        <w:rPr>
          <w:color w:val="000000"/>
        </w:rPr>
        <w:t>As such, mentoring support may enable learning to be deepened through interactions and reflections in context</w:t>
      </w:r>
      <w:r w:rsidR="00AF1725" w:rsidRPr="00100AAC">
        <w:rPr>
          <w:color w:val="000000"/>
        </w:rPr>
        <w:t xml:space="preserve"> (Leeder &amp; Sawiuk, 202</w:t>
      </w:r>
      <w:r w:rsidRPr="00100AAC">
        <w:rPr>
          <w:color w:val="000000"/>
        </w:rPr>
        <w:t>1</w:t>
      </w:r>
      <w:r w:rsidR="00AF1725" w:rsidRPr="00100AAC">
        <w:rPr>
          <w:color w:val="000000"/>
        </w:rPr>
        <w:t>)</w:t>
      </w:r>
      <w:r w:rsidR="006A5A85" w:rsidRPr="00100AAC">
        <w:rPr>
          <w:color w:val="000000"/>
        </w:rPr>
        <w:t>, with this resulting in a process of accommodation and modif</w:t>
      </w:r>
      <w:r w:rsidR="00CF3416" w:rsidRPr="00100AAC">
        <w:rPr>
          <w:color w:val="000000"/>
        </w:rPr>
        <w:t>ication to</w:t>
      </w:r>
      <w:r w:rsidR="006A5A85" w:rsidRPr="00100AAC">
        <w:rPr>
          <w:color w:val="000000"/>
        </w:rPr>
        <w:t xml:space="preserve"> a coach’s cognitive structure (Moon, 2001). </w:t>
      </w:r>
    </w:p>
    <w:p w14:paraId="46C2DBAD" w14:textId="270EBC38" w:rsidR="001C7E70" w:rsidRPr="00100AAC" w:rsidRDefault="001C7E70" w:rsidP="009D3BFB">
      <w:pPr>
        <w:pStyle w:val="paragraph"/>
        <w:jc w:val="center"/>
        <w:rPr>
          <w:b/>
          <w:bCs/>
          <w:color w:val="000000"/>
        </w:rPr>
      </w:pPr>
      <w:r w:rsidRPr="00100AAC">
        <w:rPr>
          <w:b/>
          <w:bCs/>
          <w:color w:val="000000"/>
        </w:rPr>
        <w:t>Conclu</w:t>
      </w:r>
      <w:r w:rsidR="00AC5830" w:rsidRPr="00100AAC">
        <w:rPr>
          <w:b/>
          <w:bCs/>
          <w:color w:val="000000"/>
        </w:rPr>
        <w:t>ding thoughts and r</w:t>
      </w:r>
      <w:r w:rsidRPr="00100AAC">
        <w:rPr>
          <w:b/>
          <w:bCs/>
          <w:color w:val="000000"/>
        </w:rPr>
        <w:t>ecommendations</w:t>
      </w:r>
    </w:p>
    <w:p w14:paraId="22DB4135" w14:textId="7436CB94" w:rsidR="00827EB3" w:rsidRPr="00100AAC" w:rsidRDefault="00C841EB" w:rsidP="009D3BFB">
      <w:pPr>
        <w:pStyle w:val="paragraph"/>
        <w:spacing w:line="480" w:lineRule="auto"/>
        <w:ind w:firstLine="720"/>
        <w:jc w:val="both"/>
        <w:rPr>
          <w:color w:val="000000"/>
        </w:rPr>
      </w:pPr>
      <w:bookmarkStart w:id="12" w:name="_Hlk109913821"/>
      <w:r w:rsidRPr="00100AAC">
        <w:rPr>
          <w:color w:val="000000"/>
        </w:rPr>
        <w:t>The aim of this research was</w:t>
      </w:r>
      <w:r w:rsidR="003F1728" w:rsidRPr="00100AAC">
        <w:rPr>
          <w:color w:val="000000"/>
        </w:rPr>
        <w:t xml:space="preserve"> </w:t>
      </w:r>
      <w:bookmarkStart w:id="13" w:name="_Hlk109903118"/>
      <w:r w:rsidR="003F1728" w:rsidRPr="00100AAC">
        <w:rPr>
          <w:color w:val="000000"/>
        </w:rPr>
        <w:t>to understand the impact of a</w:t>
      </w:r>
      <w:r w:rsidR="008B0989" w:rsidRPr="00100AAC">
        <w:rPr>
          <w:color w:val="000000"/>
        </w:rPr>
        <w:t xml:space="preserve">n </w:t>
      </w:r>
      <w:r w:rsidR="003F1728" w:rsidRPr="00100AAC">
        <w:rPr>
          <w:color w:val="000000"/>
        </w:rPr>
        <w:t>online Level 1 coach education award on dodgeball coaches’ learning and practice</w:t>
      </w:r>
      <w:bookmarkEnd w:id="13"/>
      <w:bookmarkEnd w:id="12"/>
      <w:r w:rsidR="003F1728" w:rsidRPr="00100AAC">
        <w:rPr>
          <w:color w:val="000000"/>
        </w:rPr>
        <w:t>.</w:t>
      </w:r>
      <w:r w:rsidR="00827EB3" w:rsidRPr="00100AAC">
        <w:rPr>
          <w:color w:val="000000"/>
        </w:rPr>
        <w:t xml:space="preserve"> </w:t>
      </w:r>
      <w:r w:rsidR="006E301D" w:rsidRPr="00100AAC">
        <w:rPr>
          <w:color w:val="000000"/>
        </w:rPr>
        <w:t xml:space="preserve">Despite the growth </w:t>
      </w:r>
      <w:r w:rsidR="00CF532D" w:rsidRPr="00100AAC">
        <w:rPr>
          <w:color w:val="000000"/>
        </w:rPr>
        <w:t>of and increased opportunities for</w:t>
      </w:r>
      <w:r w:rsidR="00827EB3" w:rsidRPr="00100AAC">
        <w:rPr>
          <w:color w:val="000000"/>
        </w:rPr>
        <w:t>,</w:t>
      </w:r>
      <w:r w:rsidR="00CF532D" w:rsidRPr="00100AAC">
        <w:rPr>
          <w:color w:val="000000"/>
        </w:rPr>
        <w:t xml:space="preserve"> online coach education (Callary et al., 2020)</w:t>
      </w:r>
      <w:r w:rsidR="006E301D" w:rsidRPr="00100AAC">
        <w:rPr>
          <w:color w:val="000000"/>
        </w:rPr>
        <w:t>, limited empirical evidence</w:t>
      </w:r>
      <w:r w:rsidR="004F30F0" w:rsidRPr="00100AAC">
        <w:rPr>
          <w:color w:val="000000"/>
        </w:rPr>
        <w:t xml:space="preserve"> exists</w:t>
      </w:r>
      <w:r w:rsidR="006E301D" w:rsidRPr="00100AAC">
        <w:rPr>
          <w:color w:val="000000"/>
        </w:rPr>
        <w:t xml:space="preserve"> which explores coaches’ experiences </w:t>
      </w:r>
      <w:r w:rsidR="00827EB3" w:rsidRPr="00100AAC">
        <w:rPr>
          <w:color w:val="000000"/>
        </w:rPr>
        <w:t>of</w:t>
      </w:r>
      <w:r w:rsidR="006E301D" w:rsidRPr="00100AAC">
        <w:rPr>
          <w:color w:val="000000"/>
        </w:rPr>
        <w:t xml:space="preserve"> such provision</w:t>
      </w:r>
      <w:r w:rsidR="00A87A74" w:rsidRPr="00100AAC">
        <w:rPr>
          <w:color w:val="000000"/>
        </w:rPr>
        <w:t>,</w:t>
      </w:r>
      <w:r w:rsidR="006E301D" w:rsidRPr="00100AAC">
        <w:rPr>
          <w:color w:val="000000"/>
        </w:rPr>
        <w:t xml:space="preserve"> </w:t>
      </w:r>
      <w:r w:rsidR="00827EB3" w:rsidRPr="00100AAC">
        <w:rPr>
          <w:color w:val="000000"/>
        </w:rPr>
        <w:t xml:space="preserve">in addition to how it </w:t>
      </w:r>
      <w:r w:rsidR="006E301D" w:rsidRPr="00100AAC">
        <w:rPr>
          <w:color w:val="000000"/>
        </w:rPr>
        <w:t>impacts coach learning</w:t>
      </w:r>
      <w:r w:rsidR="00827EB3" w:rsidRPr="00100AAC">
        <w:rPr>
          <w:color w:val="000000"/>
        </w:rPr>
        <w:t xml:space="preserve"> </w:t>
      </w:r>
      <w:r w:rsidR="004E3765" w:rsidRPr="00100AAC">
        <w:rPr>
          <w:color w:val="000000"/>
        </w:rPr>
        <w:t xml:space="preserve">and practice </w:t>
      </w:r>
      <w:r w:rsidR="006E301D" w:rsidRPr="00100AAC">
        <w:rPr>
          <w:color w:val="000000"/>
        </w:rPr>
        <w:t xml:space="preserve">(Cushion &amp; Townsend, 2019; </w:t>
      </w:r>
      <w:r w:rsidR="00CF58AB" w:rsidRPr="00100AAC">
        <w:rPr>
          <w:color w:val="000000"/>
        </w:rPr>
        <w:t>Stoszkowski</w:t>
      </w:r>
      <w:r w:rsidR="006E301D" w:rsidRPr="00100AAC">
        <w:rPr>
          <w:color w:val="000000"/>
        </w:rPr>
        <w:t xml:space="preserve"> &amp; Collins, 202</w:t>
      </w:r>
      <w:r w:rsidR="009667BA" w:rsidRPr="00100AAC">
        <w:rPr>
          <w:color w:val="000000"/>
        </w:rPr>
        <w:t>2</w:t>
      </w:r>
      <w:r w:rsidR="004F30F0" w:rsidRPr="00100AAC">
        <w:rPr>
          <w:color w:val="000000"/>
        </w:rPr>
        <w:t xml:space="preserve">; Trudel et al., 2013). Consequently, the findings from this research contribute to this growing </w:t>
      </w:r>
      <w:r w:rsidR="00827EB3" w:rsidRPr="00100AAC">
        <w:rPr>
          <w:color w:val="000000"/>
        </w:rPr>
        <w:t>field</w:t>
      </w:r>
      <w:r w:rsidR="004F30F0" w:rsidRPr="00100AAC">
        <w:rPr>
          <w:color w:val="000000"/>
        </w:rPr>
        <w:t xml:space="preserve"> </w:t>
      </w:r>
      <w:r w:rsidRPr="00100AAC">
        <w:rPr>
          <w:color w:val="000000"/>
        </w:rPr>
        <w:t xml:space="preserve">within </w:t>
      </w:r>
      <w:r w:rsidR="004F30F0" w:rsidRPr="00100AAC">
        <w:rPr>
          <w:color w:val="000000"/>
        </w:rPr>
        <w:t xml:space="preserve">coach education scholarship and </w:t>
      </w:r>
      <w:r w:rsidRPr="00100AAC">
        <w:rPr>
          <w:color w:val="000000"/>
        </w:rPr>
        <w:t>helps to address</w:t>
      </w:r>
      <w:r w:rsidR="004F30F0" w:rsidRPr="00100AAC">
        <w:rPr>
          <w:color w:val="000000"/>
        </w:rPr>
        <w:t xml:space="preserve"> “the current lack of published literature on the topic of successful online coach education” (Callary et al., 2020, p. 584).</w:t>
      </w:r>
      <w:r w:rsidR="00827EB3" w:rsidRPr="00100AAC">
        <w:rPr>
          <w:color w:val="000000"/>
        </w:rPr>
        <w:t xml:space="preserve"> </w:t>
      </w:r>
      <w:r w:rsidR="00A87A74" w:rsidRPr="00100AAC">
        <w:rPr>
          <w:color w:val="000000"/>
        </w:rPr>
        <w:t>Moreover</w:t>
      </w:r>
      <w:r w:rsidR="00827EB3" w:rsidRPr="00100AAC">
        <w:rPr>
          <w:color w:val="000000"/>
        </w:rPr>
        <w:t>, while</w:t>
      </w:r>
      <w:r w:rsidRPr="00100AAC">
        <w:rPr>
          <w:color w:val="000000"/>
        </w:rPr>
        <w:t xml:space="preserve"> </w:t>
      </w:r>
      <w:r w:rsidR="007F3765" w:rsidRPr="00100AAC">
        <w:rPr>
          <w:color w:val="000000"/>
        </w:rPr>
        <w:t>previous studies</w:t>
      </w:r>
      <w:r w:rsidRPr="00100AAC">
        <w:rPr>
          <w:color w:val="000000"/>
        </w:rPr>
        <w:t xml:space="preserve"> </w:t>
      </w:r>
      <w:r w:rsidR="000423C6" w:rsidRPr="00100AAC">
        <w:rPr>
          <w:color w:val="000000"/>
        </w:rPr>
        <w:t>have</w:t>
      </w:r>
      <w:r w:rsidRPr="00100AAC">
        <w:rPr>
          <w:color w:val="000000"/>
        </w:rPr>
        <w:t xml:space="preserve"> applied</w:t>
      </w:r>
      <w:r w:rsidR="00827EB3" w:rsidRPr="00100AAC">
        <w:rPr>
          <w:color w:val="000000"/>
        </w:rPr>
        <w:t xml:space="preserve"> Moon’s (2001, 2004) </w:t>
      </w:r>
      <w:r w:rsidR="00F41B61" w:rsidRPr="00100AAC">
        <w:rPr>
          <w:color w:val="000000"/>
        </w:rPr>
        <w:t>theoretical framework</w:t>
      </w:r>
      <w:r w:rsidRPr="00100AAC">
        <w:rPr>
          <w:color w:val="000000"/>
        </w:rPr>
        <w:t xml:space="preserve"> </w:t>
      </w:r>
      <w:r w:rsidR="007F3765" w:rsidRPr="00100AAC">
        <w:rPr>
          <w:color w:val="000000"/>
        </w:rPr>
        <w:t>when analysing</w:t>
      </w:r>
      <w:r w:rsidR="00F41B61" w:rsidRPr="00100AAC">
        <w:rPr>
          <w:color w:val="000000"/>
        </w:rPr>
        <w:t xml:space="preserve"> face-to-face</w:t>
      </w:r>
      <w:r w:rsidR="00827EB3" w:rsidRPr="00100AAC">
        <w:rPr>
          <w:color w:val="000000"/>
        </w:rPr>
        <w:t xml:space="preserve"> coach education, this research </w:t>
      </w:r>
      <w:r w:rsidR="007F3765" w:rsidRPr="00100AAC">
        <w:rPr>
          <w:color w:val="000000"/>
        </w:rPr>
        <w:t>adopts</w:t>
      </w:r>
      <w:r w:rsidR="00F41B61" w:rsidRPr="00100AAC">
        <w:rPr>
          <w:color w:val="000000"/>
        </w:rPr>
        <w:t xml:space="preserve"> these concepts to explicitly understan</w:t>
      </w:r>
      <w:r w:rsidR="007F3765" w:rsidRPr="00100AAC">
        <w:rPr>
          <w:color w:val="000000"/>
        </w:rPr>
        <w:t>d</w:t>
      </w:r>
      <w:r w:rsidR="00F41B61" w:rsidRPr="00100AAC">
        <w:rPr>
          <w:color w:val="000000"/>
        </w:rPr>
        <w:t xml:space="preserve"> the impact of online coach education within an underrepresented sport</w:t>
      </w:r>
      <w:r w:rsidR="007F3765" w:rsidRPr="00100AAC">
        <w:rPr>
          <w:color w:val="000000"/>
        </w:rPr>
        <w:t>, further contributing to the literature</w:t>
      </w:r>
      <w:r w:rsidR="00F41B61" w:rsidRPr="00100AAC">
        <w:rPr>
          <w:color w:val="000000"/>
        </w:rPr>
        <w:t>.</w:t>
      </w:r>
    </w:p>
    <w:p w14:paraId="2CA4F8FD" w14:textId="74F02B1F" w:rsidR="00827EB3" w:rsidRPr="00100AAC" w:rsidRDefault="00827EB3" w:rsidP="00D85AF7">
      <w:pPr>
        <w:pStyle w:val="paragraph"/>
        <w:spacing w:line="480" w:lineRule="auto"/>
        <w:jc w:val="both"/>
        <w:rPr>
          <w:color w:val="000000"/>
        </w:rPr>
      </w:pPr>
      <w:r w:rsidRPr="00100AAC">
        <w:rPr>
          <w:color w:val="000000"/>
        </w:rPr>
        <w:tab/>
        <w:t>In summaris</w:t>
      </w:r>
      <w:r w:rsidR="0018130E" w:rsidRPr="00100AAC">
        <w:rPr>
          <w:color w:val="000000"/>
        </w:rPr>
        <w:t>ing</w:t>
      </w:r>
      <w:r w:rsidRPr="00100AAC">
        <w:rPr>
          <w:color w:val="000000"/>
        </w:rPr>
        <w:t xml:space="preserve"> the findings</w:t>
      </w:r>
      <w:r w:rsidR="00F47E15" w:rsidRPr="00100AAC">
        <w:rPr>
          <w:color w:val="000000"/>
        </w:rPr>
        <w:t xml:space="preserve">, participants were generally positive about their experiences of completing the L1A, praising the self-paced nature </w:t>
      </w:r>
      <w:r w:rsidR="00A87A74" w:rsidRPr="00100AAC">
        <w:rPr>
          <w:color w:val="000000"/>
        </w:rPr>
        <w:t xml:space="preserve">which helped to </w:t>
      </w:r>
      <w:r w:rsidR="00F47E15" w:rsidRPr="00100AAC">
        <w:rPr>
          <w:color w:val="000000"/>
        </w:rPr>
        <w:t>overc</w:t>
      </w:r>
      <w:r w:rsidR="00A87A74" w:rsidRPr="00100AAC">
        <w:rPr>
          <w:color w:val="000000"/>
        </w:rPr>
        <w:t>o</w:t>
      </w:r>
      <w:r w:rsidR="00F47E15" w:rsidRPr="00100AAC">
        <w:rPr>
          <w:color w:val="000000"/>
        </w:rPr>
        <w:t xml:space="preserve">me logistical barriers (Gurgis et al., 2020). However, the impact of the L1A on coaches’ practice was </w:t>
      </w:r>
      <w:r w:rsidR="00A87A74" w:rsidRPr="00100AAC">
        <w:rPr>
          <w:color w:val="000000"/>
        </w:rPr>
        <w:t>mixed</w:t>
      </w:r>
      <w:r w:rsidR="00F47E15" w:rsidRPr="00100AAC">
        <w:rPr>
          <w:color w:val="000000"/>
        </w:rPr>
        <w:t xml:space="preserve">, with </w:t>
      </w:r>
      <w:r w:rsidR="00AE7EAE" w:rsidRPr="00100AAC">
        <w:rPr>
          <w:color w:val="000000"/>
        </w:rPr>
        <w:t>predominantly</w:t>
      </w:r>
      <w:r w:rsidR="00F47E15" w:rsidRPr="00100AAC">
        <w:rPr>
          <w:color w:val="000000"/>
        </w:rPr>
        <w:t xml:space="preserve"> surface (e.g.,</w:t>
      </w:r>
      <w:r w:rsidR="00AE16FA" w:rsidRPr="00100AAC">
        <w:rPr>
          <w:color w:val="000000"/>
        </w:rPr>
        <w:t xml:space="preserve"> reproducing ideas, cherry-picking</w:t>
      </w:r>
      <w:r w:rsidR="00F47E15" w:rsidRPr="00100AAC">
        <w:rPr>
          <w:color w:val="000000"/>
        </w:rPr>
        <w:t>)</w:t>
      </w:r>
      <w:r w:rsidR="00AE7EAE" w:rsidRPr="00100AAC">
        <w:rPr>
          <w:color w:val="000000"/>
        </w:rPr>
        <w:t>,</w:t>
      </w:r>
      <w:r w:rsidR="00F47E15" w:rsidRPr="00100AAC">
        <w:rPr>
          <w:color w:val="000000"/>
        </w:rPr>
        <w:t xml:space="preserve"> a</w:t>
      </w:r>
      <w:r w:rsidR="00AE7EAE" w:rsidRPr="00100AAC">
        <w:rPr>
          <w:color w:val="000000"/>
        </w:rPr>
        <w:t>s opposed to</w:t>
      </w:r>
      <w:r w:rsidR="00F47E15" w:rsidRPr="00100AAC">
        <w:rPr>
          <w:color w:val="000000"/>
        </w:rPr>
        <w:t xml:space="preserve"> deep (e.g.,</w:t>
      </w:r>
      <w:r w:rsidR="00AE16FA" w:rsidRPr="00100AAC">
        <w:rPr>
          <w:color w:val="000000"/>
        </w:rPr>
        <w:t xml:space="preserve"> transformative, reflective</w:t>
      </w:r>
      <w:r w:rsidR="00F47E15" w:rsidRPr="00100AAC">
        <w:rPr>
          <w:color w:val="000000"/>
        </w:rPr>
        <w:t>) approaches to</w:t>
      </w:r>
      <w:r w:rsidR="00AE16FA" w:rsidRPr="00100AAC">
        <w:rPr>
          <w:color w:val="000000"/>
        </w:rPr>
        <w:t xml:space="preserve"> learning </w:t>
      </w:r>
      <w:r w:rsidR="00AE7EAE" w:rsidRPr="00100AAC">
        <w:rPr>
          <w:color w:val="000000"/>
        </w:rPr>
        <w:t xml:space="preserve">occurring </w:t>
      </w:r>
      <w:r w:rsidR="00AE16FA" w:rsidRPr="00100AAC">
        <w:rPr>
          <w:color w:val="000000"/>
        </w:rPr>
        <w:t>(Moon, 2001).</w:t>
      </w:r>
      <w:r w:rsidR="00266B3D" w:rsidRPr="00100AAC">
        <w:rPr>
          <w:color w:val="000000"/>
        </w:rPr>
        <w:t xml:space="preserve"> </w:t>
      </w:r>
      <w:r w:rsidR="00C54BBB" w:rsidRPr="00100AAC">
        <w:rPr>
          <w:color w:val="000000"/>
        </w:rPr>
        <w:t>Although</w:t>
      </w:r>
      <w:r w:rsidR="00266B3D" w:rsidRPr="00100AAC">
        <w:rPr>
          <w:color w:val="000000"/>
        </w:rPr>
        <w:t xml:space="preserve"> the impact varied, it can be argued that the L1A represents a successful form of online coach education (Callary et al., 2020), with </w:t>
      </w:r>
      <w:r w:rsidR="00A87A74" w:rsidRPr="00100AAC">
        <w:rPr>
          <w:color w:val="000000"/>
        </w:rPr>
        <w:t xml:space="preserve">some </w:t>
      </w:r>
      <w:r w:rsidR="00266B3D" w:rsidRPr="00100AAC">
        <w:rPr>
          <w:color w:val="000000"/>
        </w:rPr>
        <w:t xml:space="preserve">changes to learning </w:t>
      </w:r>
      <w:r w:rsidR="00A87A74" w:rsidRPr="00100AAC">
        <w:rPr>
          <w:color w:val="000000"/>
        </w:rPr>
        <w:t xml:space="preserve">and practice </w:t>
      </w:r>
      <w:r w:rsidR="00266B3D" w:rsidRPr="00100AAC">
        <w:rPr>
          <w:color w:val="000000"/>
        </w:rPr>
        <w:t>present</w:t>
      </w:r>
      <w:r w:rsidR="00A87A74" w:rsidRPr="00100AAC">
        <w:rPr>
          <w:color w:val="000000"/>
        </w:rPr>
        <w:t xml:space="preserve"> </w:t>
      </w:r>
      <w:r w:rsidR="00A87A74" w:rsidRPr="00100AAC">
        <w:rPr>
          <w:color w:val="000000"/>
        </w:rPr>
        <w:lastRenderedPageBreak/>
        <w:t>(albeit self-reported)</w:t>
      </w:r>
      <w:r w:rsidR="00266B3D" w:rsidRPr="00100AAC">
        <w:rPr>
          <w:color w:val="000000"/>
        </w:rPr>
        <w:t xml:space="preserve">. </w:t>
      </w:r>
      <w:r w:rsidR="00AE16FA" w:rsidRPr="00100AAC">
        <w:rPr>
          <w:color w:val="000000"/>
        </w:rPr>
        <w:t xml:space="preserve">Coaches’ cognitive structures guided both their preferences and learning, which influenced the value individuals attached to online provision and whether they believed </w:t>
      </w:r>
      <w:r w:rsidR="00AF1725" w:rsidRPr="00100AAC">
        <w:rPr>
          <w:color w:val="000000"/>
        </w:rPr>
        <w:t>the L1A</w:t>
      </w:r>
      <w:r w:rsidR="00AE16FA" w:rsidRPr="00100AAC">
        <w:rPr>
          <w:color w:val="000000"/>
        </w:rPr>
        <w:t xml:space="preserve"> aligned with their learning styles. Indeed, the findings reiterate how a coach’s cognitive structure functions as a filter which facilitates or hinders the impact of online learning opportunities (Moon, 2001; Stodter &amp; Cushion, 2017). </w:t>
      </w:r>
      <w:r w:rsidR="00AE7EAE" w:rsidRPr="00100AAC">
        <w:rPr>
          <w:color w:val="000000"/>
        </w:rPr>
        <w:t>P</w:t>
      </w:r>
      <w:r w:rsidR="00D85AF7" w:rsidRPr="00100AAC">
        <w:rPr>
          <w:color w:val="000000"/>
        </w:rPr>
        <w:t xml:space="preserve">articipants were </w:t>
      </w:r>
      <w:r w:rsidR="00AE7EAE" w:rsidRPr="00100AAC">
        <w:rPr>
          <w:color w:val="000000"/>
        </w:rPr>
        <w:t xml:space="preserve">also </w:t>
      </w:r>
      <w:r w:rsidR="00D85AF7" w:rsidRPr="00100AAC">
        <w:rPr>
          <w:color w:val="000000"/>
        </w:rPr>
        <w:t xml:space="preserve">able to draw upon their experiences to provide </w:t>
      </w:r>
      <w:r w:rsidR="00E21C79" w:rsidRPr="00100AAC">
        <w:rPr>
          <w:color w:val="000000"/>
        </w:rPr>
        <w:t>several</w:t>
      </w:r>
      <w:r w:rsidR="00D85AF7" w:rsidRPr="00100AAC">
        <w:rPr>
          <w:color w:val="000000"/>
        </w:rPr>
        <w:t xml:space="preserve"> recommendations to enhance the impact of the L1A. These recommendations align with contemporary coach development literature (e.g.,</w:t>
      </w:r>
      <w:r w:rsidR="00D85AF7" w:rsidRPr="00100AAC">
        <w:rPr>
          <w:rFonts w:asciiTheme="minorHAnsi" w:eastAsiaTheme="minorHAnsi" w:hAnsiTheme="minorHAnsi" w:cstheme="minorBidi"/>
          <w:color w:val="000000"/>
          <w:sz w:val="22"/>
          <w:szCs w:val="22"/>
          <w:lang w:eastAsia="en-US"/>
        </w:rPr>
        <w:t xml:space="preserve"> </w:t>
      </w:r>
      <w:r w:rsidR="00D85AF7" w:rsidRPr="00100AAC">
        <w:rPr>
          <w:color w:val="000000"/>
        </w:rPr>
        <w:t>Leeder &amp; Sawiuk, 202</w:t>
      </w:r>
      <w:r w:rsidR="00F27FE6" w:rsidRPr="00100AAC">
        <w:rPr>
          <w:color w:val="000000"/>
        </w:rPr>
        <w:t>1</w:t>
      </w:r>
      <w:r w:rsidR="00D85AF7" w:rsidRPr="00100AAC">
        <w:rPr>
          <w:color w:val="000000"/>
        </w:rPr>
        <w:t xml:space="preserve">; </w:t>
      </w:r>
      <w:r w:rsidR="001B34F6" w:rsidRPr="00100AAC">
        <w:rPr>
          <w:color w:val="000000"/>
        </w:rPr>
        <w:t>McCarthy et al., 2021</w:t>
      </w:r>
      <w:r w:rsidR="00D85AF7" w:rsidRPr="00100AAC">
        <w:rPr>
          <w:color w:val="000000"/>
        </w:rPr>
        <w:t xml:space="preserve">; Van Woezik et al., 2022), in calling for innovative and authentic assessment formats, increased social interaction, alongside opportunities for mentorship. </w:t>
      </w:r>
    </w:p>
    <w:p w14:paraId="15C0E4A3" w14:textId="4C79931C" w:rsidR="003F1728" w:rsidRPr="00100AAC" w:rsidRDefault="00827EB3" w:rsidP="0065783C">
      <w:pPr>
        <w:pStyle w:val="paragraph"/>
        <w:spacing w:line="480" w:lineRule="auto"/>
        <w:ind w:firstLine="720"/>
        <w:jc w:val="both"/>
        <w:rPr>
          <w:color w:val="000000"/>
        </w:rPr>
      </w:pPr>
      <w:r w:rsidRPr="00100AAC">
        <w:rPr>
          <w:color w:val="000000"/>
        </w:rPr>
        <w:t xml:space="preserve">It is important to acknowledge that while coach developers will attempt to facilitate and accelerate coach learning within online settings, </w:t>
      </w:r>
      <w:r w:rsidR="00A33B36" w:rsidRPr="00100AAC">
        <w:rPr>
          <w:color w:val="000000"/>
        </w:rPr>
        <w:t>“</w:t>
      </w:r>
      <w:r w:rsidR="00322C6A" w:rsidRPr="00100AAC">
        <w:rPr>
          <w:color w:val="000000"/>
        </w:rPr>
        <w:t>ultimately it is the individual coach who will determine the usefulness of the learning context… what is learned by each coach will vary depending on their unique previous experiences, approaches to the learning situations, and the assimilation and accommodation processes</w:t>
      </w:r>
      <w:r w:rsidR="00A33B36" w:rsidRPr="00100AAC">
        <w:rPr>
          <w:color w:val="000000"/>
        </w:rPr>
        <w:t>”</w:t>
      </w:r>
      <w:r w:rsidR="00322C6A" w:rsidRPr="00100AAC">
        <w:rPr>
          <w:color w:val="000000"/>
        </w:rPr>
        <w:t xml:space="preserve"> (</w:t>
      </w:r>
      <w:proofErr w:type="spellStart"/>
      <w:r w:rsidR="00791834" w:rsidRPr="00100AAC">
        <w:rPr>
          <w:color w:val="000000"/>
        </w:rPr>
        <w:t>Trudel</w:t>
      </w:r>
      <w:proofErr w:type="spellEnd"/>
      <w:r w:rsidR="00791834" w:rsidRPr="00100AAC">
        <w:rPr>
          <w:color w:val="000000"/>
        </w:rPr>
        <w:t xml:space="preserve"> et al., 2013, </w:t>
      </w:r>
      <w:r w:rsidR="00322C6A" w:rsidRPr="00100AAC">
        <w:rPr>
          <w:color w:val="000000"/>
        </w:rPr>
        <w:t>p. 380)</w:t>
      </w:r>
      <w:r w:rsidR="0018130E" w:rsidRPr="00100AAC">
        <w:rPr>
          <w:color w:val="000000"/>
        </w:rPr>
        <w:t xml:space="preserve">. However, Moon (2001) strongly reiterates that a </w:t>
      </w:r>
      <w:r w:rsidR="0065783C" w:rsidRPr="00100AAC">
        <w:rPr>
          <w:color w:val="000000"/>
        </w:rPr>
        <w:t>crucial</w:t>
      </w:r>
      <w:r w:rsidR="0018130E" w:rsidRPr="00100AAC">
        <w:rPr>
          <w:color w:val="000000"/>
        </w:rPr>
        <w:t xml:space="preserve"> tenet behind deep learning is reflective practice. Consequently, coach developers cannot assume that reflection just occurs when delivering online </w:t>
      </w:r>
      <w:r w:rsidR="001B34F6" w:rsidRPr="00100AAC">
        <w:rPr>
          <w:color w:val="000000"/>
        </w:rPr>
        <w:t>provision and</w:t>
      </w:r>
      <w:r w:rsidR="0018130E" w:rsidRPr="00100AAC">
        <w:rPr>
          <w:color w:val="000000"/>
        </w:rPr>
        <w:t xml:space="preserve"> must ensure adequate time is dedicated towards facilitating reflective conversations via interactive learning activities </w:t>
      </w:r>
      <w:r w:rsidR="003F1728" w:rsidRPr="00100AAC">
        <w:rPr>
          <w:color w:val="000000"/>
        </w:rPr>
        <w:t>(</w:t>
      </w:r>
      <w:r w:rsidR="00702197" w:rsidRPr="00100AAC">
        <w:rPr>
          <w:color w:val="000000"/>
        </w:rPr>
        <w:t xml:space="preserve">Culver et al., 2019; </w:t>
      </w:r>
      <w:r w:rsidR="003F1728" w:rsidRPr="00100AAC">
        <w:rPr>
          <w:color w:val="000000"/>
        </w:rPr>
        <w:t>Stoszkowski et al., 2021)</w:t>
      </w:r>
      <w:r w:rsidR="0018130E" w:rsidRPr="00100AAC">
        <w:rPr>
          <w:color w:val="000000"/>
        </w:rPr>
        <w:t xml:space="preserve">. </w:t>
      </w:r>
    </w:p>
    <w:p w14:paraId="34A1C42C" w14:textId="6F548CC3" w:rsidR="00322C6A" w:rsidRPr="00100AAC" w:rsidRDefault="00D30B30" w:rsidP="00080D02">
      <w:pPr>
        <w:pStyle w:val="paragraph"/>
        <w:spacing w:line="480" w:lineRule="auto"/>
        <w:jc w:val="both"/>
        <w:rPr>
          <w:color w:val="000000"/>
        </w:rPr>
      </w:pPr>
      <w:r w:rsidRPr="00100AAC">
        <w:rPr>
          <w:color w:val="000000"/>
        </w:rPr>
        <w:tab/>
      </w:r>
      <w:r w:rsidR="0065783C" w:rsidRPr="00100AAC">
        <w:rPr>
          <w:color w:val="000000"/>
        </w:rPr>
        <w:t>Within online provision</w:t>
      </w:r>
      <w:r w:rsidRPr="00100AAC">
        <w:rPr>
          <w:color w:val="000000"/>
        </w:rPr>
        <w:t xml:space="preserve"> the role of the coach developer may shift to that of learning designer (Driska &amp; Nalepa, 2020), where the creation and delivery of rich media, innovative learning activities, and enhance</w:t>
      </w:r>
      <w:r w:rsidR="0065783C" w:rsidRPr="00100AAC">
        <w:rPr>
          <w:color w:val="000000"/>
        </w:rPr>
        <w:t>d</w:t>
      </w:r>
      <w:r w:rsidRPr="00100AAC">
        <w:rPr>
          <w:color w:val="000000"/>
        </w:rPr>
        <w:t xml:space="preserve"> knowledge of technological informed pedagogies is required. </w:t>
      </w:r>
      <w:r w:rsidR="0065783C" w:rsidRPr="00100AAC">
        <w:rPr>
          <w:color w:val="000000"/>
        </w:rPr>
        <w:t>Therefore, i</w:t>
      </w:r>
      <w:r w:rsidRPr="00100AAC">
        <w:rPr>
          <w:color w:val="000000"/>
        </w:rPr>
        <w:t>t is perhaps fair to suggest that c</w:t>
      </w:r>
      <w:r w:rsidR="003F1728" w:rsidRPr="00100AAC">
        <w:rPr>
          <w:color w:val="000000"/>
        </w:rPr>
        <w:t xml:space="preserve">oach developers working in online spaces require careful </w:t>
      </w:r>
      <w:r w:rsidRPr="00100AAC">
        <w:rPr>
          <w:color w:val="000000"/>
        </w:rPr>
        <w:t xml:space="preserve">recruitment </w:t>
      </w:r>
      <w:r w:rsidR="003F1728" w:rsidRPr="00100AAC">
        <w:rPr>
          <w:color w:val="000000"/>
        </w:rPr>
        <w:t xml:space="preserve">and training </w:t>
      </w:r>
      <w:r w:rsidRPr="00100AAC">
        <w:rPr>
          <w:color w:val="000000"/>
        </w:rPr>
        <w:t>procedures (Griffiths et al., 202</w:t>
      </w:r>
      <w:r w:rsidR="00357F89" w:rsidRPr="00100AAC">
        <w:rPr>
          <w:color w:val="000000"/>
        </w:rPr>
        <w:t>2</w:t>
      </w:r>
      <w:r w:rsidRPr="00100AAC">
        <w:rPr>
          <w:color w:val="000000"/>
        </w:rPr>
        <w:t xml:space="preserve">; Stoszkowski et al., 2021), as </w:t>
      </w:r>
      <w:r w:rsidRPr="00100AAC">
        <w:rPr>
          <w:color w:val="000000"/>
        </w:rPr>
        <w:lastRenderedPageBreak/>
        <w:t>the</w:t>
      </w:r>
      <w:r w:rsidR="001B34F6" w:rsidRPr="00100AAC">
        <w:rPr>
          <w:color w:val="000000"/>
        </w:rPr>
        <w:t>y</w:t>
      </w:r>
      <w:r w:rsidRPr="00100AAC">
        <w:rPr>
          <w:color w:val="000000"/>
        </w:rPr>
        <w:t xml:space="preserve"> strive to </w:t>
      </w:r>
      <w:r w:rsidR="003F1728" w:rsidRPr="00100AAC">
        <w:rPr>
          <w:color w:val="000000"/>
        </w:rPr>
        <w:t xml:space="preserve">nudge coaches </w:t>
      </w:r>
      <w:r w:rsidR="001B34F6" w:rsidRPr="00100AAC">
        <w:rPr>
          <w:color w:val="000000"/>
        </w:rPr>
        <w:t>“</w:t>
      </w:r>
      <w:r w:rsidR="003F1728" w:rsidRPr="00100AAC">
        <w:rPr>
          <w:color w:val="000000"/>
        </w:rPr>
        <w:t>towards a more critically reflective level of participation” (S</w:t>
      </w:r>
      <w:r w:rsidRPr="00100AAC">
        <w:rPr>
          <w:color w:val="000000"/>
        </w:rPr>
        <w:t>antos</w:t>
      </w:r>
      <w:r w:rsidR="003F1728" w:rsidRPr="00100AAC">
        <w:rPr>
          <w:color w:val="000000"/>
        </w:rPr>
        <w:t xml:space="preserve"> et al., 2021, p. 175). </w:t>
      </w:r>
      <w:r w:rsidR="00080D02" w:rsidRPr="00100AAC">
        <w:rPr>
          <w:color w:val="000000"/>
        </w:rPr>
        <w:t>Th</w:t>
      </w:r>
      <w:r w:rsidR="0065783C" w:rsidRPr="00100AAC">
        <w:rPr>
          <w:color w:val="000000"/>
        </w:rPr>
        <w:t>us</w:t>
      </w:r>
      <w:r w:rsidR="00080D02" w:rsidRPr="00100AAC">
        <w:rPr>
          <w:color w:val="000000"/>
        </w:rPr>
        <w:t>, avenues for future research may look to understand the role of the coach developer within online coach education. As Trudel et al. (2013) stipulate when discussing online coach development,</w:t>
      </w:r>
      <w:r w:rsidR="00322C6A" w:rsidRPr="00100AAC">
        <w:rPr>
          <w:color w:val="000000"/>
        </w:rPr>
        <w:t xml:space="preserve"> “we need longitudinal studies that will start with the program designers, and then move to the facilitators… to the coaches attending the courses, and finally that will look at coaches performing”</w:t>
      </w:r>
      <w:r w:rsidR="001B34F6" w:rsidRPr="00100AAC">
        <w:rPr>
          <w:color w:val="000000"/>
        </w:rPr>
        <w:t xml:space="preserve"> (p. 382)</w:t>
      </w:r>
      <w:r w:rsidR="00080D02" w:rsidRPr="00100AAC">
        <w:rPr>
          <w:color w:val="000000"/>
        </w:rPr>
        <w:t xml:space="preserve">. To fully understand whether online coach education can support coaches in adopting a deep approach to learning, it would seem worthwhile to analyse </w:t>
      </w:r>
      <w:r w:rsidR="0065783C" w:rsidRPr="00100AAC">
        <w:rPr>
          <w:color w:val="000000"/>
        </w:rPr>
        <w:t xml:space="preserve">the roles and functions of </w:t>
      </w:r>
      <w:r w:rsidR="00080D02" w:rsidRPr="00100AAC">
        <w:rPr>
          <w:color w:val="000000"/>
        </w:rPr>
        <w:t>curriculum designers and coach developers who are responsible for this task</w:t>
      </w:r>
      <w:r w:rsidR="00231C40" w:rsidRPr="00100AAC">
        <w:rPr>
          <w:color w:val="000000"/>
        </w:rPr>
        <w:t xml:space="preserve">. Moreover, combining data collection methods such as systematic observation with qualitative interviews </w:t>
      </w:r>
      <w:r w:rsidR="00A33B36" w:rsidRPr="00100AAC">
        <w:rPr>
          <w:color w:val="000000"/>
        </w:rPr>
        <w:t xml:space="preserve">over time </w:t>
      </w:r>
      <w:r w:rsidR="00791834" w:rsidRPr="00100AAC">
        <w:rPr>
          <w:color w:val="000000"/>
        </w:rPr>
        <w:t>may provide</w:t>
      </w:r>
      <w:r w:rsidR="00231C40" w:rsidRPr="00100AAC">
        <w:rPr>
          <w:color w:val="000000"/>
        </w:rPr>
        <w:t xml:space="preserve"> </w:t>
      </w:r>
      <w:r w:rsidR="001B34F6" w:rsidRPr="00100AAC">
        <w:rPr>
          <w:color w:val="000000"/>
        </w:rPr>
        <w:t xml:space="preserve">evidence </w:t>
      </w:r>
      <w:r w:rsidR="00791834" w:rsidRPr="00100AAC">
        <w:rPr>
          <w:color w:val="000000"/>
        </w:rPr>
        <w:t xml:space="preserve">of </w:t>
      </w:r>
      <w:r w:rsidR="00231C40" w:rsidRPr="00100AAC">
        <w:rPr>
          <w:color w:val="000000"/>
        </w:rPr>
        <w:t>changes to coaching practice following an online coach education intervention, helping to move beyond a</w:t>
      </w:r>
      <w:r w:rsidR="00A33B36" w:rsidRPr="00100AAC">
        <w:rPr>
          <w:color w:val="000000"/>
        </w:rPr>
        <w:t>n</w:t>
      </w:r>
      <w:r w:rsidR="00231C40" w:rsidRPr="00100AAC">
        <w:rPr>
          <w:color w:val="000000"/>
        </w:rPr>
        <w:t xml:space="preserve"> </w:t>
      </w:r>
      <w:r w:rsidR="00A33B36" w:rsidRPr="00100AAC">
        <w:rPr>
          <w:color w:val="000000"/>
        </w:rPr>
        <w:t>over</w:t>
      </w:r>
      <w:r w:rsidR="00231C40" w:rsidRPr="00100AAC">
        <w:rPr>
          <w:color w:val="000000"/>
        </w:rPr>
        <w:t>reliance on self-report</w:t>
      </w:r>
      <w:r w:rsidR="00791834" w:rsidRPr="00100AAC">
        <w:rPr>
          <w:color w:val="000000"/>
        </w:rPr>
        <w:t>ed</w:t>
      </w:r>
      <w:r w:rsidR="001B34F6" w:rsidRPr="00100AAC">
        <w:rPr>
          <w:color w:val="000000"/>
        </w:rPr>
        <w:t xml:space="preserve"> data</w:t>
      </w:r>
      <w:r w:rsidR="00231C40" w:rsidRPr="00100AAC">
        <w:rPr>
          <w:color w:val="000000"/>
        </w:rPr>
        <w:t xml:space="preserve"> (Cushion, 2019)</w:t>
      </w:r>
      <w:r w:rsidR="00080D02" w:rsidRPr="00100AAC">
        <w:rPr>
          <w:color w:val="000000"/>
        </w:rPr>
        <w:t xml:space="preserve">.  </w:t>
      </w:r>
    </w:p>
    <w:p w14:paraId="0F87E8DE" w14:textId="5A0EBE73" w:rsidR="00384DA9" w:rsidRPr="00100AAC" w:rsidRDefault="00384DA9" w:rsidP="00080D02">
      <w:pPr>
        <w:pStyle w:val="paragraph"/>
        <w:spacing w:line="480" w:lineRule="auto"/>
        <w:ind w:firstLine="720"/>
        <w:jc w:val="both"/>
        <w:rPr>
          <w:color w:val="000000"/>
        </w:rPr>
      </w:pPr>
      <w:r w:rsidRPr="00100AAC">
        <w:rPr>
          <w:color w:val="000000"/>
        </w:rPr>
        <w:t>To enhance the impact of learning within short courses</w:t>
      </w:r>
      <w:r w:rsidR="00375454" w:rsidRPr="00100AAC">
        <w:rPr>
          <w:color w:val="000000"/>
        </w:rPr>
        <w:t xml:space="preserve"> and to support curriculum designers and course facilitators (e.g., coach developers)</w:t>
      </w:r>
      <w:r w:rsidRPr="00100AAC">
        <w:rPr>
          <w:color w:val="000000"/>
        </w:rPr>
        <w:t>, Moon (2001) developed a four-p</w:t>
      </w:r>
      <w:r w:rsidR="00FF130C" w:rsidRPr="00100AAC">
        <w:rPr>
          <w:color w:val="000000"/>
        </w:rPr>
        <w:t xml:space="preserve">hase </w:t>
      </w:r>
      <w:r w:rsidRPr="00100AAC">
        <w:rPr>
          <w:color w:val="000000"/>
        </w:rPr>
        <w:t xml:space="preserve">framework which can be </w:t>
      </w:r>
      <w:r w:rsidR="00E73AF6" w:rsidRPr="00100AAC">
        <w:rPr>
          <w:color w:val="000000"/>
        </w:rPr>
        <w:t>viewed as a</w:t>
      </w:r>
      <w:r w:rsidRPr="00100AAC">
        <w:rPr>
          <w:color w:val="000000"/>
        </w:rPr>
        <w:t xml:space="preserve"> </w:t>
      </w:r>
      <w:r w:rsidR="00375454" w:rsidRPr="00100AAC">
        <w:rPr>
          <w:color w:val="000000"/>
        </w:rPr>
        <w:t>flexible</w:t>
      </w:r>
      <w:r w:rsidRPr="00100AAC">
        <w:rPr>
          <w:color w:val="000000"/>
        </w:rPr>
        <w:t xml:space="preserve"> guide</w:t>
      </w:r>
      <w:r w:rsidR="00E73AF6" w:rsidRPr="00100AAC">
        <w:rPr>
          <w:color w:val="000000"/>
        </w:rPr>
        <w:t xml:space="preserve"> which </w:t>
      </w:r>
      <w:r w:rsidR="00E21C79" w:rsidRPr="00100AAC">
        <w:rPr>
          <w:color w:val="000000"/>
        </w:rPr>
        <w:t>can be</w:t>
      </w:r>
      <w:r w:rsidR="00E73AF6" w:rsidRPr="00100AAC">
        <w:rPr>
          <w:color w:val="000000"/>
        </w:rPr>
        <w:t xml:space="preserve"> adapt</w:t>
      </w:r>
      <w:r w:rsidR="00E21C79" w:rsidRPr="00100AAC">
        <w:rPr>
          <w:color w:val="000000"/>
        </w:rPr>
        <w:t>ed for the designated learning context</w:t>
      </w:r>
      <w:r w:rsidR="00962471" w:rsidRPr="00100AAC">
        <w:rPr>
          <w:color w:val="000000"/>
        </w:rPr>
        <w:t xml:space="preserve">. </w:t>
      </w:r>
      <w:r w:rsidR="00375454" w:rsidRPr="00100AAC">
        <w:rPr>
          <w:color w:val="000000"/>
        </w:rPr>
        <w:t>In drawing upon this framework</w:t>
      </w:r>
      <w:r w:rsidR="00962471" w:rsidRPr="00100AAC">
        <w:rPr>
          <w:color w:val="000000"/>
        </w:rPr>
        <w:t xml:space="preserve">, </w:t>
      </w:r>
      <w:r w:rsidR="00375454" w:rsidRPr="00100AAC">
        <w:rPr>
          <w:color w:val="000000"/>
        </w:rPr>
        <w:t xml:space="preserve">some recommendations and considerations for online coach education courses are provided </w:t>
      </w:r>
      <w:r w:rsidR="00E73AF6" w:rsidRPr="00100AAC">
        <w:rPr>
          <w:color w:val="000000"/>
        </w:rPr>
        <w:t xml:space="preserve">below </w:t>
      </w:r>
      <w:r w:rsidR="00375454" w:rsidRPr="00100AAC">
        <w:rPr>
          <w:color w:val="000000"/>
        </w:rPr>
        <w:t xml:space="preserve">in </w:t>
      </w:r>
      <w:r w:rsidR="00E73AF6" w:rsidRPr="00100AAC">
        <w:rPr>
          <w:color w:val="000000"/>
        </w:rPr>
        <w:t xml:space="preserve">the </w:t>
      </w:r>
      <w:r w:rsidR="00375454" w:rsidRPr="00100AAC">
        <w:rPr>
          <w:color w:val="000000"/>
        </w:rPr>
        <w:t>hope of encourag</w:t>
      </w:r>
      <w:r w:rsidR="00E73AF6" w:rsidRPr="00100AAC">
        <w:rPr>
          <w:color w:val="000000"/>
        </w:rPr>
        <w:t>ing</w:t>
      </w:r>
      <w:r w:rsidR="00375454" w:rsidRPr="00100AAC">
        <w:rPr>
          <w:color w:val="000000"/>
        </w:rPr>
        <w:t xml:space="preserve"> a deep approach to learning </w:t>
      </w:r>
      <w:r w:rsidR="00E21C79" w:rsidRPr="00100AAC">
        <w:rPr>
          <w:color w:val="000000"/>
        </w:rPr>
        <w:t xml:space="preserve">which will </w:t>
      </w:r>
      <w:r w:rsidR="00375454" w:rsidRPr="00100AAC">
        <w:rPr>
          <w:color w:val="000000"/>
        </w:rPr>
        <w:t>stimulate changes to coaching practice (Moon, 2001; Trudel et al., 2013).</w:t>
      </w:r>
    </w:p>
    <w:p w14:paraId="073D2321" w14:textId="3A140877" w:rsidR="00962471" w:rsidRPr="00100AAC" w:rsidRDefault="00962471" w:rsidP="002901AA">
      <w:pPr>
        <w:pStyle w:val="paragraph"/>
        <w:numPr>
          <w:ilvl w:val="0"/>
          <w:numId w:val="14"/>
        </w:numPr>
        <w:spacing w:line="480" w:lineRule="auto"/>
        <w:jc w:val="both"/>
        <w:rPr>
          <w:b/>
          <w:bCs/>
          <w:i/>
          <w:iCs/>
          <w:color w:val="000000"/>
        </w:rPr>
      </w:pPr>
      <w:r w:rsidRPr="00100AAC">
        <w:rPr>
          <w:b/>
          <w:bCs/>
          <w:i/>
          <w:iCs/>
          <w:color w:val="000000"/>
        </w:rPr>
        <w:t xml:space="preserve">Develop awareness of the nature of current practice: </w:t>
      </w:r>
      <w:r w:rsidR="000559FA" w:rsidRPr="00100AAC">
        <w:rPr>
          <w:color w:val="000000"/>
        </w:rPr>
        <w:t>T</w:t>
      </w:r>
      <w:r w:rsidR="00A53F5F" w:rsidRPr="00100AAC">
        <w:rPr>
          <w:color w:val="000000"/>
        </w:rPr>
        <w:t xml:space="preserve">he </w:t>
      </w:r>
      <w:r w:rsidR="008A08A6" w:rsidRPr="00100AAC">
        <w:rPr>
          <w:color w:val="000000"/>
        </w:rPr>
        <w:t>coach developer</w:t>
      </w:r>
      <w:r w:rsidR="00A53F5F" w:rsidRPr="00100AAC">
        <w:rPr>
          <w:color w:val="000000"/>
        </w:rPr>
        <w:t>(</w:t>
      </w:r>
      <w:r w:rsidR="008A08A6" w:rsidRPr="00100AAC">
        <w:rPr>
          <w:color w:val="000000"/>
        </w:rPr>
        <w:t>s</w:t>
      </w:r>
      <w:r w:rsidR="00A53F5F" w:rsidRPr="00100AAC">
        <w:rPr>
          <w:color w:val="000000"/>
        </w:rPr>
        <w:t>)</w:t>
      </w:r>
      <w:r w:rsidR="008A08A6" w:rsidRPr="00100AAC">
        <w:rPr>
          <w:color w:val="000000"/>
        </w:rPr>
        <w:t xml:space="preserve"> might utilise a mixture of synchronous</w:t>
      </w:r>
      <w:r w:rsidR="000559FA" w:rsidRPr="00100AAC">
        <w:rPr>
          <w:color w:val="000000"/>
        </w:rPr>
        <w:t>/</w:t>
      </w:r>
      <w:r w:rsidR="008A08A6" w:rsidRPr="00100AAC">
        <w:rPr>
          <w:color w:val="000000"/>
        </w:rPr>
        <w:t>asynchronous learning activities to</w:t>
      </w:r>
      <w:r w:rsidR="00A53F5F" w:rsidRPr="00100AAC">
        <w:rPr>
          <w:color w:val="000000"/>
        </w:rPr>
        <w:t xml:space="preserve"> encourage </w:t>
      </w:r>
      <w:r w:rsidR="001B34F6" w:rsidRPr="00100AAC">
        <w:rPr>
          <w:color w:val="000000"/>
        </w:rPr>
        <w:t>coaches</w:t>
      </w:r>
      <w:r w:rsidR="00A53F5F" w:rsidRPr="00100AAC">
        <w:rPr>
          <w:color w:val="000000"/>
        </w:rPr>
        <w:t xml:space="preserve"> to reflect upon their current practice, beliefs, and experiences. </w:t>
      </w:r>
      <w:r w:rsidR="00C60276" w:rsidRPr="00100AAC">
        <w:rPr>
          <w:color w:val="000000"/>
        </w:rPr>
        <w:t xml:space="preserve">Focus on </w:t>
      </w:r>
      <w:r w:rsidR="00FA5D6F" w:rsidRPr="00100AAC">
        <w:rPr>
          <w:color w:val="000000"/>
        </w:rPr>
        <w:t xml:space="preserve">interrogating </w:t>
      </w:r>
      <w:r w:rsidR="00C60276" w:rsidRPr="00100AAC">
        <w:rPr>
          <w:color w:val="000000"/>
        </w:rPr>
        <w:t>previous knowledge and practice.</w:t>
      </w:r>
    </w:p>
    <w:p w14:paraId="20CA376C" w14:textId="5267A93D" w:rsidR="00962471" w:rsidRPr="00100AAC" w:rsidRDefault="00962471" w:rsidP="002901AA">
      <w:pPr>
        <w:pStyle w:val="paragraph"/>
        <w:numPr>
          <w:ilvl w:val="0"/>
          <w:numId w:val="14"/>
        </w:numPr>
        <w:spacing w:line="480" w:lineRule="auto"/>
        <w:jc w:val="both"/>
        <w:rPr>
          <w:b/>
          <w:bCs/>
          <w:i/>
          <w:iCs/>
          <w:color w:val="000000"/>
        </w:rPr>
      </w:pPr>
      <w:r w:rsidRPr="00100AAC">
        <w:rPr>
          <w:b/>
          <w:bCs/>
          <w:i/>
          <w:iCs/>
          <w:color w:val="000000"/>
        </w:rPr>
        <w:lastRenderedPageBreak/>
        <w:t>Clarify new learning and how it relates to current understanding</w:t>
      </w:r>
      <w:r w:rsidR="00A53F5F" w:rsidRPr="00100AAC">
        <w:rPr>
          <w:b/>
          <w:bCs/>
          <w:i/>
          <w:iCs/>
          <w:color w:val="000000"/>
        </w:rPr>
        <w:t xml:space="preserve">: </w:t>
      </w:r>
      <w:r w:rsidR="00A53F5F" w:rsidRPr="00100AAC">
        <w:rPr>
          <w:color w:val="000000"/>
        </w:rPr>
        <w:t xml:space="preserve">Opportunities should exist for coaches to </w:t>
      </w:r>
      <w:r w:rsidR="00FA5D6F" w:rsidRPr="00100AAC">
        <w:rPr>
          <w:color w:val="000000"/>
        </w:rPr>
        <w:t xml:space="preserve">develop an understanding of how new </w:t>
      </w:r>
      <w:r w:rsidR="00E73AF6" w:rsidRPr="00100AAC">
        <w:rPr>
          <w:color w:val="000000"/>
        </w:rPr>
        <w:t>knowledge</w:t>
      </w:r>
      <w:r w:rsidR="00FA5D6F" w:rsidRPr="00100AAC">
        <w:rPr>
          <w:color w:val="000000"/>
        </w:rPr>
        <w:t xml:space="preserve"> relates</w:t>
      </w:r>
      <w:r w:rsidR="00A53F5F" w:rsidRPr="00100AAC">
        <w:rPr>
          <w:color w:val="000000"/>
        </w:rPr>
        <w:t xml:space="preserve"> to their existing practice, beliefs, and experiences.</w:t>
      </w:r>
      <w:r w:rsidR="00FA5D6F" w:rsidRPr="00100AAC">
        <w:rPr>
          <w:color w:val="000000"/>
        </w:rPr>
        <w:t xml:space="preserve"> </w:t>
      </w:r>
      <w:r w:rsidR="00C60276" w:rsidRPr="00100AAC">
        <w:rPr>
          <w:color w:val="000000"/>
        </w:rPr>
        <w:t xml:space="preserve">Focus on </w:t>
      </w:r>
      <w:r w:rsidR="00935FD9" w:rsidRPr="00100AAC">
        <w:rPr>
          <w:color w:val="000000"/>
        </w:rPr>
        <w:t>clarifying the differences between new knowledge and previous practice.</w:t>
      </w:r>
    </w:p>
    <w:p w14:paraId="09AFF487" w14:textId="78577112" w:rsidR="00962471" w:rsidRPr="00100AAC" w:rsidRDefault="00962471" w:rsidP="002901AA">
      <w:pPr>
        <w:pStyle w:val="paragraph"/>
        <w:numPr>
          <w:ilvl w:val="0"/>
          <w:numId w:val="14"/>
        </w:numPr>
        <w:spacing w:line="480" w:lineRule="auto"/>
        <w:jc w:val="both"/>
        <w:rPr>
          <w:b/>
          <w:bCs/>
          <w:i/>
          <w:iCs/>
          <w:color w:val="000000"/>
        </w:rPr>
      </w:pPr>
      <w:r w:rsidRPr="00100AAC">
        <w:rPr>
          <w:b/>
          <w:bCs/>
          <w:i/>
          <w:iCs/>
          <w:color w:val="000000"/>
        </w:rPr>
        <w:t>Integrate new learning and current practice</w:t>
      </w:r>
      <w:r w:rsidR="00C60276" w:rsidRPr="00100AAC">
        <w:rPr>
          <w:b/>
          <w:bCs/>
          <w:i/>
          <w:iCs/>
          <w:color w:val="000000"/>
        </w:rPr>
        <w:t>:</w:t>
      </w:r>
      <w:r w:rsidR="00FA5D6F" w:rsidRPr="00100AAC">
        <w:rPr>
          <w:b/>
          <w:bCs/>
          <w:i/>
          <w:iCs/>
          <w:color w:val="000000"/>
        </w:rPr>
        <w:t xml:space="preserve"> </w:t>
      </w:r>
      <w:r w:rsidR="000559FA" w:rsidRPr="00100AAC">
        <w:rPr>
          <w:color w:val="000000"/>
        </w:rPr>
        <w:t>C</w:t>
      </w:r>
      <w:r w:rsidR="00FA5D6F" w:rsidRPr="00100AAC">
        <w:rPr>
          <w:color w:val="000000"/>
        </w:rPr>
        <w:t xml:space="preserve">oaches’ might engage in problem-based learning </w:t>
      </w:r>
      <w:r w:rsidR="00E73AF6" w:rsidRPr="00100AAC">
        <w:rPr>
          <w:color w:val="000000"/>
        </w:rPr>
        <w:t xml:space="preserve">and role-playing </w:t>
      </w:r>
      <w:r w:rsidR="00FA5D6F" w:rsidRPr="00100AAC">
        <w:rPr>
          <w:color w:val="000000"/>
        </w:rPr>
        <w:t xml:space="preserve">tasks involving interaction, collaboration, and debate to </w:t>
      </w:r>
      <w:r w:rsidR="00E73AF6" w:rsidRPr="00100AAC">
        <w:rPr>
          <w:color w:val="000000"/>
        </w:rPr>
        <w:t>explore how new knowledge might be integrated within their practice</w:t>
      </w:r>
      <w:r w:rsidR="00FA5D6F" w:rsidRPr="00100AAC">
        <w:rPr>
          <w:color w:val="000000"/>
        </w:rPr>
        <w:t>.</w:t>
      </w:r>
      <w:r w:rsidR="00C60276" w:rsidRPr="00100AAC">
        <w:rPr>
          <w:b/>
          <w:bCs/>
          <w:i/>
          <w:iCs/>
          <w:color w:val="000000"/>
        </w:rPr>
        <w:t xml:space="preserve"> </w:t>
      </w:r>
      <w:bookmarkStart w:id="14" w:name="_Hlk109817230"/>
      <w:r w:rsidR="00C60276" w:rsidRPr="00100AAC">
        <w:rPr>
          <w:color w:val="000000"/>
        </w:rPr>
        <w:t>Focus on</w:t>
      </w:r>
      <w:r w:rsidR="00FA5D6F" w:rsidRPr="00100AAC">
        <w:rPr>
          <w:color w:val="000000"/>
        </w:rPr>
        <w:t xml:space="preserve"> </w:t>
      </w:r>
      <w:r w:rsidR="00935FD9" w:rsidRPr="00100AAC">
        <w:rPr>
          <w:color w:val="000000"/>
        </w:rPr>
        <w:t>understanding how new knowledge might be utilised within coaching scenarios.</w:t>
      </w:r>
    </w:p>
    <w:bookmarkEnd w:id="14"/>
    <w:p w14:paraId="5F1AA9C0" w14:textId="33D1F384" w:rsidR="00962471" w:rsidRPr="00100AAC" w:rsidRDefault="00962471" w:rsidP="002901AA">
      <w:pPr>
        <w:pStyle w:val="paragraph"/>
        <w:numPr>
          <w:ilvl w:val="0"/>
          <w:numId w:val="14"/>
        </w:numPr>
        <w:spacing w:line="480" w:lineRule="auto"/>
        <w:jc w:val="both"/>
        <w:rPr>
          <w:b/>
          <w:bCs/>
          <w:i/>
          <w:iCs/>
          <w:color w:val="000000"/>
        </w:rPr>
      </w:pPr>
      <w:r w:rsidRPr="00100AAC">
        <w:rPr>
          <w:b/>
          <w:bCs/>
          <w:i/>
          <w:iCs/>
          <w:color w:val="000000"/>
        </w:rPr>
        <w:t>Anticipate or imagine the nature of improved practice</w:t>
      </w:r>
      <w:r w:rsidR="00C60276" w:rsidRPr="00100AAC">
        <w:rPr>
          <w:b/>
          <w:bCs/>
          <w:i/>
          <w:iCs/>
          <w:color w:val="000000"/>
        </w:rPr>
        <w:t>:</w:t>
      </w:r>
      <w:r w:rsidR="005718C5" w:rsidRPr="00100AAC">
        <w:rPr>
          <w:color w:val="000000"/>
        </w:rPr>
        <w:t xml:space="preserve"> </w:t>
      </w:r>
      <w:r w:rsidR="000559FA" w:rsidRPr="00100AAC">
        <w:rPr>
          <w:color w:val="000000"/>
        </w:rPr>
        <w:t>O</w:t>
      </w:r>
      <w:r w:rsidR="00FF130C" w:rsidRPr="00100AAC">
        <w:rPr>
          <w:color w:val="000000"/>
        </w:rPr>
        <w:t>nline provision should focus on the continued improvement of practice.</w:t>
      </w:r>
      <w:r w:rsidR="005718C5" w:rsidRPr="00100AAC">
        <w:rPr>
          <w:color w:val="000000"/>
        </w:rPr>
        <w:t xml:space="preserve"> </w:t>
      </w:r>
      <w:r w:rsidR="00FF130C" w:rsidRPr="00100AAC">
        <w:rPr>
          <w:color w:val="000000"/>
        </w:rPr>
        <w:t xml:space="preserve">This phase provides “an anticipation of future activity” (Moon, 2001, p. 130), where coaches reflect on how their practice is improved </w:t>
      </w:r>
      <w:r w:rsidR="001B34F6" w:rsidRPr="00100AAC">
        <w:rPr>
          <w:color w:val="000000"/>
        </w:rPr>
        <w:t>because of</w:t>
      </w:r>
      <w:r w:rsidR="00FF130C" w:rsidRPr="00100AAC">
        <w:rPr>
          <w:color w:val="000000"/>
        </w:rPr>
        <w:t xml:space="preserve"> new</w:t>
      </w:r>
      <w:r w:rsidR="001B34F6" w:rsidRPr="00100AAC">
        <w:rPr>
          <w:color w:val="000000"/>
        </w:rPr>
        <w:t>ly developed</w:t>
      </w:r>
      <w:r w:rsidR="00FF130C" w:rsidRPr="00100AAC">
        <w:rPr>
          <w:color w:val="000000"/>
        </w:rPr>
        <w:t xml:space="preserve"> knowledge.</w:t>
      </w:r>
      <w:r w:rsidR="00C60276" w:rsidRPr="00100AAC">
        <w:rPr>
          <w:b/>
          <w:bCs/>
          <w:i/>
          <w:iCs/>
          <w:color w:val="000000"/>
        </w:rPr>
        <w:t xml:space="preserve"> </w:t>
      </w:r>
      <w:r w:rsidR="00FF130C" w:rsidRPr="00100AAC">
        <w:rPr>
          <w:color w:val="000000"/>
        </w:rPr>
        <w:t xml:space="preserve">Focus on </w:t>
      </w:r>
      <w:r w:rsidR="00935FD9" w:rsidRPr="00100AAC">
        <w:rPr>
          <w:color w:val="000000"/>
        </w:rPr>
        <w:t xml:space="preserve">a longer-term view and examine </w:t>
      </w:r>
      <w:r w:rsidR="00FF130C" w:rsidRPr="00100AAC">
        <w:rPr>
          <w:color w:val="000000"/>
        </w:rPr>
        <w:t>how to practically apply new knowledge to future practice</w:t>
      </w:r>
      <w:r w:rsidR="00935FD9" w:rsidRPr="00100AAC">
        <w:rPr>
          <w:color w:val="000000"/>
        </w:rPr>
        <w:t xml:space="preserve">, </w:t>
      </w:r>
      <w:r w:rsidR="002D35B5" w:rsidRPr="00100AAC">
        <w:rPr>
          <w:color w:val="000000"/>
        </w:rPr>
        <w:t>considering</w:t>
      </w:r>
      <w:r w:rsidR="00935FD9" w:rsidRPr="00100AAC">
        <w:rPr>
          <w:color w:val="000000"/>
        </w:rPr>
        <w:t xml:space="preserve"> contextual factors</w:t>
      </w:r>
      <w:r w:rsidR="00FF130C" w:rsidRPr="00100AAC">
        <w:rPr>
          <w:color w:val="000000"/>
        </w:rPr>
        <w:t>.</w:t>
      </w:r>
    </w:p>
    <w:p w14:paraId="4D020502" w14:textId="2A246645" w:rsidR="001011A6" w:rsidRPr="00100AAC" w:rsidRDefault="00BB0F01" w:rsidP="00A33B36">
      <w:pPr>
        <w:pStyle w:val="paragraph"/>
        <w:spacing w:after="0" w:afterAutospacing="0" w:line="480" w:lineRule="auto"/>
        <w:ind w:firstLine="720"/>
        <w:jc w:val="both"/>
        <w:rPr>
          <w:color w:val="000000"/>
        </w:rPr>
      </w:pPr>
      <w:r w:rsidRPr="00100AAC">
        <w:rPr>
          <w:color w:val="000000"/>
        </w:rPr>
        <w:t>These</w:t>
      </w:r>
      <w:r w:rsidR="00AC5830" w:rsidRPr="00100AAC">
        <w:rPr>
          <w:color w:val="000000"/>
        </w:rPr>
        <w:t xml:space="preserve"> </w:t>
      </w:r>
      <w:r w:rsidRPr="00100AAC">
        <w:rPr>
          <w:color w:val="000000"/>
        </w:rPr>
        <w:t>phases focus</w:t>
      </w:r>
      <w:r w:rsidR="00AC5830" w:rsidRPr="00100AAC">
        <w:rPr>
          <w:color w:val="000000"/>
        </w:rPr>
        <w:t xml:space="preserve"> on enhancing learning during courses</w:t>
      </w:r>
      <w:r w:rsidR="000559FA" w:rsidRPr="00100AAC">
        <w:rPr>
          <w:color w:val="000000"/>
        </w:rPr>
        <w:t xml:space="preserve"> and awards</w:t>
      </w:r>
      <w:r w:rsidR="001B34F6" w:rsidRPr="00100AAC">
        <w:rPr>
          <w:color w:val="000000"/>
        </w:rPr>
        <w:t xml:space="preserve">, such as </w:t>
      </w:r>
      <w:r w:rsidR="00AC5830" w:rsidRPr="00100AAC">
        <w:rPr>
          <w:color w:val="000000"/>
        </w:rPr>
        <w:t xml:space="preserve">when a coach is engaging with online tasks. SGBs might also reflect upon how </w:t>
      </w:r>
      <w:r w:rsidR="00371B88" w:rsidRPr="00100AAC">
        <w:rPr>
          <w:color w:val="000000"/>
        </w:rPr>
        <w:t>extra</w:t>
      </w:r>
      <w:r w:rsidR="00AC5830" w:rsidRPr="00100AAC">
        <w:rPr>
          <w:color w:val="000000"/>
        </w:rPr>
        <w:t xml:space="preserve"> </w:t>
      </w:r>
      <w:r w:rsidR="00375454" w:rsidRPr="00100AAC">
        <w:rPr>
          <w:color w:val="000000"/>
        </w:rPr>
        <w:t xml:space="preserve">resources, </w:t>
      </w:r>
      <w:r w:rsidR="00AC5830" w:rsidRPr="00100AAC">
        <w:rPr>
          <w:color w:val="000000"/>
        </w:rPr>
        <w:t xml:space="preserve">enhanced social interaction, </w:t>
      </w:r>
      <w:r w:rsidR="00375F1C" w:rsidRPr="00100AAC">
        <w:rPr>
          <w:i/>
          <w:iCs/>
          <w:color w:val="000000"/>
        </w:rPr>
        <w:t>in situ</w:t>
      </w:r>
      <w:r w:rsidR="00375F1C" w:rsidRPr="00100AAC">
        <w:rPr>
          <w:color w:val="000000"/>
        </w:rPr>
        <w:t xml:space="preserve"> learning opportunit</w:t>
      </w:r>
      <w:r w:rsidR="00375454" w:rsidRPr="00100AAC">
        <w:rPr>
          <w:color w:val="000000"/>
        </w:rPr>
        <w:t>ies (e.g., mentoring)</w:t>
      </w:r>
      <w:r w:rsidR="00375F1C" w:rsidRPr="00100AAC">
        <w:rPr>
          <w:color w:val="000000"/>
        </w:rPr>
        <w:t xml:space="preserve">, </w:t>
      </w:r>
      <w:r w:rsidR="00AC5830" w:rsidRPr="00100AAC">
        <w:rPr>
          <w:color w:val="000000"/>
        </w:rPr>
        <w:t xml:space="preserve">and </w:t>
      </w:r>
      <w:r w:rsidR="00375454" w:rsidRPr="00100AAC">
        <w:rPr>
          <w:color w:val="000000"/>
        </w:rPr>
        <w:t xml:space="preserve">on-going </w:t>
      </w:r>
      <w:r w:rsidR="00AC5830" w:rsidRPr="00100AAC">
        <w:rPr>
          <w:color w:val="000000"/>
        </w:rPr>
        <w:t>authentic assessment procedures can be embedded within online coach education</w:t>
      </w:r>
      <w:r w:rsidR="00375454" w:rsidRPr="00100AAC">
        <w:rPr>
          <w:color w:val="000000"/>
        </w:rPr>
        <w:t xml:space="preserve"> programmes</w:t>
      </w:r>
      <w:r w:rsidR="00375F1C" w:rsidRPr="00100AAC">
        <w:rPr>
          <w:color w:val="000000"/>
        </w:rPr>
        <w:t xml:space="preserve"> to develop a hybrid approach</w:t>
      </w:r>
      <w:r w:rsidR="00F35D0A" w:rsidRPr="00100AAC">
        <w:rPr>
          <w:color w:val="000000"/>
        </w:rPr>
        <w:t xml:space="preserve"> (Crudgington, 2020)</w:t>
      </w:r>
      <w:r w:rsidR="00AC5830" w:rsidRPr="00100AAC">
        <w:rPr>
          <w:color w:val="000000"/>
        </w:rPr>
        <w:t xml:space="preserve">. </w:t>
      </w:r>
      <w:r w:rsidR="0018130E" w:rsidRPr="00100AAC">
        <w:rPr>
          <w:color w:val="000000"/>
        </w:rPr>
        <w:t xml:space="preserve">As Piggott (2015) outlines, online coach education provision should </w:t>
      </w:r>
      <w:r w:rsidR="00A33B36" w:rsidRPr="00100AAC">
        <w:rPr>
          <w:color w:val="000000"/>
        </w:rPr>
        <w:t xml:space="preserve">not </w:t>
      </w:r>
      <w:r w:rsidR="0018130E" w:rsidRPr="00100AAC">
        <w:rPr>
          <w:color w:val="000000"/>
        </w:rPr>
        <w:t xml:space="preserve">replace existing </w:t>
      </w:r>
      <w:r w:rsidR="008A7DCC" w:rsidRPr="00100AAC">
        <w:rPr>
          <w:color w:val="000000"/>
        </w:rPr>
        <w:t>structures</w:t>
      </w:r>
      <w:r w:rsidR="0018130E" w:rsidRPr="00100AAC">
        <w:rPr>
          <w:color w:val="000000"/>
        </w:rPr>
        <w:t xml:space="preserve">, </w:t>
      </w:r>
      <w:r w:rsidR="00A33B36" w:rsidRPr="00100AAC">
        <w:rPr>
          <w:color w:val="000000"/>
        </w:rPr>
        <w:t xml:space="preserve">instead, </w:t>
      </w:r>
      <w:r w:rsidR="0018130E" w:rsidRPr="00100AAC">
        <w:rPr>
          <w:color w:val="000000"/>
        </w:rPr>
        <w:t>there is a need to increase the layering of options</w:t>
      </w:r>
      <w:r w:rsidR="008A7DCC" w:rsidRPr="00100AAC">
        <w:rPr>
          <w:color w:val="000000"/>
        </w:rPr>
        <w:t xml:space="preserve"> </w:t>
      </w:r>
      <w:r w:rsidR="0018130E" w:rsidRPr="00100AAC">
        <w:rPr>
          <w:color w:val="000000"/>
        </w:rPr>
        <w:t>to offer more bespoke learning experience</w:t>
      </w:r>
      <w:r w:rsidR="00371B88" w:rsidRPr="00100AAC">
        <w:rPr>
          <w:color w:val="000000"/>
        </w:rPr>
        <w:t>s</w:t>
      </w:r>
      <w:r w:rsidR="001221B6" w:rsidRPr="00100AAC">
        <w:rPr>
          <w:color w:val="000000"/>
        </w:rPr>
        <w:t xml:space="preserve"> for coaches</w:t>
      </w:r>
      <w:r w:rsidR="0018130E" w:rsidRPr="00100AAC">
        <w:rPr>
          <w:color w:val="000000"/>
        </w:rPr>
        <w:t xml:space="preserve">. </w:t>
      </w:r>
      <w:r w:rsidR="00A33B36" w:rsidRPr="00100AAC">
        <w:rPr>
          <w:color w:val="000000"/>
        </w:rPr>
        <w:t>R</w:t>
      </w:r>
      <w:r w:rsidR="001011A6" w:rsidRPr="00100AAC">
        <w:rPr>
          <w:color w:val="000000"/>
        </w:rPr>
        <w:t xml:space="preserve">ather than a </w:t>
      </w:r>
      <w:r w:rsidR="00371B88" w:rsidRPr="00100AAC">
        <w:rPr>
          <w:color w:val="000000"/>
        </w:rPr>
        <w:t>panacea,</w:t>
      </w:r>
      <w:r w:rsidR="001011A6" w:rsidRPr="00100AAC">
        <w:rPr>
          <w:color w:val="000000"/>
        </w:rPr>
        <w:t xml:space="preserve"> online coach education should be reframed as “a first step in a series of coach development exercises, which could include certifications, communities of practice, and formal mentorship” (Driska &amp; Nalepa, 2020, p. 176).</w:t>
      </w:r>
      <w:r w:rsidR="00371B88" w:rsidRPr="00100AAC">
        <w:rPr>
          <w:color w:val="000000"/>
        </w:rPr>
        <w:t xml:space="preserve"> It i</w:t>
      </w:r>
      <w:r w:rsidR="008866F9" w:rsidRPr="00100AAC">
        <w:rPr>
          <w:color w:val="000000"/>
        </w:rPr>
        <w:t xml:space="preserve">s hoped the findings of this research offers </w:t>
      </w:r>
      <w:r w:rsidR="008866F9" w:rsidRPr="00100AAC">
        <w:rPr>
          <w:color w:val="000000"/>
        </w:rPr>
        <w:lastRenderedPageBreak/>
        <w:t>food for thought for SGBs</w:t>
      </w:r>
      <w:r w:rsidR="001221B6" w:rsidRPr="00100AAC">
        <w:rPr>
          <w:color w:val="000000"/>
        </w:rPr>
        <w:t xml:space="preserve"> and organisations</w:t>
      </w:r>
      <w:r w:rsidR="008866F9" w:rsidRPr="00100AAC">
        <w:rPr>
          <w:color w:val="000000"/>
        </w:rPr>
        <w:t xml:space="preserve"> who might be considering the </w:t>
      </w:r>
      <w:r w:rsidR="001221B6" w:rsidRPr="00100AAC">
        <w:rPr>
          <w:color w:val="000000"/>
        </w:rPr>
        <w:t xml:space="preserve">value and impact </w:t>
      </w:r>
      <w:r w:rsidR="008866F9" w:rsidRPr="00100AAC">
        <w:rPr>
          <w:color w:val="000000"/>
        </w:rPr>
        <w:t xml:space="preserve">of </w:t>
      </w:r>
      <w:r w:rsidR="00E707D3" w:rsidRPr="00100AAC">
        <w:rPr>
          <w:color w:val="000000"/>
        </w:rPr>
        <w:t xml:space="preserve">online coach education </w:t>
      </w:r>
      <w:r w:rsidR="008866F9" w:rsidRPr="00100AAC">
        <w:rPr>
          <w:color w:val="000000"/>
        </w:rPr>
        <w:t xml:space="preserve">provision. </w:t>
      </w:r>
    </w:p>
    <w:p w14:paraId="21C4CC39" w14:textId="4F888831" w:rsidR="001B34F6" w:rsidRPr="00100AAC" w:rsidRDefault="001B34F6" w:rsidP="001B34F6">
      <w:pPr>
        <w:pStyle w:val="paragraph"/>
        <w:spacing w:after="0" w:line="480" w:lineRule="auto"/>
        <w:rPr>
          <w:b/>
          <w:bCs/>
          <w:color w:val="000000"/>
        </w:rPr>
      </w:pPr>
      <w:r w:rsidRPr="00100AAC">
        <w:rPr>
          <w:b/>
          <w:bCs/>
          <w:color w:val="000000"/>
        </w:rPr>
        <w:t>Acknowledgments</w:t>
      </w:r>
    </w:p>
    <w:p w14:paraId="43DDB058" w14:textId="51C20C78" w:rsidR="001B34F6" w:rsidRPr="00100AAC" w:rsidRDefault="001B34F6" w:rsidP="00AA1152">
      <w:pPr>
        <w:pStyle w:val="paragraph"/>
        <w:spacing w:after="0" w:line="480" w:lineRule="auto"/>
        <w:jc w:val="both"/>
        <w:rPr>
          <w:color w:val="000000"/>
        </w:rPr>
      </w:pPr>
      <w:r w:rsidRPr="00100AAC">
        <w:rPr>
          <w:color w:val="000000"/>
        </w:rPr>
        <w:t xml:space="preserve">We would like to thank British Dodgeball for their </w:t>
      </w:r>
      <w:r w:rsidR="00AA1152" w:rsidRPr="00100AAC">
        <w:rPr>
          <w:color w:val="000000"/>
        </w:rPr>
        <w:t xml:space="preserve">interest, </w:t>
      </w:r>
      <w:r w:rsidRPr="00100AAC">
        <w:rPr>
          <w:color w:val="000000"/>
        </w:rPr>
        <w:t>support</w:t>
      </w:r>
      <w:r w:rsidR="00AA1152" w:rsidRPr="00100AAC">
        <w:rPr>
          <w:color w:val="000000"/>
        </w:rPr>
        <w:t>, and enthusiasm towards</w:t>
      </w:r>
      <w:r w:rsidRPr="00100AAC">
        <w:rPr>
          <w:color w:val="000000"/>
        </w:rPr>
        <w:t xml:space="preserve"> this </w:t>
      </w:r>
      <w:r w:rsidR="00AA1152" w:rsidRPr="00100AAC">
        <w:rPr>
          <w:color w:val="000000"/>
        </w:rPr>
        <w:t xml:space="preserve">research </w:t>
      </w:r>
      <w:r w:rsidRPr="00100AAC">
        <w:rPr>
          <w:color w:val="000000"/>
        </w:rPr>
        <w:t>p</w:t>
      </w:r>
      <w:r w:rsidR="00AA1152" w:rsidRPr="00100AAC">
        <w:rPr>
          <w:color w:val="000000"/>
        </w:rPr>
        <w:t xml:space="preserve">roject. Moreover, thank you to the anonymous reviewers for their insightful feedback which has enhanced the quality of the manuscript. </w:t>
      </w:r>
    </w:p>
    <w:p w14:paraId="15DB7E4D" w14:textId="77777777" w:rsidR="001B34F6" w:rsidRPr="00100AAC" w:rsidRDefault="001B34F6" w:rsidP="001B34F6">
      <w:pPr>
        <w:pStyle w:val="paragraph"/>
        <w:spacing w:after="0" w:line="480" w:lineRule="auto"/>
        <w:rPr>
          <w:b/>
          <w:bCs/>
          <w:color w:val="000000"/>
        </w:rPr>
      </w:pPr>
      <w:r w:rsidRPr="00100AAC">
        <w:rPr>
          <w:b/>
          <w:bCs/>
          <w:color w:val="000000"/>
        </w:rPr>
        <w:t>Disclosure statement</w:t>
      </w:r>
    </w:p>
    <w:p w14:paraId="2DE086CA" w14:textId="0D85A00F" w:rsidR="001B34F6" w:rsidRPr="00100AAC" w:rsidRDefault="001B34F6" w:rsidP="00AA1152">
      <w:pPr>
        <w:pStyle w:val="paragraph"/>
        <w:spacing w:after="0" w:line="480" w:lineRule="auto"/>
        <w:rPr>
          <w:color w:val="000000"/>
        </w:rPr>
      </w:pPr>
      <w:r w:rsidRPr="00100AAC">
        <w:rPr>
          <w:color w:val="000000"/>
        </w:rPr>
        <w:t>No potential conflict of interest was reported by the authors.</w:t>
      </w:r>
    </w:p>
    <w:p w14:paraId="3C72620D" w14:textId="0CC6898A" w:rsidR="001C7E70" w:rsidRPr="00100AAC" w:rsidRDefault="001C7E70" w:rsidP="009D3BFB">
      <w:pPr>
        <w:pStyle w:val="paragraph"/>
        <w:jc w:val="center"/>
        <w:rPr>
          <w:b/>
          <w:bCs/>
          <w:color w:val="000000"/>
        </w:rPr>
      </w:pPr>
      <w:r w:rsidRPr="00100AAC">
        <w:rPr>
          <w:b/>
          <w:bCs/>
          <w:color w:val="000000"/>
        </w:rPr>
        <w:t>References</w:t>
      </w:r>
    </w:p>
    <w:p w14:paraId="7CC3DDD1" w14:textId="109C1336" w:rsidR="00F27FE6" w:rsidRPr="00100AAC" w:rsidRDefault="00F27FE6" w:rsidP="009D3BFB">
      <w:pPr>
        <w:pStyle w:val="paragraph"/>
        <w:spacing w:line="480" w:lineRule="auto"/>
        <w:ind w:left="720" w:hanging="720"/>
        <w:jc w:val="both"/>
        <w:rPr>
          <w:color w:val="000000"/>
        </w:rPr>
      </w:pPr>
      <w:r w:rsidRPr="00100AAC">
        <w:rPr>
          <w:color w:val="000000"/>
        </w:rPr>
        <w:t xml:space="preserve">Araya, J., Bennie, A., &amp; O’Connor, D. (2015). Understanding performance coach development: Perceptions about a postgraduate coach education program. </w:t>
      </w:r>
      <w:r w:rsidRPr="00100AAC">
        <w:rPr>
          <w:i/>
          <w:iCs/>
          <w:color w:val="000000"/>
        </w:rPr>
        <w:t>International Sport Coaching Journal</w:t>
      </w:r>
      <w:r w:rsidRPr="00100AAC">
        <w:rPr>
          <w:color w:val="000000"/>
        </w:rPr>
        <w:t xml:space="preserve">, 2(1), 3–14. </w:t>
      </w:r>
      <w:hyperlink r:id="rId7" w:history="1">
        <w:r w:rsidR="00314BA8" w:rsidRPr="00100AAC">
          <w:rPr>
            <w:rStyle w:val="Hyperlink"/>
          </w:rPr>
          <w:t>https://doi.org/10.1123/iscj.2013-0036</w:t>
        </w:r>
      </w:hyperlink>
      <w:r w:rsidR="00314BA8" w:rsidRPr="00100AAC">
        <w:rPr>
          <w:color w:val="000000"/>
        </w:rPr>
        <w:t xml:space="preserve"> </w:t>
      </w:r>
    </w:p>
    <w:p w14:paraId="285E0AEB" w14:textId="1ACA18D5" w:rsidR="000B3CE7" w:rsidRPr="00100AAC" w:rsidRDefault="000B3CE7" w:rsidP="009D3BFB">
      <w:pPr>
        <w:pStyle w:val="paragraph"/>
        <w:spacing w:line="480" w:lineRule="auto"/>
        <w:ind w:left="720" w:hanging="720"/>
        <w:jc w:val="both"/>
        <w:rPr>
          <w:color w:val="000000"/>
        </w:rPr>
      </w:pPr>
      <w:r w:rsidRPr="00100AAC">
        <w:rPr>
          <w:color w:val="000000"/>
        </w:rPr>
        <w:t>Bailey</w:t>
      </w:r>
      <w:r w:rsidR="00CA0AE8" w:rsidRPr="00100AAC">
        <w:rPr>
          <w:color w:val="000000"/>
        </w:rPr>
        <w:t>,</w:t>
      </w:r>
      <w:r w:rsidRPr="00100AAC">
        <w:rPr>
          <w:color w:val="000000"/>
        </w:rPr>
        <w:t xml:space="preserve"> R</w:t>
      </w:r>
      <w:r w:rsidR="00CA0AE8" w:rsidRPr="00100AAC">
        <w:rPr>
          <w:color w:val="000000"/>
        </w:rPr>
        <w:t xml:space="preserve">. </w:t>
      </w:r>
      <w:r w:rsidRPr="00100AAC">
        <w:rPr>
          <w:color w:val="000000"/>
        </w:rPr>
        <w:t>P</w:t>
      </w:r>
      <w:r w:rsidR="00CA0AE8" w:rsidRPr="00100AAC">
        <w:rPr>
          <w:color w:val="000000"/>
        </w:rPr>
        <w:t>.</w:t>
      </w:r>
      <w:r w:rsidRPr="00100AAC">
        <w:rPr>
          <w:color w:val="000000"/>
        </w:rPr>
        <w:t>, Madigan</w:t>
      </w:r>
      <w:r w:rsidR="00CA0AE8" w:rsidRPr="00100AAC">
        <w:rPr>
          <w:color w:val="000000"/>
        </w:rPr>
        <w:t>,</w:t>
      </w:r>
      <w:r w:rsidRPr="00100AAC">
        <w:rPr>
          <w:color w:val="000000"/>
        </w:rPr>
        <w:t xml:space="preserve"> D</w:t>
      </w:r>
      <w:r w:rsidR="00CA0AE8" w:rsidRPr="00100AAC">
        <w:rPr>
          <w:color w:val="000000"/>
        </w:rPr>
        <w:t xml:space="preserve">. </w:t>
      </w:r>
      <w:r w:rsidRPr="00100AAC">
        <w:rPr>
          <w:color w:val="000000"/>
        </w:rPr>
        <w:t>J</w:t>
      </w:r>
      <w:r w:rsidR="00CA0AE8" w:rsidRPr="00100AAC">
        <w:rPr>
          <w:color w:val="000000"/>
        </w:rPr>
        <w:t>.</w:t>
      </w:r>
      <w:r w:rsidRPr="00100AAC">
        <w:rPr>
          <w:color w:val="000000"/>
        </w:rPr>
        <w:t>, Cope</w:t>
      </w:r>
      <w:r w:rsidR="00CA0AE8" w:rsidRPr="00100AAC">
        <w:rPr>
          <w:color w:val="000000"/>
        </w:rPr>
        <w:t>,</w:t>
      </w:r>
      <w:r w:rsidRPr="00100AAC">
        <w:rPr>
          <w:color w:val="000000"/>
        </w:rPr>
        <w:t xml:space="preserve"> E</w:t>
      </w:r>
      <w:r w:rsidR="00CA0AE8" w:rsidRPr="00100AAC">
        <w:rPr>
          <w:color w:val="000000"/>
        </w:rPr>
        <w:t>.,</w:t>
      </w:r>
      <w:r w:rsidRPr="00100AAC">
        <w:rPr>
          <w:color w:val="000000"/>
        </w:rPr>
        <w:t xml:space="preserve"> </w:t>
      </w:r>
      <w:r w:rsidR="00CA0AE8" w:rsidRPr="00100AAC">
        <w:rPr>
          <w:color w:val="000000"/>
        </w:rPr>
        <w:t>&amp;</w:t>
      </w:r>
      <w:r w:rsidRPr="00100AAC">
        <w:rPr>
          <w:color w:val="000000"/>
        </w:rPr>
        <w:t xml:space="preserve"> Nicholls</w:t>
      </w:r>
      <w:r w:rsidR="00CA0AE8" w:rsidRPr="00100AAC">
        <w:rPr>
          <w:color w:val="000000"/>
        </w:rPr>
        <w:t>,</w:t>
      </w:r>
      <w:r w:rsidRPr="00100AAC">
        <w:rPr>
          <w:color w:val="000000"/>
        </w:rPr>
        <w:t xml:space="preserve"> A</w:t>
      </w:r>
      <w:r w:rsidR="00CA0AE8" w:rsidRPr="00100AAC">
        <w:rPr>
          <w:color w:val="000000"/>
        </w:rPr>
        <w:t xml:space="preserve">. </w:t>
      </w:r>
      <w:r w:rsidRPr="00100AAC">
        <w:rPr>
          <w:color w:val="000000"/>
        </w:rPr>
        <w:t>R</w:t>
      </w:r>
      <w:r w:rsidR="00CA0AE8" w:rsidRPr="00100AAC">
        <w:rPr>
          <w:color w:val="000000"/>
        </w:rPr>
        <w:t>.</w:t>
      </w:r>
      <w:r w:rsidRPr="00100AAC">
        <w:rPr>
          <w:color w:val="000000"/>
        </w:rPr>
        <w:t xml:space="preserve"> (2018)</w:t>
      </w:r>
      <w:r w:rsidR="00CA0AE8" w:rsidRPr="00100AAC">
        <w:rPr>
          <w:color w:val="000000"/>
        </w:rPr>
        <w:t>.</w:t>
      </w:r>
      <w:r w:rsidRPr="00100AAC">
        <w:rPr>
          <w:color w:val="000000"/>
        </w:rPr>
        <w:t xml:space="preserve"> The </w:t>
      </w:r>
      <w:r w:rsidR="00CA0AE8" w:rsidRPr="00100AAC">
        <w:rPr>
          <w:color w:val="000000"/>
        </w:rPr>
        <w:t>prevalence of pseudoscientific ideas and neuromyths among sports coaches</w:t>
      </w:r>
      <w:r w:rsidRPr="00100AAC">
        <w:rPr>
          <w:color w:val="000000"/>
        </w:rPr>
        <w:t xml:space="preserve">. </w:t>
      </w:r>
      <w:r w:rsidRPr="00100AAC">
        <w:rPr>
          <w:i/>
          <w:iCs/>
          <w:color w:val="000000"/>
        </w:rPr>
        <w:t>Front</w:t>
      </w:r>
      <w:r w:rsidR="00CA0AE8" w:rsidRPr="00100AAC">
        <w:rPr>
          <w:i/>
          <w:iCs/>
          <w:color w:val="000000"/>
        </w:rPr>
        <w:t>iers in</w:t>
      </w:r>
      <w:r w:rsidRPr="00100AAC">
        <w:rPr>
          <w:i/>
          <w:iCs/>
          <w:color w:val="000000"/>
        </w:rPr>
        <w:t xml:space="preserve"> Psychol</w:t>
      </w:r>
      <w:r w:rsidR="00CA0AE8" w:rsidRPr="00100AAC">
        <w:rPr>
          <w:i/>
          <w:iCs/>
          <w:color w:val="000000"/>
        </w:rPr>
        <w:t>ogy</w:t>
      </w:r>
      <w:r w:rsidR="00CA0AE8" w:rsidRPr="00100AAC">
        <w:rPr>
          <w:color w:val="000000"/>
        </w:rPr>
        <w:t>,</w:t>
      </w:r>
      <w:r w:rsidRPr="00100AAC">
        <w:rPr>
          <w:color w:val="000000"/>
        </w:rPr>
        <w:t xml:space="preserve"> </w:t>
      </w:r>
      <w:r w:rsidRPr="00100AAC">
        <w:rPr>
          <w:i/>
          <w:iCs/>
          <w:color w:val="000000"/>
        </w:rPr>
        <w:t>9</w:t>
      </w:r>
      <w:r w:rsidR="00CA0AE8" w:rsidRPr="00100AAC">
        <w:rPr>
          <w:color w:val="000000"/>
        </w:rPr>
        <w:t>(</w:t>
      </w:r>
      <w:r w:rsidRPr="00100AAC">
        <w:rPr>
          <w:color w:val="000000"/>
        </w:rPr>
        <w:t>641</w:t>
      </w:r>
      <w:r w:rsidR="00CA0AE8" w:rsidRPr="00100AAC">
        <w:rPr>
          <w:color w:val="000000"/>
        </w:rPr>
        <w:t>), 1–11</w:t>
      </w:r>
      <w:r w:rsidRPr="00100AAC">
        <w:rPr>
          <w:color w:val="000000"/>
        </w:rPr>
        <w:t xml:space="preserve">. </w:t>
      </w:r>
      <w:hyperlink r:id="rId8" w:history="1">
        <w:r w:rsidR="00314BA8" w:rsidRPr="00100AAC">
          <w:rPr>
            <w:rStyle w:val="Hyperlink"/>
          </w:rPr>
          <w:t>https://doi.org/10.3389/fpsyg.2018.00641</w:t>
        </w:r>
      </w:hyperlink>
      <w:r w:rsidR="00314BA8" w:rsidRPr="00100AAC">
        <w:rPr>
          <w:color w:val="000000"/>
        </w:rPr>
        <w:t xml:space="preserve"> </w:t>
      </w:r>
    </w:p>
    <w:p w14:paraId="04C8146F" w14:textId="7CED883A" w:rsidR="00634358" w:rsidRPr="00100AAC" w:rsidRDefault="00634358" w:rsidP="009D3BFB">
      <w:pPr>
        <w:pStyle w:val="paragraph"/>
        <w:spacing w:line="480" w:lineRule="auto"/>
        <w:ind w:left="720" w:hanging="720"/>
        <w:jc w:val="both"/>
        <w:rPr>
          <w:color w:val="000000"/>
        </w:rPr>
      </w:pPr>
      <w:r w:rsidRPr="00100AAC">
        <w:rPr>
          <w:color w:val="000000"/>
        </w:rPr>
        <w:t>Barney</w:t>
      </w:r>
      <w:r w:rsidR="00CA0AE8" w:rsidRPr="00100AAC">
        <w:rPr>
          <w:color w:val="000000"/>
        </w:rPr>
        <w:t>, D. C.,</w:t>
      </w:r>
      <w:r w:rsidRPr="00100AAC">
        <w:rPr>
          <w:color w:val="000000"/>
        </w:rPr>
        <w:t xml:space="preserve"> </w:t>
      </w:r>
      <w:r w:rsidR="00CA0AE8" w:rsidRPr="00100AAC">
        <w:rPr>
          <w:color w:val="000000"/>
        </w:rPr>
        <w:t xml:space="preserve">&amp; </w:t>
      </w:r>
      <w:r w:rsidRPr="00100AAC">
        <w:rPr>
          <w:color w:val="000000"/>
        </w:rPr>
        <w:t>Prusak</w:t>
      </w:r>
      <w:r w:rsidR="00CA0AE8" w:rsidRPr="00100AAC">
        <w:rPr>
          <w:color w:val="000000"/>
        </w:rPr>
        <w:t>, K. A</w:t>
      </w:r>
      <w:r w:rsidRPr="00100AAC">
        <w:rPr>
          <w:color w:val="000000"/>
        </w:rPr>
        <w:t xml:space="preserve">. (2021). Will </w:t>
      </w:r>
      <w:r w:rsidR="002F3EE9" w:rsidRPr="00100AAC">
        <w:rPr>
          <w:color w:val="000000"/>
        </w:rPr>
        <w:t>dodgeball ever die? Former K–12 students’ experiences and perceptions of playing dodgeball in PE class</w:t>
      </w:r>
      <w:r w:rsidRPr="00100AAC">
        <w:rPr>
          <w:color w:val="000000"/>
        </w:rPr>
        <w:t xml:space="preserve">. </w:t>
      </w:r>
      <w:r w:rsidRPr="00100AAC">
        <w:rPr>
          <w:i/>
          <w:iCs/>
          <w:color w:val="000000"/>
        </w:rPr>
        <w:t>The Physical Educator</w:t>
      </w:r>
      <w:r w:rsidRPr="00100AAC">
        <w:rPr>
          <w:color w:val="000000"/>
        </w:rPr>
        <w:t xml:space="preserve">, </w:t>
      </w:r>
      <w:r w:rsidRPr="00100AAC">
        <w:rPr>
          <w:i/>
          <w:iCs/>
          <w:color w:val="000000"/>
        </w:rPr>
        <w:t>78</w:t>
      </w:r>
      <w:r w:rsidRPr="00100AAC">
        <w:rPr>
          <w:color w:val="000000"/>
        </w:rPr>
        <w:t xml:space="preserve">, 315–332. </w:t>
      </w:r>
      <w:hyperlink r:id="rId9" w:history="1">
        <w:r w:rsidR="00314BA8" w:rsidRPr="00100AAC">
          <w:rPr>
            <w:rStyle w:val="Hyperlink"/>
          </w:rPr>
          <w:t>https://doi.org/10.18666/TPE-2021-V78-I3-10402</w:t>
        </w:r>
      </w:hyperlink>
      <w:r w:rsidR="00314BA8" w:rsidRPr="00100AAC">
        <w:rPr>
          <w:color w:val="000000"/>
        </w:rPr>
        <w:t xml:space="preserve"> </w:t>
      </w:r>
    </w:p>
    <w:p w14:paraId="57DD5121" w14:textId="6752B8EB" w:rsidR="003A5D56" w:rsidRPr="00100AAC" w:rsidRDefault="003A5D56" w:rsidP="009D3BFB">
      <w:pPr>
        <w:pStyle w:val="paragraph"/>
        <w:spacing w:line="480" w:lineRule="auto"/>
        <w:ind w:left="720" w:hanging="720"/>
        <w:jc w:val="both"/>
        <w:rPr>
          <w:color w:val="000000"/>
        </w:rPr>
      </w:pPr>
      <w:bookmarkStart w:id="15" w:name="_Hlk109977586"/>
      <w:r w:rsidRPr="00100AAC">
        <w:rPr>
          <w:color w:val="000000"/>
        </w:rPr>
        <w:t xml:space="preserve">Braun, V., &amp; Clarke, V. (2006). </w:t>
      </w:r>
      <w:bookmarkEnd w:id="15"/>
      <w:r w:rsidRPr="00100AAC">
        <w:rPr>
          <w:color w:val="000000"/>
        </w:rPr>
        <w:t xml:space="preserve">Using thematic analysis in psychology. </w:t>
      </w:r>
      <w:r w:rsidRPr="00100AAC">
        <w:rPr>
          <w:i/>
          <w:iCs/>
          <w:color w:val="000000"/>
        </w:rPr>
        <w:t>Qualitative Research in Psychology</w:t>
      </w:r>
      <w:r w:rsidRPr="00100AAC">
        <w:rPr>
          <w:color w:val="000000"/>
        </w:rPr>
        <w:t xml:space="preserve">, </w:t>
      </w:r>
      <w:r w:rsidRPr="00100AAC">
        <w:rPr>
          <w:i/>
          <w:iCs/>
          <w:color w:val="000000"/>
        </w:rPr>
        <w:t>3</w:t>
      </w:r>
      <w:r w:rsidRPr="00100AAC">
        <w:rPr>
          <w:color w:val="000000"/>
        </w:rPr>
        <w:t xml:space="preserve">(2), 77–101. </w:t>
      </w:r>
      <w:hyperlink r:id="rId10" w:tgtFrame="_blank" w:history="1">
        <w:r w:rsidR="00314BA8" w:rsidRPr="00100AAC">
          <w:rPr>
            <w:rStyle w:val="Hyperlink"/>
          </w:rPr>
          <w:t>https://doi.org/10.1191/1478088706qp063oa</w:t>
        </w:r>
      </w:hyperlink>
    </w:p>
    <w:p w14:paraId="73CFB03D" w14:textId="5F7C8524" w:rsidR="00F25DA4" w:rsidRPr="00100AAC" w:rsidRDefault="00F25DA4" w:rsidP="009D3BFB">
      <w:pPr>
        <w:pStyle w:val="paragraph"/>
        <w:spacing w:line="480" w:lineRule="auto"/>
        <w:ind w:left="720" w:hanging="720"/>
        <w:jc w:val="both"/>
        <w:rPr>
          <w:color w:val="000000"/>
        </w:rPr>
      </w:pPr>
      <w:r w:rsidRPr="00100AAC">
        <w:rPr>
          <w:color w:val="000000"/>
        </w:rPr>
        <w:lastRenderedPageBreak/>
        <w:t>Braun, V., &amp; Clarke, V. (2013</w:t>
      </w:r>
      <w:r w:rsidRPr="00100AAC">
        <w:rPr>
          <w:i/>
          <w:iCs/>
          <w:color w:val="000000"/>
        </w:rPr>
        <w:t>). Successful qualitative research: A practical guide for beginners</w:t>
      </w:r>
      <w:r w:rsidRPr="00100AAC">
        <w:rPr>
          <w:color w:val="000000"/>
        </w:rPr>
        <w:t>. Sage</w:t>
      </w:r>
    </w:p>
    <w:p w14:paraId="7081B8DE" w14:textId="21868A9D" w:rsidR="003A5D56" w:rsidRPr="00100AAC" w:rsidRDefault="003A5D56" w:rsidP="009D3BFB">
      <w:pPr>
        <w:pStyle w:val="paragraph"/>
        <w:spacing w:line="480" w:lineRule="auto"/>
        <w:ind w:left="720" w:hanging="720"/>
        <w:jc w:val="both"/>
        <w:rPr>
          <w:color w:val="000000"/>
        </w:rPr>
      </w:pPr>
      <w:r w:rsidRPr="00100AAC">
        <w:rPr>
          <w:color w:val="000000"/>
        </w:rPr>
        <w:t xml:space="preserve">Braun, V., &amp; Clarke, V. (2019). Reflecting on reflexive thematic analysis. </w:t>
      </w:r>
      <w:r w:rsidRPr="00100AAC">
        <w:rPr>
          <w:i/>
          <w:iCs/>
          <w:color w:val="000000"/>
        </w:rPr>
        <w:t>Qualitative Research in Sport, Exercise and Health</w:t>
      </w:r>
      <w:r w:rsidRPr="00100AAC">
        <w:rPr>
          <w:color w:val="000000"/>
        </w:rPr>
        <w:t xml:space="preserve">, </w:t>
      </w:r>
      <w:r w:rsidRPr="00100AAC">
        <w:rPr>
          <w:i/>
          <w:iCs/>
          <w:color w:val="000000"/>
        </w:rPr>
        <w:t>11</w:t>
      </w:r>
      <w:r w:rsidRPr="00100AAC">
        <w:rPr>
          <w:color w:val="000000"/>
        </w:rPr>
        <w:t xml:space="preserve">(4), 589–597. </w:t>
      </w:r>
      <w:hyperlink r:id="rId11" w:history="1">
        <w:r w:rsidR="00314BA8" w:rsidRPr="00100AAC">
          <w:rPr>
            <w:rStyle w:val="Hyperlink"/>
          </w:rPr>
          <w:t>https://doi.org/10.1080/2159676X.2019.1628806</w:t>
        </w:r>
      </w:hyperlink>
      <w:r w:rsidR="00314BA8" w:rsidRPr="00100AAC">
        <w:rPr>
          <w:color w:val="000000"/>
        </w:rPr>
        <w:t xml:space="preserve"> </w:t>
      </w:r>
    </w:p>
    <w:p w14:paraId="4A4FAB89" w14:textId="5107F236" w:rsidR="003A5D56" w:rsidRPr="00100AAC" w:rsidRDefault="003A5D56" w:rsidP="009D3BFB">
      <w:pPr>
        <w:pStyle w:val="paragraph"/>
        <w:spacing w:line="480" w:lineRule="auto"/>
        <w:ind w:left="720" w:hanging="720"/>
        <w:jc w:val="both"/>
        <w:rPr>
          <w:color w:val="000000"/>
        </w:rPr>
      </w:pPr>
      <w:bookmarkStart w:id="16" w:name="_Hlk125116595"/>
      <w:r w:rsidRPr="00100AAC">
        <w:rPr>
          <w:color w:val="000000"/>
        </w:rPr>
        <w:t xml:space="preserve">Braun, V., &amp; Clarke, V. (2022). </w:t>
      </w:r>
      <w:bookmarkEnd w:id="16"/>
      <w:r w:rsidRPr="00100AAC">
        <w:rPr>
          <w:i/>
          <w:iCs/>
          <w:color w:val="000000"/>
        </w:rPr>
        <w:t>Thematic analysis: A practical guide</w:t>
      </w:r>
      <w:r w:rsidRPr="00100AAC">
        <w:rPr>
          <w:color w:val="000000"/>
        </w:rPr>
        <w:t xml:space="preserve">. Sage. </w:t>
      </w:r>
    </w:p>
    <w:p w14:paraId="38E3E0A1" w14:textId="66D92D72" w:rsidR="00066191" w:rsidRPr="00100AAC" w:rsidRDefault="00066191" w:rsidP="00314BA8">
      <w:pPr>
        <w:pStyle w:val="paragraph"/>
        <w:spacing w:line="480" w:lineRule="auto"/>
        <w:ind w:left="720" w:hanging="720"/>
        <w:rPr>
          <w:color w:val="000000"/>
        </w:rPr>
      </w:pPr>
      <w:r w:rsidRPr="00100AAC">
        <w:rPr>
          <w:color w:val="000000"/>
        </w:rPr>
        <w:t>Braun, V., &amp; Clarke, V. (2023). Is thematic analysis used well in health psychology? A critical review of published research, with recommendations for quality practice and reporting. </w:t>
      </w:r>
      <w:r w:rsidRPr="00100AAC">
        <w:rPr>
          <w:i/>
          <w:iCs/>
          <w:color w:val="000000"/>
        </w:rPr>
        <w:t>Health Psychology</w:t>
      </w:r>
      <w:r w:rsidR="00314BA8" w:rsidRPr="00100AAC">
        <w:rPr>
          <w:i/>
          <w:iCs/>
          <w:color w:val="000000"/>
        </w:rPr>
        <w:t xml:space="preserve"> </w:t>
      </w:r>
      <w:r w:rsidRPr="00100AAC">
        <w:rPr>
          <w:i/>
          <w:iCs/>
          <w:color w:val="000000"/>
        </w:rPr>
        <w:t>Review</w:t>
      </w:r>
      <w:r w:rsidRPr="00100AAC">
        <w:rPr>
          <w:color w:val="000000"/>
        </w:rPr>
        <w:t>. </w:t>
      </w:r>
      <w:hyperlink r:id="rId12" w:history="1">
        <w:r w:rsidR="00314BA8" w:rsidRPr="00100AAC">
          <w:rPr>
            <w:rStyle w:val="Hyperlink"/>
          </w:rPr>
          <w:t>https://doi.org/10.1080/17437199.2022.2161594</w:t>
        </w:r>
      </w:hyperlink>
      <w:r w:rsidR="00314BA8" w:rsidRPr="00100AAC">
        <w:rPr>
          <w:color w:val="000000"/>
        </w:rPr>
        <w:t xml:space="preserve"> </w:t>
      </w:r>
    </w:p>
    <w:p w14:paraId="7C19B934" w14:textId="13CC3ED4" w:rsidR="005D3F18" w:rsidRPr="00100AAC" w:rsidRDefault="005D3F18" w:rsidP="009D3BFB">
      <w:pPr>
        <w:pStyle w:val="paragraph"/>
        <w:spacing w:line="480" w:lineRule="auto"/>
        <w:ind w:left="720" w:hanging="720"/>
        <w:jc w:val="both"/>
        <w:rPr>
          <w:color w:val="000000"/>
        </w:rPr>
      </w:pPr>
      <w:r w:rsidRPr="00100AAC">
        <w:rPr>
          <w:color w:val="000000"/>
        </w:rPr>
        <w:t xml:space="preserve">Braun, V., Clarke, V., Boulton, E., Davey, L., &amp; McEvoy, C. (2021). The online survey as a qualitative research tool. </w:t>
      </w:r>
      <w:r w:rsidRPr="00100AAC">
        <w:rPr>
          <w:i/>
          <w:iCs/>
          <w:color w:val="000000"/>
        </w:rPr>
        <w:t>International Journal of Social Research Methodology</w:t>
      </w:r>
      <w:r w:rsidRPr="00100AAC">
        <w:rPr>
          <w:color w:val="000000"/>
        </w:rPr>
        <w:t xml:space="preserve">, </w:t>
      </w:r>
      <w:r w:rsidRPr="00100AAC">
        <w:rPr>
          <w:i/>
          <w:iCs/>
          <w:color w:val="000000"/>
        </w:rPr>
        <w:t>24</w:t>
      </w:r>
      <w:r w:rsidR="004200B1" w:rsidRPr="00100AAC">
        <w:rPr>
          <w:color w:val="000000"/>
        </w:rPr>
        <w:t>(</w:t>
      </w:r>
      <w:r w:rsidRPr="00100AAC">
        <w:rPr>
          <w:color w:val="000000"/>
        </w:rPr>
        <w:t>6</w:t>
      </w:r>
      <w:r w:rsidR="004200B1" w:rsidRPr="00100AAC">
        <w:rPr>
          <w:color w:val="000000"/>
        </w:rPr>
        <w:t>)</w:t>
      </w:r>
      <w:r w:rsidRPr="00100AAC">
        <w:rPr>
          <w:color w:val="000000"/>
        </w:rPr>
        <w:t>, 641-654</w:t>
      </w:r>
      <w:r w:rsidR="004200B1" w:rsidRPr="00100AAC">
        <w:rPr>
          <w:color w:val="000000"/>
        </w:rPr>
        <w:t>.</w:t>
      </w:r>
      <w:r w:rsidRPr="00100AAC">
        <w:rPr>
          <w:color w:val="000000"/>
        </w:rPr>
        <w:t xml:space="preserve"> </w:t>
      </w:r>
      <w:hyperlink r:id="rId13" w:history="1">
        <w:r w:rsidR="00314BA8" w:rsidRPr="00100AAC">
          <w:rPr>
            <w:rStyle w:val="Hyperlink"/>
          </w:rPr>
          <w:t>https://doi.org/10.1080/13645579.2020.1805550</w:t>
        </w:r>
      </w:hyperlink>
      <w:r w:rsidR="00314BA8" w:rsidRPr="00100AAC">
        <w:rPr>
          <w:color w:val="000000"/>
        </w:rPr>
        <w:t xml:space="preserve"> </w:t>
      </w:r>
    </w:p>
    <w:p w14:paraId="3026EC0E" w14:textId="5B560D1F" w:rsidR="000129B3" w:rsidRPr="00100AAC" w:rsidRDefault="000129B3" w:rsidP="009D3BFB">
      <w:pPr>
        <w:pStyle w:val="paragraph"/>
        <w:spacing w:line="480" w:lineRule="auto"/>
        <w:ind w:left="720" w:hanging="720"/>
        <w:jc w:val="both"/>
        <w:rPr>
          <w:color w:val="000000"/>
        </w:rPr>
      </w:pPr>
      <w:r w:rsidRPr="00100AAC">
        <w:rPr>
          <w:color w:val="000000"/>
        </w:rPr>
        <w:t>British Dodgeball</w:t>
      </w:r>
      <w:r w:rsidR="00CD7BD3" w:rsidRPr="00100AAC">
        <w:rPr>
          <w:color w:val="000000"/>
        </w:rPr>
        <w:t>.</w:t>
      </w:r>
      <w:r w:rsidRPr="00100AAC">
        <w:rPr>
          <w:color w:val="000000"/>
        </w:rPr>
        <w:t xml:space="preserve"> (2019)</w:t>
      </w:r>
      <w:r w:rsidR="00CD7BD3" w:rsidRPr="00100AAC">
        <w:rPr>
          <w:color w:val="000000"/>
        </w:rPr>
        <w:t xml:space="preserve">. </w:t>
      </w:r>
      <w:r w:rsidR="00CD7BD3" w:rsidRPr="00100AAC">
        <w:rPr>
          <w:i/>
          <w:iCs/>
          <w:color w:val="000000"/>
        </w:rPr>
        <w:t>Dodgeball status report 2019</w:t>
      </w:r>
      <w:r w:rsidR="00CD7BD3" w:rsidRPr="00100AAC">
        <w:rPr>
          <w:color w:val="000000"/>
        </w:rPr>
        <w:t xml:space="preserve">. </w:t>
      </w:r>
      <w:r w:rsidR="00EA6B86" w:rsidRPr="00100AAC">
        <w:rPr>
          <w:color w:val="000000"/>
        </w:rPr>
        <w:t>Huddersfield</w:t>
      </w:r>
      <w:r w:rsidR="00CD7BD3" w:rsidRPr="00100AAC">
        <w:rPr>
          <w:color w:val="000000"/>
        </w:rPr>
        <w:t xml:space="preserve">. </w:t>
      </w:r>
    </w:p>
    <w:p w14:paraId="5D127C3D" w14:textId="17259EE1" w:rsidR="00CD7BD3" w:rsidRPr="00100AAC" w:rsidRDefault="00CD7BD3" w:rsidP="009D3BFB">
      <w:pPr>
        <w:pStyle w:val="paragraph"/>
        <w:spacing w:line="480" w:lineRule="auto"/>
        <w:ind w:left="720" w:hanging="720"/>
        <w:jc w:val="both"/>
        <w:rPr>
          <w:color w:val="000000"/>
        </w:rPr>
      </w:pPr>
      <w:r w:rsidRPr="00100AAC">
        <w:rPr>
          <w:color w:val="000000"/>
        </w:rPr>
        <w:t>British Dodgeball (2022a)</w:t>
      </w:r>
      <w:r w:rsidR="00D67D4D" w:rsidRPr="00100AAC">
        <w:rPr>
          <w:color w:val="000000"/>
        </w:rPr>
        <w:t xml:space="preserve">. </w:t>
      </w:r>
      <w:r w:rsidR="00D67D4D" w:rsidRPr="00100AAC">
        <w:rPr>
          <w:i/>
          <w:iCs/>
          <w:color w:val="000000"/>
        </w:rPr>
        <w:t>The dodgeball survey 2022 report</w:t>
      </w:r>
      <w:r w:rsidR="00D67D4D" w:rsidRPr="00100AAC">
        <w:rPr>
          <w:color w:val="000000"/>
        </w:rPr>
        <w:t xml:space="preserve">. Available at: </w:t>
      </w:r>
      <w:hyperlink r:id="rId14" w:history="1">
        <w:r w:rsidR="00D67D4D" w:rsidRPr="00100AAC">
          <w:rPr>
            <w:rStyle w:val="Hyperlink"/>
          </w:rPr>
          <w:t>https://www.britishdodgeball.org/wp-content/uploads/2022/04/The-Dodgeball-Survey-2022-Report.pdf</w:t>
        </w:r>
      </w:hyperlink>
      <w:r w:rsidR="00D67D4D" w:rsidRPr="00100AAC">
        <w:rPr>
          <w:color w:val="000000"/>
        </w:rPr>
        <w:t>, accessed July 14</w:t>
      </w:r>
      <w:r w:rsidR="00D67D4D" w:rsidRPr="00100AAC">
        <w:rPr>
          <w:color w:val="000000"/>
          <w:vertAlign w:val="superscript"/>
        </w:rPr>
        <w:t>th</w:t>
      </w:r>
      <w:r w:rsidR="00D67D4D" w:rsidRPr="00100AAC">
        <w:rPr>
          <w:color w:val="000000"/>
        </w:rPr>
        <w:t xml:space="preserve">, 2022. </w:t>
      </w:r>
    </w:p>
    <w:p w14:paraId="1CC401C1" w14:textId="2A51E04E" w:rsidR="00CD7BD3" w:rsidRPr="00100AAC" w:rsidRDefault="00CD7BD3" w:rsidP="009D3BFB">
      <w:pPr>
        <w:pStyle w:val="paragraph"/>
        <w:spacing w:line="480" w:lineRule="auto"/>
        <w:ind w:left="720" w:hanging="720"/>
        <w:jc w:val="both"/>
        <w:rPr>
          <w:color w:val="000000"/>
        </w:rPr>
      </w:pPr>
      <w:r w:rsidRPr="00100AAC">
        <w:rPr>
          <w:color w:val="000000"/>
        </w:rPr>
        <w:t>British Dodgeball (2022b).</w:t>
      </w:r>
      <w:r w:rsidR="00D67D4D" w:rsidRPr="00100AAC">
        <w:rPr>
          <w:color w:val="000000"/>
        </w:rPr>
        <w:t xml:space="preserve"> </w:t>
      </w:r>
      <w:r w:rsidR="00D67D4D" w:rsidRPr="00100AAC">
        <w:rPr>
          <w:i/>
          <w:iCs/>
          <w:color w:val="000000"/>
        </w:rPr>
        <w:t>Coach education pathway.</w:t>
      </w:r>
      <w:r w:rsidR="00D67D4D" w:rsidRPr="00100AAC">
        <w:rPr>
          <w:color w:val="000000"/>
        </w:rPr>
        <w:t xml:space="preserve"> Available at: </w:t>
      </w:r>
      <w:hyperlink r:id="rId15" w:history="1">
        <w:r w:rsidR="00D67D4D" w:rsidRPr="00100AAC">
          <w:rPr>
            <w:rStyle w:val="Hyperlink"/>
          </w:rPr>
          <w:t>https://www.britishdodgeball.org/wp-content/uploads/2021/03/British-Dodgeball-Coach-Education-Pathway.pdf</w:t>
        </w:r>
      </w:hyperlink>
      <w:r w:rsidR="00D67D4D" w:rsidRPr="00100AAC">
        <w:rPr>
          <w:color w:val="000000"/>
        </w:rPr>
        <w:t>, accessed July 14</w:t>
      </w:r>
      <w:r w:rsidR="00D67D4D" w:rsidRPr="00100AAC">
        <w:rPr>
          <w:color w:val="000000"/>
          <w:vertAlign w:val="superscript"/>
        </w:rPr>
        <w:t>th</w:t>
      </w:r>
      <w:r w:rsidR="00D67D4D" w:rsidRPr="00100AAC">
        <w:rPr>
          <w:color w:val="000000"/>
        </w:rPr>
        <w:t>, 2022.</w:t>
      </w:r>
    </w:p>
    <w:p w14:paraId="65E55DE6" w14:textId="389E0B32" w:rsidR="00CD7BD3" w:rsidRPr="00100AAC" w:rsidRDefault="00CD7BD3" w:rsidP="009D3BFB">
      <w:pPr>
        <w:pStyle w:val="paragraph"/>
        <w:spacing w:line="480" w:lineRule="auto"/>
        <w:ind w:left="720" w:hanging="720"/>
        <w:jc w:val="both"/>
        <w:rPr>
          <w:color w:val="000000"/>
        </w:rPr>
      </w:pPr>
      <w:r w:rsidRPr="00100AAC">
        <w:rPr>
          <w:color w:val="000000"/>
        </w:rPr>
        <w:lastRenderedPageBreak/>
        <w:t xml:space="preserve">British Dodgeball (2022c). </w:t>
      </w:r>
      <w:r w:rsidR="007270B1" w:rsidRPr="00100AAC">
        <w:rPr>
          <w:i/>
          <w:iCs/>
          <w:color w:val="000000"/>
        </w:rPr>
        <w:t>Level 1 award in coaching dodgeball</w:t>
      </w:r>
      <w:r w:rsidR="007270B1" w:rsidRPr="00100AAC">
        <w:rPr>
          <w:color w:val="000000"/>
        </w:rPr>
        <w:t xml:space="preserve">. Available at: </w:t>
      </w:r>
      <w:hyperlink r:id="rId16" w:history="1">
        <w:r w:rsidR="007270B1" w:rsidRPr="00100AAC">
          <w:rPr>
            <w:rStyle w:val="Hyperlink"/>
          </w:rPr>
          <w:t>https://www.britishdodgeball.org/product/level-1-award-in-coaching-dodgeball/</w:t>
        </w:r>
      </w:hyperlink>
      <w:r w:rsidR="007270B1" w:rsidRPr="00100AAC">
        <w:rPr>
          <w:color w:val="000000"/>
        </w:rPr>
        <w:t>, accessed July 14</w:t>
      </w:r>
      <w:r w:rsidR="007270B1" w:rsidRPr="00100AAC">
        <w:rPr>
          <w:color w:val="000000"/>
          <w:vertAlign w:val="superscript"/>
        </w:rPr>
        <w:t>th</w:t>
      </w:r>
      <w:r w:rsidR="007270B1" w:rsidRPr="00100AAC">
        <w:rPr>
          <w:color w:val="000000"/>
        </w:rPr>
        <w:t xml:space="preserve">, 2022. </w:t>
      </w:r>
    </w:p>
    <w:p w14:paraId="22205F3F" w14:textId="6A245E73" w:rsidR="001372A6" w:rsidRPr="00100AAC" w:rsidRDefault="001372A6" w:rsidP="009D3BFB">
      <w:pPr>
        <w:pStyle w:val="paragraph"/>
        <w:spacing w:line="480" w:lineRule="auto"/>
        <w:ind w:left="720" w:hanging="720"/>
        <w:jc w:val="both"/>
        <w:rPr>
          <w:color w:val="000000"/>
        </w:rPr>
      </w:pPr>
      <w:r w:rsidRPr="00100AAC">
        <w:rPr>
          <w:color w:val="000000"/>
        </w:rPr>
        <w:t xml:space="preserve">Bruner, J. (1999). Folk pedagogies. In B. Leach &amp; B. Moon (Eds.), </w:t>
      </w:r>
      <w:r w:rsidRPr="00100AAC">
        <w:rPr>
          <w:i/>
          <w:iCs/>
          <w:color w:val="000000"/>
        </w:rPr>
        <w:t xml:space="preserve">Learners and pedagogy </w:t>
      </w:r>
      <w:r w:rsidRPr="00100AAC">
        <w:rPr>
          <w:color w:val="000000"/>
        </w:rPr>
        <w:t>(pp. 4–20). Open University Press.</w:t>
      </w:r>
    </w:p>
    <w:p w14:paraId="75457512" w14:textId="4599F2D5" w:rsidR="00203A76" w:rsidRPr="00100AAC" w:rsidRDefault="00203A76" w:rsidP="009D3BFB">
      <w:pPr>
        <w:pStyle w:val="paragraph"/>
        <w:spacing w:line="480" w:lineRule="auto"/>
        <w:ind w:left="720" w:hanging="720"/>
        <w:jc w:val="both"/>
        <w:rPr>
          <w:color w:val="000000"/>
        </w:rPr>
      </w:pPr>
      <w:r w:rsidRPr="00100AAC">
        <w:rPr>
          <w:color w:val="000000"/>
        </w:rPr>
        <w:t>Butler, J., Burns, D. P., &amp; Robson, C. (2021). Dodgeball: Inadvertently teaching oppression in physical and health education. </w:t>
      </w:r>
      <w:r w:rsidRPr="00100AAC">
        <w:rPr>
          <w:i/>
          <w:iCs/>
          <w:color w:val="000000"/>
        </w:rPr>
        <w:t>European Physical Education Review</w:t>
      </w:r>
      <w:r w:rsidRPr="00100AAC">
        <w:rPr>
          <w:color w:val="000000"/>
        </w:rPr>
        <w:t>, </w:t>
      </w:r>
      <w:r w:rsidRPr="00100AAC">
        <w:rPr>
          <w:i/>
          <w:iCs/>
          <w:color w:val="000000"/>
        </w:rPr>
        <w:t>27</w:t>
      </w:r>
      <w:r w:rsidRPr="00100AAC">
        <w:rPr>
          <w:color w:val="000000"/>
        </w:rPr>
        <w:t>(1),</w:t>
      </w:r>
      <w:r w:rsidR="002F3EE9" w:rsidRPr="00100AAC">
        <w:rPr>
          <w:color w:val="000000"/>
        </w:rPr>
        <w:t xml:space="preserve"> </w:t>
      </w:r>
      <w:r w:rsidRPr="00100AAC">
        <w:rPr>
          <w:color w:val="000000"/>
        </w:rPr>
        <w:t>27–40. </w:t>
      </w:r>
      <w:hyperlink r:id="rId17" w:history="1">
        <w:r w:rsidR="00314BA8" w:rsidRPr="00100AAC">
          <w:rPr>
            <w:rStyle w:val="Hyperlink"/>
          </w:rPr>
          <w:t>https://doi.org/10.1177/1356336X20915936</w:t>
        </w:r>
      </w:hyperlink>
      <w:r w:rsidR="00314BA8" w:rsidRPr="00100AAC">
        <w:rPr>
          <w:color w:val="000000"/>
        </w:rPr>
        <w:t xml:space="preserve"> </w:t>
      </w:r>
    </w:p>
    <w:p w14:paraId="10DACF06" w14:textId="70E146F9" w:rsidR="00357F89" w:rsidRPr="00100AAC" w:rsidRDefault="00357F89" w:rsidP="009D3BFB">
      <w:pPr>
        <w:pStyle w:val="paragraph"/>
        <w:spacing w:line="480" w:lineRule="auto"/>
        <w:ind w:left="720" w:hanging="720"/>
        <w:jc w:val="both"/>
        <w:rPr>
          <w:color w:val="000000"/>
        </w:rPr>
      </w:pPr>
      <w:r w:rsidRPr="00100AAC">
        <w:rPr>
          <w:color w:val="000000"/>
        </w:rPr>
        <w:t xml:space="preserve">Callary, B., Brady, A., Kiosoglous, C., Clewer, P., Resende, R., Mehrtens, T., Wilkie, M., &amp; Horvath, R. (2020). Making </w:t>
      </w:r>
      <w:r w:rsidR="00671921" w:rsidRPr="00100AAC">
        <w:rPr>
          <w:color w:val="000000"/>
        </w:rPr>
        <w:t xml:space="preserve">sense of coach development worldwide during the </w:t>
      </w:r>
      <w:r w:rsidRPr="00100AAC">
        <w:rPr>
          <w:color w:val="000000"/>
        </w:rPr>
        <w:t xml:space="preserve">COVID-19 </w:t>
      </w:r>
      <w:r w:rsidR="00671921" w:rsidRPr="00100AAC">
        <w:rPr>
          <w:color w:val="000000"/>
        </w:rPr>
        <w:t>p</w:t>
      </w:r>
      <w:r w:rsidRPr="00100AAC">
        <w:rPr>
          <w:color w:val="000000"/>
        </w:rPr>
        <w:t>andemic</w:t>
      </w:r>
      <w:r w:rsidR="00671921" w:rsidRPr="00100AAC">
        <w:rPr>
          <w:color w:val="000000"/>
        </w:rPr>
        <w:t>.</w:t>
      </w:r>
      <w:r w:rsidRPr="00100AAC">
        <w:rPr>
          <w:color w:val="000000"/>
        </w:rPr>
        <w:t> </w:t>
      </w:r>
      <w:r w:rsidRPr="00100AAC">
        <w:rPr>
          <w:i/>
          <w:iCs/>
          <w:color w:val="000000"/>
        </w:rPr>
        <w:t>International Journal of Sport Communication</w:t>
      </w:r>
      <w:r w:rsidRPr="00100AAC">
        <w:rPr>
          <w:color w:val="000000"/>
        </w:rPr>
        <w:t>, </w:t>
      </w:r>
      <w:r w:rsidRPr="00100AAC">
        <w:rPr>
          <w:i/>
          <w:iCs/>
          <w:color w:val="000000"/>
        </w:rPr>
        <w:t>13</w:t>
      </w:r>
      <w:r w:rsidRPr="00100AAC">
        <w:rPr>
          <w:color w:val="000000"/>
        </w:rPr>
        <w:t>(3), 575</w:t>
      </w:r>
      <w:r w:rsidR="002F3EE9" w:rsidRPr="00100AAC">
        <w:rPr>
          <w:color w:val="000000"/>
        </w:rPr>
        <w:t>–</w:t>
      </w:r>
      <w:r w:rsidRPr="00100AAC">
        <w:rPr>
          <w:color w:val="000000"/>
        </w:rPr>
        <w:t xml:space="preserve">585. </w:t>
      </w:r>
      <w:hyperlink r:id="rId18" w:history="1">
        <w:r w:rsidR="00314BA8" w:rsidRPr="00100AAC">
          <w:rPr>
            <w:rStyle w:val="Hyperlink"/>
          </w:rPr>
          <w:t>https://doi.org/10.1123/ijsc.2020-0221</w:t>
        </w:r>
      </w:hyperlink>
      <w:r w:rsidR="00314BA8" w:rsidRPr="00100AAC">
        <w:rPr>
          <w:color w:val="000000"/>
        </w:rPr>
        <w:t xml:space="preserve"> </w:t>
      </w:r>
    </w:p>
    <w:p w14:paraId="729DC3D1" w14:textId="588C98A6" w:rsidR="00357F89" w:rsidRPr="00100AAC" w:rsidRDefault="00357F89" w:rsidP="009D3BFB">
      <w:pPr>
        <w:pStyle w:val="paragraph"/>
        <w:spacing w:line="480" w:lineRule="auto"/>
        <w:ind w:left="720" w:hanging="720"/>
        <w:jc w:val="both"/>
        <w:rPr>
          <w:color w:val="000000"/>
        </w:rPr>
      </w:pPr>
      <w:r w:rsidRPr="00100AAC">
        <w:rPr>
          <w:color w:val="000000"/>
        </w:rPr>
        <w:t xml:space="preserve">Conole, G. </w:t>
      </w:r>
      <w:r w:rsidR="002F3EE9" w:rsidRPr="00100AAC">
        <w:rPr>
          <w:color w:val="000000"/>
        </w:rPr>
        <w:t>(</w:t>
      </w:r>
      <w:r w:rsidRPr="00100AAC">
        <w:rPr>
          <w:color w:val="000000"/>
        </w:rPr>
        <w:t>2016</w:t>
      </w:r>
      <w:r w:rsidR="002F3EE9" w:rsidRPr="00100AAC">
        <w:rPr>
          <w:color w:val="000000"/>
        </w:rPr>
        <w:t>)</w:t>
      </w:r>
      <w:r w:rsidRPr="00100AAC">
        <w:rPr>
          <w:color w:val="000000"/>
        </w:rPr>
        <w:t xml:space="preserve">. MOOCS as </w:t>
      </w:r>
      <w:r w:rsidR="002F3EE9" w:rsidRPr="00100AAC">
        <w:rPr>
          <w:color w:val="000000"/>
        </w:rPr>
        <w:t xml:space="preserve">disruptive technologies: Strategies for enhancing the learner experience and quality of </w:t>
      </w:r>
      <w:r w:rsidRPr="00100AAC">
        <w:rPr>
          <w:color w:val="000000"/>
        </w:rPr>
        <w:t xml:space="preserve">MOOCs. </w:t>
      </w:r>
      <w:r w:rsidRPr="00100AAC">
        <w:rPr>
          <w:i/>
          <w:iCs/>
          <w:color w:val="000000"/>
        </w:rPr>
        <w:t>RED: Revista de Educacion a Distancia</w:t>
      </w:r>
      <w:r w:rsidR="002F3EE9" w:rsidRPr="00100AAC">
        <w:rPr>
          <w:color w:val="000000"/>
        </w:rPr>
        <w:t xml:space="preserve">, </w:t>
      </w:r>
      <w:r w:rsidRPr="00100AAC">
        <w:rPr>
          <w:i/>
          <w:iCs/>
          <w:color w:val="000000"/>
        </w:rPr>
        <w:t>50</w:t>
      </w:r>
      <w:r w:rsidR="002F3EE9" w:rsidRPr="00100AAC">
        <w:rPr>
          <w:color w:val="000000"/>
        </w:rPr>
        <w:t xml:space="preserve">(2), </w:t>
      </w:r>
      <w:r w:rsidRPr="00100AAC">
        <w:rPr>
          <w:color w:val="000000"/>
        </w:rPr>
        <w:t>1</w:t>
      </w:r>
      <w:bookmarkStart w:id="17" w:name="_Hlk109831060"/>
      <w:r w:rsidRPr="00100AAC">
        <w:rPr>
          <w:color w:val="000000"/>
        </w:rPr>
        <w:t>–</w:t>
      </w:r>
      <w:bookmarkEnd w:id="17"/>
      <w:r w:rsidRPr="00100AAC">
        <w:rPr>
          <w:color w:val="000000"/>
        </w:rPr>
        <w:t>18.</w:t>
      </w:r>
      <w:r w:rsidR="002F3EE9" w:rsidRPr="00100AAC">
        <w:rPr>
          <w:color w:val="000000"/>
        </w:rPr>
        <w:t xml:space="preserve"> </w:t>
      </w:r>
      <w:hyperlink r:id="rId19" w:history="1">
        <w:r w:rsidR="00314BA8" w:rsidRPr="00100AAC">
          <w:rPr>
            <w:rStyle w:val="Hyperlink"/>
          </w:rPr>
          <w:t>http://dx.doi.org/10.6018/red/50/2</w:t>
        </w:r>
      </w:hyperlink>
      <w:r w:rsidR="00314BA8" w:rsidRPr="00100AAC">
        <w:rPr>
          <w:color w:val="000000"/>
        </w:rPr>
        <w:t xml:space="preserve"> </w:t>
      </w:r>
    </w:p>
    <w:p w14:paraId="10BB3DCB" w14:textId="60153467" w:rsidR="00B96FF7" w:rsidRPr="00100AAC" w:rsidRDefault="00B96FF7" w:rsidP="009D3BFB">
      <w:pPr>
        <w:pStyle w:val="paragraph"/>
        <w:spacing w:line="480" w:lineRule="auto"/>
        <w:ind w:left="720" w:hanging="720"/>
        <w:jc w:val="both"/>
        <w:rPr>
          <w:color w:val="000000"/>
        </w:rPr>
      </w:pPr>
      <w:r w:rsidRPr="00100AAC">
        <w:rPr>
          <w:color w:val="000000"/>
        </w:rPr>
        <w:t xml:space="preserve">Creswell, J.W. (2013). </w:t>
      </w:r>
      <w:r w:rsidRPr="00100AAC">
        <w:rPr>
          <w:i/>
          <w:iCs/>
          <w:color w:val="000000"/>
        </w:rPr>
        <w:t>Qualitative inquiry and research design</w:t>
      </w:r>
      <w:r w:rsidRPr="00100AAC">
        <w:rPr>
          <w:color w:val="000000"/>
        </w:rPr>
        <w:t xml:space="preserve"> (3rd ed.). Sage.</w:t>
      </w:r>
    </w:p>
    <w:p w14:paraId="1030A2D2" w14:textId="0F14154E" w:rsidR="00F35D0A" w:rsidRPr="00100AAC" w:rsidRDefault="00F35D0A" w:rsidP="009D3BFB">
      <w:pPr>
        <w:pStyle w:val="paragraph"/>
        <w:spacing w:line="480" w:lineRule="auto"/>
        <w:ind w:left="720" w:hanging="720"/>
        <w:jc w:val="both"/>
        <w:rPr>
          <w:color w:val="000000"/>
        </w:rPr>
      </w:pPr>
      <w:r w:rsidRPr="00100AAC">
        <w:rPr>
          <w:color w:val="000000"/>
        </w:rPr>
        <w:t xml:space="preserve">Crudgington, B. (2020). Authentic e-learning: Using an educational design research approach to develop a hybrid coach education program. In B. Callary &amp; B. Gearity (Eds.), </w:t>
      </w:r>
      <w:r w:rsidRPr="00100AAC">
        <w:rPr>
          <w:i/>
          <w:iCs/>
          <w:color w:val="000000"/>
        </w:rPr>
        <w:t>Coach education and development in sport: Instruction</w:t>
      </w:r>
      <w:r w:rsidR="002F3EE9" w:rsidRPr="00100AAC">
        <w:rPr>
          <w:i/>
          <w:iCs/>
          <w:color w:val="000000"/>
        </w:rPr>
        <w:t>al</w:t>
      </w:r>
      <w:r w:rsidRPr="00100AAC">
        <w:rPr>
          <w:i/>
          <w:iCs/>
          <w:color w:val="000000"/>
        </w:rPr>
        <w:t xml:space="preserve"> strategies</w:t>
      </w:r>
      <w:r w:rsidRPr="00100AAC">
        <w:rPr>
          <w:color w:val="000000"/>
        </w:rPr>
        <w:t xml:space="preserve"> (pp. 178</w:t>
      </w:r>
      <w:r w:rsidR="002F3EE9" w:rsidRPr="00100AAC">
        <w:rPr>
          <w:color w:val="000000"/>
        </w:rPr>
        <w:t>–</w:t>
      </w:r>
      <w:r w:rsidRPr="00100AAC">
        <w:rPr>
          <w:color w:val="000000"/>
        </w:rPr>
        <w:t xml:space="preserve">189). Routledge. </w:t>
      </w:r>
    </w:p>
    <w:p w14:paraId="4DA299A2" w14:textId="4F5CE171" w:rsidR="001319AC" w:rsidRPr="00100AAC" w:rsidRDefault="001319AC" w:rsidP="009D3BFB">
      <w:pPr>
        <w:pStyle w:val="paragraph"/>
        <w:spacing w:line="480" w:lineRule="auto"/>
        <w:ind w:left="720" w:hanging="720"/>
        <w:jc w:val="both"/>
        <w:rPr>
          <w:color w:val="000000"/>
        </w:rPr>
      </w:pPr>
      <w:r w:rsidRPr="00100AAC">
        <w:rPr>
          <w:color w:val="000000"/>
        </w:rPr>
        <w:t xml:space="preserve">Culver, D. M., Werthner, P., &amp; Trudel, P. (2019). Coach </w:t>
      </w:r>
      <w:r w:rsidR="002F3EE9" w:rsidRPr="00100AAC">
        <w:rPr>
          <w:color w:val="000000"/>
        </w:rPr>
        <w:t xml:space="preserve">developers as ‘facilitators of learning’ in a large-scale coach education programme: One actor in a complex </w:t>
      </w:r>
      <w:r w:rsidR="002F3EE9" w:rsidRPr="00100AAC">
        <w:rPr>
          <w:color w:val="000000"/>
        </w:rPr>
        <w:lastRenderedPageBreak/>
        <w:t>system.</w:t>
      </w:r>
      <w:r w:rsidRPr="00100AAC">
        <w:rPr>
          <w:color w:val="000000"/>
        </w:rPr>
        <w:t> </w:t>
      </w:r>
      <w:r w:rsidRPr="00100AAC">
        <w:rPr>
          <w:i/>
          <w:iCs/>
          <w:color w:val="000000"/>
        </w:rPr>
        <w:t>International Sport Coaching Journal</w:t>
      </w:r>
      <w:r w:rsidRPr="00100AAC">
        <w:rPr>
          <w:color w:val="000000"/>
        </w:rPr>
        <w:t>, </w:t>
      </w:r>
      <w:r w:rsidRPr="00100AAC">
        <w:rPr>
          <w:i/>
          <w:iCs/>
          <w:color w:val="000000"/>
        </w:rPr>
        <w:t>6</w:t>
      </w:r>
      <w:r w:rsidRPr="00100AAC">
        <w:rPr>
          <w:color w:val="000000"/>
        </w:rPr>
        <w:t>(3), 296</w:t>
      </w:r>
      <w:r w:rsidR="002F3EE9" w:rsidRPr="00100AAC">
        <w:rPr>
          <w:color w:val="000000"/>
        </w:rPr>
        <w:t>–</w:t>
      </w:r>
      <w:r w:rsidRPr="00100AAC">
        <w:rPr>
          <w:color w:val="000000"/>
        </w:rPr>
        <w:t>306.</w:t>
      </w:r>
      <w:r w:rsidRPr="00100AAC">
        <w:t xml:space="preserve"> </w:t>
      </w:r>
      <w:hyperlink r:id="rId20" w:history="1">
        <w:r w:rsidR="00314BA8" w:rsidRPr="00100AAC">
          <w:rPr>
            <w:rStyle w:val="Hyperlink"/>
          </w:rPr>
          <w:t>https://doi.org/10.1123/iscj.2018-0081</w:t>
        </w:r>
      </w:hyperlink>
      <w:r w:rsidR="00314BA8" w:rsidRPr="00100AAC">
        <w:rPr>
          <w:color w:val="000000"/>
        </w:rPr>
        <w:t xml:space="preserve"> </w:t>
      </w:r>
    </w:p>
    <w:p w14:paraId="734FB100" w14:textId="60A55703" w:rsidR="00905075" w:rsidRPr="00100AAC" w:rsidRDefault="00905075" w:rsidP="009D3BFB">
      <w:pPr>
        <w:pStyle w:val="paragraph"/>
        <w:spacing w:line="480" w:lineRule="auto"/>
        <w:ind w:left="720" w:hanging="720"/>
        <w:jc w:val="both"/>
        <w:rPr>
          <w:color w:val="000000"/>
        </w:rPr>
      </w:pPr>
      <w:r w:rsidRPr="00100AAC">
        <w:rPr>
          <w:color w:val="000000"/>
        </w:rPr>
        <w:t xml:space="preserve">Cushion, C. J. (2013). Applying game centred approaches in coaching: A critical analysis of the ‘dilemmas of practice’ impacting change. </w:t>
      </w:r>
      <w:r w:rsidRPr="00100AAC">
        <w:rPr>
          <w:i/>
          <w:iCs/>
          <w:color w:val="000000"/>
        </w:rPr>
        <w:t>Sports Coaching Review</w:t>
      </w:r>
      <w:r w:rsidRPr="00100AAC">
        <w:rPr>
          <w:color w:val="000000"/>
        </w:rPr>
        <w:t xml:space="preserve">, </w:t>
      </w:r>
      <w:r w:rsidRPr="00100AAC">
        <w:rPr>
          <w:i/>
          <w:iCs/>
          <w:color w:val="000000"/>
        </w:rPr>
        <w:t>2</w:t>
      </w:r>
      <w:r w:rsidRPr="00100AAC">
        <w:rPr>
          <w:color w:val="000000"/>
        </w:rPr>
        <w:t xml:space="preserve">(1), 61–76. </w:t>
      </w:r>
      <w:hyperlink r:id="rId21" w:history="1">
        <w:r w:rsidR="00314BA8" w:rsidRPr="00100AAC">
          <w:rPr>
            <w:rStyle w:val="Hyperlink"/>
          </w:rPr>
          <w:t>https://doi.org/10.1080/21640629.2013.861312</w:t>
        </w:r>
      </w:hyperlink>
      <w:r w:rsidR="00314BA8" w:rsidRPr="00100AAC">
        <w:rPr>
          <w:color w:val="000000"/>
        </w:rPr>
        <w:t xml:space="preserve"> </w:t>
      </w:r>
    </w:p>
    <w:p w14:paraId="008EAE6B" w14:textId="4B153268" w:rsidR="00231C40" w:rsidRPr="00100AAC" w:rsidRDefault="00231C40" w:rsidP="009D3BFB">
      <w:pPr>
        <w:pStyle w:val="paragraph"/>
        <w:spacing w:line="480" w:lineRule="auto"/>
        <w:ind w:left="720" w:hanging="720"/>
        <w:jc w:val="both"/>
        <w:rPr>
          <w:color w:val="000000"/>
        </w:rPr>
      </w:pPr>
      <w:r w:rsidRPr="00100AAC">
        <w:rPr>
          <w:color w:val="000000"/>
        </w:rPr>
        <w:t>Cushion, C. (2019). Observing coach behaviours: Developing coaching practice and coach education? In R. Thelwell, &amp; M. Dicks (Eds.), Professional advances in sports coaching: Research and practice (pp. 358–376). Routledge.</w:t>
      </w:r>
    </w:p>
    <w:p w14:paraId="172B55F1" w14:textId="0307CB89" w:rsidR="00B363FC" w:rsidRPr="00100AAC" w:rsidRDefault="00B363FC" w:rsidP="009D3BFB">
      <w:pPr>
        <w:pStyle w:val="paragraph"/>
        <w:spacing w:line="480" w:lineRule="auto"/>
        <w:ind w:left="720" w:hanging="720"/>
        <w:jc w:val="both"/>
        <w:rPr>
          <w:color w:val="000000"/>
        </w:rPr>
      </w:pPr>
      <w:r w:rsidRPr="00100AAC">
        <w:rPr>
          <w:color w:val="000000"/>
        </w:rPr>
        <w:t>Cushion, C., &amp; Townsend, R.</w:t>
      </w:r>
      <w:r w:rsidR="007C43C4" w:rsidRPr="00100AAC">
        <w:rPr>
          <w:color w:val="000000"/>
        </w:rPr>
        <w:t xml:space="preserve"> </w:t>
      </w:r>
      <w:r w:rsidRPr="00100AAC">
        <w:rPr>
          <w:color w:val="000000"/>
        </w:rPr>
        <w:t xml:space="preserve">C. (2019). Technology-enhanced learning in coaching: A review of literature. </w:t>
      </w:r>
      <w:r w:rsidRPr="00100AAC">
        <w:rPr>
          <w:i/>
          <w:iCs/>
          <w:color w:val="000000"/>
        </w:rPr>
        <w:t>Educational Review</w:t>
      </w:r>
      <w:r w:rsidRPr="00100AAC">
        <w:rPr>
          <w:color w:val="000000"/>
        </w:rPr>
        <w:t xml:space="preserve">, </w:t>
      </w:r>
      <w:r w:rsidRPr="00100AAC">
        <w:rPr>
          <w:i/>
          <w:iCs/>
          <w:color w:val="000000"/>
        </w:rPr>
        <w:t>71</w:t>
      </w:r>
      <w:r w:rsidRPr="00100AAC">
        <w:rPr>
          <w:color w:val="000000"/>
        </w:rPr>
        <w:t xml:space="preserve">(5), 631–649. </w:t>
      </w:r>
      <w:hyperlink r:id="rId22" w:history="1">
        <w:r w:rsidR="007E5B0B" w:rsidRPr="00100AAC">
          <w:rPr>
            <w:rStyle w:val="Hyperlink"/>
          </w:rPr>
          <w:t>https://doi.org/10.1080/00131911.2018.1457010</w:t>
        </w:r>
      </w:hyperlink>
      <w:r w:rsidR="007E5B0B" w:rsidRPr="00100AAC">
        <w:rPr>
          <w:color w:val="000000"/>
        </w:rPr>
        <w:t xml:space="preserve"> </w:t>
      </w:r>
    </w:p>
    <w:p w14:paraId="040AD25C" w14:textId="09519BBB" w:rsidR="00E915CE" w:rsidRPr="00100AAC" w:rsidRDefault="00E915CE" w:rsidP="009D3BFB">
      <w:pPr>
        <w:pStyle w:val="paragraph"/>
        <w:spacing w:line="480" w:lineRule="auto"/>
        <w:ind w:left="720" w:hanging="720"/>
        <w:jc w:val="both"/>
        <w:rPr>
          <w:color w:val="000000"/>
        </w:rPr>
      </w:pPr>
      <w:r w:rsidRPr="00100AAC">
        <w:rPr>
          <w:color w:val="000000"/>
        </w:rPr>
        <w:t xml:space="preserve">Driska, A. P. (2018). A </w:t>
      </w:r>
      <w:r w:rsidR="002F3EE9" w:rsidRPr="00100AAC">
        <w:rPr>
          <w:color w:val="000000"/>
        </w:rPr>
        <w:t>formative, utilization-focused evaluation of USA swimming’s nationwide online coach education program</w:t>
      </w:r>
      <w:r w:rsidRPr="00100AAC">
        <w:rPr>
          <w:color w:val="000000"/>
        </w:rPr>
        <w:t xml:space="preserve">. </w:t>
      </w:r>
      <w:r w:rsidRPr="00100AAC">
        <w:rPr>
          <w:i/>
          <w:iCs/>
          <w:color w:val="000000"/>
        </w:rPr>
        <w:t>International Sport Coaching Journal</w:t>
      </w:r>
      <w:r w:rsidRPr="00100AAC">
        <w:rPr>
          <w:color w:val="000000"/>
        </w:rPr>
        <w:t xml:space="preserve">, </w:t>
      </w:r>
      <w:r w:rsidRPr="00100AAC">
        <w:rPr>
          <w:i/>
          <w:iCs/>
          <w:color w:val="000000"/>
        </w:rPr>
        <w:t>5</w:t>
      </w:r>
      <w:r w:rsidR="00E70834" w:rsidRPr="00100AAC">
        <w:rPr>
          <w:color w:val="000000"/>
        </w:rPr>
        <w:t>(3)</w:t>
      </w:r>
      <w:r w:rsidRPr="00100AAC">
        <w:rPr>
          <w:color w:val="000000"/>
        </w:rPr>
        <w:t>, 261</w:t>
      </w:r>
      <w:r w:rsidR="00A1582A" w:rsidRPr="00100AAC">
        <w:rPr>
          <w:color w:val="000000"/>
        </w:rPr>
        <w:t>–</w:t>
      </w:r>
      <w:r w:rsidRPr="00100AAC">
        <w:rPr>
          <w:color w:val="000000"/>
        </w:rPr>
        <w:t>272</w:t>
      </w:r>
      <w:r w:rsidR="00A1582A" w:rsidRPr="00100AAC">
        <w:rPr>
          <w:color w:val="000000"/>
        </w:rPr>
        <w:t xml:space="preserve">. </w:t>
      </w:r>
      <w:hyperlink r:id="rId23" w:history="1">
        <w:r w:rsidR="007E5B0B" w:rsidRPr="00100AAC">
          <w:rPr>
            <w:rStyle w:val="Hyperlink"/>
          </w:rPr>
          <w:t>https://doi.org/10.1123/iscj.2017-0096</w:t>
        </w:r>
      </w:hyperlink>
      <w:r w:rsidR="007E5B0B" w:rsidRPr="00100AAC">
        <w:rPr>
          <w:color w:val="000000"/>
        </w:rPr>
        <w:t xml:space="preserve"> </w:t>
      </w:r>
    </w:p>
    <w:p w14:paraId="7AD292B9" w14:textId="0686D06C" w:rsidR="00F35D0A" w:rsidRPr="00100AAC" w:rsidRDefault="00F35D0A" w:rsidP="009D3BFB">
      <w:pPr>
        <w:pStyle w:val="paragraph"/>
        <w:spacing w:line="480" w:lineRule="auto"/>
        <w:ind w:left="720" w:hanging="720"/>
        <w:jc w:val="both"/>
        <w:rPr>
          <w:color w:val="000000"/>
        </w:rPr>
      </w:pPr>
      <w:bookmarkStart w:id="18" w:name="_Hlk109826028"/>
      <w:r w:rsidRPr="00100AAC">
        <w:rPr>
          <w:color w:val="000000"/>
        </w:rPr>
        <w:t xml:space="preserve">Driska, A. P., &amp; Nalepa, J. (2020). Self-paced online learning to develop novice, entry-level, and volunteer coaches. In B. Callary &amp; B. Gearity (Eds.), </w:t>
      </w:r>
      <w:r w:rsidRPr="00100AAC">
        <w:rPr>
          <w:i/>
          <w:iCs/>
          <w:color w:val="000000"/>
        </w:rPr>
        <w:t>Coach education and development in sport: Instruction</w:t>
      </w:r>
      <w:r w:rsidR="00A1582A" w:rsidRPr="00100AAC">
        <w:rPr>
          <w:i/>
          <w:iCs/>
          <w:color w:val="000000"/>
        </w:rPr>
        <w:t>al</w:t>
      </w:r>
      <w:r w:rsidRPr="00100AAC">
        <w:rPr>
          <w:i/>
          <w:iCs/>
          <w:color w:val="000000"/>
        </w:rPr>
        <w:t xml:space="preserve"> strategies</w:t>
      </w:r>
      <w:r w:rsidRPr="00100AAC">
        <w:rPr>
          <w:color w:val="000000"/>
        </w:rPr>
        <w:t xml:space="preserve"> (pp. 166</w:t>
      </w:r>
      <w:r w:rsidR="00A1582A" w:rsidRPr="00100AAC">
        <w:rPr>
          <w:color w:val="000000"/>
        </w:rPr>
        <w:t>–</w:t>
      </w:r>
      <w:r w:rsidRPr="00100AAC">
        <w:rPr>
          <w:color w:val="000000"/>
        </w:rPr>
        <w:t xml:space="preserve">177). Routledge. </w:t>
      </w:r>
    </w:p>
    <w:bookmarkEnd w:id="18"/>
    <w:p w14:paraId="52D55446" w14:textId="39AFFC4F" w:rsidR="00E70834" w:rsidRPr="00100AAC" w:rsidRDefault="00E70834" w:rsidP="009D3BFB">
      <w:pPr>
        <w:pStyle w:val="paragraph"/>
        <w:spacing w:line="480" w:lineRule="auto"/>
        <w:ind w:left="720" w:hanging="720"/>
        <w:jc w:val="both"/>
        <w:rPr>
          <w:color w:val="000000"/>
        </w:rPr>
      </w:pPr>
      <w:r w:rsidRPr="00100AAC">
        <w:rPr>
          <w:color w:val="000000"/>
        </w:rPr>
        <w:t xml:space="preserve">Gurgis, J. J., Kerr, G. A., &amp; Stirling, A. E. (2020). Investigating the </w:t>
      </w:r>
      <w:r w:rsidR="00A1582A" w:rsidRPr="00100AAC">
        <w:rPr>
          <w:color w:val="000000"/>
        </w:rPr>
        <w:t>barriers and facilitators to achieving coaching certification.</w:t>
      </w:r>
      <w:r w:rsidRPr="00100AAC">
        <w:rPr>
          <w:color w:val="000000"/>
        </w:rPr>
        <w:t xml:space="preserve"> </w:t>
      </w:r>
      <w:r w:rsidRPr="00100AAC">
        <w:rPr>
          <w:i/>
          <w:iCs/>
          <w:color w:val="000000"/>
        </w:rPr>
        <w:t>International Sport Coaching Journal,</w:t>
      </w:r>
      <w:r w:rsidRPr="00100AAC">
        <w:rPr>
          <w:color w:val="000000"/>
        </w:rPr>
        <w:t xml:space="preserve"> </w:t>
      </w:r>
      <w:r w:rsidRPr="00100AAC">
        <w:rPr>
          <w:i/>
          <w:iCs/>
          <w:color w:val="000000"/>
        </w:rPr>
        <w:t>7</w:t>
      </w:r>
      <w:r w:rsidRPr="00100AAC">
        <w:rPr>
          <w:color w:val="000000"/>
        </w:rPr>
        <w:t>(2), 189</w:t>
      </w:r>
      <w:r w:rsidR="00A1582A" w:rsidRPr="00100AAC">
        <w:rPr>
          <w:color w:val="000000"/>
        </w:rPr>
        <w:t>–</w:t>
      </w:r>
      <w:r w:rsidRPr="00100AAC">
        <w:rPr>
          <w:color w:val="000000"/>
        </w:rPr>
        <w:t xml:space="preserve">199. </w:t>
      </w:r>
      <w:hyperlink r:id="rId24" w:history="1">
        <w:r w:rsidR="007E5B0B" w:rsidRPr="00100AAC">
          <w:rPr>
            <w:rStyle w:val="Hyperlink"/>
          </w:rPr>
          <w:t>https://doi.org/10.1123/iscj.2019-0043</w:t>
        </w:r>
      </w:hyperlink>
      <w:r w:rsidR="007E5B0B" w:rsidRPr="00100AAC">
        <w:rPr>
          <w:color w:val="000000"/>
        </w:rPr>
        <w:t xml:space="preserve"> </w:t>
      </w:r>
    </w:p>
    <w:p w14:paraId="4D56863E" w14:textId="76A781B5" w:rsidR="007B1CC6" w:rsidRPr="00100AAC" w:rsidRDefault="007B1CC6" w:rsidP="009D3BFB">
      <w:pPr>
        <w:pStyle w:val="paragraph"/>
        <w:spacing w:line="480" w:lineRule="auto"/>
        <w:ind w:left="720" w:hanging="720"/>
        <w:jc w:val="both"/>
        <w:rPr>
          <w:color w:val="000000"/>
        </w:rPr>
      </w:pPr>
      <w:r w:rsidRPr="00100AAC">
        <w:rPr>
          <w:color w:val="000000"/>
        </w:rPr>
        <w:lastRenderedPageBreak/>
        <w:t xml:space="preserve">Grant, M. A., Bloom, G. A., &amp; Lefebvre, J. S. (2020). Lessons learned: Coaches’ perceptions of a pilot e-mentoring programme. </w:t>
      </w:r>
      <w:r w:rsidRPr="00100AAC">
        <w:rPr>
          <w:i/>
          <w:iCs/>
          <w:color w:val="000000"/>
        </w:rPr>
        <w:t>International Sport Coaching Journal</w:t>
      </w:r>
      <w:r w:rsidRPr="00100AAC">
        <w:rPr>
          <w:color w:val="000000"/>
        </w:rPr>
        <w:t xml:space="preserve">, </w:t>
      </w:r>
      <w:r w:rsidRPr="00100AAC">
        <w:rPr>
          <w:i/>
          <w:iCs/>
          <w:color w:val="000000"/>
        </w:rPr>
        <w:t>7</w:t>
      </w:r>
      <w:r w:rsidRPr="00100AAC">
        <w:rPr>
          <w:color w:val="000000"/>
        </w:rPr>
        <w:t xml:space="preserve">(1), 22–30. </w:t>
      </w:r>
      <w:hyperlink r:id="rId25" w:history="1">
        <w:r w:rsidR="007E5B0B" w:rsidRPr="00100AAC">
          <w:rPr>
            <w:rStyle w:val="Hyperlink"/>
          </w:rPr>
          <w:t>https://doi.org/10.1123/iscj.2018-0058</w:t>
        </w:r>
      </w:hyperlink>
      <w:r w:rsidR="007E5B0B" w:rsidRPr="00100AAC">
        <w:rPr>
          <w:color w:val="000000"/>
        </w:rPr>
        <w:t xml:space="preserve"> </w:t>
      </w:r>
    </w:p>
    <w:p w14:paraId="66C323C9" w14:textId="59047E0C" w:rsidR="00357F89" w:rsidRPr="00100AAC" w:rsidRDefault="00357F89" w:rsidP="009D3BFB">
      <w:pPr>
        <w:pStyle w:val="paragraph"/>
        <w:spacing w:line="480" w:lineRule="auto"/>
        <w:ind w:left="720" w:hanging="720"/>
        <w:jc w:val="both"/>
        <w:rPr>
          <w:color w:val="000000"/>
        </w:rPr>
      </w:pPr>
      <w:r w:rsidRPr="00100AAC">
        <w:rPr>
          <w:color w:val="000000"/>
        </w:rPr>
        <w:t>Griffiths,</w:t>
      </w:r>
      <w:r w:rsidR="00A1582A" w:rsidRPr="00100AAC">
        <w:rPr>
          <w:color w:val="000000"/>
        </w:rPr>
        <w:t xml:space="preserve"> M. A., </w:t>
      </w:r>
      <w:r w:rsidRPr="00100AAC">
        <w:rPr>
          <w:color w:val="000000"/>
        </w:rPr>
        <w:t>Goodyear</w:t>
      </w:r>
      <w:r w:rsidR="00A1582A" w:rsidRPr="00100AAC">
        <w:rPr>
          <w:color w:val="000000"/>
        </w:rPr>
        <w:t>, V. A.,</w:t>
      </w:r>
      <w:r w:rsidRPr="00100AAC">
        <w:rPr>
          <w:color w:val="000000"/>
        </w:rPr>
        <w:t xml:space="preserve"> &amp; Armour</w:t>
      </w:r>
      <w:r w:rsidR="00A1582A" w:rsidRPr="00100AAC">
        <w:rPr>
          <w:color w:val="000000"/>
        </w:rPr>
        <w:t>, K. M.</w:t>
      </w:r>
      <w:r w:rsidRPr="00100AAC">
        <w:rPr>
          <w:color w:val="000000"/>
        </w:rPr>
        <w:t> (2022)</w:t>
      </w:r>
      <w:r w:rsidR="00A1582A" w:rsidRPr="00100AAC">
        <w:rPr>
          <w:color w:val="000000"/>
        </w:rPr>
        <w:t>.</w:t>
      </w:r>
      <w:r w:rsidRPr="00100AAC">
        <w:rPr>
          <w:color w:val="000000"/>
        </w:rPr>
        <w:t xml:space="preserve"> Massive open online courses (MOOCs) for professional development: </w:t>
      </w:r>
      <w:r w:rsidR="00A1582A" w:rsidRPr="00100AAC">
        <w:rPr>
          <w:color w:val="000000"/>
        </w:rPr>
        <w:t>M</w:t>
      </w:r>
      <w:r w:rsidRPr="00100AAC">
        <w:rPr>
          <w:color w:val="000000"/>
        </w:rPr>
        <w:t>eeting the needs and expectations of physical education teachers and youth sport coaches</w:t>
      </w:r>
      <w:r w:rsidR="00A1582A" w:rsidRPr="00100AAC">
        <w:rPr>
          <w:color w:val="000000"/>
        </w:rPr>
        <w:t>.</w:t>
      </w:r>
      <w:r w:rsidRPr="00100AAC">
        <w:rPr>
          <w:color w:val="000000"/>
        </w:rPr>
        <w:t> </w:t>
      </w:r>
      <w:r w:rsidRPr="00100AAC">
        <w:rPr>
          <w:i/>
          <w:iCs/>
          <w:color w:val="000000"/>
        </w:rPr>
        <w:t>Physical Education and Sport Pedagogy</w:t>
      </w:r>
      <w:r w:rsidRPr="00100AAC">
        <w:rPr>
          <w:color w:val="000000"/>
        </w:rPr>
        <w:t>, </w:t>
      </w:r>
      <w:r w:rsidRPr="00100AAC">
        <w:rPr>
          <w:i/>
          <w:iCs/>
          <w:color w:val="000000"/>
        </w:rPr>
        <w:t>27</w:t>
      </w:r>
      <w:r w:rsidR="00A1582A" w:rsidRPr="00100AAC">
        <w:rPr>
          <w:color w:val="000000"/>
        </w:rPr>
        <w:t>(</w:t>
      </w:r>
      <w:r w:rsidRPr="00100AAC">
        <w:rPr>
          <w:color w:val="000000"/>
        </w:rPr>
        <w:t>3</w:t>
      </w:r>
      <w:r w:rsidR="00A1582A" w:rsidRPr="00100AAC">
        <w:rPr>
          <w:color w:val="000000"/>
        </w:rPr>
        <w:t>)</w:t>
      </w:r>
      <w:r w:rsidRPr="00100AAC">
        <w:rPr>
          <w:color w:val="000000"/>
        </w:rPr>
        <w:t>, 276</w:t>
      </w:r>
      <w:r w:rsidR="00A1582A" w:rsidRPr="00100AAC">
        <w:rPr>
          <w:color w:val="000000"/>
        </w:rPr>
        <w:t>–</w:t>
      </w:r>
      <w:r w:rsidRPr="00100AAC">
        <w:rPr>
          <w:color w:val="000000"/>
        </w:rPr>
        <w:t>290</w:t>
      </w:r>
      <w:r w:rsidR="00A1582A" w:rsidRPr="00100AAC">
        <w:rPr>
          <w:color w:val="000000"/>
        </w:rPr>
        <w:t>.</w:t>
      </w:r>
      <w:r w:rsidRPr="00100AAC">
        <w:rPr>
          <w:color w:val="000000"/>
        </w:rPr>
        <w:t> </w:t>
      </w:r>
      <w:hyperlink r:id="rId26" w:history="1">
        <w:r w:rsidR="007E5B0B" w:rsidRPr="00100AAC">
          <w:rPr>
            <w:rStyle w:val="Hyperlink"/>
          </w:rPr>
          <w:t>https://doi.org/10.1080/17408989.2021.1874901</w:t>
        </w:r>
      </w:hyperlink>
      <w:r w:rsidR="007E5B0B" w:rsidRPr="00100AAC">
        <w:rPr>
          <w:color w:val="000000"/>
        </w:rPr>
        <w:t xml:space="preserve"> </w:t>
      </w:r>
    </w:p>
    <w:p w14:paraId="105979EB" w14:textId="415A0EC9" w:rsidR="005775AD" w:rsidRPr="00100AAC" w:rsidRDefault="005775AD" w:rsidP="009D3BFB">
      <w:pPr>
        <w:pStyle w:val="paragraph"/>
        <w:spacing w:line="480" w:lineRule="auto"/>
        <w:ind w:left="720" w:hanging="720"/>
        <w:jc w:val="both"/>
        <w:rPr>
          <w:color w:val="000000"/>
        </w:rPr>
      </w:pPr>
      <w:r w:rsidRPr="00100AAC">
        <w:rPr>
          <w:color w:val="000000"/>
        </w:rPr>
        <w:t>Hanna, P., &amp; Mwale, S. (2017). “</w:t>
      </w:r>
      <w:r w:rsidR="006259F1" w:rsidRPr="00100AAC">
        <w:rPr>
          <w:color w:val="000000"/>
        </w:rPr>
        <w:t>I’m not with you, yet I am…”: Virtual face-to-face interviews</w:t>
      </w:r>
      <w:r w:rsidRPr="00100AAC">
        <w:rPr>
          <w:color w:val="000000"/>
        </w:rPr>
        <w:t xml:space="preserve">. In </w:t>
      </w:r>
      <w:r w:rsidR="006259F1" w:rsidRPr="00100AAC">
        <w:rPr>
          <w:color w:val="000000"/>
        </w:rPr>
        <w:t>V. Braun, V. Clarke,</w:t>
      </w:r>
      <w:r w:rsidRPr="00100AAC">
        <w:rPr>
          <w:color w:val="000000"/>
        </w:rPr>
        <w:t xml:space="preserve"> &amp; </w:t>
      </w:r>
      <w:r w:rsidR="006259F1" w:rsidRPr="00100AAC">
        <w:rPr>
          <w:color w:val="000000"/>
        </w:rPr>
        <w:t>D. Gray</w:t>
      </w:r>
      <w:r w:rsidRPr="00100AAC">
        <w:rPr>
          <w:color w:val="000000"/>
        </w:rPr>
        <w:t xml:space="preserve"> (Eds.), </w:t>
      </w:r>
      <w:r w:rsidR="006259F1" w:rsidRPr="00100AAC">
        <w:rPr>
          <w:i/>
          <w:iCs/>
          <w:color w:val="000000"/>
        </w:rPr>
        <w:t>Collecting qualitative data: A practice guide to textual</w:t>
      </w:r>
      <w:r w:rsidR="00300ABD" w:rsidRPr="00100AAC">
        <w:rPr>
          <w:i/>
          <w:iCs/>
          <w:color w:val="000000"/>
        </w:rPr>
        <w:t>, media and virtual techniques</w:t>
      </w:r>
      <w:r w:rsidRPr="00100AAC">
        <w:rPr>
          <w:color w:val="000000"/>
        </w:rPr>
        <w:t xml:space="preserve"> (pp. </w:t>
      </w:r>
      <w:r w:rsidR="006259F1" w:rsidRPr="00100AAC">
        <w:rPr>
          <w:color w:val="000000"/>
        </w:rPr>
        <w:t>256</w:t>
      </w:r>
      <w:r w:rsidRPr="00100AAC">
        <w:rPr>
          <w:color w:val="000000"/>
        </w:rPr>
        <w:t>–</w:t>
      </w:r>
      <w:r w:rsidR="006259F1" w:rsidRPr="00100AAC">
        <w:rPr>
          <w:color w:val="000000"/>
        </w:rPr>
        <w:t>272</w:t>
      </w:r>
      <w:r w:rsidRPr="00100AAC">
        <w:rPr>
          <w:color w:val="000000"/>
        </w:rPr>
        <w:t xml:space="preserve">). </w:t>
      </w:r>
      <w:r w:rsidR="006259F1" w:rsidRPr="00100AAC">
        <w:rPr>
          <w:color w:val="000000"/>
        </w:rPr>
        <w:t>Cambridge University Press</w:t>
      </w:r>
      <w:r w:rsidRPr="00100AAC">
        <w:rPr>
          <w:color w:val="000000"/>
        </w:rPr>
        <w:t xml:space="preserve">. </w:t>
      </w:r>
    </w:p>
    <w:p w14:paraId="36F5FB61" w14:textId="31F88072" w:rsidR="00066191" w:rsidRPr="00100AAC" w:rsidRDefault="00066191" w:rsidP="009D3BFB">
      <w:pPr>
        <w:pStyle w:val="paragraph"/>
        <w:spacing w:line="480" w:lineRule="auto"/>
        <w:ind w:left="720" w:hanging="720"/>
        <w:jc w:val="both"/>
        <w:rPr>
          <w:color w:val="000000"/>
        </w:rPr>
      </w:pPr>
      <w:r w:rsidRPr="00100AAC">
        <w:rPr>
          <w:color w:val="000000"/>
        </w:rPr>
        <w:t xml:space="preserve">Hay, P., Dickens, S., Crudgington, B., &amp; Engstrom, C. (2012). Exploring the </w:t>
      </w:r>
      <w:r w:rsidR="001C76CA" w:rsidRPr="00100AAC">
        <w:rPr>
          <w:color w:val="000000"/>
        </w:rPr>
        <w:t>potential of assessment efficacy in sports coaching</w:t>
      </w:r>
      <w:r w:rsidRPr="00100AAC">
        <w:rPr>
          <w:color w:val="000000"/>
        </w:rPr>
        <w:t xml:space="preserve">. </w:t>
      </w:r>
      <w:r w:rsidRPr="00100AAC">
        <w:rPr>
          <w:i/>
          <w:iCs/>
          <w:color w:val="000000"/>
        </w:rPr>
        <w:t>International Journal of Sports Science &amp; Coaching</w:t>
      </w:r>
      <w:r w:rsidRPr="00100AAC">
        <w:rPr>
          <w:color w:val="000000"/>
        </w:rPr>
        <w:t xml:space="preserve">, </w:t>
      </w:r>
      <w:r w:rsidRPr="00100AAC">
        <w:rPr>
          <w:i/>
          <w:iCs/>
          <w:color w:val="000000"/>
        </w:rPr>
        <w:t>7</w:t>
      </w:r>
      <w:r w:rsidRPr="00100AAC">
        <w:rPr>
          <w:color w:val="000000"/>
        </w:rPr>
        <w:t xml:space="preserve">(2), 187–198. </w:t>
      </w:r>
      <w:hyperlink r:id="rId27" w:history="1">
        <w:r w:rsidR="007E5B0B" w:rsidRPr="00100AAC">
          <w:rPr>
            <w:rStyle w:val="Hyperlink"/>
          </w:rPr>
          <w:t>https://doi.org/10.1260/1747-9541.7.2.187</w:t>
        </w:r>
      </w:hyperlink>
      <w:r w:rsidR="007E5B0B" w:rsidRPr="00100AAC">
        <w:rPr>
          <w:color w:val="000000"/>
        </w:rPr>
        <w:t xml:space="preserve"> </w:t>
      </w:r>
    </w:p>
    <w:p w14:paraId="3D343FE5" w14:textId="215C2D08" w:rsidR="00B363FC" w:rsidRPr="00100AAC" w:rsidRDefault="00B363FC" w:rsidP="009D3BFB">
      <w:pPr>
        <w:pStyle w:val="paragraph"/>
        <w:spacing w:line="480" w:lineRule="auto"/>
        <w:ind w:left="720" w:hanging="720"/>
        <w:jc w:val="both"/>
        <w:rPr>
          <w:color w:val="000000"/>
        </w:rPr>
      </w:pPr>
      <w:r w:rsidRPr="00100AAC">
        <w:rPr>
          <w:color w:val="000000"/>
        </w:rPr>
        <w:t xml:space="preserve">Leduc, M., Culver, D.M., &amp; Werthner, P. (2012). Following a coach education programme: Coaches’ perceptions and reported actions. </w:t>
      </w:r>
      <w:r w:rsidRPr="00100AAC">
        <w:rPr>
          <w:i/>
          <w:iCs/>
          <w:color w:val="000000"/>
        </w:rPr>
        <w:t>Sports Coaching Review</w:t>
      </w:r>
      <w:r w:rsidRPr="00100AAC">
        <w:rPr>
          <w:color w:val="000000"/>
        </w:rPr>
        <w:t xml:space="preserve">, </w:t>
      </w:r>
      <w:r w:rsidRPr="00100AAC">
        <w:rPr>
          <w:i/>
          <w:iCs/>
          <w:color w:val="000000"/>
        </w:rPr>
        <w:t>1</w:t>
      </w:r>
      <w:r w:rsidRPr="00100AAC">
        <w:rPr>
          <w:color w:val="000000"/>
        </w:rPr>
        <w:t xml:space="preserve">(2), 135–150. </w:t>
      </w:r>
      <w:r w:rsidR="007E5B0B" w:rsidRPr="00100AAC">
        <w:rPr>
          <w:color w:val="000000"/>
        </w:rPr>
        <w:t>https://doi.org/10.1080/21640629.2013.797752</w:t>
      </w:r>
    </w:p>
    <w:p w14:paraId="5FFF0182" w14:textId="31BA2B5C" w:rsidR="001372A6" w:rsidRPr="00100AAC" w:rsidRDefault="001372A6" w:rsidP="009D3BFB">
      <w:pPr>
        <w:pStyle w:val="paragraph"/>
        <w:spacing w:line="480" w:lineRule="auto"/>
        <w:ind w:left="720" w:hanging="720"/>
        <w:jc w:val="both"/>
        <w:rPr>
          <w:color w:val="000000"/>
        </w:rPr>
      </w:pPr>
      <w:r w:rsidRPr="00100AAC">
        <w:rPr>
          <w:color w:val="000000"/>
        </w:rPr>
        <w:t>Leeder</w:t>
      </w:r>
      <w:r w:rsidR="00466CCE" w:rsidRPr="00100AAC">
        <w:rPr>
          <w:color w:val="000000"/>
        </w:rPr>
        <w:t>, T. M.,</w:t>
      </w:r>
      <w:r w:rsidRPr="00100AAC">
        <w:rPr>
          <w:color w:val="000000"/>
        </w:rPr>
        <w:t xml:space="preserve"> &amp; Sawiuk</w:t>
      </w:r>
      <w:r w:rsidR="00466CCE" w:rsidRPr="00100AAC">
        <w:rPr>
          <w:color w:val="000000"/>
        </w:rPr>
        <w:t>, R.</w:t>
      </w:r>
      <w:r w:rsidRPr="00100AAC">
        <w:rPr>
          <w:color w:val="000000"/>
        </w:rPr>
        <w:t xml:space="preserve"> (2021)</w:t>
      </w:r>
      <w:r w:rsidR="00466CCE" w:rsidRPr="00100AAC">
        <w:rPr>
          <w:color w:val="000000"/>
        </w:rPr>
        <w:t>.</w:t>
      </w:r>
      <w:r w:rsidRPr="00100AAC">
        <w:rPr>
          <w:color w:val="000000"/>
        </w:rPr>
        <w:t xml:space="preserve"> Reviewing the sports coach mentoring literature: </w:t>
      </w:r>
      <w:r w:rsidR="00466CCE" w:rsidRPr="00100AAC">
        <w:rPr>
          <w:color w:val="000000"/>
        </w:rPr>
        <w:t>A</w:t>
      </w:r>
      <w:r w:rsidRPr="00100AAC">
        <w:rPr>
          <w:color w:val="000000"/>
        </w:rPr>
        <w:t xml:space="preserve"> look back to take a step forward</w:t>
      </w:r>
      <w:r w:rsidR="00466CCE" w:rsidRPr="00100AAC">
        <w:rPr>
          <w:color w:val="000000"/>
        </w:rPr>
        <w:t>.</w:t>
      </w:r>
      <w:r w:rsidRPr="00100AAC">
        <w:rPr>
          <w:color w:val="000000"/>
        </w:rPr>
        <w:t xml:space="preserve"> </w:t>
      </w:r>
      <w:r w:rsidRPr="00100AAC">
        <w:rPr>
          <w:i/>
          <w:iCs/>
          <w:color w:val="000000"/>
        </w:rPr>
        <w:t>Sports Coaching Review</w:t>
      </w:r>
      <w:r w:rsidRPr="00100AAC">
        <w:rPr>
          <w:color w:val="000000"/>
        </w:rPr>
        <w:t xml:space="preserve">, </w:t>
      </w:r>
      <w:r w:rsidRPr="00100AAC">
        <w:rPr>
          <w:i/>
          <w:iCs/>
          <w:color w:val="000000"/>
        </w:rPr>
        <w:t>10</w:t>
      </w:r>
      <w:r w:rsidR="00466CCE" w:rsidRPr="00100AAC">
        <w:rPr>
          <w:color w:val="000000"/>
        </w:rPr>
        <w:t>(</w:t>
      </w:r>
      <w:r w:rsidRPr="00100AAC">
        <w:rPr>
          <w:color w:val="000000"/>
        </w:rPr>
        <w:t>2</w:t>
      </w:r>
      <w:r w:rsidR="00466CCE" w:rsidRPr="00100AAC">
        <w:rPr>
          <w:color w:val="000000"/>
        </w:rPr>
        <w:t>)</w:t>
      </w:r>
      <w:r w:rsidRPr="00100AAC">
        <w:rPr>
          <w:color w:val="000000"/>
        </w:rPr>
        <w:t>, 129</w:t>
      </w:r>
      <w:r w:rsidR="00466CCE" w:rsidRPr="00100AAC">
        <w:rPr>
          <w:color w:val="000000"/>
        </w:rPr>
        <w:t>–</w:t>
      </w:r>
      <w:r w:rsidRPr="00100AAC">
        <w:rPr>
          <w:color w:val="000000"/>
        </w:rPr>
        <w:t>152</w:t>
      </w:r>
      <w:r w:rsidR="00466CCE" w:rsidRPr="00100AAC">
        <w:rPr>
          <w:color w:val="000000"/>
        </w:rPr>
        <w:t>.</w:t>
      </w:r>
      <w:r w:rsidRPr="00100AAC">
        <w:rPr>
          <w:color w:val="000000"/>
        </w:rPr>
        <w:t xml:space="preserve"> </w:t>
      </w:r>
      <w:hyperlink r:id="rId28" w:history="1">
        <w:r w:rsidR="007E5B0B" w:rsidRPr="00100AAC">
          <w:rPr>
            <w:rStyle w:val="Hyperlink"/>
          </w:rPr>
          <w:t>https://doi.org/10.1080/21640629.2020.1804170</w:t>
        </w:r>
      </w:hyperlink>
      <w:r w:rsidR="007E5B0B" w:rsidRPr="00100AAC">
        <w:rPr>
          <w:color w:val="000000"/>
        </w:rPr>
        <w:t xml:space="preserve"> </w:t>
      </w:r>
    </w:p>
    <w:p w14:paraId="3E6739D3" w14:textId="4D3F3EDE" w:rsidR="000B3CE7" w:rsidRPr="00100AAC" w:rsidRDefault="000B3CE7" w:rsidP="009D3BFB">
      <w:pPr>
        <w:pStyle w:val="paragraph"/>
        <w:spacing w:line="480" w:lineRule="auto"/>
        <w:ind w:left="720" w:hanging="720"/>
        <w:jc w:val="both"/>
        <w:rPr>
          <w:color w:val="000000"/>
        </w:rPr>
      </w:pPr>
      <w:r w:rsidRPr="00100AAC">
        <w:rPr>
          <w:color w:val="000000"/>
        </w:rPr>
        <w:t>Leeder, T.</w:t>
      </w:r>
      <w:r w:rsidR="00671921" w:rsidRPr="00100AAC">
        <w:rPr>
          <w:color w:val="000000"/>
        </w:rPr>
        <w:t xml:space="preserve"> </w:t>
      </w:r>
      <w:r w:rsidRPr="00100AAC">
        <w:rPr>
          <w:color w:val="000000"/>
        </w:rPr>
        <w:t>M., Warburton, V.</w:t>
      </w:r>
      <w:r w:rsidR="00671921" w:rsidRPr="00100AAC">
        <w:rPr>
          <w:color w:val="000000"/>
        </w:rPr>
        <w:t xml:space="preserve"> </w:t>
      </w:r>
      <w:r w:rsidRPr="00100AAC">
        <w:rPr>
          <w:color w:val="000000"/>
        </w:rPr>
        <w:t>E., &amp; Beaumont, L.</w:t>
      </w:r>
      <w:r w:rsidR="00671921" w:rsidRPr="00100AAC">
        <w:rPr>
          <w:color w:val="000000"/>
        </w:rPr>
        <w:t xml:space="preserve"> </w:t>
      </w:r>
      <w:r w:rsidRPr="00100AAC">
        <w:rPr>
          <w:color w:val="000000"/>
        </w:rPr>
        <w:t xml:space="preserve">C. (2021). Coaches’ dispositions and non-formal learning situations: An analysis of the ‘coach talent programme’. </w:t>
      </w:r>
      <w:r w:rsidRPr="00100AAC">
        <w:rPr>
          <w:i/>
          <w:iCs/>
          <w:color w:val="000000"/>
        </w:rPr>
        <w:t>Sport in Society</w:t>
      </w:r>
      <w:r w:rsidRPr="00100AAC">
        <w:rPr>
          <w:color w:val="000000"/>
        </w:rPr>
        <w:t xml:space="preserve">, </w:t>
      </w:r>
      <w:r w:rsidRPr="00100AAC">
        <w:rPr>
          <w:i/>
          <w:iCs/>
          <w:color w:val="000000"/>
        </w:rPr>
        <w:t>24</w:t>
      </w:r>
      <w:r w:rsidRPr="00100AAC">
        <w:rPr>
          <w:color w:val="000000"/>
        </w:rPr>
        <w:t xml:space="preserve">(3), 356–372. </w:t>
      </w:r>
      <w:hyperlink r:id="rId29" w:history="1">
        <w:r w:rsidR="007E5B0B" w:rsidRPr="00100AAC">
          <w:rPr>
            <w:rStyle w:val="Hyperlink"/>
          </w:rPr>
          <w:t>https://doi.org/10.1080/17430437.2019.1672154</w:t>
        </w:r>
      </w:hyperlink>
      <w:r w:rsidR="007E5B0B" w:rsidRPr="00100AAC">
        <w:rPr>
          <w:color w:val="000000"/>
        </w:rPr>
        <w:t xml:space="preserve"> </w:t>
      </w:r>
    </w:p>
    <w:p w14:paraId="0E61F889" w14:textId="689FDCEC" w:rsidR="00835D19" w:rsidRPr="00100AAC" w:rsidRDefault="00835D19" w:rsidP="009D3BFB">
      <w:pPr>
        <w:pStyle w:val="paragraph"/>
        <w:spacing w:line="480" w:lineRule="auto"/>
        <w:ind w:left="720" w:hanging="720"/>
        <w:jc w:val="both"/>
        <w:rPr>
          <w:color w:val="000000"/>
        </w:rPr>
      </w:pPr>
      <w:r w:rsidRPr="00100AAC">
        <w:rPr>
          <w:color w:val="000000"/>
        </w:rPr>
        <w:lastRenderedPageBreak/>
        <w:t>Lefebvre, J. S., Evans, M. B., Turnnidge, J., Gainforth, H. L., &amp; Côté, J. (2016). Describing and classifying coach development programmes: A synthesis of empirical research and applied practice. </w:t>
      </w:r>
      <w:r w:rsidRPr="00100AAC">
        <w:rPr>
          <w:i/>
          <w:iCs/>
          <w:color w:val="000000"/>
        </w:rPr>
        <w:t>International Journal of Sports Science &amp; Coaching</w:t>
      </w:r>
      <w:r w:rsidRPr="00100AAC">
        <w:rPr>
          <w:color w:val="000000"/>
        </w:rPr>
        <w:t>, </w:t>
      </w:r>
      <w:r w:rsidRPr="00100AAC">
        <w:rPr>
          <w:i/>
          <w:iCs/>
          <w:color w:val="000000"/>
        </w:rPr>
        <w:t>11</w:t>
      </w:r>
      <w:r w:rsidRPr="00100AAC">
        <w:rPr>
          <w:color w:val="000000"/>
        </w:rPr>
        <w:t>(6), 887–899. </w:t>
      </w:r>
      <w:hyperlink r:id="rId30" w:history="1">
        <w:r w:rsidR="007E5B0B" w:rsidRPr="00100AAC">
          <w:rPr>
            <w:rStyle w:val="Hyperlink"/>
          </w:rPr>
          <w:t>https://doi.org/10.1177/1747954116676116</w:t>
        </w:r>
      </w:hyperlink>
      <w:r w:rsidR="007E5B0B" w:rsidRPr="00100AAC">
        <w:rPr>
          <w:color w:val="000000"/>
        </w:rPr>
        <w:t xml:space="preserve"> </w:t>
      </w:r>
    </w:p>
    <w:p w14:paraId="491EB3F7" w14:textId="34D13A46" w:rsidR="0036486F" w:rsidRPr="00100AAC" w:rsidRDefault="0036486F" w:rsidP="009D3BFB">
      <w:pPr>
        <w:pStyle w:val="paragraph"/>
        <w:spacing w:line="480" w:lineRule="auto"/>
        <w:ind w:left="720" w:hanging="720"/>
        <w:jc w:val="both"/>
        <w:rPr>
          <w:color w:val="000000"/>
        </w:rPr>
      </w:pPr>
      <w:r w:rsidRPr="00100AAC">
        <w:rPr>
          <w:color w:val="000000"/>
        </w:rPr>
        <w:t xml:space="preserve">Lyle, J., &amp; Cushion, C. (2017). </w:t>
      </w:r>
      <w:r w:rsidRPr="00100AAC">
        <w:rPr>
          <w:i/>
          <w:iCs/>
          <w:color w:val="000000"/>
        </w:rPr>
        <w:t>Sport coaching concepts: A framework for coaching practice</w:t>
      </w:r>
      <w:r w:rsidRPr="00100AAC">
        <w:rPr>
          <w:color w:val="000000"/>
        </w:rPr>
        <w:t xml:space="preserve"> (2nd ed.). Routledge. </w:t>
      </w:r>
    </w:p>
    <w:p w14:paraId="6BF1DD48" w14:textId="11CB5469" w:rsidR="00634358" w:rsidRPr="00100AAC" w:rsidRDefault="00634358" w:rsidP="009D3BFB">
      <w:pPr>
        <w:pStyle w:val="paragraph"/>
        <w:spacing w:line="480" w:lineRule="auto"/>
        <w:ind w:left="720" w:hanging="720"/>
        <w:jc w:val="both"/>
        <w:rPr>
          <w:color w:val="000000"/>
        </w:rPr>
      </w:pPr>
      <w:r w:rsidRPr="00100AAC">
        <w:rPr>
          <w:color w:val="000000"/>
        </w:rPr>
        <w:t>Manning,</w:t>
      </w:r>
      <w:r w:rsidR="00947D9E" w:rsidRPr="00100AAC">
        <w:rPr>
          <w:color w:val="000000"/>
        </w:rPr>
        <w:t xml:space="preserve"> R. D.,</w:t>
      </w:r>
      <w:r w:rsidRPr="00100AAC">
        <w:rPr>
          <w:color w:val="000000"/>
        </w:rPr>
        <w:t xml:space="preserve"> Jenny,</w:t>
      </w:r>
      <w:r w:rsidR="00947D9E" w:rsidRPr="00100AAC">
        <w:rPr>
          <w:color w:val="000000"/>
        </w:rPr>
        <w:t xml:space="preserve"> S. E., </w:t>
      </w:r>
      <w:r w:rsidRPr="00100AAC">
        <w:rPr>
          <w:color w:val="000000"/>
        </w:rPr>
        <w:t>Keiper</w:t>
      </w:r>
      <w:r w:rsidR="00947D9E" w:rsidRPr="00100AAC">
        <w:rPr>
          <w:color w:val="000000"/>
        </w:rPr>
        <w:t>, M. C.</w:t>
      </w:r>
      <w:r w:rsidRPr="00100AAC">
        <w:rPr>
          <w:color w:val="000000"/>
        </w:rPr>
        <w:t xml:space="preserve">, </w:t>
      </w:r>
      <w:r w:rsidR="00947D9E" w:rsidRPr="00100AAC">
        <w:rPr>
          <w:color w:val="000000"/>
        </w:rPr>
        <w:t xml:space="preserve">&amp; </w:t>
      </w:r>
      <w:r w:rsidRPr="00100AAC">
        <w:rPr>
          <w:color w:val="000000"/>
        </w:rPr>
        <w:t>Drane</w:t>
      </w:r>
      <w:r w:rsidR="00947D9E" w:rsidRPr="00100AAC">
        <w:rPr>
          <w:color w:val="000000"/>
        </w:rPr>
        <w:t>, D. D.</w:t>
      </w:r>
      <w:r w:rsidRPr="00100AAC">
        <w:rPr>
          <w:color w:val="000000"/>
        </w:rPr>
        <w:t xml:space="preserve"> (2016). </w:t>
      </w:r>
      <w:r w:rsidR="00947D9E" w:rsidRPr="00100AAC">
        <w:rPr>
          <w:color w:val="000000"/>
        </w:rPr>
        <w:t>Hall of shame revisited: The appropriateness and legal implications of employer-sponsored dodgeball and kickball events</w:t>
      </w:r>
      <w:r w:rsidRPr="00100AAC">
        <w:rPr>
          <w:color w:val="000000"/>
        </w:rPr>
        <w:t xml:space="preserve">. </w:t>
      </w:r>
      <w:r w:rsidRPr="00100AAC">
        <w:rPr>
          <w:i/>
          <w:iCs/>
          <w:color w:val="000000"/>
        </w:rPr>
        <w:t>Journal of Contemporary Athletics</w:t>
      </w:r>
      <w:r w:rsidRPr="00100AAC">
        <w:rPr>
          <w:color w:val="000000"/>
        </w:rPr>
        <w:t xml:space="preserve">, </w:t>
      </w:r>
      <w:r w:rsidRPr="00100AAC">
        <w:rPr>
          <w:i/>
          <w:iCs/>
          <w:color w:val="000000"/>
        </w:rPr>
        <w:t>10</w:t>
      </w:r>
      <w:r w:rsidRPr="00100AAC">
        <w:rPr>
          <w:color w:val="000000"/>
        </w:rPr>
        <w:t>(3), 215</w:t>
      </w:r>
      <w:r w:rsidR="00947D9E" w:rsidRPr="00100AAC">
        <w:rPr>
          <w:color w:val="000000"/>
        </w:rPr>
        <w:t>–</w:t>
      </w:r>
      <w:r w:rsidRPr="00100AAC">
        <w:rPr>
          <w:color w:val="000000"/>
        </w:rPr>
        <w:t xml:space="preserve">225. </w:t>
      </w:r>
    </w:p>
    <w:p w14:paraId="40720681" w14:textId="40C35BFA" w:rsidR="00F27FE6" w:rsidRPr="00100AAC" w:rsidRDefault="00F27FE6" w:rsidP="009D3BFB">
      <w:pPr>
        <w:pStyle w:val="paragraph"/>
        <w:spacing w:line="480" w:lineRule="auto"/>
        <w:ind w:left="720" w:hanging="720"/>
        <w:jc w:val="both"/>
        <w:rPr>
          <w:color w:val="000000"/>
        </w:rPr>
      </w:pPr>
      <w:r w:rsidRPr="00100AAC">
        <w:rPr>
          <w:color w:val="000000"/>
        </w:rPr>
        <w:t xml:space="preserve">McCarthy, L., Allanson, A., &amp; Stoszkowski, J. (2021). Moving </w:t>
      </w:r>
      <w:r w:rsidR="00671921" w:rsidRPr="00100AAC">
        <w:rPr>
          <w:color w:val="000000"/>
        </w:rPr>
        <w:t>toward authentic, learning-oriented assessment in coach education</w:t>
      </w:r>
      <w:r w:rsidRPr="00100AAC">
        <w:rPr>
          <w:color w:val="000000"/>
        </w:rPr>
        <w:t>. </w:t>
      </w:r>
      <w:r w:rsidRPr="00100AAC">
        <w:rPr>
          <w:i/>
          <w:iCs/>
          <w:color w:val="000000"/>
        </w:rPr>
        <w:t>International Sport Coaching Journal</w:t>
      </w:r>
      <w:r w:rsidRPr="00100AAC">
        <w:rPr>
          <w:color w:val="000000"/>
        </w:rPr>
        <w:t>, </w:t>
      </w:r>
      <w:r w:rsidRPr="00100AAC">
        <w:rPr>
          <w:i/>
          <w:iCs/>
          <w:color w:val="000000"/>
        </w:rPr>
        <w:t>8</w:t>
      </w:r>
      <w:r w:rsidRPr="00100AAC">
        <w:rPr>
          <w:color w:val="000000"/>
        </w:rPr>
        <w:t xml:space="preserve">(3), 400–404. </w:t>
      </w:r>
      <w:hyperlink r:id="rId31" w:history="1">
        <w:r w:rsidR="007E5B0B" w:rsidRPr="00100AAC">
          <w:rPr>
            <w:rStyle w:val="Hyperlink"/>
          </w:rPr>
          <w:t>https://doi.org/10.1123/iscj.2020-0050</w:t>
        </w:r>
      </w:hyperlink>
      <w:r w:rsidR="007E5B0B" w:rsidRPr="00100AAC">
        <w:rPr>
          <w:color w:val="000000"/>
        </w:rPr>
        <w:t xml:space="preserve"> </w:t>
      </w:r>
    </w:p>
    <w:p w14:paraId="413644EB" w14:textId="7FECDF02" w:rsidR="00B363FC" w:rsidRPr="00100AAC" w:rsidRDefault="00B363FC" w:rsidP="009D3BFB">
      <w:pPr>
        <w:pStyle w:val="paragraph"/>
        <w:spacing w:line="480" w:lineRule="auto"/>
        <w:ind w:left="720" w:hanging="720"/>
        <w:jc w:val="both"/>
        <w:rPr>
          <w:color w:val="000000"/>
        </w:rPr>
      </w:pPr>
      <w:r w:rsidRPr="00100AAC">
        <w:rPr>
          <w:color w:val="000000"/>
        </w:rPr>
        <w:t xml:space="preserve">Moon, J. (2001). </w:t>
      </w:r>
      <w:r w:rsidRPr="00100AAC">
        <w:rPr>
          <w:i/>
          <w:iCs/>
          <w:color w:val="000000"/>
        </w:rPr>
        <w:t>Short courses and workshops: Improving the impact of learning and professional development</w:t>
      </w:r>
      <w:r w:rsidRPr="00100AAC">
        <w:rPr>
          <w:color w:val="000000"/>
        </w:rPr>
        <w:t xml:space="preserve">. Kogan Page. </w:t>
      </w:r>
    </w:p>
    <w:p w14:paraId="5D5E36E7" w14:textId="6A5CB84D" w:rsidR="00B363FC" w:rsidRPr="00100AAC" w:rsidRDefault="00B363FC" w:rsidP="009D3BFB">
      <w:pPr>
        <w:pStyle w:val="paragraph"/>
        <w:spacing w:line="480" w:lineRule="auto"/>
        <w:ind w:left="720" w:hanging="720"/>
        <w:jc w:val="both"/>
        <w:rPr>
          <w:color w:val="000000"/>
        </w:rPr>
      </w:pPr>
      <w:r w:rsidRPr="00100AAC">
        <w:rPr>
          <w:color w:val="000000"/>
        </w:rPr>
        <w:t xml:space="preserve">Moon, J. (2004). </w:t>
      </w:r>
      <w:r w:rsidRPr="00100AAC">
        <w:rPr>
          <w:i/>
          <w:iCs/>
          <w:color w:val="000000"/>
        </w:rPr>
        <w:t>A handbook of reflective and experimental learning: Theory and practice</w:t>
      </w:r>
      <w:r w:rsidRPr="00100AAC">
        <w:rPr>
          <w:color w:val="000000"/>
        </w:rPr>
        <w:t>. Routledge.</w:t>
      </w:r>
    </w:p>
    <w:p w14:paraId="02174AE0" w14:textId="12960582" w:rsidR="00E915CE" w:rsidRPr="00100AAC" w:rsidRDefault="00E915CE" w:rsidP="009D3BFB">
      <w:pPr>
        <w:pStyle w:val="paragraph"/>
        <w:spacing w:line="480" w:lineRule="auto"/>
        <w:ind w:left="720" w:hanging="720"/>
        <w:jc w:val="both"/>
        <w:rPr>
          <w:color w:val="000000"/>
        </w:rPr>
      </w:pPr>
      <w:r w:rsidRPr="00100AAC">
        <w:rPr>
          <w:color w:val="000000"/>
        </w:rPr>
        <w:t xml:space="preserve">Nelson, L., Cushion, C., &amp; Potrac, P. (2013). Enhancing the provision of coach education: The recommendations of UK coaching practitioners. </w:t>
      </w:r>
      <w:r w:rsidRPr="00100AAC">
        <w:rPr>
          <w:i/>
          <w:iCs/>
          <w:color w:val="000000"/>
        </w:rPr>
        <w:t>Physical Education and Sport Pedagogy</w:t>
      </w:r>
      <w:r w:rsidRPr="00100AAC">
        <w:rPr>
          <w:color w:val="000000"/>
        </w:rPr>
        <w:t xml:space="preserve">, </w:t>
      </w:r>
      <w:r w:rsidRPr="00100AAC">
        <w:rPr>
          <w:i/>
          <w:iCs/>
          <w:color w:val="000000"/>
        </w:rPr>
        <w:t>18</w:t>
      </w:r>
      <w:r w:rsidRPr="00100AAC">
        <w:rPr>
          <w:color w:val="000000"/>
        </w:rPr>
        <w:t xml:space="preserve">(2), 204–218. </w:t>
      </w:r>
      <w:hyperlink r:id="rId32" w:history="1">
        <w:r w:rsidR="007E5B0B" w:rsidRPr="00100AAC">
          <w:rPr>
            <w:rStyle w:val="Hyperlink"/>
          </w:rPr>
          <w:t>http://dx.doi.org/10.1080/17408989.2011.649725</w:t>
        </w:r>
      </w:hyperlink>
      <w:r w:rsidR="007E5B0B" w:rsidRPr="00100AAC">
        <w:rPr>
          <w:color w:val="000000"/>
        </w:rPr>
        <w:t xml:space="preserve"> </w:t>
      </w:r>
    </w:p>
    <w:p w14:paraId="1977B53D" w14:textId="424A2B13" w:rsidR="00187907" w:rsidRPr="00100AAC" w:rsidRDefault="00187907" w:rsidP="009D3BFB">
      <w:pPr>
        <w:pStyle w:val="paragraph"/>
        <w:spacing w:line="480" w:lineRule="auto"/>
        <w:ind w:left="720" w:hanging="720"/>
        <w:jc w:val="both"/>
        <w:rPr>
          <w:color w:val="000000"/>
        </w:rPr>
      </w:pPr>
      <w:r w:rsidRPr="00100AAC">
        <w:rPr>
          <w:color w:val="000000"/>
        </w:rPr>
        <w:t xml:space="preserve">Newman, T. J., Santos, F., Cardoso, A., &amp; Pereira, P. (2020). The </w:t>
      </w:r>
      <w:r w:rsidR="00190E46" w:rsidRPr="00100AAC">
        <w:rPr>
          <w:color w:val="000000"/>
        </w:rPr>
        <w:t xml:space="preserve">experiential nature of coach education within a positive youth development perspective: Implications for practice </w:t>
      </w:r>
      <w:r w:rsidR="00190E46" w:rsidRPr="00100AAC">
        <w:rPr>
          <w:color w:val="000000"/>
        </w:rPr>
        <w:lastRenderedPageBreak/>
        <w:t>and research.</w:t>
      </w:r>
      <w:r w:rsidRPr="00100AAC">
        <w:rPr>
          <w:color w:val="000000"/>
        </w:rPr>
        <w:t xml:space="preserve"> </w:t>
      </w:r>
      <w:r w:rsidRPr="00100AAC">
        <w:rPr>
          <w:i/>
          <w:iCs/>
          <w:color w:val="000000"/>
        </w:rPr>
        <w:t>International Sport Coaching Journal</w:t>
      </w:r>
      <w:r w:rsidRPr="00100AAC">
        <w:rPr>
          <w:color w:val="000000"/>
        </w:rPr>
        <w:t xml:space="preserve">, </w:t>
      </w:r>
      <w:r w:rsidRPr="00100AAC">
        <w:rPr>
          <w:i/>
          <w:iCs/>
          <w:color w:val="000000"/>
        </w:rPr>
        <w:t>7</w:t>
      </w:r>
      <w:r w:rsidRPr="00100AAC">
        <w:rPr>
          <w:color w:val="000000"/>
        </w:rPr>
        <w:t>(3), 398</w:t>
      </w:r>
      <w:r w:rsidR="00190E46" w:rsidRPr="00100AAC">
        <w:rPr>
          <w:color w:val="000000"/>
        </w:rPr>
        <w:t>–</w:t>
      </w:r>
      <w:r w:rsidRPr="00100AAC">
        <w:rPr>
          <w:color w:val="000000"/>
        </w:rPr>
        <w:t xml:space="preserve">406. </w:t>
      </w:r>
      <w:hyperlink r:id="rId33" w:history="1">
        <w:r w:rsidR="00905856" w:rsidRPr="00100AAC">
          <w:rPr>
            <w:rStyle w:val="Hyperlink"/>
          </w:rPr>
          <w:t>https://doi.org/10.1123/iscj.2019-0106</w:t>
        </w:r>
      </w:hyperlink>
      <w:r w:rsidR="00905856" w:rsidRPr="00100AAC">
        <w:rPr>
          <w:color w:val="000000"/>
        </w:rPr>
        <w:t xml:space="preserve"> </w:t>
      </w:r>
    </w:p>
    <w:p w14:paraId="60CD5BE4" w14:textId="55C1DC65" w:rsidR="00E70834" w:rsidRPr="00100AAC" w:rsidRDefault="00E70834" w:rsidP="009D3BFB">
      <w:pPr>
        <w:pStyle w:val="paragraph"/>
        <w:spacing w:line="480" w:lineRule="auto"/>
        <w:ind w:left="720" w:hanging="720"/>
        <w:jc w:val="both"/>
        <w:rPr>
          <w:color w:val="000000"/>
        </w:rPr>
      </w:pPr>
      <w:r w:rsidRPr="00100AAC">
        <w:rPr>
          <w:color w:val="000000"/>
        </w:rPr>
        <w:t>Piggott</w:t>
      </w:r>
      <w:r w:rsidR="00190E46" w:rsidRPr="00100AAC">
        <w:rPr>
          <w:color w:val="000000"/>
        </w:rPr>
        <w:t>, D.</w:t>
      </w:r>
      <w:r w:rsidRPr="00100AAC">
        <w:rPr>
          <w:color w:val="000000"/>
        </w:rPr>
        <w:t xml:space="preserve"> (2015)</w:t>
      </w:r>
      <w:r w:rsidR="00190E46" w:rsidRPr="00100AAC">
        <w:rPr>
          <w:color w:val="000000"/>
        </w:rPr>
        <w:t>.</w:t>
      </w:r>
      <w:r w:rsidRPr="00100AAC">
        <w:rPr>
          <w:color w:val="000000"/>
        </w:rPr>
        <w:t xml:space="preserve"> The Open Society and coach education: </w:t>
      </w:r>
      <w:r w:rsidR="00190E46" w:rsidRPr="00100AAC">
        <w:rPr>
          <w:color w:val="000000"/>
        </w:rPr>
        <w:t>A</w:t>
      </w:r>
      <w:r w:rsidRPr="00100AAC">
        <w:rPr>
          <w:color w:val="000000"/>
        </w:rPr>
        <w:t xml:space="preserve"> philosophical agenda for policy reform and future sociological research</w:t>
      </w:r>
      <w:r w:rsidR="00190E46" w:rsidRPr="00100AAC">
        <w:rPr>
          <w:color w:val="000000"/>
        </w:rPr>
        <w:t>.</w:t>
      </w:r>
      <w:r w:rsidRPr="00100AAC">
        <w:rPr>
          <w:color w:val="000000"/>
        </w:rPr>
        <w:t xml:space="preserve"> </w:t>
      </w:r>
      <w:r w:rsidRPr="00100AAC">
        <w:rPr>
          <w:i/>
          <w:iCs/>
          <w:color w:val="000000"/>
        </w:rPr>
        <w:t>Physical Education and Sport Pedagogy</w:t>
      </w:r>
      <w:r w:rsidRPr="00100AAC">
        <w:rPr>
          <w:color w:val="000000"/>
        </w:rPr>
        <w:t xml:space="preserve">, </w:t>
      </w:r>
      <w:r w:rsidRPr="00100AAC">
        <w:rPr>
          <w:i/>
          <w:iCs/>
          <w:color w:val="000000"/>
        </w:rPr>
        <w:t>20</w:t>
      </w:r>
      <w:r w:rsidR="00190E46" w:rsidRPr="00100AAC">
        <w:rPr>
          <w:color w:val="000000"/>
        </w:rPr>
        <w:t>(</w:t>
      </w:r>
      <w:r w:rsidRPr="00100AAC">
        <w:rPr>
          <w:color w:val="000000"/>
        </w:rPr>
        <w:t>3</w:t>
      </w:r>
      <w:r w:rsidR="00190E46" w:rsidRPr="00100AAC">
        <w:rPr>
          <w:color w:val="000000"/>
        </w:rPr>
        <w:t>)</w:t>
      </w:r>
      <w:r w:rsidRPr="00100AAC">
        <w:rPr>
          <w:color w:val="000000"/>
        </w:rPr>
        <w:t>, 283</w:t>
      </w:r>
      <w:r w:rsidR="00190E46" w:rsidRPr="00100AAC">
        <w:rPr>
          <w:color w:val="000000"/>
        </w:rPr>
        <w:t>–</w:t>
      </w:r>
      <w:r w:rsidRPr="00100AAC">
        <w:rPr>
          <w:color w:val="000000"/>
        </w:rPr>
        <w:t>298</w:t>
      </w:r>
      <w:r w:rsidR="00190E46" w:rsidRPr="00100AAC">
        <w:rPr>
          <w:color w:val="000000"/>
        </w:rPr>
        <w:t>.</w:t>
      </w:r>
      <w:r w:rsidRPr="00100AAC">
        <w:rPr>
          <w:color w:val="000000"/>
        </w:rPr>
        <w:t xml:space="preserve"> </w:t>
      </w:r>
      <w:hyperlink r:id="rId34" w:history="1">
        <w:r w:rsidR="00905856" w:rsidRPr="00100AAC">
          <w:rPr>
            <w:rStyle w:val="Hyperlink"/>
          </w:rPr>
          <w:t>http://dx.doi.org/10.1080/17408989.2013.837435</w:t>
        </w:r>
      </w:hyperlink>
      <w:r w:rsidR="00905856" w:rsidRPr="00100AAC">
        <w:rPr>
          <w:color w:val="000000"/>
        </w:rPr>
        <w:t xml:space="preserve"> </w:t>
      </w:r>
    </w:p>
    <w:p w14:paraId="10777D97" w14:textId="75F87B76" w:rsidR="00E915CE" w:rsidRPr="00100AAC" w:rsidRDefault="00E915CE" w:rsidP="009D3BFB">
      <w:pPr>
        <w:pStyle w:val="paragraph"/>
        <w:spacing w:line="480" w:lineRule="auto"/>
        <w:ind w:left="720" w:hanging="720"/>
        <w:jc w:val="both"/>
        <w:rPr>
          <w:color w:val="000000"/>
        </w:rPr>
      </w:pPr>
      <w:r w:rsidRPr="00100AAC">
        <w:rPr>
          <w:color w:val="000000"/>
        </w:rPr>
        <w:t>Santos, F., Camiré, M., MacDonald, D. J., Campos, H., Conceição, M., &amp; Silva, A. (</w:t>
      </w:r>
      <w:r w:rsidR="00673EFC" w:rsidRPr="00100AAC">
        <w:rPr>
          <w:color w:val="000000"/>
        </w:rPr>
        <w:t>2019</w:t>
      </w:r>
      <w:r w:rsidRPr="00100AAC">
        <w:rPr>
          <w:color w:val="000000"/>
        </w:rPr>
        <w:t xml:space="preserve">). Process and </w:t>
      </w:r>
      <w:r w:rsidR="00190E46" w:rsidRPr="00100AAC">
        <w:rPr>
          <w:color w:val="000000"/>
        </w:rPr>
        <w:t>outcome evaluation of a positive youth development-focused online coach education course.</w:t>
      </w:r>
      <w:r w:rsidRPr="00100AAC">
        <w:rPr>
          <w:color w:val="000000"/>
        </w:rPr>
        <w:t xml:space="preserve"> </w:t>
      </w:r>
      <w:r w:rsidRPr="00100AAC">
        <w:rPr>
          <w:i/>
          <w:iCs/>
          <w:color w:val="000000"/>
        </w:rPr>
        <w:t>International Sport Coaching Journal,</w:t>
      </w:r>
      <w:r w:rsidRPr="00100AAC">
        <w:rPr>
          <w:color w:val="000000"/>
        </w:rPr>
        <w:t xml:space="preserve"> </w:t>
      </w:r>
      <w:r w:rsidRPr="00100AAC">
        <w:rPr>
          <w:i/>
          <w:iCs/>
          <w:color w:val="000000"/>
        </w:rPr>
        <w:t>6</w:t>
      </w:r>
      <w:r w:rsidRPr="00100AAC">
        <w:rPr>
          <w:color w:val="000000"/>
        </w:rPr>
        <w:t>(1), 1</w:t>
      </w:r>
      <w:r w:rsidR="00190E46" w:rsidRPr="00100AAC">
        <w:rPr>
          <w:color w:val="000000"/>
        </w:rPr>
        <w:t>–</w:t>
      </w:r>
      <w:r w:rsidRPr="00100AAC">
        <w:rPr>
          <w:color w:val="000000"/>
        </w:rPr>
        <w:t>12.</w:t>
      </w:r>
      <w:r w:rsidR="00E70834" w:rsidRPr="00100AAC">
        <w:t xml:space="preserve"> </w:t>
      </w:r>
      <w:hyperlink r:id="rId35" w:history="1">
        <w:r w:rsidR="00905856" w:rsidRPr="00100AAC">
          <w:rPr>
            <w:rStyle w:val="Hyperlink"/>
          </w:rPr>
          <w:t>https://doi.org/10.1123/iscj.2017-0101</w:t>
        </w:r>
      </w:hyperlink>
      <w:r w:rsidR="00905856" w:rsidRPr="00100AAC">
        <w:t xml:space="preserve"> </w:t>
      </w:r>
    </w:p>
    <w:p w14:paraId="33C3D923" w14:textId="79C66C55" w:rsidR="00E70834" w:rsidRPr="00100AAC" w:rsidRDefault="00E70834" w:rsidP="009D3BFB">
      <w:pPr>
        <w:pStyle w:val="paragraph"/>
        <w:spacing w:line="480" w:lineRule="auto"/>
        <w:ind w:left="720" w:hanging="720"/>
        <w:jc w:val="both"/>
        <w:rPr>
          <w:color w:val="000000"/>
        </w:rPr>
      </w:pPr>
      <w:r w:rsidRPr="00100AAC">
        <w:rPr>
          <w:color w:val="000000"/>
        </w:rPr>
        <w:t>Santos</w:t>
      </w:r>
      <w:r w:rsidR="00190E46" w:rsidRPr="00100AAC">
        <w:rPr>
          <w:color w:val="000000"/>
        </w:rPr>
        <w:t>,</w:t>
      </w:r>
      <w:r w:rsidRPr="00100AAC">
        <w:rPr>
          <w:color w:val="000000"/>
        </w:rPr>
        <w:t xml:space="preserve"> F</w:t>
      </w:r>
      <w:r w:rsidR="00190E46" w:rsidRPr="00100AAC">
        <w:rPr>
          <w:color w:val="000000"/>
        </w:rPr>
        <w:t>.</w:t>
      </w:r>
      <w:r w:rsidRPr="00100AAC">
        <w:rPr>
          <w:color w:val="000000"/>
        </w:rPr>
        <w:t>, Cardoso</w:t>
      </w:r>
      <w:r w:rsidR="00190E46" w:rsidRPr="00100AAC">
        <w:rPr>
          <w:color w:val="000000"/>
        </w:rPr>
        <w:t>,</w:t>
      </w:r>
      <w:r w:rsidRPr="00100AAC">
        <w:rPr>
          <w:color w:val="000000"/>
        </w:rPr>
        <w:t xml:space="preserve"> A</w:t>
      </w:r>
      <w:r w:rsidR="00190E46" w:rsidRPr="00100AAC">
        <w:rPr>
          <w:color w:val="000000"/>
        </w:rPr>
        <w:t>.</w:t>
      </w:r>
      <w:r w:rsidRPr="00100AAC">
        <w:rPr>
          <w:color w:val="000000"/>
        </w:rPr>
        <w:t>, Pereira</w:t>
      </w:r>
      <w:r w:rsidR="00190E46" w:rsidRPr="00100AAC">
        <w:rPr>
          <w:color w:val="000000"/>
        </w:rPr>
        <w:t>,</w:t>
      </w:r>
      <w:r w:rsidRPr="00100AAC">
        <w:rPr>
          <w:color w:val="000000"/>
        </w:rPr>
        <w:t xml:space="preserve"> P</w:t>
      </w:r>
      <w:r w:rsidR="00190E46" w:rsidRPr="00100AAC">
        <w:rPr>
          <w:color w:val="000000"/>
        </w:rPr>
        <w:t>.,</w:t>
      </w:r>
      <w:r w:rsidRPr="00100AAC">
        <w:rPr>
          <w:color w:val="000000"/>
        </w:rPr>
        <w:t xml:space="preserve"> </w:t>
      </w:r>
      <w:r w:rsidR="00190E46" w:rsidRPr="00100AAC">
        <w:rPr>
          <w:color w:val="000000"/>
        </w:rPr>
        <w:t>&amp;</w:t>
      </w:r>
      <w:r w:rsidRPr="00100AAC">
        <w:rPr>
          <w:color w:val="000000"/>
        </w:rPr>
        <w:t xml:space="preserve"> Strachan</w:t>
      </w:r>
      <w:r w:rsidR="00190E46" w:rsidRPr="00100AAC">
        <w:rPr>
          <w:color w:val="000000"/>
        </w:rPr>
        <w:t>,</w:t>
      </w:r>
      <w:r w:rsidRPr="00100AAC">
        <w:rPr>
          <w:color w:val="000000"/>
        </w:rPr>
        <w:t xml:space="preserve"> L</w:t>
      </w:r>
      <w:r w:rsidR="00190E46" w:rsidRPr="00100AAC">
        <w:rPr>
          <w:color w:val="000000"/>
        </w:rPr>
        <w:t>.</w:t>
      </w:r>
      <w:r w:rsidRPr="00100AAC">
        <w:rPr>
          <w:color w:val="000000"/>
        </w:rPr>
        <w:t xml:space="preserve"> (2021)</w:t>
      </w:r>
      <w:r w:rsidR="00190E46" w:rsidRPr="00100AAC">
        <w:rPr>
          <w:color w:val="000000"/>
        </w:rPr>
        <w:t>.</w:t>
      </w:r>
      <w:r w:rsidRPr="00100AAC">
        <w:rPr>
          <w:color w:val="000000"/>
        </w:rPr>
        <w:t xml:space="preserve"> Coach </w:t>
      </w:r>
      <w:r w:rsidR="00190E46" w:rsidRPr="00100AAC">
        <w:rPr>
          <w:color w:val="000000"/>
        </w:rPr>
        <w:t>training within</w:t>
      </w:r>
      <w:r w:rsidRPr="00100AAC">
        <w:rPr>
          <w:color w:val="000000"/>
        </w:rPr>
        <w:t xml:space="preserve"> the Covid-19 </w:t>
      </w:r>
      <w:r w:rsidR="00190E46" w:rsidRPr="00100AAC">
        <w:rPr>
          <w:color w:val="000000"/>
        </w:rPr>
        <w:t>p</w:t>
      </w:r>
      <w:r w:rsidRPr="00100AAC">
        <w:rPr>
          <w:color w:val="000000"/>
        </w:rPr>
        <w:t xml:space="preserve">andemic: Challenges and </w:t>
      </w:r>
      <w:r w:rsidR="00190E46" w:rsidRPr="00100AAC">
        <w:rPr>
          <w:color w:val="000000"/>
        </w:rPr>
        <w:t>potential pathways</w:t>
      </w:r>
      <w:r w:rsidRPr="00100AAC">
        <w:rPr>
          <w:color w:val="000000"/>
        </w:rPr>
        <w:t xml:space="preserve">. </w:t>
      </w:r>
      <w:r w:rsidRPr="00100AAC">
        <w:rPr>
          <w:i/>
          <w:iCs/>
          <w:color w:val="000000"/>
        </w:rPr>
        <w:t>Front</w:t>
      </w:r>
      <w:r w:rsidR="00190E46" w:rsidRPr="00100AAC">
        <w:rPr>
          <w:i/>
          <w:iCs/>
          <w:color w:val="000000"/>
        </w:rPr>
        <w:t>iers in</w:t>
      </w:r>
      <w:r w:rsidRPr="00100AAC">
        <w:rPr>
          <w:i/>
          <w:iCs/>
          <w:color w:val="000000"/>
        </w:rPr>
        <w:t xml:space="preserve"> Psychol</w:t>
      </w:r>
      <w:r w:rsidR="00190E46" w:rsidRPr="00100AAC">
        <w:rPr>
          <w:i/>
          <w:iCs/>
          <w:color w:val="000000"/>
        </w:rPr>
        <w:t>ogy</w:t>
      </w:r>
      <w:r w:rsidR="00190E46" w:rsidRPr="00100AAC">
        <w:rPr>
          <w:color w:val="000000"/>
        </w:rPr>
        <w:t>,</w:t>
      </w:r>
      <w:r w:rsidRPr="00100AAC">
        <w:rPr>
          <w:color w:val="000000"/>
        </w:rPr>
        <w:t xml:space="preserve"> </w:t>
      </w:r>
      <w:r w:rsidRPr="00100AAC">
        <w:rPr>
          <w:i/>
          <w:iCs/>
          <w:color w:val="000000"/>
        </w:rPr>
        <w:t>12</w:t>
      </w:r>
      <w:r w:rsidR="00190E46" w:rsidRPr="00100AAC">
        <w:rPr>
          <w:color w:val="000000"/>
        </w:rPr>
        <w:t>(</w:t>
      </w:r>
      <w:r w:rsidRPr="00100AAC">
        <w:rPr>
          <w:color w:val="000000"/>
        </w:rPr>
        <w:t>570706</w:t>
      </w:r>
      <w:r w:rsidR="00190E46" w:rsidRPr="00100AAC">
        <w:rPr>
          <w:color w:val="000000"/>
        </w:rPr>
        <w:t>), 1–5</w:t>
      </w:r>
      <w:r w:rsidRPr="00100AAC">
        <w:rPr>
          <w:color w:val="000000"/>
        </w:rPr>
        <w:t xml:space="preserve">. </w:t>
      </w:r>
      <w:hyperlink r:id="rId36" w:history="1">
        <w:r w:rsidR="00905856" w:rsidRPr="00100AAC">
          <w:rPr>
            <w:rStyle w:val="Hyperlink"/>
          </w:rPr>
          <w:t>https://doi.org/10.3389/fpsyg.2021.570706</w:t>
        </w:r>
      </w:hyperlink>
      <w:r w:rsidR="00905856" w:rsidRPr="00100AAC">
        <w:rPr>
          <w:color w:val="000000"/>
        </w:rPr>
        <w:t xml:space="preserve"> </w:t>
      </w:r>
    </w:p>
    <w:p w14:paraId="1CF980E7" w14:textId="263ADE18" w:rsidR="00B96FF7" w:rsidRPr="00100AAC" w:rsidRDefault="00B96FF7" w:rsidP="009D3BFB">
      <w:pPr>
        <w:pStyle w:val="paragraph"/>
        <w:spacing w:line="480" w:lineRule="auto"/>
        <w:ind w:left="720" w:hanging="720"/>
        <w:jc w:val="both"/>
        <w:rPr>
          <w:color w:val="000000"/>
        </w:rPr>
      </w:pPr>
      <w:r w:rsidRPr="00100AAC">
        <w:rPr>
          <w:color w:val="000000"/>
        </w:rPr>
        <w:t xml:space="preserve">Sparkes, A.C., &amp; Smith, B. (2014). </w:t>
      </w:r>
      <w:r w:rsidRPr="00100AAC">
        <w:rPr>
          <w:i/>
          <w:iCs/>
          <w:color w:val="000000"/>
        </w:rPr>
        <w:t>Qualitative research methods in sport, exercise and health: From process to product</w:t>
      </w:r>
      <w:r w:rsidRPr="00100AAC">
        <w:rPr>
          <w:color w:val="000000"/>
        </w:rPr>
        <w:t>. Routledge.</w:t>
      </w:r>
    </w:p>
    <w:p w14:paraId="24B11D6E" w14:textId="630D609B" w:rsidR="00E915CE" w:rsidRPr="00100AAC" w:rsidRDefault="00E915CE" w:rsidP="009D3BFB">
      <w:pPr>
        <w:pStyle w:val="paragraph"/>
        <w:spacing w:line="480" w:lineRule="auto"/>
        <w:ind w:left="720" w:hanging="720"/>
        <w:jc w:val="both"/>
        <w:rPr>
          <w:color w:val="000000"/>
        </w:rPr>
      </w:pPr>
      <w:r w:rsidRPr="00100AAC">
        <w:rPr>
          <w:color w:val="000000"/>
        </w:rPr>
        <w:t>Stewart</w:t>
      </w:r>
      <w:r w:rsidR="00190E46" w:rsidRPr="00100AAC">
        <w:rPr>
          <w:color w:val="000000"/>
        </w:rPr>
        <w:t>, C.</w:t>
      </w:r>
      <w:r w:rsidRPr="00100AAC">
        <w:rPr>
          <w:color w:val="000000"/>
        </w:rPr>
        <w:t xml:space="preserve"> (2006)</w:t>
      </w:r>
      <w:r w:rsidR="00190E46" w:rsidRPr="00100AAC">
        <w:rPr>
          <w:color w:val="000000"/>
        </w:rPr>
        <w:t>.</w:t>
      </w:r>
      <w:r w:rsidRPr="00100AAC">
        <w:rPr>
          <w:color w:val="000000"/>
        </w:rPr>
        <w:t xml:space="preserve"> The Montana </w:t>
      </w:r>
      <w:r w:rsidR="00190E46" w:rsidRPr="00100AAC">
        <w:rPr>
          <w:color w:val="000000"/>
        </w:rPr>
        <w:t>m</w:t>
      </w:r>
      <w:r w:rsidRPr="00100AAC">
        <w:rPr>
          <w:color w:val="000000"/>
        </w:rPr>
        <w:t>odel</w:t>
      </w:r>
      <w:r w:rsidR="00190E46" w:rsidRPr="00100AAC">
        <w:rPr>
          <w:color w:val="000000"/>
        </w:rPr>
        <w:t>.</w:t>
      </w:r>
      <w:r w:rsidRPr="00100AAC">
        <w:rPr>
          <w:color w:val="000000"/>
        </w:rPr>
        <w:t xml:space="preserve"> </w:t>
      </w:r>
      <w:r w:rsidRPr="00100AAC">
        <w:rPr>
          <w:i/>
          <w:iCs/>
          <w:color w:val="000000"/>
        </w:rPr>
        <w:t>Journal of Physical Education, Recreation &amp; Dance</w:t>
      </w:r>
      <w:r w:rsidRPr="00100AAC">
        <w:rPr>
          <w:color w:val="000000"/>
        </w:rPr>
        <w:t xml:space="preserve">, </w:t>
      </w:r>
      <w:r w:rsidRPr="00100AAC">
        <w:rPr>
          <w:i/>
          <w:iCs/>
          <w:color w:val="000000"/>
        </w:rPr>
        <w:t>77</w:t>
      </w:r>
      <w:r w:rsidR="00190E46" w:rsidRPr="00100AAC">
        <w:rPr>
          <w:color w:val="000000"/>
        </w:rPr>
        <w:t>(</w:t>
      </w:r>
      <w:r w:rsidRPr="00100AAC">
        <w:rPr>
          <w:color w:val="000000"/>
        </w:rPr>
        <w:t>4</w:t>
      </w:r>
      <w:r w:rsidR="00190E46" w:rsidRPr="00100AAC">
        <w:rPr>
          <w:color w:val="000000"/>
        </w:rPr>
        <w:t>)</w:t>
      </w:r>
      <w:r w:rsidRPr="00100AAC">
        <w:rPr>
          <w:color w:val="000000"/>
        </w:rPr>
        <w:t>, 34</w:t>
      </w:r>
      <w:r w:rsidR="00190E46" w:rsidRPr="00100AAC">
        <w:rPr>
          <w:color w:val="000000"/>
        </w:rPr>
        <w:t>–</w:t>
      </w:r>
      <w:r w:rsidRPr="00100AAC">
        <w:rPr>
          <w:color w:val="000000"/>
        </w:rPr>
        <w:t>44</w:t>
      </w:r>
      <w:r w:rsidR="00190E46" w:rsidRPr="00100AAC">
        <w:rPr>
          <w:color w:val="000000"/>
        </w:rPr>
        <w:t>.</w:t>
      </w:r>
      <w:r w:rsidRPr="00100AAC">
        <w:rPr>
          <w:color w:val="000000"/>
        </w:rPr>
        <w:t xml:space="preserve"> </w:t>
      </w:r>
      <w:hyperlink r:id="rId37" w:history="1">
        <w:r w:rsidR="00905856" w:rsidRPr="00100AAC">
          <w:rPr>
            <w:rStyle w:val="Hyperlink"/>
          </w:rPr>
          <w:t>https://doi.org/10.1080/07303084.2006.10597861</w:t>
        </w:r>
      </w:hyperlink>
      <w:r w:rsidR="00905856" w:rsidRPr="00100AAC">
        <w:rPr>
          <w:color w:val="000000"/>
        </w:rPr>
        <w:t xml:space="preserve"> </w:t>
      </w:r>
    </w:p>
    <w:p w14:paraId="66739737" w14:textId="66ECEF04" w:rsidR="00CA0AE8" w:rsidRPr="00100AAC" w:rsidRDefault="00CA0AE8" w:rsidP="009D3BFB">
      <w:pPr>
        <w:pStyle w:val="paragraph"/>
        <w:spacing w:line="480" w:lineRule="auto"/>
        <w:ind w:left="720" w:hanging="720"/>
        <w:jc w:val="both"/>
        <w:rPr>
          <w:color w:val="000000"/>
        </w:rPr>
      </w:pPr>
      <w:r w:rsidRPr="00100AAC">
        <w:rPr>
          <w:color w:val="000000"/>
        </w:rPr>
        <w:t xml:space="preserve">Stodter, A. (2021). Myths about </w:t>
      </w:r>
      <w:r w:rsidR="001D1E9F" w:rsidRPr="00100AAC">
        <w:rPr>
          <w:color w:val="000000"/>
        </w:rPr>
        <w:t>learning styles in sport coach education</w:t>
      </w:r>
      <w:r w:rsidRPr="00100AAC">
        <w:rPr>
          <w:color w:val="000000"/>
        </w:rPr>
        <w:t xml:space="preserve">. In A. Whitehead &amp; J. Coe (Eds.), </w:t>
      </w:r>
      <w:r w:rsidRPr="00100AAC">
        <w:rPr>
          <w:i/>
          <w:iCs/>
          <w:color w:val="000000"/>
        </w:rPr>
        <w:t>Myths of sport coaching</w:t>
      </w:r>
      <w:r w:rsidRPr="00100AAC">
        <w:rPr>
          <w:color w:val="000000"/>
        </w:rPr>
        <w:t xml:space="preserve"> (pp.</w:t>
      </w:r>
      <w:r w:rsidR="00190E46" w:rsidRPr="00100AAC">
        <w:rPr>
          <w:color w:val="000000"/>
        </w:rPr>
        <w:t xml:space="preserve"> 66–77</w:t>
      </w:r>
      <w:r w:rsidRPr="00100AAC">
        <w:rPr>
          <w:color w:val="000000"/>
        </w:rPr>
        <w:t xml:space="preserve">). Sequoia Books. </w:t>
      </w:r>
    </w:p>
    <w:p w14:paraId="46BDDF94" w14:textId="5C9264ED" w:rsidR="00905075" w:rsidRPr="00100AAC" w:rsidRDefault="00905075" w:rsidP="009D3BFB">
      <w:pPr>
        <w:pStyle w:val="paragraph"/>
        <w:spacing w:line="480" w:lineRule="auto"/>
        <w:ind w:left="720" w:hanging="720"/>
        <w:jc w:val="both"/>
        <w:rPr>
          <w:color w:val="000000"/>
        </w:rPr>
      </w:pPr>
      <w:r w:rsidRPr="00100AAC">
        <w:rPr>
          <w:color w:val="000000"/>
        </w:rPr>
        <w:t xml:space="preserve">Stodter, A., &amp; Cushion, C. J. (2017). What works in coach learning, how, and for whom? A grounded process of soccer coaches’ professional learning. </w:t>
      </w:r>
      <w:r w:rsidRPr="00100AAC">
        <w:rPr>
          <w:i/>
          <w:iCs/>
          <w:color w:val="000000"/>
        </w:rPr>
        <w:t>Qualitative Research in Sport, Exercise and Health</w:t>
      </w:r>
      <w:r w:rsidRPr="00100AAC">
        <w:rPr>
          <w:color w:val="000000"/>
        </w:rPr>
        <w:t xml:space="preserve">, </w:t>
      </w:r>
      <w:r w:rsidRPr="00100AAC">
        <w:rPr>
          <w:i/>
          <w:iCs/>
          <w:color w:val="000000"/>
        </w:rPr>
        <w:t>9</w:t>
      </w:r>
      <w:r w:rsidRPr="00100AAC">
        <w:rPr>
          <w:color w:val="000000"/>
        </w:rPr>
        <w:t xml:space="preserve">(3), 321–338. </w:t>
      </w:r>
      <w:hyperlink r:id="rId38" w:history="1">
        <w:r w:rsidR="00905856" w:rsidRPr="00100AAC">
          <w:rPr>
            <w:rStyle w:val="Hyperlink"/>
          </w:rPr>
          <w:t>https://doi.org/10.1080/2159676X.2017.1283358</w:t>
        </w:r>
      </w:hyperlink>
      <w:r w:rsidR="00905856" w:rsidRPr="00100AAC">
        <w:rPr>
          <w:color w:val="000000"/>
        </w:rPr>
        <w:t xml:space="preserve"> </w:t>
      </w:r>
    </w:p>
    <w:p w14:paraId="114C2BEF" w14:textId="713020C2" w:rsidR="00E915CE" w:rsidRPr="00100AAC" w:rsidRDefault="00E915CE" w:rsidP="009D3BFB">
      <w:pPr>
        <w:pStyle w:val="paragraph"/>
        <w:spacing w:line="480" w:lineRule="auto"/>
        <w:ind w:left="720" w:hanging="720"/>
        <w:jc w:val="both"/>
        <w:rPr>
          <w:color w:val="000000"/>
        </w:rPr>
      </w:pPr>
      <w:r w:rsidRPr="00100AAC">
        <w:rPr>
          <w:color w:val="000000"/>
        </w:rPr>
        <w:lastRenderedPageBreak/>
        <w:t>Stoszkowski</w:t>
      </w:r>
      <w:r w:rsidR="008E2B92" w:rsidRPr="00100AAC">
        <w:rPr>
          <w:color w:val="000000"/>
        </w:rPr>
        <w:t>, J.,</w:t>
      </w:r>
      <w:r w:rsidRPr="00100AAC">
        <w:rPr>
          <w:color w:val="000000"/>
        </w:rPr>
        <w:t xml:space="preserve"> &amp; Collins</w:t>
      </w:r>
      <w:r w:rsidR="008E2B92" w:rsidRPr="00100AAC">
        <w:rPr>
          <w:color w:val="000000"/>
        </w:rPr>
        <w:t>, D.</w:t>
      </w:r>
      <w:r w:rsidRPr="00100AAC">
        <w:rPr>
          <w:color w:val="000000"/>
        </w:rPr>
        <w:t> (202</w:t>
      </w:r>
      <w:r w:rsidR="009667BA" w:rsidRPr="00100AAC">
        <w:rPr>
          <w:color w:val="000000"/>
        </w:rPr>
        <w:t>2</w:t>
      </w:r>
      <w:r w:rsidRPr="00100AAC">
        <w:rPr>
          <w:color w:val="000000"/>
        </w:rPr>
        <w:t>)</w:t>
      </w:r>
      <w:r w:rsidR="008E2B92" w:rsidRPr="00100AAC">
        <w:rPr>
          <w:color w:val="000000"/>
        </w:rPr>
        <w:t>.</w:t>
      </w:r>
      <w:r w:rsidRPr="00100AAC">
        <w:rPr>
          <w:color w:val="000000"/>
        </w:rPr>
        <w:t> A realist evaluation of the use of Flipgrid to facilitate collaborative online learning and reflection in sport coaching</w:t>
      </w:r>
      <w:r w:rsidR="008E2B92" w:rsidRPr="00100AAC">
        <w:rPr>
          <w:color w:val="000000"/>
        </w:rPr>
        <w:t>.</w:t>
      </w:r>
      <w:r w:rsidRPr="00100AAC">
        <w:rPr>
          <w:color w:val="000000"/>
        </w:rPr>
        <w:t> </w:t>
      </w:r>
      <w:r w:rsidRPr="00100AAC">
        <w:rPr>
          <w:i/>
          <w:iCs/>
          <w:color w:val="000000"/>
        </w:rPr>
        <w:t>Sport, Education and Society</w:t>
      </w:r>
      <w:r w:rsidR="009667BA" w:rsidRPr="00100AAC">
        <w:rPr>
          <w:color w:val="000000"/>
        </w:rPr>
        <w:t xml:space="preserve">, </w:t>
      </w:r>
      <w:r w:rsidR="009667BA" w:rsidRPr="00100AAC">
        <w:rPr>
          <w:i/>
          <w:iCs/>
          <w:color w:val="000000"/>
        </w:rPr>
        <w:t>27</w:t>
      </w:r>
      <w:r w:rsidR="009667BA" w:rsidRPr="00100AAC">
        <w:rPr>
          <w:color w:val="000000"/>
        </w:rPr>
        <w:t>(8), 906–921</w:t>
      </w:r>
      <w:r w:rsidR="00905856" w:rsidRPr="00100AAC">
        <w:rPr>
          <w:color w:val="000000"/>
        </w:rPr>
        <w:t xml:space="preserve">. </w:t>
      </w:r>
      <w:hyperlink r:id="rId39" w:history="1">
        <w:r w:rsidR="00402A60" w:rsidRPr="00100AAC">
          <w:rPr>
            <w:rStyle w:val="Hyperlink"/>
          </w:rPr>
          <w:t>https://doi.org/10.1080/13573322.2021.1952180</w:t>
        </w:r>
      </w:hyperlink>
      <w:r w:rsidR="00402A60" w:rsidRPr="00100AAC">
        <w:rPr>
          <w:color w:val="000000"/>
        </w:rPr>
        <w:t xml:space="preserve"> </w:t>
      </w:r>
    </w:p>
    <w:p w14:paraId="395F70ED" w14:textId="5E963D39" w:rsidR="00E70834" w:rsidRPr="00100AAC" w:rsidRDefault="00E70834" w:rsidP="009D3BFB">
      <w:pPr>
        <w:pStyle w:val="paragraph"/>
        <w:spacing w:line="480" w:lineRule="auto"/>
        <w:ind w:left="720" w:hanging="720"/>
        <w:jc w:val="both"/>
        <w:rPr>
          <w:color w:val="000000"/>
        </w:rPr>
      </w:pPr>
      <w:r w:rsidRPr="00100AAC">
        <w:rPr>
          <w:color w:val="000000"/>
        </w:rPr>
        <w:t>Stoszkowski,</w:t>
      </w:r>
      <w:r w:rsidR="0049609A" w:rsidRPr="00100AAC">
        <w:rPr>
          <w:color w:val="000000"/>
        </w:rPr>
        <w:t xml:space="preserve"> J.,</w:t>
      </w:r>
      <w:r w:rsidRPr="00100AAC">
        <w:rPr>
          <w:color w:val="000000"/>
        </w:rPr>
        <w:t xml:space="preserve"> Hodgkinson</w:t>
      </w:r>
      <w:r w:rsidR="0049609A" w:rsidRPr="00100AAC">
        <w:rPr>
          <w:color w:val="000000"/>
        </w:rPr>
        <w:t>, A.,</w:t>
      </w:r>
      <w:r w:rsidRPr="00100AAC">
        <w:rPr>
          <w:color w:val="000000"/>
        </w:rPr>
        <w:t xml:space="preserve"> &amp; Collins</w:t>
      </w:r>
      <w:r w:rsidR="0049609A" w:rsidRPr="00100AAC">
        <w:rPr>
          <w:color w:val="000000"/>
        </w:rPr>
        <w:t>, D.</w:t>
      </w:r>
      <w:r w:rsidRPr="00100AAC">
        <w:rPr>
          <w:color w:val="000000"/>
        </w:rPr>
        <w:t xml:space="preserve"> (2021)</w:t>
      </w:r>
      <w:r w:rsidR="0049609A" w:rsidRPr="00100AAC">
        <w:rPr>
          <w:color w:val="000000"/>
        </w:rPr>
        <w:t>.</w:t>
      </w:r>
      <w:r w:rsidRPr="00100AAC">
        <w:rPr>
          <w:color w:val="000000"/>
        </w:rPr>
        <w:t xml:space="preserve"> Using Flipgrid to improve reflection: </w:t>
      </w:r>
      <w:r w:rsidR="0049609A" w:rsidRPr="00100AAC">
        <w:rPr>
          <w:color w:val="000000"/>
        </w:rPr>
        <w:t>A</w:t>
      </w:r>
      <w:r w:rsidRPr="00100AAC">
        <w:rPr>
          <w:color w:val="000000"/>
        </w:rPr>
        <w:t xml:space="preserve"> collaborative online approach to coach development</w:t>
      </w:r>
      <w:r w:rsidR="0049609A" w:rsidRPr="00100AAC">
        <w:rPr>
          <w:color w:val="000000"/>
        </w:rPr>
        <w:t>.</w:t>
      </w:r>
      <w:r w:rsidRPr="00100AAC">
        <w:rPr>
          <w:color w:val="000000"/>
        </w:rPr>
        <w:t xml:space="preserve"> </w:t>
      </w:r>
      <w:r w:rsidRPr="00100AAC">
        <w:rPr>
          <w:i/>
          <w:iCs/>
          <w:color w:val="000000"/>
        </w:rPr>
        <w:t>Physical Education and Sport Pedagogy</w:t>
      </w:r>
      <w:r w:rsidRPr="00100AAC">
        <w:rPr>
          <w:color w:val="000000"/>
        </w:rPr>
        <w:t xml:space="preserve">, </w:t>
      </w:r>
      <w:r w:rsidRPr="00100AAC">
        <w:rPr>
          <w:i/>
          <w:iCs/>
          <w:color w:val="000000"/>
        </w:rPr>
        <w:t>26</w:t>
      </w:r>
      <w:r w:rsidR="0049609A" w:rsidRPr="00100AAC">
        <w:rPr>
          <w:color w:val="000000"/>
        </w:rPr>
        <w:t>(</w:t>
      </w:r>
      <w:r w:rsidRPr="00100AAC">
        <w:rPr>
          <w:color w:val="000000"/>
        </w:rPr>
        <w:t>2</w:t>
      </w:r>
      <w:r w:rsidR="0049609A" w:rsidRPr="00100AAC">
        <w:rPr>
          <w:color w:val="000000"/>
        </w:rPr>
        <w:t>)</w:t>
      </w:r>
      <w:r w:rsidRPr="00100AAC">
        <w:rPr>
          <w:color w:val="000000"/>
        </w:rPr>
        <w:t>, 167</w:t>
      </w:r>
      <w:r w:rsidR="0049609A" w:rsidRPr="00100AAC">
        <w:rPr>
          <w:color w:val="000000"/>
        </w:rPr>
        <w:t>–</w:t>
      </w:r>
      <w:r w:rsidRPr="00100AAC">
        <w:rPr>
          <w:color w:val="000000"/>
        </w:rPr>
        <w:t>178</w:t>
      </w:r>
      <w:r w:rsidR="0049609A" w:rsidRPr="00100AAC">
        <w:rPr>
          <w:color w:val="000000"/>
        </w:rPr>
        <w:t>.</w:t>
      </w:r>
      <w:r w:rsidRPr="00100AAC">
        <w:rPr>
          <w:color w:val="000000"/>
        </w:rPr>
        <w:t xml:space="preserve"> </w:t>
      </w:r>
      <w:hyperlink r:id="rId40" w:history="1">
        <w:r w:rsidR="00905856" w:rsidRPr="00100AAC">
          <w:rPr>
            <w:rStyle w:val="Hyperlink"/>
          </w:rPr>
          <w:t>https://doi.org/10.1080/17408989.2020.1789575</w:t>
        </w:r>
      </w:hyperlink>
      <w:r w:rsidR="00905856" w:rsidRPr="00100AAC">
        <w:rPr>
          <w:color w:val="000000"/>
        </w:rPr>
        <w:t xml:space="preserve"> </w:t>
      </w:r>
    </w:p>
    <w:p w14:paraId="54EEF48A" w14:textId="61142863" w:rsidR="00356B57" w:rsidRPr="00100AAC" w:rsidRDefault="00B363FC" w:rsidP="009D3BFB">
      <w:pPr>
        <w:pStyle w:val="paragraph"/>
        <w:spacing w:line="480" w:lineRule="auto"/>
        <w:ind w:left="720" w:hanging="720"/>
        <w:jc w:val="both"/>
        <w:rPr>
          <w:color w:val="000000"/>
        </w:rPr>
      </w:pPr>
      <w:r w:rsidRPr="00100AAC">
        <w:rPr>
          <w:color w:val="000000"/>
        </w:rPr>
        <w:t xml:space="preserve">Trudel, P., Culver, D., &amp; Werthner, P. (2013). Looking at coach development from the coach-learner’s perspective: Considerations for coach development administrators. In P. Potrac, W. Gilbert, &amp; J. Denison (Eds.), </w:t>
      </w:r>
      <w:r w:rsidRPr="00100AAC">
        <w:rPr>
          <w:i/>
          <w:iCs/>
          <w:color w:val="000000"/>
        </w:rPr>
        <w:t>Routledge handbook of sports coaching</w:t>
      </w:r>
      <w:r w:rsidRPr="00100AAC">
        <w:rPr>
          <w:color w:val="000000"/>
        </w:rPr>
        <w:t xml:space="preserve"> (pp. 375–387). Routledge.</w:t>
      </w:r>
    </w:p>
    <w:p w14:paraId="29E137C6" w14:textId="15B07079" w:rsidR="00D6483B" w:rsidRPr="00100AAC" w:rsidRDefault="00187907" w:rsidP="009D3BFB">
      <w:pPr>
        <w:spacing w:after="0" w:line="480" w:lineRule="auto"/>
        <w:ind w:left="720" w:hanging="720"/>
        <w:jc w:val="both"/>
        <w:rPr>
          <w:rFonts w:ascii="Times New Roman" w:hAnsi="Times New Roman" w:cs="Times New Roman"/>
          <w:sz w:val="24"/>
          <w:szCs w:val="24"/>
        </w:rPr>
      </w:pPr>
      <w:r w:rsidRPr="00100AAC">
        <w:rPr>
          <w:rFonts w:ascii="Times New Roman" w:hAnsi="Times New Roman" w:cs="Times New Roman"/>
          <w:sz w:val="24"/>
          <w:szCs w:val="24"/>
        </w:rPr>
        <w:t xml:space="preserve">Van Woezik, R. A., McLaren, C. D., Côté, J., Erickson, K., Law, B., Lafrance Horning, D., Callary, B., &amp; Bruner, M. W. (2022). Real </w:t>
      </w:r>
      <w:r w:rsidR="0049609A" w:rsidRPr="00100AAC">
        <w:rPr>
          <w:rFonts w:ascii="Times New Roman" w:hAnsi="Times New Roman" w:cs="Times New Roman"/>
          <w:sz w:val="24"/>
          <w:szCs w:val="24"/>
        </w:rPr>
        <w:t>versus ideal: Understanding how coaches gain knowledge.</w:t>
      </w:r>
      <w:r w:rsidRPr="00100AAC">
        <w:rPr>
          <w:rFonts w:ascii="Times New Roman" w:hAnsi="Times New Roman" w:cs="Times New Roman"/>
          <w:sz w:val="24"/>
          <w:szCs w:val="24"/>
        </w:rPr>
        <w:t xml:space="preserve"> </w:t>
      </w:r>
      <w:r w:rsidRPr="00100AAC">
        <w:rPr>
          <w:rFonts w:ascii="Times New Roman" w:hAnsi="Times New Roman" w:cs="Times New Roman"/>
          <w:i/>
          <w:iCs/>
          <w:sz w:val="24"/>
          <w:szCs w:val="24"/>
        </w:rPr>
        <w:t>International Sport Coaching Journal</w:t>
      </w:r>
      <w:r w:rsidRPr="00100AAC">
        <w:rPr>
          <w:rFonts w:ascii="Times New Roman" w:hAnsi="Times New Roman" w:cs="Times New Roman"/>
          <w:sz w:val="24"/>
          <w:szCs w:val="24"/>
        </w:rPr>
        <w:t xml:space="preserve">, </w:t>
      </w:r>
      <w:r w:rsidRPr="00100AAC">
        <w:rPr>
          <w:rFonts w:ascii="Times New Roman" w:hAnsi="Times New Roman" w:cs="Times New Roman"/>
          <w:i/>
          <w:iCs/>
          <w:sz w:val="24"/>
          <w:szCs w:val="24"/>
        </w:rPr>
        <w:t>9</w:t>
      </w:r>
      <w:r w:rsidRPr="00100AAC">
        <w:rPr>
          <w:rFonts w:ascii="Times New Roman" w:hAnsi="Times New Roman" w:cs="Times New Roman"/>
          <w:sz w:val="24"/>
          <w:szCs w:val="24"/>
        </w:rPr>
        <w:t>(2), 189</w:t>
      </w:r>
      <w:r w:rsidR="0049609A" w:rsidRPr="00100AAC">
        <w:rPr>
          <w:color w:val="000000"/>
        </w:rPr>
        <w:t>–</w:t>
      </w:r>
      <w:r w:rsidRPr="00100AAC">
        <w:rPr>
          <w:rFonts w:ascii="Times New Roman" w:hAnsi="Times New Roman" w:cs="Times New Roman"/>
          <w:sz w:val="24"/>
          <w:szCs w:val="24"/>
        </w:rPr>
        <w:t xml:space="preserve">202. </w:t>
      </w:r>
      <w:hyperlink r:id="rId41" w:history="1">
        <w:r w:rsidR="00402A60" w:rsidRPr="00100AAC">
          <w:rPr>
            <w:rStyle w:val="Hyperlink"/>
            <w:rFonts w:ascii="Times New Roman" w:hAnsi="Times New Roman" w:cs="Times New Roman"/>
            <w:sz w:val="24"/>
            <w:szCs w:val="24"/>
          </w:rPr>
          <w:t>https://doi.org/10.1123/iscj.2021-0010</w:t>
        </w:r>
      </w:hyperlink>
      <w:r w:rsidR="00402A60" w:rsidRPr="00100AAC">
        <w:rPr>
          <w:rFonts w:ascii="Times New Roman" w:hAnsi="Times New Roman" w:cs="Times New Roman"/>
          <w:sz w:val="24"/>
          <w:szCs w:val="24"/>
        </w:rPr>
        <w:t xml:space="preserve"> </w:t>
      </w:r>
    </w:p>
    <w:p w14:paraId="76FE2462" w14:textId="760D828B" w:rsidR="006C7A17" w:rsidRPr="00100AAC" w:rsidRDefault="006C7A17" w:rsidP="009D3BFB">
      <w:pPr>
        <w:spacing w:after="0" w:line="480" w:lineRule="auto"/>
        <w:ind w:left="720" w:hanging="720"/>
        <w:jc w:val="both"/>
        <w:rPr>
          <w:rFonts w:ascii="Times New Roman" w:hAnsi="Times New Roman" w:cs="Times New Roman"/>
          <w:sz w:val="24"/>
          <w:szCs w:val="24"/>
        </w:rPr>
      </w:pPr>
    </w:p>
    <w:p w14:paraId="15361737" w14:textId="27629604" w:rsidR="007C43C4" w:rsidRPr="00100AAC" w:rsidRDefault="006C7A17" w:rsidP="009D3BFB">
      <w:pPr>
        <w:spacing w:after="0" w:line="480" w:lineRule="auto"/>
        <w:ind w:left="720" w:hanging="720"/>
        <w:jc w:val="both"/>
        <w:rPr>
          <w:rFonts w:ascii="Times New Roman" w:hAnsi="Times New Roman" w:cs="Times New Roman"/>
          <w:sz w:val="24"/>
          <w:szCs w:val="24"/>
        </w:rPr>
      </w:pPr>
      <w:r w:rsidRPr="00100AAC">
        <w:rPr>
          <w:rFonts w:ascii="Times New Roman" w:hAnsi="Times New Roman" w:cs="Times New Roman"/>
          <w:sz w:val="24"/>
          <w:szCs w:val="24"/>
        </w:rPr>
        <w:t xml:space="preserve">Werthner, P., &amp; Trudel, P. (2006). A new theoretical </w:t>
      </w:r>
      <w:r w:rsidR="00EE5ECB" w:rsidRPr="00100AAC">
        <w:rPr>
          <w:rFonts w:ascii="Times New Roman" w:hAnsi="Times New Roman" w:cs="Times New Roman"/>
          <w:sz w:val="24"/>
          <w:szCs w:val="24"/>
        </w:rPr>
        <w:t xml:space="preserve">perspective for understanding how coaches learn to coach. </w:t>
      </w:r>
      <w:r w:rsidR="00EE5ECB" w:rsidRPr="00100AAC">
        <w:rPr>
          <w:rFonts w:ascii="Times New Roman" w:hAnsi="Times New Roman" w:cs="Times New Roman"/>
          <w:i/>
          <w:iCs/>
          <w:sz w:val="24"/>
          <w:szCs w:val="24"/>
        </w:rPr>
        <w:t>The Sport Psychologist</w:t>
      </w:r>
      <w:r w:rsidR="00EE5ECB" w:rsidRPr="00100AAC">
        <w:rPr>
          <w:rFonts w:ascii="Times New Roman" w:hAnsi="Times New Roman" w:cs="Times New Roman"/>
          <w:sz w:val="24"/>
          <w:szCs w:val="24"/>
        </w:rPr>
        <w:t xml:space="preserve">, </w:t>
      </w:r>
      <w:r w:rsidR="00EE5ECB" w:rsidRPr="00100AAC">
        <w:rPr>
          <w:rFonts w:ascii="Times New Roman" w:hAnsi="Times New Roman" w:cs="Times New Roman"/>
          <w:i/>
          <w:iCs/>
          <w:sz w:val="24"/>
          <w:szCs w:val="24"/>
        </w:rPr>
        <w:t>20</w:t>
      </w:r>
      <w:r w:rsidR="00EE5ECB" w:rsidRPr="00100AAC">
        <w:rPr>
          <w:rFonts w:ascii="Times New Roman" w:hAnsi="Times New Roman" w:cs="Times New Roman"/>
          <w:sz w:val="24"/>
          <w:szCs w:val="24"/>
        </w:rPr>
        <w:t xml:space="preserve">(2), 198–212. </w:t>
      </w:r>
      <w:r w:rsidR="00402A60" w:rsidRPr="00100AAC">
        <w:rPr>
          <w:rFonts w:ascii="Times New Roman" w:hAnsi="Times New Roman" w:cs="Times New Roman"/>
          <w:sz w:val="24"/>
          <w:szCs w:val="24"/>
        </w:rPr>
        <w:t>https://doi.org/10.1123/tsp.20.2.198</w:t>
      </w:r>
    </w:p>
    <w:p w14:paraId="145BB54B" w14:textId="77777777" w:rsidR="00A36D0A" w:rsidRPr="00100AAC" w:rsidRDefault="00A36D0A" w:rsidP="00AB35A3">
      <w:pPr>
        <w:suppressLineNumbers/>
        <w:spacing w:after="0" w:line="240" w:lineRule="auto"/>
        <w:jc w:val="both"/>
        <w:rPr>
          <w:rFonts w:ascii="Times New Roman" w:eastAsia="Calibri" w:hAnsi="Times New Roman" w:cs="Times New Roman"/>
          <w:sz w:val="24"/>
          <w:szCs w:val="24"/>
        </w:rPr>
      </w:pPr>
    </w:p>
    <w:p w14:paraId="3E1C80DC" w14:textId="32E32072" w:rsidR="00A36D0A" w:rsidRPr="00100AAC" w:rsidRDefault="00A36D0A" w:rsidP="00AB35A3">
      <w:pPr>
        <w:suppressLineNumbers/>
        <w:spacing w:after="0" w:line="240" w:lineRule="auto"/>
        <w:jc w:val="both"/>
        <w:rPr>
          <w:rFonts w:ascii="Times New Roman" w:eastAsia="Calibri" w:hAnsi="Times New Roman" w:cs="Times New Roman"/>
          <w:sz w:val="24"/>
          <w:szCs w:val="24"/>
        </w:rPr>
      </w:pPr>
    </w:p>
    <w:p w14:paraId="3088C15B" w14:textId="096E9016" w:rsidR="0037640B" w:rsidRPr="00100AAC" w:rsidRDefault="0037640B" w:rsidP="00AB35A3">
      <w:pPr>
        <w:suppressLineNumbers/>
        <w:spacing w:after="0" w:line="240" w:lineRule="auto"/>
        <w:jc w:val="both"/>
        <w:rPr>
          <w:rFonts w:ascii="Times New Roman" w:eastAsia="Calibri" w:hAnsi="Times New Roman" w:cs="Times New Roman"/>
          <w:sz w:val="24"/>
          <w:szCs w:val="24"/>
        </w:rPr>
      </w:pPr>
    </w:p>
    <w:p w14:paraId="6E825473" w14:textId="65AE62C9" w:rsidR="000559FA" w:rsidRPr="00100AAC" w:rsidRDefault="000559FA" w:rsidP="00AB35A3">
      <w:pPr>
        <w:suppressLineNumbers/>
        <w:spacing w:after="0" w:line="240" w:lineRule="auto"/>
        <w:jc w:val="both"/>
        <w:rPr>
          <w:rFonts w:ascii="Times New Roman" w:eastAsia="Calibri" w:hAnsi="Times New Roman" w:cs="Times New Roman"/>
          <w:sz w:val="24"/>
          <w:szCs w:val="24"/>
        </w:rPr>
      </w:pPr>
    </w:p>
    <w:p w14:paraId="6E10A357" w14:textId="28B8B62A" w:rsidR="00671921" w:rsidRPr="00100AAC" w:rsidRDefault="00671921" w:rsidP="00AB35A3">
      <w:pPr>
        <w:suppressLineNumbers/>
        <w:spacing w:after="0" w:line="240" w:lineRule="auto"/>
        <w:jc w:val="both"/>
        <w:rPr>
          <w:rFonts w:ascii="Times New Roman" w:eastAsia="Calibri" w:hAnsi="Times New Roman" w:cs="Times New Roman"/>
          <w:sz w:val="24"/>
          <w:szCs w:val="24"/>
        </w:rPr>
      </w:pPr>
    </w:p>
    <w:p w14:paraId="51313250" w14:textId="676404B9" w:rsidR="00402A60" w:rsidRPr="00100AAC" w:rsidRDefault="00402A60" w:rsidP="00AB35A3">
      <w:pPr>
        <w:suppressLineNumbers/>
        <w:spacing w:after="0" w:line="240" w:lineRule="auto"/>
        <w:jc w:val="both"/>
        <w:rPr>
          <w:rFonts w:ascii="Times New Roman" w:eastAsia="Calibri" w:hAnsi="Times New Roman" w:cs="Times New Roman"/>
          <w:sz w:val="24"/>
          <w:szCs w:val="24"/>
        </w:rPr>
      </w:pPr>
    </w:p>
    <w:p w14:paraId="6A5ADF16" w14:textId="5B3E1C59" w:rsidR="00402A60" w:rsidRPr="00100AAC" w:rsidRDefault="00402A60" w:rsidP="00AB35A3">
      <w:pPr>
        <w:suppressLineNumbers/>
        <w:spacing w:after="0" w:line="240" w:lineRule="auto"/>
        <w:jc w:val="both"/>
        <w:rPr>
          <w:rFonts w:ascii="Times New Roman" w:eastAsia="Calibri" w:hAnsi="Times New Roman" w:cs="Times New Roman"/>
          <w:sz w:val="24"/>
          <w:szCs w:val="24"/>
        </w:rPr>
      </w:pPr>
    </w:p>
    <w:p w14:paraId="78D26D7A" w14:textId="77777777" w:rsidR="00A33B36" w:rsidRPr="00100AAC" w:rsidRDefault="00A33B36" w:rsidP="00AB35A3">
      <w:pPr>
        <w:suppressLineNumbers/>
        <w:spacing w:after="0" w:line="240" w:lineRule="auto"/>
        <w:jc w:val="both"/>
        <w:rPr>
          <w:rFonts w:ascii="Times New Roman" w:eastAsia="Calibri" w:hAnsi="Times New Roman" w:cs="Times New Roman"/>
          <w:sz w:val="24"/>
          <w:szCs w:val="24"/>
        </w:rPr>
      </w:pPr>
    </w:p>
    <w:p w14:paraId="177EF202" w14:textId="7C16E2EE" w:rsidR="000559FA" w:rsidRPr="00100AAC" w:rsidRDefault="000559FA" w:rsidP="00AB35A3">
      <w:pPr>
        <w:suppressLineNumbers/>
        <w:spacing w:after="0" w:line="240" w:lineRule="auto"/>
        <w:jc w:val="both"/>
        <w:rPr>
          <w:rFonts w:ascii="Times New Roman" w:eastAsia="Calibri" w:hAnsi="Times New Roman" w:cs="Times New Roman"/>
          <w:sz w:val="24"/>
          <w:szCs w:val="24"/>
        </w:rPr>
      </w:pPr>
    </w:p>
    <w:p w14:paraId="150CCB1C" w14:textId="77777777" w:rsidR="000559FA" w:rsidRPr="00100AAC" w:rsidRDefault="000559FA" w:rsidP="00AB35A3">
      <w:pPr>
        <w:suppressLineNumbers/>
        <w:spacing w:after="0" w:line="240" w:lineRule="auto"/>
        <w:jc w:val="both"/>
        <w:rPr>
          <w:rFonts w:ascii="Times New Roman" w:eastAsia="Calibri" w:hAnsi="Times New Roman" w:cs="Times New Roman"/>
          <w:sz w:val="24"/>
          <w:szCs w:val="24"/>
        </w:rPr>
      </w:pPr>
    </w:p>
    <w:p w14:paraId="617E1833" w14:textId="5DE87C68" w:rsidR="00AB35A3" w:rsidRPr="00100AAC" w:rsidRDefault="00AB35A3" w:rsidP="00AB35A3">
      <w:pPr>
        <w:suppressLineNumbers/>
        <w:spacing w:after="0" w:line="240" w:lineRule="auto"/>
        <w:jc w:val="both"/>
        <w:rPr>
          <w:rFonts w:ascii="Times New Roman" w:eastAsia="Calibri" w:hAnsi="Times New Roman" w:cs="Times New Roman"/>
          <w:sz w:val="24"/>
          <w:szCs w:val="24"/>
        </w:rPr>
      </w:pPr>
      <w:r w:rsidRPr="00100AAC">
        <w:rPr>
          <w:rFonts w:ascii="Times New Roman" w:eastAsia="Calibri" w:hAnsi="Times New Roman" w:cs="Times New Roman"/>
          <w:sz w:val="24"/>
          <w:szCs w:val="24"/>
        </w:rPr>
        <w:lastRenderedPageBreak/>
        <w:t xml:space="preserve">Table 1. </w:t>
      </w:r>
      <w:r w:rsidR="00196FCF" w:rsidRPr="00100AAC">
        <w:rPr>
          <w:rFonts w:ascii="Times New Roman" w:eastAsia="Calibri" w:hAnsi="Times New Roman" w:cs="Times New Roman"/>
          <w:sz w:val="24"/>
          <w:szCs w:val="24"/>
        </w:rPr>
        <w:t>Summary</w:t>
      </w:r>
      <w:r w:rsidRPr="00100AAC">
        <w:rPr>
          <w:rFonts w:ascii="Times New Roman" w:eastAsia="Calibri" w:hAnsi="Times New Roman" w:cs="Times New Roman"/>
          <w:sz w:val="24"/>
          <w:szCs w:val="24"/>
        </w:rPr>
        <w:t xml:space="preserve"> of the </w:t>
      </w:r>
      <w:r w:rsidR="005B5A34" w:rsidRPr="00100AAC">
        <w:rPr>
          <w:rFonts w:ascii="Times New Roman" w:eastAsia="Calibri" w:hAnsi="Times New Roman" w:cs="Times New Roman"/>
          <w:sz w:val="24"/>
          <w:szCs w:val="24"/>
        </w:rPr>
        <w:t>L</w:t>
      </w:r>
      <w:r w:rsidRPr="00100AAC">
        <w:rPr>
          <w:rFonts w:ascii="Times New Roman" w:eastAsia="Calibri" w:hAnsi="Times New Roman" w:cs="Times New Roman"/>
          <w:sz w:val="24"/>
          <w:szCs w:val="24"/>
        </w:rPr>
        <w:t xml:space="preserve">evel 1 </w:t>
      </w:r>
      <w:r w:rsidR="00196FCF" w:rsidRPr="00100AAC">
        <w:rPr>
          <w:rFonts w:ascii="Times New Roman" w:eastAsia="Calibri" w:hAnsi="Times New Roman" w:cs="Times New Roman"/>
          <w:sz w:val="24"/>
          <w:szCs w:val="24"/>
        </w:rPr>
        <w:t>a</w:t>
      </w:r>
      <w:r w:rsidRPr="00100AAC">
        <w:rPr>
          <w:rFonts w:ascii="Times New Roman" w:eastAsia="Calibri" w:hAnsi="Times New Roman" w:cs="Times New Roman"/>
          <w:sz w:val="24"/>
          <w:szCs w:val="24"/>
        </w:rPr>
        <w:t xml:space="preserve">ward in </w:t>
      </w:r>
      <w:r w:rsidR="00196FCF" w:rsidRPr="00100AAC">
        <w:rPr>
          <w:rFonts w:ascii="Times New Roman" w:eastAsia="Calibri" w:hAnsi="Times New Roman" w:cs="Times New Roman"/>
          <w:sz w:val="24"/>
          <w:szCs w:val="24"/>
        </w:rPr>
        <w:t>c</w:t>
      </w:r>
      <w:r w:rsidRPr="00100AAC">
        <w:rPr>
          <w:rFonts w:ascii="Times New Roman" w:eastAsia="Calibri" w:hAnsi="Times New Roman" w:cs="Times New Roman"/>
          <w:sz w:val="24"/>
          <w:szCs w:val="24"/>
        </w:rPr>
        <w:t xml:space="preserve">oaching </w:t>
      </w:r>
      <w:r w:rsidR="00196FCF" w:rsidRPr="00100AAC">
        <w:rPr>
          <w:rFonts w:ascii="Times New Roman" w:eastAsia="Calibri" w:hAnsi="Times New Roman" w:cs="Times New Roman"/>
          <w:sz w:val="24"/>
          <w:szCs w:val="24"/>
        </w:rPr>
        <w:t>d</w:t>
      </w:r>
      <w:r w:rsidRPr="00100AAC">
        <w:rPr>
          <w:rFonts w:ascii="Times New Roman" w:eastAsia="Calibri" w:hAnsi="Times New Roman" w:cs="Times New Roman"/>
          <w:sz w:val="24"/>
          <w:szCs w:val="24"/>
        </w:rPr>
        <w:t xml:space="preserve">odgeball (adapted from British Dodgeball, 2022a) </w:t>
      </w:r>
    </w:p>
    <w:p w14:paraId="7430C64F" w14:textId="77777777" w:rsidR="00A36D0A" w:rsidRPr="00100AAC" w:rsidRDefault="00A36D0A" w:rsidP="00AB35A3">
      <w:pPr>
        <w:suppressLineNumbers/>
        <w:spacing w:after="0" w:line="240" w:lineRule="auto"/>
        <w:rPr>
          <w:rFonts w:ascii="Times New Roman" w:eastAsia="Calibri" w:hAnsi="Times New Roman" w:cs="Times New Roman"/>
          <w:color w:val="FF0000"/>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6894"/>
      </w:tblGrid>
      <w:tr w:rsidR="00AB35A3" w:rsidRPr="00100AAC" w14:paraId="211C86C3" w14:textId="77777777" w:rsidTr="00714906">
        <w:tc>
          <w:tcPr>
            <w:tcW w:w="2122" w:type="dxa"/>
            <w:tcBorders>
              <w:top w:val="single" w:sz="4" w:space="0" w:color="auto"/>
              <w:bottom w:val="single" w:sz="4" w:space="0" w:color="auto"/>
            </w:tcBorders>
          </w:tcPr>
          <w:p w14:paraId="0A6C29A1" w14:textId="77777777" w:rsidR="00AB35A3" w:rsidRPr="00100AAC" w:rsidRDefault="00AB35A3" w:rsidP="00AB35A3">
            <w:pPr>
              <w:jc w:val="center"/>
              <w:rPr>
                <w:rFonts w:ascii="Times New Roman" w:eastAsia="Calibri" w:hAnsi="Times New Roman" w:cs="Times New Roman"/>
                <w:b/>
                <w:bCs/>
                <w:sz w:val="10"/>
                <w:szCs w:val="10"/>
              </w:rPr>
            </w:pPr>
          </w:p>
          <w:p w14:paraId="7285CED7" w14:textId="77777777" w:rsidR="00AB35A3" w:rsidRPr="00100AAC" w:rsidRDefault="00AB35A3" w:rsidP="00AB35A3">
            <w:pPr>
              <w:jc w:val="center"/>
              <w:rPr>
                <w:rFonts w:ascii="Times New Roman" w:eastAsia="Calibri" w:hAnsi="Times New Roman" w:cs="Times New Roman"/>
                <w:b/>
                <w:bCs/>
              </w:rPr>
            </w:pPr>
            <w:r w:rsidRPr="00100AAC">
              <w:rPr>
                <w:rFonts w:ascii="Times New Roman" w:eastAsia="Calibri" w:hAnsi="Times New Roman" w:cs="Times New Roman"/>
                <w:b/>
                <w:bCs/>
              </w:rPr>
              <w:t>Course Feature</w:t>
            </w:r>
          </w:p>
          <w:p w14:paraId="125D07A4" w14:textId="77777777" w:rsidR="00AB35A3" w:rsidRPr="00100AAC" w:rsidRDefault="00AB35A3" w:rsidP="00AB35A3">
            <w:pPr>
              <w:jc w:val="center"/>
              <w:rPr>
                <w:rFonts w:ascii="Times New Roman" w:eastAsia="Calibri" w:hAnsi="Times New Roman" w:cs="Times New Roman"/>
                <w:b/>
                <w:bCs/>
                <w:sz w:val="10"/>
                <w:szCs w:val="10"/>
              </w:rPr>
            </w:pPr>
          </w:p>
        </w:tc>
        <w:tc>
          <w:tcPr>
            <w:tcW w:w="6894" w:type="dxa"/>
            <w:tcBorders>
              <w:top w:val="single" w:sz="4" w:space="0" w:color="auto"/>
              <w:bottom w:val="single" w:sz="4" w:space="0" w:color="auto"/>
            </w:tcBorders>
          </w:tcPr>
          <w:p w14:paraId="15FAEA09" w14:textId="77777777" w:rsidR="00AB35A3" w:rsidRPr="00100AAC" w:rsidRDefault="00AB35A3" w:rsidP="00AB35A3">
            <w:pPr>
              <w:tabs>
                <w:tab w:val="decimal" w:pos="34"/>
              </w:tabs>
              <w:jc w:val="center"/>
              <w:rPr>
                <w:rFonts w:ascii="Times New Roman" w:eastAsia="Calibri" w:hAnsi="Times New Roman" w:cs="Times New Roman"/>
                <w:b/>
                <w:bCs/>
                <w:sz w:val="10"/>
                <w:szCs w:val="10"/>
              </w:rPr>
            </w:pPr>
          </w:p>
          <w:p w14:paraId="55F10B5F" w14:textId="77777777" w:rsidR="00AB35A3" w:rsidRPr="00100AAC" w:rsidRDefault="00AB35A3" w:rsidP="00AB35A3">
            <w:pPr>
              <w:tabs>
                <w:tab w:val="decimal" w:pos="34"/>
              </w:tabs>
              <w:jc w:val="center"/>
              <w:rPr>
                <w:rFonts w:ascii="Times New Roman" w:eastAsia="Calibri" w:hAnsi="Times New Roman" w:cs="Times New Roman"/>
                <w:b/>
                <w:bCs/>
              </w:rPr>
            </w:pPr>
            <w:r w:rsidRPr="00100AAC">
              <w:rPr>
                <w:rFonts w:ascii="Times New Roman" w:eastAsia="Calibri" w:hAnsi="Times New Roman" w:cs="Times New Roman"/>
                <w:b/>
                <w:bCs/>
              </w:rPr>
              <w:t>Course Description</w:t>
            </w:r>
          </w:p>
          <w:p w14:paraId="1B4E2CE1" w14:textId="77777777" w:rsidR="00AB35A3" w:rsidRPr="00100AAC" w:rsidRDefault="00AB35A3" w:rsidP="00AB35A3">
            <w:pPr>
              <w:tabs>
                <w:tab w:val="decimal" w:pos="34"/>
              </w:tabs>
              <w:jc w:val="center"/>
              <w:rPr>
                <w:rFonts w:ascii="Times New Roman" w:eastAsia="Calibri" w:hAnsi="Times New Roman" w:cs="Times New Roman"/>
                <w:b/>
                <w:bCs/>
                <w:sz w:val="10"/>
                <w:szCs w:val="10"/>
              </w:rPr>
            </w:pPr>
          </w:p>
        </w:tc>
      </w:tr>
      <w:tr w:rsidR="00AB35A3" w:rsidRPr="00100AAC" w14:paraId="5828CDA4" w14:textId="77777777" w:rsidTr="00714906">
        <w:tc>
          <w:tcPr>
            <w:tcW w:w="2122" w:type="dxa"/>
            <w:tcBorders>
              <w:top w:val="single" w:sz="4" w:space="0" w:color="auto"/>
            </w:tcBorders>
          </w:tcPr>
          <w:p w14:paraId="5E6AA434" w14:textId="77777777" w:rsidR="00AB35A3" w:rsidRPr="00100AAC" w:rsidRDefault="00AB35A3" w:rsidP="00AB35A3">
            <w:pPr>
              <w:jc w:val="both"/>
              <w:rPr>
                <w:rFonts w:ascii="Times New Roman" w:eastAsia="Calibri" w:hAnsi="Times New Roman" w:cs="Times New Roman"/>
                <w:sz w:val="10"/>
                <w:szCs w:val="10"/>
              </w:rPr>
            </w:pPr>
          </w:p>
          <w:p w14:paraId="3C2A5607" w14:textId="77777777" w:rsidR="00AB35A3" w:rsidRPr="00100AAC" w:rsidRDefault="00AB35A3" w:rsidP="00AB35A3">
            <w:pPr>
              <w:jc w:val="both"/>
              <w:rPr>
                <w:rFonts w:ascii="Times New Roman" w:eastAsia="Calibri" w:hAnsi="Times New Roman" w:cs="Times New Roman"/>
              </w:rPr>
            </w:pPr>
            <w:r w:rsidRPr="00100AAC">
              <w:rPr>
                <w:rFonts w:ascii="Times New Roman" w:eastAsia="Calibri" w:hAnsi="Times New Roman" w:cs="Times New Roman"/>
              </w:rPr>
              <w:t>Overview</w:t>
            </w:r>
          </w:p>
        </w:tc>
        <w:tc>
          <w:tcPr>
            <w:tcW w:w="6894" w:type="dxa"/>
            <w:tcBorders>
              <w:top w:val="single" w:sz="4" w:space="0" w:color="auto"/>
            </w:tcBorders>
          </w:tcPr>
          <w:p w14:paraId="3F331D0A" w14:textId="77777777" w:rsidR="00AB35A3" w:rsidRPr="00100AAC" w:rsidRDefault="00AB35A3" w:rsidP="00AB35A3">
            <w:pPr>
              <w:tabs>
                <w:tab w:val="decimal" w:pos="34"/>
              </w:tabs>
              <w:jc w:val="both"/>
              <w:rPr>
                <w:rFonts w:ascii="Times New Roman" w:eastAsia="Calibri" w:hAnsi="Times New Roman" w:cs="Times New Roman"/>
                <w:sz w:val="10"/>
                <w:szCs w:val="10"/>
              </w:rPr>
            </w:pPr>
          </w:p>
          <w:p w14:paraId="26EDE1F3" w14:textId="14A5BF49" w:rsidR="00AB35A3" w:rsidRPr="00100AAC" w:rsidRDefault="00AB35A3" w:rsidP="00AB35A3">
            <w:pPr>
              <w:numPr>
                <w:ilvl w:val="0"/>
                <w:numId w:val="18"/>
              </w:numPr>
              <w:tabs>
                <w:tab w:val="decimal" w:pos="34"/>
              </w:tabs>
              <w:ind w:left="462"/>
              <w:contextualSpacing/>
              <w:jc w:val="both"/>
              <w:rPr>
                <w:rFonts w:ascii="Times New Roman" w:eastAsia="Calibri" w:hAnsi="Times New Roman" w:cs="Times New Roman"/>
              </w:rPr>
            </w:pPr>
            <w:r w:rsidRPr="00100AAC">
              <w:rPr>
                <w:rFonts w:ascii="Times New Roman" w:eastAsia="Calibri" w:hAnsi="Times New Roman" w:cs="Times New Roman"/>
              </w:rPr>
              <w:t xml:space="preserve">The </w:t>
            </w:r>
            <w:r w:rsidR="005B5A34" w:rsidRPr="00100AAC">
              <w:rPr>
                <w:rFonts w:ascii="Times New Roman" w:eastAsia="Calibri" w:hAnsi="Times New Roman" w:cs="Times New Roman"/>
              </w:rPr>
              <w:t>L</w:t>
            </w:r>
            <w:r w:rsidRPr="00100AAC">
              <w:rPr>
                <w:rFonts w:ascii="Times New Roman" w:eastAsia="Calibri" w:hAnsi="Times New Roman" w:cs="Times New Roman"/>
              </w:rPr>
              <w:t xml:space="preserve">evel 1 </w:t>
            </w:r>
            <w:r w:rsidR="00196FCF" w:rsidRPr="00100AAC">
              <w:rPr>
                <w:rFonts w:ascii="Times New Roman" w:eastAsia="Calibri" w:hAnsi="Times New Roman" w:cs="Times New Roman"/>
              </w:rPr>
              <w:t>a</w:t>
            </w:r>
            <w:r w:rsidRPr="00100AAC">
              <w:rPr>
                <w:rFonts w:ascii="Times New Roman" w:eastAsia="Calibri" w:hAnsi="Times New Roman" w:cs="Times New Roman"/>
              </w:rPr>
              <w:t xml:space="preserve">ward in </w:t>
            </w:r>
            <w:r w:rsidR="00196FCF" w:rsidRPr="00100AAC">
              <w:rPr>
                <w:rFonts w:ascii="Times New Roman" w:eastAsia="Calibri" w:hAnsi="Times New Roman" w:cs="Times New Roman"/>
              </w:rPr>
              <w:t>c</w:t>
            </w:r>
            <w:r w:rsidRPr="00100AAC">
              <w:rPr>
                <w:rFonts w:ascii="Times New Roman" w:eastAsia="Calibri" w:hAnsi="Times New Roman" w:cs="Times New Roman"/>
              </w:rPr>
              <w:t xml:space="preserve">oaching </w:t>
            </w:r>
            <w:r w:rsidR="00196FCF" w:rsidRPr="00100AAC">
              <w:rPr>
                <w:rFonts w:ascii="Times New Roman" w:eastAsia="Calibri" w:hAnsi="Times New Roman" w:cs="Times New Roman"/>
              </w:rPr>
              <w:t>d</w:t>
            </w:r>
            <w:r w:rsidRPr="00100AAC">
              <w:rPr>
                <w:rFonts w:ascii="Times New Roman" w:eastAsia="Calibri" w:hAnsi="Times New Roman" w:cs="Times New Roman"/>
              </w:rPr>
              <w:t>odgeball is an online course which provides learners with the essential knowledge to use dodgeball as a vehicle to get groups active in a range of settings.</w:t>
            </w:r>
          </w:p>
          <w:p w14:paraId="0F01EE8A" w14:textId="77777777" w:rsidR="00AB35A3" w:rsidRPr="00100AAC" w:rsidRDefault="00AB35A3" w:rsidP="00AB35A3">
            <w:pPr>
              <w:tabs>
                <w:tab w:val="decimal" w:pos="34"/>
              </w:tabs>
              <w:jc w:val="both"/>
              <w:rPr>
                <w:rFonts w:ascii="Times New Roman" w:eastAsia="Calibri" w:hAnsi="Times New Roman" w:cs="Times New Roman"/>
                <w:color w:val="FF0000"/>
                <w:sz w:val="10"/>
                <w:szCs w:val="10"/>
              </w:rPr>
            </w:pPr>
          </w:p>
        </w:tc>
      </w:tr>
      <w:tr w:rsidR="00AB35A3" w:rsidRPr="00100AAC" w14:paraId="7BA34751" w14:textId="77777777" w:rsidTr="00714906">
        <w:tc>
          <w:tcPr>
            <w:tcW w:w="2122" w:type="dxa"/>
          </w:tcPr>
          <w:p w14:paraId="3065FE8C" w14:textId="77777777" w:rsidR="00AB35A3" w:rsidRPr="00100AAC" w:rsidRDefault="00AB35A3" w:rsidP="00AB35A3">
            <w:pPr>
              <w:jc w:val="both"/>
              <w:rPr>
                <w:rFonts w:ascii="Times New Roman" w:eastAsia="Calibri" w:hAnsi="Times New Roman" w:cs="Times New Roman"/>
                <w:sz w:val="10"/>
                <w:szCs w:val="10"/>
              </w:rPr>
            </w:pPr>
          </w:p>
          <w:p w14:paraId="53E2FEE6" w14:textId="77777777" w:rsidR="00AB35A3" w:rsidRPr="00100AAC" w:rsidRDefault="00AB35A3" w:rsidP="00AB35A3">
            <w:pPr>
              <w:jc w:val="both"/>
              <w:rPr>
                <w:rFonts w:ascii="Times New Roman" w:eastAsia="Calibri" w:hAnsi="Times New Roman" w:cs="Times New Roman"/>
              </w:rPr>
            </w:pPr>
            <w:r w:rsidRPr="00100AAC">
              <w:rPr>
                <w:rFonts w:ascii="Times New Roman" w:eastAsia="Calibri" w:hAnsi="Times New Roman" w:cs="Times New Roman"/>
              </w:rPr>
              <w:t>Content</w:t>
            </w:r>
          </w:p>
        </w:tc>
        <w:tc>
          <w:tcPr>
            <w:tcW w:w="6894" w:type="dxa"/>
          </w:tcPr>
          <w:p w14:paraId="4659A6AE" w14:textId="77777777" w:rsidR="00AB35A3" w:rsidRPr="00100AAC" w:rsidRDefault="00AB35A3" w:rsidP="00AB35A3">
            <w:pPr>
              <w:tabs>
                <w:tab w:val="decimal" w:pos="34"/>
              </w:tabs>
              <w:ind w:left="454"/>
              <w:contextualSpacing/>
              <w:jc w:val="both"/>
              <w:rPr>
                <w:rFonts w:ascii="Times New Roman" w:eastAsia="Calibri" w:hAnsi="Times New Roman" w:cs="Times New Roman"/>
                <w:sz w:val="10"/>
                <w:szCs w:val="10"/>
              </w:rPr>
            </w:pPr>
          </w:p>
          <w:p w14:paraId="785C34FA" w14:textId="6533B3F6" w:rsidR="00AB35A3" w:rsidRPr="00100AAC" w:rsidRDefault="00AB35A3" w:rsidP="00AB35A3">
            <w:pPr>
              <w:numPr>
                <w:ilvl w:val="0"/>
                <w:numId w:val="16"/>
              </w:numPr>
              <w:tabs>
                <w:tab w:val="decimal" w:pos="34"/>
              </w:tabs>
              <w:ind w:left="454"/>
              <w:contextualSpacing/>
              <w:jc w:val="both"/>
              <w:rPr>
                <w:rFonts w:ascii="Times New Roman" w:eastAsia="Calibri" w:hAnsi="Times New Roman" w:cs="Times New Roman"/>
              </w:rPr>
            </w:pPr>
            <w:r w:rsidRPr="00100AAC">
              <w:rPr>
                <w:rFonts w:ascii="Times New Roman" w:eastAsia="Calibri" w:hAnsi="Times New Roman" w:cs="Times New Roman"/>
              </w:rPr>
              <w:t>Dodgeball in the U</w:t>
            </w:r>
            <w:r w:rsidR="00196FCF" w:rsidRPr="00100AAC">
              <w:rPr>
                <w:rFonts w:ascii="Times New Roman" w:eastAsia="Calibri" w:hAnsi="Times New Roman" w:cs="Times New Roman"/>
              </w:rPr>
              <w:t>K</w:t>
            </w:r>
            <w:r w:rsidRPr="00100AAC">
              <w:rPr>
                <w:rFonts w:ascii="Times New Roman" w:eastAsia="Calibri" w:hAnsi="Times New Roman" w:cs="Times New Roman"/>
              </w:rPr>
              <w:t xml:space="preserve"> (historical/contemporary overview). </w:t>
            </w:r>
          </w:p>
          <w:p w14:paraId="04695DE0" w14:textId="77777777" w:rsidR="00AB35A3" w:rsidRPr="00100AAC" w:rsidRDefault="00AB35A3" w:rsidP="00AB35A3">
            <w:pPr>
              <w:numPr>
                <w:ilvl w:val="0"/>
                <w:numId w:val="16"/>
              </w:numPr>
              <w:tabs>
                <w:tab w:val="decimal" w:pos="34"/>
              </w:tabs>
              <w:ind w:left="454"/>
              <w:contextualSpacing/>
              <w:jc w:val="both"/>
              <w:rPr>
                <w:rFonts w:ascii="Times New Roman" w:eastAsia="Calibri" w:hAnsi="Times New Roman" w:cs="Times New Roman"/>
              </w:rPr>
            </w:pPr>
            <w:r w:rsidRPr="00100AAC">
              <w:rPr>
                <w:rFonts w:ascii="Times New Roman" w:eastAsia="Calibri" w:hAnsi="Times New Roman" w:cs="Times New Roman"/>
              </w:rPr>
              <w:t xml:space="preserve">Equipment and spaces (e.g., ball sizes and court layout). </w:t>
            </w:r>
          </w:p>
          <w:p w14:paraId="59430203" w14:textId="77777777" w:rsidR="00AB35A3" w:rsidRPr="00100AAC" w:rsidRDefault="00AB35A3" w:rsidP="00AB35A3">
            <w:pPr>
              <w:numPr>
                <w:ilvl w:val="0"/>
                <w:numId w:val="16"/>
              </w:numPr>
              <w:tabs>
                <w:tab w:val="decimal" w:pos="34"/>
              </w:tabs>
              <w:ind w:left="454"/>
              <w:contextualSpacing/>
              <w:jc w:val="both"/>
              <w:rPr>
                <w:rFonts w:ascii="Times New Roman" w:eastAsia="Calibri" w:hAnsi="Times New Roman" w:cs="Times New Roman"/>
              </w:rPr>
            </w:pPr>
            <w:r w:rsidRPr="00100AAC">
              <w:rPr>
                <w:rFonts w:ascii="Times New Roman" w:eastAsia="Calibri" w:hAnsi="Times New Roman" w:cs="Times New Roman"/>
              </w:rPr>
              <w:t xml:space="preserve">Rules of dodgeball (e.g., junior vs. adult). </w:t>
            </w:r>
          </w:p>
          <w:p w14:paraId="7AB10A4C" w14:textId="77777777" w:rsidR="00AB35A3" w:rsidRPr="00100AAC" w:rsidRDefault="00AB35A3" w:rsidP="00AB35A3">
            <w:pPr>
              <w:numPr>
                <w:ilvl w:val="0"/>
                <w:numId w:val="16"/>
              </w:numPr>
              <w:tabs>
                <w:tab w:val="decimal" w:pos="34"/>
              </w:tabs>
              <w:ind w:left="454"/>
              <w:contextualSpacing/>
              <w:jc w:val="both"/>
              <w:rPr>
                <w:rFonts w:ascii="Times New Roman" w:eastAsia="Calibri" w:hAnsi="Times New Roman" w:cs="Times New Roman"/>
              </w:rPr>
            </w:pPr>
            <w:r w:rsidRPr="00100AAC">
              <w:rPr>
                <w:rFonts w:ascii="Times New Roman" w:eastAsia="Calibri" w:hAnsi="Times New Roman" w:cs="Times New Roman"/>
              </w:rPr>
              <w:t xml:space="preserve">Coaching dodgeball (e.g., planning and delivering sessions, techniques and tactics, skill development). </w:t>
            </w:r>
          </w:p>
          <w:p w14:paraId="74E5044F" w14:textId="77777777" w:rsidR="00AB35A3" w:rsidRPr="00100AAC" w:rsidRDefault="00AB35A3" w:rsidP="00AB35A3">
            <w:pPr>
              <w:numPr>
                <w:ilvl w:val="0"/>
                <w:numId w:val="16"/>
              </w:numPr>
              <w:tabs>
                <w:tab w:val="decimal" w:pos="34"/>
              </w:tabs>
              <w:ind w:left="454"/>
              <w:contextualSpacing/>
              <w:jc w:val="both"/>
              <w:rPr>
                <w:rFonts w:ascii="Times New Roman" w:eastAsia="Calibri" w:hAnsi="Times New Roman" w:cs="Times New Roman"/>
                <w:color w:val="FF0000"/>
              </w:rPr>
            </w:pPr>
            <w:r w:rsidRPr="00100AAC">
              <w:rPr>
                <w:rFonts w:ascii="Times New Roman" w:eastAsia="Calibri" w:hAnsi="Times New Roman" w:cs="Times New Roman"/>
              </w:rPr>
              <w:t>Working with groups (e.g., creating a positive learning environment).</w:t>
            </w:r>
          </w:p>
          <w:p w14:paraId="10E350E6" w14:textId="77777777" w:rsidR="00AB35A3" w:rsidRPr="00100AAC" w:rsidRDefault="00AB35A3" w:rsidP="00AB35A3">
            <w:pPr>
              <w:tabs>
                <w:tab w:val="decimal" w:pos="34"/>
              </w:tabs>
              <w:ind w:left="454"/>
              <w:contextualSpacing/>
              <w:jc w:val="both"/>
              <w:rPr>
                <w:rFonts w:ascii="Times New Roman" w:eastAsia="Calibri" w:hAnsi="Times New Roman" w:cs="Times New Roman"/>
                <w:color w:val="FF0000"/>
                <w:sz w:val="10"/>
                <w:szCs w:val="10"/>
              </w:rPr>
            </w:pPr>
          </w:p>
        </w:tc>
      </w:tr>
      <w:tr w:rsidR="00AB35A3" w:rsidRPr="00100AAC" w14:paraId="6A8915B3" w14:textId="77777777" w:rsidTr="00714906">
        <w:tc>
          <w:tcPr>
            <w:tcW w:w="2122" w:type="dxa"/>
          </w:tcPr>
          <w:p w14:paraId="41F3DE5E" w14:textId="77777777" w:rsidR="00AB35A3" w:rsidRPr="00100AAC" w:rsidRDefault="00AB35A3" w:rsidP="00AB35A3">
            <w:pPr>
              <w:jc w:val="both"/>
              <w:rPr>
                <w:rFonts w:ascii="Times New Roman" w:eastAsia="Calibri" w:hAnsi="Times New Roman" w:cs="Times New Roman"/>
                <w:sz w:val="10"/>
                <w:szCs w:val="10"/>
              </w:rPr>
            </w:pPr>
          </w:p>
          <w:p w14:paraId="43A6A460" w14:textId="77777777" w:rsidR="00AB35A3" w:rsidRPr="00100AAC" w:rsidRDefault="00AB35A3" w:rsidP="00AB35A3">
            <w:pPr>
              <w:jc w:val="both"/>
              <w:rPr>
                <w:rFonts w:ascii="Times New Roman" w:eastAsia="Calibri" w:hAnsi="Times New Roman" w:cs="Times New Roman"/>
              </w:rPr>
            </w:pPr>
            <w:r w:rsidRPr="00100AAC">
              <w:rPr>
                <w:rFonts w:ascii="Times New Roman" w:eastAsia="Calibri" w:hAnsi="Times New Roman" w:cs="Times New Roman"/>
              </w:rPr>
              <w:t>Assessment Format</w:t>
            </w:r>
          </w:p>
        </w:tc>
        <w:tc>
          <w:tcPr>
            <w:tcW w:w="6894" w:type="dxa"/>
          </w:tcPr>
          <w:p w14:paraId="6AFCC3C0" w14:textId="77777777" w:rsidR="00AB35A3" w:rsidRPr="00100AAC" w:rsidRDefault="00AB35A3" w:rsidP="00AB35A3">
            <w:pPr>
              <w:tabs>
                <w:tab w:val="decimal" w:pos="34"/>
              </w:tabs>
              <w:jc w:val="both"/>
              <w:rPr>
                <w:rFonts w:ascii="Times New Roman" w:eastAsia="Calibri" w:hAnsi="Times New Roman" w:cs="Times New Roman"/>
                <w:color w:val="FF0000"/>
                <w:sz w:val="10"/>
                <w:szCs w:val="10"/>
              </w:rPr>
            </w:pPr>
          </w:p>
          <w:p w14:paraId="7DEE8486" w14:textId="7B6FFF33" w:rsidR="00AB35A3" w:rsidRPr="00100AAC" w:rsidRDefault="00196FCF" w:rsidP="00AB35A3">
            <w:pPr>
              <w:numPr>
                <w:ilvl w:val="0"/>
                <w:numId w:val="18"/>
              </w:numPr>
              <w:tabs>
                <w:tab w:val="decimal" w:pos="34"/>
              </w:tabs>
              <w:ind w:left="462"/>
              <w:contextualSpacing/>
              <w:jc w:val="both"/>
              <w:rPr>
                <w:rFonts w:ascii="Times New Roman" w:eastAsia="Calibri" w:hAnsi="Times New Roman" w:cs="Times New Roman"/>
              </w:rPr>
            </w:pPr>
            <w:r w:rsidRPr="00100AAC">
              <w:rPr>
                <w:rFonts w:ascii="Times New Roman" w:eastAsia="Calibri" w:hAnsi="Times New Roman" w:cs="Times New Roman"/>
              </w:rPr>
              <w:t>M</w:t>
            </w:r>
            <w:r w:rsidR="00AB35A3" w:rsidRPr="00100AAC">
              <w:rPr>
                <w:rFonts w:ascii="Times New Roman" w:eastAsia="Calibri" w:hAnsi="Times New Roman" w:cs="Times New Roman"/>
              </w:rPr>
              <w:t xml:space="preserve">ultiple-choice quizzes throughout </w:t>
            </w:r>
            <w:r w:rsidRPr="00100AAC">
              <w:rPr>
                <w:rFonts w:ascii="Times New Roman" w:eastAsia="Calibri" w:hAnsi="Times New Roman" w:cs="Times New Roman"/>
              </w:rPr>
              <w:t>content sections</w:t>
            </w:r>
            <w:r w:rsidR="00AB35A3" w:rsidRPr="00100AAC">
              <w:rPr>
                <w:rFonts w:ascii="Times New Roman" w:eastAsia="Calibri" w:hAnsi="Times New Roman" w:cs="Times New Roman"/>
              </w:rPr>
              <w:t xml:space="preserve"> with learners needing a minimum of 60% to progress to next section. </w:t>
            </w:r>
          </w:p>
          <w:p w14:paraId="425EF88C" w14:textId="2154BD77" w:rsidR="00AB35A3" w:rsidRPr="00100AAC" w:rsidRDefault="00AB35A3" w:rsidP="00AB35A3">
            <w:pPr>
              <w:numPr>
                <w:ilvl w:val="0"/>
                <w:numId w:val="18"/>
              </w:numPr>
              <w:tabs>
                <w:tab w:val="decimal" w:pos="34"/>
              </w:tabs>
              <w:ind w:left="462"/>
              <w:contextualSpacing/>
              <w:jc w:val="both"/>
              <w:rPr>
                <w:rFonts w:ascii="Times New Roman" w:eastAsia="Calibri" w:hAnsi="Times New Roman" w:cs="Times New Roman"/>
              </w:rPr>
            </w:pPr>
            <w:r w:rsidRPr="00100AAC">
              <w:rPr>
                <w:rFonts w:ascii="Times New Roman" w:eastAsia="Calibri" w:hAnsi="Times New Roman" w:cs="Times New Roman"/>
              </w:rPr>
              <w:t xml:space="preserve">Summative written assessment which can be passed/failed and retaken. </w:t>
            </w:r>
          </w:p>
          <w:p w14:paraId="5071F40A" w14:textId="77777777" w:rsidR="00AB35A3" w:rsidRPr="00100AAC" w:rsidRDefault="00AB35A3" w:rsidP="00AB35A3">
            <w:pPr>
              <w:numPr>
                <w:ilvl w:val="0"/>
                <w:numId w:val="18"/>
              </w:numPr>
              <w:tabs>
                <w:tab w:val="decimal" w:pos="34"/>
              </w:tabs>
              <w:ind w:left="462"/>
              <w:contextualSpacing/>
              <w:jc w:val="both"/>
              <w:rPr>
                <w:rFonts w:ascii="Times New Roman" w:eastAsia="Calibri" w:hAnsi="Times New Roman" w:cs="Times New Roman"/>
              </w:rPr>
            </w:pPr>
            <w:r w:rsidRPr="00100AAC">
              <w:rPr>
                <w:rFonts w:ascii="Times New Roman" w:eastAsia="Calibri" w:hAnsi="Times New Roman" w:cs="Times New Roman"/>
              </w:rPr>
              <w:t>Learners must produce a coaching session plan which demonstrates their knowledge and understanding of the course assessment criteria, marked out of five (one mark per course assessment criteria).</w:t>
            </w:r>
          </w:p>
          <w:p w14:paraId="3EAC1407" w14:textId="77777777" w:rsidR="00AB35A3" w:rsidRPr="00100AAC" w:rsidRDefault="00AB35A3" w:rsidP="00AB35A3">
            <w:pPr>
              <w:tabs>
                <w:tab w:val="decimal" w:pos="34"/>
              </w:tabs>
              <w:jc w:val="both"/>
              <w:rPr>
                <w:rFonts w:ascii="Times New Roman" w:eastAsia="Calibri" w:hAnsi="Times New Roman" w:cs="Times New Roman"/>
                <w:color w:val="FF0000"/>
                <w:sz w:val="10"/>
                <w:szCs w:val="10"/>
              </w:rPr>
            </w:pPr>
          </w:p>
        </w:tc>
      </w:tr>
      <w:tr w:rsidR="00AB35A3" w:rsidRPr="00100AAC" w14:paraId="36F4BD7D" w14:textId="77777777" w:rsidTr="00714906">
        <w:tc>
          <w:tcPr>
            <w:tcW w:w="2122" w:type="dxa"/>
          </w:tcPr>
          <w:p w14:paraId="281266F8" w14:textId="77777777" w:rsidR="00AB35A3" w:rsidRPr="00100AAC" w:rsidRDefault="00AB35A3" w:rsidP="00AB35A3">
            <w:pPr>
              <w:jc w:val="both"/>
              <w:rPr>
                <w:rFonts w:ascii="Times New Roman" w:eastAsia="Calibri" w:hAnsi="Times New Roman" w:cs="Times New Roman"/>
                <w:sz w:val="10"/>
                <w:szCs w:val="10"/>
              </w:rPr>
            </w:pPr>
          </w:p>
          <w:p w14:paraId="650503FF" w14:textId="77777777" w:rsidR="00AB35A3" w:rsidRPr="00100AAC" w:rsidRDefault="00AB35A3" w:rsidP="00AB35A3">
            <w:pPr>
              <w:jc w:val="both"/>
              <w:rPr>
                <w:rFonts w:ascii="Times New Roman" w:eastAsia="Calibri" w:hAnsi="Times New Roman" w:cs="Times New Roman"/>
              </w:rPr>
            </w:pPr>
            <w:r w:rsidRPr="00100AAC">
              <w:rPr>
                <w:rFonts w:ascii="Times New Roman" w:eastAsia="Calibri" w:hAnsi="Times New Roman" w:cs="Times New Roman"/>
              </w:rPr>
              <w:t>Assessment Criteria</w:t>
            </w:r>
          </w:p>
        </w:tc>
        <w:tc>
          <w:tcPr>
            <w:tcW w:w="6894" w:type="dxa"/>
          </w:tcPr>
          <w:p w14:paraId="0C77278E" w14:textId="77777777" w:rsidR="00AB35A3" w:rsidRPr="00100AAC" w:rsidRDefault="00AB35A3" w:rsidP="00AB35A3">
            <w:pPr>
              <w:tabs>
                <w:tab w:val="decimal" w:pos="34"/>
              </w:tabs>
              <w:ind w:left="454"/>
              <w:contextualSpacing/>
              <w:jc w:val="both"/>
              <w:rPr>
                <w:rFonts w:ascii="Times New Roman" w:eastAsia="Calibri" w:hAnsi="Times New Roman" w:cs="Times New Roman"/>
                <w:sz w:val="10"/>
                <w:szCs w:val="10"/>
              </w:rPr>
            </w:pPr>
          </w:p>
          <w:p w14:paraId="523524DD" w14:textId="77777777" w:rsidR="00AB35A3" w:rsidRPr="00100AAC" w:rsidRDefault="00AB35A3" w:rsidP="00AB35A3">
            <w:pPr>
              <w:numPr>
                <w:ilvl w:val="0"/>
                <w:numId w:val="17"/>
              </w:numPr>
              <w:tabs>
                <w:tab w:val="decimal" w:pos="34"/>
              </w:tabs>
              <w:ind w:left="454"/>
              <w:contextualSpacing/>
              <w:jc w:val="both"/>
              <w:rPr>
                <w:rFonts w:ascii="Times New Roman" w:eastAsia="Calibri" w:hAnsi="Times New Roman" w:cs="Times New Roman"/>
              </w:rPr>
            </w:pPr>
            <w:r w:rsidRPr="00100AAC">
              <w:rPr>
                <w:rFonts w:ascii="Times New Roman" w:eastAsia="Calibri" w:hAnsi="Times New Roman" w:cs="Times New Roman"/>
              </w:rPr>
              <w:t xml:space="preserve">Knowledge of equipment and spaces used in dodgeball. </w:t>
            </w:r>
          </w:p>
          <w:p w14:paraId="5BD4078D" w14:textId="77777777" w:rsidR="00AB35A3" w:rsidRPr="00100AAC" w:rsidRDefault="00AB35A3" w:rsidP="00AB35A3">
            <w:pPr>
              <w:numPr>
                <w:ilvl w:val="0"/>
                <w:numId w:val="17"/>
              </w:numPr>
              <w:tabs>
                <w:tab w:val="decimal" w:pos="34"/>
              </w:tabs>
              <w:ind w:left="454"/>
              <w:contextualSpacing/>
              <w:jc w:val="both"/>
              <w:rPr>
                <w:rFonts w:ascii="Times New Roman" w:eastAsia="Calibri" w:hAnsi="Times New Roman" w:cs="Times New Roman"/>
              </w:rPr>
            </w:pPr>
            <w:r w:rsidRPr="00100AAC">
              <w:rPr>
                <w:rFonts w:ascii="Times New Roman" w:eastAsia="Calibri" w:hAnsi="Times New Roman" w:cs="Times New Roman"/>
              </w:rPr>
              <w:t xml:space="preserve">Knowledge of dodgeball ruleset. </w:t>
            </w:r>
          </w:p>
          <w:p w14:paraId="7032A12F" w14:textId="77777777" w:rsidR="00AB35A3" w:rsidRPr="00100AAC" w:rsidRDefault="00AB35A3" w:rsidP="00AB35A3">
            <w:pPr>
              <w:numPr>
                <w:ilvl w:val="0"/>
                <w:numId w:val="17"/>
              </w:numPr>
              <w:tabs>
                <w:tab w:val="decimal" w:pos="34"/>
              </w:tabs>
              <w:ind w:left="454"/>
              <w:contextualSpacing/>
              <w:jc w:val="both"/>
              <w:rPr>
                <w:rFonts w:ascii="Times New Roman" w:eastAsia="Calibri" w:hAnsi="Times New Roman" w:cs="Times New Roman"/>
              </w:rPr>
            </w:pPr>
            <w:r w:rsidRPr="00100AAC">
              <w:rPr>
                <w:rFonts w:ascii="Times New Roman" w:eastAsia="Calibri" w:hAnsi="Times New Roman" w:cs="Times New Roman"/>
              </w:rPr>
              <w:t xml:space="preserve">Knowledge of dodgeball-specific skills. </w:t>
            </w:r>
          </w:p>
          <w:p w14:paraId="615E76AB" w14:textId="77777777" w:rsidR="00AB35A3" w:rsidRPr="00100AAC" w:rsidRDefault="00AB35A3" w:rsidP="00AB35A3">
            <w:pPr>
              <w:numPr>
                <w:ilvl w:val="0"/>
                <w:numId w:val="17"/>
              </w:numPr>
              <w:tabs>
                <w:tab w:val="decimal" w:pos="34"/>
              </w:tabs>
              <w:ind w:left="454"/>
              <w:contextualSpacing/>
              <w:jc w:val="both"/>
              <w:rPr>
                <w:rFonts w:ascii="Times New Roman" w:eastAsia="Calibri" w:hAnsi="Times New Roman" w:cs="Times New Roman"/>
              </w:rPr>
            </w:pPr>
            <w:r w:rsidRPr="00100AAC">
              <w:rPr>
                <w:rFonts w:ascii="Times New Roman" w:eastAsia="Calibri" w:hAnsi="Times New Roman" w:cs="Times New Roman"/>
              </w:rPr>
              <w:t xml:space="preserve">Ability to lead safe sessions. </w:t>
            </w:r>
          </w:p>
          <w:p w14:paraId="7FFB5BDA" w14:textId="77777777" w:rsidR="00AB35A3" w:rsidRPr="00100AAC" w:rsidRDefault="00AB35A3" w:rsidP="00AB35A3">
            <w:pPr>
              <w:numPr>
                <w:ilvl w:val="0"/>
                <w:numId w:val="17"/>
              </w:numPr>
              <w:tabs>
                <w:tab w:val="decimal" w:pos="34"/>
              </w:tabs>
              <w:ind w:left="454"/>
              <w:contextualSpacing/>
              <w:jc w:val="both"/>
              <w:rPr>
                <w:rFonts w:ascii="Times New Roman" w:eastAsia="Calibri" w:hAnsi="Times New Roman" w:cs="Times New Roman"/>
                <w:color w:val="FF0000"/>
              </w:rPr>
            </w:pPr>
            <w:r w:rsidRPr="00100AAC">
              <w:rPr>
                <w:rFonts w:ascii="Times New Roman" w:eastAsia="Calibri" w:hAnsi="Times New Roman" w:cs="Times New Roman"/>
              </w:rPr>
              <w:t>Understanding of how to work with groups.</w:t>
            </w:r>
          </w:p>
          <w:p w14:paraId="68FFC350" w14:textId="77777777" w:rsidR="00AB35A3" w:rsidRPr="00100AAC" w:rsidRDefault="00AB35A3" w:rsidP="00AB35A3">
            <w:pPr>
              <w:tabs>
                <w:tab w:val="decimal" w:pos="34"/>
              </w:tabs>
              <w:ind w:left="454"/>
              <w:contextualSpacing/>
              <w:jc w:val="both"/>
              <w:rPr>
                <w:rFonts w:ascii="Times New Roman" w:eastAsia="Calibri" w:hAnsi="Times New Roman" w:cs="Times New Roman"/>
                <w:color w:val="FF0000"/>
                <w:sz w:val="10"/>
                <w:szCs w:val="10"/>
              </w:rPr>
            </w:pPr>
          </w:p>
        </w:tc>
      </w:tr>
      <w:tr w:rsidR="00AB35A3" w:rsidRPr="00100AAC" w14:paraId="4CE93A5C" w14:textId="77777777" w:rsidTr="00714906">
        <w:tc>
          <w:tcPr>
            <w:tcW w:w="2122" w:type="dxa"/>
          </w:tcPr>
          <w:p w14:paraId="66162DB0" w14:textId="77777777" w:rsidR="00AB35A3" w:rsidRPr="00100AAC" w:rsidRDefault="00AB35A3" w:rsidP="00AB35A3">
            <w:pPr>
              <w:jc w:val="both"/>
              <w:rPr>
                <w:rFonts w:ascii="Times New Roman" w:eastAsia="Calibri" w:hAnsi="Times New Roman" w:cs="Times New Roman"/>
                <w:sz w:val="10"/>
                <w:szCs w:val="10"/>
              </w:rPr>
            </w:pPr>
          </w:p>
          <w:p w14:paraId="7BE3AB80" w14:textId="6D3B0157" w:rsidR="00AB35A3" w:rsidRPr="00100AAC" w:rsidRDefault="003F38B2" w:rsidP="00AB35A3">
            <w:pPr>
              <w:jc w:val="both"/>
              <w:rPr>
                <w:rFonts w:ascii="Times New Roman" w:eastAsia="Calibri" w:hAnsi="Times New Roman" w:cs="Times New Roman"/>
              </w:rPr>
            </w:pPr>
            <w:r w:rsidRPr="00100AAC">
              <w:rPr>
                <w:rFonts w:ascii="Times New Roman" w:eastAsia="Calibri" w:hAnsi="Times New Roman" w:cs="Times New Roman"/>
              </w:rPr>
              <w:t xml:space="preserve">Learning </w:t>
            </w:r>
            <w:r w:rsidR="00AB35A3" w:rsidRPr="00100AAC">
              <w:rPr>
                <w:rFonts w:ascii="Times New Roman" w:eastAsia="Calibri" w:hAnsi="Times New Roman" w:cs="Times New Roman"/>
              </w:rPr>
              <w:t>Activities</w:t>
            </w:r>
          </w:p>
        </w:tc>
        <w:tc>
          <w:tcPr>
            <w:tcW w:w="6894" w:type="dxa"/>
          </w:tcPr>
          <w:p w14:paraId="68374349" w14:textId="77777777" w:rsidR="00AB35A3" w:rsidRPr="00100AAC" w:rsidRDefault="00AB35A3" w:rsidP="00AB35A3">
            <w:pPr>
              <w:tabs>
                <w:tab w:val="decimal" w:pos="34"/>
              </w:tabs>
              <w:jc w:val="both"/>
              <w:rPr>
                <w:rFonts w:ascii="Times New Roman" w:eastAsia="Calibri" w:hAnsi="Times New Roman" w:cs="Times New Roman"/>
                <w:sz w:val="10"/>
                <w:szCs w:val="10"/>
              </w:rPr>
            </w:pPr>
          </w:p>
          <w:p w14:paraId="2B1D360A" w14:textId="0C556143" w:rsidR="00AB35A3" w:rsidRPr="00100AAC" w:rsidRDefault="00AB35A3" w:rsidP="00AB35A3">
            <w:pPr>
              <w:numPr>
                <w:ilvl w:val="0"/>
                <w:numId w:val="19"/>
              </w:numPr>
              <w:tabs>
                <w:tab w:val="decimal" w:pos="34"/>
              </w:tabs>
              <w:ind w:left="462"/>
              <w:contextualSpacing/>
              <w:jc w:val="both"/>
              <w:rPr>
                <w:rFonts w:ascii="Times New Roman" w:eastAsia="Calibri" w:hAnsi="Times New Roman" w:cs="Times New Roman"/>
              </w:rPr>
            </w:pPr>
            <w:r w:rsidRPr="00100AAC">
              <w:rPr>
                <w:rFonts w:ascii="Times New Roman" w:eastAsia="Calibri" w:hAnsi="Times New Roman" w:cs="Times New Roman"/>
              </w:rPr>
              <w:t>Asynchronous passages of text, images,</w:t>
            </w:r>
            <w:r w:rsidR="003F38B2" w:rsidRPr="00100AAC">
              <w:rPr>
                <w:rFonts w:ascii="Times New Roman" w:eastAsia="Calibri" w:hAnsi="Times New Roman" w:cs="Times New Roman"/>
              </w:rPr>
              <w:t xml:space="preserve"> multiple-choice quizzes,</w:t>
            </w:r>
            <w:r w:rsidRPr="00100AAC">
              <w:rPr>
                <w:rFonts w:ascii="Times New Roman" w:eastAsia="Calibri" w:hAnsi="Times New Roman" w:cs="Times New Roman"/>
              </w:rPr>
              <w:t xml:space="preserve"> and pre-recorded videos. </w:t>
            </w:r>
          </w:p>
          <w:p w14:paraId="1AAEF467" w14:textId="77777777" w:rsidR="00AB35A3" w:rsidRPr="00100AAC" w:rsidRDefault="00AB35A3" w:rsidP="00AB35A3">
            <w:pPr>
              <w:numPr>
                <w:ilvl w:val="0"/>
                <w:numId w:val="19"/>
              </w:numPr>
              <w:tabs>
                <w:tab w:val="decimal" w:pos="34"/>
              </w:tabs>
              <w:ind w:left="462"/>
              <w:contextualSpacing/>
              <w:jc w:val="both"/>
              <w:rPr>
                <w:rFonts w:ascii="Times New Roman" w:eastAsia="Calibri" w:hAnsi="Times New Roman" w:cs="Times New Roman"/>
              </w:rPr>
            </w:pPr>
            <w:r w:rsidRPr="00100AAC">
              <w:rPr>
                <w:rFonts w:ascii="Times New Roman" w:eastAsia="Calibri" w:hAnsi="Times New Roman" w:cs="Times New Roman"/>
              </w:rPr>
              <w:t xml:space="preserve">No synchronous content or interaction with tutor/other learners.  </w:t>
            </w:r>
          </w:p>
          <w:p w14:paraId="44E2D3EE" w14:textId="77777777" w:rsidR="00AB35A3" w:rsidRPr="00100AAC" w:rsidRDefault="00AB35A3" w:rsidP="00AB35A3">
            <w:pPr>
              <w:tabs>
                <w:tab w:val="decimal" w:pos="34"/>
              </w:tabs>
              <w:jc w:val="both"/>
              <w:rPr>
                <w:rFonts w:ascii="Times New Roman" w:eastAsia="Calibri" w:hAnsi="Times New Roman" w:cs="Times New Roman"/>
                <w:sz w:val="10"/>
                <w:szCs w:val="10"/>
              </w:rPr>
            </w:pPr>
          </w:p>
        </w:tc>
      </w:tr>
      <w:tr w:rsidR="00AB35A3" w:rsidRPr="00100AAC" w14:paraId="2012B1D0" w14:textId="77777777" w:rsidTr="00714906">
        <w:tc>
          <w:tcPr>
            <w:tcW w:w="2122" w:type="dxa"/>
          </w:tcPr>
          <w:p w14:paraId="2A70C0A7" w14:textId="77777777" w:rsidR="00AB35A3" w:rsidRPr="00100AAC" w:rsidRDefault="00AB35A3" w:rsidP="00AB35A3">
            <w:pPr>
              <w:jc w:val="both"/>
              <w:rPr>
                <w:rFonts w:ascii="Times New Roman" w:eastAsia="Calibri" w:hAnsi="Times New Roman" w:cs="Times New Roman"/>
                <w:sz w:val="10"/>
                <w:szCs w:val="10"/>
              </w:rPr>
            </w:pPr>
          </w:p>
          <w:p w14:paraId="429B895B" w14:textId="77777777" w:rsidR="00AB35A3" w:rsidRPr="00100AAC" w:rsidRDefault="00AB35A3" w:rsidP="00AB35A3">
            <w:pPr>
              <w:jc w:val="both"/>
              <w:rPr>
                <w:rFonts w:ascii="Times New Roman" w:eastAsia="Calibri" w:hAnsi="Times New Roman" w:cs="Times New Roman"/>
              </w:rPr>
            </w:pPr>
            <w:r w:rsidRPr="00100AAC">
              <w:rPr>
                <w:rFonts w:ascii="Times New Roman" w:eastAsia="Calibri" w:hAnsi="Times New Roman" w:cs="Times New Roman"/>
              </w:rPr>
              <w:t>Duration</w:t>
            </w:r>
          </w:p>
        </w:tc>
        <w:tc>
          <w:tcPr>
            <w:tcW w:w="6894" w:type="dxa"/>
          </w:tcPr>
          <w:p w14:paraId="63F134DC" w14:textId="77777777" w:rsidR="00AB35A3" w:rsidRPr="00100AAC" w:rsidRDefault="00AB35A3" w:rsidP="00AB35A3">
            <w:pPr>
              <w:tabs>
                <w:tab w:val="decimal" w:pos="34"/>
              </w:tabs>
              <w:jc w:val="both"/>
              <w:rPr>
                <w:rFonts w:ascii="Times New Roman" w:eastAsia="Calibri" w:hAnsi="Times New Roman" w:cs="Times New Roman"/>
                <w:sz w:val="10"/>
                <w:szCs w:val="10"/>
              </w:rPr>
            </w:pPr>
          </w:p>
          <w:p w14:paraId="3785BCBB" w14:textId="77777777" w:rsidR="00AB35A3" w:rsidRPr="00100AAC" w:rsidRDefault="00AB35A3" w:rsidP="00AB35A3">
            <w:pPr>
              <w:numPr>
                <w:ilvl w:val="0"/>
                <w:numId w:val="20"/>
              </w:numPr>
              <w:tabs>
                <w:tab w:val="decimal" w:pos="34"/>
              </w:tabs>
              <w:ind w:left="462"/>
              <w:contextualSpacing/>
              <w:jc w:val="both"/>
              <w:rPr>
                <w:rFonts w:ascii="Times New Roman" w:eastAsia="Calibri" w:hAnsi="Times New Roman" w:cs="Times New Roman"/>
              </w:rPr>
            </w:pPr>
            <w:r w:rsidRPr="00100AAC">
              <w:rPr>
                <w:rFonts w:ascii="Times New Roman" w:eastAsia="Calibri" w:hAnsi="Times New Roman" w:cs="Times New Roman"/>
              </w:rPr>
              <w:t>Four hours (although the course is self-paced so may be less/more).</w:t>
            </w:r>
          </w:p>
          <w:p w14:paraId="20A61F7D" w14:textId="77777777" w:rsidR="00AB35A3" w:rsidRPr="00100AAC" w:rsidRDefault="00AB35A3" w:rsidP="00AB35A3">
            <w:pPr>
              <w:tabs>
                <w:tab w:val="decimal" w:pos="34"/>
              </w:tabs>
              <w:jc w:val="both"/>
              <w:rPr>
                <w:rFonts w:ascii="Times New Roman" w:eastAsia="Calibri" w:hAnsi="Times New Roman" w:cs="Times New Roman"/>
                <w:sz w:val="10"/>
                <w:szCs w:val="10"/>
              </w:rPr>
            </w:pPr>
          </w:p>
        </w:tc>
      </w:tr>
      <w:tr w:rsidR="00AB35A3" w:rsidRPr="00100AAC" w14:paraId="52091742" w14:textId="77777777" w:rsidTr="00714906">
        <w:tc>
          <w:tcPr>
            <w:tcW w:w="2122" w:type="dxa"/>
          </w:tcPr>
          <w:p w14:paraId="083C4345" w14:textId="77777777" w:rsidR="00AB35A3" w:rsidRPr="00100AAC" w:rsidRDefault="00AB35A3" w:rsidP="00AB35A3">
            <w:pPr>
              <w:jc w:val="both"/>
              <w:rPr>
                <w:rFonts w:ascii="Times New Roman" w:eastAsia="Calibri" w:hAnsi="Times New Roman" w:cs="Times New Roman"/>
                <w:sz w:val="10"/>
                <w:szCs w:val="10"/>
              </w:rPr>
            </w:pPr>
          </w:p>
          <w:p w14:paraId="0AED6538" w14:textId="77777777" w:rsidR="00AB35A3" w:rsidRPr="00100AAC" w:rsidRDefault="00AB35A3" w:rsidP="00AB35A3">
            <w:pPr>
              <w:jc w:val="both"/>
              <w:rPr>
                <w:rFonts w:ascii="Times New Roman" w:eastAsia="Calibri" w:hAnsi="Times New Roman" w:cs="Times New Roman"/>
              </w:rPr>
            </w:pPr>
            <w:r w:rsidRPr="00100AAC">
              <w:rPr>
                <w:rFonts w:ascii="Times New Roman" w:eastAsia="Calibri" w:hAnsi="Times New Roman" w:cs="Times New Roman"/>
              </w:rPr>
              <w:t>Cost</w:t>
            </w:r>
          </w:p>
        </w:tc>
        <w:tc>
          <w:tcPr>
            <w:tcW w:w="6894" w:type="dxa"/>
          </w:tcPr>
          <w:p w14:paraId="5050BCD5" w14:textId="77777777" w:rsidR="00AB35A3" w:rsidRPr="00100AAC" w:rsidRDefault="00AB35A3" w:rsidP="00AB35A3">
            <w:pPr>
              <w:tabs>
                <w:tab w:val="decimal" w:pos="34"/>
              </w:tabs>
              <w:jc w:val="both"/>
              <w:rPr>
                <w:rFonts w:ascii="Times New Roman" w:eastAsia="Calibri" w:hAnsi="Times New Roman" w:cs="Times New Roman"/>
                <w:sz w:val="10"/>
                <w:szCs w:val="10"/>
              </w:rPr>
            </w:pPr>
          </w:p>
          <w:p w14:paraId="446906A7" w14:textId="77777777" w:rsidR="00AB35A3" w:rsidRPr="00100AAC" w:rsidRDefault="00AB35A3" w:rsidP="00AB35A3">
            <w:pPr>
              <w:numPr>
                <w:ilvl w:val="0"/>
                <w:numId w:val="20"/>
              </w:numPr>
              <w:tabs>
                <w:tab w:val="decimal" w:pos="34"/>
              </w:tabs>
              <w:ind w:left="462"/>
              <w:contextualSpacing/>
              <w:jc w:val="both"/>
              <w:rPr>
                <w:rFonts w:ascii="Times New Roman" w:eastAsia="Calibri" w:hAnsi="Times New Roman" w:cs="Times New Roman"/>
                <w:color w:val="000000"/>
              </w:rPr>
            </w:pPr>
            <w:r w:rsidRPr="00100AAC">
              <w:rPr>
                <w:rFonts w:ascii="Times New Roman" w:eastAsia="Calibri" w:hAnsi="Times New Roman" w:cs="Times New Roman"/>
                <w:color w:val="000000"/>
              </w:rPr>
              <w:t>Sixty pounds sterling (£60).</w:t>
            </w:r>
          </w:p>
          <w:p w14:paraId="0C311541" w14:textId="77777777" w:rsidR="00AB35A3" w:rsidRPr="00100AAC" w:rsidRDefault="00AB35A3" w:rsidP="00AB35A3">
            <w:pPr>
              <w:tabs>
                <w:tab w:val="decimal" w:pos="34"/>
              </w:tabs>
              <w:jc w:val="both"/>
              <w:rPr>
                <w:rFonts w:ascii="Times New Roman" w:eastAsia="Calibri" w:hAnsi="Times New Roman" w:cs="Times New Roman"/>
                <w:sz w:val="10"/>
                <w:szCs w:val="10"/>
              </w:rPr>
            </w:pPr>
          </w:p>
        </w:tc>
      </w:tr>
    </w:tbl>
    <w:p w14:paraId="41CE251B" w14:textId="77777777" w:rsidR="00AB35A3" w:rsidRPr="00100AAC" w:rsidRDefault="00AB35A3" w:rsidP="00AB35A3">
      <w:pPr>
        <w:suppressLineNumbers/>
        <w:spacing w:after="0" w:line="240" w:lineRule="auto"/>
        <w:rPr>
          <w:rFonts w:ascii="Times New Roman" w:eastAsia="Calibri" w:hAnsi="Times New Roman" w:cs="Times New Roman"/>
          <w:color w:val="FF0000"/>
          <w:sz w:val="24"/>
          <w:szCs w:val="24"/>
        </w:rPr>
      </w:pPr>
    </w:p>
    <w:p w14:paraId="1C724664" w14:textId="74C11893" w:rsidR="00AB35A3" w:rsidRPr="00100AAC" w:rsidRDefault="00AB35A3" w:rsidP="00AB35A3">
      <w:pPr>
        <w:suppressLineNumbers/>
        <w:spacing w:after="160" w:line="259" w:lineRule="auto"/>
        <w:rPr>
          <w:rFonts w:ascii="Calibri" w:eastAsia="Calibri" w:hAnsi="Calibri" w:cs="Times New Roman"/>
          <w:color w:val="FF0000"/>
        </w:rPr>
      </w:pPr>
    </w:p>
    <w:p w14:paraId="2ED8B185" w14:textId="53E84505" w:rsidR="00AB35A3" w:rsidRPr="00100AAC" w:rsidRDefault="00AB35A3" w:rsidP="00AB35A3">
      <w:pPr>
        <w:suppressLineNumbers/>
        <w:spacing w:after="160" w:line="259" w:lineRule="auto"/>
        <w:rPr>
          <w:rFonts w:ascii="Calibri" w:eastAsia="Calibri" w:hAnsi="Calibri" w:cs="Times New Roman"/>
          <w:color w:val="FF0000"/>
        </w:rPr>
      </w:pPr>
    </w:p>
    <w:p w14:paraId="10ACA6EA" w14:textId="4A8C072B" w:rsidR="00AB35A3" w:rsidRPr="00100AAC" w:rsidRDefault="00AB35A3" w:rsidP="00AB35A3">
      <w:pPr>
        <w:suppressLineNumbers/>
        <w:spacing w:after="160" w:line="259" w:lineRule="auto"/>
        <w:rPr>
          <w:rFonts w:ascii="Calibri" w:eastAsia="Calibri" w:hAnsi="Calibri" w:cs="Times New Roman"/>
          <w:color w:val="FF0000"/>
        </w:rPr>
      </w:pPr>
    </w:p>
    <w:p w14:paraId="78FBE43E" w14:textId="727026BE" w:rsidR="00AB35A3" w:rsidRPr="00100AAC" w:rsidRDefault="00AB35A3" w:rsidP="00AB35A3">
      <w:pPr>
        <w:suppressLineNumbers/>
        <w:spacing w:after="160" w:line="259" w:lineRule="auto"/>
        <w:rPr>
          <w:rFonts w:ascii="Calibri" w:eastAsia="Calibri" w:hAnsi="Calibri" w:cs="Times New Roman"/>
          <w:color w:val="FF0000"/>
        </w:rPr>
      </w:pPr>
    </w:p>
    <w:p w14:paraId="538B298E" w14:textId="1CC60108" w:rsidR="00AB35A3" w:rsidRPr="00100AAC" w:rsidRDefault="00AB35A3" w:rsidP="00AB35A3">
      <w:pPr>
        <w:suppressLineNumbers/>
        <w:spacing w:after="160" w:line="259" w:lineRule="auto"/>
        <w:rPr>
          <w:rFonts w:ascii="Calibri" w:eastAsia="Calibri" w:hAnsi="Calibri" w:cs="Times New Roman"/>
          <w:color w:val="FF0000"/>
        </w:rPr>
      </w:pPr>
    </w:p>
    <w:p w14:paraId="73225E94" w14:textId="08934955" w:rsidR="00AB35A3" w:rsidRPr="00100AAC" w:rsidRDefault="00AB35A3" w:rsidP="00AB35A3">
      <w:pPr>
        <w:suppressLineNumbers/>
        <w:spacing w:after="160" w:line="259" w:lineRule="auto"/>
        <w:rPr>
          <w:rFonts w:ascii="Calibri" w:eastAsia="Calibri" w:hAnsi="Calibri" w:cs="Times New Roman"/>
          <w:color w:val="FF0000"/>
        </w:rPr>
      </w:pPr>
    </w:p>
    <w:p w14:paraId="1570F535" w14:textId="297BB5FE" w:rsidR="00AB35A3" w:rsidRPr="00100AAC" w:rsidRDefault="00AB35A3" w:rsidP="00AB35A3">
      <w:pPr>
        <w:suppressLineNumbers/>
        <w:spacing w:after="160" w:line="259" w:lineRule="auto"/>
        <w:rPr>
          <w:rFonts w:ascii="Calibri" w:eastAsia="Calibri" w:hAnsi="Calibri" w:cs="Times New Roman"/>
          <w:color w:val="FF0000"/>
        </w:rPr>
      </w:pPr>
    </w:p>
    <w:p w14:paraId="0A018C8C" w14:textId="78797DF8" w:rsidR="00AB35A3" w:rsidRPr="00100AAC" w:rsidRDefault="00AB35A3" w:rsidP="00AB35A3">
      <w:pPr>
        <w:suppressLineNumbers/>
        <w:spacing w:after="160" w:line="259" w:lineRule="auto"/>
        <w:rPr>
          <w:rFonts w:ascii="Calibri" w:eastAsia="Calibri" w:hAnsi="Calibri" w:cs="Times New Roman"/>
          <w:color w:val="FF0000"/>
        </w:rPr>
      </w:pPr>
    </w:p>
    <w:p w14:paraId="67E28C40" w14:textId="792B6882" w:rsidR="00AB35A3" w:rsidRPr="00100AAC" w:rsidRDefault="00AB35A3" w:rsidP="00AB35A3">
      <w:pPr>
        <w:suppressLineNumbers/>
        <w:spacing w:after="160" w:line="259" w:lineRule="auto"/>
        <w:rPr>
          <w:rFonts w:ascii="Calibri" w:eastAsia="Calibri" w:hAnsi="Calibri" w:cs="Times New Roman"/>
          <w:color w:val="FF0000"/>
        </w:rPr>
      </w:pPr>
    </w:p>
    <w:p w14:paraId="2ADFCF99" w14:textId="77777777" w:rsidR="003F73E3" w:rsidRPr="00100AAC" w:rsidRDefault="003F73E3" w:rsidP="003F73E3">
      <w:pPr>
        <w:suppressLineNumbers/>
        <w:spacing w:after="0" w:line="240" w:lineRule="auto"/>
        <w:rPr>
          <w:rFonts w:ascii="Times New Roman" w:eastAsia="Calibri" w:hAnsi="Times New Roman" w:cs="Times New Roman"/>
          <w:color w:val="C45911"/>
          <w:sz w:val="24"/>
          <w:szCs w:val="24"/>
        </w:rPr>
      </w:pPr>
      <w:r w:rsidRPr="00100AAC">
        <w:rPr>
          <w:rFonts w:ascii="Times New Roman" w:eastAsia="Calibri" w:hAnsi="Times New Roman" w:cs="Times New Roman"/>
          <w:sz w:val="24"/>
          <w:szCs w:val="24"/>
        </w:rPr>
        <w:lastRenderedPageBreak/>
        <w:t>Table 2. Online survey topic-based questions (section 4)</w:t>
      </w:r>
    </w:p>
    <w:p w14:paraId="672BFCF7" w14:textId="77777777" w:rsidR="003F73E3" w:rsidRPr="00100AAC" w:rsidRDefault="003F73E3" w:rsidP="003F73E3">
      <w:pPr>
        <w:suppressLineNumbers/>
        <w:spacing w:after="0" w:line="240" w:lineRule="auto"/>
        <w:rPr>
          <w:rFonts w:ascii="Times New Roman" w:eastAsia="Calibri" w:hAnsi="Times New Roman" w:cs="Times New Roman"/>
          <w:color w:val="C45911"/>
          <w:sz w:val="24"/>
          <w:szCs w:val="24"/>
        </w:rPr>
      </w:pP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9016"/>
      </w:tblGrid>
      <w:tr w:rsidR="003F73E3" w:rsidRPr="00100AAC" w14:paraId="11D9CF6B" w14:textId="77777777" w:rsidTr="00714906">
        <w:tc>
          <w:tcPr>
            <w:tcW w:w="9016" w:type="dxa"/>
          </w:tcPr>
          <w:p w14:paraId="1D948E83" w14:textId="77777777" w:rsidR="003F73E3" w:rsidRPr="00100AAC" w:rsidRDefault="003F73E3" w:rsidP="003F73E3">
            <w:pPr>
              <w:suppressLineNumbers/>
              <w:tabs>
                <w:tab w:val="decimal" w:pos="34"/>
              </w:tabs>
              <w:jc w:val="center"/>
              <w:rPr>
                <w:rFonts w:ascii="Times New Roman" w:eastAsia="Calibri" w:hAnsi="Times New Roman" w:cs="Times New Roman"/>
                <w:b/>
                <w:bCs/>
                <w:sz w:val="10"/>
                <w:szCs w:val="10"/>
              </w:rPr>
            </w:pPr>
          </w:p>
          <w:p w14:paraId="672BF7F4" w14:textId="77777777" w:rsidR="003F73E3" w:rsidRPr="00100AAC" w:rsidRDefault="003F73E3" w:rsidP="003F73E3">
            <w:pPr>
              <w:suppressLineNumbers/>
              <w:tabs>
                <w:tab w:val="decimal" w:pos="34"/>
              </w:tabs>
              <w:jc w:val="center"/>
              <w:rPr>
                <w:rFonts w:ascii="Times New Roman" w:eastAsia="Calibri" w:hAnsi="Times New Roman" w:cs="Times New Roman"/>
                <w:b/>
                <w:bCs/>
              </w:rPr>
            </w:pPr>
            <w:r w:rsidRPr="00100AAC">
              <w:rPr>
                <w:rFonts w:ascii="Times New Roman" w:eastAsia="Calibri" w:hAnsi="Times New Roman" w:cs="Times New Roman"/>
                <w:b/>
                <w:bCs/>
              </w:rPr>
              <w:t>Questions</w:t>
            </w:r>
          </w:p>
          <w:p w14:paraId="1CD4269B" w14:textId="77777777" w:rsidR="003F73E3" w:rsidRPr="00100AAC" w:rsidRDefault="003F73E3" w:rsidP="003F73E3">
            <w:pPr>
              <w:suppressLineNumbers/>
              <w:tabs>
                <w:tab w:val="decimal" w:pos="34"/>
              </w:tabs>
              <w:jc w:val="center"/>
              <w:rPr>
                <w:rFonts w:ascii="Times New Roman" w:eastAsia="Calibri" w:hAnsi="Times New Roman" w:cs="Times New Roman"/>
                <w:b/>
                <w:bCs/>
                <w:color w:val="C45911"/>
                <w:sz w:val="10"/>
                <w:szCs w:val="10"/>
              </w:rPr>
            </w:pPr>
          </w:p>
        </w:tc>
      </w:tr>
      <w:tr w:rsidR="003F73E3" w:rsidRPr="00100AAC" w14:paraId="121CA1A8" w14:textId="77777777" w:rsidTr="00714906">
        <w:tc>
          <w:tcPr>
            <w:tcW w:w="9016" w:type="dxa"/>
          </w:tcPr>
          <w:p w14:paraId="6BF6FDCE" w14:textId="77777777" w:rsidR="003F73E3" w:rsidRPr="00100AAC" w:rsidRDefault="003F73E3" w:rsidP="003F73E3">
            <w:pPr>
              <w:suppressLineNumbers/>
              <w:tabs>
                <w:tab w:val="decimal" w:pos="34"/>
              </w:tabs>
              <w:ind w:left="599"/>
              <w:contextualSpacing/>
              <w:jc w:val="both"/>
              <w:rPr>
                <w:rFonts w:ascii="Times New Roman" w:eastAsia="Calibri" w:hAnsi="Times New Roman" w:cs="Times New Roman"/>
                <w:sz w:val="10"/>
                <w:szCs w:val="10"/>
              </w:rPr>
            </w:pPr>
          </w:p>
          <w:p w14:paraId="7D73C20A" w14:textId="77777777" w:rsidR="003F73E3" w:rsidRPr="00100AAC" w:rsidRDefault="003F73E3" w:rsidP="003F73E3">
            <w:pPr>
              <w:numPr>
                <w:ilvl w:val="0"/>
                <w:numId w:val="21"/>
              </w:numPr>
              <w:suppressLineNumbers/>
              <w:tabs>
                <w:tab w:val="decimal" w:pos="34"/>
              </w:tabs>
              <w:ind w:left="599"/>
              <w:contextualSpacing/>
              <w:jc w:val="both"/>
              <w:rPr>
                <w:rFonts w:ascii="Times New Roman" w:eastAsia="Calibri" w:hAnsi="Times New Roman" w:cs="Times New Roman"/>
              </w:rPr>
            </w:pPr>
            <w:r w:rsidRPr="00100AAC">
              <w:rPr>
                <w:rFonts w:ascii="Times New Roman" w:eastAsia="Calibri" w:hAnsi="Times New Roman" w:cs="Times New Roman"/>
              </w:rPr>
              <w:t>In general, how would you describe your experiences (positive or negative) of completing British Dodgeball’s online Level 1 Award in Coaching Dodgeball? Please give reasons why.</w:t>
            </w:r>
          </w:p>
          <w:p w14:paraId="5CE803B9" w14:textId="77777777" w:rsidR="003F73E3" w:rsidRPr="00100AAC" w:rsidRDefault="003F73E3" w:rsidP="003F73E3">
            <w:pPr>
              <w:suppressLineNumbers/>
              <w:tabs>
                <w:tab w:val="decimal" w:pos="34"/>
              </w:tabs>
              <w:ind w:left="599"/>
              <w:contextualSpacing/>
              <w:jc w:val="both"/>
              <w:rPr>
                <w:rFonts w:ascii="Times New Roman" w:eastAsia="Calibri" w:hAnsi="Times New Roman" w:cs="Times New Roman"/>
                <w:sz w:val="10"/>
                <w:szCs w:val="10"/>
              </w:rPr>
            </w:pPr>
          </w:p>
          <w:p w14:paraId="4BE3C76B" w14:textId="77777777" w:rsidR="003F73E3" w:rsidRPr="00100AAC" w:rsidRDefault="003F73E3" w:rsidP="003F73E3">
            <w:pPr>
              <w:numPr>
                <w:ilvl w:val="0"/>
                <w:numId w:val="21"/>
              </w:numPr>
              <w:suppressLineNumbers/>
              <w:tabs>
                <w:tab w:val="decimal" w:pos="34"/>
              </w:tabs>
              <w:ind w:left="599"/>
              <w:contextualSpacing/>
              <w:jc w:val="both"/>
              <w:rPr>
                <w:rFonts w:ascii="Times New Roman" w:eastAsia="Calibri" w:hAnsi="Times New Roman" w:cs="Times New Roman"/>
              </w:rPr>
            </w:pPr>
            <w:r w:rsidRPr="00100AAC">
              <w:rPr>
                <w:rFonts w:ascii="Times New Roman" w:eastAsia="Calibri" w:hAnsi="Times New Roman" w:cs="Times New Roman"/>
              </w:rPr>
              <w:t xml:space="preserve">Which aspects of the online Level 1 award do you believe were the most beneficial for your learning and development as a dodgeball coach? Please provide examples.  </w:t>
            </w:r>
          </w:p>
          <w:p w14:paraId="7C662D55" w14:textId="77777777" w:rsidR="003F73E3" w:rsidRPr="00100AAC" w:rsidRDefault="003F73E3" w:rsidP="003F73E3">
            <w:pPr>
              <w:suppressLineNumbers/>
              <w:tabs>
                <w:tab w:val="decimal" w:pos="34"/>
              </w:tabs>
              <w:ind w:left="599"/>
              <w:contextualSpacing/>
              <w:jc w:val="both"/>
              <w:rPr>
                <w:rFonts w:ascii="Times New Roman" w:eastAsia="Calibri" w:hAnsi="Times New Roman" w:cs="Times New Roman"/>
                <w:sz w:val="10"/>
                <w:szCs w:val="10"/>
              </w:rPr>
            </w:pPr>
          </w:p>
          <w:p w14:paraId="76E6116F" w14:textId="77777777" w:rsidR="003F73E3" w:rsidRPr="00100AAC" w:rsidRDefault="003F73E3" w:rsidP="003F73E3">
            <w:pPr>
              <w:numPr>
                <w:ilvl w:val="0"/>
                <w:numId w:val="21"/>
              </w:numPr>
              <w:suppressLineNumbers/>
              <w:tabs>
                <w:tab w:val="decimal" w:pos="34"/>
              </w:tabs>
              <w:ind w:left="599"/>
              <w:contextualSpacing/>
              <w:jc w:val="both"/>
              <w:rPr>
                <w:rFonts w:ascii="Times New Roman" w:eastAsia="Calibri" w:hAnsi="Times New Roman" w:cs="Times New Roman"/>
              </w:rPr>
            </w:pPr>
            <w:r w:rsidRPr="00100AAC">
              <w:rPr>
                <w:rFonts w:ascii="Times New Roman" w:eastAsia="Calibri" w:hAnsi="Times New Roman" w:cs="Times New Roman"/>
              </w:rPr>
              <w:t>Which aspects of the online Level 1 award do you believe were the most challenging or hindered your ability to learn and develop as a dodgeball coach? Please provide relevant examples.</w:t>
            </w:r>
          </w:p>
          <w:p w14:paraId="7337BD64" w14:textId="77777777" w:rsidR="003F73E3" w:rsidRPr="00100AAC" w:rsidRDefault="003F73E3" w:rsidP="003F73E3">
            <w:pPr>
              <w:suppressLineNumbers/>
              <w:tabs>
                <w:tab w:val="decimal" w:pos="34"/>
              </w:tabs>
              <w:ind w:left="599"/>
              <w:contextualSpacing/>
              <w:jc w:val="both"/>
              <w:rPr>
                <w:rFonts w:ascii="Times New Roman" w:eastAsia="Calibri" w:hAnsi="Times New Roman" w:cs="Times New Roman"/>
                <w:sz w:val="10"/>
                <w:szCs w:val="10"/>
              </w:rPr>
            </w:pPr>
          </w:p>
          <w:p w14:paraId="3C699F16" w14:textId="77777777" w:rsidR="003F73E3" w:rsidRPr="00100AAC" w:rsidRDefault="003F73E3" w:rsidP="003F73E3">
            <w:pPr>
              <w:numPr>
                <w:ilvl w:val="0"/>
                <w:numId w:val="21"/>
              </w:numPr>
              <w:suppressLineNumbers/>
              <w:tabs>
                <w:tab w:val="decimal" w:pos="34"/>
              </w:tabs>
              <w:ind w:left="599"/>
              <w:contextualSpacing/>
              <w:jc w:val="both"/>
              <w:rPr>
                <w:rFonts w:ascii="Times New Roman" w:eastAsia="Calibri" w:hAnsi="Times New Roman" w:cs="Times New Roman"/>
              </w:rPr>
            </w:pPr>
            <w:r w:rsidRPr="00100AAC">
              <w:rPr>
                <w:rFonts w:ascii="Times New Roman" w:eastAsia="Calibri" w:hAnsi="Times New Roman" w:cs="Times New Roman"/>
              </w:rPr>
              <w:t>How have you been able to embed content and ideas from the online Level 1 award into your own coaching practice? Examples might include changes to practice design, coaching approach, and coaching behaviours.</w:t>
            </w:r>
          </w:p>
          <w:p w14:paraId="3B08EF47" w14:textId="77777777" w:rsidR="003F73E3" w:rsidRPr="00100AAC" w:rsidRDefault="003F73E3" w:rsidP="003F73E3">
            <w:pPr>
              <w:suppressLineNumbers/>
              <w:tabs>
                <w:tab w:val="decimal" w:pos="34"/>
              </w:tabs>
              <w:ind w:left="599"/>
              <w:contextualSpacing/>
              <w:jc w:val="both"/>
              <w:rPr>
                <w:rFonts w:ascii="Times New Roman" w:eastAsia="Calibri" w:hAnsi="Times New Roman" w:cs="Times New Roman"/>
                <w:sz w:val="10"/>
                <w:szCs w:val="10"/>
              </w:rPr>
            </w:pPr>
          </w:p>
          <w:p w14:paraId="60D039ED" w14:textId="77777777" w:rsidR="003F73E3" w:rsidRPr="00100AAC" w:rsidRDefault="003F73E3" w:rsidP="003F73E3">
            <w:pPr>
              <w:numPr>
                <w:ilvl w:val="0"/>
                <w:numId w:val="21"/>
              </w:numPr>
              <w:suppressLineNumbers/>
              <w:tabs>
                <w:tab w:val="decimal" w:pos="34"/>
              </w:tabs>
              <w:ind w:left="599"/>
              <w:contextualSpacing/>
              <w:jc w:val="both"/>
              <w:rPr>
                <w:rFonts w:ascii="Times New Roman" w:eastAsia="Calibri" w:hAnsi="Times New Roman" w:cs="Times New Roman"/>
              </w:rPr>
            </w:pPr>
            <w:r w:rsidRPr="00100AAC">
              <w:rPr>
                <w:rFonts w:ascii="Times New Roman" w:eastAsia="Calibri" w:hAnsi="Times New Roman" w:cs="Times New Roman"/>
              </w:rPr>
              <w:t>Since completing the online Level 1 award, have your beliefs and attitudes towards coaching been changed in any way? Examples might include reflecting on your coaching philosophy and what you believe good coaching is.</w:t>
            </w:r>
          </w:p>
          <w:p w14:paraId="2F4B2FB6" w14:textId="77777777" w:rsidR="003F73E3" w:rsidRPr="00100AAC" w:rsidRDefault="003F73E3" w:rsidP="003F73E3">
            <w:pPr>
              <w:suppressLineNumbers/>
              <w:tabs>
                <w:tab w:val="decimal" w:pos="34"/>
              </w:tabs>
              <w:ind w:left="599"/>
              <w:contextualSpacing/>
              <w:jc w:val="both"/>
              <w:rPr>
                <w:rFonts w:ascii="Times New Roman" w:eastAsia="Calibri" w:hAnsi="Times New Roman" w:cs="Times New Roman"/>
                <w:sz w:val="10"/>
                <w:szCs w:val="10"/>
              </w:rPr>
            </w:pPr>
          </w:p>
          <w:p w14:paraId="72722132" w14:textId="77777777" w:rsidR="003F73E3" w:rsidRPr="00100AAC" w:rsidRDefault="003F73E3" w:rsidP="003F73E3">
            <w:pPr>
              <w:numPr>
                <w:ilvl w:val="0"/>
                <w:numId w:val="21"/>
              </w:numPr>
              <w:suppressLineNumbers/>
              <w:tabs>
                <w:tab w:val="decimal" w:pos="34"/>
              </w:tabs>
              <w:ind w:left="599"/>
              <w:contextualSpacing/>
              <w:jc w:val="both"/>
              <w:rPr>
                <w:rFonts w:ascii="Times New Roman" w:eastAsia="Calibri" w:hAnsi="Times New Roman" w:cs="Times New Roman"/>
                <w:color w:val="C45911"/>
              </w:rPr>
            </w:pPr>
            <w:r w:rsidRPr="00100AAC">
              <w:rPr>
                <w:rFonts w:ascii="Times New Roman" w:eastAsia="Calibri" w:hAnsi="Times New Roman" w:cs="Times New Roman"/>
              </w:rPr>
              <w:t xml:space="preserve">How do you think your experiences of completing the Level 1 award online would compare to someone completing it face-to-face? Examples might include the impact on coaches’ learning and practice, networking opportunities, and logistical aspects.  </w:t>
            </w:r>
          </w:p>
          <w:p w14:paraId="1F707154" w14:textId="77777777" w:rsidR="003F73E3" w:rsidRPr="00100AAC" w:rsidRDefault="003F73E3" w:rsidP="003F73E3">
            <w:pPr>
              <w:suppressLineNumbers/>
              <w:tabs>
                <w:tab w:val="decimal" w:pos="34"/>
              </w:tabs>
              <w:ind w:left="599"/>
              <w:contextualSpacing/>
              <w:jc w:val="both"/>
              <w:rPr>
                <w:rFonts w:ascii="Times New Roman" w:eastAsia="Calibri" w:hAnsi="Times New Roman" w:cs="Times New Roman"/>
                <w:color w:val="C45911"/>
                <w:sz w:val="10"/>
                <w:szCs w:val="10"/>
              </w:rPr>
            </w:pPr>
          </w:p>
          <w:p w14:paraId="37B8683A" w14:textId="77777777" w:rsidR="003F73E3" w:rsidRPr="00100AAC" w:rsidRDefault="003F73E3" w:rsidP="003F73E3">
            <w:pPr>
              <w:numPr>
                <w:ilvl w:val="0"/>
                <w:numId w:val="21"/>
              </w:numPr>
              <w:suppressLineNumbers/>
              <w:tabs>
                <w:tab w:val="decimal" w:pos="34"/>
              </w:tabs>
              <w:ind w:left="599"/>
              <w:contextualSpacing/>
              <w:jc w:val="both"/>
              <w:rPr>
                <w:rFonts w:ascii="Times New Roman" w:eastAsia="Calibri" w:hAnsi="Times New Roman" w:cs="Times New Roman"/>
              </w:rPr>
            </w:pPr>
            <w:r w:rsidRPr="00100AAC">
              <w:rPr>
                <w:rFonts w:ascii="Times New Roman" w:eastAsia="Calibri" w:hAnsi="Times New Roman" w:cs="Times New Roman"/>
              </w:rPr>
              <w:t>Do you believe that the online Level 1 award has prepared you for the everyday realities of dodgeball coaching and the issues/challenges you may face? Please explain why.</w:t>
            </w:r>
          </w:p>
          <w:p w14:paraId="38834233" w14:textId="77777777" w:rsidR="003F73E3" w:rsidRPr="00100AAC" w:rsidRDefault="003F73E3" w:rsidP="003F73E3">
            <w:pPr>
              <w:suppressLineNumbers/>
              <w:tabs>
                <w:tab w:val="decimal" w:pos="34"/>
              </w:tabs>
              <w:ind w:left="599"/>
              <w:contextualSpacing/>
              <w:jc w:val="both"/>
              <w:rPr>
                <w:rFonts w:ascii="Times New Roman" w:eastAsia="Calibri" w:hAnsi="Times New Roman" w:cs="Times New Roman"/>
                <w:sz w:val="10"/>
                <w:szCs w:val="10"/>
              </w:rPr>
            </w:pPr>
          </w:p>
          <w:p w14:paraId="1E8F8329" w14:textId="77777777" w:rsidR="003F73E3" w:rsidRPr="00100AAC" w:rsidRDefault="003F73E3" w:rsidP="003F73E3">
            <w:pPr>
              <w:numPr>
                <w:ilvl w:val="0"/>
                <w:numId w:val="21"/>
              </w:numPr>
              <w:suppressLineNumbers/>
              <w:tabs>
                <w:tab w:val="decimal" w:pos="34"/>
              </w:tabs>
              <w:ind w:left="599"/>
              <w:contextualSpacing/>
              <w:jc w:val="both"/>
              <w:rPr>
                <w:rFonts w:ascii="Times New Roman" w:eastAsia="Calibri" w:hAnsi="Times New Roman" w:cs="Times New Roman"/>
              </w:rPr>
            </w:pPr>
            <w:r w:rsidRPr="00100AAC">
              <w:rPr>
                <w:rFonts w:ascii="Times New Roman" w:eastAsia="Calibri" w:hAnsi="Times New Roman" w:cs="Times New Roman"/>
              </w:rPr>
              <w:t>In your opinion, how could British Dodgeball’s online Level 1 Award in Coaching Dodgeball be improved further to enhance dodgeball coach learning? Examples might include changes to course design, content, assessment, and additional learning opportunities.</w:t>
            </w:r>
          </w:p>
          <w:p w14:paraId="02A76D34" w14:textId="77777777" w:rsidR="003F73E3" w:rsidRPr="00100AAC" w:rsidRDefault="003F73E3" w:rsidP="003F73E3">
            <w:pPr>
              <w:suppressLineNumbers/>
              <w:tabs>
                <w:tab w:val="decimal" w:pos="34"/>
              </w:tabs>
              <w:ind w:left="599"/>
              <w:contextualSpacing/>
              <w:jc w:val="both"/>
              <w:rPr>
                <w:rFonts w:ascii="Times New Roman" w:eastAsia="Calibri" w:hAnsi="Times New Roman" w:cs="Times New Roman"/>
                <w:sz w:val="10"/>
                <w:szCs w:val="10"/>
              </w:rPr>
            </w:pPr>
          </w:p>
          <w:p w14:paraId="6C1504EF" w14:textId="77777777" w:rsidR="003F73E3" w:rsidRPr="00100AAC" w:rsidRDefault="003F73E3" w:rsidP="003F73E3">
            <w:pPr>
              <w:numPr>
                <w:ilvl w:val="0"/>
                <w:numId w:val="21"/>
              </w:numPr>
              <w:suppressLineNumbers/>
              <w:tabs>
                <w:tab w:val="decimal" w:pos="34"/>
              </w:tabs>
              <w:ind w:left="599"/>
              <w:contextualSpacing/>
              <w:jc w:val="both"/>
              <w:rPr>
                <w:rFonts w:ascii="Times New Roman" w:eastAsia="Calibri" w:hAnsi="Times New Roman" w:cs="Times New Roman"/>
                <w:color w:val="C45911"/>
              </w:rPr>
            </w:pPr>
            <w:r w:rsidRPr="00100AAC">
              <w:rPr>
                <w:rFonts w:ascii="Times New Roman" w:eastAsia="Calibri" w:hAnsi="Times New Roman" w:cs="Times New Roman"/>
              </w:rPr>
              <w:t>Do you have any final comments/thoughts you would like to add which are related to British Dodgeball’s online Level 1 Award in Coaching Dodgeball and its impact on your learning and practice?</w:t>
            </w:r>
          </w:p>
          <w:p w14:paraId="7D6B22A2" w14:textId="77777777" w:rsidR="003F73E3" w:rsidRPr="00100AAC" w:rsidRDefault="003F73E3" w:rsidP="003F73E3">
            <w:pPr>
              <w:suppressLineNumbers/>
              <w:tabs>
                <w:tab w:val="decimal" w:pos="34"/>
              </w:tabs>
              <w:ind w:left="599"/>
              <w:contextualSpacing/>
              <w:rPr>
                <w:rFonts w:ascii="Times New Roman" w:eastAsia="Calibri" w:hAnsi="Times New Roman" w:cs="Times New Roman"/>
                <w:color w:val="C45911"/>
                <w:sz w:val="10"/>
                <w:szCs w:val="10"/>
              </w:rPr>
            </w:pPr>
          </w:p>
        </w:tc>
      </w:tr>
    </w:tbl>
    <w:p w14:paraId="509EB9BD" w14:textId="77777777" w:rsidR="003F73E3" w:rsidRPr="00100AAC" w:rsidRDefault="003F73E3" w:rsidP="003F73E3">
      <w:pPr>
        <w:suppressLineNumbers/>
        <w:spacing w:after="0" w:line="240" w:lineRule="auto"/>
        <w:rPr>
          <w:rFonts w:ascii="Times New Roman" w:eastAsia="Calibri" w:hAnsi="Times New Roman" w:cs="Times New Roman"/>
          <w:sz w:val="24"/>
          <w:szCs w:val="24"/>
        </w:rPr>
      </w:pPr>
    </w:p>
    <w:p w14:paraId="185B36F8" w14:textId="77777777" w:rsidR="003F73E3" w:rsidRPr="00100AAC" w:rsidRDefault="003F73E3" w:rsidP="003F73E3">
      <w:pPr>
        <w:suppressLineNumbers/>
        <w:spacing w:after="0" w:line="240" w:lineRule="auto"/>
        <w:rPr>
          <w:rFonts w:ascii="Times New Roman" w:eastAsia="Calibri" w:hAnsi="Times New Roman" w:cs="Times New Roman"/>
          <w:sz w:val="24"/>
          <w:szCs w:val="24"/>
        </w:rPr>
      </w:pPr>
    </w:p>
    <w:p w14:paraId="2297EC94" w14:textId="77777777" w:rsidR="003F73E3" w:rsidRPr="00100AAC" w:rsidRDefault="003F73E3" w:rsidP="003F73E3">
      <w:pPr>
        <w:suppressLineNumbers/>
        <w:spacing w:after="0" w:line="240" w:lineRule="auto"/>
        <w:rPr>
          <w:rFonts w:ascii="Times New Roman" w:eastAsia="Calibri" w:hAnsi="Times New Roman" w:cs="Times New Roman"/>
          <w:sz w:val="24"/>
          <w:szCs w:val="24"/>
        </w:rPr>
      </w:pPr>
    </w:p>
    <w:p w14:paraId="0AC3242A" w14:textId="77777777" w:rsidR="003F73E3" w:rsidRPr="00100AAC" w:rsidRDefault="003F73E3" w:rsidP="003F73E3">
      <w:pPr>
        <w:suppressLineNumbers/>
        <w:spacing w:after="0" w:line="240" w:lineRule="auto"/>
        <w:rPr>
          <w:rFonts w:ascii="Times New Roman" w:eastAsia="Calibri" w:hAnsi="Times New Roman" w:cs="Times New Roman"/>
          <w:sz w:val="24"/>
          <w:szCs w:val="24"/>
        </w:rPr>
      </w:pPr>
    </w:p>
    <w:p w14:paraId="244C3F6F" w14:textId="77777777" w:rsidR="003F73E3" w:rsidRPr="00100AAC" w:rsidRDefault="003F73E3" w:rsidP="003F73E3">
      <w:pPr>
        <w:suppressLineNumbers/>
        <w:spacing w:after="0" w:line="240" w:lineRule="auto"/>
        <w:rPr>
          <w:rFonts w:ascii="Times New Roman" w:eastAsia="Calibri" w:hAnsi="Times New Roman" w:cs="Times New Roman"/>
          <w:sz w:val="24"/>
          <w:szCs w:val="24"/>
        </w:rPr>
      </w:pPr>
    </w:p>
    <w:p w14:paraId="1FFC26A8" w14:textId="77777777" w:rsidR="003F73E3" w:rsidRPr="00100AAC" w:rsidRDefault="003F73E3" w:rsidP="003F73E3">
      <w:pPr>
        <w:suppressLineNumbers/>
        <w:spacing w:after="0" w:line="240" w:lineRule="auto"/>
        <w:rPr>
          <w:rFonts w:ascii="Times New Roman" w:eastAsia="Calibri" w:hAnsi="Times New Roman" w:cs="Times New Roman"/>
          <w:sz w:val="24"/>
          <w:szCs w:val="24"/>
        </w:rPr>
      </w:pPr>
    </w:p>
    <w:p w14:paraId="39779CE1" w14:textId="77777777" w:rsidR="003F73E3" w:rsidRPr="00100AAC" w:rsidRDefault="003F73E3" w:rsidP="003F73E3">
      <w:pPr>
        <w:suppressLineNumbers/>
        <w:spacing w:after="0" w:line="240" w:lineRule="auto"/>
        <w:rPr>
          <w:rFonts w:ascii="Times New Roman" w:eastAsia="Calibri" w:hAnsi="Times New Roman" w:cs="Times New Roman"/>
          <w:sz w:val="24"/>
          <w:szCs w:val="24"/>
        </w:rPr>
      </w:pPr>
    </w:p>
    <w:p w14:paraId="323F4FC1" w14:textId="77777777" w:rsidR="003F73E3" w:rsidRPr="00100AAC" w:rsidRDefault="003F73E3" w:rsidP="003F73E3">
      <w:pPr>
        <w:suppressLineNumbers/>
        <w:spacing w:after="0" w:line="240" w:lineRule="auto"/>
        <w:rPr>
          <w:rFonts w:ascii="Times New Roman" w:eastAsia="Calibri" w:hAnsi="Times New Roman" w:cs="Times New Roman"/>
          <w:sz w:val="24"/>
          <w:szCs w:val="24"/>
        </w:rPr>
      </w:pPr>
    </w:p>
    <w:p w14:paraId="4C98D1D9" w14:textId="77777777" w:rsidR="003F73E3" w:rsidRPr="00100AAC" w:rsidRDefault="003F73E3" w:rsidP="003F73E3">
      <w:pPr>
        <w:suppressLineNumbers/>
        <w:spacing w:after="0" w:line="240" w:lineRule="auto"/>
        <w:rPr>
          <w:rFonts w:ascii="Times New Roman" w:eastAsia="Calibri" w:hAnsi="Times New Roman" w:cs="Times New Roman"/>
          <w:sz w:val="24"/>
          <w:szCs w:val="24"/>
        </w:rPr>
      </w:pPr>
    </w:p>
    <w:p w14:paraId="1EF83377" w14:textId="77777777" w:rsidR="003F73E3" w:rsidRPr="00100AAC" w:rsidRDefault="003F73E3" w:rsidP="003F73E3">
      <w:pPr>
        <w:suppressLineNumbers/>
        <w:spacing w:after="0" w:line="240" w:lineRule="auto"/>
        <w:rPr>
          <w:rFonts w:ascii="Times New Roman" w:eastAsia="Calibri" w:hAnsi="Times New Roman" w:cs="Times New Roman"/>
          <w:sz w:val="24"/>
          <w:szCs w:val="24"/>
        </w:rPr>
      </w:pPr>
    </w:p>
    <w:p w14:paraId="1AEA8DED" w14:textId="77777777" w:rsidR="003F73E3" w:rsidRPr="00100AAC" w:rsidRDefault="003F73E3" w:rsidP="003F73E3">
      <w:pPr>
        <w:suppressLineNumbers/>
        <w:spacing w:after="0" w:line="240" w:lineRule="auto"/>
        <w:rPr>
          <w:rFonts w:ascii="Times New Roman" w:eastAsia="Calibri" w:hAnsi="Times New Roman" w:cs="Times New Roman"/>
          <w:sz w:val="24"/>
          <w:szCs w:val="24"/>
        </w:rPr>
      </w:pPr>
    </w:p>
    <w:p w14:paraId="24C7756B" w14:textId="77777777" w:rsidR="003F73E3" w:rsidRPr="00100AAC" w:rsidRDefault="003F73E3" w:rsidP="003F73E3">
      <w:pPr>
        <w:suppressLineNumbers/>
        <w:spacing w:after="0" w:line="240" w:lineRule="auto"/>
        <w:rPr>
          <w:rFonts w:ascii="Times New Roman" w:eastAsia="Calibri" w:hAnsi="Times New Roman" w:cs="Times New Roman"/>
          <w:sz w:val="24"/>
          <w:szCs w:val="24"/>
        </w:rPr>
      </w:pPr>
    </w:p>
    <w:p w14:paraId="2939E54B" w14:textId="77777777" w:rsidR="003F73E3" w:rsidRPr="00100AAC" w:rsidRDefault="003F73E3" w:rsidP="003F73E3">
      <w:pPr>
        <w:suppressLineNumbers/>
        <w:spacing w:after="0" w:line="240" w:lineRule="auto"/>
        <w:rPr>
          <w:rFonts w:ascii="Times New Roman" w:eastAsia="Calibri" w:hAnsi="Times New Roman" w:cs="Times New Roman"/>
          <w:sz w:val="24"/>
          <w:szCs w:val="24"/>
        </w:rPr>
      </w:pPr>
    </w:p>
    <w:p w14:paraId="7BE8DADF" w14:textId="77777777" w:rsidR="003F73E3" w:rsidRPr="00100AAC" w:rsidRDefault="003F73E3" w:rsidP="003F73E3">
      <w:pPr>
        <w:suppressLineNumbers/>
        <w:spacing w:after="0" w:line="240" w:lineRule="auto"/>
        <w:rPr>
          <w:rFonts w:ascii="Times New Roman" w:eastAsia="Calibri" w:hAnsi="Times New Roman" w:cs="Times New Roman"/>
          <w:sz w:val="24"/>
          <w:szCs w:val="24"/>
        </w:rPr>
      </w:pPr>
    </w:p>
    <w:p w14:paraId="355472DA" w14:textId="77777777" w:rsidR="003F73E3" w:rsidRPr="00100AAC" w:rsidRDefault="003F73E3" w:rsidP="003F73E3">
      <w:pPr>
        <w:suppressLineNumbers/>
        <w:spacing w:after="0" w:line="240" w:lineRule="auto"/>
        <w:rPr>
          <w:rFonts w:ascii="Times New Roman" w:eastAsia="Calibri" w:hAnsi="Times New Roman" w:cs="Times New Roman"/>
          <w:sz w:val="24"/>
          <w:szCs w:val="24"/>
        </w:rPr>
      </w:pPr>
    </w:p>
    <w:p w14:paraId="010C669C" w14:textId="77777777" w:rsidR="003F73E3" w:rsidRPr="00100AAC" w:rsidRDefault="003F73E3" w:rsidP="003F73E3">
      <w:pPr>
        <w:suppressLineNumbers/>
        <w:spacing w:after="0" w:line="240" w:lineRule="auto"/>
        <w:rPr>
          <w:rFonts w:ascii="Times New Roman" w:eastAsia="Calibri" w:hAnsi="Times New Roman" w:cs="Times New Roman"/>
          <w:sz w:val="24"/>
          <w:szCs w:val="24"/>
        </w:rPr>
      </w:pPr>
    </w:p>
    <w:p w14:paraId="65BF7929" w14:textId="77777777" w:rsidR="003F73E3" w:rsidRPr="00100AAC" w:rsidRDefault="003F73E3" w:rsidP="003F73E3">
      <w:pPr>
        <w:suppressLineNumbers/>
        <w:spacing w:after="0" w:line="240" w:lineRule="auto"/>
        <w:rPr>
          <w:rFonts w:ascii="Times New Roman" w:eastAsia="Calibri" w:hAnsi="Times New Roman" w:cs="Times New Roman"/>
          <w:sz w:val="24"/>
          <w:szCs w:val="24"/>
        </w:rPr>
      </w:pPr>
    </w:p>
    <w:p w14:paraId="4B626E77" w14:textId="77777777" w:rsidR="003F73E3" w:rsidRPr="00100AAC" w:rsidRDefault="003F73E3" w:rsidP="003F73E3">
      <w:pPr>
        <w:suppressLineNumbers/>
        <w:spacing w:after="0" w:line="240" w:lineRule="auto"/>
        <w:rPr>
          <w:rFonts w:ascii="Times New Roman" w:eastAsia="Calibri" w:hAnsi="Times New Roman" w:cs="Times New Roman"/>
          <w:sz w:val="24"/>
          <w:szCs w:val="24"/>
        </w:rPr>
      </w:pPr>
    </w:p>
    <w:p w14:paraId="7262618D" w14:textId="77777777" w:rsidR="003F73E3" w:rsidRPr="00100AAC" w:rsidRDefault="003F73E3" w:rsidP="003F73E3">
      <w:pPr>
        <w:suppressLineNumbers/>
        <w:spacing w:after="0" w:line="240" w:lineRule="auto"/>
        <w:rPr>
          <w:rFonts w:ascii="Times New Roman" w:eastAsia="Calibri" w:hAnsi="Times New Roman" w:cs="Times New Roman"/>
          <w:sz w:val="24"/>
          <w:szCs w:val="24"/>
        </w:rPr>
      </w:pPr>
    </w:p>
    <w:p w14:paraId="3F080A4B" w14:textId="77777777" w:rsidR="006B753F" w:rsidRPr="00100AAC" w:rsidRDefault="006B753F" w:rsidP="003F73E3">
      <w:pPr>
        <w:suppressLineNumbers/>
        <w:spacing w:after="0" w:line="240" w:lineRule="auto"/>
        <w:rPr>
          <w:rFonts w:ascii="Times New Roman" w:eastAsia="Calibri" w:hAnsi="Times New Roman" w:cs="Times New Roman"/>
          <w:sz w:val="24"/>
          <w:szCs w:val="24"/>
        </w:rPr>
      </w:pPr>
    </w:p>
    <w:p w14:paraId="45D8FA91" w14:textId="2F6B361F" w:rsidR="003F73E3" w:rsidRPr="00100AAC" w:rsidRDefault="003F73E3" w:rsidP="003F73E3">
      <w:pPr>
        <w:suppressLineNumbers/>
        <w:spacing w:after="0" w:line="240" w:lineRule="auto"/>
        <w:rPr>
          <w:rFonts w:ascii="Times New Roman" w:eastAsia="Calibri" w:hAnsi="Times New Roman" w:cs="Times New Roman"/>
          <w:sz w:val="24"/>
          <w:szCs w:val="24"/>
        </w:rPr>
      </w:pPr>
      <w:r w:rsidRPr="00100AAC">
        <w:rPr>
          <w:rFonts w:ascii="Times New Roman" w:eastAsia="Calibri" w:hAnsi="Times New Roman" w:cs="Times New Roman"/>
          <w:sz w:val="24"/>
          <w:szCs w:val="24"/>
        </w:rPr>
        <w:lastRenderedPageBreak/>
        <w:t>Table 3. Participant demographic information</w:t>
      </w:r>
    </w:p>
    <w:p w14:paraId="301156DC" w14:textId="77777777" w:rsidR="003F73E3" w:rsidRPr="00100AAC" w:rsidRDefault="003F73E3" w:rsidP="003F73E3">
      <w:pPr>
        <w:suppressLineNumbers/>
        <w:spacing w:after="0" w:line="240" w:lineRule="auto"/>
        <w:rPr>
          <w:rFonts w:ascii="Times New Roman" w:eastAsia="Calibri" w:hAnsi="Times New Roman" w:cs="Times New Roman"/>
          <w:color w:val="00B050"/>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850"/>
        <w:gridCol w:w="992"/>
        <w:gridCol w:w="851"/>
        <w:gridCol w:w="799"/>
      </w:tblGrid>
      <w:tr w:rsidR="003F73E3" w:rsidRPr="00100AAC" w14:paraId="26A37AEA" w14:textId="77777777" w:rsidTr="00714906">
        <w:tc>
          <w:tcPr>
            <w:tcW w:w="5524" w:type="dxa"/>
            <w:tcBorders>
              <w:top w:val="single" w:sz="4" w:space="0" w:color="auto"/>
              <w:bottom w:val="single" w:sz="4" w:space="0" w:color="auto"/>
            </w:tcBorders>
          </w:tcPr>
          <w:p w14:paraId="243DF9A9" w14:textId="77777777" w:rsidR="003F73E3" w:rsidRPr="00100AAC" w:rsidRDefault="003F73E3" w:rsidP="003F73E3">
            <w:pPr>
              <w:rPr>
                <w:rFonts w:ascii="Times New Roman" w:eastAsia="Calibri" w:hAnsi="Times New Roman" w:cs="Times New Roman"/>
                <w:b/>
                <w:bCs/>
              </w:rPr>
            </w:pPr>
            <w:r w:rsidRPr="00100AAC">
              <w:rPr>
                <w:rFonts w:ascii="Times New Roman" w:eastAsia="Calibri" w:hAnsi="Times New Roman" w:cs="Times New Roman"/>
                <w:b/>
                <w:bCs/>
              </w:rPr>
              <w:t>Individual-Level Variables</w:t>
            </w:r>
          </w:p>
        </w:tc>
        <w:tc>
          <w:tcPr>
            <w:tcW w:w="850" w:type="dxa"/>
            <w:tcBorders>
              <w:top w:val="single" w:sz="4" w:space="0" w:color="auto"/>
              <w:bottom w:val="single" w:sz="4" w:space="0" w:color="auto"/>
            </w:tcBorders>
          </w:tcPr>
          <w:p w14:paraId="789F83A9" w14:textId="77777777" w:rsidR="003F73E3" w:rsidRPr="00100AAC" w:rsidRDefault="003F73E3" w:rsidP="003F73E3">
            <w:pPr>
              <w:tabs>
                <w:tab w:val="decimal" w:pos="320"/>
              </w:tabs>
              <w:jc w:val="center"/>
              <w:rPr>
                <w:rFonts w:ascii="Times New Roman" w:eastAsia="Calibri" w:hAnsi="Times New Roman" w:cs="Times New Roman"/>
                <w:b/>
                <w:bCs/>
                <w:i/>
                <w:iCs/>
              </w:rPr>
            </w:pPr>
            <w:r w:rsidRPr="00100AAC">
              <w:rPr>
                <w:rFonts w:ascii="Times New Roman" w:eastAsia="Calibri" w:hAnsi="Times New Roman" w:cs="Times New Roman"/>
                <w:b/>
                <w:bCs/>
                <w:i/>
                <w:iCs/>
              </w:rPr>
              <w:t>N</w:t>
            </w:r>
          </w:p>
        </w:tc>
        <w:tc>
          <w:tcPr>
            <w:tcW w:w="992" w:type="dxa"/>
            <w:tcBorders>
              <w:top w:val="single" w:sz="4" w:space="0" w:color="auto"/>
              <w:bottom w:val="single" w:sz="4" w:space="0" w:color="auto"/>
            </w:tcBorders>
          </w:tcPr>
          <w:p w14:paraId="1A8ADE3C" w14:textId="77777777" w:rsidR="003F73E3" w:rsidRPr="00100AAC" w:rsidRDefault="003F73E3" w:rsidP="003F73E3">
            <w:pPr>
              <w:tabs>
                <w:tab w:val="decimal" w:pos="314"/>
              </w:tabs>
              <w:jc w:val="center"/>
              <w:rPr>
                <w:rFonts w:ascii="Times New Roman" w:eastAsia="Calibri" w:hAnsi="Times New Roman" w:cs="Times New Roman"/>
                <w:b/>
                <w:bCs/>
              </w:rPr>
            </w:pPr>
            <w:r w:rsidRPr="00100AAC">
              <w:rPr>
                <w:rFonts w:ascii="Times New Roman" w:eastAsia="Calibri" w:hAnsi="Times New Roman" w:cs="Times New Roman"/>
                <w:b/>
                <w:bCs/>
              </w:rPr>
              <w:t>Percent</w:t>
            </w:r>
          </w:p>
        </w:tc>
        <w:tc>
          <w:tcPr>
            <w:tcW w:w="851" w:type="dxa"/>
            <w:tcBorders>
              <w:top w:val="single" w:sz="4" w:space="0" w:color="auto"/>
              <w:bottom w:val="single" w:sz="4" w:space="0" w:color="auto"/>
            </w:tcBorders>
          </w:tcPr>
          <w:p w14:paraId="5C7C76BE" w14:textId="77777777" w:rsidR="003F73E3" w:rsidRPr="00100AAC" w:rsidRDefault="003F73E3" w:rsidP="003F73E3">
            <w:pPr>
              <w:tabs>
                <w:tab w:val="decimal" w:pos="270"/>
              </w:tabs>
              <w:jc w:val="center"/>
              <w:rPr>
                <w:rFonts w:ascii="Times New Roman" w:eastAsia="Calibri" w:hAnsi="Times New Roman" w:cs="Times New Roman"/>
                <w:b/>
                <w:bCs/>
              </w:rPr>
            </w:pPr>
            <w:r w:rsidRPr="00100AAC">
              <w:rPr>
                <w:rFonts w:ascii="Times New Roman" w:eastAsia="Calibri" w:hAnsi="Times New Roman" w:cs="Times New Roman"/>
                <w:b/>
                <w:bCs/>
              </w:rPr>
              <w:t>Mean</w:t>
            </w:r>
          </w:p>
        </w:tc>
        <w:tc>
          <w:tcPr>
            <w:tcW w:w="799" w:type="dxa"/>
            <w:tcBorders>
              <w:top w:val="single" w:sz="4" w:space="0" w:color="auto"/>
              <w:bottom w:val="single" w:sz="4" w:space="0" w:color="auto"/>
            </w:tcBorders>
          </w:tcPr>
          <w:p w14:paraId="2DE433C9" w14:textId="77777777" w:rsidR="003F73E3" w:rsidRPr="00100AAC" w:rsidRDefault="003F73E3" w:rsidP="003F73E3">
            <w:pPr>
              <w:tabs>
                <w:tab w:val="decimal" w:pos="34"/>
              </w:tabs>
              <w:jc w:val="center"/>
              <w:rPr>
                <w:rFonts w:ascii="Times New Roman" w:eastAsia="Calibri" w:hAnsi="Times New Roman" w:cs="Times New Roman"/>
                <w:b/>
                <w:bCs/>
              </w:rPr>
            </w:pPr>
            <w:r w:rsidRPr="00100AAC">
              <w:rPr>
                <w:rFonts w:ascii="Times New Roman" w:eastAsia="Calibri" w:hAnsi="Times New Roman" w:cs="Times New Roman"/>
                <w:b/>
                <w:bCs/>
              </w:rPr>
              <w:t>SD</w:t>
            </w:r>
          </w:p>
        </w:tc>
      </w:tr>
      <w:tr w:rsidR="003F73E3" w:rsidRPr="00100AAC" w14:paraId="4B9FBA89" w14:textId="77777777" w:rsidTr="00714906">
        <w:tc>
          <w:tcPr>
            <w:tcW w:w="5524" w:type="dxa"/>
            <w:tcBorders>
              <w:top w:val="single" w:sz="4" w:space="0" w:color="auto"/>
              <w:bottom w:val="nil"/>
            </w:tcBorders>
          </w:tcPr>
          <w:p w14:paraId="68AF3521"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Age</w:t>
            </w:r>
          </w:p>
        </w:tc>
        <w:tc>
          <w:tcPr>
            <w:tcW w:w="850" w:type="dxa"/>
            <w:tcBorders>
              <w:top w:val="single" w:sz="4" w:space="0" w:color="auto"/>
              <w:bottom w:val="nil"/>
            </w:tcBorders>
          </w:tcPr>
          <w:p w14:paraId="24960FD4"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57</w:t>
            </w:r>
          </w:p>
        </w:tc>
        <w:tc>
          <w:tcPr>
            <w:tcW w:w="992" w:type="dxa"/>
            <w:tcBorders>
              <w:top w:val="single" w:sz="4" w:space="0" w:color="auto"/>
              <w:bottom w:val="nil"/>
            </w:tcBorders>
          </w:tcPr>
          <w:p w14:paraId="2BE9ED84" w14:textId="77777777" w:rsidR="003F73E3" w:rsidRPr="00100AAC" w:rsidRDefault="003F73E3" w:rsidP="003F73E3">
            <w:pPr>
              <w:tabs>
                <w:tab w:val="decimal" w:pos="314"/>
              </w:tabs>
              <w:jc w:val="center"/>
              <w:rPr>
                <w:rFonts w:ascii="Times New Roman" w:eastAsia="Calibri" w:hAnsi="Times New Roman" w:cs="Times New Roman"/>
                <w:color w:val="00B050"/>
              </w:rPr>
            </w:pPr>
          </w:p>
        </w:tc>
        <w:tc>
          <w:tcPr>
            <w:tcW w:w="851" w:type="dxa"/>
            <w:tcBorders>
              <w:top w:val="single" w:sz="4" w:space="0" w:color="auto"/>
              <w:bottom w:val="nil"/>
            </w:tcBorders>
          </w:tcPr>
          <w:p w14:paraId="4849AEF4" w14:textId="77777777" w:rsidR="003F73E3" w:rsidRPr="00100AAC" w:rsidRDefault="003F73E3" w:rsidP="003F73E3">
            <w:pPr>
              <w:tabs>
                <w:tab w:val="decimal" w:pos="270"/>
              </w:tabs>
              <w:jc w:val="center"/>
              <w:rPr>
                <w:rFonts w:ascii="Times New Roman" w:eastAsia="Calibri" w:hAnsi="Times New Roman" w:cs="Times New Roman"/>
                <w:color w:val="FF0000"/>
              </w:rPr>
            </w:pPr>
            <w:r w:rsidRPr="00100AAC">
              <w:rPr>
                <w:rFonts w:ascii="Times New Roman" w:eastAsia="Calibri" w:hAnsi="Times New Roman" w:cs="Times New Roman"/>
              </w:rPr>
              <w:t>32.6</w:t>
            </w:r>
          </w:p>
        </w:tc>
        <w:tc>
          <w:tcPr>
            <w:tcW w:w="799" w:type="dxa"/>
            <w:tcBorders>
              <w:top w:val="single" w:sz="4" w:space="0" w:color="auto"/>
              <w:bottom w:val="nil"/>
            </w:tcBorders>
          </w:tcPr>
          <w:p w14:paraId="4DC9A3DA" w14:textId="77777777" w:rsidR="003F73E3" w:rsidRPr="00100AAC" w:rsidRDefault="003F73E3" w:rsidP="003F73E3">
            <w:pPr>
              <w:tabs>
                <w:tab w:val="decimal" w:pos="34"/>
              </w:tabs>
              <w:jc w:val="center"/>
              <w:rPr>
                <w:rFonts w:ascii="Times New Roman" w:eastAsia="Calibri" w:hAnsi="Times New Roman" w:cs="Times New Roman"/>
                <w:color w:val="FF0000"/>
              </w:rPr>
            </w:pPr>
            <w:r w:rsidRPr="00100AAC">
              <w:rPr>
                <w:rFonts w:ascii="Times New Roman" w:eastAsia="Calibri" w:hAnsi="Times New Roman" w:cs="Times New Roman"/>
              </w:rPr>
              <w:t>11.6</w:t>
            </w:r>
          </w:p>
        </w:tc>
      </w:tr>
      <w:tr w:rsidR="003F73E3" w:rsidRPr="00100AAC" w14:paraId="20F5857A" w14:textId="77777777" w:rsidTr="00714906">
        <w:tc>
          <w:tcPr>
            <w:tcW w:w="5524" w:type="dxa"/>
            <w:tcBorders>
              <w:top w:val="nil"/>
              <w:left w:val="nil"/>
              <w:bottom w:val="nil"/>
              <w:right w:val="nil"/>
            </w:tcBorders>
          </w:tcPr>
          <w:p w14:paraId="49C3F987"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Sex</w:t>
            </w:r>
          </w:p>
          <w:p w14:paraId="7E488F20"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Male</w:t>
            </w:r>
          </w:p>
          <w:p w14:paraId="40A7ABB9" w14:textId="77777777" w:rsidR="003F73E3" w:rsidRPr="00100AAC" w:rsidRDefault="003F73E3" w:rsidP="003F73E3">
            <w:pPr>
              <w:rPr>
                <w:rFonts w:ascii="Times New Roman" w:eastAsia="Calibri" w:hAnsi="Times New Roman" w:cs="Times New Roman"/>
                <w:color w:val="00B050"/>
              </w:rPr>
            </w:pPr>
            <w:r w:rsidRPr="00100AAC">
              <w:rPr>
                <w:rFonts w:ascii="Times New Roman" w:eastAsia="Calibri" w:hAnsi="Times New Roman" w:cs="Times New Roman"/>
              </w:rPr>
              <w:t xml:space="preserve">     Female</w:t>
            </w:r>
          </w:p>
        </w:tc>
        <w:tc>
          <w:tcPr>
            <w:tcW w:w="850" w:type="dxa"/>
            <w:tcBorders>
              <w:top w:val="nil"/>
              <w:left w:val="nil"/>
              <w:bottom w:val="nil"/>
              <w:right w:val="nil"/>
            </w:tcBorders>
          </w:tcPr>
          <w:p w14:paraId="7B739DAA" w14:textId="77777777" w:rsidR="003F73E3" w:rsidRPr="00100AAC" w:rsidRDefault="003F73E3" w:rsidP="003F73E3">
            <w:pPr>
              <w:tabs>
                <w:tab w:val="decimal" w:pos="320"/>
              </w:tabs>
              <w:jc w:val="center"/>
              <w:rPr>
                <w:rFonts w:ascii="Times New Roman" w:eastAsia="Calibri" w:hAnsi="Times New Roman" w:cs="Times New Roman"/>
                <w:color w:val="FF0000"/>
              </w:rPr>
            </w:pPr>
          </w:p>
          <w:p w14:paraId="1D746B36"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36</w:t>
            </w:r>
          </w:p>
          <w:p w14:paraId="1641B230" w14:textId="77777777" w:rsidR="003F73E3" w:rsidRPr="00100AAC" w:rsidRDefault="003F73E3" w:rsidP="003F73E3">
            <w:pPr>
              <w:tabs>
                <w:tab w:val="decimal" w:pos="320"/>
              </w:tabs>
              <w:jc w:val="center"/>
              <w:rPr>
                <w:rFonts w:ascii="Times New Roman" w:eastAsia="Calibri" w:hAnsi="Times New Roman" w:cs="Times New Roman"/>
                <w:color w:val="FF0000"/>
              </w:rPr>
            </w:pPr>
            <w:r w:rsidRPr="00100AAC">
              <w:rPr>
                <w:rFonts w:ascii="Times New Roman" w:eastAsia="Calibri" w:hAnsi="Times New Roman" w:cs="Times New Roman"/>
              </w:rPr>
              <w:t>21</w:t>
            </w:r>
          </w:p>
        </w:tc>
        <w:tc>
          <w:tcPr>
            <w:tcW w:w="992" w:type="dxa"/>
            <w:tcBorders>
              <w:top w:val="nil"/>
              <w:left w:val="nil"/>
              <w:bottom w:val="nil"/>
              <w:right w:val="nil"/>
            </w:tcBorders>
          </w:tcPr>
          <w:p w14:paraId="715D9E6C" w14:textId="77777777" w:rsidR="003F73E3" w:rsidRPr="00100AAC" w:rsidRDefault="003F73E3" w:rsidP="003F73E3">
            <w:pPr>
              <w:tabs>
                <w:tab w:val="decimal" w:pos="314"/>
              </w:tabs>
              <w:jc w:val="center"/>
              <w:rPr>
                <w:rFonts w:ascii="Times New Roman" w:eastAsia="Calibri" w:hAnsi="Times New Roman" w:cs="Times New Roman"/>
                <w:color w:val="FF0000"/>
              </w:rPr>
            </w:pPr>
          </w:p>
          <w:p w14:paraId="2F937DE9" w14:textId="77777777" w:rsidR="003F73E3" w:rsidRPr="00100AAC" w:rsidRDefault="003F73E3" w:rsidP="003F73E3">
            <w:pPr>
              <w:tabs>
                <w:tab w:val="decimal" w:pos="314"/>
              </w:tabs>
              <w:jc w:val="center"/>
              <w:rPr>
                <w:rFonts w:ascii="Times New Roman" w:eastAsia="Calibri" w:hAnsi="Times New Roman" w:cs="Times New Roman"/>
              </w:rPr>
            </w:pPr>
            <w:r w:rsidRPr="00100AAC">
              <w:rPr>
                <w:rFonts w:ascii="Times New Roman" w:eastAsia="Calibri" w:hAnsi="Times New Roman" w:cs="Times New Roman"/>
              </w:rPr>
              <w:t>63.2</w:t>
            </w:r>
          </w:p>
          <w:p w14:paraId="4852240B" w14:textId="77777777" w:rsidR="003F73E3" w:rsidRPr="00100AAC" w:rsidRDefault="003F73E3" w:rsidP="003F73E3">
            <w:pPr>
              <w:tabs>
                <w:tab w:val="decimal" w:pos="314"/>
              </w:tabs>
              <w:jc w:val="center"/>
              <w:rPr>
                <w:rFonts w:ascii="Times New Roman" w:eastAsia="Calibri" w:hAnsi="Times New Roman" w:cs="Times New Roman"/>
                <w:color w:val="FF0000"/>
              </w:rPr>
            </w:pPr>
            <w:r w:rsidRPr="00100AAC">
              <w:rPr>
                <w:rFonts w:ascii="Times New Roman" w:eastAsia="Calibri" w:hAnsi="Times New Roman" w:cs="Times New Roman"/>
              </w:rPr>
              <w:t>36.8</w:t>
            </w:r>
          </w:p>
        </w:tc>
        <w:tc>
          <w:tcPr>
            <w:tcW w:w="851" w:type="dxa"/>
            <w:tcBorders>
              <w:top w:val="nil"/>
              <w:left w:val="nil"/>
              <w:bottom w:val="nil"/>
              <w:right w:val="nil"/>
            </w:tcBorders>
          </w:tcPr>
          <w:p w14:paraId="123D9004" w14:textId="77777777" w:rsidR="003F73E3" w:rsidRPr="00100AAC" w:rsidRDefault="003F73E3" w:rsidP="003F73E3">
            <w:pPr>
              <w:tabs>
                <w:tab w:val="decimal" w:pos="270"/>
              </w:tabs>
              <w:jc w:val="center"/>
              <w:rPr>
                <w:rFonts w:ascii="Times New Roman" w:eastAsia="Calibri" w:hAnsi="Times New Roman" w:cs="Times New Roman"/>
                <w:color w:val="00B050"/>
              </w:rPr>
            </w:pPr>
          </w:p>
        </w:tc>
        <w:tc>
          <w:tcPr>
            <w:tcW w:w="799" w:type="dxa"/>
            <w:tcBorders>
              <w:top w:val="nil"/>
              <w:left w:val="nil"/>
              <w:bottom w:val="nil"/>
              <w:right w:val="nil"/>
            </w:tcBorders>
          </w:tcPr>
          <w:p w14:paraId="5ECAB102" w14:textId="77777777" w:rsidR="003F73E3" w:rsidRPr="00100AAC" w:rsidRDefault="003F73E3" w:rsidP="003F73E3">
            <w:pPr>
              <w:tabs>
                <w:tab w:val="decimal" w:pos="34"/>
              </w:tabs>
              <w:jc w:val="center"/>
              <w:rPr>
                <w:rFonts w:ascii="Times New Roman" w:eastAsia="Calibri" w:hAnsi="Times New Roman" w:cs="Times New Roman"/>
                <w:color w:val="00B050"/>
              </w:rPr>
            </w:pPr>
          </w:p>
        </w:tc>
      </w:tr>
      <w:tr w:rsidR="003F73E3" w:rsidRPr="00100AAC" w14:paraId="6AA00697" w14:textId="77777777" w:rsidTr="00714906">
        <w:tc>
          <w:tcPr>
            <w:tcW w:w="5524" w:type="dxa"/>
            <w:tcBorders>
              <w:top w:val="nil"/>
              <w:left w:val="nil"/>
              <w:bottom w:val="nil"/>
              <w:right w:val="nil"/>
            </w:tcBorders>
          </w:tcPr>
          <w:p w14:paraId="060E5471"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Country of Residence</w:t>
            </w:r>
          </w:p>
          <w:p w14:paraId="6ECA3296"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England</w:t>
            </w:r>
          </w:p>
          <w:p w14:paraId="5E03A5E4"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Northern Ireland</w:t>
            </w:r>
          </w:p>
          <w:p w14:paraId="4D001057"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Scotland</w:t>
            </w:r>
          </w:p>
          <w:p w14:paraId="167FC4C1" w14:textId="77777777" w:rsidR="003F73E3" w:rsidRPr="00100AAC" w:rsidRDefault="003F73E3" w:rsidP="003F73E3">
            <w:pPr>
              <w:rPr>
                <w:rFonts w:ascii="Times New Roman" w:eastAsia="Calibri" w:hAnsi="Times New Roman" w:cs="Times New Roman"/>
                <w:color w:val="00B050"/>
              </w:rPr>
            </w:pPr>
            <w:r w:rsidRPr="00100AAC">
              <w:rPr>
                <w:rFonts w:ascii="Times New Roman" w:eastAsia="Calibri" w:hAnsi="Times New Roman" w:cs="Times New Roman"/>
              </w:rPr>
              <w:t xml:space="preserve">     Wales</w:t>
            </w:r>
          </w:p>
        </w:tc>
        <w:tc>
          <w:tcPr>
            <w:tcW w:w="850" w:type="dxa"/>
            <w:tcBorders>
              <w:top w:val="nil"/>
              <w:left w:val="nil"/>
              <w:bottom w:val="nil"/>
              <w:right w:val="nil"/>
            </w:tcBorders>
          </w:tcPr>
          <w:p w14:paraId="3EABF036" w14:textId="77777777" w:rsidR="003F73E3" w:rsidRPr="00100AAC" w:rsidRDefault="003F73E3" w:rsidP="003F73E3">
            <w:pPr>
              <w:tabs>
                <w:tab w:val="decimal" w:pos="320"/>
              </w:tabs>
              <w:jc w:val="center"/>
              <w:rPr>
                <w:rFonts w:ascii="Times New Roman" w:eastAsia="Calibri" w:hAnsi="Times New Roman" w:cs="Times New Roman"/>
                <w:color w:val="00B050"/>
              </w:rPr>
            </w:pPr>
          </w:p>
          <w:p w14:paraId="652B281F"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51</w:t>
            </w:r>
          </w:p>
          <w:p w14:paraId="43AF2BAA"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2</w:t>
            </w:r>
          </w:p>
          <w:p w14:paraId="322B0302"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3</w:t>
            </w:r>
          </w:p>
          <w:p w14:paraId="371F2CEF" w14:textId="77777777" w:rsidR="003F73E3" w:rsidRPr="00100AAC" w:rsidRDefault="003F73E3" w:rsidP="003F73E3">
            <w:pPr>
              <w:tabs>
                <w:tab w:val="decimal" w:pos="320"/>
              </w:tabs>
              <w:jc w:val="center"/>
              <w:rPr>
                <w:rFonts w:ascii="Times New Roman" w:eastAsia="Calibri" w:hAnsi="Times New Roman" w:cs="Times New Roman"/>
                <w:color w:val="00B050"/>
              </w:rPr>
            </w:pPr>
            <w:r w:rsidRPr="00100AAC">
              <w:rPr>
                <w:rFonts w:ascii="Times New Roman" w:eastAsia="Calibri" w:hAnsi="Times New Roman" w:cs="Times New Roman"/>
              </w:rPr>
              <w:t>1</w:t>
            </w:r>
          </w:p>
        </w:tc>
        <w:tc>
          <w:tcPr>
            <w:tcW w:w="992" w:type="dxa"/>
            <w:tcBorders>
              <w:top w:val="nil"/>
              <w:left w:val="nil"/>
              <w:bottom w:val="nil"/>
              <w:right w:val="nil"/>
            </w:tcBorders>
          </w:tcPr>
          <w:p w14:paraId="420B920F" w14:textId="77777777" w:rsidR="003F73E3" w:rsidRPr="00100AAC" w:rsidRDefault="003F73E3" w:rsidP="003F73E3">
            <w:pPr>
              <w:tabs>
                <w:tab w:val="decimal" w:pos="314"/>
              </w:tabs>
              <w:jc w:val="center"/>
              <w:rPr>
                <w:rFonts w:ascii="Times New Roman" w:eastAsia="Calibri" w:hAnsi="Times New Roman" w:cs="Times New Roman"/>
                <w:color w:val="00B050"/>
              </w:rPr>
            </w:pPr>
          </w:p>
          <w:p w14:paraId="50EF1CFE" w14:textId="77777777" w:rsidR="003F73E3" w:rsidRPr="00100AAC" w:rsidRDefault="003F73E3" w:rsidP="003F73E3">
            <w:pPr>
              <w:tabs>
                <w:tab w:val="decimal" w:pos="314"/>
              </w:tabs>
              <w:jc w:val="center"/>
              <w:rPr>
                <w:rFonts w:ascii="Times New Roman" w:eastAsia="Calibri" w:hAnsi="Times New Roman" w:cs="Times New Roman"/>
              </w:rPr>
            </w:pPr>
            <w:r w:rsidRPr="00100AAC">
              <w:rPr>
                <w:rFonts w:ascii="Times New Roman" w:eastAsia="Calibri" w:hAnsi="Times New Roman" w:cs="Times New Roman"/>
              </w:rPr>
              <w:t>89.5</w:t>
            </w:r>
          </w:p>
          <w:p w14:paraId="00382A6C" w14:textId="77777777" w:rsidR="003F73E3" w:rsidRPr="00100AAC" w:rsidRDefault="003F73E3" w:rsidP="003F73E3">
            <w:pPr>
              <w:tabs>
                <w:tab w:val="decimal" w:pos="314"/>
              </w:tabs>
              <w:jc w:val="center"/>
              <w:rPr>
                <w:rFonts w:ascii="Times New Roman" w:eastAsia="Calibri" w:hAnsi="Times New Roman" w:cs="Times New Roman"/>
              </w:rPr>
            </w:pPr>
            <w:r w:rsidRPr="00100AAC">
              <w:rPr>
                <w:rFonts w:ascii="Times New Roman" w:eastAsia="Calibri" w:hAnsi="Times New Roman" w:cs="Times New Roman"/>
              </w:rPr>
              <w:t>3.5</w:t>
            </w:r>
          </w:p>
          <w:p w14:paraId="05C0252A" w14:textId="77777777" w:rsidR="003F73E3" w:rsidRPr="00100AAC" w:rsidRDefault="003F73E3" w:rsidP="003F73E3">
            <w:pPr>
              <w:tabs>
                <w:tab w:val="decimal" w:pos="314"/>
              </w:tabs>
              <w:jc w:val="center"/>
              <w:rPr>
                <w:rFonts w:ascii="Times New Roman" w:eastAsia="Calibri" w:hAnsi="Times New Roman" w:cs="Times New Roman"/>
              </w:rPr>
            </w:pPr>
            <w:r w:rsidRPr="00100AAC">
              <w:rPr>
                <w:rFonts w:ascii="Times New Roman" w:eastAsia="Calibri" w:hAnsi="Times New Roman" w:cs="Times New Roman"/>
              </w:rPr>
              <w:t>5.3</w:t>
            </w:r>
          </w:p>
          <w:p w14:paraId="375E6B04" w14:textId="77777777" w:rsidR="003F73E3" w:rsidRPr="00100AAC" w:rsidRDefault="003F73E3" w:rsidP="003F73E3">
            <w:pPr>
              <w:tabs>
                <w:tab w:val="decimal" w:pos="314"/>
              </w:tabs>
              <w:jc w:val="center"/>
              <w:rPr>
                <w:rFonts w:ascii="Times New Roman" w:eastAsia="Calibri" w:hAnsi="Times New Roman" w:cs="Times New Roman"/>
                <w:color w:val="00B050"/>
              </w:rPr>
            </w:pPr>
            <w:r w:rsidRPr="00100AAC">
              <w:rPr>
                <w:rFonts w:ascii="Times New Roman" w:eastAsia="Calibri" w:hAnsi="Times New Roman" w:cs="Times New Roman"/>
              </w:rPr>
              <w:t>1.7</w:t>
            </w:r>
          </w:p>
        </w:tc>
        <w:tc>
          <w:tcPr>
            <w:tcW w:w="851" w:type="dxa"/>
            <w:tcBorders>
              <w:top w:val="nil"/>
              <w:left w:val="nil"/>
              <w:bottom w:val="nil"/>
              <w:right w:val="nil"/>
            </w:tcBorders>
          </w:tcPr>
          <w:p w14:paraId="3C3C477D" w14:textId="77777777" w:rsidR="003F73E3" w:rsidRPr="00100AAC" w:rsidRDefault="003F73E3" w:rsidP="003F73E3">
            <w:pPr>
              <w:tabs>
                <w:tab w:val="decimal" w:pos="270"/>
              </w:tabs>
              <w:jc w:val="center"/>
              <w:rPr>
                <w:rFonts w:ascii="Times New Roman" w:eastAsia="Calibri" w:hAnsi="Times New Roman" w:cs="Times New Roman"/>
                <w:color w:val="00B050"/>
              </w:rPr>
            </w:pPr>
          </w:p>
        </w:tc>
        <w:tc>
          <w:tcPr>
            <w:tcW w:w="799" w:type="dxa"/>
            <w:tcBorders>
              <w:top w:val="nil"/>
              <w:left w:val="nil"/>
              <w:bottom w:val="nil"/>
              <w:right w:val="nil"/>
            </w:tcBorders>
          </w:tcPr>
          <w:p w14:paraId="6F8F6198" w14:textId="77777777" w:rsidR="003F73E3" w:rsidRPr="00100AAC" w:rsidRDefault="003F73E3" w:rsidP="003F73E3">
            <w:pPr>
              <w:tabs>
                <w:tab w:val="decimal" w:pos="34"/>
              </w:tabs>
              <w:jc w:val="center"/>
              <w:rPr>
                <w:rFonts w:ascii="Times New Roman" w:eastAsia="Calibri" w:hAnsi="Times New Roman" w:cs="Times New Roman"/>
                <w:color w:val="00B050"/>
              </w:rPr>
            </w:pPr>
          </w:p>
        </w:tc>
      </w:tr>
      <w:tr w:rsidR="003F73E3" w:rsidRPr="00100AAC" w14:paraId="6680FB45" w14:textId="77777777" w:rsidTr="00714906">
        <w:tc>
          <w:tcPr>
            <w:tcW w:w="5524" w:type="dxa"/>
            <w:tcBorders>
              <w:top w:val="nil"/>
              <w:left w:val="nil"/>
              <w:bottom w:val="nil"/>
              <w:right w:val="nil"/>
            </w:tcBorders>
          </w:tcPr>
          <w:p w14:paraId="1829D129" w14:textId="77777777" w:rsidR="003F73E3" w:rsidRPr="00100AAC" w:rsidRDefault="003F73E3" w:rsidP="003F73E3">
            <w:pPr>
              <w:rPr>
                <w:rFonts w:ascii="Times New Roman" w:eastAsia="Calibri" w:hAnsi="Times New Roman" w:cs="Times New Roman"/>
                <w:color w:val="00B050"/>
              </w:rPr>
            </w:pPr>
            <w:r w:rsidRPr="00100AAC">
              <w:rPr>
                <w:rFonts w:ascii="Times New Roman" w:eastAsia="Calibri" w:hAnsi="Times New Roman" w:cs="Times New Roman"/>
              </w:rPr>
              <w:t>Years Coaching Any Sports</w:t>
            </w:r>
          </w:p>
        </w:tc>
        <w:tc>
          <w:tcPr>
            <w:tcW w:w="850" w:type="dxa"/>
            <w:tcBorders>
              <w:top w:val="nil"/>
              <w:left w:val="nil"/>
              <w:bottom w:val="nil"/>
              <w:right w:val="nil"/>
            </w:tcBorders>
          </w:tcPr>
          <w:p w14:paraId="1749C081" w14:textId="77777777" w:rsidR="003F73E3" w:rsidRPr="00100AAC" w:rsidRDefault="003F73E3" w:rsidP="003F73E3">
            <w:pPr>
              <w:tabs>
                <w:tab w:val="decimal" w:pos="320"/>
              </w:tabs>
              <w:jc w:val="center"/>
              <w:rPr>
                <w:rFonts w:ascii="Times New Roman" w:eastAsia="Calibri" w:hAnsi="Times New Roman" w:cs="Times New Roman"/>
                <w:color w:val="00B050"/>
              </w:rPr>
            </w:pPr>
          </w:p>
        </w:tc>
        <w:tc>
          <w:tcPr>
            <w:tcW w:w="992" w:type="dxa"/>
            <w:tcBorders>
              <w:top w:val="nil"/>
              <w:left w:val="nil"/>
              <w:bottom w:val="nil"/>
              <w:right w:val="nil"/>
            </w:tcBorders>
          </w:tcPr>
          <w:p w14:paraId="036AC798" w14:textId="77777777" w:rsidR="003F73E3" w:rsidRPr="00100AAC" w:rsidRDefault="003F73E3" w:rsidP="003F73E3">
            <w:pPr>
              <w:tabs>
                <w:tab w:val="decimal" w:pos="314"/>
              </w:tabs>
              <w:jc w:val="center"/>
              <w:rPr>
                <w:rFonts w:ascii="Times New Roman" w:eastAsia="Calibri" w:hAnsi="Times New Roman" w:cs="Times New Roman"/>
                <w:color w:val="00B050"/>
              </w:rPr>
            </w:pPr>
          </w:p>
        </w:tc>
        <w:tc>
          <w:tcPr>
            <w:tcW w:w="851" w:type="dxa"/>
            <w:tcBorders>
              <w:top w:val="nil"/>
              <w:left w:val="nil"/>
              <w:bottom w:val="nil"/>
              <w:right w:val="nil"/>
            </w:tcBorders>
          </w:tcPr>
          <w:p w14:paraId="3277C492" w14:textId="77777777" w:rsidR="003F73E3" w:rsidRPr="00100AAC" w:rsidRDefault="003F73E3" w:rsidP="003F73E3">
            <w:pPr>
              <w:tabs>
                <w:tab w:val="decimal" w:pos="270"/>
              </w:tabs>
              <w:jc w:val="center"/>
              <w:rPr>
                <w:rFonts w:ascii="Times New Roman" w:eastAsia="Calibri" w:hAnsi="Times New Roman" w:cs="Times New Roman"/>
                <w:color w:val="00B050"/>
              </w:rPr>
            </w:pPr>
            <w:r w:rsidRPr="00100AAC">
              <w:rPr>
                <w:rFonts w:ascii="Times New Roman" w:eastAsia="Calibri" w:hAnsi="Times New Roman" w:cs="Times New Roman"/>
              </w:rPr>
              <w:t>8.9</w:t>
            </w:r>
          </w:p>
        </w:tc>
        <w:tc>
          <w:tcPr>
            <w:tcW w:w="799" w:type="dxa"/>
            <w:tcBorders>
              <w:top w:val="nil"/>
              <w:left w:val="nil"/>
              <w:bottom w:val="nil"/>
              <w:right w:val="nil"/>
            </w:tcBorders>
          </w:tcPr>
          <w:p w14:paraId="37BCF147" w14:textId="77777777" w:rsidR="003F73E3" w:rsidRPr="00100AAC" w:rsidRDefault="003F73E3" w:rsidP="003F73E3">
            <w:pPr>
              <w:tabs>
                <w:tab w:val="decimal" w:pos="34"/>
              </w:tabs>
              <w:jc w:val="center"/>
              <w:rPr>
                <w:rFonts w:ascii="Times New Roman" w:eastAsia="Calibri" w:hAnsi="Times New Roman" w:cs="Times New Roman"/>
                <w:color w:val="00B050"/>
              </w:rPr>
            </w:pPr>
            <w:r w:rsidRPr="00100AAC">
              <w:rPr>
                <w:rFonts w:ascii="Times New Roman" w:eastAsia="Calibri" w:hAnsi="Times New Roman" w:cs="Times New Roman"/>
              </w:rPr>
              <w:t>8.5</w:t>
            </w:r>
          </w:p>
        </w:tc>
      </w:tr>
      <w:tr w:rsidR="003F73E3" w:rsidRPr="00100AAC" w14:paraId="159CD268" w14:textId="77777777" w:rsidTr="00714906">
        <w:tc>
          <w:tcPr>
            <w:tcW w:w="5524" w:type="dxa"/>
            <w:tcBorders>
              <w:top w:val="nil"/>
              <w:left w:val="nil"/>
              <w:bottom w:val="nil"/>
              <w:right w:val="nil"/>
            </w:tcBorders>
          </w:tcPr>
          <w:p w14:paraId="7D347508" w14:textId="77777777" w:rsidR="003F73E3" w:rsidRPr="00100AAC" w:rsidRDefault="003F73E3" w:rsidP="003F73E3">
            <w:pPr>
              <w:rPr>
                <w:rFonts w:ascii="Times New Roman" w:eastAsia="Calibri" w:hAnsi="Times New Roman" w:cs="Times New Roman"/>
                <w:color w:val="00B050"/>
              </w:rPr>
            </w:pPr>
            <w:r w:rsidRPr="00100AAC">
              <w:rPr>
                <w:rFonts w:ascii="Times New Roman" w:eastAsia="Calibri" w:hAnsi="Times New Roman" w:cs="Times New Roman"/>
              </w:rPr>
              <w:t>Years Coaching Dodgeball</w:t>
            </w:r>
          </w:p>
        </w:tc>
        <w:tc>
          <w:tcPr>
            <w:tcW w:w="850" w:type="dxa"/>
            <w:tcBorders>
              <w:top w:val="nil"/>
              <w:left w:val="nil"/>
              <w:bottom w:val="nil"/>
              <w:right w:val="nil"/>
            </w:tcBorders>
          </w:tcPr>
          <w:p w14:paraId="607AB47B" w14:textId="77777777" w:rsidR="003F73E3" w:rsidRPr="00100AAC" w:rsidRDefault="003F73E3" w:rsidP="003F73E3">
            <w:pPr>
              <w:tabs>
                <w:tab w:val="decimal" w:pos="320"/>
              </w:tabs>
              <w:jc w:val="center"/>
              <w:rPr>
                <w:rFonts w:ascii="Times New Roman" w:eastAsia="Calibri" w:hAnsi="Times New Roman" w:cs="Times New Roman"/>
                <w:color w:val="00B050"/>
              </w:rPr>
            </w:pPr>
          </w:p>
        </w:tc>
        <w:tc>
          <w:tcPr>
            <w:tcW w:w="992" w:type="dxa"/>
            <w:tcBorders>
              <w:top w:val="nil"/>
              <w:left w:val="nil"/>
              <w:bottom w:val="nil"/>
              <w:right w:val="nil"/>
            </w:tcBorders>
          </w:tcPr>
          <w:p w14:paraId="5E6AC732" w14:textId="77777777" w:rsidR="003F73E3" w:rsidRPr="00100AAC" w:rsidRDefault="003F73E3" w:rsidP="003F73E3">
            <w:pPr>
              <w:tabs>
                <w:tab w:val="decimal" w:pos="314"/>
              </w:tabs>
              <w:jc w:val="center"/>
              <w:rPr>
                <w:rFonts w:ascii="Times New Roman" w:eastAsia="Calibri" w:hAnsi="Times New Roman" w:cs="Times New Roman"/>
                <w:color w:val="00B050"/>
              </w:rPr>
            </w:pPr>
          </w:p>
        </w:tc>
        <w:tc>
          <w:tcPr>
            <w:tcW w:w="851" w:type="dxa"/>
            <w:tcBorders>
              <w:top w:val="nil"/>
              <w:left w:val="nil"/>
              <w:bottom w:val="nil"/>
              <w:right w:val="nil"/>
            </w:tcBorders>
          </w:tcPr>
          <w:p w14:paraId="4168B450" w14:textId="77777777" w:rsidR="003F73E3" w:rsidRPr="00100AAC" w:rsidRDefault="003F73E3" w:rsidP="003F73E3">
            <w:pPr>
              <w:tabs>
                <w:tab w:val="decimal" w:pos="270"/>
              </w:tabs>
              <w:jc w:val="center"/>
              <w:rPr>
                <w:rFonts w:ascii="Times New Roman" w:eastAsia="Calibri" w:hAnsi="Times New Roman" w:cs="Times New Roman"/>
              </w:rPr>
            </w:pPr>
            <w:r w:rsidRPr="00100AAC">
              <w:rPr>
                <w:rFonts w:ascii="Times New Roman" w:eastAsia="Calibri" w:hAnsi="Times New Roman" w:cs="Times New Roman"/>
              </w:rPr>
              <w:t>2.5</w:t>
            </w:r>
          </w:p>
        </w:tc>
        <w:tc>
          <w:tcPr>
            <w:tcW w:w="799" w:type="dxa"/>
            <w:tcBorders>
              <w:top w:val="nil"/>
              <w:left w:val="nil"/>
              <w:bottom w:val="nil"/>
              <w:right w:val="nil"/>
            </w:tcBorders>
          </w:tcPr>
          <w:p w14:paraId="68DA3129" w14:textId="77777777" w:rsidR="003F73E3" w:rsidRPr="00100AAC" w:rsidRDefault="003F73E3" w:rsidP="003F73E3">
            <w:pPr>
              <w:tabs>
                <w:tab w:val="decimal" w:pos="34"/>
              </w:tabs>
              <w:jc w:val="center"/>
              <w:rPr>
                <w:rFonts w:ascii="Times New Roman" w:eastAsia="Calibri" w:hAnsi="Times New Roman" w:cs="Times New Roman"/>
              </w:rPr>
            </w:pPr>
            <w:r w:rsidRPr="00100AAC">
              <w:rPr>
                <w:rFonts w:ascii="Times New Roman" w:eastAsia="Calibri" w:hAnsi="Times New Roman" w:cs="Times New Roman"/>
              </w:rPr>
              <w:t>3.1</w:t>
            </w:r>
          </w:p>
        </w:tc>
      </w:tr>
      <w:tr w:rsidR="003F73E3" w:rsidRPr="00100AAC" w14:paraId="57168170" w14:textId="77777777" w:rsidTr="00714906">
        <w:tc>
          <w:tcPr>
            <w:tcW w:w="5524" w:type="dxa"/>
            <w:tcBorders>
              <w:top w:val="nil"/>
              <w:left w:val="nil"/>
              <w:bottom w:val="nil"/>
              <w:right w:val="nil"/>
            </w:tcBorders>
          </w:tcPr>
          <w:p w14:paraId="3C409176" w14:textId="77777777" w:rsidR="003F73E3" w:rsidRPr="00100AAC" w:rsidRDefault="003F73E3" w:rsidP="003F73E3">
            <w:pPr>
              <w:rPr>
                <w:rFonts w:ascii="Times New Roman" w:eastAsia="Calibri" w:hAnsi="Times New Roman" w:cs="Times New Roman"/>
                <w:color w:val="000000"/>
              </w:rPr>
            </w:pPr>
            <w:r w:rsidRPr="00100AAC">
              <w:rPr>
                <w:rFonts w:ascii="Times New Roman" w:eastAsia="Calibri" w:hAnsi="Times New Roman" w:cs="Times New Roman"/>
                <w:color w:val="000000"/>
              </w:rPr>
              <w:t xml:space="preserve">Current Dodgeball Coaching Age Group </w:t>
            </w:r>
          </w:p>
          <w:p w14:paraId="14191FC1" w14:textId="77777777" w:rsidR="003F73E3" w:rsidRPr="00100AAC" w:rsidRDefault="003F73E3" w:rsidP="003F73E3">
            <w:pPr>
              <w:rPr>
                <w:rFonts w:ascii="Times New Roman" w:eastAsia="Calibri" w:hAnsi="Times New Roman" w:cs="Times New Roman"/>
                <w:color w:val="000000"/>
              </w:rPr>
            </w:pPr>
            <w:r w:rsidRPr="00100AAC">
              <w:rPr>
                <w:rFonts w:ascii="Times New Roman" w:eastAsia="Calibri" w:hAnsi="Times New Roman" w:cs="Times New Roman"/>
                <w:color w:val="00B050"/>
              </w:rPr>
              <w:t xml:space="preserve">     </w:t>
            </w:r>
            <w:r w:rsidRPr="00100AAC">
              <w:rPr>
                <w:rFonts w:ascii="Times New Roman" w:eastAsia="Calibri" w:hAnsi="Times New Roman" w:cs="Times New Roman"/>
                <w:color w:val="000000"/>
              </w:rPr>
              <w:t>Children (4-17 years)</w:t>
            </w:r>
          </w:p>
          <w:p w14:paraId="22E3F852" w14:textId="77777777" w:rsidR="003F73E3" w:rsidRPr="00100AAC" w:rsidRDefault="003F73E3" w:rsidP="003F73E3">
            <w:pPr>
              <w:rPr>
                <w:rFonts w:ascii="Times New Roman" w:eastAsia="Calibri" w:hAnsi="Times New Roman" w:cs="Times New Roman"/>
                <w:color w:val="00B050"/>
              </w:rPr>
            </w:pPr>
            <w:r w:rsidRPr="00100AAC">
              <w:rPr>
                <w:rFonts w:ascii="Times New Roman" w:eastAsia="Calibri" w:hAnsi="Times New Roman" w:cs="Times New Roman"/>
                <w:color w:val="00B050"/>
              </w:rPr>
              <w:t xml:space="preserve">     </w:t>
            </w:r>
            <w:r w:rsidRPr="00100AAC">
              <w:rPr>
                <w:rFonts w:ascii="Times New Roman" w:eastAsia="Calibri" w:hAnsi="Times New Roman" w:cs="Times New Roman"/>
                <w:color w:val="000000"/>
              </w:rPr>
              <w:t>Adults (18+ years)</w:t>
            </w:r>
          </w:p>
          <w:p w14:paraId="1EBA2706" w14:textId="77777777" w:rsidR="003F73E3" w:rsidRPr="00100AAC" w:rsidRDefault="003F73E3" w:rsidP="003F73E3">
            <w:pPr>
              <w:rPr>
                <w:rFonts w:ascii="Times New Roman" w:eastAsia="Calibri" w:hAnsi="Times New Roman" w:cs="Times New Roman"/>
                <w:color w:val="00B050"/>
              </w:rPr>
            </w:pPr>
            <w:r w:rsidRPr="00100AAC">
              <w:rPr>
                <w:rFonts w:ascii="Times New Roman" w:eastAsia="Calibri" w:hAnsi="Times New Roman" w:cs="Times New Roman"/>
                <w:color w:val="00B050"/>
              </w:rPr>
              <w:t xml:space="preserve">     </w:t>
            </w:r>
            <w:r w:rsidRPr="00100AAC">
              <w:rPr>
                <w:rFonts w:ascii="Times New Roman" w:eastAsia="Calibri" w:hAnsi="Times New Roman" w:cs="Times New Roman"/>
                <w:color w:val="000000"/>
              </w:rPr>
              <w:t>Children and Adults (4-18+ years)</w:t>
            </w:r>
          </w:p>
          <w:p w14:paraId="6677E4B9" w14:textId="77777777" w:rsidR="003F73E3" w:rsidRPr="00100AAC" w:rsidRDefault="003F73E3" w:rsidP="003F73E3">
            <w:pPr>
              <w:rPr>
                <w:rFonts w:ascii="Times New Roman" w:eastAsia="Calibri" w:hAnsi="Times New Roman" w:cs="Times New Roman"/>
                <w:color w:val="00B050"/>
              </w:rPr>
            </w:pPr>
            <w:r w:rsidRPr="00100AAC">
              <w:rPr>
                <w:rFonts w:ascii="Times New Roman" w:eastAsia="Calibri" w:hAnsi="Times New Roman" w:cs="Times New Roman"/>
                <w:color w:val="00B050"/>
              </w:rPr>
              <w:t xml:space="preserve">     </w:t>
            </w:r>
            <w:r w:rsidRPr="00100AAC">
              <w:rPr>
                <w:rFonts w:ascii="Times New Roman" w:eastAsia="Calibri" w:hAnsi="Times New Roman" w:cs="Times New Roman"/>
                <w:color w:val="000000"/>
              </w:rPr>
              <w:t>None</w:t>
            </w:r>
          </w:p>
          <w:p w14:paraId="208E7B5B" w14:textId="77777777" w:rsidR="003F73E3" w:rsidRPr="00100AAC" w:rsidRDefault="003F73E3" w:rsidP="003F73E3">
            <w:pPr>
              <w:rPr>
                <w:rFonts w:ascii="Times New Roman" w:eastAsia="Calibri" w:hAnsi="Times New Roman" w:cs="Times New Roman"/>
                <w:color w:val="000000"/>
              </w:rPr>
            </w:pPr>
            <w:r w:rsidRPr="00100AAC">
              <w:rPr>
                <w:rFonts w:ascii="Times New Roman" w:eastAsia="Calibri" w:hAnsi="Times New Roman" w:cs="Times New Roman"/>
                <w:color w:val="000000"/>
              </w:rPr>
              <w:t xml:space="preserve">Current Dodgeball Coaching Context* </w:t>
            </w:r>
          </w:p>
          <w:p w14:paraId="151F05FD"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Junior </w:t>
            </w:r>
          </w:p>
          <w:p w14:paraId="623569AA"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School </w:t>
            </w:r>
          </w:p>
          <w:p w14:paraId="362385C9" w14:textId="77777777" w:rsidR="003F73E3" w:rsidRPr="00100AAC" w:rsidRDefault="003F73E3" w:rsidP="003F73E3">
            <w:pPr>
              <w:rPr>
                <w:rFonts w:ascii="Times New Roman" w:eastAsia="Calibri" w:hAnsi="Times New Roman" w:cs="Times New Roman"/>
                <w:color w:val="FF0000"/>
              </w:rPr>
            </w:pPr>
            <w:r w:rsidRPr="00100AAC">
              <w:rPr>
                <w:rFonts w:ascii="Times New Roman" w:eastAsia="Calibri" w:hAnsi="Times New Roman" w:cs="Times New Roman"/>
                <w:color w:val="FF0000"/>
              </w:rPr>
              <w:t xml:space="preserve">     </w:t>
            </w:r>
            <w:r w:rsidRPr="00100AAC">
              <w:rPr>
                <w:rFonts w:ascii="Times New Roman" w:eastAsia="Calibri" w:hAnsi="Times New Roman" w:cs="Times New Roman"/>
              </w:rPr>
              <w:t>University</w:t>
            </w:r>
          </w:p>
          <w:p w14:paraId="0BD0407F"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Adults</w:t>
            </w:r>
          </w:p>
          <w:p w14:paraId="4F46FEC2"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Community Sports</w:t>
            </w:r>
          </w:p>
          <w:p w14:paraId="71A84246" w14:textId="77777777" w:rsidR="003F73E3" w:rsidRPr="00100AAC" w:rsidRDefault="003F73E3" w:rsidP="003F73E3">
            <w:pPr>
              <w:rPr>
                <w:rFonts w:ascii="Times New Roman" w:eastAsia="Calibri" w:hAnsi="Times New Roman" w:cs="Times New Roman"/>
                <w:color w:val="00B050"/>
              </w:rPr>
            </w:pPr>
            <w:r w:rsidRPr="00100AAC">
              <w:rPr>
                <w:rFonts w:ascii="Times New Roman" w:eastAsia="Calibri" w:hAnsi="Times New Roman" w:cs="Times New Roman"/>
              </w:rPr>
              <w:t xml:space="preserve">     None</w:t>
            </w:r>
          </w:p>
        </w:tc>
        <w:tc>
          <w:tcPr>
            <w:tcW w:w="850" w:type="dxa"/>
            <w:tcBorders>
              <w:top w:val="nil"/>
              <w:left w:val="nil"/>
              <w:bottom w:val="nil"/>
              <w:right w:val="nil"/>
            </w:tcBorders>
          </w:tcPr>
          <w:p w14:paraId="5F03638D" w14:textId="77777777" w:rsidR="003F73E3" w:rsidRPr="00100AAC" w:rsidRDefault="003F73E3" w:rsidP="003F73E3">
            <w:pPr>
              <w:tabs>
                <w:tab w:val="decimal" w:pos="320"/>
              </w:tabs>
              <w:jc w:val="center"/>
              <w:rPr>
                <w:rFonts w:ascii="Times New Roman" w:eastAsia="Calibri" w:hAnsi="Times New Roman" w:cs="Times New Roman"/>
                <w:color w:val="00B050"/>
              </w:rPr>
            </w:pPr>
          </w:p>
          <w:p w14:paraId="200EF643" w14:textId="77777777" w:rsidR="003F73E3" w:rsidRPr="00100AAC" w:rsidRDefault="003F73E3" w:rsidP="003F73E3">
            <w:pPr>
              <w:tabs>
                <w:tab w:val="decimal" w:pos="320"/>
              </w:tabs>
              <w:jc w:val="center"/>
              <w:rPr>
                <w:rFonts w:ascii="Times New Roman" w:eastAsia="Calibri" w:hAnsi="Times New Roman" w:cs="Times New Roman"/>
                <w:color w:val="000000"/>
              </w:rPr>
            </w:pPr>
            <w:r w:rsidRPr="00100AAC">
              <w:rPr>
                <w:rFonts w:ascii="Times New Roman" w:eastAsia="Calibri" w:hAnsi="Times New Roman" w:cs="Times New Roman"/>
                <w:color w:val="000000"/>
              </w:rPr>
              <w:t>42</w:t>
            </w:r>
          </w:p>
          <w:p w14:paraId="790A1A3D" w14:textId="77777777" w:rsidR="003F73E3" w:rsidRPr="00100AAC" w:rsidRDefault="003F73E3" w:rsidP="003F73E3">
            <w:pPr>
              <w:tabs>
                <w:tab w:val="decimal" w:pos="320"/>
              </w:tabs>
              <w:jc w:val="center"/>
              <w:rPr>
                <w:rFonts w:ascii="Times New Roman" w:eastAsia="Calibri" w:hAnsi="Times New Roman" w:cs="Times New Roman"/>
                <w:color w:val="000000"/>
              </w:rPr>
            </w:pPr>
            <w:r w:rsidRPr="00100AAC">
              <w:rPr>
                <w:rFonts w:ascii="Times New Roman" w:eastAsia="Calibri" w:hAnsi="Times New Roman" w:cs="Times New Roman"/>
                <w:color w:val="000000"/>
              </w:rPr>
              <w:t>9</w:t>
            </w:r>
          </w:p>
          <w:p w14:paraId="139D9551" w14:textId="77777777" w:rsidR="003F73E3" w:rsidRPr="00100AAC" w:rsidRDefault="003F73E3" w:rsidP="003F73E3">
            <w:pPr>
              <w:tabs>
                <w:tab w:val="decimal" w:pos="320"/>
              </w:tabs>
              <w:jc w:val="center"/>
              <w:rPr>
                <w:rFonts w:ascii="Times New Roman" w:eastAsia="Calibri" w:hAnsi="Times New Roman" w:cs="Times New Roman"/>
                <w:color w:val="000000"/>
              </w:rPr>
            </w:pPr>
            <w:r w:rsidRPr="00100AAC">
              <w:rPr>
                <w:rFonts w:ascii="Times New Roman" w:eastAsia="Calibri" w:hAnsi="Times New Roman" w:cs="Times New Roman"/>
                <w:color w:val="000000"/>
              </w:rPr>
              <w:t>2</w:t>
            </w:r>
          </w:p>
          <w:p w14:paraId="1F760158" w14:textId="77777777" w:rsidR="003F73E3" w:rsidRPr="00100AAC" w:rsidRDefault="003F73E3" w:rsidP="003F73E3">
            <w:pPr>
              <w:tabs>
                <w:tab w:val="decimal" w:pos="320"/>
              </w:tabs>
              <w:jc w:val="center"/>
              <w:rPr>
                <w:rFonts w:ascii="Times New Roman" w:eastAsia="Calibri" w:hAnsi="Times New Roman" w:cs="Times New Roman"/>
                <w:color w:val="000000"/>
              </w:rPr>
            </w:pPr>
            <w:r w:rsidRPr="00100AAC">
              <w:rPr>
                <w:rFonts w:ascii="Times New Roman" w:eastAsia="Calibri" w:hAnsi="Times New Roman" w:cs="Times New Roman"/>
                <w:color w:val="000000"/>
              </w:rPr>
              <w:t>4</w:t>
            </w:r>
          </w:p>
          <w:p w14:paraId="0D1E5A4C" w14:textId="77777777" w:rsidR="003F73E3" w:rsidRPr="00100AAC" w:rsidRDefault="003F73E3" w:rsidP="003F73E3">
            <w:pPr>
              <w:tabs>
                <w:tab w:val="decimal" w:pos="320"/>
              </w:tabs>
              <w:jc w:val="center"/>
              <w:rPr>
                <w:rFonts w:ascii="Times New Roman" w:eastAsia="Calibri" w:hAnsi="Times New Roman" w:cs="Times New Roman"/>
                <w:color w:val="00B050"/>
              </w:rPr>
            </w:pPr>
          </w:p>
          <w:p w14:paraId="607ADA78" w14:textId="77777777" w:rsidR="003F73E3" w:rsidRPr="00100AAC" w:rsidRDefault="003F73E3" w:rsidP="003F73E3">
            <w:pPr>
              <w:tabs>
                <w:tab w:val="decimal" w:pos="320"/>
              </w:tabs>
              <w:jc w:val="center"/>
              <w:rPr>
                <w:rFonts w:ascii="Times New Roman" w:eastAsia="Calibri" w:hAnsi="Times New Roman" w:cs="Times New Roman"/>
                <w:color w:val="000000"/>
              </w:rPr>
            </w:pPr>
            <w:r w:rsidRPr="00100AAC">
              <w:rPr>
                <w:rFonts w:ascii="Times New Roman" w:eastAsia="Calibri" w:hAnsi="Times New Roman" w:cs="Times New Roman"/>
                <w:color w:val="000000"/>
              </w:rPr>
              <w:t>7</w:t>
            </w:r>
          </w:p>
          <w:p w14:paraId="641C04A9" w14:textId="77777777" w:rsidR="003F73E3" w:rsidRPr="00100AAC" w:rsidRDefault="003F73E3" w:rsidP="003F73E3">
            <w:pPr>
              <w:tabs>
                <w:tab w:val="decimal" w:pos="320"/>
              </w:tabs>
              <w:jc w:val="center"/>
              <w:rPr>
                <w:rFonts w:ascii="Times New Roman" w:eastAsia="Calibri" w:hAnsi="Times New Roman" w:cs="Times New Roman"/>
                <w:color w:val="000000"/>
              </w:rPr>
            </w:pPr>
            <w:r w:rsidRPr="00100AAC">
              <w:rPr>
                <w:rFonts w:ascii="Times New Roman" w:eastAsia="Calibri" w:hAnsi="Times New Roman" w:cs="Times New Roman"/>
                <w:color w:val="000000"/>
              </w:rPr>
              <w:t>40</w:t>
            </w:r>
          </w:p>
          <w:p w14:paraId="21EBA3C9" w14:textId="77777777" w:rsidR="003F73E3" w:rsidRPr="00100AAC" w:rsidRDefault="003F73E3" w:rsidP="003F73E3">
            <w:pPr>
              <w:tabs>
                <w:tab w:val="decimal" w:pos="320"/>
              </w:tabs>
              <w:jc w:val="center"/>
              <w:rPr>
                <w:rFonts w:ascii="Times New Roman" w:eastAsia="Calibri" w:hAnsi="Times New Roman" w:cs="Times New Roman"/>
                <w:color w:val="000000"/>
              </w:rPr>
            </w:pPr>
            <w:r w:rsidRPr="00100AAC">
              <w:rPr>
                <w:rFonts w:ascii="Times New Roman" w:eastAsia="Calibri" w:hAnsi="Times New Roman" w:cs="Times New Roman"/>
                <w:color w:val="000000"/>
              </w:rPr>
              <w:t>3</w:t>
            </w:r>
          </w:p>
          <w:p w14:paraId="67F70812" w14:textId="77777777" w:rsidR="003F73E3" w:rsidRPr="00100AAC" w:rsidRDefault="003F73E3" w:rsidP="003F73E3">
            <w:pPr>
              <w:tabs>
                <w:tab w:val="decimal" w:pos="320"/>
              </w:tabs>
              <w:jc w:val="center"/>
              <w:rPr>
                <w:rFonts w:ascii="Times New Roman" w:eastAsia="Calibri" w:hAnsi="Times New Roman" w:cs="Times New Roman"/>
                <w:color w:val="000000"/>
              </w:rPr>
            </w:pPr>
            <w:r w:rsidRPr="00100AAC">
              <w:rPr>
                <w:rFonts w:ascii="Times New Roman" w:eastAsia="Calibri" w:hAnsi="Times New Roman" w:cs="Times New Roman"/>
                <w:color w:val="000000"/>
              </w:rPr>
              <w:t>6</w:t>
            </w:r>
          </w:p>
          <w:p w14:paraId="0AFD8145" w14:textId="77777777" w:rsidR="003F73E3" w:rsidRPr="00100AAC" w:rsidRDefault="003F73E3" w:rsidP="003F73E3">
            <w:pPr>
              <w:tabs>
                <w:tab w:val="decimal" w:pos="320"/>
              </w:tabs>
              <w:jc w:val="center"/>
              <w:rPr>
                <w:rFonts w:ascii="Times New Roman" w:eastAsia="Calibri" w:hAnsi="Times New Roman" w:cs="Times New Roman"/>
                <w:color w:val="000000"/>
              </w:rPr>
            </w:pPr>
            <w:r w:rsidRPr="00100AAC">
              <w:rPr>
                <w:rFonts w:ascii="Times New Roman" w:eastAsia="Calibri" w:hAnsi="Times New Roman" w:cs="Times New Roman"/>
                <w:color w:val="000000"/>
              </w:rPr>
              <w:t>1</w:t>
            </w:r>
          </w:p>
          <w:p w14:paraId="3A54E8AB" w14:textId="77777777" w:rsidR="003F73E3" w:rsidRPr="00100AAC" w:rsidRDefault="003F73E3" w:rsidP="003F73E3">
            <w:pPr>
              <w:tabs>
                <w:tab w:val="decimal" w:pos="320"/>
              </w:tabs>
              <w:jc w:val="center"/>
              <w:rPr>
                <w:rFonts w:ascii="Times New Roman" w:eastAsia="Calibri" w:hAnsi="Times New Roman" w:cs="Times New Roman"/>
                <w:color w:val="00B050"/>
              </w:rPr>
            </w:pPr>
            <w:r w:rsidRPr="00100AAC">
              <w:rPr>
                <w:rFonts w:ascii="Times New Roman" w:eastAsia="Calibri" w:hAnsi="Times New Roman" w:cs="Times New Roman"/>
                <w:color w:val="000000"/>
              </w:rPr>
              <w:t>1</w:t>
            </w:r>
          </w:p>
        </w:tc>
        <w:tc>
          <w:tcPr>
            <w:tcW w:w="992" w:type="dxa"/>
            <w:tcBorders>
              <w:top w:val="nil"/>
              <w:left w:val="nil"/>
              <w:bottom w:val="nil"/>
              <w:right w:val="nil"/>
            </w:tcBorders>
          </w:tcPr>
          <w:p w14:paraId="666EAF3A" w14:textId="77777777" w:rsidR="003F73E3" w:rsidRPr="00100AAC" w:rsidRDefault="003F73E3" w:rsidP="003F73E3">
            <w:pPr>
              <w:tabs>
                <w:tab w:val="decimal" w:pos="314"/>
              </w:tabs>
              <w:jc w:val="center"/>
              <w:rPr>
                <w:rFonts w:ascii="Times New Roman" w:eastAsia="Calibri" w:hAnsi="Times New Roman" w:cs="Times New Roman"/>
                <w:color w:val="00B050"/>
              </w:rPr>
            </w:pPr>
          </w:p>
          <w:p w14:paraId="3F452C5F" w14:textId="77777777" w:rsidR="003F73E3" w:rsidRPr="00100AAC" w:rsidRDefault="003F73E3" w:rsidP="003F73E3">
            <w:pPr>
              <w:tabs>
                <w:tab w:val="decimal" w:pos="314"/>
              </w:tabs>
              <w:jc w:val="center"/>
              <w:rPr>
                <w:rFonts w:ascii="Times New Roman" w:eastAsia="Calibri" w:hAnsi="Times New Roman" w:cs="Times New Roman"/>
                <w:color w:val="000000"/>
              </w:rPr>
            </w:pPr>
            <w:r w:rsidRPr="00100AAC">
              <w:rPr>
                <w:rFonts w:ascii="Times New Roman" w:eastAsia="Calibri" w:hAnsi="Times New Roman" w:cs="Times New Roman"/>
                <w:color w:val="000000"/>
              </w:rPr>
              <w:t>73.7</w:t>
            </w:r>
          </w:p>
          <w:p w14:paraId="5BC40C5B" w14:textId="77777777" w:rsidR="003F73E3" w:rsidRPr="00100AAC" w:rsidRDefault="003F73E3" w:rsidP="003F73E3">
            <w:pPr>
              <w:tabs>
                <w:tab w:val="decimal" w:pos="314"/>
              </w:tabs>
              <w:jc w:val="center"/>
              <w:rPr>
                <w:rFonts w:ascii="Times New Roman" w:eastAsia="Calibri" w:hAnsi="Times New Roman" w:cs="Times New Roman"/>
                <w:color w:val="000000"/>
              </w:rPr>
            </w:pPr>
            <w:r w:rsidRPr="00100AAC">
              <w:rPr>
                <w:rFonts w:ascii="Times New Roman" w:eastAsia="Calibri" w:hAnsi="Times New Roman" w:cs="Times New Roman"/>
                <w:color w:val="000000"/>
              </w:rPr>
              <w:t>15.8</w:t>
            </w:r>
          </w:p>
          <w:p w14:paraId="0B1AE2B7" w14:textId="77777777" w:rsidR="003F73E3" w:rsidRPr="00100AAC" w:rsidRDefault="003F73E3" w:rsidP="003F73E3">
            <w:pPr>
              <w:tabs>
                <w:tab w:val="decimal" w:pos="314"/>
              </w:tabs>
              <w:jc w:val="center"/>
              <w:rPr>
                <w:rFonts w:ascii="Times New Roman" w:eastAsia="Calibri" w:hAnsi="Times New Roman" w:cs="Times New Roman"/>
                <w:color w:val="000000"/>
              </w:rPr>
            </w:pPr>
            <w:r w:rsidRPr="00100AAC">
              <w:rPr>
                <w:rFonts w:ascii="Times New Roman" w:eastAsia="Calibri" w:hAnsi="Times New Roman" w:cs="Times New Roman"/>
                <w:color w:val="000000"/>
              </w:rPr>
              <w:t>3.5</w:t>
            </w:r>
          </w:p>
          <w:p w14:paraId="21785049" w14:textId="77777777" w:rsidR="003F73E3" w:rsidRPr="00100AAC" w:rsidRDefault="003F73E3" w:rsidP="003F73E3">
            <w:pPr>
              <w:tabs>
                <w:tab w:val="decimal" w:pos="314"/>
              </w:tabs>
              <w:jc w:val="center"/>
              <w:rPr>
                <w:rFonts w:ascii="Times New Roman" w:eastAsia="Calibri" w:hAnsi="Times New Roman" w:cs="Times New Roman"/>
                <w:color w:val="000000"/>
              </w:rPr>
            </w:pPr>
            <w:r w:rsidRPr="00100AAC">
              <w:rPr>
                <w:rFonts w:ascii="Times New Roman" w:eastAsia="Calibri" w:hAnsi="Times New Roman" w:cs="Times New Roman"/>
                <w:color w:val="000000"/>
              </w:rPr>
              <w:t>7.0</w:t>
            </w:r>
          </w:p>
          <w:p w14:paraId="1FACD724" w14:textId="77777777" w:rsidR="003F73E3" w:rsidRPr="00100AAC" w:rsidRDefault="003F73E3" w:rsidP="003F73E3">
            <w:pPr>
              <w:tabs>
                <w:tab w:val="decimal" w:pos="314"/>
              </w:tabs>
              <w:jc w:val="center"/>
              <w:rPr>
                <w:rFonts w:ascii="Times New Roman" w:eastAsia="Calibri" w:hAnsi="Times New Roman" w:cs="Times New Roman"/>
                <w:color w:val="00B050"/>
              </w:rPr>
            </w:pPr>
          </w:p>
          <w:p w14:paraId="44C632A8" w14:textId="77777777" w:rsidR="003F73E3" w:rsidRPr="00100AAC" w:rsidRDefault="003F73E3" w:rsidP="003F73E3">
            <w:pPr>
              <w:tabs>
                <w:tab w:val="decimal" w:pos="314"/>
              </w:tabs>
              <w:jc w:val="center"/>
              <w:rPr>
                <w:rFonts w:ascii="Times New Roman" w:eastAsia="Calibri" w:hAnsi="Times New Roman" w:cs="Times New Roman"/>
                <w:color w:val="000000"/>
              </w:rPr>
            </w:pPr>
            <w:r w:rsidRPr="00100AAC">
              <w:rPr>
                <w:rFonts w:ascii="Times New Roman" w:eastAsia="Calibri" w:hAnsi="Times New Roman" w:cs="Times New Roman"/>
                <w:color w:val="000000"/>
              </w:rPr>
              <w:t>12.1</w:t>
            </w:r>
          </w:p>
          <w:p w14:paraId="029221D0" w14:textId="77777777" w:rsidR="003F73E3" w:rsidRPr="00100AAC" w:rsidRDefault="003F73E3" w:rsidP="003F73E3">
            <w:pPr>
              <w:tabs>
                <w:tab w:val="decimal" w:pos="314"/>
              </w:tabs>
              <w:jc w:val="center"/>
              <w:rPr>
                <w:rFonts w:ascii="Times New Roman" w:eastAsia="Calibri" w:hAnsi="Times New Roman" w:cs="Times New Roman"/>
                <w:color w:val="000000"/>
              </w:rPr>
            </w:pPr>
            <w:r w:rsidRPr="00100AAC">
              <w:rPr>
                <w:rFonts w:ascii="Times New Roman" w:eastAsia="Calibri" w:hAnsi="Times New Roman" w:cs="Times New Roman"/>
                <w:color w:val="000000"/>
              </w:rPr>
              <w:t>69.0</w:t>
            </w:r>
          </w:p>
          <w:p w14:paraId="3B27E6AE" w14:textId="77777777" w:rsidR="003F73E3" w:rsidRPr="00100AAC" w:rsidRDefault="003F73E3" w:rsidP="003F73E3">
            <w:pPr>
              <w:tabs>
                <w:tab w:val="decimal" w:pos="314"/>
              </w:tabs>
              <w:jc w:val="center"/>
              <w:rPr>
                <w:rFonts w:ascii="Times New Roman" w:eastAsia="Calibri" w:hAnsi="Times New Roman" w:cs="Times New Roman"/>
                <w:color w:val="000000"/>
              </w:rPr>
            </w:pPr>
            <w:r w:rsidRPr="00100AAC">
              <w:rPr>
                <w:rFonts w:ascii="Times New Roman" w:eastAsia="Calibri" w:hAnsi="Times New Roman" w:cs="Times New Roman"/>
                <w:color w:val="000000"/>
              </w:rPr>
              <w:t>5.2</w:t>
            </w:r>
          </w:p>
          <w:p w14:paraId="04C96AF2" w14:textId="77777777" w:rsidR="003F73E3" w:rsidRPr="00100AAC" w:rsidRDefault="003F73E3" w:rsidP="003F73E3">
            <w:pPr>
              <w:tabs>
                <w:tab w:val="decimal" w:pos="314"/>
              </w:tabs>
              <w:jc w:val="center"/>
              <w:rPr>
                <w:rFonts w:ascii="Times New Roman" w:eastAsia="Calibri" w:hAnsi="Times New Roman" w:cs="Times New Roman"/>
                <w:color w:val="000000"/>
              </w:rPr>
            </w:pPr>
            <w:r w:rsidRPr="00100AAC">
              <w:rPr>
                <w:rFonts w:ascii="Times New Roman" w:eastAsia="Calibri" w:hAnsi="Times New Roman" w:cs="Times New Roman"/>
                <w:color w:val="000000"/>
              </w:rPr>
              <w:t>10.3</w:t>
            </w:r>
          </w:p>
          <w:p w14:paraId="3E188634" w14:textId="77777777" w:rsidR="003F73E3" w:rsidRPr="00100AAC" w:rsidRDefault="003F73E3" w:rsidP="003F73E3">
            <w:pPr>
              <w:tabs>
                <w:tab w:val="decimal" w:pos="314"/>
              </w:tabs>
              <w:jc w:val="center"/>
              <w:rPr>
                <w:rFonts w:ascii="Times New Roman" w:eastAsia="Calibri" w:hAnsi="Times New Roman" w:cs="Times New Roman"/>
                <w:color w:val="000000"/>
              </w:rPr>
            </w:pPr>
            <w:r w:rsidRPr="00100AAC">
              <w:rPr>
                <w:rFonts w:ascii="Times New Roman" w:eastAsia="Calibri" w:hAnsi="Times New Roman" w:cs="Times New Roman"/>
                <w:color w:val="000000"/>
              </w:rPr>
              <w:t>1.7</w:t>
            </w:r>
          </w:p>
          <w:p w14:paraId="4DE14CE2" w14:textId="77777777" w:rsidR="003F73E3" w:rsidRPr="00100AAC" w:rsidRDefault="003F73E3" w:rsidP="003F73E3">
            <w:pPr>
              <w:tabs>
                <w:tab w:val="decimal" w:pos="314"/>
              </w:tabs>
              <w:jc w:val="center"/>
              <w:rPr>
                <w:rFonts w:ascii="Times New Roman" w:eastAsia="Calibri" w:hAnsi="Times New Roman" w:cs="Times New Roman"/>
                <w:color w:val="00B050"/>
              </w:rPr>
            </w:pPr>
            <w:r w:rsidRPr="00100AAC">
              <w:rPr>
                <w:rFonts w:ascii="Times New Roman" w:eastAsia="Calibri" w:hAnsi="Times New Roman" w:cs="Times New Roman"/>
                <w:color w:val="000000"/>
              </w:rPr>
              <w:t>1.7</w:t>
            </w:r>
          </w:p>
        </w:tc>
        <w:tc>
          <w:tcPr>
            <w:tcW w:w="851" w:type="dxa"/>
            <w:tcBorders>
              <w:top w:val="nil"/>
              <w:left w:val="nil"/>
              <w:bottom w:val="nil"/>
              <w:right w:val="nil"/>
            </w:tcBorders>
          </w:tcPr>
          <w:p w14:paraId="574F6BB1" w14:textId="77777777" w:rsidR="003F73E3" w:rsidRPr="00100AAC" w:rsidRDefault="003F73E3" w:rsidP="003F73E3">
            <w:pPr>
              <w:tabs>
                <w:tab w:val="decimal" w:pos="270"/>
              </w:tabs>
              <w:jc w:val="center"/>
              <w:rPr>
                <w:rFonts w:ascii="Times New Roman" w:eastAsia="Calibri" w:hAnsi="Times New Roman" w:cs="Times New Roman"/>
                <w:color w:val="00B050"/>
              </w:rPr>
            </w:pPr>
          </w:p>
        </w:tc>
        <w:tc>
          <w:tcPr>
            <w:tcW w:w="799" w:type="dxa"/>
            <w:tcBorders>
              <w:top w:val="nil"/>
              <w:left w:val="nil"/>
              <w:bottom w:val="nil"/>
              <w:right w:val="nil"/>
            </w:tcBorders>
          </w:tcPr>
          <w:p w14:paraId="1CE34D3B" w14:textId="77777777" w:rsidR="003F73E3" w:rsidRPr="00100AAC" w:rsidRDefault="003F73E3" w:rsidP="003F73E3">
            <w:pPr>
              <w:tabs>
                <w:tab w:val="decimal" w:pos="34"/>
              </w:tabs>
              <w:jc w:val="center"/>
              <w:rPr>
                <w:rFonts w:ascii="Times New Roman" w:eastAsia="Calibri" w:hAnsi="Times New Roman" w:cs="Times New Roman"/>
                <w:color w:val="00B050"/>
              </w:rPr>
            </w:pPr>
          </w:p>
        </w:tc>
      </w:tr>
      <w:tr w:rsidR="003F73E3" w:rsidRPr="00100AAC" w14:paraId="1394EADB" w14:textId="77777777" w:rsidTr="00714906">
        <w:tc>
          <w:tcPr>
            <w:tcW w:w="5524" w:type="dxa"/>
            <w:tcBorders>
              <w:top w:val="nil"/>
              <w:left w:val="nil"/>
              <w:bottom w:val="nil"/>
              <w:right w:val="nil"/>
            </w:tcBorders>
          </w:tcPr>
          <w:p w14:paraId="15707796"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Current Dodgeball Coaching League Structure*</w:t>
            </w:r>
          </w:p>
          <w:p w14:paraId="16A87D6D"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Junior    </w:t>
            </w:r>
          </w:p>
          <w:p w14:paraId="58E08075"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Mixed</w:t>
            </w:r>
          </w:p>
          <w:p w14:paraId="37ACFBBF"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University</w:t>
            </w:r>
          </w:p>
          <w:p w14:paraId="02428FCE"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Regional</w:t>
            </w:r>
          </w:p>
          <w:p w14:paraId="4E9374E7"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National</w:t>
            </w:r>
          </w:p>
          <w:p w14:paraId="09F89C10"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International</w:t>
            </w:r>
          </w:p>
          <w:p w14:paraId="2187C9A3"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Other</w:t>
            </w:r>
          </w:p>
          <w:p w14:paraId="714F320D"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Holder of Non-Dodgeball Coaching Qualification</w:t>
            </w:r>
          </w:p>
          <w:p w14:paraId="064013A3"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Yes</w:t>
            </w:r>
          </w:p>
          <w:p w14:paraId="633E11E1"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No</w:t>
            </w:r>
          </w:p>
          <w:p w14:paraId="5F40D162"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Highest Level of Non-Dodgeball Coaching Qualification</w:t>
            </w:r>
          </w:p>
          <w:p w14:paraId="54AD84FA"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Level 5</w:t>
            </w:r>
          </w:p>
          <w:p w14:paraId="1FD345A3"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Level 3</w:t>
            </w:r>
          </w:p>
          <w:p w14:paraId="07233764"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Level 2</w:t>
            </w:r>
          </w:p>
          <w:p w14:paraId="6D109B24"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Level 1</w:t>
            </w:r>
          </w:p>
          <w:p w14:paraId="311CAD8A" w14:textId="77777777" w:rsidR="003F73E3" w:rsidRPr="00100AAC" w:rsidRDefault="003F73E3" w:rsidP="003F73E3">
            <w:pPr>
              <w:rPr>
                <w:rFonts w:ascii="Times New Roman" w:eastAsia="Calibri" w:hAnsi="Times New Roman" w:cs="Times New Roman"/>
                <w:color w:val="00B050"/>
              </w:rPr>
            </w:pPr>
            <w:r w:rsidRPr="00100AAC">
              <w:rPr>
                <w:rFonts w:ascii="Times New Roman" w:eastAsia="Calibri" w:hAnsi="Times New Roman" w:cs="Times New Roman"/>
              </w:rPr>
              <w:t xml:space="preserve">     None</w:t>
            </w:r>
          </w:p>
        </w:tc>
        <w:tc>
          <w:tcPr>
            <w:tcW w:w="850" w:type="dxa"/>
            <w:tcBorders>
              <w:top w:val="nil"/>
              <w:left w:val="nil"/>
              <w:bottom w:val="nil"/>
              <w:right w:val="nil"/>
            </w:tcBorders>
          </w:tcPr>
          <w:p w14:paraId="343A4B8B" w14:textId="77777777" w:rsidR="003F73E3" w:rsidRPr="00100AAC" w:rsidRDefault="003F73E3" w:rsidP="003F73E3">
            <w:pPr>
              <w:tabs>
                <w:tab w:val="decimal" w:pos="320"/>
              </w:tabs>
              <w:jc w:val="center"/>
              <w:rPr>
                <w:rFonts w:ascii="Times New Roman" w:eastAsia="Calibri" w:hAnsi="Times New Roman" w:cs="Times New Roman"/>
                <w:color w:val="00B050"/>
              </w:rPr>
            </w:pPr>
          </w:p>
          <w:p w14:paraId="3B70E71E"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29</w:t>
            </w:r>
          </w:p>
          <w:p w14:paraId="755F38A5"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14</w:t>
            </w:r>
          </w:p>
          <w:p w14:paraId="610D0E78"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1</w:t>
            </w:r>
          </w:p>
          <w:p w14:paraId="4CF10D99"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8</w:t>
            </w:r>
          </w:p>
          <w:p w14:paraId="56A39806"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4</w:t>
            </w:r>
          </w:p>
          <w:p w14:paraId="5D0BF82B"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3</w:t>
            </w:r>
          </w:p>
          <w:p w14:paraId="2F3C693B"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18</w:t>
            </w:r>
          </w:p>
          <w:p w14:paraId="3B9DCD95" w14:textId="77777777" w:rsidR="003F73E3" w:rsidRPr="00100AAC" w:rsidRDefault="003F73E3" w:rsidP="003F73E3">
            <w:pPr>
              <w:tabs>
                <w:tab w:val="decimal" w:pos="320"/>
              </w:tabs>
              <w:jc w:val="center"/>
              <w:rPr>
                <w:rFonts w:ascii="Times New Roman" w:eastAsia="Calibri" w:hAnsi="Times New Roman" w:cs="Times New Roman"/>
                <w:color w:val="00B050"/>
              </w:rPr>
            </w:pPr>
          </w:p>
          <w:p w14:paraId="2FE49C1B"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43</w:t>
            </w:r>
          </w:p>
          <w:p w14:paraId="70457C84"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14</w:t>
            </w:r>
          </w:p>
          <w:p w14:paraId="34C6C373" w14:textId="77777777" w:rsidR="003F73E3" w:rsidRPr="00100AAC" w:rsidRDefault="003F73E3" w:rsidP="003F73E3">
            <w:pPr>
              <w:tabs>
                <w:tab w:val="decimal" w:pos="320"/>
              </w:tabs>
              <w:jc w:val="center"/>
              <w:rPr>
                <w:rFonts w:ascii="Times New Roman" w:eastAsia="Calibri" w:hAnsi="Times New Roman" w:cs="Times New Roman"/>
                <w:color w:val="00B050"/>
              </w:rPr>
            </w:pPr>
          </w:p>
          <w:p w14:paraId="4844D10B"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2</w:t>
            </w:r>
          </w:p>
          <w:p w14:paraId="13146AAA"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5</w:t>
            </w:r>
          </w:p>
          <w:p w14:paraId="114CC32B"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18</w:t>
            </w:r>
          </w:p>
          <w:p w14:paraId="48E80011"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18</w:t>
            </w:r>
          </w:p>
          <w:p w14:paraId="075775E7" w14:textId="77777777" w:rsidR="003F73E3" w:rsidRPr="00100AAC" w:rsidRDefault="003F73E3" w:rsidP="003F73E3">
            <w:pPr>
              <w:tabs>
                <w:tab w:val="decimal" w:pos="320"/>
              </w:tabs>
              <w:jc w:val="center"/>
              <w:rPr>
                <w:rFonts w:ascii="Times New Roman" w:eastAsia="Calibri" w:hAnsi="Times New Roman" w:cs="Times New Roman"/>
                <w:color w:val="00B050"/>
              </w:rPr>
            </w:pPr>
            <w:r w:rsidRPr="00100AAC">
              <w:rPr>
                <w:rFonts w:ascii="Times New Roman" w:eastAsia="Calibri" w:hAnsi="Times New Roman" w:cs="Times New Roman"/>
              </w:rPr>
              <w:t>14</w:t>
            </w:r>
          </w:p>
        </w:tc>
        <w:tc>
          <w:tcPr>
            <w:tcW w:w="992" w:type="dxa"/>
            <w:tcBorders>
              <w:top w:val="nil"/>
              <w:left w:val="nil"/>
              <w:bottom w:val="nil"/>
              <w:right w:val="nil"/>
            </w:tcBorders>
          </w:tcPr>
          <w:p w14:paraId="4152DDB5" w14:textId="77777777" w:rsidR="003F73E3" w:rsidRPr="00100AAC" w:rsidRDefault="003F73E3" w:rsidP="003F73E3">
            <w:pPr>
              <w:tabs>
                <w:tab w:val="decimal" w:pos="314"/>
              </w:tabs>
              <w:jc w:val="center"/>
              <w:rPr>
                <w:rFonts w:ascii="Times New Roman" w:eastAsia="Calibri" w:hAnsi="Times New Roman" w:cs="Times New Roman"/>
                <w:color w:val="00B050"/>
              </w:rPr>
            </w:pPr>
          </w:p>
          <w:p w14:paraId="23104AD6" w14:textId="77777777" w:rsidR="003F73E3" w:rsidRPr="00100AAC" w:rsidRDefault="003F73E3" w:rsidP="003F73E3">
            <w:pPr>
              <w:tabs>
                <w:tab w:val="decimal" w:pos="314"/>
              </w:tabs>
              <w:jc w:val="center"/>
              <w:rPr>
                <w:rFonts w:ascii="Times New Roman" w:eastAsia="Calibri" w:hAnsi="Times New Roman" w:cs="Times New Roman"/>
              </w:rPr>
            </w:pPr>
            <w:r w:rsidRPr="00100AAC">
              <w:rPr>
                <w:rFonts w:ascii="Times New Roman" w:eastAsia="Calibri" w:hAnsi="Times New Roman" w:cs="Times New Roman"/>
              </w:rPr>
              <w:t>37.6</w:t>
            </w:r>
          </w:p>
          <w:p w14:paraId="4313C4AA" w14:textId="77777777" w:rsidR="003F73E3" w:rsidRPr="00100AAC" w:rsidRDefault="003F73E3" w:rsidP="003F73E3">
            <w:pPr>
              <w:tabs>
                <w:tab w:val="decimal" w:pos="314"/>
              </w:tabs>
              <w:jc w:val="center"/>
              <w:rPr>
                <w:rFonts w:ascii="Times New Roman" w:eastAsia="Calibri" w:hAnsi="Times New Roman" w:cs="Times New Roman"/>
              </w:rPr>
            </w:pPr>
            <w:r w:rsidRPr="00100AAC">
              <w:rPr>
                <w:rFonts w:ascii="Times New Roman" w:eastAsia="Calibri" w:hAnsi="Times New Roman" w:cs="Times New Roman"/>
              </w:rPr>
              <w:t>18.2</w:t>
            </w:r>
          </w:p>
          <w:p w14:paraId="686C8E30" w14:textId="77777777" w:rsidR="003F73E3" w:rsidRPr="00100AAC" w:rsidRDefault="003F73E3" w:rsidP="003F73E3">
            <w:pPr>
              <w:tabs>
                <w:tab w:val="decimal" w:pos="314"/>
              </w:tabs>
              <w:jc w:val="center"/>
              <w:rPr>
                <w:rFonts w:ascii="Times New Roman" w:eastAsia="Calibri" w:hAnsi="Times New Roman" w:cs="Times New Roman"/>
              </w:rPr>
            </w:pPr>
            <w:r w:rsidRPr="00100AAC">
              <w:rPr>
                <w:rFonts w:ascii="Times New Roman" w:eastAsia="Calibri" w:hAnsi="Times New Roman" w:cs="Times New Roman"/>
              </w:rPr>
              <w:t>1.3</w:t>
            </w:r>
          </w:p>
          <w:p w14:paraId="2797BEE0" w14:textId="77777777" w:rsidR="003F73E3" w:rsidRPr="00100AAC" w:rsidRDefault="003F73E3" w:rsidP="003F73E3">
            <w:pPr>
              <w:tabs>
                <w:tab w:val="decimal" w:pos="314"/>
              </w:tabs>
              <w:jc w:val="center"/>
              <w:rPr>
                <w:rFonts w:ascii="Times New Roman" w:eastAsia="Calibri" w:hAnsi="Times New Roman" w:cs="Times New Roman"/>
              </w:rPr>
            </w:pPr>
            <w:r w:rsidRPr="00100AAC">
              <w:rPr>
                <w:rFonts w:ascii="Times New Roman" w:eastAsia="Calibri" w:hAnsi="Times New Roman" w:cs="Times New Roman"/>
              </w:rPr>
              <w:t>10.4</w:t>
            </w:r>
          </w:p>
          <w:p w14:paraId="03825F63" w14:textId="77777777" w:rsidR="003F73E3" w:rsidRPr="00100AAC" w:rsidRDefault="003F73E3" w:rsidP="003F73E3">
            <w:pPr>
              <w:tabs>
                <w:tab w:val="decimal" w:pos="314"/>
              </w:tabs>
              <w:jc w:val="center"/>
              <w:rPr>
                <w:rFonts w:ascii="Times New Roman" w:eastAsia="Calibri" w:hAnsi="Times New Roman" w:cs="Times New Roman"/>
              </w:rPr>
            </w:pPr>
            <w:r w:rsidRPr="00100AAC">
              <w:rPr>
                <w:rFonts w:ascii="Times New Roman" w:eastAsia="Calibri" w:hAnsi="Times New Roman" w:cs="Times New Roman"/>
              </w:rPr>
              <w:t>5.2</w:t>
            </w:r>
          </w:p>
          <w:p w14:paraId="3B91FB6F" w14:textId="77777777" w:rsidR="003F73E3" w:rsidRPr="00100AAC" w:rsidRDefault="003F73E3" w:rsidP="003F73E3">
            <w:pPr>
              <w:tabs>
                <w:tab w:val="decimal" w:pos="314"/>
              </w:tabs>
              <w:jc w:val="center"/>
              <w:rPr>
                <w:rFonts w:ascii="Times New Roman" w:eastAsia="Calibri" w:hAnsi="Times New Roman" w:cs="Times New Roman"/>
              </w:rPr>
            </w:pPr>
            <w:r w:rsidRPr="00100AAC">
              <w:rPr>
                <w:rFonts w:ascii="Times New Roman" w:eastAsia="Calibri" w:hAnsi="Times New Roman" w:cs="Times New Roman"/>
              </w:rPr>
              <w:t>3.9</w:t>
            </w:r>
          </w:p>
          <w:p w14:paraId="6A679A14" w14:textId="77777777" w:rsidR="003F73E3" w:rsidRPr="00100AAC" w:rsidRDefault="003F73E3" w:rsidP="003F73E3">
            <w:pPr>
              <w:tabs>
                <w:tab w:val="decimal" w:pos="314"/>
              </w:tabs>
              <w:jc w:val="center"/>
              <w:rPr>
                <w:rFonts w:ascii="Times New Roman" w:eastAsia="Calibri" w:hAnsi="Times New Roman" w:cs="Times New Roman"/>
              </w:rPr>
            </w:pPr>
            <w:r w:rsidRPr="00100AAC">
              <w:rPr>
                <w:rFonts w:ascii="Times New Roman" w:eastAsia="Calibri" w:hAnsi="Times New Roman" w:cs="Times New Roman"/>
              </w:rPr>
              <w:t>23.4</w:t>
            </w:r>
          </w:p>
          <w:p w14:paraId="238ED96B" w14:textId="77777777" w:rsidR="003F73E3" w:rsidRPr="00100AAC" w:rsidRDefault="003F73E3" w:rsidP="003F73E3">
            <w:pPr>
              <w:tabs>
                <w:tab w:val="decimal" w:pos="314"/>
              </w:tabs>
              <w:jc w:val="center"/>
              <w:rPr>
                <w:rFonts w:ascii="Times New Roman" w:eastAsia="Calibri" w:hAnsi="Times New Roman" w:cs="Times New Roman"/>
                <w:color w:val="00B050"/>
              </w:rPr>
            </w:pPr>
          </w:p>
          <w:p w14:paraId="3A37A3C8" w14:textId="77777777" w:rsidR="003F73E3" w:rsidRPr="00100AAC" w:rsidRDefault="003F73E3" w:rsidP="003F73E3">
            <w:pPr>
              <w:tabs>
                <w:tab w:val="decimal" w:pos="314"/>
              </w:tabs>
              <w:jc w:val="center"/>
              <w:rPr>
                <w:rFonts w:ascii="Times New Roman" w:eastAsia="Calibri" w:hAnsi="Times New Roman" w:cs="Times New Roman"/>
              </w:rPr>
            </w:pPr>
            <w:r w:rsidRPr="00100AAC">
              <w:rPr>
                <w:rFonts w:ascii="Times New Roman" w:eastAsia="Calibri" w:hAnsi="Times New Roman" w:cs="Times New Roman"/>
              </w:rPr>
              <w:t>75.4</w:t>
            </w:r>
          </w:p>
          <w:p w14:paraId="0392F532" w14:textId="77777777" w:rsidR="003F73E3" w:rsidRPr="00100AAC" w:rsidRDefault="003F73E3" w:rsidP="003F73E3">
            <w:pPr>
              <w:tabs>
                <w:tab w:val="decimal" w:pos="314"/>
              </w:tabs>
              <w:jc w:val="center"/>
              <w:rPr>
                <w:rFonts w:ascii="Times New Roman" w:eastAsia="Calibri" w:hAnsi="Times New Roman" w:cs="Times New Roman"/>
              </w:rPr>
            </w:pPr>
            <w:r w:rsidRPr="00100AAC">
              <w:rPr>
                <w:rFonts w:ascii="Times New Roman" w:eastAsia="Calibri" w:hAnsi="Times New Roman" w:cs="Times New Roman"/>
              </w:rPr>
              <w:t>24.6</w:t>
            </w:r>
          </w:p>
          <w:p w14:paraId="37D521DB" w14:textId="77777777" w:rsidR="003F73E3" w:rsidRPr="00100AAC" w:rsidRDefault="003F73E3" w:rsidP="003F73E3">
            <w:pPr>
              <w:tabs>
                <w:tab w:val="decimal" w:pos="314"/>
              </w:tabs>
              <w:jc w:val="center"/>
              <w:rPr>
                <w:rFonts w:ascii="Times New Roman" w:eastAsia="Calibri" w:hAnsi="Times New Roman" w:cs="Times New Roman"/>
                <w:color w:val="00B050"/>
              </w:rPr>
            </w:pPr>
          </w:p>
          <w:p w14:paraId="0680AC39" w14:textId="77777777" w:rsidR="003F73E3" w:rsidRPr="00100AAC" w:rsidRDefault="003F73E3" w:rsidP="003F73E3">
            <w:pPr>
              <w:tabs>
                <w:tab w:val="decimal" w:pos="314"/>
              </w:tabs>
              <w:jc w:val="center"/>
              <w:rPr>
                <w:rFonts w:ascii="Times New Roman" w:eastAsia="Calibri" w:hAnsi="Times New Roman" w:cs="Times New Roman"/>
              </w:rPr>
            </w:pPr>
            <w:r w:rsidRPr="00100AAC">
              <w:rPr>
                <w:rFonts w:ascii="Times New Roman" w:eastAsia="Calibri" w:hAnsi="Times New Roman" w:cs="Times New Roman"/>
              </w:rPr>
              <w:t>3.5</w:t>
            </w:r>
          </w:p>
          <w:p w14:paraId="115BBC22" w14:textId="77777777" w:rsidR="003F73E3" w:rsidRPr="00100AAC" w:rsidRDefault="003F73E3" w:rsidP="003F73E3">
            <w:pPr>
              <w:tabs>
                <w:tab w:val="decimal" w:pos="314"/>
              </w:tabs>
              <w:jc w:val="center"/>
              <w:rPr>
                <w:rFonts w:ascii="Times New Roman" w:eastAsia="Calibri" w:hAnsi="Times New Roman" w:cs="Times New Roman"/>
              </w:rPr>
            </w:pPr>
            <w:r w:rsidRPr="00100AAC">
              <w:rPr>
                <w:rFonts w:ascii="Times New Roman" w:eastAsia="Calibri" w:hAnsi="Times New Roman" w:cs="Times New Roman"/>
              </w:rPr>
              <w:t>8.7</w:t>
            </w:r>
          </w:p>
          <w:p w14:paraId="074D2B63" w14:textId="77777777" w:rsidR="003F73E3" w:rsidRPr="00100AAC" w:rsidRDefault="003F73E3" w:rsidP="003F73E3">
            <w:pPr>
              <w:tabs>
                <w:tab w:val="decimal" w:pos="314"/>
              </w:tabs>
              <w:jc w:val="center"/>
              <w:rPr>
                <w:rFonts w:ascii="Times New Roman" w:eastAsia="Calibri" w:hAnsi="Times New Roman" w:cs="Times New Roman"/>
              </w:rPr>
            </w:pPr>
            <w:r w:rsidRPr="00100AAC">
              <w:rPr>
                <w:rFonts w:ascii="Times New Roman" w:eastAsia="Calibri" w:hAnsi="Times New Roman" w:cs="Times New Roman"/>
              </w:rPr>
              <w:t>31.6</w:t>
            </w:r>
          </w:p>
          <w:p w14:paraId="36862FEF" w14:textId="77777777" w:rsidR="003F73E3" w:rsidRPr="00100AAC" w:rsidRDefault="003F73E3" w:rsidP="003F73E3">
            <w:pPr>
              <w:tabs>
                <w:tab w:val="decimal" w:pos="314"/>
              </w:tabs>
              <w:jc w:val="center"/>
              <w:rPr>
                <w:rFonts w:ascii="Times New Roman" w:eastAsia="Calibri" w:hAnsi="Times New Roman" w:cs="Times New Roman"/>
              </w:rPr>
            </w:pPr>
            <w:r w:rsidRPr="00100AAC">
              <w:rPr>
                <w:rFonts w:ascii="Times New Roman" w:eastAsia="Calibri" w:hAnsi="Times New Roman" w:cs="Times New Roman"/>
              </w:rPr>
              <w:t>31.6</w:t>
            </w:r>
          </w:p>
          <w:p w14:paraId="54E9BBCA" w14:textId="77777777" w:rsidR="003F73E3" w:rsidRPr="00100AAC" w:rsidRDefault="003F73E3" w:rsidP="003F73E3">
            <w:pPr>
              <w:tabs>
                <w:tab w:val="decimal" w:pos="314"/>
              </w:tabs>
              <w:jc w:val="center"/>
              <w:rPr>
                <w:rFonts w:ascii="Times New Roman" w:eastAsia="Calibri" w:hAnsi="Times New Roman" w:cs="Times New Roman"/>
                <w:color w:val="00B050"/>
              </w:rPr>
            </w:pPr>
            <w:r w:rsidRPr="00100AAC">
              <w:rPr>
                <w:rFonts w:ascii="Times New Roman" w:eastAsia="Calibri" w:hAnsi="Times New Roman" w:cs="Times New Roman"/>
              </w:rPr>
              <w:t>24.6</w:t>
            </w:r>
          </w:p>
        </w:tc>
        <w:tc>
          <w:tcPr>
            <w:tcW w:w="851" w:type="dxa"/>
            <w:tcBorders>
              <w:top w:val="nil"/>
              <w:left w:val="nil"/>
              <w:bottom w:val="nil"/>
              <w:right w:val="nil"/>
            </w:tcBorders>
          </w:tcPr>
          <w:p w14:paraId="25D617AA" w14:textId="77777777" w:rsidR="003F73E3" w:rsidRPr="00100AAC" w:rsidRDefault="003F73E3" w:rsidP="003F73E3">
            <w:pPr>
              <w:tabs>
                <w:tab w:val="decimal" w:pos="270"/>
              </w:tabs>
              <w:jc w:val="center"/>
              <w:rPr>
                <w:rFonts w:ascii="Times New Roman" w:eastAsia="Calibri" w:hAnsi="Times New Roman" w:cs="Times New Roman"/>
                <w:color w:val="00B050"/>
              </w:rPr>
            </w:pPr>
          </w:p>
        </w:tc>
        <w:tc>
          <w:tcPr>
            <w:tcW w:w="799" w:type="dxa"/>
            <w:tcBorders>
              <w:top w:val="nil"/>
              <w:left w:val="nil"/>
              <w:bottom w:val="nil"/>
              <w:right w:val="nil"/>
            </w:tcBorders>
          </w:tcPr>
          <w:p w14:paraId="2156A216" w14:textId="77777777" w:rsidR="003F73E3" w:rsidRPr="00100AAC" w:rsidRDefault="003F73E3" w:rsidP="003F73E3">
            <w:pPr>
              <w:tabs>
                <w:tab w:val="decimal" w:pos="34"/>
              </w:tabs>
              <w:jc w:val="center"/>
              <w:rPr>
                <w:rFonts w:ascii="Times New Roman" w:eastAsia="Calibri" w:hAnsi="Times New Roman" w:cs="Times New Roman"/>
                <w:color w:val="00B050"/>
              </w:rPr>
            </w:pPr>
          </w:p>
        </w:tc>
      </w:tr>
      <w:tr w:rsidR="003F73E3" w:rsidRPr="00100AAC" w14:paraId="2C33E8CD" w14:textId="77777777" w:rsidTr="00714906">
        <w:tc>
          <w:tcPr>
            <w:tcW w:w="5524" w:type="dxa"/>
            <w:tcBorders>
              <w:top w:val="nil"/>
              <w:left w:val="nil"/>
              <w:bottom w:val="nil"/>
              <w:right w:val="nil"/>
            </w:tcBorders>
          </w:tcPr>
          <w:p w14:paraId="53028443" w14:textId="77777777" w:rsidR="003F73E3" w:rsidRPr="00100AAC" w:rsidRDefault="003F73E3" w:rsidP="003F73E3">
            <w:pPr>
              <w:rPr>
                <w:rFonts w:ascii="Times New Roman" w:eastAsia="Calibri" w:hAnsi="Times New Roman" w:cs="Times New Roman"/>
                <w:color w:val="00B050"/>
              </w:rPr>
            </w:pPr>
            <w:r w:rsidRPr="00100AAC">
              <w:rPr>
                <w:rFonts w:ascii="Times New Roman" w:eastAsia="Calibri" w:hAnsi="Times New Roman" w:cs="Times New Roman"/>
              </w:rPr>
              <w:t>Dodgeball Coaching Sessions Taught (per week)</w:t>
            </w:r>
          </w:p>
        </w:tc>
        <w:tc>
          <w:tcPr>
            <w:tcW w:w="850" w:type="dxa"/>
            <w:tcBorders>
              <w:top w:val="nil"/>
              <w:left w:val="nil"/>
              <w:bottom w:val="nil"/>
              <w:right w:val="nil"/>
            </w:tcBorders>
          </w:tcPr>
          <w:p w14:paraId="2298DABB" w14:textId="77777777" w:rsidR="003F73E3" w:rsidRPr="00100AAC" w:rsidRDefault="003F73E3" w:rsidP="003F73E3">
            <w:pPr>
              <w:tabs>
                <w:tab w:val="decimal" w:pos="320"/>
              </w:tabs>
              <w:jc w:val="center"/>
              <w:rPr>
                <w:rFonts w:ascii="Times New Roman" w:eastAsia="Calibri" w:hAnsi="Times New Roman" w:cs="Times New Roman"/>
                <w:color w:val="00B050"/>
              </w:rPr>
            </w:pPr>
          </w:p>
        </w:tc>
        <w:tc>
          <w:tcPr>
            <w:tcW w:w="992" w:type="dxa"/>
            <w:tcBorders>
              <w:top w:val="nil"/>
              <w:left w:val="nil"/>
              <w:bottom w:val="nil"/>
              <w:right w:val="nil"/>
            </w:tcBorders>
          </w:tcPr>
          <w:p w14:paraId="5D0BE9FC" w14:textId="77777777" w:rsidR="003F73E3" w:rsidRPr="00100AAC" w:rsidRDefault="003F73E3" w:rsidP="003F73E3">
            <w:pPr>
              <w:tabs>
                <w:tab w:val="decimal" w:pos="314"/>
              </w:tabs>
              <w:jc w:val="center"/>
              <w:rPr>
                <w:rFonts w:ascii="Times New Roman" w:eastAsia="Calibri" w:hAnsi="Times New Roman" w:cs="Times New Roman"/>
                <w:color w:val="00B050"/>
              </w:rPr>
            </w:pPr>
          </w:p>
        </w:tc>
        <w:tc>
          <w:tcPr>
            <w:tcW w:w="851" w:type="dxa"/>
            <w:tcBorders>
              <w:top w:val="nil"/>
              <w:left w:val="nil"/>
              <w:bottom w:val="nil"/>
              <w:right w:val="nil"/>
            </w:tcBorders>
          </w:tcPr>
          <w:p w14:paraId="2D1C4F46" w14:textId="77777777" w:rsidR="003F73E3" w:rsidRPr="00100AAC" w:rsidRDefault="003F73E3" w:rsidP="003F73E3">
            <w:pPr>
              <w:tabs>
                <w:tab w:val="decimal" w:pos="270"/>
              </w:tabs>
              <w:jc w:val="center"/>
              <w:rPr>
                <w:rFonts w:ascii="Times New Roman" w:eastAsia="Calibri" w:hAnsi="Times New Roman" w:cs="Times New Roman"/>
              </w:rPr>
            </w:pPr>
            <w:r w:rsidRPr="00100AAC">
              <w:rPr>
                <w:rFonts w:ascii="Times New Roman" w:eastAsia="Calibri" w:hAnsi="Times New Roman" w:cs="Times New Roman"/>
              </w:rPr>
              <w:t>1.9</w:t>
            </w:r>
          </w:p>
        </w:tc>
        <w:tc>
          <w:tcPr>
            <w:tcW w:w="799" w:type="dxa"/>
            <w:tcBorders>
              <w:top w:val="nil"/>
              <w:left w:val="nil"/>
              <w:bottom w:val="nil"/>
              <w:right w:val="nil"/>
            </w:tcBorders>
          </w:tcPr>
          <w:p w14:paraId="321A0B65" w14:textId="77777777" w:rsidR="003F73E3" w:rsidRPr="00100AAC" w:rsidRDefault="003F73E3" w:rsidP="003F73E3">
            <w:pPr>
              <w:tabs>
                <w:tab w:val="decimal" w:pos="34"/>
              </w:tabs>
              <w:jc w:val="center"/>
              <w:rPr>
                <w:rFonts w:ascii="Times New Roman" w:eastAsia="Calibri" w:hAnsi="Times New Roman" w:cs="Times New Roman"/>
              </w:rPr>
            </w:pPr>
            <w:r w:rsidRPr="00100AAC">
              <w:rPr>
                <w:rFonts w:ascii="Times New Roman" w:eastAsia="Calibri" w:hAnsi="Times New Roman" w:cs="Times New Roman"/>
              </w:rPr>
              <w:t>2.1</w:t>
            </w:r>
          </w:p>
        </w:tc>
      </w:tr>
      <w:tr w:rsidR="003F73E3" w:rsidRPr="00100AAC" w14:paraId="0DA94E89" w14:textId="77777777" w:rsidTr="00714906">
        <w:tc>
          <w:tcPr>
            <w:tcW w:w="5524" w:type="dxa"/>
            <w:tcBorders>
              <w:top w:val="nil"/>
              <w:left w:val="nil"/>
              <w:bottom w:val="single" w:sz="4" w:space="0" w:color="auto"/>
              <w:right w:val="nil"/>
            </w:tcBorders>
          </w:tcPr>
          <w:p w14:paraId="5E76C268"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Dodgeball Fixture Engagement (per month)</w:t>
            </w:r>
          </w:p>
          <w:p w14:paraId="0D0D09FE"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Previous Engagement with Online Coach Education</w:t>
            </w:r>
          </w:p>
          <w:p w14:paraId="48451291" w14:textId="77777777" w:rsidR="003F73E3" w:rsidRPr="00100AAC" w:rsidRDefault="003F73E3" w:rsidP="003F73E3">
            <w:pPr>
              <w:rPr>
                <w:rFonts w:ascii="Times New Roman" w:eastAsia="Calibri" w:hAnsi="Times New Roman" w:cs="Times New Roman"/>
              </w:rPr>
            </w:pPr>
            <w:r w:rsidRPr="00100AAC">
              <w:rPr>
                <w:rFonts w:ascii="Times New Roman" w:eastAsia="Calibri" w:hAnsi="Times New Roman" w:cs="Times New Roman"/>
              </w:rPr>
              <w:t xml:space="preserve">     Yes</w:t>
            </w:r>
          </w:p>
          <w:p w14:paraId="1CE60E7C" w14:textId="77777777" w:rsidR="003F73E3" w:rsidRPr="00100AAC" w:rsidRDefault="003F73E3" w:rsidP="003F73E3">
            <w:pPr>
              <w:rPr>
                <w:rFonts w:ascii="Times New Roman" w:eastAsia="Calibri" w:hAnsi="Times New Roman" w:cs="Times New Roman"/>
                <w:color w:val="00B050"/>
              </w:rPr>
            </w:pPr>
            <w:r w:rsidRPr="00100AAC">
              <w:rPr>
                <w:rFonts w:ascii="Times New Roman" w:eastAsia="Calibri" w:hAnsi="Times New Roman" w:cs="Times New Roman"/>
              </w:rPr>
              <w:t xml:space="preserve">     No</w:t>
            </w:r>
          </w:p>
        </w:tc>
        <w:tc>
          <w:tcPr>
            <w:tcW w:w="850" w:type="dxa"/>
            <w:tcBorders>
              <w:top w:val="nil"/>
              <w:left w:val="nil"/>
              <w:bottom w:val="single" w:sz="4" w:space="0" w:color="auto"/>
              <w:right w:val="nil"/>
            </w:tcBorders>
          </w:tcPr>
          <w:p w14:paraId="40C65B4D" w14:textId="77777777" w:rsidR="003F73E3" w:rsidRPr="00100AAC" w:rsidRDefault="003F73E3" w:rsidP="003F73E3">
            <w:pPr>
              <w:tabs>
                <w:tab w:val="decimal" w:pos="320"/>
              </w:tabs>
              <w:jc w:val="center"/>
              <w:rPr>
                <w:rFonts w:ascii="Times New Roman" w:eastAsia="Calibri" w:hAnsi="Times New Roman" w:cs="Times New Roman"/>
              </w:rPr>
            </w:pPr>
          </w:p>
          <w:p w14:paraId="14A971EA" w14:textId="77777777" w:rsidR="003F73E3" w:rsidRPr="00100AAC" w:rsidRDefault="003F73E3" w:rsidP="003F73E3">
            <w:pPr>
              <w:tabs>
                <w:tab w:val="decimal" w:pos="320"/>
              </w:tabs>
              <w:jc w:val="center"/>
              <w:rPr>
                <w:rFonts w:ascii="Times New Roman" w:eastAsia="Calibri" w:hAnsi="Times New Roman" w:cs="Times New Roman"/>
              </w:rPr>
            </w:pPr>
          </w:p>
          <w:p w14:paraId="4383E8C9"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26</w:t>
            </w:r>
          </w:p>
          <w:p w14:paraId="36864B80" w14:textId="77777777" w:rsidR="003F73E3" w:rsidRPr="00100AAC" w:rsidRDefault="003F73E3" w:rsidP="003F73E3">
            <w:pPr>
              <w:tabs>
                <w:tab w:val="decimal" w:pos="320"/>
              </w:tabs>
              <w:jc w:val="center"/>
              <w:rPr>
                <w:rFonts w:ascii="Times New Roman" w:eastAsia="Calibri" w:hAnsi="Times New Roman" w:cs="Times New Roman"/>
              </w:rPr>
            </w:pPr>
            <w:r w:rsidRPr="00100AAC">
              <w:rPr>
                <w:rFonts w:ascii="Times New Roman" w:eastAsia="Calibri" w:hAnsi="Times New Roman" w:cs="Times New Roman"/>
              </w:rPr>
              <w:t>31</w:t>
            </w:r>
          </w:p>
        </w:tc>
        <w:tc>
          <w:tcPr>
            <w:tcW w:w="992" w:type="dxa"/>
            <w:tcBorders>
              <w:top w:val="nil"/>
              <w:left w:val="nil"/>
              <w:bottom w:val="single" w:sz="4" w:space="0" w:color="auto"/>
              <w:right w:val="nil"/>
            </w:tcBorders>
          </w:tcPr>
          <w:p w14:paraId="590B373A" w14:textId="77777777" w:rsidR="003F73E3" w:rsidRPr="00100AAC" w:rsidRDefault="003F73E3" w:rsidP="003F73E3">
            <w:pPr>
              <w:tabs>
                <w:tab w:val="decimal" w:pos="314"/>
              </w:tabs>
              <w:jc w:val="center"/>
              <w:rPr>
                <w:rFonts w:ascii="Times New Roman" w:eastAsia="Calibri" w:hAnsi="Times New Roman" w:cs="Times New Roman"/>
              </w:rPr>
            </w:pPr>
          </w:p>
          <w:p w14:paraId="1E52A216" w14:textId="77777777" w:rsidR="003F73E3" w:rsidRPr="00100AAC" w:rsidRDefault="003F73E3" w:rsidP="003F73E3">
            <w:pPr>
              <w:tabs>
                <w:tab w:val="decimal" w:pos="314"/>
              </w:tabs>
              <w:jc w:val="center"/>
              <w:rPr>
                <w:rFonts w:ascii="Times New Roman" w:eastAsia="Calibri" w:hAnsi="Times New Roman" w:cs="Times New Roman"/>
              </w:rPr>
            </w:pPr>
          </w:p>
          <w:p w14:paraId="6320DCB0" w14:textId="77777777" w:rsidR="003F73E3" w:rsidRPr="00100AAC" w:rsidRDefault="003F73E3" w:rsidP="003F73E3">
            <w:pPr>
              <w:tabs>
                <w:tab w:val="decimal" w:pos="314"/>
              </w:tabs>
              <w:jc w:val="center"/>
              <w:rPr>
                <w:rFonts w:ascii="Times New Roman" w:eastAsia="Calibri" w:hAnsi="Times New Roman" w:cs="Times New Roman"/>
              </w:rPr>
            </w:pPr>
            <w:r w:rsidRPr="00100AAC">
              <w:rPr>
                <w:rFonts w:ascii="Times New Roman" w:eastAsia="Calibri" w:hAnsi="Times New Roman" w:cs="Times New Roman"/>
              </w:rPr>
              <w:t>45.6</w:t>
            </w:r>
          </w:p>
          <w:p w14:paraId="7EBF3CB3" w14:textId="77777777" w:rsidR="003F73E3" w:rsidRPr="00100AAC" w:rsidRDefault="003F73E3" w:rsidP="003F73E3">
            <w:pPr>
              <w:tabs>
                <w:tab w:val="decimal" w:pos="314"/>
              </w:tabs>
              <w:jc w:val="center"/>
              <w:rPr>
                <w:rFonts w:ascii="Times New Roman" w:eastAsia="Calibri" w:hAnsi="Times New Roman" w:cs="Times New Roman"/>
              </w:rPr>
            </w:pPr>
            <w:r w:rsidRPr="00100AAC">
              <w:rPr>
                <w:rFonts w:ascii="Times New Roman" w:eastAsia="Calibri" w:hAnsi="Times New Roman" w:cs="Times New Roman"/>
              </w:rPr>
              <w:t>54.4</w:t>
            </w:r>
          </w:p>
        </w:tc>
        <w:tc>
          <w:tcPr>
            <w:tcW w:w="851" w:type="dxa"/>
            <w:tcBorders>
              <w:top w:val="nil"/>
              <w:left w:val="nil"/>
              <w:bottom w:val="single" w:sz="4" w:space="0" w:color="auto"/>
              <w:right w:val="nil"/>
            </w:tcBorders>
          </w:tcPr>
          <w:p w14:paraId="0988AD65" w14:textId="77777777" w:rsidR="003F73E3" w:rsidRPr="00100AAC" w:rsidRDefault="003F73E3" w:rsidP="003F73E3">
            <w:pPr>
              <w:tabs>
                <w:tab w:val="decimal" w:pos="270"/>
              </w:tabs>
              <w:jc w:val="center"/>
              <w:rPr>
                <w:rFonts w:ascii="Times New Roman" w:eastAsia="Calibri" w:hAnsi="Times New Roman" w:cs="Times New Roman"/>
              </w:rPr>
            </w:pPr>
            <w:r w:rsidRPr="00100AAC">
              <w:rPr>
                <w:rFonts w:ascii="Times New Roman" w:eastAsia="Calibri" w:hAnsi="Times New Roman" w:cs="Times New Roman"/>
              </w:rPr>
              <w:t>0.9</w:t>
            </w:r>
          </w:p>
        </w:tc>
        <w:tc>
          <w:tcPr>
            <w:tcW w:w="799" w:type="dxa"/>
            <w:tcBorders>
              <w:top w:val="nil"/>
              <w:left w:val="nil"/>
              <w:bottom w:val="single" w:sz="4" w:space="0" w:color="auto"/>
              <w:right w:val="nil"/>
            </w:tcBorders>
          </w:tcPr>
          <w:p w14:paraId="5B70B3A9" w14:textId="77777777" w:rsidR="003F73E3" w:rsidRPr="00100AAC" w:rsidRDefault="003F73E3" w:rsidP="003F73E3">
            <w:pPr>
              <w:tabs>
                <w:tab w:val="decimal" w:pos="34"/>
              </w:tabs>
              <w:jc w:val="center"/>
              <w:rPr>
                <w:rFonts w:ascii="Times New Roman" w:eastAsia="Calibri" w:hAnsi="Times New Roman" w:cs="Times New Roman"/>
              </w:rPr>
            </w:pPr>
            <w:r w:rsidRPr="00100AAC">
              <w:rPr>
                <w:rFonts w:ascii="Times New Roman" w:eastAsia="Calibri" w:hAnsi="Times New Roman" w:cs="Times New Roman"/>
              </w:rPr>
              <w:t>2.1</w:t>
            </w:r>
          </w:p>
        </w:tc>
      </w:tr>
    </w:tbl>
    <w:p w14:paraId="3336A614" w14:textId="77777777" w:rsidR="003F73E3" w:rsidRPr="00100AAC" w:rsidRDefault="003F73E3" w:rsidP="003F73E3">
      <w:pPr>
        <w:suppressLineNumbers/>
        <w:spacing w:after="0" w:line="240" w:lineRule="auto"/>
        <w:rPr>
          <w:rFonts w:ascii="Times New Roman" w:eastAsia="Calibri" w:hAnsi="Times New Roman" w:cs="Times New Roman"/>
          <w:color w:val="FF0000"/>
          <w:sz w:val="10"/>
          <w:szCs w:val="10"/>
        </w:rPr>
      </w:pPr>
    </w:p>
    <w:p w14:paraId="528E0B9B" w14:textId="77777777" w:rsidR="003F73E3" w:rsidRPr="003F73E3" w:rsidRDefault="003F73E3" w:rsidP="003F73E3">
      <w:pPr>
        <w:suppressLineNumbers/>
        <w:spacing w:after="160" w:line="259" w:lineRule="auto"/>
        <w:contextualSpacing/>
        <w:rPr>
          <w:rFonts w:ascii="Times New Roman" w:eastAsia="Calibri" w:hAnsi="Times New Roman" w:cs="Times New Roman"/>
          <w:color w:val="FF0000"/>
        </w:rPr>
      </w:pPr>
      <w:r w:rsidRPr="00100AAC">
        <w:rPr>
          <w:rFonts w:ascii="Times New Roman" w:eastAsia="Calibri" w:hAnsi="Times New Roman" w:cs="Times New Roman"/>
        </w:rPr>
        <w:t>Note: *</w:t>
      </w:r>
      <w:r w:rsidRPr="00100AAC">
        <w:rPr>
          <w:rFonts w:ascii="Times New Roman" w:eastAsia="Calibri" w:hAnsi="Times New Roman" w:cs="Times New Roman"/>
          <w:i/>
          <w:iCs/>
        </w:rPr>
        <w:t>N</w:t>
      </w:r>
      <w:r w:rsidRPr="00100AAC">
        <w:rPr>
          <w:rFonts w:ascii="Times New Roman" w:eastAsia="Calibri" w:hAnsi="Times New Roman" w:cs="Times New Roman"/>
        </w:rPr>
        <w:t xml:space="preserve"> &gt; 57 due to participants being able to choose multiple response options to survey question</w:t>
      </w:r>
      <w:r w:rsidRPr="003F73E3">
        <w:rPr>
          <w:rFonts w:ascii="Times New Roman" w:eastAsia="Calibri" w:hAnsi="Times New Roman" w:cs="Times New Roman"/>
        </w:rPr>
        <w:t xml:space="preserve"> </w:t>
      </w:r>
    </w:p>
    <w:p w14:paraId="11554DB2" w14:textId="77777777" w:rsidR="00AB35A3" w:rsidRPr="00AB35A3" w:rsidRDefault="00AB35A3" w:rsidP="00AB35A3">
      <w:pPr>
        <w:suppressLineNumbers/>
        <w:spacing w:after="160" w:line="259" w:lineRule="auto"/>
        <w:rPr>
          <w:rFonts w:ascii="Calibri" w:eastAsia="Calibri" w:hAnsi="Calibri" w:cs="Times New Roman"/>
          <w:color w:val="FF0000"/>
        </w:rPr>
      </w:pPr>
    </w:p>
    <w:p w14:paraId="634E6DDF" w14:textId="6C98BDD8" w:rsidR="00AB35A3" w:rsidRDefault="00AB35A3" w:rsidP="00AB35A3">
      <w:pPr>
        <w:suppressLineNumbers/>
        <w:spacing w:after="0" w:line="240" w:lineRule="auto"/>
        <w:ind w:left="720" w:hanging="720"/>
        <w:jc w:val="both"/>
        <w:rPr>
          <w:rFonts w:ascii="Times New Roman" w:hAnsi="Times New Roman" w:cs="Times New Roman"/>
          <w:sz w:val="24"/>
          <w:szCs w:val="24"/>
        </w:rPr>
      </w:pPr>
    </w:p>
    <w:p w14:paraId="78A29434" w14:textId="77777777" w:rsidR="003F73E3" w:rsidRPr="00187907" w:rsidRDefault="003F73E3" w:rsidP="00AB35A3">
      <w:pPr>
        <w:suppressLineNumbers/>
        <w:spacing w:after="0" w:line="240" w:lineRule="auto"/>
        <w:ind w:left="720" w:hanging="720"/>
        <w:jc w:val="both"/>
        <w:rPr>
          <w:rFonts w:ascii="Times New Roman" w:hAnsi="Times New Roman" w:cs="Times New Roman"/>
          <w:sz w:val="24"/>
          <w:szCs w:val="24"/>
        </w:rPr>
      </w:pPr>
    </w:p>
    <w:sectPr w:rsidR="003F73E3" w:rsidRPr="00187907" w:rsidSect="00DA3DF7">
      <w:footerReference w:type="default" r:id="rId42"/>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F392" w14:textId="77777777" w:rsidR="00EE5ECB" w:rsidRDefault="00EE5ECB" w:rsidP="00EE5ECB">
      <w:pPr>
        <w:spacing w:after="0" w:line="240" w:lineRule="auto"/>
      </w:pPr>
      <w:r>
        <w:separator/>
      </w:r>
    </w:p>
  </w:endnote>
  <w:endnote w:type="continuationSeparator" w:id="0">
    <w:p w14:paraId="67F90F5D" w14:textId="77777777" w:rsidR="00EE5ECB" w:rsidRDefault="00EE5ECB" w:rsidP="00EE5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615659"/>
      <w:docPartObj>
        <w:docPartGallery w:val="Page Numbers (Bottom of Page)"/>
        <w:docPartUnique/>
      </w:docPartObj>
    </w:sdtPr>
    <w:sdtEndPr>
      <w:rPr>
        <w:rFonts w:ascii="Times New Roman" w:hAnsi="Times New Roman" w:cs="Times New Roman"/>
        <w:noProof/>
      </w:rPr>
    </w:sdtEndPr>
    <w:sdtContent>
      <w:p w14:paraId="18113B16" w14:textId="1276E604" w:rsidR="00EE5ECB" w:rsidRPr="00EE5ECB" w:rsidRDefault="00EE5ECB">
        <w:pPr>
          <w:pStyle w:val="Footer"/>
          <w:jc w:val="right"/>
          <w:rPr>
            <w:rFonts w:ascii="Times New Roman" w:hAnsi="Times New Roman" w:cs="Times New Roman"/>
          </w:rPr>
        </w:pPr>
        <w:r w:rsidRPr="00EE5ECB">
          <w:rPr>
            <w:rFonts w:ascii="Times New Roman" w:hAnsi="Times New Roman" w:cs="Times New Roman"/>
          </w:rPr>
          <w:fldChar w:fldCharType="begin"/>
        </w:r>
        <w:r w:rsidRPr="00EE5ECB">
          <w:rPr>
            <w:rFonts w:ascii="Times New Roman" w:hAnsi="Times New Roman" w:cs="Times New Roman"/>
          </w:rPr>
          <w:instrText xml:space="preserve"> PAGE   \* MERGEFORMAT </w:instrText>
        </w:r>
        <w:r w:rsidRPr="00EE5ECB">
          <w:rPr>
            <w:rFonts w:ascii="Times New Roman" w:hAnsi="Times New Roman" w:cs="Times New Roman"/>
          </w:rPr>
          <w:fldChar w:fldCharType="separate"/>
        </w:r>
        <w:r w:rsidRPr="00EE5ECB">
          <w:rPr>
            <w:rFonts w:ascii="Times New Roman" w:hAnsi="Times New Roman" w:cs="Times New Roman"/>
            <w:noProof/>
          </w:rPr>
          <w:t>2</w:t>
        </w:r>
        <w:r w:rsidRPr="00EE5ECB">
          <w:rPr>
            <w:rFonts w:ascii="Times New Roman" w:hAnsi="Times New Roman" w:cs="Times New Roman"/>
            <w:noProof/>
          </w:rPr>
          <w:fldChar w:fldCharType="end"/>
        </w:r>
      </w:p>
    </w:sdtContent>
  </w:sdt>
  <w:p w14:paraId="0B3DD27B" w14:textId="77777777" w:rsidR="00EE5ECB" w:rsidRDefault="00EE5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0CDC6" w14:textId="77777777" w:rsidR="00EE5ECB" w:rsidRDefault="00EE5ECB" w:rsidP="00EE5ECB">
      <w:pPr>
        <w:spacing w:after="0" w:line="240" w:lineRule="auto"/>
      </w:pPr>
      <w:r>
        <w:separator/>
      </w:r>
    </w:p>
  </w:footnote>
  <w:footnote w:type="continuationSeparator" w:id="0">
    <w:p w14:paraId="1412F502" w14:textId="77777777" w:rsidR="00EE5ECB" w:rsidRDefault="00EE5ECB" w:rsidP="00EE5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FE1"/>
    <w:multiLevelType w:val="hybridMultilevel"/>
    <w:tmpl w:val="628A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31DC6"/>
    <w:multiLevelType w:val="hybridMultilevel"/>
    <w:tmpl w:val="28F2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701D2"/>
    <w:multiLevelType w:val="hybridMultilevel"/>
    <w:tmpl w:val="DA92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41590"/>
    <w:multiLevelType w:val="hybridMultilevel"/>
    <w:tmpl w:val="B51C9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12764"/>
    <w:multiLevelType w:val="hybridMultilevel"/>
    <w:tmpl w:val="D1BA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73120"/>
    <w:multiLevelType w:val="hybridMultilevel"/>
    <w:tmpl w:val="A5DA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042B7"/>
    <w:multiLevelType w:val="hybridMultilevel"/>
    <w:tmpl w:val="4D44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A1CF8"/>
    <w:multiLevelType w:val="hybridMultilevel"/>
    <w:tmpl w:val="15B64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2579B"/>
    <w:multiLevelType w:val="hybridMultilevel"/>
    <w:tmpl w:val="E0C6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9E57B3"/>
    <w:multiLevelType w:val="hybridMultilevel"/>
    <w:tmpl w:val="6C94C568"/>
    <w:lvl w:ilvl="0" w:tplc="E044437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0745AC"/>
    <w:multiLevelType w:val="multilevel"/>
    <w:tmpl w:val="519C36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CE5C8F"/>
    <w:multiLevelType w:val="hybridMultilevel"/>
    <w:tmpl w:val="313E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047BFE"/>
    <w:multiLevelType w:val="hybridMultilevel"/>
    <w:tmpl w:val="1964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B7A0B"/>
    <w:multiLevelType w:val="hybridMultilevel"/>
    <w:tmpl w:val="B5DA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2D422F"/>
    <w:multiLevelType w:val="hybridMultilevel"/>
    <w:tmpl w:val="4D96DF5C"/>
    <w:lvl w:ilvl="0" w:tplc="7438F86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227D74"/>
    <w:multiLevelType w:val="hybridMultilevel"/>
    <w:tmpl w:val="0BF2C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1E5AC3"/>
    <w:multiLevelType w:val="hybridMultilevel"/>
    <w:tmpl w:val="50E60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870591"/>
    <w:multiLevelType w:val="hybridMultilevel"/>
    <w:tmpl w:val="6D34C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E00060"/>
    <w:multiLevelType w:val="hybridMultilevel"/>
    <w:tmpl w:val="CCDA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B7744A"/>
    <w:multiLevelType w:val="hybridMultilevel"/>
    <w:tmpl w:val="1DFC920A"/>
    <w:lvl w:ilvl="0" w:tplc="0DA83AC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537233"/>
    <w:multiLevelType w:val="hybridMultilevel"/>
    <w:tmpl w:val="AF5A8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9496135">
    <w:abstractNumId w:val="5"/>
  </w:num>
  <w:num w:numId="2" w16cid:durableId="1405951530">
    <w:abstractNumId w:val="6"/>
  </w:num>
  <w:num w:numId="3" w16cid:durableId="1857228114">
    <w:abstractNumId w:val="16"/>
  </w:num>
  <w:num w:numId="4" w16cid:durableId="1825001803">
    <w:abstractNumId w:val="20"/>
  </w:num>
  <w:num w:numId="5" w16cid:durableId="890725510">
    <w:abstractNumId w:val="17"/>
  </w:num>
  <w:num w:numId="6" w16cid:durableId="198200121">
    <w:abstractNumId w:val="12"/>
  </w:num>
  <w:num w:numId="7" w16cid:durableId="48967342">
    <w:abstractNumId w:val="7"/>
  </w:num>
  <w:num w:numId="8" w16cid:durableId="738290079">
    <w:abstractNumId w:val="11"/>
  </w:num>
  <w:num w:numId="9" w16cid:durableId="551501350">
    <w:abstractNumId w:val="4"/>
  </w:num>
  <w:num w:numId="10" w16cid:durableId="624847667">
    <w:abstractNumId w:val="0"/>
  </w:num>
  <w:num w:numId="11" w16cid:durableId="470756004">
    <w:abstractNumId w:val="18"/>
  </w:num>
  <w:num w:numId="12" w16cid:durableId="185870746">
    <w:abstractNumId w:val="13"/>
  </w:num>
  <w:num w:numId="13" w16cid:durableId="237062902">
    <w:abstractNumId w:val="3"/>
  </w:num>
  <w:num w:numId="14" w16cid:durableId="963657771">
    <w:abstractNumId w:val="15"/>
  </w:num>
  <w:num w:numId="15" w16cid:durableId="1318387929">
    <w:abstractNumId w:val="10"/>
  </w:num>
  <w:num w:numId="16" w16cid:durableId="648633786">
    <w:abstractNumId w:val="9"/>
  </w:num>
  <w:num w:numId="17" w16cid:durableId="1428428046">
    <w:abstractNumId w:val="14"/>
  </w:num>
  <w:num w:numId="18" w16cid:durableId="1653754096">
    <w:abstractNumId w:val="1"/>
  </w:num>
  <w:num w:numId="19" w16cid:durableId="2077968045">
    <w:abstractNumId w:val="8"/>
  </w:num>
  <w:num w:numId="20" w16cid:durableId="1334144839">
    <w:abstractNumId w:val="2"/>
  </w:num>
  <w:num w:numId="21" w16cid:durableId="6049633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57"/>
    <w:rsid w:val="00004775"/>
    <w:rsid w:val="000074C1"/>
    <w:rsid w:val="00007934"/>
    <w:rsid w:val="000129B3"/>
    <w:rsid w:val="000134C1"/>
    <w:rsid w:val="0001654A"/>
    <w:rsid w:val="0002453D"/>
    <w:rsid w:val="00024CA0"/>
    <w:rsid w:val="00024E00"/>
    <w:rsid w:val="000320F4"/>
    <w:rsid w:val="00035390"/>
    <w:rsid w:val="000378AA"/>
    <w:rsid w:val="000423C6"/>
    <w:rsid w:val="000454CC"/>
    <w:rsid w:val="000559FA"/>
    <w:rsid w:val="00060F0F"/>
    <w:rsid w:val="00064905"/>
    <w:rsid w:val="00066191"/>
    <w:rsid w:val="00080D02"/>
    <w:rsid w:val="00083429"/>
    <w:rsid w:val="0009164B"/>
    <w:rsid w:val="00096DA6"/>
    <w:rsid w:val="000A061C"/>
    <w:rsid w:val="000B3CE7"/>
    <w:rsid w:val="000C1C47"/>
    <w:rsid w:val="000C3AA9"/>
    <w:rsid w:val="000C4209"/>
    <w:rsid w:val="000D073B"/>
    <w:rsid w:val="000D49E2"/>
    <w:rsid w:val="000D5824"/>
    <w:rsid w:val="000D6F9D"/>
    <w:rsid w:val="000E2ED8"/>
    <w:rsid w:val="000E3F39"/>
    <w:rsid w:val="000F67FB"/>
    <w:rsid w:val="00100AAC"/>
    <w:rsid w:val="001011A6"/>
    <w:rsid w:val="00104A1D"/>
    <w:rsid w:val="00112921"/>
    <w:rsid w:val="00112AA9"/>
    <w:rsid w:val="00120A93"/>
    <w:rsid w:val="001210BD"/>
    <w:rsid w:val="001221B6"/>
    <w:rsid w:val="00127B14"/>
    <w:rsid w:val="00130132"/>
    <w:rsid w:val="001319AC"/>
    <w:rsid w:val="00133C19"/>
    <w:rsid w:val="001372A6"/>
    <w:rsid w:val="00137555"/>
    <w:rsid w:val="00141A86"/>
    <w:rsid w:val="00147496"/>
    <w:rsid w:val="00147619"/>
    <w:rsid w:val="0015094B"/>
    <w:rsid w:val="00151180"/>
    <w:rsid w:val="00160AF9"/>
    <w:rsid w:val="00167B06"/>
    <w:rsid w:val="001714E4"/>
    <w:rsid w:val="0018130E"/>
    <w:rsid w:val="001850FC"/>
    <w:rsid w:val="00187907"/>
    <w:rsid w:val="001906E9"/>
    <w:rsid w:val="00190E46"/>
    <w:rsid w:val="00196ABC"/>
    <w:rsid w:val="00196FCF"/>
    <w:rsid w:val="001A0EC6"/>
    <w:rsid w:val="001A5287"/>
    <w:rsid w:val="001A717E"/>
    <w:rsid w:val="001B1011"/>
    <w:rsid w:val="001B34F6"/>
    <w:rsid w:val="001B7603"/>
    <w:rsid w:val="001B7ACC"/>
    <w:rsid w:val="001C76CA"/>
    <w:rsid w:val="001C7E70"/>
    <w:rsid w:val="001D1E9F"/>
    <w:rsid w:val="001D620C"/>
    <w:rsid w:val="001D7604"/>
    <w:rsid w:val="001D7DF2"/>
    <w:rsid w:val="001E3409"/>
    <w:rsid w:val="001E3664"/>
    <w:rsid w:val="001E62D2"/>
    <w:rsid w:val="001E79F4"/>
    <w:rsid w:val="00203A76"/>
    <w:rsid w:val="00226E36"/>
    <w:rsid w:val="00231C40"/>
    <w:rsid w:val="00247723"/>
    <w:rsid w:val="002521C8"/>
    <w:rsid w:val="002542C4"/>
    <w:rsid w:val="00266B3D"/>
    <w:rsid w:val="00270683"/>
    <w:rsid w:val="0027591F"/>
    <w:rsid w:val="00280C76"/>
    <w:rsid w:val="0028325C"/>
    <w:rsid w:val="002901AA"/>
    <w:rsid w:val="002A1F38"/>
    <w:rsid w:val="002A2476"/>
    <w:rsid w:val="002A2574"/>
    <w:rsid w:val="002A48C9"/>
    <w:rsid w:val="002A7E80"/>
    <w:rsid w:val="002C725D"/>
    <w:rsid w:val="002D35B5"/>
    <w:rsid w:val="002E5B7B"/>
    <w:rsid w:val="002F3CC8"/>
    <w:rsid w:val="002F3EE9"/>
    <w:rsid w:val="002F4821"/>
    <w:rsid w:val="002F5F4F"/>
    <w:rsid w:val="00300ABD"/>
    <w:rsid w:val="00301228"/>
    <w:rsid w:val="00310410"/>
    <w:rsid w:val="00314BA8"/>
    <w:rsid w:val="0032284D"/>
    <w:rsid w:val="00322C6A"/>
    <w:rsid w:val="00333718"/>
    <w:rsid w:val="0033785A"/>
    <w:rsid w:val="003410A2"/>
    <w:rsid w:val="003435A9"/>
    <w:rsid w:val="00343F5D"/>
    <w:rsid w:val="0034473D"/>
    <w:rsid w:val="00347297"/>
    <w:rsid w:val="00352D27"/>
    <w:rsid w:val="00355E95"/>
    <w:rsid w:val="00356B57"/>
    <w:rsid w:val="00357F89"/>
    <w:rsid w:val="00363CC7"/>
    <w:rsid w:val="0036486F"/>
    <w:rsid w:val="00371B88"/>
    <w:rsid w:val="00374918"/>
    <w:rsid w:val="00375454"/>
    <w:rsid w:val="00375F1C"/>
    <w:rsid w:val="00376020"/>
    <w:rsid w:val="0037640B"/>
    <w:rsid w:val="00376A64"/>
    <w:rsid w:val="00384DA9"/>
    <w:rsid w:val="0038641D"/>
    <w:rsid w:val="00393E33"/>
    <w:rsid w:val="003946C8"/>
    <w:rsid w:val="003A1FE4"/>
    <w:rsid w:val="003A3AF2"/>
    <w:rsid w:val="003A5D56"/>
    <w:rsid w:val="003B3B3D"/>
    <w:rsid w:val="003C1349"/>
    <w:rsid w:val="003C1B12"/>
    <w:rsid w:val="003D1EF0"/>
    <w:rsid w:val="003D2624"/>
    <w:rsid w:val="003D6ADB"/>
    <w:rsid w:val="003E05BE"/>
    <w:rsid w:val="003F1728"/>
    <w:rsid w:val="003F1C90"/>
    <w:rsid w:val="003F33D4"/>
    <w:rsid w:val="003F38B2"/>
    <w:rsid w:val="003F73E3"/>
    <w:rsid w:val="0040057E"/>
    <w:rsid w:val="00401EAD"/>
    <w:rsid w:val="004020B2"/>
    <w:rsid w:val="00402A60"/>
    <w:rsid w:val="004049EC"/>
    <w:rsid w:val="0041233C"/>
    <w:rsid w:val="004136A6"/>
    <w:rsid w:val="00414A8E"/>
    <w:rsid w:val="0041786E"/>
    <w:rsid w:val="004200B1"/>
    <w:rsid w:val="0042164D"/>
    <w:rsid w:val="004220C2"/>
    <w:rsid w:val="00422242"/>
    <w:rsid w:val="004339DD"/>
    <w:rsid w:val="00435CE3"/>
    <w:rsid w:val="00451212"/>
    <w:rsid w:val="00451CC2"/>
    <w:rsid w:val="004536C9"/>
    <w:rsid w:val="00453B18"/>
    <w:rsid w:val="00460890"/>
    <w:rsid w:val="004646A8"/>
    <w:rsid w:val="004652F4"/>
    <w:rsid w:val="00466CCE"/>
    <w:rsid w:val="00495A4A"/>
    <w:rsid w:val="0049609A"/>
    <w:rsid w:val="004A4C41"/>
    <w:rsid w:val="004B3487"/>
    <w:rsid w:val="004B431D"/>
    <w:rsid w:val="004B515F"/>
    <w:rsid w:val="004B7B51"/>
    <w:rsid w:val="004C2284"/>
    <w:rsid w:val="004C370A"/>
    <w:rsid w:val="004C55BF"/>
    <w:rsid w:val="004D5CFF"/>
    <w:rsid w:val="004D7EBE"/>
    <w:rsid w:val="004E3765"/>
    <w:rsid w:val="004F0C5D"/>
    <w:rsid w:val="004F27FC"/>
    <w:rsid w:val="004F30F0"/>
    <w:rsid w:val="0050031C"/>
    <w:rsid w:val="00500D09"/>
    <w:rsid w:val="00513038"/>
    <w:rsid w:val="0051640E"/>
    <w:rsid w:val="005203F4"/>
    <w:rsid w:val="00526B4A"/>
    <w:rsid w:val="0053572F"/>
    <w:rsid w:val="005460DC"/>
    <w:rsid w:val="00557E85"/>
    <w:rsid w:val="0056679A"/>
    <w:rsid w:val="005718C5"/>
    <w:rsid w:val="005727D0"/>
    <w:rsid w:val="00575283"/>
    <w:rsid w:val="0057597B"/>
    <w:rsid w:val="00576CFE"/>
    <w:rsid w:val="005775AD"/>
    <w:rsid w:val="00592D5D"/>
    <w:rsid w:val="005939AE"/>
    <w:rsid w:val="00597D41"/>
    <w:rsid w:val="005A03BB"/>
    <w:rsid w:val="005B5A34"/>
    <w:rsid w:val="005C0C29"/>
    <w:rsid w:val="005C263B"/>
    <w:rsid w:val="005D299C"/>
    <w:rsid w:val="005D3F18"/>
    <w:rsid w:val="005F3BEE"/>
    <w:rsid w:val="005F3E0A"/>
    <w:rsid w:val="005F4A21"/>
    <w:rsid w:val="0060331B"/>
    <w:rsid w:val="00604DFB"/>
    <w:rsid w:val="00605CD6"/>
    <w:rsid w:val="00610714"/>
    <w:rsid w:val="00621D7D"/>
    <w:rsid w:val="006259F0"/>
    <w:rsid w:val="006259F1"/>
    <w:rsid w:val="00626AFB"/>
    <w:rsid w:val="00634358"/>
    <w:rsid w:val="00635A4C"/>
    <w:rsid w:val="006532A0"/>
    <w:rsid w:val="006536B2"/>
    <w:rsid w:val="0065783C"/>
    <w:rsid w:val="00665FC8"/>
    <w:rsid w:val="00666432"/>
    <w:rsid w:val="00671921"/>
    <w:rsid w:val="00673EFC"/>
    <w:rsid w:val="00680C3D"/>
    <w:rsid w:val="0068372C"/>
    <w:rsid w:val="006910F8"/>
    <w:rsid w:val="00691768"/>
    <w:rsid w:val="00694C16"/>
    <w:rsid w:val="00695EB2"/>
    <w:rsid w:val="006A5A85"/>
    <w:rsid w:val="006B706D"/>
    <w:rsid w:val="006B753F"/>
    <w:rsid w:val="006B768E"/>
    <w:rsid w:val="006C00DC"/>
    <w:rsid w:val="006C3EAB"/>
    <w:rsid w:val="006C7A17"/>
    <w:rsid w:val="006E0C0F"/>
    <w:rsid w:val="006E301D"/>
    <w:rsid w:val="006F2CE6"/>
    <w:rsid w:val="006F3A79"/>
    <w:rsid w:val="006F6572"/>
    <w:rsid w:val="006F6BF5"/>
    <w:rsid w:val="006F6D26"/>
    <w:rsid w:val="00701884"/>
    <w:rsid w:val="00702197"/>
    <w:rsid w:val="00711A1B"/>
    <w:rsid w:val="00720BCE"/>
    <w:rsid w:val="00724737"/>
    <w:rsid w:val="007270B1"/>
    <w:rsid w:val="00736CEA"/>
    <w:rsid w:val="007374F8"/>
    <w:rsid w:val="007402E6"/>
    <w:rsid w:val="00744932"/>
    <w:rsid w:val="00744C4B"/>
    <w:rsid w:val="00745A49"/>
    <w:rsid w:val="0075055D"/>
    <w:rsid w:val="00751B12"/>
    <w:rsid w:val="007674CD"/>
    <w:rsid w:val="00772CC5"/>
    <w:rsid w:val="00773457"/>
    <w:rsid w:val="00783D7C"/>
    <w:rsid w:val="00791834"/>
    <w:rsid w:val="007958E9"/>
    <w:rsid w:val="007A0280"/>
    <w:rsid w:val="007A0882"/>
    <w:rsid w:val="007B1CC6"/>
    <w:rsid w:val="007C2343"/>
    <w:rsid w:val="007C43C4"/>
    <w:rsid w:val="007C7E00"/>
    <w:rsid w:val="007E2239"/>
    <w:rsid w:val="007E26AA"/>
    <w:rsid w:val="007E5B0B"/>
    <w:rsid w:val="007E6010"/>
    <w:rsid w:val="007F3765"/>
    <w:rsid w:val="007F4083"/>
    <w:rsid w:val="007F4776"/>
    <w:rsid w:val="00807140"/>
    <w:rsid w:val="008242D7"/>
    <w:rsid w:val="008261ED"/>
    <w:rsid w:val="00827EB3"/>
    <w:rsid w:val="00835D19"/>
    <w:rsid w:val="0083715F"/>
    <w:rsid w:val="00840156"/>
    <w:rsid w:val="008456B0"/>
    <w:rsid w:val="00851BEF"/>
    <w:rsid w:val="008547CB"/>
    <w:rsid w:val="0086671A"/>
    <w:rsid w:val="008678CC"/>
    <w:rsid w:val="008743A7"/>
    <w:rsid w:val="00881AC7"/>
    <w:rsid w:val="00881F69"/>
    <w:rsid w:val="008866F9"/>
    <w:rsid w:val="008966FF"/>
    <w:rsid w:val="00896F7C"/>
    <w:rsid w:val="008A08A6"/>
    <w:rsid w:val="008A234E"/>
    <w:rsid w:val="008A7DCC"/>
    <w:rsid w:val="008B0989"/>
    <w:rsid w:val="008C526B"/>
    <w:rsid w:val="008C6AD5"/>
    <w:rsid w:val="008E2B92"/>
    <w:rsid w:val="008E76CF"/>
    <w:rsid w:val="008F3612"/>
    <w:rsid w:val="008F4DAF"/>
    <w:rsid w:val="0090028A"/>
    <w:rsid w:val="00901692"/>
    <w:rsid w:val="00905075"/>
    <w:rsid w:val="00905856"/>
    <w:rsid w:val="009076FC"/>
    <w:rsid w:val="0091739B"/>
    <w:rsid w:val="00923D90"/>
    <w:rsid w:val="0092708E"/>
    <w:rsid w:val="00927DC7"/>
    <w:rsid w:val="009303B2"/>
    <w:rsid w:val="009304DE"/>
    <w:rsid w:val="00935FD9"/>
    <w:rsid w:val="009410C5"/>
    <w:rsid w:val="0094129F"/>
    <w:rsid w:val="009425BA"/>
    <w:rsid w:val="00944882"/>
    <w:rsid w:val="00947D9E"/>
    <w:rsid w:val="00961C0B"/>
    <w:rsid w:val="00962471"/>
    <w:rsid w:val="009667BA"/>
    <w:rsid w:val="00976A71"/>
    <w:rsid w:val="00992B06"/>
    <w:rsid w:val="009960B3"/>
    <w:rsid w:val="00996E47"/>
    <w:rsid w:val="009A4B72"/>
    <w:rsid w:val="009B0A0D"/>
    <w:rsid w:val="009B493A"/>
    <w:rsid w:val="009C2295"/>
    <w:rsid w:val="009C680F"/>
    <w:rsid w:val="009D0697"/>
    <w:rsid w:val="009D23C2"/>
    <w:rsid w:val="009D2497"/>
    <w:rsid w:val="009D3BFB"/>
    <w:rsid w:val="009E1FE4"/>
    <w:rsid w:val="009E3B6B"/>
    <w:rsid w:val="009F6F18"/>
    <w:rsid w:val="009F715A"/>
    <w:rsid w:val="00A010F1"/>
    <w:rsid w:val="00A0335A"/>
    <w:rsid w:val="00A05698"/>
    <w:rsid w:val="00A05B4E"/>
    <w:rsid w:val="00A06DA4"/>
    <w:rsid w:val="00A14C64"/>
    <w:rsid w:val="00A15192"/>
    <w:rsid w:val="00A1582A"/>
    <w:rsid w:val="00A313C1"/>
    <w:rsid w:val="00A33B36"/>
    <w:rsid w:val="00A36D0A"/>
    <w:rsid w:val="00A4419E"/>
    <w:rsid w:val="00A53F5F"/>
    <w:rsid w:val="00A623A7"/>
    <w:rsid w:val="00A81605"/>
    <w:rsid w:val="00A82EAA"/>
    <w:rsid w:val="00A8523F"/>
    <w:rsid w:val="00A87A74"/>
    <w:rsid w:val="00A97F07"/>
    <w:rsid w:val="00AA01B5"/>
    <w:rsid w:val="00AA1152"/>
    <w:rsid w:val="00AB35A3"/>
    <w:rsid w:val="00AB76E7"/>
    <w:rsid w:val="00AC5830"/>
    <w:rsid w:val="00AC694C"/>
    <w:rsid w:val="00AE16FA"/>
    <w:rsid w:val="00AE3D61"/>
    <w:rsid w:val="00AE73EB"/>
    <w:rsid w:val="00AE7EAE"/>
    <w:rsid w:val="00AF12ED"/>
    <w:rsid w:val="00AF1725"/>
    <w:rsid w:val="00B0027F"/>
    <w:rsid w:val="00B114CE"/>
    <w:rsid w:val="00B129AA"/>
    <w:rsid w:val="00B129D8"/>
    <w:rsid w:val="00B2263F"/>
    <w:rsid w:val="00B3417C"/>
    <w:rsid w:val="00B363FC"/>
    <w:rsid w:val="00B61836"/>
    <w:rsid w:val="00B64ED0"/>
    <w:rsid w:val="00B6561A"/>
    <w:rsid w:val="00B731DF"/>
    <w:rsid w:val="00B806D7"/>
    <w:rsid w:val="00B83B44"/>
    <w:rsid w:val="00B91E84"/>
    <w:rsid w:val="00B9568B"/>
    <w:rsid w:val="00B96FF7"/>
    <w:rsid w:val="00B97ECC"/>
    <w:rsid w:val="00BB0F01"/>
    <w:rsid w:val="00BC468F"/>
    <w:rsid w:val="00BD4F11"/>
    <w:rsid w:val="00BE40B9"/>
    <w:rsid w:val="00BE6585"/>
    <w:rsid w:val="00BF0E58"/>
    <w:rsid w:val="00BF169F"/>
    <w:rsid w:val="00BF651E"/>
    <w:rsid w:val="00C16830"/>
    <w:rsid w:val="00C168EF"/>
    <w:rsid w:val="00C16A7D"/>
    <w:rsid w:val="00C27620"/>
    <w:rsid w:val="00C4576B"/>
    <w:rsid w:val="00C54BBB"/>
    <w:rsid w:val="00C60276"/>
    <w:rsid w:val="00C60C77"/>
    <w:rsid w:val="00C753D4"/>
    <w:rsid w:val="00C841EB"/>
    <w:rsid w:val="00C84281"/>
    <w:rsid w:val="00C869A1"/>
    <w:rsid w:val="00C8786D"/>
    <w:rsid w:val="00C920D5"/>
    <w:rsid w:val="00C934C2"/>
    <w:rsid w:val="00CA0AE8"/>
    <w:rsid w:val="00CA470E"/>
    <w:rsid w:val="00CB0A60"/>
    <w:rsid w:val="00CB23F8"/>
    <w:rsid w:val="00CB2C50"/>
    <w:rsid w:val="00CB5572"/>
    <w:rsid w:val="00CC03C1"/>
    <w:rsid w:val="00CC535D"/>
    <w:rsid w:val="00CC7880"/>
    <w:rsid w:val="00CD0DB5"/>
    <w:rsid w:val="00CD1B63"/>
    <w:rsid w:val="00CD41E3"/>
    <w:rsid w:val="00CD78D0"/>
    <w:rsid w:val="00CD7BD3"/>
    <w:rsid w:val="00CE12A3"/>
    <w:rsid w:val="00CE6CB1"/>
    <w:rsid w:val="00CE6CF1"/>
    <w:rsid w:val="00CE714F"/>
    <w:rsid w:val="00CF3416"/>
    <w:rsid w:val="00CF532D"/>
    <w:rsid w:val="00CF58AB"/>
    <w:rsid w:val="00D00538"/>
    <w:rsid w:val="00D073A0"/>
    <w:rsid w:val="00D16DF9"/>
    <w:rsid w:val="00D30B0B"/>
    <w:rsid w:val="00D30B30"/>
    <w:rsid w:val="00D40A55"/>
    <w:rsid w:val="00D6350C"/>
    <w:rsid w:val="00D6483B"/>
    <w:rsid w:val="00D67D4D"/>
    <w:rsid w:val="00D716A2"/>
    <w:rsid w:val="00D76944"/>
    <w:rsid w:val="00D84D89"/>
    <w:rsid w:val="00D85AF7"/>
    <w:rsid w:val="00D907F8"/>
    <w:rsid w:val="00DA3DF7"/>
    <w:rsid w:val="00DB12F0"/>
    <w:rsid w:val="00DB323B"/>
    <w:rsid w:val="00DB59B5"/>
    <w:rsid w:val="00DC0E8E"/>
    <w:rsid w:val="00DC2DBA"/>
    <w:rsid w:val="00DD402F"/>
    <w:rsid w:val="00E00EE0"/>
    <w:rsid w:val="00E050B2"/>
    <w:rsid w:val="00E10073"/>
    <w:rsid w:val="00E16297"/>
    <w:rsid w:val="00E1716D"/>
    <w:rsid w:val="00E21C79"/>
    <w:rsid w:val="00E240D2"/>
    <w:rsid w:val="00E24D8A"/>
    <w:rsid w:val="00E27049"/>
    <w:rsid w:val="00E313BE"/>
    <w:rsid w:val="00E358E0"/>
    <w:rsid w:val="00E438C8"/>
    <w:rsid w:val="00E43A6E"/>
    <w:rsid w:val="00E629F4"/>
    <w:rsid w:val="00E62CDA"/>
    <w:rsid w:val="00E707D3"/>
    <w:rsid w:val="00E70834"/>
    <w:rsid w:val="00E70D7B"/>
    <w:rsid w:val="00E725EB"/>
    <w:rsid w:val="00E73AF6"/>
    <w:rsid w:val="00E74FED"/>
    <w:rsid w:val="00E77A4D"/>
    <w:rsid w:val="00E915CE"/>
    <w:rsid w:val="00EA0716"/>
    <w:rsid w:val="00EA0E9A"/>
    <w:rsid w:val="00EA143A"/>
    <w:rsid w:val="00EA3FA8"/>
    <w:rsid w:val="00EA6B86"/>
    <w:rsid w:val="00EB1942"/>
    <w:rsid w:val="00EB591A"/>
    <w:rsid w:val="00EB5AB7"/>
    <w:rsid w:val="00EB62CB"/>
    <w:rsid w:val="00EB7832"/>
    <w:rsid w:val="00EB79AC"/>
    <w:rsid w:val="00EC35B3"/>
    <w:rsid w:val="00EC4F4D"/>
    <w:rsid w:val="00ED3068"/>
    <w:rsid w:val="00ED7C40"/>
    <w:rsid w:val="00EE24D9"/>
    <w:rsid w:val="00EE5ECB"/>
    <w:rsid w:val="00F00E4A"/>
    <w:rsid w:val="00F0162F"/>
    <w:rsid w:val="00F016F2"/>
    <w:rsid w:val="00F033FA"/>
    <w:rsid w:val="00F139E7"/>
    <w:rsid w:val="00F143CC"/>
    <w:rsid w:val="00F202A6"/>
    <w:rsid w:val="00F25DA4"/>
    <w:rsid w:val="00F27FE6"/>
    <w:rsid w:val="00F35D0A"/>
    <w:rsid w:val="00F41B61"/>
    <w:rsid w:val="00F47E15"/>
    <w:rsid w:val="00F57C62"/>
    <w:rsid w:val="00F624F5"/>
    <w:rsid w:val="00F640F7"/>
    <w:rsid w:val="00F70857"/>
    <w:rsid w:val="00F709DA"/>
    <w:rsid w:val="00F7546A"/>
    <w:rsid w:val="00F80332"/>
    <w:rsid w:val="00F82F16"/>
    <w:rsid w:val="00F832B3"/>
    <w:rsid w:val="00F854DE"/>
    <w:rsid w:val="00F91D34"/>
    <w:rsid w:val="00F91F13"/>
    <w:rsid w:val="00F933E3"/>
    <w:rsid w:val="00FA349F"/>
    <w:rsid w:val="00FA5D6F"/>
    <w:rsid w:val="00FB0E1E"/>
    <w:rsid w:val="00FC137D"/>
    <w:rsid w:val="00FC6525"/>
    <w:rsid w:val="00FD3027"/>
    <w:rsid w:val="00FD43DB"/>
    <w:rsid w:val="00FD7878"/>
    <w:rsid w:val="00FE7582"/>
    <w:rsid w:val="00FE7EFD"/>
    <w:rsid w:val="00FF130C"/>
    <w:rsid w:val="00FF2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460D"/>
  <w15:chartTrackingRefBased/>
  <w15:docId w15:val="{60D49E48-ADF6-4B55-9F84-F588B303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6B57"/>
    <w:rPr>
      <w:sz w:val="16"/>
      <w:szCs w:val="16"/>
    </w:rPr>
  </w:style>
  <w:style w:type="paragraph" w:styleId="CommentText">
    <w:name w:val="annotation text"/>
    <w:basedOn w:val="Normal"/>
    <w:link w:val="CommentTextChar"/>
    <w:uiPriority w:val="99"/>
    <w:unhideWhenUsed/>
    <w:rsid w:val="00356B57"/>
    <w:pPr>
      <w:spacing w:line="240" w:lineRule="auto"/>
    </w:pPr>
    <w:rPr>
      <w:sz w:val="20"/>
      <w:szCs w:val="20"/>
    </w:rPr>
  </w:style>
  <w:style w:type="character" w:customStyle="1" w:styleId="CommentTextChar">
    <w:name w:val="Comment Text Char"/>
    <w:basedOn w:val="DefaultParagraphFont"/>
    <w:link w:val="CommentText"/>
    <w:uiPriority w:val="99"/>
    <w:rsid w:val="00356B57"/>
    <w:rPr>
      <w:sz w:val="20"/>
      <w:szCs w:val="20"/>
    </w:rPr>
  </w:style>
  <w:style w:type="paragraph" w:customStyle="1" w:styleId="paragraph">
    <w:name w:val="paragraph"/>
    <w:basedOn w:val="Normal"/>
    <w:rsid w:val="00356B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56B57"/>
    <w:pPr>
      <w:ind w:left="720"/>
      <w:contextualSpacing/>
    </w:pPr>
  </w:style>
  <w:style w:type="paragraph" w:styleId="CommentSubject">
    <w:name w:val="annotation subject"/>
    <w:basedOn w:val="CommentText"/>
    <w:next w:val="CommentText"/>
    <w:link w:val="CommentSubjectChar"/>
    <w:uiPriority w:val="99"/>
    <w:semiHidden/>
    <w:unhideWhenUsed/>
    <w:rsid w:val="005D299C"/>
    <w:rPr>
      <w:b/>
      <w:bCs/>
    </w:rPr>
  </w:style>
  <w:style w:type="character" w:customStyle="1" w:styleId="CommentSubjectChar">
    <w:name w:val="Comment Subject Char"/>
    <w:basedOn w:val="CommentTextChar"/>
    <w:link w:val="CommentSubject"/>
    <w:uiPriority w:val="99"/>
    <w:semiHidden/>
    <w:rsid w:val="005D299C"/>
    <w:rPr>
      <w:b/>
      <w:bCs/>
      <w:sz w:val="20"/>
      <w:szCs w:val="20"/>
    </w:rPr>
  </w:style>
  <w:style w:type="table" w:styleId="TableGrid">
    <w:name w:val="Table Grid"/>
    <w:basedOn w:val="TableNormal"/>
    <w:uiPriority w:val="39"/>
    <w:rsid w:val="00EC4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A3DF7"/>
  </w:style>
  <w:style w:type="character" w:styleId="Hyperlink">
    <w:name w:val="Hyperlink"/>
    <w:basedOn w:val="DefaultParagraphFont"/>
    <w:uiPriority w:val="99"/>
    <w:unhideWhenUsed/>
    <w:rsid w:val="00357F89"/>
    <w:rPr>
      <w:color w:val="0000FF" w:themeColor="hyperlink"/>
      <w:u w:val="single"/>
    </w:rPr>
  </w:style>
  <w:style w:type="character" w:styleId="UnresolvedMention">
    <w:name w:val="Unresolved Mention"/>
    <w:basedOn w:val="DefaultParagraphFont"/>
    <w:uiPriority w:val="99"/>
    <w:semiHidden/>
    <w:unhideWhenUsed/>
    <w:rsid w:val="00357F89"/>
    <w:rPr>
      <w:color w:val="605E5C"/>
      <w:shd w:val="clear" w:color="auto" w:fill="E1DFDD"/>
    </w:rPr>
  </w:style>
  <w:style w:type="paragraph" w:styleId="Header">
    <w:name w:val="header"/>
    <w:basedOn w:val="Normal"/>
    <w:link w:val="HeaderChar"/>
    <w:uiPriority w:val="99"/>
    <w:unhideWhenUsed/>
    <w:rsid w:val="00EE5E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ECB"/>
  </w:style>
  <w:style w:type="paragraph" w:styleId="Footer">
    <w:name w:val="footer"/>
    <w:basedOn w:val="Normal"/>
    <w:link w:val="FooterChar"/>
    <w:uiPriority w:val="99"/>
    <w:unhideWhenUsed/>
    <w:rsid w:val="00EE5E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328">
      <w:bodyDiv w:val="1"/>
      <w:marLeft w:val="0"/>
      <w:marRight w:val="0"/>
      <w:marTop w:val="0"/>
      <w:marBottom w:val="0"/>
      <w:divBdr>
        <w:top w:val="none" w:sz="0" w:space="0" w:color="auto"/>
        <w:left w:val="none" w:sz="0" w:space="0" w:color="auto"/>
        <w:bottom w:val="none" w:sz="0" w:space="0" w:color="auto"/>
        <w:right w:val="none" w:sz="0" w:space="0" w:color="auto"/>
      </w:divBdr>
    </w:div>
    <w:div w:id="762263596">
      <w:bodyDiv w:val="1"/>
      <w:marLeft w:val="0"/>
      <w:marRight w:val="0"/>
      <w:marTop w:val="0"/>
      <w:marBottom w:val="0"/>
      <w:divBdr>
        <w:top w:val="none" w:sz="0" w:space="0" w:color="auto"/>
        <w:left w:val="none" w:sz="0" w:space="0" w:color="auto"/>
        <w:bottom w:val="none" w:sz="0" w:space="0" w:color="auto"/>
        <w:right w:val="none" w:sz="0" w:space="0" w:color="auto"/>
      </w:divBdr>
    </w:div>
    <w:div w:id="790435705">
      <w:bodyDiv w:val="1"/>
      <w:marLeft w:val="0"/>
      <w:marRight w:val="0"/>
      <w:marTop w:val="0"/>
      <w:marBottom w:val="0"/>
      <w:divBdr>
        <w:top w:val="none" w:sz="0" w:space="0" w:color="auto"/>
        <w:left w:val="none" w:sz="0" w:space="0" w:color="auto"/>
        <w:bottom w:val="none" w:sz="0" w:space="0" w:color="auto"/>
        <w:right w:val="none" w:sz="0" w:space="0" w:color="auto"/>
      </w:divBdr>
    </w:div>
    <w:div w:id="1431848444">
      <w:bodyDiv w:val="1"/>
      <w:marLeft w:val="0"/>
      <w:marRight w:val="0"/>
      <w:marTop w:val="0"/>
      <w:marBottom w:val="0"/>
      <w:divBdr>
        <w:top w:val="none" w:sz="0" w:space="0" w:color="auto"/>
        <w:left w:val="none" w:sz="0" w:space="0" w:color="auto"/>
        <w:bottom w:val="none" w:sz="0" w:space="0" w:color="auto"/>
        <w:right w:val="none" w:sz="0" w:space="0" w:color="auto"/>
      </w:divBdr>
    </w:div>
    <w:div w:id="18821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18.00641" TargetMode="External"/><Relationship Id="rId13" Type="http://schemas.openxmlformats.org/officeDocument/2006/relationships/hyperlink" Target="https://doi.org/10.1080/13645579.2020.1805550" TargetMode="External"/><Relationship Id="rId18" Type="http://schemas.openxmlformats.org/officeDocument/2006/relationships/hyperlink" Target="https://doi.org/10.1123/ijsc.2020-0221" TargetMode="External"/><Relationship Id="rId26" Type="http://schemas.openxmlformats.org/officeDocument/2006/relationships/hyperlink" Target="https://doi.org/10.1080/17408989.2021.1874901" TargetMode="External"/><Relationship Id="rId39" Type="http://schemas.openxmlformats.org/officeDocument/2006/relationships/hyperlink" Target="https://doi.org/10.1080/13573322.2021.1952180" TargetMode="External"/><Relationship Id="rId3" Type="http://schemas.openxmlformats.org/officeDocument/2006/relationships/settings" Target="settings.xml"/><Relationship Id="rId21" Type="http://schemas.openxmlformats.org/officeDocument/2006/relationships/hyperlink" Target="https://doi.org/10.1080/21640629.2013.861312" TargetMode="External"/><Relationship Id="rId34" Type="http://schemas.openxmlformats.org/officeDocument/2006/relationships/hyperlink" Target="http://dx.doi.org/10.1080/17408989.2013.837435" TargetMode="External"/><Relationship Id="rId42" Type="http://schemas.openxmlformats.org/officeDocument/2006/relationships/footer" Target="footer1.xml"/><Relationship Id="rId7" Type="http://schemas.openxmlformats.org/officeDocument/2006/relationships/hyperlink" Target="https://doi.org/10.1123/iscj.2013-0036" TargetMode="External"/><Relationship Id="rId12" Type="http://schemas.openxmlformats.org/officeDocument/2006/relationships/hyperlink" Target="https://doi.org/10.1080/17437199.2022.2161594" TargetMode="External"/><Relationship Id="rId17" Type="http://schemas.openxmlformats.org/officeDocument/2006/relationships/hyperlink" Target="https://doi.org/10.1177/1356336X20915936" TargetMode="External"/><Relationship Id="rId25" Type="http://schemas.openxmlformats.org/officeDocument/2006/relationships/hyperlink" Target="https://doi.org/10.1123/iscj.2018-0058" TargetMode="External"/><Relationship Id="rId33" Type="http://schemas.openxmlformats.org/officeDocument/2006/relationships/hyperlink" Target="https://doi.org/10.1123/iscj.2019-0106" TargetMode="External"/><Relationship Id="rId38" Type="http://schemas.openxmlformats.org/officeDocument/2006/relationships/hyperlink" Target="https://doi.org/10.1080/2159676X.2017.1283358" TargetMode="External"/><Relationship Id="rId2" Type="http://schemas.openxmlformats.org/officeDocument/2006/relationships/styles" Target="styles.xml"/><Relationship Id="rId16" Type="http://schemas.openxmlformats.org/officeDocument/2006/relationships/hyperlink" Target="https://www.britishdodgeball.org/product/level-1-award-in-coaching-dodgeball/" TargetMode="External"/><Relationship Id="rId20" Type="http://schemas.openxmlformats.org/officeDocument/2006/relationships/hyperlink" Target="https://doi.org/10.1123/iscj.2018-0081" TargetMode="External"/><Relationship Id="rId29" Type="http://schemas.openxmlformats.org/officeDocument/2006/relationships/hyperlink" Target="https://doi.org/10.1080/17430437.2019.1672154" TargetMode="External"/><Relationship Id="rId41" Type="http://schemas.openxmlformats.org/officeDocument/2006/relationships/hyperlink" Target="https://doi.org/10.1123/iscj.2021-00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159676X.2019.1628806" TargetMode="External"/><Relationship Id="rId24" Type="http://schemas.openxmlformats.org/officeDocument/2006/relationships/hyperlink" Target="https://doi.org/10.1123/iscj.2019-0043" TargetMode="External"/><Relationship Id="rId32" Type="http://schemas.openxmlformats.org/officeDocument/2006/relationships/hyperlink" Target="http://dx.doi.org/10.1080/17408989.2011.649725" TargetMode="External"/><Relationship Id="rId37" Type="http://schemas.openxmlformats.org/officeDocument/2006/relationships/hyperlink" Target="https://doi.org/10.1080/07303084.2006.10597861" TargetMode="External"/><Relationship Id="rId40" Type="http://schemas.openxmlformats.org/officeDocument/2006/relationships/hyperlink" Target="https://doi.org/10.1080/17408989.2020.1789575" TargetMode="External"/><Relationship Id="rId5" Type="http://schemas.openxmlformats.org/officeDocument/2006/relationships/footnotes" Target="footnotes.xml"/><Relationship Id="rId15" Type="http://schemas.openxmlformats.org/officeDocument/2006/relationships/hyperlink" Target="https://www.britishdodgeball.org/wp-content/uploads/2021/03/British-Dodgeball-Coach-Education-Pathway.pdf" TargetMode="External"/><Relationship Id="rId23" Type="http://schemas.openxmlformats.org/officeDocument/2006/relationships/hyperlink" Target="https://doi.org/10.1123/iscj.2017-0096" TargetMode="External"/><Relationship Id="rId28" Type="http://schemas.openxmlformats.org/officeDocument/2006/relationships/hyperlink" Target="https://doi.org/10.1080/21640629.2020.1804170" TargetMode="External"/><Relationship Id="rId36" Type="http://schemas.openxmlformats.org/officeDocument/2006/relationships/hyperlink" Target="https://doi.org/10.3389/fpsyg.2021.570706" TargetMode="External"/><Relationship Id="rId10" Type="http://schemas.openxmlformats.org/officeDocument/2006/relationships/hyperlink" Target="https://psycnet.apa.org/doi/10.1191/1478088706qp063oa" TargetMode="External"/><Relationship Id="rId19" Type="http://schemas.openxmlformats.org/officeDocument/2006/relationships/hyperlink" Target="http://dx.doi.org/10.6018/red/50/2" TargetMode="External"/><Relationship Id="rId31" Type="http://schemas.openxmlformats.org/officeDocument/2006/relationships/hyperlink" Target="https://doi.org/10.1123/iscj.2020-005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8666/TPE-2021-V78-I3-10402" TargetMode="External"/><Relationship Id="rId14" Type="http://schemas.openxmlformats.org/officeDocument/2006/relationships/hyperlink" Target="https://www.britishdodgeball.org/wp-content/uploads/2022/04/The-Dodgeball-Survey-2022-Report.pdf" TargetMode="External"/><Relationship Id="rId22" Type="http://schemas.openxmlformats.org/officeDocument/2006/relationships/hyperlink" Target="https://doi.org/10.1080/00131911.2018.1457010" TargetMode="External"/><Relationship Id="rId27" Type="http://schemas.openxmlformats.org/officeDocument/2006/relationships/hyperlink" Target="https://doi.org/10.1260/1747-9541.7.2.187" TargetMode="External"/><Relationship Id="rId30" Type="http://schemas.openxmlformats.org/officeDocument/2006/relationships/hyperlink" Target="https://doi.org/10.1177/1747954116676116" TargetMode="External"/><Relationship Id="rId35" Type="http://schemas.openxmlformats.org/officeDocument/2006/relationships/hyperlink" Target="https://doi.org/10.1123/iscj.2017-0101"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12989</Words>
  <Characters>74040</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Leeder, Thomas M</dc:creator>
  <cp:keywords/>
  <dc:description/>
  <cp:lastModifiedBy>Thomas Leeder (EDU - Staff)</cp:lastModifiedBy>
  <cp:revision>2</cp:revision>
  <dcterms:created xsi:type="dcterms:W3CDTF">2023-06-26T07:37:00Z</dcterms:created>
  <dcterms:modified xsi:type="dcterms:W3CDTF">2023-06-26T07:37:00Z</dcterms:modified>
</cp:coreProperties>
</file>