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16="http://schemas.microsoft.com/office/drawing/2014/main" mc:Ignorable="w14 w15 w16se w16cid w16 w16cex w16sdtdh wp14">
  <w:body>
    <w:p w:rsidRPr="00102FB5" w:rsidR="00D01124" w:rsidP="3A5FC3B6" w:rsidRDefault="00D01124" w14:paraId="0BC6A7EA" w14:textId="4E3D2BBF" w14:noSpellErr="1">
      <w:pPr>
        <w:pStyle w:val="NoSpacing"/>
        <w:rPr>
          <w:color w:val="auto"/>
          <w:sz w:val="44"/>
          <w:szCs w:val="44"/>
          <w:u w:val="single"/>
        </w:rPr>
      </w:pPr>
      <w:r w:rsidRPr="3A5FC3B6" w:rsidR="3A5FC3B6">
        <w:rPr>
          <w:color w:val="auto"/>
          <w:sz w:val="44"/>
          <w:szCs w:val="44"/>
          <w:u w:val="single"/>
        </w:rPr>
        <w:t>A systematic review and meta-analysis of enhanced recovery for open abdominal aortic aneurysm surgery</w:t>
      </w:r>
    </w:p>
    <w:p w:rsidR="00D01124" w:rsidP="3A5FC3B6" w:rsidRDefault="00D01124" w14:paraId="0BC6A7EB" w14:textId="77777777" w14:noSpellErr="1">
      <w:pPr>
        <w:pStyle w:val="NoSpacing"/>
        <w:rPr>
          <w:color w:val="auto"/>
          <w:sz w:val="36"/>
          <w:szCs w:val="36"/>
          <w:u w:val="single"/>
        </w:rPr>
      </w:pPr>
    </w:p>
    <w:p w:rsidR="002179EA" w:rsidP="3A5FC3B6" w:rsidRDefault="00984519" w14:paraId="158D979C" w14:textId="5EECD76E">
      <w:pPr>
        <w:pStyle w:val="NoSpacing"/>
        <w:rPr>
          <w:color w:val="auto"/>
          <w:sz w:val="24"/>
          <w:szCs w:val="24"/>
        </w:rPr>
      </w:pPr>
      <w:r w:rsidRPr="3A5FC3B6" w:rsidR="3A5FC3B6">
        <w:rPr>
          <w:color w:val="auto"/>
          <w:sz w:val="24"/>
          <w:szCs w:val="24"/>
        </w:rPr>
        <w:t xml:space="preserve">Authors: </w:t>
      </w:r>
      <w:r w:rsidRPr="3A5FC3B6" w:rsidR="3A5FC3B6">
        <w:rPr>
          <w:color w:val="auto"/>
          <w:sz w:val="24"/>
          <w:szCs w:val="24"/>
        </w:rPr>
        <w:t>Dr Jack Docherty</w:t>
      </w:r>
      <w:r w:rsidRPr="3A5FC3B6" w:rsidR="3A5FC3B6">
        <w:rPr>
          <w:color w:val="auto"/>
          <w:sz w:val="24"/>
          <w:szCs w:val="24"/>
        </w:rPr>
        <w:t xml:space="preserve">, </w:t>
      </w:r>
      <w:r w:rsidRPr="3A5FC3B6" w:rsidR="3A5FC3B6">
        <w:rPr>
          <w:color w:val="auto"/>
          <w:sz w:val="24"/>
          <w:szCs w:val="24"/>
        </w:rPr>
        <w:t>MBBS, Miss Kersten Morgan-Bates</w:t>
      </w:r>
      <w:r w:rsidRPr="3A5FC3B6" w:rsidR="3A5FC3B6">
        <w:rPr>
          <w:color w:val="auto"/>
          <w:sz w:val="24"/>
          <w:szCs w:val="24"/>
        </w:rPr>
        <w:t>,</w:t>
      </w:r>
      <w:r w:rsidRPr="3A5FC3B6" w:rsidR="3A5FC3B6">
        <w:rPr>
          <w:color w:val="auto"/>
          <w:sz w:val="24"/>
          <w:szCs w:val="24"/>
        </w:rPr>
        <w:t xml:space="preserve"> </w:t>
      </w:r>
      <w:r w:rsidRPr="3A5FC3B6" w:rsidR="3A5FC3B6">
        <w:rPr>
          <w:color w:val="auto"/>
          <w:sz w:val="24"/>
          <w:szCs w:val="24"/>
        </w:rPr>
        <w:t>MBBS, BSc, PGCert (</w:t>
      </w:r>
      <w:r w:rsidRPr="3A5FC3B6" w:rsidR="3A5FC3B6">
        <w:rPr>
          <w:color w:val="auto"/>
          <w:sz w:val="24"/>
          <w:szCs w:val="24"/>
        </w:rPr>
        <w:t>MedEd</w:t>
      </w:r>
      <w:r w:rsidRPr="3A5FC3B6" w:rsidR="3A5FC3B6">
        <w:rPr>
          <w:color w:val="auto"/>
          <w:sz w:val="24"/>
          <w:szCs w:val="24"/>
        </w:rPr>
        <w:t xml:space="preserve">), </w:t>
      </w:r>
      <w:r w:rsidRPr="3A5FC3B6" w:rsidR="3A5FC3B6">
        <w:rPr>
          <w:color w:val="auto"/>
          <w:sz w:val="24"/>
          <w:szCs w:val="24"/>
        </w:rPr>
        <w:t>FRCS(</w:t>
      </w:r>
      <w:r w:rsidRPr="3A5FC3B6" w:rsidR="3A5FC3B6">
        <w:rPr>
          <w:color w:val="auto"/>
          <w:sz w:val="24"/>
          <w:szCs w:val="24"/>
        </w:rPr>
        <w:t>vasc</w:t>
      </w:r>
      <w:r w:rsidRPr="3A5FC3B6" w:rsidR="3A5FC3B6">
        <w:rPr>
          <w:color w:val="auto"/>
          <w:sz w:val="24"/>
          <w:szCs w:val="24"/>
        </w:rPr>
        <w:t>)</w:t>
      </w:r>
      <w:r w:rsidRPr="3A5FC3B6" w:rsidR="3A5FC3B6">
        <w:rPr>
          <w:color w:val="auto"/>
          <w:sz w:val="24"/>
          <w:szCs w:val="24"/>
        </w:rPr>
        <w:t xml:space="preserve"> Mr Philip Stather</w:t>
      </w:r>
      <w:r w:rsidRPr="3A5FC3B6" w:rsidR="3A5FC3B6">
        <w:rPr>
          <w:color w:val="auto"/>
          <w:sz w:val="24"/>
          <w:szCs w:val="24"/>
        </w:rPr>
        <w:t>,</w:t>
      </w:r>
      <w:r w:rsidRPr="3A5FC3B6" w:rsidR="3A5FC3B6">
        <w:rPr>
          <w:color w:val="auto"/>
          <w:sz w:val="24"/>
          <w:szCs w:val="24"/>
        </w:rPr>
        <w:t xml:space="preserve"> MBChB</w:t>
      </w:r>
      <w:r w:rsidRPr="3A5FC3B6" w:rsidR="3A5FC3B6">
        <w:rPr>
          <w:color w:val="auto"/>
          <w:sz w:val="24"/>
          <w:szCs w:val="24"/>
        </w:rPr>
        <w:t>,</w:t>
      </w:r>
      <w:r w:rsidRPr="3A5FC3B6" w:rsidR="3A5FC3B6">
        <w:rPr>
          <w:color w:val="auto"/>
          <w:sz w:val="24"/>
          <w:szCs w:val="24"/>
        </w:rPr>
        <w:t xml:space="preserve"> MD</w:t>
      </w:r>
      <w:r w:rsidRPr="3A5FC3B6" w:rsidR="3A5FC3B6">
        <w:rPr>
          <w:color w:val="auto"/>
          <w:sz w:val="24"/>
          <w:szCs w:val="24"/>
        </w:rPr>
        <w:t>,</w:t>
      </w:r>
      <w:r w:rsidRPr="3A5FC3B6" w:rsidR="3A5FC3B6">
        <w:rPr>
          <w:color w:val="auto"/>
          <w:sz w:val="24"/>
          <w:szCs w:val="24"/>
        </w:rPr>
        <w:t xml:space="preserve"> </w:t>
      </w:r>
      <w:r w:rsidRPr="3A5FC3B6" w:rsidR="3A5FC3B6">
        <w:rPr>
          <w:color w:val="auto"/>
          <w:sz w:val="24"/>
          <w:szCs w:val="24"/>
        </w:rPr>
        <w:t>FRCS</w:t>
      </w:r>
      <w:r w:rsidRPr="3A5FC3B6" w:rsidR="3A5FC3B6">
        <w:rPr>
          <w:color w:val="auto"/>
          <w:sz w:val="24"/>
          <w:szCs w:val="24"/>
        </w:rPr>
        <w:t>(</w:t>
      </w:r>
      <w:r w:rsidRPr="3A5FC3B6" w:rsidR="3A5FC3B6">
        <w:rPr>
          <w:color w:val="auto"/>
          <w:sz w:val="24"/>
          <w:szCs w:val="24"/>
        </w:rPr>
        <w:t>vasc</w:t>
      </w:r>
      <w:r w:rsidRPr="3A5FC3B6" w:rsidR="3A5FC3B6">
        <w:rPr>
          <w:color w:val="auto"/>
          <w:sz w:val="24"/>
          <w:szCs w:val="24"/>
        </w:rPr>
        <w:t xml:space="preserve">). Norfolk and Norwich University Hospital. </w:t>
      </w:r>
    </w:p>
    <w:p w:rsidR="00984519" w:rsidP="3A5FC3B6" w:rsidRDefault="00984519" w14:paraId="3B86216C" w14:textId="77777777" w14:noSpellErr="1">
      <w:pPr>
        <w:pStyle w:val="NoSpacing"/>
        <w:rPr>
          <w:color w:val="auto"/>
          <w:sz w:val="24"/>
          <w:szCs w:val="24"/>
        </w:rPr>
      </w:pPr>
    </w:p>
    <w:p w:rsidR="00984519" w:rsidP="3A5FC3B6" w:rsidRDefault="00984519" w14:paraId="23BCF176" w14:textId="77777777" w14:noSpellErr="1">
      <w:pPr>
        <w:pStyle w:val="NoSpacing"/>
        <w:rPr>
          <w:color w:val="auto"/>
          <w:sz w:val="24"/>
          <w:szCs w:val="24"/>
        </w:rPr>
      </w:pPr>
    </w:p>
    <w:p w:rsidR="00984519" w:rsidP="3A5FC3B6" w:rsidRDefault="00984519" w14:paraId="4249A62E" w14:textId="77777777" w14:noSpellErr="1">
      <w:pPr>
        <w:pStyle w:val="NoSpacing"/>
        <w:rPr>
          <w:color w:val="auto"/>
          <w:sz w:val="24"/>
          <w:szCs w:val="24"/>
        </w:rPr>
      </w:pPr>
      <w:r w:rsidRPr="3A5FC3B6" w:rsidR="3A5FC3B6">
        <w:rPr>
          <w:color w:val="auto"/>
          <w:sz w:val="24"/>
          <w:szCs w:val="24"/>
        </w:rPr>
        <w:t xml:space="preserve">Corresponding Author: Dr Jack Docherty. Tel 07939684779. Email </w:t>
      </w:r>
      <w:hyperlink r:id="R17da0cc9333f4071">
        <w:r w:rsidRPr="3A5FC3B6" w:rsidR="3A5FC3B6">
          <w:rPr>
            <w:rStyle w:val="Hyperlink"/>
            <w:color w:val="auto"/>
            <w:sz w:val="24"/>
            <w:szCs w:val="24"/>
          </w:rPr>
          <w:t>jack.docherty@doctors.org.uk</w:t>
        </w:r>
      </w:hyperlink>
      <w:r w:rsidRPr="3A5FC3B6" w:rsidR="3A5FC3B6">
        <w:rPr>
          <w:color w:val="auto"/>
          <w:sz w:val="24"/>
          <w:szCs w:val="24"/>
        </w:rPr>
        <w:t xml:space="preserve">. </w:t>
      </w:r>
    </w:p>
    <w:p w:rsidR="00984519" w:rsidP="3A5FC3B6" w:rsidRDefault="00984519" w14:paraId="1CF16BEA" w14:textId="7457C17B" w14:noSpellErr="1">
      <w:pPr>
        <w:pStyle w:val="NoSpacing"/>
        <w:rPr>
          <w:rFonts w:cs="Calibri" w:cstheme="minorAscii"/>
          <w:b w:val="1"/>
          <w:bCs w:val="1"/>
          <w:color w:val="auto"/>
          <w:shd w:val="clear" w:color="auto" w:fill="FFFFFF"/>
        </w:rPr>
      </w:pPr>
      <w:r w:rsidRPr="3A5FC3B6" w:rsidR="3A5FC3B6">
        <w:rPr>
          <w:color w:val="auto"/>
          <w:sz w:val="24"/>
          <w:szCs w:val="24"/>
        </w:rPr>
        <w:t xml:space="preserve">Address:  5D Unthank Road, Norwich, Norfolk, United Kingdom, NR22PA. </w:t>
      </w:r>
    </w:p>
    <w:p w:rsidR="00984519" w:rsidP="3A5FC3B6" w:rsidRDefault="00984519" w14:paraId="568B637F" w14:textId="77777777" w14:noSpellErr="1">
      <w:pPr>
        <w:pStyle w:val="NoSpacing"/>
        <w:rPr>
          <w:rFonts w:cs="Calibri" w:cstheme="minorAscii"/>
          <w:b w:val="1"/>
          <w:bCs w:val="1"/>
          <w:color w:val="auto"/>
          <w:shd w:val="clear" w:color="auto" w:fill="FFFFFF"/>
        </w:rPr>
      </w:pPr>
    </w:p>
    <w:p w:rsidRPr="00102FB5" w:rsidR="002179EA" w:rsidP="3A5FC3B6" w:rsidRDefault="002179EA" w14:paraId="6F425CAE" w14:textId="6A167C18" w14:noSpellErr="1">
      <w:pPr>
        <w:pStyle w:val="NoSpacing"/>
        <w:rPr>
          <w:color w:val="auto"/>
          <w:sz w:val="24"/>
          <w:szCs w:val="24"/>
        </w:rPr>
      </w:pPr>
      <w:r w:rsidRPr="3A5FC3B6">
        <w:rPr>
          <w:rFonts w:cs="Calibri" w:cstheme="minorAscii"/>
          <w:b w:val="1"/>
          <w:bCs w:val="1"/>
          <w:color w:val="auto"/>
          <w:shd w:val="clear" w:color="auto" w:fill="FFFFFF"/>
        </w:rPr>
        <w:t>Funding</w:t>
      </w:r>
      <w:r w:rsidRPr="3A5FC3B6" w:rsidR="00984519">
        <w:rPr>
          <w:color w:val="auto"/>
          <w:sz w:val="24"/>
          <w:szCs w:val="24"/>
        </w:rPr>
        <w:t xml:space="preserve">: </w:t>
      </w:r>
      <w:r w:rsidRPr="3A5FC3B6">
        <w:rPr>
          <w:rFonts w:cs="Calibri" w:cstheme="minorAscii"/>
          <w:color w:val="auto"/>
          <w:shd w:val="clear" w:color="auto" w:fill="FFFFFF"/>
        </w:rPr>
        <w:t>This research received no specific grant from any funding agency in the public, commercial, or not-for-profit sectors.</w:t>
      </w:r>
    </w:p>
    <w:p w:rsidR="0095234F" w:rsidP="3A5FC3B6" w:rsidRDefault="0095234F" w14:paraId="090B5242" w14:textId="77777777" w14:noSpellErr="1">
      <w:pPr>
        <w:pStyle w:val="NoSpacing"/>
        <w:rPr>
          <w:color w:val="auto"/>
          <w:sz w:val="36"/>
          <w:szCs w:val="36"/>
          <w:u w:val="single"/>
        </w:rPr>
      </w:pPr>
    </w:p>
    <w:p w:rsidR="002179EA" w:rsidP="3A5FC3B6" w:rsidRDefault="002179EA" w14:paraId="240428AA" w14:textId="77777777" w14:noSpellErr="1">
      <w:pPr>
        <w:pStyle w:val="NoSpacing"/>
        <w:rPr>
          <w:color w:val="auto"/>
          <w:sz w:val="36"/>
          <w:szCs w:val="36"/>
          <w:u w:val="single"/>
        </w:rPr>
      </w:pPr>
    </w:p>
    <w:p w:rsidR="002179EA" w:rsidP="3A5FC3B6" w:rsidRDefault="002179EA" w14:paraId="4E98C1F9" w14:textId="77777777" w14:noSpellErr="1">
      <w:pPr>
        <w:pStyle w:val="NoSpacing"/>
        <w:rPr>
          <w:color w:val="auto"/>
          <w:sz w:val="36"/>
          <w:szCs w:val="36"/>
          <w:u w:val="single"/>
        </w:rPr>
      </w:pPr>
    </w:p>
    <w:p w:rsidR="002179EA" w:rsidP="3A5FC3B6" w:rsidRDefault="002179EA" w14:paraId="55563A7B" w14:textId="77777777" w14:noSpellErr="1">
      <w:pPr>
        <w:pStyle w:val="NoSpacing"/>
        <w:rPr>
          <w:color w:val="auto"/>
          <w:sz w:val="36"/>
          <w:szCs w:val="36"/>
          <w:u w:val="single"/>
        </w:rPr>
      </w:pPr>
    </w:p>
    <w:p w:rsidR="002179EA" w:rsidP="3A5FC3B6" w:rsidRDefault="002179EA" w14:paraId="680E7665" w14:textId="77777777" w14:noSpellErr="1">
      <w:pPr>
        <w:pStyle w:val="NoSpacing"/>
        <w:rPr>
          <w:color w:val="auto"/>
          <w:sz w:val="36"/>
          <w:szCs w:val="36"/>
          <w:u w:val="single"/>
        </w:rPr>
      </w:pPr>
    </w:p>
    <w:p w:rsidR="002179EA" w:rsidP="3A5FC3B6" w:rsidRDefault="002179EA" w14:paraId="0DE0E83F" w14:textId="77777777" w14:noSpellErr="1">
      <w:pPr>
        <w:pStyle w:val="NoSpacing"/>
        <w:rPr>
          <w:color w:val="auto"/>
          <w:sz w:val="36"/>
          <w:szCs w:val="36"/>
          <w:u w:val="single"/>
        </w:rPr>
      </w:pPr>
    </w:p>
    <w:p w:rsidR="002179EA" w:rsidP="3A5FC3B6" w:rsidRDefault="002179EA" w14:paraId="083A6D6A" w14:textId="77777777" w14:noSpellErr="1">
      <w:pPr>
        <w:pStyle w:val="NoSpacing"/>
        <w:rPr>
          <w:color w:val="auto"/>
          <w:sz w:val="36"/>
          <w:szCs w:val="36"/>
          <w:u w:val="single"/>
        </w:rPr>
      </w:pPr>
    </w:p>
    <w:p w:rsidR="002179EA" w:rsidP="3A5FC3B6" w:rsidRDefault="002179EA" w14:paraId="44843BA5" w14:textId="77777777" w14:noSpellErr="1">
      <w:pPr>
        <w:pStyle w:val="NoSpacing"/>
        <w:rPr>
          <w:color w:val="auto"/>
          <w:sz w:val="36"/>
          <w:szCs w:val="36"/>
          <w:u w:val="single"/>
        </w:rPr>
      </w:pPr>
    </w:p>
    <w:p w:rsidR="002179EA" w:rsidP="3A5FC3B6" w:rsidRDefault="002179EA" w14:paraId="1FF1155D" w14:textId="77777777" w14:noSpellErr="1">
      <w:pPr>
        <w:pStyle w:val="NoSpacing"/>
        <w:rPr>
          <w:color w:val="auto"/>
          <w:sz w:val="36"/>
          <w:szCs w:val="36"/>
          <w:u w:val="single"/>
        </w:rPr>
      </w:pPr>
    </w:p>
    <w:p w:rsidR="002179EA" w:rsidP="3A5FC3B6" w:rsidRDefault="002179EA" w14:paraId="7ECD6440" w14:textId="77777777" w14:noSpellErr="1">
      <w:pPr>
        <w:pStyle w:val="NoSpacing"/>
        <w:rPr>
          <w:color w:val="auto"/>
          <w:sz w:val="36"/>
          <w:szCs w:val="36"/>
          <w:u w:val="single"/>
        </w:rPr>
      </w:pPr>
    </w:p>
    <w:p w:rsidR="002179EA" w:rsidP="3A5FC3B6" w:rsidRDefault="002179EA" w14:paraId="288BF8CB" w14:textId="77777777" w14:noSpellErr="1">
      <w:pPr>
        <w:pStyle w:val="NoSpacing"/>
        <w:rPr>
          <w:color w:val="auto"/>
          <w:sz w:val="36"/>
          <w:szCs w:val="36"/>
          <w:u w:val="single"/>
        </w:rPr>
      </w:pPr>
    </w:p>
    <w:p w:rsidR="002179EA" w:rsidP="3A5FC3B6" w:rsidRDefault="002179EA" w14:paraId="1CD43BDF" w14:textId="77777777" w14:noSpellErr="1">
      <w:pPr>
        <w:pStyle w:val="NoSpacing"/>
        <w:rPr>
          <w:color w:val="auto"/>
          <w:sz w:val="36"/>
          <w:szCs w:val="36"/>
          <w:u w:val="single"/>
        </w:rPr>
      </w:pPr>
    </w:p>
    <w:p w:rsidR="002179EA" w:rsidP="3A5FC3B6" w:rsidRDefault="002179EA" w14:paraId="15098F5D" w14:textId="77777777" w14:noSpellErr="1">
      <w:pPr>
        <w:pStyle w:val="NoSpacing"/>
        <w:rPr>
          <w:color w:val="auto"/>
          <w:sz w:val="36"/>
          <w:szCs w:val="36"/>
          <w:u w:val="single"/>
        </w:rPr>
      </w:pPr>
    </w:p>
    <w:p w:rsidR="002179EA" w:rsidP="3A5FC3B6" w:rsidRDefault="002179EA" w14:paraId="2ACDA2DA" w14:textId="77777777" w14:noSpellErr="1">
      <w:pPr>
        <w:pStyle w:val="NoSpacing"/>
        <w:rPr>
          <w:color w:val="auto"/>
          <w:sz w:val="36"/>
          <w:szCs w:val="36"/>
          <w:u w:val="single"/>
        </w:rPr>
      </w:pPr>
    </w:p>
    <w:p w:rsidR="002179EA" w:rsidP="3A5FC3B6" w:rsidRDefault="002179EA" w14:paraId="2DED4449" w14:textId="77777777" w14:noSpellErr="1">
      <w:pPr>
        <w:pStyle w:val="NoSpacing"/>
        <w:rPr>
          <w:color w:val="auto"/>
          <w:sz w:val="36"/>
          <w:szCs w:val="36"/>
          <w:u w:val="single"/>
        </w:rPr>
      </w:pPr>
    </w:p>
    <w:p w:rsidR="002179EA" w:rsidP="3A5FC3B6" w:rsidRDefault="002179EA" w14:paraId="02617C1D" w14:textId="77777777" w14:noSpellErr="1">
      <w:pPr>
        <w:pStyle w:val="NoSpacing"/>
        <w:rPr>
          <w:color w:val="auto"/>
          <w:sz w:val="36"/>
          <w:szCs w:val="36"/>
          <w:u w:val="single"/>
        </w:rPr>
      </w:pPr>
    </w:p>
    <w:p w:rsidR="002179EA" w:rsidP="3A5FC3B6" w:rsidRDefault="002179EA" w14:paraId="70E324F9" w14:textId="77777777" w14:noSpellErr="1">
      <w:pPr>
        <w:pStyle w:val="NoSpacing"/>
        <w:rPr>
          <w:color w:val="auto"/>
          <w:sz w:val="36"/>
          <w:szCs w:val="36"/>
          <w:u w:val="single"/>
        </w:rPr>
      </w:pPr>
    </w:p>
    <w:p w:rsidR="002179EA" w:rsidP="3A5FC3B6" w:rsidRDefault="002179EA" w14:paraId="550E4664" w14:textId="77777777" w14:noSpellErr="1">
      <w:pPr>
        <w:pStyle w:val="NoSpacing"/>
        <w:rPr>
          <w:color w:val="auto"/>
          <w:sz w:val="36"/>
          <w:szCs w:val="36"/>
          <w:u w:val="single"/>
        </w:rPr>
      </w:pPr>
    </w:p>
    <w:p w:rsidR="002179EA" w:rsidP="3A5FC3B6" w:rsidRDefault="002179EA" w14:paraId="1FAF4452" w14:textId="77777777" w14:noSpellErr="1">
      <w:pPr>
        <w:pStyle w:val="NoSpacing"/>
        <w:rPr>
          <w:color w:val="auto"/>
          <w:sz w:val="36"/>
          <w:szCs w:val="36"/>
          <w:u w:val="single"/>
        </w:rPr>
      </w:pPr>
    </w:p>
    <w:p w:rsidR="002179EA" w:rsidP="3A5FC3B6" w:rsidRDefault="002179EA" w14:paraId="21DCB709" w14:textId="77777777" w14:noSpellErr="1">
      <w:pPr>
        <w:pStyle w:val="NoSpacing"/>
        <w:rPr>
          <w:color w:val="auto"/>
          <w:sz w:val="36"/>
          <w:szCs w:val="36"/>
          <w:u w:val="single"/>
        </w:rPr>
      </w:pPr>
    </w:p>
    <w:p w:rsidR="002179EA" w:rsidP="3A5FC3B6" w:rsidRDefault="002179EA" w14:paraId="2B66A56B" w14:textId="77777777" w14:noSpellErr="1">
      <w:pPr>
        <w:pStyle w:val="NoSpacing"/>
        <w:rPr>
          <w:color w:val="auto"/>
          <w:sz w:val="36"/>
          <w:szCs w:val="36"/>
          <w:u w:val="single"/>
        </w:rPr>
      </w:pPr>
    </w:p>
    <w:p w:rsidR="002179EA" w:rsidP="3A5FC3B6" w:rsidRDefault="002179EA" w14:paraId="1BE4C8D9" w14:textId="77777777" w14:noSpellErr="1">
      <w:pPr>
        <w:pStyle w:val="NoSpacing"/>
        <w:rPr>
          <w:color w:val="auto"/>
          <w:sz w:val="36"/>
          <w:szCs w:val="36"/>
          <w:u w:val="single"/>
        </w:rPr>
      </w:pPr>
    </w:p>
    <w:p w:rsidR="002179EA" w:rsidP="3A5FC3B6" w:rsidRDefault="002179EA" w14:paraId="32F9F18B" w14:textId="77777777" w14:noSpellErr="1">
      <w:pPr>
        <w:pStyle w:val="NoSpacing"/>
        <w:rPr>
          <w:color w:val="auto"/>
          <w:sz w:val="36"/>
          <w:szCs w:val="36"/>
          <w:u w:val="single"/>
        </w:rPr>
      </w:pPr>
    </w:p>
    <w:p w:rsidR="002179EA" w:rsidP="3A5FC3B6" w:rsidRDefault="002179EA" w14:paraId="39B42AA0" w14:textId="77777777" w14:noSpellErr="1">
      <w:pPr>
        <w:pStyle w:val="NoSpacing"/>
        <w:rPr>
          <w:color w:val="auto"/>
          <w:sz w:val="36"/>
          <w:szCs w:val="36"/>
          <w:u w:val="single"/>
        </w:rPr>
      </w:pPr>
    </w:p>
    <w:p w:rsidR="00984519" w:rsidP="3A5FC3B6" w:rsidRDefault="00984519" w14:paraId="0F00476A" w14:textId="77777777" w14:noSpellErr="1">
      <w:pPr>
        <w:pStyle w:val="NoSpacing"/>
        <w:rPr>
          <w:color w:val="auto"/>
          <w:sz w:val="36"/>
          <w:szCs w:val="36"/>
          <w:u w:val="single"/>
        </w:rPr>
      </w:pPr>
    </w:p>
    <w:p w:rsidR="0095234F" w:rsidP="3A5FC3B6" w:rsidRDefault="0095234F" w14:paraId="0BCAB83F" w14:textId="77777777" w14:noSpellErr="1">
      <w:pPr>
        <w:pStyle w:val="NoSpacing"/>
        <w:rPr>
          <w:b w:val="1"/>
          <w:bCs w:val="1"/>
          <w:color w:val="auto"/>
        </w:rPr>
      </w:pPr>
    </w:p>
    <w:p w:rsidRPr="00D01124" w:rsidR="00D01124" w:rsidP="3A5FC3B6" w:rsidRDefault="00D01124" w14:paraId="0BC6A7EC" w14:textId="186F9598" w14:noSpellErr="1">
      <w:pPr>
        <w:pStyle w:val="NoSpacing"/>
        <w:rPr>
          <w:b w:val="1"/>
          <w:bCs w:val="1"/>
          <w:color w:val="auto"/>
        </w:rPr>
      </w:pPr>
      <w:r w:rsidRPr="3A5FC3B6" w:rsidR="3A5FC3B6">
        <w:rPr>
          <w:b w:val="1"/>
          <w:bCs w:val="1"/>
          <w:color w:val="auto"/>
        </w:rPr>
        <w:t>ABSTRACT</w:t>
      </w:r>
    </w:p>
    <w:p w:rsidRPr="00D01124" w:rsidR="00D01124" w:rsidP="3A5FC3B6" w:rsidRDefault="00D01124" w14:paraId="0BC6A7ED" w14:textId="77777777" w14:noSpellErr="1">
      <w:pPr>
        <w:pStyle w:val="NoSpacing"/>
        <w:rPr>
          <w:color w:val="auto"/>
        </w:rPr>
      </w:pPr>
    </w:p>
    <w:p w:rsidR="00D01124" w:rsidP="3A5FC3B6" w:rsidRDefault="00D01124" w14:paraId="0BC6A7EE" w14:textId="77777777" w14:noSpellErr="1">
      <w:pPr>
        <w:pStyle w:val="NoSpacing"/>
        <w:rPr>
          <w:color w:val="auto"/>
        </w:rPr>
      </w:pPr>
      <w:r w:rsidRPr="3A5FC3B6" w:rsidR="3A5FC3B6">
        <w:rPr>
          <w:color w:val="auto"/>
        </w:rPr>
        <w:t xml:space="preserve">Introduction: Open abdominal aortic aneurysm (AAA) surgery is associated with significant morbidity, </w:t>
      </w:r>
      <w:r w:rsidRPr="3A5FC3B6" w:rsidR="3A5FC3B6">
        <w:rPr>
          <w:color w:val="auto"/>
        </w:rPr>
        <w:t>mortality</w:t>
      </w:r>
      <w:r w:rsidRPr="3A5FC3B6" w:rsidR="3A5FC3B6">
        <w:rPr>
          <w:color w:val="auto"/>
        </w:rPr>
        <w:t xml:space="preserve"> and high length of stay (LOS)</w:t>
      </w:r>
      <w:r w:rsidRPr="3A5FC3B6" w:rsidR="3A5FC3B6">
        <w:rPr>
          <w:color w:val="auto"/>
        </w:rPr>
        <w:t xml:space="preserve">.  </w:t>
      </w:r>
      <w:r w:rsidRPr="3A5FC3B6" w:rsidR="3A5FC3B6">
        <w:rPr>
          <w:color w:val="auto"/>
        </w:rPr>
        <w:t>Enhanced recovery is now commonplace and has been shown to decrease these in other non-vascular surgery settings. This systematic review and meta-analysis aimed to assess the benefits of enhanced recovery in aortic surgery (ERAS).</w:t>
      </w:r>
    </w:p>
    <w:p w:rsidR="00D01124" w:rsidP="3A5FC3B6" w:rsidRDefault="00D01124" w14:paraId="0BC6A7EF" w14:textId="77777777" w14:noSpellErr="1">
      <w:pPr>
        <w:pStyle w:val="NoSpacing"/>
        <w:rPr>
          <w:color w:val="auto"/>
        </w:rPr>
      </w:pPr>
    </w:p>
    <w:p w:rsidR="00D01124" w:rsidP="3A5FC3B6" w:rsidRDefault="00D01124" w14:paraId="0BC6A7F0" w14:textId="77777777" w14:noSpellErr="1">
      <w:pPr>
        <w:pStyle w:val="NoSpacing"/>
        <w:rPr>
          <w:color w:val="auto"/>
        </w:rPr>
      </w:pPr>
      <w:r w:rsidRPr="3A5FC3B6" w:rsidR="3A5FC3B6">
        <w:rPr>
          <w:color w:val="auto"/>
        </w:rPr>
        <w:t>Method: PRISMA guidelines were used to undertake a systematic review via Ovid MEDLINE and Embase on 10.07.2021.  The search terms were “aortic aneurysm” and “fast track” or “enhanced recovery</w:t>
      </w:r>
      <w:r w:rsidRPr="3A5FC3B6" w:rsidR="3A5FC3B6">
        <w:rPr>
          <w:color w:val="auto"/>
        </w:rPr>
        <w:t>”.</w:t>
      </w:r>
      <w:r w:rsidRPr="3A5FC3B6" w:rsidR="3A5FC3B6">
        <w:rPr>
          <w:color w:val="auto"/>
        </w:rPr>
        <w:t xml:space="preserve"> Data was obtained on major complications, 30-day mortality and LOS.</w:t>
      </w:r>
    </w:p>
    <w:p w:rsidR="00D01124" w:rsidP="3A5FC3B6" w:rsidRDefault="00D01124" w14:paraId="0BC6A7F1" w14:textId="77777777" w14:noSpellErr="1">
      <w:pPr>
        <w:pStyle w:val="NoSpacing"/>
        <w:rPr>
          <w:color w:val="auto"/>
        </w:rPr>
      </w:pPr>
    </w:p>
    <w:p w:rsidR="00D01124" w:rsidP="3A5FC3B6" w:rsidRDefault="00D01124" w14:paraId="0BC6A7F2" w14:textId="2700780A" w14:noSpellErr="1">
      <w:pPr>
        <w:pStyle w:val="NoSpacing"/>
        <w:rPr>
          <w:color w:val="auto"/>
        </w:rPr>
      </w:pPr>
      <w:r w:rsidRPr="3A5FC3B6" w:rsidR="3A5FC3B6">
        <w:rPr>
          <w:color w:val="auto"/>
        </w:rPr>
        <w:t xml:space="preserve">Results: 107 papers were </w:t>
      </w:r>
      <w:r w:rsidRPr="3A5FC3B6" w:rsidR="3A5FC3B6">
        <w:rPr>
          <w:color w:val="auto"/>
        </w:rPr>
        <w:t>identified</w:t>
      </w:r>
      <w:r w:rsidRPr="3A5FC3B6" w:rsidR="3A5FC3B6">
        <w:rPr>
          <w:color w:val="auto"/>
        </w:rPr>
        <w:t xml:space="preserve"> and </w:t>
      </w:r>
      <w:r w:rsidRPr="3A5FC3B6" w:rsidR="3A5FC3B6">
        <w:rPr>
          <w:color w:val="auto"/>
        </w:rPr>
        <w:t>1</w:t>
      </w:r>
      <w:r w:rsidRPr="3A5FC3B6" w:rsidR="3A5FC3B6">
        <w:rPr>
          <w:color w:val="auto"/>
        </w:rPr>
        <w:t>0</w:t>
      </w:r>
      <w:r w:rsidRPr="3A5FC3B6" w:rsidR="3A5FC3B6">
        <w:rPr>
          <w:color w:val="auto"/>
        </w:rPr>
        <w:t xml:space="preserve"> papers included for meta-analysis. Complication rates were significantly reduced with ERAS compared to non-ERAS protocols (ERAS n=709, non-ERAS n=930) (odds ratio 0.38, 0.22 to 0.65: p=0.0005)</w:t>
      </w:r>
      <w:r w:rsidRPr="3A5FC3B6" w:rsidR="3A5FC3B6">
        <w:rPr>
          <w:color w:val="auto"/>
        </w:rPr>
        <w:t xml:space="preserve">.  </w:t>
      </w:r>
      <w:r w:rsidRPr="3A5FC3B6" w:rsidR="3A5FC3B6">
        <w:rPr>
          <w:color w:val="auto"/>
        </w:rPr>
        <w:t>LOS was also significantly reduced with an ERAS protocol (ERAS n=708, non-ERAS n=956) with a mean reduction of 3 .</w:t>
      </w:r>
      <w:r w:rsidRPr="3A5FC3B6" w:rsidR="3A5FC3B6">
        <w:rPr>
          <w:color w:val="auto"/>
        </w:rPr>
        <w:t>18</w:t>
      </w:r>
      <w:r w:rsidRPr="3A5FC3B6" w:rsidR="3A5FC3B6">
        <w:rPr>
          <w:color w:val="auto"/>
        </w:rPr>
        <w:t xml:space="preserve"> days (-</w:t>
      </w:r>
      <w:r w:rsidRPr="3A5FC3B6" w:rsidR="3A5FC3B6">
        <w:rPr>
          <w:color w:val="auto"/>
        </w:rPr>
        <w:t>5.01</w:t>
      </w:r>
      <w:r w:rsidRPr="3A5FC3B6" w:rsidR="3A5FC3B6">
        <w:rPr>
          <w:color w:val="auto"/>
        </w:rPr>
        <w:t xml:space="preserve"> to -1.</w:t>
      </w:r>
      <w:r w:rsidRPr="3A5FC3B6" w:rsidR="3A5FC3B6">
        <w:rPr>
          <w:color w:val="auto"/>
        </w:rPr>
        <w:t>35</w:t>
      </w:r>
      <w:r w:rsidRPr="3A5FC3B6" w:rsidR="3A5FC3B6">
        <w:rPr>
          <w:color w:val="auto"/>
        </w:rPr>
        <w:t xml:space="preserve"> days) (p=0.00</w:t>
      </w:r>
      <w:r w:rsidRPr="3A5FC3B6" w:rsidR="3A5FC3B6">
        <w:rPr>
          <w:color w:val="auto"/>
        </w:rPr>
        <w:t>07</w:t>
      </w:r>
      <w:r w:rsidRPr="3A5FC3B6" w:rsidR="3A5FC3B6">
        <w:rPr>
          <w:color w:val="auto"/>
        </w:rPr>
        <w:t>:</w:t>
      </w:r>
      <w:r w:rsidRPr="3A5FC3B6" w:rsidR="3A5FC3B6">
        <w:rPr>
          <w:color w:val="auto"/>
        </w:rPr>
        <w:t xml:space="preserve"> </w:t>
      </w:r>
      <w:r w:rsidRPr="3A5FC3B6" w:rsidR="3A5FC3B6">
        <w:rPr>
          <w:color w:val="auto"/>
        </w:rPr>
        <w:t>I</w:t>
      </w:r>
      <w:r w:rsidRPr="3A5FC3B6" w:rsidR="3A5FC3B6">
        <w:rPr>
          <w:color w:val="auto"/>
          <w:vertAlign w:val="superscript"/>
        </w:rPr>
        <w:t xml:space="preserve">2 </w:t>
      </w:r>
      <w:r w:rsidRPr="3A5FC3B6" w:rsidR="3A5FC3B6">
        <w:rPr>
          <w:color w:val="auto"/>
        </w:rPr>
        <w:t>=</w:t>
      </w:r>
      <w:r w:rsidRPr="3A5FC3B6" w:rsidR="3A5FC3B6">
        <w:rPr>
          <w:color w:val="auto"/>
        </w:rPr>
        <w:t>9</w:t>
      </w:r>
      <w:r w:rsidRPr="3A5FC3B6" w:rsidR="3A5FC3B6">
        <w:rPr>
          <w:color w:val="auto"/>
        </w:rPr>
        <w:t>7</w:t>
      </w:r>
      <w:r w:rsidRPr="3A5FC3B6" w:rsidR="3A5FC3B6">
        <w:rPr>
          <w:color w:val="auto"/>
        </w:rPr>
        <w:t>%)</w:t>
      </w:r>
      <w:r w:rsidRPr="3A5FC3B6" w:rsidR="3A5FC3B6">
        <w:rPr>
          <w:color w:val="auto"/>
        </w:rPr>
        <w:t xml:space="preserve">.  </w:t>
      </w:r>
      <w:r w:rsidRPr="3A5FC3B6" w:rsidR="3A5FC3B6">
        <w:rPr>
          <w:color w:val="auto"/>
        </w:rPr>
        <w:t>There was no significant difference however in 30-day mortality (p=0.92).</w:t>
      </w:r>
    </w:p>
    <w:p w:rsidR="00D01124" w:rsidP="3A5FC3B6" w:rsidRDefault="00D01124" w14:paraId="0BC6A7F3" w14:textId="77777777" w14:noSpellErr="1">
      <w:pPr>
        <w:pStyle w:val="NoSpacing"/>
        <w:rPr>
          <w:color w:val="auto"/>
        </w:rPr>
      </w:pPr>
    </w:p>
    <w:p w:rsidR="007216B3" w:rsidP="3A5FC3B6" w:rsidRDefault="00D01124" w14:paraId="0BC6A7F4" w14:textId="77777777" w14:noSpellErr="1">
      <w:pPr>
        <w:pStyle w:val="NoSpacing"/>
        <w:rPr>
          <w:color w:val="auto"/>
        </w:rPr>
      </w:pPr>
      <w:r w:rsidRPr="3A5FC3B6" w:rsidR="3A5FC3B6">
        <w:rPr>
          <w:color w:val="auto"/>
        </w:rPr>
        <w:t xml:space="preserve">Conclusion: This meta-analysis </w:t>
      </w:r>
      <w:r w:rsidRPr="3A5FC3B6" w:rsidR="3A5FC3B6">
        <w:rPr>
          <w:color w:val="auto"/>
        </w:rPr>
        <w:t>demonstrates</w:t>
      </w:r>
      <w:r w:rsidRPr="3A5FC3B6" w:rsidR="3A5FC3B6">
        <w:rPr>
          <w:color w:val="auto"/>
        </w:rPr>
        <w:t xml:space="preserve"> significant benefits to an enhanced recovery programme in open AAA surgery.</w:t>
      </w:r>
      <w:r w:rsidRPr="3A5FC3B6" w:rsidR="3A5FC3B6">
        <w:rPr>
          <w:color w:val="auto"/>
        </w:rPr>
        <w:t xml:space="preserve"> </w:t>
      </w:r>
      <w:r w:rsidRPr="3A5FC3B6" w:rsidR="3A5FC3B6">
        <w:rPr>
          <w:color w:val="auto"/>
        </w:rPr>
        <w:t>There is a need for a multi-centre randomized controlled trial to assess this further.</w:t>
      </w:r>
    </w:p>
    <w:p w:rsidR="000D4FAF" w:rsidP="3A5FC3B6" w:rsidRDefault="000D4FAF" w14:paraId="0BC6A7F5" w14:textId="77777777" w14:noSpellErr="1">
      <w:pPr>
        <w:pStyle w:val="NoSpacing"/>
        <w:rPr>
          <w:color w:val="auto"/>
        </w:rPr>
      </w:pPr>
    </w:p>
    <w:p w:rsidR="000D4FAF" w:rsidP="3A5FC3B6" w:rsidRDefault="000D4FAF" w14:paraId="0BC6A7F6" w14:textId="77777777" w14:noSpellErr="1">
      <w:pPr>
        <w:pStyle w:val="NoSpacing"/>
        <w:rPr>
          <w:color w:val="auto"/>
        </w:rPr>
      </w:pPr>
    </w:p>
    <w:p w:rsidRPr="00102FB5" w:rsidR="00984519" w:rsidP="3A5FC3B6" w:rsidRDefault="00B27B73" w14:paraId="18C05F43" w14:textId="77216B1D">
      <w:pPr>
        <w:pStyle w:val="NoSpacing"/>
        <w:rPr>
          <w:color w:val="auto"/>
        </w:rPr>
      </w:pPr>
      <w:r w:rsidRPr="3A5FC3B6" w:rsidR="3A5FC3B6">
        <w:rPr>
          <w:b w:val="1"/>
          <w:bCs w:val="1"/>
          <w:color w:val="auto"/>
        </w:rPr>
        <w:t xml:space="preserve">Key words: </w:t>
      </w:r>
      <w:r w:rsidRPr="3A5FC3B6" w:rsidR="3A5FC3B6">
        <w:rPr>
          <w:color w:val="auto"/>
        </w:rPr>
        <w:t xml:space="preserve">Enhanced recovery, </w:t>
      </w:r>
      <w:r w:rsidRPr="3A5FC3B6" w:rsidR="3A5FC3B6">
        <w:rPr>
          <w:color w:val="auto"/>
        </w:rPr>
        <w:t xml:space="preserve">abdominal aortic </w:t>
      </w:r>
      <w:r w:rsidRPr="3A5FC3B6" w:rsidR="3A5FC3B6">
        <w:rPr>
          <w:color w:val="auto"/>
        </w:rPr>
        <w:t>a</w:t>
      </w:r>
      <w:r w:rsidRPr="3A5FC3B6" w:rsidR="3A5FC3B6">
        <w:rPr>
          <w:color w:val="auto"/>
        </w:rPr>
        <w:t>neursym</w:t>
      </w:r>
      <w:r w:rsidRPr="3A5FC3B6" w:rsidR="3A5FC3B6">
        <w:rPr>
          <w:color w:val="auto"/>
        </w:rPr>
        <w:t xml:space="preserve">, </w:t>
      </w:r>
      <w:r w:rsidRPr="3A5FC3B6" w:rsidR="3A5FC3B6">
        <w:rPr>
          <w:color w:val="auto"/>
        </w:rPr>
        <w:t>open vascular surgery, major complications, length of stay</w:t>
      </w:r>
    </w:p>
    <w:p w:rsidR="00984519" w:rsidP="3A5FC3B6" w:rsidRDefault="00984519" w14:paraId="27135832" w14:textId="77777777" w14:noSpellErr="1">
      <w:pPr>
        <w:pStyle w:val="NoSpacing"/>
        <w:rPr>
          <w:b w:val="1"/>
          <w:bCs w:val="1"/>
          <w:color w:val="auto"/>
        </w:rPr>
      </w:pPr>
    </w:p>
    <w:p w:rsidR="00984519" w:rsidP="3A5FC3B6" w:rsidRDefault="00984519" w14:paraId="2C2B3B40" w14:textId="77777777" w14:noSpellErr="1">
      <w:pPr>
        <w:pStyle w:val="NoSpacing"/>
        <w:rPr>
          <w:b w:val="1"/>
          <w:bCs w:val="1"/>
          <w:color w:val="auto"/>
        </w:rPr>
      </w:pPr>
    </w:p>
    <w:p w:rsidR="00984519" w:rsidP="3A5FC3B6" w:rsidRDefault="00984519" w14:paraId="118CCBDD" w14:textId="77777777" w14:noSpellErr="1">
      <w:pPr>
        <w:pStyle w:val="NoSpacing"/>
        <w:rPr>
          <w:b w:val="1"/>
          <w:bCs w:val="1"/>
          <w:color w:val="auto"/>
        </w:rPr>
      </w:pPr>
    </w:p>
    <w:p w:rsidR="00984519" w:rsidP="3A5FC3B6" w:rsidRDefault="00984519" w14:paraId="617586F2" w14:textId="77777777" w14:noSpellErr="1">
      <w:pPr>
        <w:pStyle w:val="NoSpacing"/>
        <w:rPr>
          <w:b w:val="1"/>
          <w:bCs w:val="1"/>
          <w:color w:val="auto"/>
        </w:rPr>
      </w:pPr>
    </w:p>
    <w:p w:rsidR="00984519" w:rsidP="3A5FC3B6" w:rsidRDefault="00984519" w14:paraId="74C6CB73" w14:textId="77777777" w14:noSpellErr="1">
      <w:pPr>
        <w:pStyle w:val="NoSpacing"/>
        <w:rPr>
          <w:b w:val="1"/>
          <w:bCs w:val="1"/>
          <w:color w:val="auto"/>
        </w:rPr>
      </w:pPr>
    </w:p>
    <w:p w:rsidR="00984519" w:rsidP="3A5FC3B6" w:rsidRDefault="00984519" w14:paraId="0977FD4E" w14:textId="77777777" w14:noSpellErr="1">
      <w:pPr>
        <w:pStyle w:val="NoSpacing"/>
        <w:rPr>
          <w:b w:val="1"/>
          <w:bCs w:val="1"/>
          <w:color w:val="auto"/>
        </w:rPr>
      </w:pPr>
    </w:p>
    <w:p w:rsidR="00984519" w:rsidP="3A5FC3B6" w:rsidRDefault="00984519" w14:paraId="5B3D5CFF" w14:textId="77777777" w14:noSpellErr="1">
      <w:pPr>
        <w:pStyle w:val="NoSpacing"/>
        <w:rPr>
          <w:b w:val="1"/>
          <w:bCs w:val="1"/>
          <w:color w:val="auto"/>
        </w:rPr>
      </w:pPr>
    </w:p>
    <w:p w:rsidR="00984519" w:rsidP="3A5FC3B6" w:rsidRDefault="00984519" w14:paraId="5C257D4C" w14:textId="77777777" w14:noSpellErr="1">
      <w:pPr>
        <w:pStyle w:val="NoSpacing"/>
        <w:rPr>
          <w:b w:val="1"/>
          <w:bCs w:val="1"/>
          <w:color w:val="auto"/>
        </w:rPr>
      </w:pPr>
    </w:p>
    <w:p w:rsidR="00984519" w:rsidP="3A5FC3B6" w:rsidRDefault="00984519" w14:paraId="2544C492" w14:textId="77777777" w14:noSpellErr="1">
      <w:pPr>
        <w:pStyle w:val="NoSpacing"/>
        <w:rPr>
          <w:b w:val="1"/>
          <w:bCs w:val="1"/>
          <w:color w:val="auto"/>
        </w:rPr>
      </w:pPr>
    </w:p>
    <w:p w:rsidR="00984519" w:rsidP="3A5FC3B6" w:rsidRDefault="00984519" w14:paraId="5A35E775" w14:textId="77777777" w14:noSpellErr="1">
      <w:pPr>
        <w:pStyle w:val="NoSpacing"/>
        <w:rPr>
          <w:b w:val="1"/>
          <w:bCs w:val="1"/>
          <w:color w:val="auto"/>
        </w:rPr>
      </w:pPr>
    </w:p>
    <w:p w:rsidR="00984519" w:rsidP="3A5FC3B6" w:rsidRDefault="00984519" w14:paraId="60FD6C36" w14:textId="77777777" w14:noSpellErr="1">
      <w:pPr>
        <w:pStyle w:val="NoSpacing"/>
        <w:rPr>
          <w:b w:val="1"/>
          <w:bCs w:val="1"/>
          <w:color w:val="auto"/>
        </w:rPr>
      </w:pPr>
    </w:p>
    <w:p w:rsidR="00984519" w:rsidP="3A5FC3B6" w:rsidRDefault="00984519" w14:paraId="752D455B" w14:textId="77777777" w14:noSpellErr="1">
      <w:pPr>
        <w:pStyle w:val="NoSpacing"/>
        <w:rPr>
          <w:b w:val="1"/>
          <w:bCs w:val="1"/>
          <w:color w:val="auto"/>
        </w:rPr>
      </w:pPr>
    </w:p>
    <w:p w:rsidR="00984519" w:rsidP="3A5FC3B6" w:rsidRDefault="00984519" w14:paraId="64CAA9EB" w14:textId="77777777" w14:noSpellErr="1">
      <w:pPr>
        <w:pStyle w:val="NoSpacing"/>
        <w:rPr>
          <w:b w:val="1"/>
          <w:bCs w:val="1"/>
          <w:color w:val="auto"/>
        </w:rPr>
      </w:pPr>
    </w:p>
    <w:p w:rsidR="00984519" w:rsidP="3A5FC3B6" w:rsidRDefault="00984519" w14:paraId="4DE591EF" w14:textId="77777777" w14:noSpellErr="1">
      <w:pPr>
        <w:pStyle w:val="NoSpacing"/>
        <w:rPr>
          <w:b w:val="1"/>
          <w:bCs w:val="1"/>
          <w:color w:val="auto"/>
        </w:rPr>
      </w:pPr>
    </w:p>
    <w:p w:rsidR="00984519" w:rsidP="3A5FC3B6" w:rsidRDefault="00984519" w14:paraId="7B1C576F" w14:textId="77777777" w14:noSpellErr="1">
      <w:pPr>
        <w:pStyle w:val="NoSpacing"/>
        <w:rPr>
          <w:b w:val="1"/>
          <w:bCs w:val="1"/>
          <w:color w:val="auto"/>
        </w:rPr>
      </w:pPr>
    </w:p>
    <w:p w:rsidR="00984519" w:rsidP="3A5FC3B6" w:rsidRDefault="00984519" w14:paraId="095346D2" w14:textId="77777777" w14:noSpellErr="1">
      <w:pPr>
        <w:pStyle w:val="NoSpacing"/>
        <w:rPr>
          <w:b w:val="1"/>
          <w:bCs w:val="1"/>
          <w:color w:val="auto"/>
        </w:rPr>
      </w:pPr>
    </w:p>
    <w:p w:rsidR="00984519" w:rsidP="3A5FC3B6" w:rsidRDefault="00984519" w14:paraId="5AD0A5C1" w14:textId="77777777" w14:noSpellErr="1">
      <w:pPr>
        <w:pStyle w:val="NoSpacing"/>
        <w:rPr>
          <w:b w:val="1"/>
          <w:bCs w:val="1"/>
          <w:color w:val="auto"/>
        </w:rPr>
      </w:pPr>
    </w:p>
    <w:p w:rsidR="00984519" w:rsidP="3A5FC3B6" w:rsidRDefault="00984519" w14:paraId="1173B130" w14:textId="77777777" w14:noSpellErr="1">
      <w:pPr>
        <w:pStyle w:val="NoSpacing"/>
        <w:rPr>
          <w:b w:val="1"/>
          <w:bCs w:val="1"/>
          <w:color w:val="auto"/>
        </w:rPr>
      </w:pPr>
    </w:p>
    <w:p w:rsidR="00984519" w:rsidP="3A5FC3B6" w:rsidRDefault="00984519" w14:paraId="1E612A46" w14:textId="77777777" w14:noSpellErr="1">
      <w:pPr>
        <w:pStyle w:val="NoSpacing"/>
        <w:rPr>
          <w:b w:val="1"/>
          <w:bCs w:val="1"/>
          <w:color w:val="auto"/>
        </w:rPr>
      </w:pPr>
    </w:p>
    <w:p w:rsidR="00984519" w:rsidP="3A5FC3B6" w:rsidRDefault="00984519" w14:paraId="109F7CE0" w14:textId="77777777" w14:noSpellErr="1">
      <w:pPr>
        <w:pStyle w:val="NoSpacing"/>
        <w:rPr>
          <w:b w:val="1"/>
          <w:bCs w:val="1"/>
          <w:color w:val="auto"/>
        </w:rPr>
      </w:pPr>
    </w:p>
    <w:p w:rsidR="00984519" w:rsidP="3A5FC3B6" w:rsidRDefault="00984519" w14:paraId="51864EC1" w14:textId="77777777" w14:noSpellErr="1">
      <w:pPr>
        <w:pStyle w:val="NoSpacing"/>
        <w:rPr>
          <w:b w:val="1"/>
          <w:bCs w:val="1"/>
          <w:color w:val="auto"/>
        </w:rPr>
      </w:pPr>
    </w:p>
    <w:p w:rsidR="00984519" w:rsidP="3A5FC3B6" w:rsidRDefault="00984519" w14:paraId="2888107D" w14:textId="77777777" w14:noSpellErr="1">
      <w:pPr>
        <w:pStyle w:val="NoSpacing"/>
        <w:rPr>
          <w:b w:val="1"/>
          <w:bCs w:val="1"/>
          <w:color w:val="auto"/>
        </w:rPr>
      </w:pPr>
    </w:p>
    <w:p w:rsidR="00984519" w:rsidP="3A5FC3B6" w:rsidRDefault="00984519" w14:paraId="06ED651A" w14:textId="77777777" w14:noSpellErr="1">
      <w:pPr>
        <w:pStyle w:val="NoSpacing"/>
        <w:rPr>
          <w:b w:val="1"/>
          <w:bCs w:val="1"/>
          <w:color w:val="auto"/>
        </w:rPr>
      </w:pPr>
    </w:p>
    <w:p w:rsidR="00984519" w:rsidP="3A5FC3B6" w:rsidRDefault="00984519" w14:paraId="5C4C5A2E" w14:textId="77777777" w14:noSpellErr="1">
      <w:pPr>
        <w:pStyle w:val="NoSpacing"/>
        <w:rPr>
          <w:b w:val="1"/>
          <w:bCs w:val="1"/>
          <w:color w:val="auto"/>
        </w:rPr>
      </w:pPr>
    </w:p>
    <w:p w:rsidR="00984519" w:rsidP="3A5FC3B6" w:rsidRDefault="00984519" w14:paraId="782C7857" w14:textId="77777777" w14:noSpellErr="1">
      <w:pPr>
        <w:pStyle w:val="NoSpacing"/>
        <w:rPr>
          <w:b w:val="1"/>
          <w:bCs w:val="1"/>
          <w:color w:val="auto"/>
        </w:rPr>
      </w:pPr>
    </w:p>
    <w:p w:rsidR="00984519" w:rsidP="3A5FC3B6" w:rsidRDefault="00984519" w14:paraId="5D119571" w14:textId="77777777" w14:noSpellErr="1">
      <w:pPr>
        <w:pStyle w:val="NoSpacing"/>
        <w:rPr>
          <w:b w:val="1"/>
          <w:bCs w:val="1"/>
          <w:color w:val="auto"/>
        </w:rPr>
      </w:pPr>
    </w:p>
    <w:p w:rsidR="00984519" w:rsidP="3A5FC3B6" w:rsidRDefault="00984519" w14:paraId="069F095D" w14:textId="77777777" w14:noSpellErr="1">
      <w:pPr>
        <w:pStyle w:val="NoSpacing"/>
        <w:rPr>
          <w:b w:val="1"/>
          <w:bCs w:val="1"/>
          <w:color w:val="auto"/>
        </w:rPr>
      </w:pPr>
    </w:p>
    <w:p w:rsidR="00984519" w:rsidP="3A5FC3B6" w:rsidRDefault="00984519" w14:paraId="1E36EB2F" w14:textId="77777777" w14:noSpellErr="1">
      <w:pPr>
        <w:pStyle w:val="NoSpacing"/>
        <w:rPr>
          <w:b w:val="1"/>
          <w:bCs w:val="1"/>
          <w:color w:val="auto"/>
        </w:rPr>
      </w:pPr>
    </w:p>
    <w:p w:rsidR="00984519" w:rsidP="3A5FC3B6" w:rsidRDefault="00984519" w14:paraId="3BE93EF8" w14:textId="77777777" w14:noSpellErr="1">
      <w:pPr>
        <w:pStyle w:val="NoSpacing"/>
        <w:rPr>
          <w:b w:val="1"/>
          <w:bCs w:val="1"/>
          <w:color w:val="auto"/>
        </w:rPr>
      </w:pPr>
    </w:p>
    <w:p w:rsidR="00984519" w:rsidP="3A5FC3B6" w:rsidRDefault="00984519" w14:paraId="7E218236" w14:textId="77777777" w14:noSpellErr="1">
      <w:pPr>
        <w:pStyle w:val="NoSpacing"/>
        <w:rPr>
          <w:b w:val="1"/>
          <w:bCs w:val="1"/>
          <w:color w:val="auto"/>
        </w:rPr>
      </w:pPr>
    </w:p>
    <w:p w:rsidR="00984519" w:rsidP="3A5FC3B6" w:rsidRDefault="00984519" w14:paraId="668D54D1" w14:textId="77777777" w14:noSpellErr="1">
      <w:pPr>
        <w:pStyle w:val="NoSpacing"/>
        <w:rPr>
          <w:b w:val="1"/>
          <w:bCs w:val="1"/>
          <w:color w:val="auto"/>
        </w:rPr>
      </w:pPr>
    </w:p>
    <w:p w:rsidR="00984519" w:rsidP="3A5FC3B6" w:rsidRDefault="00984519" w14:paraId="56FBB1DD" w14:textId="77777777" w14:noSpellErr="1">
      <w:pPr>
        <w:pStyle w:val="NoSpacing"/>
        <w:rPr>
          <w:b w:val="1"/>
          <w:bCs w:val="1"/>
          <w:color w:val="auto"/>
        </w:rPr>
      </w:pPr>
    </w:p>
    <w:p w:rsidR="00984519" w:rsidP="3A5FC3B6" w:rsidRDefault="00984519" w14:paraId="10E34042" w14:textId="77777777" w14:noSpellErr="1">
      <w:pPr>
        <w:pStyle w:val="NoSpacing"/>
        <w:rPr>
          <w:b w:val="1"/>
          <w:bCs w:val="1"/>
          <w:color w:val="auto"/>
        </w:rPr>
      </w:pPr>
    </w:p>
    <w:p w:rsidR="0095234F" w:rsidP="3A5FC3B6" w:rsidRDefault="0095234F" w14:paraId="087C0DC5" w14:textId="77777777" w14:noSpellErr="1">
      <w:pPr>
        <w:pStyle w:val="NoSpacing"/>
        <w:rPr>
          <w:b w:val="1"/>
          <w:bCs w:val="1"/>
          <w:color w:val="auto"/>
        </w:rPr>
      </w:pPr>
    </w:p>
    <w:p w:rsidRPr="00102FB5" w:rsidR="00250645" w:rsidP="3A5FC3B6" w:rsidRDefault="00250645" w14:paraId="6A8A79E5" w14:textId="18C84EAB" w14:noSpellErr="1">
      <w:pPr>
        <w:pStyle w:val="NoSpacing"/>
        <w:rPr>
          <w:b w:val="1"/>
          <w:bCs w:val="1"/>
          <w:color w:val="auto"/>
          <w:sz w:val="24"/>
          <w:szCs w:val="24"/>
          <w:u w:val="single"/>
        </w:rPr>
      </w:pPr>
      <w:r w:rsidRPr="3A5FC3B6" w:rsidR="3A5FC3B6">
        <w:rPr>
          <w:b w:val="1"/>
          <w:bCs w:val="1"/>
          <w:color w:val="auto"/>
          <w:sz w:val="24"/>
          <w:szCs w:val="24"/>
          <w:u w:val="single"/>
        </w:rPr>
        <w:t>A systematic review and meta-analysis of enhanced recovery for open abdominal aortic aneurysm surgery</w:t>
      </w:r>
    </w:p>
    <w:p w:rsidR="00250645" w:rsidP="3A5FC3B6" w:rsidRDefault="00250645" w14:paraId="5D733B01" w14:textId="77777777" w14:noSpellErr="1">
      <w:pPr>
        <w:pStyle w:val="NoSpacing"/>
        <w:rPr>
          <w:b w:val="1"/>
          <w:bCs w:val="1"/>
          <w:color w:val="auto"/>
        </w:rPr>
      </w:pPr>
    </w:p>
    <w:p w:rsidRPr="000D4FAF" w:rsidR="000D4FAF" w:rsidP="3A5FC3B6" w:rsidRDefault="000D4FAF" w14:paraId="0BC6A7F7" w14:textId="77777777" w14:noSpellErr="1">
      <w:pPr>
        <w:pStyle w:val="NoSpacing"/>
        <w:rPr>
          <w:b w:val="1"/>
          <w:bCs w:val="1"/>
          <w:color w:val="auto"/>
        </w:rPr>
      </w:pPr>
      <w:r w:rsidRPr="3A5FC3B6" w:rsidR="3A5FC3B6">
        <w:rPr>
          <w:b w:val="1"/>
          <w:bCs w:val="1"/>
          <w:color w:val="auto"/>
        </w:rPr>
        <w:t>INTRODUCTION</w:t>
      </w:r>
    </w:p>
    <w:p w:rsidRPr="0088032D" w:rsidR="000D4FAF" w:rsidP="3A5FC3B6" w:rsidRDefault="000D4FAF" w14:paraId="0BC6A7F8" w14:textId="77777777" w14:noSpellErr="1">
      <w:pPr>
        <w:pStyle w:val="NoSpacing"/>
        <w:jc w:val="center"/>
        <w:rPr>
          <w:color w:val="auto"/>
        </w:rPr>
      </w:pPr>
    </w:p>
    <w:p w:rsidRPr="0088032D" w:rsidR="000D4FAF" w:rsidP="3A5FC3B6" w:rsidRDefault="00696125" w14:paraId="0BC6A7F9" w14:textId="7623DD01" w14:noSpellErr="1">
      <w:pPr>
        <w:pStyle w:val="NoSpacing"/>
        <w:rPr>
          <w:color w:val="auto"/>
        </w:rPr>
      </w:pPr>
      <w:r w:rsidRPr="3A5FC3B6" w:rsidR="3A5FC3B6">
        <w:rPr>
          <w:color w:val="auto"/>
        </w:rPr>
        <w:t xml:space="preserve">Endovascular aneurysm repair for abdominal aortic aneurysms (AAA) has become increasingly utilised due to shorter length of stay and lower peri-operative mortality. </w:t>
      </w:r>
      <w:r w:rsidRPr="3A5FC3B6" w:rsidR="3A5FC3B6">
        <w:rPr>
          <w:color w:val="auto"/>
        </w:rPr>
        <w:t xml:space="preserve">Open </w:t>
      </w:r>
      <w:r w:rsidRPr="3A5FC3B6" w:rsidR="3A5FC3B6">
        <w:rPr>
          <w:color w:val="auto"/>
        </w:rPr>
        <w:t>surgical AAA repair</w:t>
      </w:r>
      <w:r w:rsidRPr="3A5FC3B6" w:rsidR="3A5FC3B6">
        <w:rPr>
          <w:color w:val="auto"/>
        </w:rPr>
        <w:t xml:space="preserve"> (OSR) is associated with high</w:t>
      </w:r>
      <w:r w:rsidRPr="3A5FC3B6" w:rsidR="3A5FC3B6">
        <w:rPr>
          <w:color w:val="auto"/>
        </w:rPr>
        <w:t>er</w:t>
      </w:r>
      <w:r w:rsidRPr="3A5FC3B6" w:rsidR="3A5FC3B6">
        <w:rPr>
          <w:color w:val="auto"/>
        </w:rPr>
        <w:t xml:space="preserve"> peri-operative morbidity and mortality and </w:t>
      </w:r>
      <w:r w:rsidRPr="3A5FC3B6" w:rsidR="3A5FC3B6">
        <w:rPr>
          <w:color w:val="auto"/>
        </w:rPr>
        <w:t xml:space="preserve">an increased </w:t>
      </w:r>
      <w:r w:rsidRPr="3A5FC3B6" w:rsidR="3A5FC3B6">
        <w:rPr>
          <w:color w:val="auto"/>
        </w:rPr>
        <w:t>length of stay (LOS)</w:t>
      </w:r>
      <w:r w:rsidRPr="3A5FC3B6" w:rsidR="3A5FC3B6">
        <w:rPr>
          <w:color w:val="auto"/>
          <w:vertAlign w:val="superscript"/>
        </w:rPr>
        <w:t>1,2</w:t>
      </w:r>
      <w:r w:rsidRPr="3A5FC3B6" w:rsidR="3A5FC3B6">
        <w:rPr>
          <w:color w:val="auto"/>
        </w:rPr>
        <w:t>,</w:t>
      </w:r>
      <w:r w:rsidRPr="3A5FC3B6" w:rsidR="3A5FC3B6">
        <w:rPr>
          <w:color w:val="auto"/>
        </w:rPr>
        <w:t xml:space="preserve"> </w:t>
      </w:r>
      <w:r w:rsidRPr="3A5FC3B6" w:rsidR="3A5FC3B6">
        <w:rPr>
          <w:color w:val="auto"/>
        </w:rPr>
        <w:t>however</w:t>
      </w:r>
      <w:r w:rsidRPr="3A5FC3B6" w:rsidR="3A5FC3B6">
        <w:rPr>
          <w:color w:val="auto"/>
        </w:rPr>
        <w:t xml:space="preserve"> there have been significant advances in reduction in these outcome measures in open abdominal surgery in recent years</w:t>
      </w:r>
      <w:r w:rsidRPr="3A5FC3B6" w:rsidR="3A5FC3B6">
        <w:rPr>
          <w:color w:val="auto"/>
          <w:vertAlign w:val="superscript"/>
        </w:rPr>
        <w:t>3</w:t>
      </w:r>
      <w:r w:rsidRPr="3A5FC3B6" w:rsidR="3A5FC3B6">
        <w:rPr>
          <w:color w:val="auto"/>
        </w:rPr>
        <w:t>.</w:t>
      </w:r>
      <w:r w:rsidRPr="3A5FC3B6" w:rsidR="3A5FC3B6">
        <w:rPr>
          <w:color w:val="auto"/>
        </w:rPr>
        <w:t xml:space="preserve"> </w:t>
      </w:r>
      <w:r w:rsidRPr="3A5FC3B6" w:rsidR="3A5FC3B6">
        <w:rPr>
          <w:color w:val="auto"/>
        </w:rPr>
        <w:t>Enhanced recovery after surgery (ERAS) is now commonly applied in other surgical specialties with similarly large</w:t>
      </w:r>
      <w:r w:rsidRPr="3A5FC3B6" w:rsidR="3A5FC3B6">
        <w:rPr>
          <w:color w:val="auto"/>
        </w:rPr>
        <w:t>-</w:t>
      </w:r>
      <w:r w:rsidRPr="3A5FC3B6" w:rsidR="3A5FC3B6">
        <w:rPr>
          <w:color w:val="auto"/>
        </w:rPr>
        <w:t>scale operations including colonic resections, upper gastrointestinal surgery and cardiac surgery</w:t>
      </w:r>
      <w:r w:rsidRPr="3A5FC3B6" w:rsidR="3A5FC3B6">
        <w:rPr>
          <w:color w:val="auto"/>
          <w:vertAlign w:val="superscript"/>
        </w:rPr>
        <w:t>4</w:t>
      </w:r>
      <w:r w:rsidRPr="3A5FC3B6" w:rsidR="3A5FC3B6">
        <w:rPr>
          <w:color w:val="auto"/>
          <w:vertAlign w:val="superscript"/>
        </w:rPr>
        <w:t>,5</w:t>
      </w:r>
      <w:r w:rsidRPr="3A5FC3B6" w:rsidR="3A5FC3B6">
        <w:rPr>
          <w:color w:val="auto"/>
          <w:vertAlign w:val="superscript"/>
        </w:rPr>
        <w:t>,6</w:t>
      </w:r>
      <w:r w:rsidRPr="3A5FC3B6" w:rsidR="3A5FC3B6">
        <w:rPr>
          <w:color w:val="auto"/>
        </w:rPr>
        <w:t xml:space="preserve">.  </w:t>
      </w:r>
      <w:r w:rsidRPr="3A5FC3B6" w:rsidR="3A5FC3B6">
        <w:rPr>
          <w:color w:val="auto"/>
        </w:rPr>
        <w:t>I</w:t>
      </w:r>
      <w:r w:rsidRPr="3A5FC3B6" w:rsidR="3A5FC3B6">
        <w:rPr>
          <w:color w:val="auto"/>
        </w:rPr>
        <w:t>t has been shown to reduce complications after abdominal surgery by as much as 40% and LOS by 30%</w:t>
      </w:r>
      <w:r w:rsidRPr="3A5FC3B6" w:rsidR="3A5FC3B6">
        <w:rPr>
          <w:color w:val="auto"/>
          <w:vertAlign w:val="superscript"/>
        </w:rPr>
        <w:t>3</w:t>
      </w:r>
      <w:r w:rsidRPr="3A5FC3B6" w:rsidR="3A5FC3B6">
        <w:rPr>
          <w:color w:val="auto"/>
        </w:rPr>
        <w:t xml:space="preserve">.  </w:t>
      </w:r>
    </w:p>
    <w:p w:rsidR="000D4FAF" w:rsidP="3A5FC3B6" w:rsidRDefault="000D4FAF" w14:paraId="0BC6A7FA" w14:textId="77777777" w14:noSpellErr="1">
      <w:pPr>
        <w:pStyle w:val="NoSpacing"/>
        <w:rPr>
          <w:color w:val="auto"/>
        </w:rPr>
      </w:pPr>
    </w:p>
    <w:p w:rsidR="000D4FAF" w:rsidP="3A5FC3B6" w:rsidRDefault="000D4FAF" w14:paraId="0BC6A7FC" w14:textId="21523E6A" w14:noSpellErr="1">
      <w:pPr>
        <w:pStyle w:val="NoSpacing"/>
        <w:rPr>
          <w:color w:val="auto"/>
        </w:rPr>
      </w:pPr>
      <w:r w:rsidRPr="3A5FC3B6" w:rsidR="3A5FC3B6">
        <w:rPr>
          <w:color w:val="auto"/>
        </w:rPr>
        <w:t xml:space="preserve">ERAS programmes </w:t>
      </w:r>
      <w:r w:rsidRPr="3A5FC3B6" w:rsidR="3A5FC3B6">
        <w:rPr>
          <w:color w:val="auto"/>
        </w:rPr>
        <w:t>typic</w:t>
      </w:r>
      <w:r w:rsidRPr="3A5FC3B6" w:rsidR="3A5FC3B6">
        <w:rPr>
          <w:color w:val="auto"/>
        </w:rPr>
        <w:t xml:space="preserve">ally </w:t>
      </w:r>
      <w:r w:rsidRPr="3A5FC3B6" w:rsidR="3A5FC3B6">
        <w:rPr>
          <w:color w:val="auto"/>
        </w:rPr>
        <w:t>include pre-operative patient education and optimi</w:t>
      </w:r>
      <w:r w:rsidRPr="3A5FC3B6" w:rsidR="3A5FC3B6">
        <w:rPr>
          <w:color w:val="auto"/>
        </w:rPr>
        <w:t>s</w:t>
      </w:r>
      <w:r w:rsidRPr="3A5FC3B6" w:rsidR="3A5FC3B6">
        <w:rPr>
          <w:color w:val="auto"/>
        </w:rPr>
        <w:t>ation, peri-operative management of analgesia and an</w:t>
      </w:r>
      <w:r w:rsidRPr="3A5FC3B6" w:rsidR="3A5FC3B6">
        <w:rPr>
          <w:color w:val="auto"/>
        </w:rPr>
        <w:t>a</w:t>
      </w:r>
      <w:r w:rsidRPr="3A5FC3B6" w:rsidR="3A5FC3B6">
        <w:rPr>
          <w:color w:val="auto"/>
        </w:rPr>
        <w:t>esthetic, peri-operative bowel and nutrition plans and post operative mobili</w:t>
      </w:r>
      <w:r w:rsidRPr="3A5FC3B6" w:rsidR="3A5FC3B6">
        <w:rPr>
          <w:color w:val="auto"/>
        </w:rPr>
        <w:t>s</w:t>
      </w:r>
      <w:r w:rsidRPr="3A5FC3B6" w:rsidR="3A5FC3B6">
        <w:rPr>
          <w:color w:val="auto"/>
        </w:rPr>
        <w:t>ation and discharge plans</w:t>
      </w:r>
      <w:r w:rsidRPr="3A5FC3B6" w:rsidR="3A5FC3B6">
        <w:rPr>
          <w:color w:val="auto"/>
          <w:vertAlign w:val="superscript"/>
        </w:rPr>
        <w:t>7</w:t>
      </w:r>
      <w:r w:rsidRPr="3A5FC3B6" w:rsidR="3A5FC3B6">
        <w:rPr>
          <w:color w:val="auto"/>
        </w:rPr>
        <w:t xml:space="preserve">. </w:t>
      </w:r>
      <w:r w:rsidRPr="3A5FC3B6" w:rsidR="3A5FC3B6">
        <w:rPr>
          <w:color w:val="auto"/>
        </w:rPr>
        <w:t xml:space="preserve">Although not standard practice in most vascular units, there is some limited evidence that ERAS can improve outcomes in vascular surgery, particularly </w:t>
      </w:r>
      <w:r w:rsidRPr="3A5FC3B6" w:rsidR="3A5FC3B6">
        <w:rPr>
          <w:color w:val="auto"/>
        </w:rPr>
        <w:t xml:space="preserve">for </w:t>
      </w:r>
      <w:r w:rsidRPr="3A5FC3B6" w:rsidR="3A5FC3B6">
        <w:rPr>
          <w:color w:val="auto"/>
        </w:rPr>
        <w:t>open aortic procedures</w:t>
      </w:r>
      <w:r w:rsidRPr="3A5FC3B6" w:rsidR="3A5FC3B6">
        <w:rPr>
          <w:color w:val="auto"/>
          <w:vertAlign w:val="superscript"/>
        </w:rPr>
        <w:t>8</w:t>
      </w:r>
      <w:r w:rsidRPr="3A5FC3B6" w:rsidR="3A5FC3B6">
        <w:rPr>
          <w:color w:val="auto"/>
        </w:rPr>
        <w:t xml:space="preserve">.  </w:t>
      </w:r>
      <w:r w:rsidRPr="3A5FC3B6" w:rsidR="3A5FC3B6">
        <w:rPr>
          <w:color w:val="auto"/>
        </w:rPr>
        <w:t>Howeve</w:t>
      </w:r>
      <w:r w:rsidRPr="3A5FC3B6" w:rsidR="3A5FC3B6">
        <w:rPr>
          <w:color w:val="auto"/>
        </w:rPr>
        <w:t>r</w:t>
      </w:r>
      <w:r w:rsidRPr="3A5FC3B6" w:rsidR="3A5FC3B6">
        <w:rPr>
          <w:color w:val="auto"/>
        </w:rPr>
        <w:t>, there is</w:t>
      </w:r>
      <w:r w:rsidRPr="3A5FC3B6" w:rsidR="3A5FC3B6">
        <w:rPr>
          <w:color w:val="auto"/>
        </w:rPr>
        <w:t xml:space="preserve"> little evidence available for ERAS specifically for aortic procedures</w:t>
      </w:r>
      <w:r w:rsidRPr="3A5FC3B6" w:rsidR="3A5FC3B6">
        <w:rPr>
          <w:color w:val="auto"/>
        </w:rPr>
        <w:t xml:space="preserve">.  </w:t>
      </w:r>
      <w:r w:rsidRPr="3A5FC3B6" w:rsidR="3A5FC3B6">
        <w:rPr>
          <w:color w:val="auto"/>
        </w:rPr>
        <w:t xml:space="preserve">This systematic review and meta-analysis </w:t>
      </w:r>
      <w:r w:rsidRPr="3A5FC3B6" w:rsidR="3A5FC3B6">
        <w:rPr>
          <w:color w:val="auto"/>
        </w:rPr>
        <w:t>aims</w:t>
      </w:r>
      <w:r w:rsidRPr="3A5FC3B6" w:rsidR="3A5FC3B6">
        <w:rPr>
          <w:color w:val="auto"/>
        </w:rPr>
        <w:t xml:space="preserve"> to </w:t>
      </w:r>
      <w:r w:rsidRPr="3A5FC3B6" w:rsidR="3A5FC3B6">
        <w:rPr>
          <w:color w:val="auto"/>
        </w:rPr>
        <w:t>determine</w:t>
      </w:r>
      <w:r w:rsidRPr="3A5FC3B6" w:rsidR="3A5FC3B6">
        <w:rPr>
          <w:color w:val="auto"/>
        </w:rPr>
        <w:t xml:space="preserve"> the impact of an ERAS protocol in open abdominal aortic aneurysm repair.</w:t>
      </w:r>
      <w:r w:rsidRPr="3A5FC3B6" w:rsidR="3A5FC3B6">
        <w:rPr>
          <w:color w:val="auto"/>
        </w:rPr>
        <w:t xml:space="preserve"> </w:t>
      </w:r>
    </w:p>
    <w:p w:rsidR="00BC1255" w:rsidP="3A5FC3B6" w:rsidRDefault="00BC1255" w14:paraId="0BC6A7FD" w14:textId="77777777" w14:noSpellErr="1">
      <w:pPr>
        <w:pStyle w:val="NoSpacing"/>
        <w:rPr>
          <w:color w:val="auto"/>
        </w:rPr>
      </w:pPr>
    </w:p>
    <w:p w:rsidR="00BC1255" w:rsidP="3A5FC3B6" w:rsidRDefault="00BC1255" w14:paraId="0BC6A7FE" w14:textId="77777777" w14:noSpellErr="1">
      <w:pPr>
        <w:pStyle w:val="NoSpacing"/>
        <w:rPr>
          <w:color w:val="auto"/>
        </w:rPr>
      </w:pPr>
    </w:p>
    <w:p w:rsidR="00071AF5" w:rsidP="3A5FC3B6" w:rsidRDefault="00071AF5" w14:paraId="0BC6A7FF" w14:textId="77777777" w14:noSpellErr="1">
      <w:pPr>
        <w:pStyle w:val="NoSpacing"/>
        <w:rPr>
          <w:b w:val="1"/>
          <w:bCs w:val="1"/>
          <w:color w:val="auto"/>
        </w:rPr>
      </w:pPr>
      <w:r w:rsidRPr="3A5FC3B6" w:rsidR="3A5FC3B6">
        <w:rPr>
          <w:b w:val="1"/>
          <w:bCs w:val="1"/>
          <w:color w:val="auto"/>
        </w:rPr>
        <w:t>METHODS</w:t>
      </w:r>
    </w:p>
    <w:p w:rsidRPr="00980717" w:rsidR="00071AF5" w:rsidP="3A5FC3B6" w:rsidRDefault="00071AF5" w14:paraId="0BC6A800" w14:textId="77777777" w14:noSpellErr="1">
      <w:pPr>
        <w:pStyle w:val="NoSpacing"/>
        <w:jc w:val="center"/>
        <w:rPr>
          <w:b w:val="1"/>
          <w:bCs w:val="1"/>
          <w:color w:val="auto"/>
        </w:rPr>
      </w:pPr>
    </w:p>
    <w:p w:rsidR="00071AF5" w:rsidP="3A5FC3B6" w:rsidRDefault="00071AF5" w14:paraId="0BC6A801" w14:textId="01D464E1">
      <w:pPr>
        <w:pStyle w:val="NoSpacing"/>
        <w:rPr>
          <w:color w:val="auto"/>
        </w:rPr>
      </w:pPr>
      <w:r w:rsidRPr="3A5FC3B6" w:rsidR="3A5FC3B6">
        <w:rPr>
          <w:color w:val="auto"/>
        </w:rPr>
        <w:t>The 2020 Preferred Reporting Items for Systematic reviews and Meta-Analyses (PRISMA) statement</w:t>
      </w:r>
      <w:r w:rsidRPr="3A5FC3B6" w:rsidR="3A5FC3B6">
        <w:rPr>
          <w:color w:val="auto"/>
          <w:vertAlign w:val="superscript"/>
        </w:rPr>
        <w:t>9</w:t>
      </w:r>
      <w:r w:rsidRPr="3A5FC3B6" w:rsidR="3A5FC3B6">
        <w:rPr>
          <w:color w:val="auto"/>
        </w:rPr>
        <w:t xml:space="preserve"> was used to guide the formulation and conduct of this systematic review</w:t>
      </w:r>
      <w:r w:rsidRPr="3A5FC3B6" w:rsidR="3A5FC3B6">
        <w:rPr>
          <w:color w:val="auto"/>
        </w:rPr>
        <w:t xml:space="preserve">.  </w:t>
      </w:r>
      <w:r w:rsidRPr="3A5FC3B6" w:rsidR="3A5FC3B6">
        <w:rPr>
          <w:color w:val="auto"/>
        </w:rPr>
        <w:t xml:space="preserve">A protocol for this review has not been previously published. The publications selected were those available in an English language format that reported randomised control trial (RCT) and cohort study </w:t>
      </w:r>
      <w:r w:rsidRPr="3A5FC3B6" w:rsidR="3A5FC3B6">
        <w:rPr>
          <w:color w:val="auto"/>
        </w:rPr>
        <w:t>methodology</w:t>
      </w:r>
      <w:r w:rsidRPr="3A5FC3B6" w:rsidR="3A5FC3B6">
        <w:rPr>
          <w:color w:val="auto"/>
        </w:rPr>
        <w:t>. The population used was patients undergoing open abdominal aortic aneurysm repair surgery, primarily in an elective setting. Publications that exclusively reported other forms of AAA surgery (such as endovascular aneurysm repair (EVAR) and emergency repairs of ruptured aneurysms) were excluded. Individual publication report statuses such as unpublished manuscripts, protocols and conference abstracts were also excluded. The primary intervention considered was the use of an</w:t>
      </w:r>
      <w:r w:rsidRPr="3A5FC3B6" w:rsidR="3A5FC3B6">
        <w:rPr>
          <w:color w:val="auto"/>
        </w:rPr>
        <w:t xml:space="preserve"> ERAS </w:t>
      </w:r>
      <w:r w:rsidRPr="3A5FC3B6" w:rsidR="3A5FC3B6">
        <w:rPr>
          <w:color w:val="auto"/>
        </w:rPr>
        <w:t>approach in the peri-operative pathway (</w:t>
      </w:r>
      <w:r w:rsidRPr="3A5FC3B6" w:rsidR="3A5FC3B6">
        <w:rPr>
          <w:color w:val="auto"/>
        </w:rPr>
        <w:t>comprising</w:t>
      </w:r>
      <w:r w:rsidRPr="3A5FC3B6" w:rsidR="3A5FC3B6">
        <w:rPr>
          <w:color w:val="auto"/>
        </w:rPr>
        <w:t xml:space="preserve"> pre-operative, intra-operative and post-operative care). We </w:t>
      </w:r>
      <w:r w:rsidRPr="3A5FC3B6" w:rsidR="3A5FC3B6">
        <w:rPr>
          <w:color w:val="auto"/>
        </w:rPr>
        <w:t>identified</w:t>
      </w:r>
      <w:r w:rsidRPr="3A5FC3B6" w:rsidR="3A5FC3B6">
        <w:rPr>
          <w:color w:val="auto"/>
        </w:rPr>
        <w:t xml:space="preserve"> fundamental elements of the ERAS </w:t>
      </w:r>
      <w:r w:rsidRPr="3A5FC3B6" w:rsidR="3A5FC3B6">
        <w:rPr>
          <w:color w:val="auto"/>
        </w:rPr>
        <w:t>approach, and</w:t>
      </w:r>
      <w:r w:rsidRPr="3A5FC3B6" w:rsidR="3A5FC3B6">
        <w:rPr>
          <w:color w:val="auto"/>
        </w:rPr>
        <w:t xml:space="preserve"> looked for these within the manuscripts in the situations where a full ERAS protocol was not implemented, utilising the ERAS Society guidelines</w:t>
      </w:r>
      <w:r w:rsidRPr="3A5FC3B6" w:rsidR="3A5FC3B6">
        <w:rPr>
          <w:color w:val="auto"/>
          <w:vertAlign w:val="superscript"/>
        </w:rPr>
        <w:t>7</w:t>
      </w:r>
      <w:r w:rsidRPr="3A5FC3B6" w:rsidR="3A5FC3B6">
        <w:rPr>
          <w:color w:val="auto"/>
          <w:vertAlign w:val="superscript"/>
        </w:rPr>
        <w:t xml:space="preserve"> </w:t>
      </w:r>
      <w:r w:rsidRPr="3A5FC3B6" w:rsidR="3A5FC3B6">
        <w:rPr>
          <w:color w:val="auto"/>
        </w:rPr>
        <w:t xml:space="preserve">for reference. The prevalence of individual ERAS elements implemented by each publication we used for meta-analysis can be seen in </w:t>
      </w:r>
      <w:r w:rsidRPr="3A5FC3B6" w:rsidR="3A5FC3B6">
        <w:rPr>
          <w:b w:val="1"/>
          <w:bCs w:val="1"/>
          <w:color w:val="auto"/>
        </w:rPr>
        <w:t>Table 1</w:t>
      </w:r>
      <w:r w:rsidRPr="3A5FC3B6" w:rsidR="3A5FC3B6">
        <w:rPr>
          <w:color w:val="auto"/>
        </w:rPr>
        <w:t xml:space="preserve">. To meet inclusion criteria, publications had to report on at least one of the following outcomes across patient-centred and healthcare centred domains; </w:t>
      </w:r>
      <w:r w:rsidRPr="3A5FC3B6" w:rsidR="3A5FC3B6">
        <w:rPr>
          <w:color w:val="auto"/>
        </w:rPr>
        <w:t>peri</w:t>
      </w:r>
      <w:r w:rsidRPr="3A5FC3B6" w:rsidR="3A5FC3B6">
        <w:rPr>
          <w:color w:val="auto"/>
        </w:rPr>
        <w:t xml:space="preserve">operative </w:t>
      </w:r>
      <w:r w:rsidRPr="3A5FC3B6" w:rsidR="3A5FC3B6">
        <w:rPr>
          <w:color w:val="auto"/>
        </w:rPr>
        <w:t>complications (</w:t>
      </w:r>
      <w:r w:rsidRPr="3A5FC3B6" w:rsidR="3A5FC3B6">
        <w:rPr>
          <w:color w:val="auto"/>
        </w:rPr>
        <w:t>including</w:t>
      </w:r>
      <w:r w:rsidRPr="3A5FC3B6" w:rsidR="3A5FC3B6">
        <w:rPr>
          <w:color w:val="auto"/>
        </w:rPr>
        <w:t xml:space="preserve"> </w:t>
      </w:r>
      <w:r w:rsidRPr="3A5FC3B6" w:rsidR="3A5FC3B6">
        <w:rPr>
          <w:color w:val="auto"/>
        </w:rPr>
        <w:t>Clavien</w:t>
      </w:r>
      <w:r w:rsidRPr="3A5FC3B6" w:rsidR="3A5FC3B6">
        <w:rPr>
          <w:color w:val="auto"/>
        </w:rPr>
        <w:t>-Dindo</w:t>
      </w:r>
      <w:r w:rsidRPr="3A5FC3B6" w:rsidR="3A5FC3B6">
        <w:rPr>
          <w:color w:val="auto"/>
        </w:rPr>
        <w:t xml:space="preserve"> classification</w:t>
      </w:r>
      <w:r w:rsidRPr="3A5FC3B6" w:rsidR="3A5FC3B6">
        <w:rPr>
          <w:color w:val="auto"/>
          <w:vertAlign w:val="superscript"/>
        </w:rPr>
        <w:t>10</w:t>
      </w:r>
      <w:r w:rsidRPr="3A5FC3B6" w:rsidR="3A5FC3B6">
        <w:rPr>
          <w:color w:val="auto"/>
        </w:rPr>
        <w:t xml:space="preserve"> whe</w:t>
      </w:r>
      <w:r w:rsidRPr="3A5FC3B6" w:rsidR="3A5FC3B6">
        <w:rPr>
          <w:color w:val="auto"/>
        </w:rPr>
        <w:t>n reported</w:t>
      </w:r>
      <w:r w:rsidRPr="3A5FC3B6" w:rsidR="3A5FC3B6">
        <w:rPr>
          <w:color w:val="auto"/>
        </w:rPr>
        <w:t>), 30-day mortality rates, and patient length of stay in hospital (LOS). In addition, comparative data for both ERAS and ‘traditional’ (non-ERAS) groups ha</w:t>
      </w:r>
      <w:r w:rsidRPr="3A5FC3B6" w:rsidR="3A5FC3B6">
        <w:rPr>
          <w:color w:val="auto"/>
        </w:rPr>
        <w:t>d</w:t>
      </w:r>
      <w:r w:rsidRPr="3A5FC3B6" w:rsidR="3A5FC3B6">
        <w:rPr>
          <w:color w:val="auto"/>
        </w:rPr>
        <w:t xml:space="preserve"> to be available. </w:t>
      </w:r>
    </w:p>
    <w:p w:rsidR="00071AF5" w:rsidP="3A5FC3B6" w:rsidRDefault="00071AF5" w14:paraId="0BC6A802" w14:textId="77777777" w14:noSpellErr="1">
      <w:pPr>
        <w:pStyle w:val="NoSpacing"/>
        <w:rPr>
          <w:color w:val="auto"/>
        </w:rPr>
      </w:pPr>
    </w:p>
    <w:p w:rsidR="00071AF5" w:rsidP="3A5FC3B6" w:rsidRDefault="00071AF5" w14:paraId="0BC6A803" w14:textId="5D3F357B" w14:noSpellErr="1">
      <w:pPr>
        <w:pStyle w:val="NoSpacing"/>
        <w:rPr>
          <w:color w:val="auto"/>
        </w:rPr>
      </w:pPr>
      <w:r w:rsidRPr="3A5FC3B6" w:rsidR="3A5FC3B6">
        <w:rPr>
          <w:color w:val="auto"/>
        </w:rPr>
        <w:t xml:space="preserve">The literature search was performed by </w:t>
      </w:r>
      <w:r w:rsidRPr="3A5FC3B6" w:rsidR="3A5FC3B6">
        <w:rPr>
          <w:color w:val="auto"/>
        </w:rPr>
        <w:t xml:space="preserve">two </w:t>
      </w:r>
      <w:r w:rsidRPr="3A5FC3B6" w:rsidR="3A5FC3B6">
        <w:rPr>
          <w:color w:val="auto"/>
        </w:rPr>
        <w:t>reviewer</w:t>
      </w:r>
      <w:r w:rsidRPr="3A5FC3B6" w:rsidR="3A5FC3B6">
        <w:rPr>
          <w:color w:val="auto"/>
        </w:rPr>
        <w:t>s</w:t>
      </w:r>
      <w:r w:rsidRPr="3A5FC3B6" w:rsidR="3A5FC3B6">
        <w:rPr>
          <w:color w:val="auto"/>
        </w:rPr>
        <w:t>, with any discrepancies checked by the senior author,</w:t>
      </w:r>
      <w:r w:rsidRPr="3A5FC3B6" w:rsidR="3A5FC3B6">
        <w:rPr>
          <w:color w:val="auto"/>
        </w:rPr>
        <w:t xml:space="preserve"> on the 12</w:t>
      </w:r>
      <w:r w:rsidRPr="3A5FC3B6" w:rsidR="3A5FC3B6">
        <w:rPr>
          <w:color w:val="auto"/>
          <w:vertAlign w:val="superscript"/>
        </w:rPr>
        <w:t>th</w:t>
      </w:r>
      <w:r w:rsidRPr="3A5FC3B6" w:rsidR="3A5FC3B6">
        <w:rPr>
          <w:color w:val="auto"/>
        </w:rPr>
        <w:t xml:space="preserve"> of July 2021. The databases used were MEDLINE (via PubMed) and Embase. </w:t>
      </w:r>
      <w:r w:rsidRPr="3A5FC3B6" w:rsidR="3A5FC3B6">
        <w:rPr>
          <w:color w:val="auto"/>
        </w:rPr>
        <w:t xml:space="preserve">No restrictions on time of publication </w:t>
      </w:r>
      <w:r w:rsidRPr="3A5FC3B6" w:rsidR="3A5FC3B6">
        <w:rPr>
          <w:color w:val="auto"/>
        </w:rPr>
        <w:t xml:space="preserve">were used. </w:t>
      </w:r>
      <w:r w:rsidRPr="3A5FC3B6" w:rsidR="3A5FC3B6">
        <w:rPr>
          <w:color w:val="auto"/>
        </w:rPr>
        <w:t>The search strategy combined search terms used for the intervention (ERAS pathway) “enhanced recovery” and “fast-track” with the term for the population (AAA surgery) “aortic aneurysm</w:t>
      </w:r>
      <w:r w:rsidRPr="3A5FC3B6" w:rsidR="3A5FC3B6">
        <w:rPr>
          <w:color w:val="auto"/>
        </w:rPr>
        <w:t>”.</w:t>
      </w:r>
      <w:r w:rsidRPr="3A5FC3B6" w:rsidR="3A5FC3B6">
        <w:rPr>
          <w:color w:val="auto"/>
        </w:rPr>
        <w:t xml:space="preserve"> The primary search used was “aortic aneurysm” AND “fast-track” OR “aortic aneurysm” AND “enhanced recovery</w:t>
      </w:r>
      <w:r w:rsidRPr="3A5FC3B6" w:rsidR="3A5FC3B6">
        <w:rPr>
          <w:color w:val="auto"/>
        </w:rPr>
        <w:t>”.</w:t>
      </w:r>
      <w:r w:rsidRPr="3A5FC3B6" w:rsidR="3A5FC3B6">
        <w:rPr>
          <w:color w:val="auto"/>
        </w:rPr>
        <w:t xml:space="preserve"> No automated methods were used in the search, </w:t>
      </w:r>
      <w:r w:rsidRPr="3A5FC3B6" w:rsidR="3A5FC3B6">
        <w:rPr>
          <w:color w:val="auto"/>
        </w:rPr>
        <w:t>screening</w:t>
      </w:r>
      <w:r w:rsidRPr="3A5FC3B6" w:rsidR="3A5FC3B6">
        <w:rPr>
          <w:color w:val="auto"/>
        </w:rPr>
        <w:t xml:space="preserve"> or exclusion processes.</w:t>
      </w:r>
      <w:r w:rsidRPr="3A5FC3B6" w:rsidR="3A5FC3B6">
        <w:rPr>
          <w:color w:val="auto"/>
        </w:rPr>
        <w:t xml:space="preserve"> </w:t>
      </w:r>
      <w:r w:rsidRPr="3A5FC3B6" w:rsidR="3A5FC3B6">
        <w:rPr>
          <w:color w:val="auto"/>
        </w:rPr>
        <w:t>No contact was made with authors of screened literature</w:t>
      </w:r>
      <w:r w:rsidRPr="3A5FC3B6" w:rsidR="3A5FC3B6">
        <w:rPr>
          <w:color w:val="auto"/>
        </w:rPr>
        <w:t xml:space="preserve">.  </w:t>
      </w:r>
      <w:r w:rsidRPr="3A5FC3B6" w:rsidR="3A5FC3B6">
        <w:rPr>
          <w:color w:val="auto"/>
        </w:rPr>
        <w:t xml:space="preserve">Due to exclusions according to language, no translation of publications was employed. </w:t>
      </w:r>
    </w:p>
    <w:p w:rsidR="00071AF5" w:rsidP="3A5FC3B6" w:rsidRDefault="00071AF5" w14:paraId="0BC6A804" w14:textId="77777777" w14:noSpellErr="1">
      <w:pPr>
        <w:pStyle w:val="NoSpacing"/>
        <w:rPr>
          <w:color w:val="auto"/>
        </w:rPr>
      </w:pPr>
    </w:p>
    <w:p w:rsidRPr="00C24CAB" w:rsidR="00071AF5" w:rsidP="3A5FC3B6" w:rsidRDefault="00070582" w14:paraId="0BC6A805" w14:textId="67842689">
      <w:pPr>
        <w:pStyle w:val="NoSpacing"/>
        <w:rPr>
          <w:color w:val="auto"/>
        </w:rPr>
      </w:pPr>
      <w:r w:rsidRPr="3A5FC3B6" w:rsidR="3A5FC3B6">
        <w:rPr>
          <w:color w:val="auto"/>
        </w:rPr>
        <w:t>T</w:t>
      </w:r>
      <w:r w:rsidRPr="3A5FC3B6" w:rsidR="3A5FC3B6">
        <w:rPr>
          <w:color w:val="auto"/>
        </w:rPr>
        <w:t>he Let Evidence Guide Every New Decision (LEGEND) system</w:t>
      </w:r>
      <w:r w:rsidRPr="3A5FC3B6" w:rsidR="3A5FC3B6">
        <w:rPr>
          <w:color w:val="auto"/>
          <w:vertAlign w:val="superscript"/>
        </w:rPr>
        <w:t>1</w:t>
      </w:r>
      <w:r w:rsidRPr="3A5FC3B6" w:rsidR="3A5FC3B6">
        <w:rPr>
          <w:color w:val="auto"/>
          <w:vertAlign w:val="superscript"/>
        </w:rPr>
        <w:t>1</w:t>
      </w:r>
      <w:r w:rsidRPr="3A5FC3B6" w:rsidR="3A5FC3B6">
        <w:rPr>
          <w:color w:val="auto"/>
        </w:rPr>
        <w:t xml:space="preserve"> </w:t>
      </w:r>
      <w:r w:rsidRPr="3A5FC3B6" w:rsidR="3A5FC3B6">
        <w:rPr>
          <w:color w:val="auto"/>
        </w:rPr>
        <w:t xml:space="preserve">was used </w:t>
      </w:r>
      <w:r w:rsidRPr="3A5FC3B6" w:rsidR="3A5FC3B6">
        <w:rPr>
          <w:color w:val="auto"/>
        </w:rPr>
        <w:t>to assess the quality of the shortlisted publications prior to data extraction</w:t>
      </w:r>
      <w:r w:rsidRPr="3A5FC3B6" w:rsidR="3A5FC3B6">
        <w:rPr>
          <w:color w:val="auto"/>
        </w:rPr>
        <w:t xml:space="preserve">, </w:t>
      </w:r>
      <w:r w:rsidRPr="3A5FC3B6" w:rsidR="3A5FC3B6">
        <w:rPr>
          <w:color w:val="auto"/>
        </w:rPr>
        <w:t>with the Newcastle-Ottawa Scale</w:t>
      </w:r>
      <w:r w:rsidRPr="3A5FC3B6" w:rsidR="3A5FC3B6">
        <w:rPr>
          <w:color w:val="auto"/>
        </w:rPr>
        <w:t xml:space="preserve"> (NOS)</w:t>
      </w:r>
      <w:r w:rsidRPr="3A5FC3B6" w:rsidR="3A5FC3B6">
        <w:rPr>
          <w:color w:val="auto"/>
          <w:vertAlign w:val="superscript"/>
        </w:rPr>
        <w:t>12</w:t>
      </w:r>
      <w:r w:rsidRPr="3A5FC3B6" w:rsidR="3A5FC3B6">
        <w:rPr>
          <w:color w:val="auto"/>
        </w:rPr>
        <w:t xml:space="preserve"> and Cochran</w:t>
      </w:r>
      <w:r w:rsidRPr="3A5FC3B6" w:rsidR="3A5FC3B6">
        <w:rPr>
          <w:color w:val="auto"/>
        </w:rPr>
        <w:t>e Risk of Bias 2</w:t>
      </w:r>
      <w:r w:rsidRPr="3A5FC3B6" w:rsidR="3A5FC3B6">
        <w:rPr>
          <w:color w:val="auto"/>
        </w:rPr>
        <w:t xml:space="preserve"> (</w:t>
      </w:r>
      <w:r w:rsidRPr="3A5FC3B6" w:rsidR="3A5FC3B6">
        <w:rPr>
          <w:color w:val="auto"/>
        </w:rPr>
        <w:t>RoB</w:t>
      </w:r>
      <w:r w:rsidRPr="3A5FC3B6" w:rsidR="3A5FC3B6">
        <w:rPr>
          <w:color w:val="auto"/>
        </w:rPr>
        <w:t xml:space="preserve"> 2) tool</w:t>
      </w:r>
      <w:r w:rsidRPr="3A5FC3B6" w:rsidR="3A5FC3B6">
        <w:rPr>
          <w:color w:val="auto"/>
          <w:vertAlign w:val="superscript"/>
        </w:rPr>
        <w:t>13</w:t>
      </w:r>
      <w:r w:rsidRPr="3A5FC3B6" w:rsidR="3A5FC3B6">
        <w:rPr>
          <w:color w:val="auto"/>
        </w:rPr>
        <w:t xml:space="preserve"> being used to further assess non-randomised cohort</w:t>
      </w:r>
      <w:r w:rsidRPr="3A5FC3B6" w:rsidR="3A5FC3B6">
        <w:rPr>
          <w:color w:val="auto"/>
        </w:rPr>
        <w:t xml:space="preserve"> and RCT </w:t>
      </w:r>
      <w:r w:rsidRPr="3A5FC3B6" w:rsidR="3A5FC3B6">
        <w:rPr>
          <w:color w:val="auto"/>
        </w:rPr>
        <w:t>studies</w:t>
      </w:r>
      <w:r w:rsidRPr="3A5FC3B6" w:rsidR="3A5FC3B6">
        <w:rPr>
          <w:color w:val="auto"/>
        </w:rPr>
        <w:t xml:space="preserve"> respectivel</w:t>
      </w:r>
      <w:r w:rsidRPr="3A5FC3B6" w:rsidR="3A5FC3B6">
        <w:rPr>
          <w:color w:val="auto"/>
        </w:rPr>
        <w:t>y</w:t>
      </w:r>
      <w:r w:rsidRPr="3A5FC3B6" w:rsidR="3A5FC3B6">
        <w:rPr>
          <w:color w:val="auto"/>
        </w:rPr>
        <w:t xml:space="preserve">. </w:t>
      </w:r>
      <w:r w:rsidRPr="3A5FC3B6" w:rsidR="3A5FC3B6">
        <w:rPr>
          <w:color w:val="auto"/>
        </w:rPr>
        <w:t>Data was collected</w:t>
      </w:r>
      <w:r w:rsidRPr="3A5FC3B6" w:rsidR="3A5FC3B6">
        <w:rPr>
          <w:color w:val="auto"/>
        </w:rPr>
        <w:t xml:space="preserve"> by</w:t>
      </w:r>
      <w:r w:rsidRPr="3A5FC3B6" w:rsidR="3A5FC3B6">
        <w:rPr>
          <w:color w:val="auto"/>
        </w:rPr>
        <w:t xml:space="preserve"> </w:t>
      </w:r>
      <w:r w:rsidRPr="3A5FC3B6" w:rsidR="3A5FC3B6">
        <w:rPr>
          <w:color w:val="auto"/>
        </w:rPr>
        <w:t>two authors</w:t>
      </w:r>
      <w:r w:rsidRPr="3A5FC3B6" w:rsidR="3A5FC3B6">
        <w:rPr>
          <w:color w:val="auto"/>
        </w:rPr>
        <w:t xml:space="preserve">. As per the outcomes </w:t>
      </w:r>
      <w:r w:rsidRPr="3A5FC3B6" w:rsidR="3A5FC3B6">
        <w:rPr>
          <w:color w:val="auto"/>
        </w:rPr>
        <w:t>previously described,</w:t>
      </w:r>
      <w:r w:rsidRPr="3A5FC3B6" w:rsidR="3A5FC3B6">
        <w:rPr>
          <w:color w:val="auto"/>
        </w:rPr>
        <w:t xml:space="preserve"> all available data relevant to each outcome domain was collected from the manuscripts. Each </w:t>
      </w:r>
      <w:r w:rsidRPr="3A5FC3B6" w:rsidR="3A5FC3B6">
        <w:rPr>
          <w:color w:val="auto"/>
        </w:rPr>
        <w:t xml:space="preserve">primary </w:t>
      </w:r>
      <w:r w:rsidRPr="3A5FC3B6" w:rsidR="3A5FC3B6">
        <w:rPr>
          <w:color w:val="auto"/>
        </w:rPr>
        <w:t xml:space="preserve">outcome domain was assigned an equal degree of high importance. Primary data was collected on ERAS pathway implementation, operation performed, number of participants, and the outcome measures; major complications, </w:t>
      </w:r>
      <w:r w:rsidRPr="3A5FC3B6" w:rsidR="3A5FC3B6">
        <w:rPr>
          <w:color w:val="auto"/>
        </w:rPr>
        <w:t>30 day</w:t>
      </w:r>
      <w:r w:rsidRPr="3A5FC3B6" w:rsidR="3A5FC3B6">
        <w:rPr>
          <w:color w:val="auto"/>
        </w:rPr>
        <w:t xml:space="preserve"> mortality rates and LOS. </w:t>
      </w:r>
      <w:r w:rsidRPr="3A5FC3B6" w:rsidR="3A5FC3B6">
        <w:rPr>
          <w:color w:val="auto"/>
        </w:rPr>
        <w:t>Additional</w:t>
      </w:r>
      <w:r w:rsidRPr="3A5FC3B6" w:rsidR="3A5FC3B6">
        <w:rPr>
          <w:color w:val="auto"/>
        </w:rPr>
        <w:t xml:space="preserve"> data was collected on manuscript publication date, country of origin, duration of study, and design </w:t>
      </w:r>
      <w:r w:rsidRPr="3A5FC3B6" w:rsidR="3A5FC3B6">
        <w:rPr>
          <w:color w:val="auto"/>
        </w:rPr>
        <w:t>methodology</w:t>
      </w:r>
      <w:r w:rsidRPr="3A5FC3B6" w:rsidR="3A5FC3B6">
        <w:rPr>
          <w:color w:val="auto"/>
        </w:rPr>
        <w:t xml:space="preserve"> used. </w:t>
      </w:r>
      <w:r w:rsidRPr="3A5FC3B6" w:rsidR="3A5FC3B6">
        <w:rPr>
          <w:color w:val="auto"/>
        </w:rPr>
        <w:t xml:space="preserve">If </w:t>
      </w:r>
      <w:r w:rsidRPr="3A5FC3B6" w:rsidR="3A5FC3B6">
        <w:rPr>
          <w:color w:val="auto"/>
        </w:rPr>
        <w:t xml:space="preserve">present, data on patients who underwent EVAR procedures was not used. </w:t>
      </w:r>
    </w:p>
    <w:p w:rsidR="00071AF5" w:rsidP="3A5FC3B6" w:rsidRDefault="00071AF5" w14:paraId="0BC6A808" w14:textId="77777777" w14:noSpellErr="1">
      <w:pPr>
        <w:pStyle w:val="NoSpacing"/>
        <w:rPr>
          <w:color w:val="auto"/>
        </w:rPr>
      </w:pPr>
    </w:p>
    <w:p w:rsidR="00071AF5" w:rsidP="3A5FC3B6" w:rsidRDefault="00071AF5" w14:paraId="0BC6A809" w14:textId="5A2B234E">
      <w:pPr>
        <w:pStyle w:val="NoSpacing"/>
        <w:rPr>
          <w:color w:val="auto"/>
        </w:rPr>
      </w:pPr>
      <w:r w:rsidRPr="3A5FC3B6" w:rsidR="3A5FC3B6">
        <w:rPr>
          <w:color w:val="auto"/>
        </w:rPr>
        <w:t xml:space="preserve">We used </w:t>
      </w:r>
      <w:r w:rsidRPr="3A5FC3B6" w:rsidR="3A5FC3B6">
        <w:rPr>
          <w:color w:val="auto"/>
        </w:rPr>
        <w:t>ReviewManager</w:t>
      </w:r>
      <w:r w:rsidRPr="3A5FC3B6" w:rsidR="3A5FC3B6">
        <w:rPr>
          <w:color w:val="auto"/>
        </w:rPr>
        <w:t xml:space="preserve"> 5.4 (</w:t>
      </w:r>
      <w:r w:rsidRPr="3A5FC3B6" w:rsidR="3A5FC3B6">
        <w:rPr>
          <w:color w:val="auto"/>
        </w:rPr>
        <w:t>RevMan</w:t>
      </w:r>
      <w:r w:rsidRPr="3A5FC3B6" w:rsidR="3A5FC3B6">
        <w:rPr>
          <w:color w:val="auto"/>
        </w:rPr>
        <w:t>)</w:t>
      </w:r>
      <w:r w:rsidRPr="3A5FC3B6" w:rsidR="3A5FC3B6">
        <w:rPr>
          <w:color w:val="auto"/>
          <w:vertAlign w:val="superscript"/>
        </w:rPr>
        <w:t>1</w:t>
      </w:r>
      <w:r w:rsidRPr="3A5FC3B6" w:rsidR="3A5FC3B6">
        <w:rPr>
          <w:color w:val="auto"/>
          <w:vertAlign w:val="superscript"/>
        </w:rPr>
        <w:t>4</w:t>
      </w:r>
      <w:r w:rsidRPr="3A5FC3B6" w:rsidR="3A5FC3B6">
        <w:rPr>
          <w:color w:val="auto"/>
        </w:rPr>
        <w:t xml:space="preserve"> to perform a meta-analysis of 1</w:t>
      </w:r>
      <w:r w:rsidRPr="3A5FC3B6" w:rsidR="3A5FC3B6">
        <w:rPr>
          <w:color w:val="auto"/>
        </w:rPr>
        <w:t>0</w:t>
      </w:r>
      <w:r w:rsidRPr="3A5FC3B6" w:rsidR="3A5FC3B6">
        <w:rPr>
          <w:color w:val="auto"/>
        </w:rPr>
        <w:t xml:space="preserve"> publications. Dichotomous data extracted from the manuscripts (</w:t>
      </w:r>
      <w:r w:rsidRPr="3A5FC3B6" w:rsidR="3A5FC3B6">
        <w:rPr>
          <w:color w:val="auto"/>
        </w:rPr>
        <w:t>pertaining to</w:t>
      </w:r>
      <w:r w:rsidRPr="3A5FC3B6" w:rsidR="3A5FC3B6">
        <w:rPr>
          <w:color w:val="auto"/>
        </w:rPr>
        <w:t xml:space="preserve"> major complications and </w:t>
      </w:r>
      <w:r w:rsidRPr="3A5FC3B6" w:rsidR="3A5FC3B6">
        <w:rPr>
          <w:color w:val="auto"/>
        </w:rPr>
        <w:t>30 day</w:t>
      </w:r>
      <w:r w:rsidRPr="3A5FC3B6" w:rsidR="3A5FC3B6">
        <w:rPr>
          <w:color w:val="auto"/>
        </w:rPr>
        <w:t xml:space="preserve"> mortality outcomes) was inputted directly into </w:t>
      </w:r>
      <w:r w:rsidRPr="3A5FC3B6" w:rsidR="3A5FC3B6">
        <w:rPr>
          <w:color w:val="auto"/>
        </w:rPr>
        <w:t>RevMan</w:t>
      </w:r>
      <w:r w:rsidRPr="3A5FC3B6" w:rsidR="3A5FC3B6">
        <w:rPr>
          <w:color w:val="auto"/>
        </w:rPr>
        <w:t xml:space="preserve"> without any manipulation to synthesise odds ratio values. Continuous data (LOS, measured in days) was manually </w:t>
      </w:r>
      <w:r w:rsidRPr="3A5FC3B6" w:rsidR="3A5FC3B6">
        <w:rPr>
          <w:color w:val="auto"/>
        </w:rPr>
        <w:t xml:space="preserve">converted </w:t>
      </w:r>
      <w:r w:rsidRPr="3A5FC3B6" w:rsidR="3A5FC3B6">
        <w:rPr>
          <w:color w:val="auto"/>
        </w:rPr>
        <w:t xml:space="preserve">into </w:t>
      </w:r>
      <w:r w:rsidRPr="3A5FC3B6" w:rsidR="3A5FC3B6">
        <w:rPr>
          <w:color w:val="auto"/>
        </w:rPr>
        <w:t xml:space="preserve">standardised </w:t>
      </w:r>
      <w:r w:rsidRPr="3A5FC3B6" w:rsidR="3A5FC3B6">
        <w:rPr>
          <w:color w:val="auto"/>
        </w:rPr>
        <w:t>effect measures (Median to Standard Error to Standard Deviation) as per the methods outlined in the</w:t>
      </w:r>
      <w:r w:rsidRPr="3A5FC3B6" w:rsidR="3A5FC3B6">
        <w:rPr>
          <w:color w:val="auto"/>
        </w:rPr>
        <w:t xml:space="preserve"> Cochrane Handbook for Systematic Reviews of Interventions</w:t>
      </w:r>
      <w:r w:rsidRPr="3A5FC3B6" w:rsidR="3A5FC3B6">
        <w:rPr>
          <w:color w:val="auto"/>
        </w:rPr>
        <w:t xml:space="preserve"> (Higgins 2021)</w:t>
      </w:r>
      <w:r w:rsidRPr="3A5FC3B6" w:rsidR="3A5FC3B6">
        <w:rPr>
          <w:color w:val="auto"/>
          <w:vertAlign w:val="superscript"/>
        </w:rPr>
        <w:t>1</w:t>
      </w:r>
      <w:r w:rsidRPr="3A5FC3B6" w:rsidR="3A5FC3B6">
        <w:rPr>
          <w:color w:val="auto"/>
          <w:vertAlign w:val="superscript"/>
        </w:rPr>
        <w:t>5</w:t>
      </w:r>
      <w:r w:rsidRPr="3A5FC3B6" w:rsidR="3A5FC3B6">
        <w:rPr>
          <w:color w:val="auto"/>
        </w:rPr>
        <w:t>.</w:t>
      </w:r>
      <w:r w:rsidRPr="3A5FC3B6" w:rsidR="3A5FC3B6">
        <w:rPr>
          <w:color w:val="auto"/>
        </w:rPr>
        <w:t xml:space="preserve"> </w:t>
      </w:r>
      <w:r w:rsidRPr="3A5FC3B6" w:rsidR="3A5FC3B6">
        <w:rPr>
          <w:color w:val="auto"/>
        </w:rPr>
        <w:t xml:space="preserve">Forest plots were made utilising </w:t>
      </w:r>
      <w:r w:rsidRPr="3A5FC3B6" w:rsidR="3A5FC3B6">
        <w:rPr>
          <w:color w:val="auto"/>
        </w:rPr>
        <w:t>RevMan</w:t>
      </w:r>
      <w:r w:rsidRPr="3A5FC3B6" w:rsidR="3A5FC3B6">
        <w:rPr>
          <w:color w:val="auto"/>
        </w:rPr>
        <w:t xml:space="preserve">. A </w:t>
      </w:r>
      <w:r w:rsidRPr="3A5FC3B6" w:rsidR="3A5FC3B6">
        <w:rPr>
          <w:color w:val="auto"/>
        </w:rPr>
        <w:t>r</w:t>
      </w:r>
      <w:r w:rsidRPr="3A5FC3B6" w:rsidR="3A5FC3B6">
        <w:rPr>
          <w:color w:val="auto"/>
        </w:rPr>
        <w:t>andom effects method was used due to the variability in ERAS protocols between trials</w:t>
      </w:r>
      <w:r w:rsidRPr="3A5FC3B6" w:rsidR="3A5FC3B6">
        <w:rPr>
          <w:color w:val="auto"/>
        </w:rPr>
        <w:t xml:space="preserve">. </w:t>
      </w:r>
    </w:p>
    <w:p w:rsidR="00071AF5" w:rsidP="3A5FC3B6" w:rsidRDefault="00071AF5" w14:paraId="0BC6A80A" w14:textId="77777777" w14:noSpellErr="1">
      <w:pPr>
        <w:pStyle w:val="NoSpacing"/>
        <w:rPr>
          <w:color w:val="auto"/>
        </w:rPr>
      </w:pPr>
    </w:p>
    <w:p w:rsidR="00CB78AC" w:rsidP="3A5FC3B6" w:rsidRDefault="00CB78AC" w14:paraId="0BC6A80F" w14:textId="77777777" w14:noSpellErr="1">
      <w:pPr>
        <w:pStyle w:val="NoSpacing"/>
        <w:rPr>
          <w:color w:val="auto"/>
        </w:rPr>
      </w:pPr>
    </w:p>
    <w:p w:rsidR="009014B0" w:rsidP="3A5FC3B6" w:rsidRDefault="009014B0" w14:paraId="0BC6A81B" w14:textId="77777777" w14:noSpellErr="1">
      <w:pPr>
        <w:pStyle w:val="NoSpacing"/>
        <w:rPr>
          <w:color w:val="auto"/>
        </w:rPr>
      </w:pPr>
    </w:p>
    <w:p w:rsidRPr="00102FB5" w:rsidR="009014B0" w:rsidP="3A5FC3B6" w:rsidRDefault="00CE1B75" w14:paraId="0BC6A81C" w14:textId="0D04A75E" w14:noSpellErr="1">
      <w:pPr>
        <w:pStyle w:val="NoSpacing"/>
        <w:rPr>
          <w:b w:val="1"/>
          <w:bCs w:val="1"/>
          <w:i w:val="1"/>
          <w:iCs w:val="1"/>
          <w:color w:val="auto"/>
        </w:rPr>
      </w:pPr>
      <w:r w:rsidRPr="3A5FC3B6" w:rsidR="3A5FC3B6">
        <w:rPr>
          <w:b w:val="1"/>
          <w:bCs w:val="1"/>
          <w:i w:val="1"/>
          <w:iCs w:val="1"/>
          <w:color w:val="auto"/>
        </w:rPr>
        <w:t>(</w:t>
      </w:r>
      <w:r w:rsidRPr="3A5FC3B6" w:rsidR="3A5FC3B6">
        <w:rPr>
          <w:b w:val="1"/>
          <w:bCs w:val="1"/>
          <w:i w:val="1"/>
          <w:iCs w:val="1"/>
          <w:color w:val="auto"/>
        </w:rPr>
        <w:t>TABLE 1</w:t>
      </w:r>
      <w:r w:rsidRPr="3A5FC3B6" w:rsidR="3A5FC3B6">
        <w:rPr>
          <w:b w:val="1"/>
          <w:bCs w:val="1"/>
          <w:i w:val="1"/>
          <w:iCs w:val="1"/>
          <w:color w:val="auto"/>
        </w:rPr>
        <w:t>)</w:t>
      </w:r>
    </w:p>
    <w:p w:rsidR="009014B0" w:rsidP="3A5FC3B6" w:rsidRDefault="009014B0" w14:paraId="0BC6A81D" w14:textId="77777777" w14:noSpellErr="1">
      <w:pPr>
        <w:pStyle w:val="NoSpacing"/>
        <w:rPr>
          <w:color w:val="auto"/>
        </w:rPr>
      </w:pPr>
    </w:p>
    <w:p w:rsidR="00AC0D7B" w:rsidP="3A5FC3B6" w:rsidRDefault="00AC0D7B" w14:paraId="0BC6A82A" w14:textId="77777777" w14:noSpellErr="1">
      <w:pPr>
        <w:pStyle w:val="NoSpacing"/>
        <w:rPr>
          <w:color w:val="auto"/>
        </w:rPr>
      </w:pPr>
    </w:p>
    <w:p w:rsidRPr="00CB78AC" w:rsidR="00CB78AC" w:rsidP="3A5FC3B6" w:rsidRDefault="00944709" w14:paraId="0BC6A834" w14:textId="77777777" w14:noSpellErr="1">
      <w:pPr>
        <w:pStyle w:val="NoSpacing"/>
        <w:rPr>
          <w:b w:val="1"/>
          <w:bCs w:val="1"/>
          <w:color w:val="auto"/>
        </w:rPr>
      </w:pPr>
      <w:r w:rsidRPr="3A5FC3B6" w:rsidR="3A5FC3B6">
        <w:rPr>
          <w:b w:val="1"/>
          <w:bCs w:val="1"/>
          <w:color w:val="auto"/>
        </w:rPr>
        <w:t>RESULTS</w:t>
      </w:r>
    </w:p>
    <w:p w:rsidR="0077215C" w:rsidP="3A5FC3B6" w:rsidRDefault="0077215C" w14:paraId="0BC6A835" w14:textId="77777777" w14:noSpellErr="1">
      <w:pPr>
        <w:pStyle w:val="NoSpacing"/>
        <w:rPr>
          <w:color w:val="auto"/>
        </w:rPr>
      </w:pPr>
    </w:p>
    <w:p w:rsidRPr="0062138D" w:rsidR="0077215C" w:rsidP="3A5FC3B6" w:rsidRDefault="00AC0D7B" w14:paraId="0BC6A836" w14:textId="25C02B53">
      <w:pPr>
        <w:pStyle w:val="NoSpacing"/>
        <w:rPr>
          <w:color w:val="auto"/>
          <w:vertAlign w:val="superscript"/>
        </w:rPr>
      </w:pPr>
      <w:r w:rsidRPr="3A5FC3B6" w:rsidR="3A5FC3B6">
        <w:rPr>
          <w:color w:val="auto"/>
        </w:rPr>
        <w:t xml:space="preserve">The search strategy yielded 99 publications which were then manually reviewed, screened (initially by title and abstract and then by full text eligibility) and excluded by two reviewers, with discrepancies checked by the senior author. References used by each included publication were screened, </w:t>
      </w:r>
      <w:r w:rsidRPr="3A5FC3B6" w:rsidR="3A5FC3B6">
        <w:rPr>
          <w:color w:val="auto"/>
        </w:rPr>
        <w:t>identifying</w:t>
      </w:r>
      <w:r w:rsidRPr="3A5FC3B6" w:rsidR="3A5FC3B6">
        <w:rPr>
          <w:color w:val="auto"/>
        </w:rPr>
        <w:t xml:space="preserve"> a further 8 publications for inclusion.</w:t>
      </w:r>
      <w:r w:rsidRPr="3A5FC3B6" w:rsidR="3A5FC3B6">
        <w:rPr>
          <w:color w:val="auto"/>
        </w:rPr>
        <w:t xml:space="preserve"> </w:t>
      </w:r>
      <w:r w:rsidRPr="3A5FC3B6" w:rsidR="3A5FC3B6">
        <w:rPr>
          <w:color w:val="auto"/>
        </w:rPr>
        <w:t xml:space="preserve">See </w:t>
      </w:r>
      <w:r w:rsidRPr="3A5FC3B6" w:rsidR="3A5FC3B6">
        <w:rPr>
          <w:color w:val="auto"/>
        </w:rPr>
        <w:t>PRISMA flow-chart</w:t>
      </w:r>
      <w:r w:rsidRPr="3A5FC3B6" w:rsidR="3A5FC3B6">
        <w:rPr>
          <w:color w:val="auto"/>
        </w:rPr>
        <w:t xml:space="preserve"> for full detailing of this process</w:t>
      </w:r>
      <w:r w:rsidRPr="3A5FC3B6" w:rsidR="3A5FC3B6">
        <w:rPr>
          <w:color w:val="auto"/>
        </w:rPr>
        <w:t xml:space="preserve">. </w:t>
      </w:r>
      <w:r w:rsidRPr="3A5FC3B6" w:rsidR="3A5FC3B6">
        <w:rPr>
          <w:color w:val="auto"/>
        </w:rPr>
        <w:t xml:space="preserve"> </w:t>
      </w:r>
      <w:r w:rsidRPr="3A5FC3B6" w:rsidR="3A5FC3B6">
        <w:rPr>
          <w:color w:val="auto"/>
        </w:rPr>
        <w:t>(</w:t>
      </w:r>
      <w:r w:rsidRPr="3A5FC3B6" w:rsidR="3A5FC3B6">
        <w:rPr>
          <w:b w:val="1"/>
          <w:bCs w:val="1"/>
          <w:color w:val="auto"/>
        </w:rPr>
        <w:t>Fig. 1</w:t>
      </w:r>
      <w:r w:rsidRPr="3A5FC3B6" w:rsidR="3A5FC3B6">
        <w:rPr>
          <w:color w:val="auto"/>
        </w:rPr>
        <w:t>)</w:t>
      </w:r>
      <w:r w:rsidRPr="3A5FC3B6" w:rsidR="3A5FC3B6">
        <w:rPr>
          <w:color w:val="auto"/>
        </w:rPr>
        <w:t xml:space="preserve">. </w:t>
      </w:r>
      <w:r w:rsidRPr="3A5FC3B6" w:rsidR="3A5FC3B6">
        <w:rPr>
          <w:color w:val="auto"/>
        </w:rPr>
        <w:t xml:space="preserve">This resulted in </w:t>
      </w:r>
      <w:r w:rsidRPr="3A5FC3B6" w:rsidR="3A5FC3B6">
        <w:rPr>
          <w:color w:val="auto"/>
        </w:rPr>
        <w:t>1</w:t>
      </w:r>
      <w:r w:rsidRPr="3A5FC3B6" w:rsidR="3A5FC3B6">
        <w:rPr>
          <w:color w:val="auto"/>
        </w:rPr>
        <w:t>0</w:t>
      </w:r>
      <w:r w:rsidRPr="3A5FC3B6" w:rsidR="3A5FC3B6">
        <w:rPr>
          <w:color w:val="auto"/>
        </w:rPr>
        <w:t xml:space="preserve"> full-text publications, with a combined population of 1569 patients across four countries dating 2003-202</w:t>
      </w:r>
      <w:r w:rsidRPr="3A5FC3B6" w:rsidR="3A5FC3B6">
        <w:rPr>
          <w:color w:val="auto"/>
        </w:rPr>
        <w:t>1</w:t>
      </w:r>
      <w:r w:rsidRPr="3A5FC3B6" w:rsidR="3A5FC3B6">
        <w:rPr>
          <w:color w:val="auto"/>
          <w:vertAlign w:val="superscript"/>
        </w:rPr>
        <w:t>(1</w:t>
      </w:r>
      <w:r w:rsidRPr="3A5FC3B6" w:rsidR="3A5FC3B6">
        <w:rPr>
          <w:color w:val="auto"/>
          <w:vertAlign w:val="superscript"/>
        </w:rPr>
        <w:t>6</w:t>
      </w:r>
      <w:r w:rsidRPr="3A5FC3B6" w:rsidR="3A5FC3B6">
        <w:rPr>
          <w:color w:val="auto"/>
          <w:vertAlign w:val="superscript"/>
        </w:rPr>
        <w:t>-</w:t>
      </w:r>
      <w:r w:rsidRPr="3A5FC3B6" w:rsidR="3A5FC3B6">
        <w:rPr>
          <w:color w:val="auto"/>
          <w:vertAlign w:val="superscript"/>
        </w:rPr>
        <w:t>2</w:t>
      </w:r>
      <w:r w:rsidRPr="3A5FC3B6" w:rsidR="3A5FC3B6">
        <w:rPr>
          <w:color w:val="auto"/>
          <w:vertAlign w:val="superscript"/>
        </w:rPr>
        <w:t>5</w:t>
      </w:r>
      <w:r w:rsidRPr="3A5FC3B6" w:rsidR="3A5FC3B6">
        <w:rPr>
          <w:color w:val="auto"/>
          <w:vertAlign w:val="superscript"/>
        </w:rPr>
        <w:t>)</w:t>
      </w:r>
      <w:r w:rsidRPr="3A5FC3B6" w:rsidR="3A5FC3B6">
        <w:rPr>
          <w:color w:val="auto"/>
        </w:rPr>
        <w:t>.</w:t>
      </w:r>
      <w:r w:rsidRPr="3A5FC3B6" w:rsidR="3A5FC3B6">
        <w:rPr>
          <w:color w:val="auto"/>
        </w:rPr>
        <w:t xml:space="preserve"> </w:t>
      </w:r>
      <w:r w:rsidRPr="3A5FC3B6" w:rsidR="3A5FC3B6">
        <w:rPr>
          <w:color w:val="auto"/>
        </w:rPr>
        <w:t xml:space="preserve">Two RCTs were </w:t>
      </w:r>
      <w:r w:rsidRPr="3A5FC3B6" w:rsidR="3A5FC3B6">
        <w:rPr>
          <w:color w:val="auto"/>
        </w:rPr>
        <w:t>found</w:t>
      </w:r>
      <w:r w:rsidRPr="3A5FC3B6" w:rsidR="3A5FC3B6">
        <w:rPr>
          <w:color w:val="auto"/>
          <w:vertAlign w:val="superscript"/>
        </w:rPr>
        <w:t>(</w:t>
      </w:r>
      <w:r w:rsidRPr="3A5FC3B6" w:rsidR="3A5FC3B6">
        <w:rPr>
          <w:color w:val="auto"/>
          <w:vertAlign w:val="superscript"/>
        </w:rPr>
        <w:t>1</w:t>
      </w:r>
      <w:r w:rsidRPr="3A5FC3B6" w:rsidR="3A5FC3B6">
        <w:rPr>
          <w:color w:val="auto"/>
          <w:vertAlign w:val="superscript"/>
        </w:rPr>
        <w:t>9</w:t>
      </w:r>
      <w:r w:rsidRPr="3A5FC3B6" w:rsidR="3A5FC3B6">
        <w:rPr>
          <w:color w:val="auto"/>
          <w:vertAlign w:val="superscript"/>
        </w:rPr>
        <w:t>,</w:t>
      </w:r>
      <w:r w:rsidRPr="3A5FC3B6" w:rsidR="3A5FC3B6">
        <w:rPr>
          <w:color w:val="auto"/>
          <w:vertAlign w:val="superscript"/>
        </w:rPr>
        <w:t>20</w:t>
      </w:r>
      <w:r w:rsidRPr="3A5FC3B6" w:rsidR="3A5FC3B6">
        <w:rPr>
          <w:color w:val="auto"/>
          <w:vertAlign w:val="superscript"/>
        </w:rPr>
        <w:t>)</w:t>
      </w:r>
      <w:r w:rsidRPr="3A5FC3B6" w:rsidR="3A5FC3B6">
        <w:rPr>
          <w:color w:val="auto"/>
        </w:rPr>
        <w:t xml:space="preserve">, evaluating “fast-track” vs traditional patient care in open AAA surgery. These trials utilised the same population of 101 patients, and despite RCT </w:t>
      </w:r>
      <w:r w:rsidRPr="3A5FC3B6" w:rsidR="3A5FC3B6">
        <w:rPr>
          <w:color w:val="auto"/>
        </w:rPr>
        <w:t>methodology</w:t>
      </w:r>
      <w:r w:rsidRPr="3A5FC3B6" w:rsidR="3A5FC3B6">
        <w:rPr>
          <w:color w:val="auto"/>
        </w:rPr>
        <w:t xml:space="preserve"> were low-quality with limitations in reliability and validity when evaluated by LEGEND criteria.</w:t>
      </w:r>
      <w:r w:rsidRPr="3A5FC3B6" w:rsidR="3A5FC3B6">
        <w:rPr>
          <w:color w:val="auto"/>
        </w:rPr>
        <w:t xml:space="preserve"> </w:t>
      </w:r>
      <w:r w:rsidRPr="3A5FC3B6" w:rsidR="3A5FC3B6">
        <w:rPr>
          <w:color w:val="auto"/>
        </w:rPr>
        <w:t xml:space="preserve">When evaluated by the Cochrane </w:t>
      </w:r>
      <w:r w:rsidRPr="3A5FC3B6" w:rsidR="3A5FC3B6">
        <w:rPr>
          <w:color w:val="auto"/>
        </w:rPr>
        <w:t>RoB</w:t>
      </w:r>
      <w:r w:rsidRPr="3A5FC3B6" w:rsidR="3A5FC3B6">
        <w:rPr>
          <w:color w:val="auto"/>
        </w:rPr>
        <w:t xml:space="preserve"> 2 tool, there were some concerns over </w:t>
      </w:r>
      <w:r w:rsidRPr="3A5FC3B6" w:rsidR="3A5FC3B6">
        <w:rPr>
          <w:color w:val="auto"/>
        </w:rPr>
        <w:t xml:space="preserve">bias </w:t>
      </w:r>
      <w:r w:rsidRPr="3A5FC3B6" w:rsidR="3A5FC3B6">
        <w:rPr>
          <w:color w:val="auto"/>
        </w:rPr>
        <w:t xml:space="preserve">in these studies </w:t>
      </w:r>
      <w:r w:rsidRPr="3A5FC3B6" w:rsidR="3A5FC3B6">
        <w:rPr>
          <w:color w:val="auto"/>
        </w:rPr>
        <w:t xml:space="preserve">due to an absence of blinding of both the participants and the assessors, with </w:t>
      </w:r>
      <w:r w:rsidRPr="3A5FC3B6" w:rsidR="3A5FC3B6">
        <w:rPr>
          <w:color w:val="auto"/>
        </w:rPr>
        <w:t xml:space="preserve">there being some </w:t>
      </w:r>
      <w:r w:rsidRPr="3A5FC3B6" w:rsidR="3A5FC3B6">
        <w:rPr>
          <w:color w:val="auto"/>
        </w:rPr>
        <w:t xml:space="preserve">potential for </w:t>
      </w:r>
      <w:r w:rsidRPr="3A5FC3B6" w:rsidR="3A5FC3B6">
        <w:rPr>
          <w:color w:val="auto"/>
        </w:rPr>
        <w:t>causing bias</w:t>
      </w:r>
      <w:r w:rsidRPr="3A5FC3B6" w:rsidR="3A5FC3B6">
        <w:rPr>
          <w:color w:val="auto"/>
        </w:rPr>
        <w:t xml:space="preserve"> in collecting/interpreting data as a result.</w:t>
      </w:r>
      <w:r w:rsidRPr="3A5FC3B6" w:rsidR="3A5FC3B6">
        <w:rPr>
          <w:color w:val="auto"/>
        </w:rPr>
        <w:t xml:space="preserve"> </w:t>
      </w:r>
      <w:r w:rsidRPr="3A5FC3B6" w:rsidR="3A5FC3B6">
        <w:rPr>
          <w:color w:val="auto"/>
        </w:rPr>
        <w:t xml:space="preserve">These were both included as they reported on differing outcome measures rather than </w:t>
      </w:r>
      <w:r w:rsidRPr="3A5FC3B6" w:rsidR="3A5FC3B6">
        <w:rPr>
          <w:color w:val="auto"/>
        </w:rPr>
        <w:t xml:space="preserve">being true </w:t>
      </w:r>
      <w:r w:rsidRPr="3A5FC3B6" w:rsidR="3A5FC3B6">
        <w:rPr>
          <w:color w:val="auto"/>
        </w:rPr>
        <w:t>duplicate publications.</w:t>
      </w:r>
      <w:r w:rsidRPr="3A5FC3B6" w:rsidR="3A5FC3B6">
        <w:rPr>
          <w:color w:val="auto"/>
        </w:rPr>
        <w:t xml:space="preserve"> The remaining eight publications were observational, four of these were longitudinal </w:t>
      </w:r>
      <w:r w:rsidRPr="3A5FC3B6" w:rsidR="3A5FC3B6">
        <w:rPr>
          <w:color w:val="auto"/>
        </w:rPr>
        <w:t>designs</w:t>
      </w:r>
      <w:r w:rsidRPr="3A5FC3B6" w:rsidR="3A5FC3B6">
        <w:rPr>
          <w:color w:val="auto"/>
          <w:vertAlign w:val="superscript"/>
        </w:rPr>
        <w:t>(</w:t>
      </w:r>
      <w:r w:rsidRPr="3A5FC3B6" w:rsidR="3A5FC3B6">
        <w:rPr>
          <w:color w:val="auto"/>
          <w:vertAlign w:val="superscript"/>
        </w:rPr>
        <w:t>1</w:t>
      </w:r>
      <w:r w:rsidRPr="3A5FC3B6" w:rsidR="3A5FC3B6">
        <w:rPr>
          <w:color w:val="auto"/>
          <w:vertAlign w:val="superscript"/>
        </w:rPr>
        <w:t>7</w:t>
      </w:r>
      <w:r w:rsidRPr="3A5FC3B6" w:rsidR="3A5FC3B6">
        <w:rPr>
          <w:color w:val="auto"/>
          <w:vertAlign w:val="superscript"/>
        </w:rPr>
        <w:t>,</w:t>
      </w:r>
      <w:r w:rsidRPr="3A5FC3B6" w:rsidR="3A5FC3B6">
        <w:rPr>
          <w:color w:val="auto"/>
          <w:vertAlign w:val="superscript"/>
        </w:rPr>
        <w:t>1</w:t>
      </w:r>
      <w:r w:rsidRPr="3A5FC3B6" w:rsidR="3A5FC3B6">
        <w:rPr>
          <w:color w:val="auto"/>
          <w:vertAlign w:val="superscript"/>
        </w:rPr>
        <w:t>8</w:t>
      </w:r>
      <w:r w:rsidRPr="3A5FC3B6" w:rsidR="3A5FC3B6">
        <w:rPr>
          <w:color w:val="auto"/>
          <w:vertAlign w:val="superscript"/>
        </w:rPr>
        <w:t>,</w:t>
      </w:r>
      <w:r w:rsidRPr="3A5FC3B6" w:rsidR="3A5FC3B6">
        <w:rPr>
          <w:color w:val="auto"/>
          <w:vertAlign w:val="superscript"/>
        </w:rPr>
        <w:t>2</w:t>
      </w:r>
      <w:r w:rsidRPr="3A5FC3B6" w:rsidR="3A5FC3B6">
        <w:rPr>
          <w:color w:val="auto"/>
          <w:vertAlign w:val="superscript"/>
        </w:rPr>
        <w:t>2</w:t>
      </w:r>
      <w:r w:rsidRPr="3A5FC3B6" w:rsidR="3A5FC3B6">
        <w:rPr>
          <w:color w:val="auto"/>
          <w:vertAlign w:val="superscript"/>
        </w:rPr>
        <w:t>,</w:t>
      </w:r>
      <w:r w:rsidRPr="3A5FC3B6" w:rsidR="3A5FC3B6">
        <w:rPr>
          <w:color w:val="auto"/>
          <w:vertAlign w:val="superscript"/>
        </w:rPr>
        <w:t>2</w:t>
      </w:r>
      <w:r w:rsidRPr="3A5FC3B6" w:rsidR="3A5FC3B6">
        <w:rPr>
          <w:color w:val="auto"/>
          <w:vertAlign w:val="superscript"/>
        </w:rPr>
        <w:t>3</w:t>
      </w:r>
      <w:r w:rsidRPr="3A5FC3B6" w:rsidR="3A5FC3B6">
        <w:rPr>
          <w:color w:val="auto"/>
          <w:vertAlign w:val="superscript"/>
        </w:rPr>
        <w:t>)</w:t>
      </w:r>
      <w:r w:rsidRPr="3A5FC3B6" w:rsidR="3A5FC3B6">
        <w:rPr>
          <w:color w:val="auto"/>
        </w:rPr>
        <w:t xml:space="preserve"> and all eight were deemed </w:t>
      </w:r>
      <w:r w:rsidRPr="3A5FC3B6" w:rsidR="3A5FC3B6">
        <w:rPr>
          <w:color w:val="auto"/>
        </w:rPr>
        <w:t>good-quality</w:t>
      </w:r>
      <w:r w:rsidRPr="3A5FC3B6" w:rsidR="3A5FC3B6">
        <w:rPr>
          <w:color w:val="auto"/>
        </w:rPr>
        <w:t xml:space="preserve">. Details of study characteristics, including design </w:t>
      </w:r>
      <w:r w:rsidRPr="3A5FC3B6" w:rsidR="3A5FC3B6">
        <w:rPr>
          <w:color w:val="auto"/>
        </w:rPr>
        <w:t>methodology</w:t>
      </w:r>
      <w:r w:rsidRPr="3A5FC3B6" w:rsidR="3A5FC3B6">
        <w:rPr>
          <w:color w:val="auto"/>
        </w:rPr>
        <w:t xml:space="preserve"> and quality assessment (LEGEND criteria) are portrayed in </w:t>
      </w:r>
      <w:r w:rsidRPr="3A5FC3B6" w:rsidR="3A5FC3B6">
        <w:rPr>
          <w:b w:val="1"/>
          <w:bCs w:val="1"/>
          <w:color w:val="auto"/>
        </w:rPr>
        <w:t>Table 2</w:t>
      </w:r>
      <w:r w:rsidRPr="3A5FC3B6" w:rsidR="3A5FC3B6">
        <w:rPr>
          <w:b w:val="1"/>
          <w:bCs w:val="1"/>
          <w:color w:val="auto"/>
        </w:rPr>
        <w:t>.</w:t>
      </w:r>
      <w:r w:rsidRPr="3A5FC3B6" w:rsidR="3A5FC3B6">
        <w:rPr>
          <w:b w:val="1"/>
          <w:bCs w:val="1"/>
          <w:color w:val="auto"/>
        </w:rPr>
        <w:t xml:space="preserve"> </w:t>
      </w:r>
      <w:r w:rsidRPr="3A5FC3B6" w:rsidR="3A5FC3B6">
        <w:rPr>
          <w:color w:val="auto"/>
        </w:rPr>
        <w:t xml:space="preserve">Assessments of </w:t>
      </w:r>
      <w:r w:rsidRPr="3A5FC3B6" w:rsidR="3A5FC3B6">
        <w:rPr>
          <w:color w:val="auto"/>
        </w:rPr>
        <w:t xml:space="preserve">non-randomised cohort </w:t>
      </w:r>
      <w:r w:rsidRPr="3A5FC3B6" w:rsidR="3A5FC3B6">
        <w:rPr>
          <w:color w:val="auto"/>
        </w:rPr>
        <w:t xml:space="preserve">studies using the NOS can be seen in </w:t>
      </w:r>
      <w:r w:rsidRPr="3A5FC3B6" w:rsidR="3A5FC3B6">
        <w:rPr>
          <w:b w:val="1"/>
          <w:bCs w:val="1"/>
          <w:color w:val="auto"/>
        </w:rPr>
        <w:t>Table 3</w:t>
      </w:r>
      <w:r w:rsidRPr="3A5FC3B6" w:rsidR="3A5FC3B6">
        <w:rPr>
          <w:color w:val="auto"/>
        </w:rPr>
        <w:t xml:space="preserve">. </w:t>
      </w:r>
      <w:r w:rsidRPr="3A5FC3B6" w:rsidR="3A5FC3B6">
        <w:rPr>
          <w:color w:val="auto"/>
        </w:rPr>
        <w:t>All of</w:t>
      </w:r>
      <w:r w:rsidRPr="3A5FC3B6" w:rsidR="3A5FC3B6">
        <w:rPr>
          <w:color w:val="auto"/>
        </w:rPr>
        <w:t xml:space="preserve"> the s</w:t>
      </w:r>
      <w:r w:rsidRPr="3A5FC3B6" w:rsidR="3A5FC3B6">
        <w:rPr>
          <w:color w:val="auto"/>
        </w:rPr>
        <w:t>tudies scored well</w:t>
      </w:r>
      <w:r w:rsidRPr="3A5FC3B6" w:rsidR="3A5FC3B6">
        <w:rPr>
          <w:color w:val="auto"/>
        </w:rPr>
        <w:t xml:space="preserve"> on the NOS overall. All the studies scored poorly </w:t>
      </w:r>
      <w:r w:rsidRPr="3A5FC3B6" w:rsidR="3A5FC3B6">
        <w:rPr>
          <w:color w:val="auto"/>
        </w:rPr>
        <w:t>on assessment of outcomes as information on</w:t>
      </w:r>
      <w:r w:rsidRPr="3A5FC3B6" w:rsidR="3A5FC3B6">
        <w:rPr>
          <w:color w:val="auto"/>
        </w:rPr>
        <w:t xml:space="preserve"> any </w:t>
      </w:r>
      <w:r w:rsidRPr="3A5FC3B6" w:rsidR="3A5FC3B6">
        <w:rPr>
          <w:color w:val="auto"/>
        </w:rPr>
        <w:t xml:space="preserve">use of </w:t>
      </w:r>
      <w:r w:rsidRPr="3A5FC3B6" w:rsidR="3A5FC3B6">
        <w:rPr>
          <w:color w:val="auto"/>
        </w:rPr>
        <w:t>blinding was not reported</w:t>
      </w:r>
      <w:r w:rsidRPr="3A5FC3B6" w:rsidR="3A5FC3B6">
        <w:rPr>
          <w:color w:val="auto"/>
        </w:rPr>
        <w:t xml:space="preserve">. </w:t>
      </w:r>
      <w:r w:rsidRPr="3A5FC3B6" w:rsidR="3A5FC3B6">
        <w:rPr>
          <w:color w:val="auto"/>
        </w:rPr>
        <w:t xml:space="preserve"> </w:t>
      </w:r>
      <w:r w:rsidRPr="3A5FC3B6" w:rsidR="3A5FC3B6">
        <w:rPr>
          <w:color w:val="auto"/>
        </w:rPr>
        <w:t xml:space="preserve">All but one </w:t>
      </w:r>
      <w:r w:rsidRPr="3A5FC3B6" w:rsidR="3A5FC3B6">
        <w:rPr>
          <w:color w:val="auto"/>
        </w:rPr>
        <w:t>study</w:t>
      </w:r>
      <w:r w:rsidRPr="3A5FC3B6" w:rsidR="3A5FC3B6">
        <w:rPr>
          <w:color w:val="auto"/>
          <w:vertAlign w:val="superscript"/>
        </w:rPr>
        <w:t>(</w:t>
      </w:r>
      <w:r w:rsidRPr="3A5FC3B6" w:rsidR="3A5FC3B6">
        <w:rPr>
          <w:color w:val="auto"/>
          <w:vertAlign w:val="superscript"/>
        </w:rPr>
        <w:t>1</w:t>
      </w:r>
      <w:r w:rsidRPr="3A5FC3B6" w:rsidR="3A5FC3B6">
        <w:rPr>
          <w:color w:val="auto"/>
          <w:vertAlign w:val="superscript"/>
        </w:rPr>
        <w:t>8</w:t>
      </w:r>
      <w:r w:rsidRPr="3A5FC3B6" w:rsidR="3A5FC3B6">
        <w:rPr>
          <w:color w:val="auto"/>
          <w:vertAlign w:val="superscript"/>
        </w:rPr>
        <w:t>)</w:t>
      </w:r>
      <w:r w:rsidRPr="3A5FC3B6" w:rsidR="3A5FC3B6">
        <w:rPr>
          <w:color w:val="auto"/>
        </w:rPr>
        <w:t xml:space="preserve"> considered elective AAA surgery exclusively. </w:t>
      </w:r>
      <w:r w:rsidRPr="3A5FC3B6" w:rsidR="3A5FC3B6">
        <w:rPr>
          <w:color w:val="auto"/>
        </w:rPr>
        <w:t>Six</w:t>
      </w:r>
      <w:r w:rsidRPr="3A5FC3B6" w:rsidR="3A5FC3B6">
        <w:rPr>
          <w:color w:val="auto"/>
        </w:rPr>
        <w:t xml:space="preserve"> </w:t>
      </w:r>
      <w:r w:rsidRPr="3A5FC3B6" w:rsidR="3A5FC3B6">
        <w:rPr>
          <w:color w:val="auto"/>
        </w:rPr>
        <w:t>studies</w:t>
      </w:r>
      <w:r w:rsidRPr="3A5FC3B6" w:rsidR="3A5FC3B6">
        <w:rPr>
          <w:color w:val="auto"/>
          <w:vertAlign w:val="superscript"/>
        </w:rPr>
        <w:t>(</w:t>
      </w:r>
      <w:r w:rsidRPr="3A5FC3B6" w:rsidR="3A5FC3B6">
        <w:rPr>
          <w:color w:val="auto"/>
          <w:vertAlign w:val="superscript"/>
        </w:rPr>
        <w:t>1</w:t>
      </w:r>
      <w:r w:rsidRPr="3A5FC3B6" w:rsidR="3A5FC3B6">
        <w:rPr>
          <w:color w:val="auto"/>
          <w:vertAlign w:val="superscript"/>
        </w:rPr>
        <w:t>6</w:t>
      </w:r>
      <w:r w:rsidRPr="3A5FC3B6" w:rsidR="3A5FC3B6">
        <w:rPr>
          <w:color w:val="auto"/>
          <w:vertAlign w:val="superscript"/>
        </w:rPr>
        <w:t>,</w:t>
      </w:r>
      <w:r w:rsidRPr="3A5FC3B6" w:rsidR="3A5FC3B6">
        <w:rPr>
          <w:color w:val="auto"/>
          <w:vertAlign w:val="superscript"/>
        </w:rPr>
        <w:t>1</w:t>
      </w:r>
      <w:r w:rsidRPr="3A5FC3B6" w:rsidR="3A5FC3B6">
        <w:rPr>
          <w:color w:val="auto"/>
          <w:vertAlign w:val="superscript"/>
        </w:rPr>
        <w:t>9</w:t>
      </w:r>
      <w:r w:rsidRPr="3A5FC3B6" w:rsidR="3A5FC3B6">
        <w:rPr>
          <w:color w:val="auto"/>
          <w:vertAlign w:val="superscript"/>
        </w:rPr>
        <w:t>,</w:t>
      </w:r>
      <w:r w:rsidRPr="3A5FC3B6" w:rsidR="3A5FC3B6">
        <w:rPr>
          <w:color w:val="auto"/>
          <w:vertAlign w:val="superscript"/>
        </w:rPr>
        <w:t>20</w:t>
      </w:r>
      <w:r w:rsidRPr="3A5FC3B6" w:rsidR="3A5FC3B6">
        <w:rPr>
          <w:color w:val="auto"/>
          <w:vertAlign w:val="superscript"/>
        </w:rPr>
        <w:t>,</w:t>
      </w:r>
      <w:r w:rsidRPr="3A5FC3B6" w:rsidR="3A5FC3B6">
        <w:rPr>
          <w:color w:val="auto"/>
          <w:vertAlign w:val="superscript"/>
        </w:rPr>
        <w:t>2</w:t>
      </w:r>
      <w:r w:rsidRPr="3A5FC3B6" w:rsidR="3A5FC3B6">
        <w:rPr>
          <w:color w:val="auto"/>
          <w:vertAlign w:val="superscript"/>
        </w:rPr>
        <w:t>2</w:t>
      </w:r>
      <w:r w:rsidRPr="3A5FC3B6" w:rsidR="3A5FC3B6">
        <w:rPr>
          <w:color w:val="auto"/>
          <w:vertAlign w:val="superscript"/>
        </w:rPr>
        <w:t>,</w:t>
      </w:r>
      <w:r w:rsidRPr="3A5FC3B6" w:rsidR="3A5FC3B6">
        <w:rPr>
          <w:color w:val="auto"/>
          <w:vertAlign w:val="superscript"/>
        </w:rPr>
        <w:t>2</w:t>
      </w:r>
      <w:r w:rsidRPr="3A5FC3B6" w:rsidR="3A5FC3B6">
        <w:rPr>
          <w:color w:val="auto"/>
          <w:vertAlign w:val="superscript"/>
        </w:rPr>
        <w:t>4</w:t>
      </w:r>
      <w:r w:rsidRPr="3A5FC3B6" w:rsidR="3A5FC3B6">
        <w:rPr>
          <w:color w:val="auto"/>
          <w:vertAlign w:val="superscript"/>
        </w:rPr>
        <w:t>,</w:t>
      </w:r>
      <w:r w:rsidRPr="3A5FC3B6" w:rsidR="3A5FC3B6">
        <w:rPr>
          <w:color w:val="auto"/>
          <w:vertAlign w:val="superscript"/>
        </w:rPr>
        <w:t>2</w:t>
      </w:r>
      <w:r w:rsidRPr="3A5FC3B6" w:rsidR="3A5FC3B6">
        <w:rPr>
          <w:color w:val="auto"/>
          <w:vertAlign w:val="superscript"/>
        </w:rPr>
        <w:t>5</w:t>
      </w:r>
      <w:r w:rsidRPr="3A5FC3B6" w:rsidR="3A5FC3B6">
        <w:rPr>
          <w:color w:val="auto"/>
          <w:vertAlign w:val="superscript"/>
        </w:rPr>
        <w:t>)</w:t>
      </w:r>
      <w:r w:rsidRPr="3A5FC3B6" w:rsidR="3A5FC3B6">
        <w:rPr>
          <w:color w:val="auto"/>
        </w:rPr>
        <w:t xml:space="preserve">  reported</w:t>
      </w:r>
      <w:r w:rsidRPr="3A5FC3B6" w:rsidR="3A5FC3B6">
        <w:rPr>
          <w:color w:val="auto"/>
        </w:rPr>
        <w:t xml:space="preserve"> including infrarenal AAAs exclusively. </w:t>
      </w:r>
    </w:p>
    <w:p w:rsidR="0077215C" w:rsidP="3A5FC3B6" w:rsidRDefault="0077215C" w14:paraId="0BC6A83A" w14:textId="77777777" w14:noSpellErr="1">
      <w:pPr>
        <w:pStyle w:val="NoSpacing"/>
        <w:rPr>
          <w:color w:val="auto"/>
        </w:rPr>
      </w:pPr>
    </w:p>
    <w:p w:rsidRPr="00102FB5" w:rsidR="00BD20A3" w:rsidP="3A5FC3B6" w:rsidRDefault="00BD20A3" w14:paraId="0BC6A83B" w14:textId="77777777" w14:noSpellErr="1">
      <w:pPr>
        <w:pStyle w:val="NoSpacing"/>
        <w:rPr>
          <w:i w:val="1"/>
          <w:iCs w:val="1"/>
          <w:color w:val="auto"/>
        </w:rPr>
      </w:pPr>
    </w:p>
    <w:p w:rsidRPr="00102FB5" w:rsidR="0077215C" w:rsidP="3A5FC3B6" w:rsidRDefault="00DB09D7" w14:paraId="0BC6A83D" w14:textId="5DCD65B6" w14:noSpellErr="1">
      <w:pPr>
        <w:pStyle w:val="NoSpacing"/>
        <w:rPr>
          <w:noProof/>
          <w:color w:val="auto"/>
          <w:lang w:eastAsia="en-GB"/>
        </w:rPr>
      </w:pPr>
      <w:r w:rsidRPr="3A5FC3B6" w:rsidR="3A5FC3B6">
        <w:rPr>
          <w:b w:val="1"/>
          <w:bCs w:val="1"/>
          <w:i w:val="1"/>
          <w:iCs w:val="1"/>
          <w:color w:val="auto"/>
        </w:rPr>
        <w:t>(FIGURE 1)</w:t>
      </w:r>
    </w:p>
    <w:p w:rsidRPr="00102FB5" w:rsidR="0077215C" w:rsidP="3A5FC3B6" w:rsidRDefault="0077215C" w14:paraId="0BC6A83E" w14:textId="77777777" w14:noSpellErr="1">
      <w:pPr>
        <w:pStyle w:val="NoSpacing"/>
        <w:rPr>
          <w:noProof/>
          <w:color w:val="auto"/>
          <w:lang w:eastAsia="en-GB"/>
        </w:rPr>
      </w:pPr>
    </w:p>
    <w:p w:rsidR="0077215C" w:rsidP="3A5FC3B6" w:rsidRDefault="0077215C" w14:paraId="0BC6A83F" w14:textId="2BC3CEA3" w14:noSpellErr="1">
      <w:pPr>
        <w:pStyle w:val="NoSpacing"/>
        <w:rPr>
          <w:color w:val="auto"/>
        </w:rPr>
      </w:pPr>
    </w:p>
    <w:p w:rsidR="00DB09D7" w:rsidP="3A5FC3B6" w:rsidRDefault="00DB09D7" w14:paraId="49D30D11" w14:textId="77777777" w14:noSpellErr="1">
      <w:pPr>
        <w:pStyle w:val="NoSpacing"/>
        <w:rPr>
          <w:color w:val="auto"/>
        </w:rPr>
      </w:pPr>
    </w:p>
    <w:p w:rsidR="0077215C" w:rsidP="3A5FC3B6" w:rsidRDefault="00980C35" w14:paraId="0BC6A851" w14:textId="3A7A5D14" w14:noSpellErr="1">
      <w:pPr>
        <w:pStyle w:val="NoSpacing"/>
        <w:rPr>
          <w:b w:val="1"/>
          <w:bCs w:val="1"/>
          <w:i w:val="1"/>
          <w:iCs w:val="1"/>
          <w:color w:val="auto"/>
        </w:rPr>
      </w:pPr>
      <w:r w:rsidRPr="3A5FC3B6" w:rsidR="3A5FC3B6">
        <w:rPr>
          <w:b w:val="1"/>
          <w:bCs w:val="1"/>
          <w:i w:val="1"/>
          <w:iCs w:val="1"/>
          <w:color w:val="auto"/>
        </w:rPr>
        <w:t>(</w:t>
      </w:r>
      <w:r w:rsidRPr="3A5FC3B6" w:rsidR="3A5FC3B6">
        <w:rPr>
          <w:b w:val="1"/>
          <w:bCs w:val="1"/>
          <w:i w:val="1"/>
          <w:iCs w:val="1"/>
          <w:color w:val="auto"/>
        </w:rPr>
        <w:t>TABLE 2</w:t>
      </w:r>
      <w:r w:rsidRPr="3A5FC3B6" w:rsidR="3A5FC3B6">
        <w:rPr>
          <w:b w:val="1"/>
          <w:bCs w:val="1"/>
          <w:i w:val="1"/>
          <w:iCs w:val="1"/>
          <w:color w:val="auto"/>
        </w:rPr>
        <w:t>)</w:t>
      </w:r>
    </w:p>
    <w:p w:rsidRPr="00102FB5" w:rsidR="00F171A0" w:rsidP="3A5FC3B6" w:rsidRDefault="00F171A0" w14:paraId="58254597" w14:textId="77777777" w14:noSpellErr="1">
      <w:pPr>
        <w:pStyle w:val="NoSpacing"/>
        <w:rPr>
          <w:b w:val="1"/>
          <w:bCs w:val="1"/>
          <w:i w:val="1"/>
          <w:iCs w:val="1"/>
          <w:color w:val="auto"/>
        </w:rPr>
      </w:pPr>
    </w:p>
    <w:p w:rsidR="0077215C" w:rsidP="3A5FC3B6" w:rsidRDefault="0077215C" w14:paraId="0BC6A852" w14:textId="77777777" w14:noSpellErr="1">
      <w:pPr>
        <w:pStyle w:val="NoSpacing"/>
        <w:rPr>
          <w:color w:val="auto"/>
        </w:rPr>
      </w:pPr>
    </w:p>
    <w:p w:rsidRPr="00F171A0" w:rsidR="00F171A0" w:rsidP="3A5FC3B6" w:rsidRDefault="00F171A0" w14:paraId="4096DFAA" w14:textId="28EB8E18" w14:noSpellErr="1">
      <w:pPr>
        <w:pStyle w:val="NoSpacing"/>
        <w:rPr>
          <w:b w:val="1"/>
          <w:bCs w:val="1"/>
          <w:i w:val="1"/>
          <w:iCs w:val="1"/>
          <w:color w:val="auto"/>
        </w:rPr>
      </w:pPr>
      <w:r w:rsidRPr="3A5FC3B6" w:rsidR="3A5FC3B6">
        <w:rPr>
          <w:b w:val="1"/>
          <w:bCs w:val="1"/>
          <w:i w:val="1"/>
          <w:iCs w:val="1"/>
          <w:color w:val="auto"/>
        </w:rPr>
        <w:t>(TABLE 3)</w:t>
      </w:r>
    </w:p>
    <w:p w:rsidRPr="000E4CB0" w:rsidR="0021439F" w:rsidP="3A5FC3B6" w:rsidRDefault="0021439F" w14:paraId="0BC6A8B6" w14:textId="77777777" w14:noSpellErr="1">
      <w:pPr>
        <w:pStyle w:val="NoSpacing"/>
        <w:rPr>
          <w:color w:val="auto"/>
        </w:rPr>
      </w:pPr>
    </w:p>
    <w:p w:rsidR="0077215C" w:rsidP="3A5FC3B6" w:rsidRDefault="0077215C" w14:paraId="0BC6A907" w14:textId="77777777" w14:noSpellErr="1">
      <w:pPr>
        <w:pStyle w:val="NoSpacing"/>
        <w:tabs>
          <w:tab w:val="left" w:pos="6662"/>
        </w:tabs>
        <w:rPr>
          <w:color w:val="auto"/>
        </w:rPr>
      </w:pPr>
    </w:p>
    <w:p w:rsidRPr="00102FB5" w:rsidR="0077215C" w:rsidP="3A5FC3B6" w:rsidRDefault="00DB09D7" w14:paraId="0BC6A908" w14:textId="654B5540" w14:noSpellErr="1">
      <w:pPr>
        <w:pStyle w:val="NoSpacing"/>
        <w:rPr>
          <w:b w:val="1"/>
          <w:bCs w:val="1"/>
          <w:color w:val="auto"/>
        </w:rPr>
      </w:pPr>
      <w:r w:rsidRPr="3A5FC3B6" w:rsidR="3A5FC3B6">
        <w:rPr>
          <w:b w:val="1"/>
          <w:bCs w:val="1"/>
          <w:color w:val="auto"/>
        </w:rPr>
        <w:t>Length of stay</w:t>
      </w:r>
    </w:p>
    <w:p w:rsidR="00DB09D7" w:rsidP="3A5FC3B6" w:rsidRDefault="0077215C" w14:paraId="40A930FF" w14:textId="4F2A2ABE" w14:noSpellErr="1">
      <w:pPr>
        <w:pStyle w:val="NoSpacing"/>
        <w:rPr>
          <w:color w:val="auto"/>
        </w:rPr>
      </w:pPr>
      <w:r w:rsidRPr="3A5FC3B6" w:rsidR="3A5FC3B6">
        <w:rPr>
          <w:color w:val="auto"/>
        </w:rPr>
        <w:t xml:space="preserve">Meta-analysis was performed for LOS (measured in days), 30-day mortality and major complication prevalence, comparing patients on ERAS pathways or receiving ERAS-like components to patients receiving traditional care. For LOS 9 studies were analysed, totalling 708 ‘ERAS’ patients and 956 ‘non-ERAS’ patients </w:t>
      </w:r>
      <w:r w:rsidRPr="3A5FC3B6" w:rsidR="3A5FC3B6">
        <w:rPr>
          <w:b w:val="1"/>
          <w:bCs w:val="1"/>
          <w:color w:val="auto"/>
        </w:rPr>
        <w:t>(Fig.2)</w:t>
      </w:r>
      <w:r w:rsidRPr="3A5FC3B6" w:rsidR="3A5FC3B6">
        <w:rPr>
          <w:color w:val="auto"/>
        </w:rPr>
        <w:t xml:space="preserve">. LOS was significantly reduced with use of ERAS protocols; all studies individually reported a reduction in LOS, </w:t>
      </w:r>
      <w:r w:rsidRPr="3A5FC3B6" w:rsidR="3A5FC3B6">
        <w:rPr>
          <w:color w:val="auto"/>
        </w:rPr>
        <w:t>with a mean reduction of 3.</w:t>
      </w:r>
      <w:r w:rsidRPr="3A5FC3B6" w:rsidR="3A5FC3B6">
        <w:rPr>
          <w:color w:val="auto"/>
        </w:rPr>
        <w:t>18</w:t>
      </w:r>
      <w:r w:rsidRPr="3A5FC3B6" w:rsidR="3A5FC3B6">
        <w:rPr>
          <w:color w:val="auto"/>
        </w:rPr>
        <w:t xml:space="preserve"> days (-</w:t>
      </w:r>
      <w:r w:rsidRPr="3A5FC3B6" w:rsidR="3A5FC3B6">
        <w:rPr>
          <w:color w:val="auto"/>
        </w:rPr>
        <w:t>5.01</w:t>
      </w:r>
      <w:r w:rsidRPr="3A5FC3B6" w:rsidR="3A5FC3B6">
        <w:rPr>
          <w:color w:val="auto"/>
        </w:rPr>
        <w:t>to -1.</w:t>
      </w:r>
      <w:r w:rsidRPr="3A5FC3B6" w:rsidR="3A5FC3B6">
        <w:rPr>
          <w:color w:val="auto"/>
        </w:rPr>
        <w:t>35</w:t>
      </w:r>
      <w:r w:rsidRPr="3A5FC3B6" w:rsidR="3A5FC3B6">
        <w:rPr>
          <w:color w:val="auto"/>
        </w:rPr>
        <w:t xml:space="preserve"> days) (p=0.00</w:t>
      </w:r>
      <w:r w:rsidRPr="3A5FC3B6" w:rsidR="3A5FC3B6">
        <w:rPr>
          <w:color w:val="auto"/>
        </w:rPr>
        <w:t>07</w:t>
      </w:r>
      <w:r w:rsidRPr="3A5FC3B6" w:rsidR="3A5FC3B6">
        <w:rPr>
          <w:color w:val="auto"/>
        </w:rPr>
        <w:t>: I</w:t>
      </w:r>
      <w:r w:rsidRPr="3A5FC3B6" w:rsidR="3A5FC3B6">
        <w:rPr>
          <w:color w:val="auto"/>
          <w:vertAlign w:val="superscript"/>
        </w:rPr>
        <w:t>2</w:t>
      </w:r>
      <w:r w:rsidRPr="3A5FC3B6" w:rsidR="3A5FC3B6">
        <w:rPr>
          <w:color w:val="auto"/>
        </w:rPr>
        <w:t xml:space="preserve"> 9</w:t>
      </w:r>
      <w:r w:rsidRPr="3A5FC3B6" w:rsidR="3A5FC3B6">
        <w:rPr>
          <w:color w:val="auto"/>
        </w:rPr>
        <w:t>7</w:t>
      </w:r>
      <w:r w:rsidRPr="3A5FC3B6" w:rsidR="3A5FC3B6">
        <w:rPr>
          <w:color w:val="auto"/>
        </w:rPr>
        <w:t>%).</w:t>
      </w:r>
      <w:r w:rsidRPr="3A5FC3B6" w:rsidR="3A5FC3B6">
        <w:rPr>
          <w:color w:val="auto"/>
        </w:rPr>
        <w:t xml:space="preserve"> </w:t>
      </w:r>
    </w:p>
    <w:p w:rsidR="00DB09D7" w:rsidP="3A5FC3B6" w:rsidRDefault="00DB09D7" w14:paraId="1AFDA68D" w14:textId="77777777" w14:noSpellErr="1">
      <w:pPr>
        <w:pStyle w:val="NoSpacing"/>
        <w:rPr>
          <w:color w:val="auto"/>
        </w:rPr>
      </w:pPr>
    </w:p>
    <w:p w:rsidRPr="00102FB5" w:rsidR="00DB09D7" w:rsidP="3A5FC3B6" w:rsidRDefault="00DB09D7" w14:paraId="0FEB362F" w14:textId="2FEB35D1" w14:noSpellErr="1">
      <w:pPr>
        <w:pStyle w:val="NoSpacing"/>
        <w:rPr>
          <w:b w:val="1"/>
          <w:bCs w:val="1"/>
          <w:i w:val="1"/>
          <w:iCs w:val="1"/>
          <w:color w:val="auto"/>
        </w:rPr>
      </w:pPr>
      <w:r w:rsidRPr="3A5FC3B6" w:rsidR="3A5FC3B6">
        <w:rPr>
          <w:b w:val="1"/>
          <w:bCs w:val="1"/>
          <w:i w:val="1"/>
          <w:iCs w:val="1"/>
          <w:color w:val="auto"/>
        </w:rPr>
        <w:t>(FIGURE 2)</w:t>
      </w:r>
    </w:p>
    <w:p w:rsidR="00DB09D7" w:rsidP="3A5FC3B6" w:rsidRDefault="00DB09D7" w14:paraId="108320C7" w14:textId="77777777" w14:noSpellErr="1">
      <w:pPr>
        <w:pStyle w:val="NoSpacing"/>
        <w:rPr>
          <w:color w:val="auto"/>
        </w:rPr>
      </w:pPr>
    </w:p>
    <w:p w:rsidR="00B324A3" w:rsidP="3A5FC3B6" w:rsidRDefault="00B324A3" w14:paraId="096D8D78" w14:textId="77777777" w14:noSpellErr="1">
      <w:pPr>
        <w:pStyle w:val="NoSpacing"/>
        <w:rPr>
          <w:color w:val="auto"/>
        </w:rPr>
      </w:pPr>
    </w:p>
    <w:p w:rsidR="00B324A3" w:rsidP="3A5FC3B6" w:rsidRDefault="00B324A3" w14:paraId="7E88297E" w14:textId="77777777" w14:noSpellErr="1">
      <w:pPr>
        <w:pStyle w:val="NoSpacing"/>
        <w:rPr>
          <w:color w:val="auto"/>
        </w:rPr>
      </w:pPr>
    </w:p>
    <w:p w:rsidR="00B324A3" w:rsidP="3A5FC3B6" w:rsidRDefault="00B324A3" w14:paraId="25D0685D" w14:textId="77777777" w14:noSpellErr="1">
      <w:pPr>
        <w:pStyle w:val="NoSpacing"/>
        <w:rPr>
          <w:color w:val="auto"/>
        </w:rPr>
      </w:pPr>
    </w:p>
    <w:p w:rsidRPr="00102FB5" w:rsidR="00DB09D7" w:rsidP="3A5FC3B6" w:rsidRDefault="00DB09D7" w14:paraId="118D2758" w14:textId="5D19D205" w14:noSpellErr="1">
      <w:pPr>
        <w:pStyle w:val="NoSpacing"/>
        <w:rPr>
          <w:b w:val="1"/>
          <w:bCs w:val="1"/>
          <w:color w:val="auto"/>
        </w:rPr>
      </w:pPr>
      <w:r w:rsidRPr="3A5FC3B6" w:rsidR="3A5FC3B6">
        <w:rPr>
          <w:b w:val="1"/>
          <w:bCs w:val="1"/>
          <w:color w:val="auto"/>
        </w:rPr>
        <w:t>Major complications</w:t>
      </w:r>
    </w:p>
    <w:p w:rsidRPr="00BD169A" w:rsidR="00DB09D7" w:rsidP="3A5FC3B6" w:rsidRDefault="0077215C" w14:paraId="429AE933" w14:textId="7BCE4B61" w14:noSpellErr="1">
      <w:pPr>
        <w:pStyle w:val="NoSpacing"/>
        <w:rPr>
          <w:color w:val="auto"/>
        </w:rPr>
      </w:pPr>
      <w:r w:rsidRPr="3A5FC3B6" w:rsidR="3A5FC3B6">
        <w:rPr>
          <w:color w:val="auto"/>
        </w:rPr>
        <w:t xml:space="preserve">There was also a reduction in major complication rates in </w:t>
      </w:r>
      <w:r w:rsidRPr="3A5FC3B6" w:rsidR="3A5FC3B6">
        <w:rPr>
          <w:color w:val="auto"/>
        </w:rPr>
        <w:t>ERAS compared to non-ERAS protocols (ERAS n=709, non-ERAS n=930) (odds ratio 0.38, 0.22 to 0.65: p=0.0005)</w:t>
      </w:r>
      <w:r w:rsidRPr="3A5FC3B6" w:rsidR="3A5FC3B6">
        <w:rPr>
          <w:color w:val="auto"/>
        </w:rPr>
        <w:t xml:space="preserve"> </w:t>
      </w:r>
      <w:r w:rsidRPr="3A5FC3B6" w:rsidR="3A5FC3B6">
        <w:rPr>
          <w:b w:val="1"/>
          <w:bCs w:val="1"/>
          <w:color w:val="auto"/>
        </w:rPr>
        <w:t>(Fig.3)</w:t>
      </w:r>
      <w:r w:rsidRPr="3A5FC3B6" w:rsidR="3A5FC3B6">
        <w:rPr>
          <w:color w:val="auto"/>
        </w:rPr>
        <w:t xml:space="preserve">, across 7 studies. </w:t>
      </w:r>
      <w:r w:rsidRPr="3A5FC3B6" w:rsidR="3A5FC3B6">
        <w:rPr>
          <w:color w:val="auto"/>
        </w:rPr>
        <w:t xml:space="preserve">Rates of </w:t>
      </w:r>
      <w:r w:rsidRPr="3A5FC3B6" w:rsidR="3A5FC3B6">
        <w:rPr>
          <w:color w:val="auto"/>
        </w:rPr>
        <w:t xml:space="preserve">individual </w:t>
      </w:r>
      <w:r w:rsidRPr="3A5FC3B6" w:rsidR="3A5FC3B6">
        <w:rPr>
          <w:color w:val="auto"/>
        </w:rPr>
        <w:t>major complication</w:t>
      </w:r>
      <w:r w:rsidRPr="3A5FC3B6" w:rsidR="3A5FC3B6">
        <w:rPr>
          <w:color w:val="auto"/>
        </w:rPr>
        <w:t>s</w:t>
      </w:r>
      <w:r w:rsidRPr="3A5FC3B6" w:rsidR="3A5FC3B6">
        <w:rPr>
          <w:color w:val="auto"/>
        </w:rPr>
        <w:t xml:space="preserve"> </w:t>
      </w:r>
      <w:r w:rsidRPr="3A5FC3B6" w:rsidR="3A5FC3B6">
        <w:rPr>
          <w:color w:val="auto"/>
        </w:rPr>
        <w:t>are shown in</w:t>
      </w:r>
      <w:r w:rsidRPr="3A5FC3B6" w:rsidR="3A5FC3B6">
        <w:rPr>
          <w:color w:val="auto"/>
        </w:rPr>
        <w:t xml:space="preserve"> </w:t>
      </w:r>
      <w:r w:rsidRPr="3A5FC3B6" w:rsidR="3A5FC3B6">
        <w:rPr>
          <w:b w:val="1"/>
          <w:bCs w:val="1"/>
          <w:color w:val="auto"/>
        </w:rPr>
        <w:t>Table 4</w:t>
      </w:r>
      <w:r w:rsidRPr="3A5FC3B6" w:rsidR="3A5FC3B6">
        <w:rPr>
          <w:color w:val="auto"/>
        </w:rPr>
        <w:t xml:space="preserve">. </w:t>
      </w:r>
      <w:r w:rsidRPr="3A5FC3B6" w:rsidR="3A5FC3B6">
        <w:rPr>
          <w:color w:val="auto"/>
        </w:rPr>
        <w:t>Where comparisons were available,</w:t>
      </w:r>
      <w:r w:rsidRPr="3A5FC3B6" w:rsidR="3A5FC3B6">
        <w:rPr>
          <w:color w:val="auto"/>
        </w:rPr>
        <w:t xml:space="preserve"> </w:t>
      </w:r>
      <w:r w:rsidRPr="3A5FC3B6" w:rsidR="3A5FC3B6">
        <w:rPr>
          <w:color w:val="auto"/>
        </w:rPr>
        <w:t>the majority of</w:t>
      </w:r>
      <w:r w:rsidRPr="3A5FC3B6" w:rsidR="3A5FC3B6">
        <w:rPr>
          <w:color w:val="auto"/>
        </w:rPr>
        <w:t xml:space="preserve"> studies reported</w:t>
      </w:r>
      <w:r w:rsidRPr="3A5FC3B6" w:rsidR="3A5FC3B6">
        <w:rPr>
          <w:color w:val="auto"/>
        </w:rPr>
        <w:t xml:space="preserve"> lower rate</w:t>
      </w:r>
      <w:r w:rsidRPr="3A5FC3B6" w:rsidR="3A5FC3B6">
        <w:rPr>
          <w:color w:val="auto"/>
        </w:rPr>
        <w:t>s</w:t>
      </w:r>
      <w:r w:rsidRPr="3A5FC3B6" w:rsidR="3A5FC3B6">
        <w:rPr>
          <w:color w:val="auto"/>
        </w:rPr>
        <w:t xml:space="preserve"> of pulmonary</w:t>
      </w:r>
      <w:r w:rsidRPr="3A5FC3B6" w:rsidR="3A5FC3B6">
        <w:rPr>
          <w:color w:val="auto"/>
        </w:rPr>
        <w:t xml:space="preserve"> (5 of 6)</w:t>
      </w:r>
      <w:r w:rsidRPr="3A5FC3B6" w:rsidR="3A5FC3B6">
        <w:rPr>
          <w:color w:val="auto"/>
        </w:rPr>
        <w:t xml:space="preserve">, </w:t>
      </w:r>
      <w:r w:rsidRPr="3A5FC3B6" w:rsidR="3A5FC3B6">
        <w:rPr>
          <w:color w:val="auto"/>
        </w:rPr>
        <w:t>renal</w:t>
      </w:r>
      <w:r w:rsidRPr="3A5FC3B6" w:rsidR="3A5FC3B6">
        <w:rPr>
          <w:color w:val="auto"/>
        </w:rPr>
        <w:t xml:space="preserve"> (6 of 6)</w:t>
      </w:r>
      <w:r w:rsidRPr="3A5FC3B6" w:rsidR="3A5FC3B6">
        <w:rPr>
          <w:color w:val="auto"/>
        </w:rPr>
        <w:t xml:space="preserve"> and gastrointestinal</w:t>
      </w:r>
      <w:r w:rsidRPr="3A5FC3B6" w:rsidR="3A5FC3B6">
        <w:rPr>
          <w:color w:val="auto"/>
        </w:rPr>
        <w:t xml:space="preserve"> (GI)</w:t>
      </w:r>
      <w:r w:rsidRPr="3A5FC3B6" w:rsidR="3A5FC3B6">
        <w:rPr>
          <w:color w:val="auto"/>
        </w:rPr>
        <w:t xml:space="preserve"> (5 of 6)</w:t>
      </w:r>
      <w:r w:rsidRPr="3A5FC3B6" w:rsidR="3A5FC3B6">
        <w:rPr>
          <w:color w:val="auto"/>
        </w:rPr>
        <w:t xml:space="preserve"> complications i</w:t>
      </w:r>
      <w:r w:rsidRPr="3A5FC3B6" w:rsidR="3A5FC3B6">
        <w:rPr>
          <w:color w:val="auto"/>
        </w:rPr>
        <w:t>n ERAS groups</w:t>
      </w:r>
      <w:r w:rsidRPr="3A5FC3B6" w:rsidR="3A5FC3B6">
        <w:rPr>
          <w:color w:val="auto"/>
        </w:rPr>
        <w:t xml:space="preserve"> compared to non-ERAS groups</w:t>
      </w:r>
      <w:r w:rsidRPr="3A5FC3B6" w:rsidR="3A5FC3B6">
        <w:rPr>
          <w:color w:val="auto"/>
        </w:rPr>
        <w:t xml:space="preserve">. </w:t>
      </w:r>
      <w:r w:rsidRPr="3A5FC3B6" w:rsidR="3A5FC3B6">
        <w:rPr>
          <w:color w:val="auto"/>
        </w:rPr>
        <w:t xml:space="preserve">In </w:t>
      </w:r>
      <w:r w:rsidRPr="3A5FC3B6" w:rsidR="3A5FC3B6">
        <w:rPr>
          <w:color w:val="auto"/>
        </w:rPr>
        <w:t>3/6 studies</w:t>
      </w:r>
      <w:r w:rsidRPr="3A5FC3B6" w:rsidR="3A5FC3B6">
        <w:rPr>
          <w:color w:val="auto"/>
        </w:rPr>
        <w:t xml:space="preserve"> the rate of cardiac complications (</w:t>
      </w:r>
      <w:r w:rsidRPr="3A5FC3B6" w:rsidR="3A5FC3B6">
        <w:rPr>
          <w:color w:val="auto"/>
        </w:rPr>
        <w:t>including a</w:t>
      </w:r>
      <w:r w:rsidRPr="3A5FC3B6" w:rsidR="3A5FC3B6">
        <w:rPr>
          <w:color w:val="auto"/>
        </w:rPr>
        <w:t>cute coronary syndrome/myocardial infarction and arrhythmias</w:t>
      </w:r>
      <w:r w:rsidRPr="3A5FC3B6" w:rsidR="3A5FC3B6">
        <w:rPr>
          <w:color w:val="auto"/>
        </w:rPr>
        <w:t>) was lower in ERAS groups</w:t>
      </w:r>
      <w:r w:rsidRPr="3A5FC3B6" w:rsidR="3A5FC3B6">
        <w:rPr>
          <w:color w:val="auto"/>
        </w:rPr>
        <w:t>, however in the other</w:t>
      </w:r>
      <w:r w:rsidRPr="3A5FC3B6" w:rsidR="3A5FC3B6">
        <w:rPr>
          <w:color w:val="auto"/>
        </w:rPr>
        <w:t xml:space="preserve"> 3/6</w:t>
      </w:r>
      <w:r w:rsidRPr="3A5FC3B6" w:rsidR="3A5FC3B6">
        <w:rPr>
          <w:color w:val="auto"/>
        </w:rPr>
        <w:t xml:space="preserve"> </w:t>
      </w:r>
      <w:r w:rsidRPr="3A5FC3B6" w:rsidR="3A5FC3B6">
        <w:rPr>
          <w:color w:val="auto"/>
        </w:rPr>
        <w:t>the rates were higher</w:t>
      </w:r>
      <w:r w:rsidRPr="3A5FC3B6" w:rsidR="3A5FC3B6">
        <w:rPr>
          <w:color w:val="auto"/>
        </w:rPr>
        <w:t>.</w:t>
      </w:r>
      <w:r w:rsidRPr="3A5FC3B6" w:rsidR="3A5FC3B6">
        <w:rPr>
          <w:color w:val="auto"/>
        </w:rPr>
        <w:t xml:space="preserve"> </w:t>
      </w:r>
      <w:r w:rsidRPr="3A5FC3B6" w:rsidR="3A5FC3B6">
        <w:rPr>
          <w:color w:val="auto"/>
        </w:rPr>
        <w:t xml:space="preserve">Anaemia requiring blood transfusion was reported in </w:t>
      </w:r>
      <w:r w:rsidRPr="3A5FC3B6" w:rsidR="3A5FC3B6">
        <w:rPr>
          <w:color w:val="auto"/>
        </w:rPr>
        <w:t xml:space="preserve">four </w:t>
      </w:r>
      <w:r w:rsidRPr="3A5FC3B6" w:rsidR="3A5FC3B6">
        <w:rPr>
          <w:color w:val="auto"/>
        </w:rPr>
        <w:t>studies, two of which reported lower rates in ERAS groups</w:t>
      </w:r>
      <w:r w:rsidRPr="3A5FC3B6" w:rsidR="3A5FC3B6">
        <w:rPr>
          <w:color w:val="auto"/>
        </w:rPr>
        <w:t xml:space="preserve"> and two reported no differences between groups</w:t>
      </w:r>
      <w:r w:rsidRPr="3A5FC3B6" w:rsidR="3A5FC3B6">
        <w:rPr>
          <w:color w:val="auto"/>
        </w:rPr>
        <w:t xml:space="preserve">. </w:t>
      </w:r>
      <w:r w:rsidRPr="3A5FC3B6" w:rsidR="3A5FC3B6">
        <w:rPr>
          <w:color w:val="auto"/>
        </w:rPr>
        <w:t>Returns to theatre were reported in two studies</w:t>
      </w:r>
      <w:r w:rsidRPr="3A5FC3B6" w:rsidR="3A5FC3B6">
        <w:rPr>
          <w:color w:val="auto"/>
        </w:rPr>
        <w:t xml:space="preserve">; one showed higher rates in the ERAS </w:t>
      </w:r>
      <w:r w:rsidRPr="3A5FC3B6" w:rsidR="3A5FC3B6">
        <w:rPr>
          <w:color w:val="auto"/>
        </w:rPr>
        <w:t>group</w:t>
      </w:r>
      <w:r w:rsidRPr="3A5FC3B6" w:rsidR="3A5FC3B6">
        <w:rPr>
          <w:color w:val="auto"/>
        </w:rPr>
        <w:t xml:space="preserve"> and one found no difference between groups. </w:t>
      </w:r>
      <w:r w:rsidRPr="3A5FC3B6" w:rsidR="3A5FC3B6">
        <w:rPr>
          <w:color w:val="auto"/>
        </w:rPr>
        <w:t xml:space="preserve">Where reported, rates of peripheral embolization were found to be higher in ERAS groups (2/2). </w:t>
      </w:r>
      <w:r w:rsidRPr="3A5FC3B6" w:rsidR="3A5FC3B6">
        <w:rPr>
          <w:color w:val="auto"/>
        </w:rPr>
        <w:t xml:space="preserve">Rates of </w:t>
      </w:r>
      <w:r w:rsidRPr="3A5FC3B6" w:rsidR="3A5FC3B6">
        <w:rPr>
          <w:color w:val="auto"/>
        </w:rPr>
        <w:t xml:space="preserve">early </w:t>
      </w:r>
      <w:r w:rsidRPr="3A5FC3B6" w:rsidR="3A5FC3B6">
        <w:rPr>
          <w:color w:val="auto"/>
        </w:rPr>
        <w:t xml:space="preserve">readmission </w:t>
      </w:r>
      <w:r w:rsidRPr="3A5FC3B6" w:rsidR="3A5FC3B6">
        <w:rPr>
          <w:color w:val="auto"/>
        </w:rPr>
        <w:t xml:space="preserve">(within 30 days) </w:t>
      </w:r>
      <w:r w:rsidRPr="3A5FC3B6" w:rsidR="3A5FC3B6">
        <w:rPr>
          <w:color w:val="auto"/>
        </w:rPr>
        <w:t xml:space="preserve">were </w:t>
      </w:r>
      <w:r w:rsidRPr="3A5FC3B6" w:rsidR="3A5FC3B6">
        <w:rPr>
          <w:color w:val="auto"/>
        </w:rPr>
        <w:t>equal between groups</w:t>
      </w:r>
      <w:r w:rsidRPr="3A5FC3B6" w:rsidR="3A5FC3B6">
        <w:rPr>
          <w:color w:val="auto"/>
        </w:rPr>
        <w:t xml:space="preserve"> in</w:t>
      </w:r>
      <w:r w:rsidRPr="3A5FC3B6" w:rsidR="3A5FC3B6">
        <w:rPr>
          <w:color w:val="auto"/>
        </w:rPr>
        <w:t xml:space="preserve"> </w:t>
      </w:r>
      <w:r w:rsidRPr="3A5FC3B6" w:rsidR="3A5FC3B6">
        <w:rPr>
          <w:color w:val="auto"/>
        </w:rPr>
        <w:t xml:space="preserve">3/4 </w:t>
      </w:r>
      <w:r w:rsidRPr="3A5FC3B6" w:rsidR="3A5FC3B6">
        <w:rPr>
          <w:color w:val="auto"/>
        </w:rPr>
        <w:t xml:space="preserve">of </w:t>
      </w:r>
      <w:r w:rsidRPr="3A5FC3B6" w:rsidR="3A5FC3B6">
        <w:rPr>
          <w:color w:val="auto"/>
        </w:rPr>
        <w:t xml:space="preserve">applicable studies. </w:t>
      </w:r>
    </w:p>
    <w:p w:rsidR="00DB09D7" w:rsidP="3A5FC3B6" w:rsidRDefault="00DB09D7" w14:paraId="580C7C65" w14:textId="77777777" w14:noSpellErr="1">
      <w:pPr>
        <w:pStyle w:val="NoSpacing"/>
        <w:rPr>
          <w:color w:val="auto"/>
        </w:rPr>
      </w:pPr>
    </w:p>
    <w:p w:rsidRPr="007400C6" w:rsidR="00DB09D7" w:rsidP="3A5FC3B6" w:rsidRDefault="00DB09D7" w14:paraId="7860A2D6" w14:textId="5F44373D" w14:noSpellErr="1">
      <w:pPr>
        <w:pStyle w:val="NoSpacing"/>
        <w:rPr>
          <w:b w:val="1"/>
          <w:bCs w:val="1"/>
          <w:i w:val="1"/>
          <w:iCs w:val="1"/>
          <w:color w:val="auto"/>
        </w:rPr>
      </w:pPr>
      <w:r w:rsidRPr="3A5FC3B6" w:rsidR="3A5FC3B6">
        <w:rPr>
          <w:b w:val="1"/>
          <w:bCs w:val="1"/>
          <w:i w:val="1"/>
          <w:iCs w:val="1"/>
          <w:color w:val="auto"/>
        </w:rPr>
        <w:t>(</w:t>
      </w:r>
      <w:r w:rsidRPr="3A5FC3B6" w:rsidR="3A5FC3B6">
        <w:rPr>
          <w:b w:val="1"/>
          <w:bCs w:val="1"/>
          <w:i w:val="1"/>
          <w:iCs w:val="1"/>
          <w:color w:val="auto"/>
        </w:rPr>
        <w:t>FIGURE 3</w:t>
      </w:r>
      <w:r w:rsidRPr="3A5FC3B6" w:rsidR="3A5FC3B6">
        <w:rPr>
          <w:b w:val="1"/>
          <w:bCs w:val="1"/>
          <w:i w:val="1"/>
          <w:iCs w:val="1"/>
          <w:color w:val="auto"/>
        </w:rPr>
        <w:t>)</w:t>
      </w:r>
    </w:p>
    <w:p w:rsidR="00DB09D7" w:rsidP="3A5FC3B6" w:rsidRDefault="00DB09D7" w14:paraId="720D0408" w14:textId="77777777" w14:noSpellErr="1">
      <w:pPr>
        <w:pStyle w:val="NoSpacing"/>
        <w:rPr>
          <w:color w:val="auto"/>
        </w:rPr>
      </w:pPr>
    </w:p>
    <w:p w:rsidRPr="00F171A0" w:rsidR="00172DE2" w:rsidP="3A5FC3B6" w:rsidRDefault="00172DE2" w14:paraId="07B333B2" w14:textId="3AAB908B" w14:noSpellErr="1">
      <w:pPr>
        <w:pStyle w:val="NoSpacing"/>
        <w:rPr>
          <w:b w:val="1"/>
          <w:bCs w:val="1"/>
          <w:i w:val="1"/>
          <w:iCs w:val="1"/>
          <w:color w:val="auto"/>
        </w:rPr>
      </w:pPr>
      <w:r w:rsidRPr="3A5FC3B6" w:rsidR="3A5FC3B6">
        <w:rPr>
          <w:b w:val="1"/>
          <w:bCs w:val="1"/>
          <w:i w:val="1"/>
          <w:iCs w:val="1"/>
          <w:color w:val="auto"/>
        </w:rPr>
        <w:t xml:space="preserve">(TABLE </w:t>
      </w:r>
      <w:r w:rsidRPr="3A5FC3B6" w:rsidR="3A5FC3B6">
        <w:rPr>
          <w:b w:val="1"/>
          <w:bCs w:val="1"/>
          <w:i w:val="1"/>
          <w:iCs w:val="1"/>
          <w:color w:val="auto"/>
        </w:rPr>
        <w:t>4</w:t>
      </w:r>
      <w:r w:rsidRPr="3A5FC3B6" w:rsidR="3A5FC3B6">
        <w:rPr>
          <w:b w:val="1"/>
          <w:bCs w:val="1"/>
          <w:i w:val="1"/>
          <w:iCs w:val="1"/>
          <w:color w:val="auto"/>
        </w:rPr>
        <w:t>)</w:t>
      </w:r>
    </w:p>
    <w:p w:rsidR="00DB09D7" w:rsidP="3A5FC3B6" w:rsidRDefault="00DB09D7" w14:paraId="7E36EFB0" w14:textId="77777777" w14:noSpellErr="1">
      <w:pPr>
        <w:pStyle w:val="NoSpacing"/>
        <w:rPr>
          <w:color w:val="auto"/>
        </w:rPr>
      </w:pPr>
    </w:p>
    <w:p w:rsidR="00DB09D7" w:rsidP="3A5FC3B6" w:rsidRDefault="00DB09D7" w14:paraId="570816D2" w14:textId="77777777" w14:noSpellErr="1">
      <w:pPr>
        <w:pStyle w:val="NoSpacing"/>
        <w:rPr>
          <w:color w:val="auto"/>
        </w:rPr>
      </w:pPr>
    </w:p>
    <w:p w:rsidRPr="00102FB5" w:rsidR="00DB09D7" w:rsidP="3A5FC3B6" w:rsidRDefault="00DB09D7" w14:paraId="1C961CE3" w14:textId="17B52E5B" w14:noSpellErr="1">
      <w:pPr>
        <w:pStyle w:val="NoSpacing"/>
        <w:rPr>
          <w:b w:val="1"/>
          <w:bCs w:val="1"/>
          <w:color w:val="auto"/>
        </w:rPr>
      </w:pPr>
      <w:r w:rsidRPr="3A5FC3B6" w:rsidR="3A5FC3B6">
        <w:rPr>
          <w:b w:val="1"/>
          <w:bCs w:val="1"/>
          <w:color w:val="auto"/>
        </w:rPr>
        <w:t>30-day mortality</w:t>
      </w:r>
    </w:p>
    <w:p w:rsidR="0077215C" w:rsidP="3A5FC3B6" w:rsidRDefault="0077215C" w14:paraId="0BC6A909" w14:textId="392C42F6" w14:noSpellErr="1">
      <w:pPr>
        <w:pStyle w:val="NoSpacing"/>
        <w:rPr>
          <w:color w:val="auto"/>
        </w:rPr>
      </w:pPr>
      <w:r w:rsidRPr="3A5FC3B6" w:rsidR="3A5FC3B6">
        <w:rPr>
          <w:color w:val="auto"/>
        </w:rPr>
        <w:t xml:space="preserve">For 30-day mortality 7 studies were used, </w:t>
      </w:r>
      <w:r w:rsidRPr="3A5FC3B6" w:rsidR="3A5FC3B6">
        <w:rPr>
          <w:color w:val="auto"/>
        </w:rPr>
        <w:t>comprising</w:t>
      </w:r>
      <w:r w:rsidRPr="3A5FC3B6" w:rsidR="3A5FC3B6">
        <w:rPr>
          <w:color w:val="auto"/>
        </w:rPr>
        <w:t xml:space="preserve"> 687 ERAS patients and 885 non-ERAS patients. There were an equal number of events (5) in both groups, and no significant difference found between the groups (p=0.92) </w:t>
      </w:r>
      <w:r w:rsidRPr="3A5FC3B6" w:rsidR="3A5FC3B6">
        <w:rPr>
          <w:b w:val="1"/>
          <w:bCs w:val="1"/>
          <w:color w:val="auto"/>
        </w:rPr>
        <w:t>(Fig. 4)</w:t>
      </w:r>
      <w:r w:rsidRPr="3A5FC3B6" w:rsidR="3A5FC3B6">
        <w:rPr>
          <w:color w:val="auto"/>
        </w:rPr>
        <w:t xml:space="preserve">. </w:t>
      </w:r>
    </w:p>
    <w:p w:rsidR="00782C6D" w:rsidP="3A5FC3B6" w:rsidRDefault="00782C6D" w14:paraId="1DF9E3DE" w14:textId="77777777" w14:noSpellErr="1">
      <w:pPr>
        <w:pStyle w:val="NoSpacing"/>
        <w:rPr>
          <w:color w:val="auto"/>
        </w:rPr>
      </w:pPr>
    </w:p>
    <w:p w:rsidRPr="00102FB5" w:rsidR="00782C6D" w:rsidP="3A5FC3B6" w:rsidRDefault="00782C6D" w14:paraId="16A78F0C" w14:textId="2AA0DD9B" w14:noSpellErr="1">
      <w:pPr>
        <w:pStyle w:val="NoSpacing"/>
        <w:rPr>
          <w:b w:val="1"/>
          <w:bCs w:val="1"/>
          <w:i w:val="1"/>
          <w:iCs w:val="1"/>
          <w:color w:val="auto"/>
        </w:rPr>
      </w:pPr>
      <w:r w:rsidRPr="3A5FC3B6" w:rsidR="3A5FC3B6">
        <w:rPr>
          <w:b w:val="1"/>
          <w:bCs w:val="1"/>
          <w:i w:val="1"/>
          <w:iCs w:val="1"/>
          <w:color w:val="auto"/>
        </w:rPr>
        <w:t>(FIGURE 4)</w:t>
      </w:r>
    </w:p>
    <w:p w:rsidR="00782C6D" w:rsidP="3A5FC3B6" w:rsidRDefault="00782C6D" w14:paraId="78624B03" w14:textId="77777777" w14:noSpellErr="1">
      <w:pPr>
        <w:pStyle w:val="NoSpacing"/>
        <w:rPr>
          <w:color w:val="auto"/>
        </w:rPr>
      </w:pPr>
    </w:p>
    <w:p w:rsidR="00240DFF" w:rsidP="3A5FC3B6" w:rsidRDefault="00240DFF" w14:paraId="0BC6A928" w14:textId="77777777" w14:noSpellErr="1">
      <w:pPr>
        <w:pStyle w:val="NoSpacing"/>
        <w:rPr>
          <w:color w:val="auto"/>
        </w:rPr>
      </w:pPr>
    </w:p>
    <w:p w:rsidRPr="00102FB5" w:rsidR="00DB3024" w:rsidP="3A5FC3B6" w:rsidRDefault="007F4E5F" w14:paraId="0BC6A929" w14:textId="77777777" w14:noSpellErr="1">
      <w:pPr>
        <w:rPr>
          <w:b w:val="1"/>
          <w:bCs w:val="1"/>
          <w:color w:val="auto"/>
        </w:rPr>
      </w:pPr>
      <w:r w:rsidRPr="3A5FC3B6" w:rsidR="3A5FC3B6">
        <w:rPr>
          <w:b w:val="1"/>
          <w:bCs w:val="1"/>
          <w:color w:val="auto"/>
        </w:rPr>
        <w:t>Subgroup Analyses</w:t>
      </w:r>
    </w:p>
    <w:p w:rsidR="007F4E5F" w:rsidP="3A5FC3B6" w:rsidRDefault="00DB3024" w14:paraId="0BC6A92A" w14:textId="77777777" w14:noSpellErr="1">
      <w:pPr>
        <w:rPr>
          <w:color w:val="auto"/>
        </w:rPr>
      </w:pPr>
      <w:r w:rsidRPr="3A5FC3B6" w:rsidR="3A5FC3B6">
        <w:rPr>
          <w:color w:val="auto"/>
        </w:rPr>
        <w:t xml:space="preserve">A subgroup analysis was undertaken to include only studies which had included at least 10/15 </w:t>
      </w:r>
      <w:r w:rsidRPr="3A5FC3B6" w:rsidR="3A5FC3B6">
        <w:rPr>
          <w:color w:val="auto"/>
        </w:rPr>
        <w:t>possible elements</w:t>
      </w:r>
      <w:r w:rsidRPr="3A5FC3B6" w:rsidR="3A5FC3B6">
        <w:rPr>
          <w:color w:val="auto"/>
        </w:rPr>
        <w:t xml:space="preserve"> of an ERAS protocol. This confirmed the overall findin</w:t>
      </w:r>
      <w:r w:rsidRPr="3A5FC3B6" w:rsidR="3A5FC3B6">
        <w:rPr>
          <w:color w:val="auto"/>
        </w:rPr>
        <w:t>g</w:t>
      </w:r>
      <w:r w:rsidRPr="3A5FC3B6" w:rsidR="3A5FC3B6">
        <w:rPr>
          <w:color w:val="auto"/>
        </w:rPr>
        <w:t>s</w:t>
      </w:r>
      <w:r w:rsidRPr="3A5FC3B6" w:rsidR="3A5FC3B6">
        <w:rPr>
          <w:color w:val="auto"/>
        </w:rPr>
        <w:t xml:space="preserve"> that there was a significant reduction in length of stay </w:t>
      </w:r>
      <w:r w:rsidRPr="3A5FC3B6" w:rsidR="3A5FC3B6">
        <w:rPr>
          <w:color w:val="auto"/>
        </w:rPr>
        <w:t>(</w:t>
      </w:r>
      <w:r w:rsidRPr="3A5FC3B6" w:rsidR="3A5FC3B6">
        <w:rPr>
          <w:color w:val="auto"/>
        </w:rPr>
        <w:t>ERAS n=413</w:t>
      </w:r>
      <w:r w:rsidRPr="3A5FC3B6" w:rsidR="3A5FC3B6">
        <w:rPr>
          <w:color w:val="auto"/>
        </w:rPr>
        <w:t xml:space="preserve">, </w:t>
      </w:r>
      <w:r w:rsidRPr="3A5FC3B6" w:rsidR="3A5FC3B6">
        <w:rPr>
          <w:color w:val="auto"/>
        </w:rPr>
        <w:t>non-ERAS n=708, MD=-2.52(-4.</w:t>
      </w:r>
      <w:r w:rsidRPr="3A5FC3B6" w:rsidR="3A5FC3B6">
        <w:rPr>
          <w:color w:val="auto"/>
        </w:rPr>
        <w:t>32</w:t>
      </w:r>
      <w:r w:rsidRPr="3A5FC3B6" w:rsidR="3A5FC3B6">
        <w:rPr>
          <w:color w:val="auto"/>
        </w:rPr>
        <w:t xml:space="preserve"> ,</w:t>
      </w:r>
      <w:r w:rsidRPr="3A5FC3B6" w:rsidR="3A5FC3B6">
        <w:rPr>
          <w:color w:val="auto"/>
        </w:rPr>
        <w:t xml:space="preserve"> </w:t>
      </w:r>
      <w:r w:rsidRPr="3A5FC3B6" w:rsidR="3A5FC3B6">
        <w:rPr>
          <w:color w:val="auto"/>
        </w:rPr>
        <w:t xml:space="preserve">-0.73), P=0.006), and a significant reduction in major complications </w:t>
      </w:r>
      <w:r w:rsidRPr="3A5FC3B6" w:rsidR="3A5FC3B6">
        <w:rPr>
          <w:color w:val="auto"/>
        </w:rPr>
        <w:t>(</w:t>
      </w:r>
      <w:r w:rsidRPr="3A5FC3B6" w:rsidR="3A5FC3B6">
        <w:rPr>
          <w:color w:val="auto"/>
        </w:rPr>
        <w:t xml:space="preserve">ERAS n=480 non-ERAS n=743, OR=0.62 (0.46-0.84), P=0.002). </w:t>
      </w:r>
    </w:p>
    <w:p w:rsidR="0077215C" w:rsidP="3A5FC3B6" w:rsidRDefault="0077215C" w14:paraId="0BC6A92D" w14:textId="77777777" w14:noSpellErr="1">
      <w:pPr>
        <w:pStyle w:val="NoSpacing"/>
        <w:rPr>
          <w:color w:val="auto"/>
        </w:rPr>
      </w:pPr>
    </w:p>
    <w:p w:rsidRPr="007F7440" w:rsidR="007F7440" w:rsidP="3A5FC3B6" w:rsidRDefault="007F7440" w14:paraId="0BC6A92E" w14:textId="77777777" w14:noSpellErr="1">
      <w:pPr>
        <w:pStyle w:val="NoSpacing"/>
        <w:rPr>
          <w:b w:val="1"/>
          <w:bCs w:val="1"/>
          <w:color w:val="auto"/>
        </w:rPr>
      </w:pPr>
      <w:r w:rsidRPr="3A5FC3B6" w:rsidR="3A5FC3B6">
        <w:rPr>
          <w:b w:val="1"/>
          <w:bCs w:val="1"/>
          <w:color w:val="auto"/>
        </w:rPr>
        <w:t>DISCUSSION</w:t>
      </w:r>
    </w:p>
    <w:p w:rsidRPr="0088032D" w:rsidR="007F7440" w:rsidP="3A5FC3B6" w:rsidRDefault="007F7440" w14:paraId="0BC6A92F" w14:textId="77777777" w14:noSpellErr="1">
      <w:pPr>
        <w:pStyle w:val="NoSpacing"/>
        <w:rPr>
          <w:color w:val="auto"/>
        </w:rPr>
      </w:pPr>
    </w:p>
    <w:p w:rsidRPr="0088032D" w:rsidR="00CE38F6" w:rsidP="3A5FC3B6" w:rsidRDefault="007216B3" w14:paraId="0BC6A930" w14:textId="2FA2ACB9" w14:noSpellErr="1">
      <w:pPr>
        <w:pStyle w:val="NoSpacing"/>
        <w:rPr>
          <w:color w:val="auto"/>
        </w:rPr>
      </w:pPr>
      <w:r w:rsidRPr="3A5FC3B6" w:rsidR="3A5FC3B6">
        <w:rPr>
          <w:color w:val="auto"/>
        </w:rPr>
        <w:t>This meta-analysis aimed to look at the impact of an Enhanced Recovery Programme on outcomes after open Abdominal Aortic Aneurysm surgery</w:t>
      </w:r>
      <w:r w:rsidRPr="3A5FC3B6" w:rsidR="3A5FC3B6">
        <w:rPr>
          <w:color w:val="auto"/>
        </w:rPr>
        <w:t xml:space="preserve">.  </w:t>
      </w:r>
      <w:r w:rsidRPr="3A5FC3B6" w:rsidR="3A5FC3B6">
        <w:rPr>
          <w:color w:val="auto"/>
        </w:rPr>
        <w:t xml:space="preserve">Out results suggest that implementation of an </w:t>
      </w:r>
      <w:r w:rsidRPr="3A5FC3B6" w:rsidR="3A5FC3B6">
        <w:rPr>
          <w:color w:val="auto"/>
        </w:rPr>
        <w:t xml:space="preserve">ERAS pathways or receiving ERAS-like components significantly </w:t>
      </w:r>
      <w:r w:rsidRPr="3A5FC3B6" w:rsidR="3A5FC3B6">
        <w:rPr>
          <w:color w:val="auto"/>
        </w:rPr>
        <w:t xml:space="preserve">reduces length of stay </w:t>
      </w:r>
      <w:r w:rsidRPr="3A5FC3B6" w:rsidR="3A5FC3B6">
        <w:rPr>
          <w:color w:val="auto"/>
        </w:rPr>
        <w:t>with a mean reduction of 3 days</w:t>
      </w:r>
      <w:r w:rsidRPr="3A5FC3B6" w:rsidR="3A5FC3B6">
        <w:rPr>
          <w:color w:val="auto"/>
        </w:rPr>
        <w:t xml:space="preserve">.  </w:t>
      </w:r>
      <w:r w:rsidRPr="3A5FC3B6" w:rsidR="3A5FC3B6">
        <w:rPr>
          <w:color w:val="auto"/>
        </w:rPr>
        <w:t xml:space="preserve">There was also a reduction in </w:t>
      </w:r>
      <w:r w:rsidRPr="3A5FC3B6" w:rsidR="3A5FC3B6">
        <w:rPr>
          <w:color w:val="auto"/>
        </w:rPr>
        <w:t>major complication rates</w:t>
      </w:r>
      <w:r w:rsidRPr="3A5FC3B6" w:rsidR="3A5FC3B6">
        <w:rPr>
          <w:color w:val="auto"/>
        </w:rPr>
        <w:t xml:space="preserve"> </w:t>
      </w:r>
      <w:r w:rsidRPr="3A5FC3B6" w:rsidR="3A5FC3B6">
        <w:rPr>
          <w:color w:val="auto"/>
        </w:rPr>
        <w:t>compared to patients receiving traditional care</w:t>
      </w:r>
      <w:r w:rsidRPr="3A5FC3B6" w:rsidR="3A5FC3B6">
        <w:rPr>
          <w:color w:val="auto"/>
        </w:rPr>
        <w:t xml:space="preserve">.  </w:t>
      </w:r>
      <w:r w:rsidRPr="3A5FC3B6" w:rsidR="3A5FC3B6">
        <w:rPr>
          <w:color w:val="auto"/>
        </w:rPr>
        <w:t>These overall findings were confirmed with subgroup analysis of patient receiving 10/15 elements of the pathway</w:t>
      </w:r>
      <w:r w:rsidRPr="3A5FC3B6" w:rsidR="3A5FC3B6">
        <w:rPr>
          <w:color w:val="auto"/>
        </w:rPr>
        <w:t xml:space="preserve">.  </w:t>
      </w:r>
      <w:r w:rsidRPr="3A5FC3B6" w:rsidR="3A5FC3B6">
        <w:rPr>
          <w:color w:val="auto"/>
        </w:rPr>
        <w:t xml:space="preserve">There is </w:t>
      </w:r>
      <w:r w:rsidRPr="3A5FC3B6" w:rsidR="3A5FC3B6">
        <w:rPr>
          <w:color w:val="auto"/>
        </w:rPr>
        <w:t xml:space="preserve">however </w:t>
      </w:r>
      <w:r w:rsidRPr="3A5FC3B6" w:rsidR="3A5FC3B6">
        <w:rPr>
          <w:color w:val="auto"/>
        </w:rPr>
        <w:t>no significant difference however in 30-day mortality in this study</w:t>
      </w:r>
      <w:r w:rsidRPr="3A5FC3B6" w:rsidR="3A5FC3B6">
        <w:rPr>
          <w:color w:val="auto"/>
        </w:rPr>
        <w:t xml:space="preserve"> with the implementation of such a pathway</w:t>
      </w:r>
      <w:r w:rsidRPr="3A5FC3B6" w:rsidR="3A5FC3B6">
        <w:rPr>
          <w:color w:val="auto"/>
        </w:rPr>
        <w:t>.</w:t>
      </w:r>
    </w:p>
    <w:p w:rsidR="0002249F" w:rsidP="3A5FC3B6" w:rsidRDefault="0002249F" w14:paraId="0BC6A931" w14:textId="77777777" w14:noSpellErr="1">
      <w:pPr>
        <w:pStyle w:val="NoSpacing"/>
        <w:rPr>
          <w:color w:val="auto"/>
        </w:rPr>
      </w:pPr>
    </w:p>
    <w:p w:rsidR="00097998" w:rsidP="3A5FC3B6" w:rsidRDefault="0002249F" w14:paraId="0BC6A935" w14:textId="03CAA3BE">
      <w:pPr>
        <w:pStyle w:val="NoSpacing"/>
        <w:rPr>
          <w:color w:val="auto"/>
        </w:rPr>
      </w:pPr>
      <w:r w:rsidRPr="3A5FC3B6" w:rsidR="3A5FC3B6">
        <w:rPr>
          <w:color w:val="auto"/>
        </w:rPr>
        <w:t xml:space="preserve">Our findings are </w:t>
      </w:r>
      <w:r w:rsidRPr="3A5FC3B6" w:rsidR="3A5FC3B6">
        <w:rPr>
          <w:color w:val="auto"/>
        </w:rPr>
        <w:t>similar to</w:t>
      </w:r>
      <w:r w:rsidRPr="3A5FC3B6" w:rsidR="3A5FC3B6">
        <w:rPr>
          <w:color w:val="auto"/>
        </w:rPr>
        <w:t xml:space="preserve"> the results of </w:t>
      </w:r>
      <w:r w:rsidRPr="3A5FC3B6" w:rsidR="3A5FC3B6">
        <w:rPr>
          <w:color w:val="auto"/>
        </w:rPr>
        <w:t>a previous</w:t>
      </w:r>
      <w:r w:rsidRPr="3A5FC3B6" w:rsidR="3A5FC3B6">
        <w:rPr>
          <w:color w:val="auto"/>
        </w:rPr>
        <w:t xml:space="preserve"> </w:t>
      </w:r>
      <w:r w:rsidRPr="3A5FC3B6" w:rsidR="3A5FC3B6">
        <w:rPr>
          <w:color w:val="auto"/>
        </w:rPr>
        <w:t xml:space="preserve">systematic review </w:t>
      </w:r>
      <w:r w:rsidRPr="3A5FC3B6" w:rsidR="3A5FC3B6">
        <w:rPr>
          <w:color w:val="auto"/>
        </w:rPr>
        <w:t xml:space="preserve">and meta-analysis </w:t>
      </w:r>
      <w:r w:rsidRPr="3A5FC3B6" w:rsidR="3A5FC3B6">
        <w:rPr>
          <w:color w:val="auto"/>
        </w:rPr>
        <w:t xml:space="preserve">by </w:t>
      </w:r>
      <w:r w:rsidRPr="3A5FC3B6" w:rsidR="3A5FC3B6">
        <w:rPr>
          <w:color w:val="auto"/>
        </w:rPr>
        <w:t>McGinigle</w:t>
      </w:r>
      <w:r w:rsidRPr="3A5FC3B6" w:rsidR="3A5FC3B6">
        <w:rPr>
          <w:color w:val="auto"/>
        </w:rPr>
        <w:t xml:space="preserve"> et al showing a reduced length of stay in patients in whom an ERAS programme was followed following open aortic procedures</w:t>
      </w:r>
      <w:r w:rsidRPr="3A5FC3B6" w:rsidR="3A5FC3B6">
        <w:rPr>
          <w:color w:val="auto"/>
          <w:vertAlign w:val="superscript"/>
        </w:rPr>
        <w:t>9</w:t>
      </w:r>
      <w:r w:rsidRPr="3A5FC3B6" w:rsidR="3A5FC3B6">
        <w:rPr>
          <w:color w:val="auto"/>
        </w:rPr>
        <w:t xml:space="preserve">.  </w:t>
      </w:r>
      <w:r w:rsidRPr="3A5FC3B6" w:rsidR="3A5FC3B6">
        <w:rPr>
          <w:color w:val="auto"/>
        </w:rPr>
        <w:t xml:space="preserve">Our study did however </w:t>
      </w:r>
      <w:r w:rsidRPr="3A5FC3B6" w:rsidR="3A5FC3B6">
        <w:rPr>
          <w:color w:val="auto"/>
        </w:rPr>
        <w:t>demonstrate</w:t>
      </w:r>
      <w:r w:rsidRPr="3A5FC3B6" w:rsidR="3A5FC3B6">
        <w:rPr>
          <w:color w:val="auto"/>
        </w:rPr>
        <w:t xml:space="preserve"> an </w:t>
      </w:r>
      <w:r w:rsidRPr="3A5FC3B6" w:rsidR="3A5FC3B6">
        <w:rPr>
          <w:color w:val="auto"/>
        </w:rPr>
        <w:t>additional</w:t>
      </w:r>
      <w:r w:rsidRPr="3A5FC3B6" w:rsidR="3A5FC3B6">
        <w:rPr>
          <w:color w:val="auto"/>
        </w:rPr>
        <w:t xml:space="preserve"> benefit of a reduction in post-operative major complications that was not seen in their study</w:t>
      </w:r>
      <w:r w:rsidRPr="3A5FC3B6" w:rsidR="3A5FC3B6">
        <w:rPr>
          <w:color w:val="auto"/>
          <w:vertAlign w:val="superscript"/>
        </w:rPr>
        <w:t>9</w:t>
      </w:r>
      <w:r w:rsidRPr="3A5FC3B6" w:rsidR="3A5FC3B6">
        <w:rPr>
          <w:color w:val="auto"/>
        </w:rPr>
        <w:t xml:space="preserve">. </w:t>
      </w:r>
    </w:p>
    <w:p w:rsidRPr="0088032D" w:rsidR="007F7440" w:rsidP="3A5FC3B6" w:rsidRDefault="007F7440" w14:paraId="0BC6A938" w14:textId="77777777" w14:noSpellErr="1">
      <w:pPr>
        <w:pStyle w:val="NoSpacing"/>
        <w:rPr>
          <w:color w:val="auto"/>
        </w:rPr>
      </w:pPr>
    </w:p>
    <w:p w:rsidR="007F7440" w:rsidP="3A5FC3B6" w:rsidRDefault="00565907" w14:paraId="0BC6A939" w14:textId="0C4AAB09">
      <w:pPr>
        <w:pStyle w:val="NoSpacing"/>
        <w:rPr>
          <w:color w:val="auto"/>
        </w:rPr>
      </w:pPr>
      <w:r w:rsidRPr="3A5FC3B6" w:rsidR="3A5FC3B6">
        <w:rPr>
          <w:color w:val="auto"/>
        </w:rPr>
        <w:t>The exact model of ERAS pathway used did differ between the studies included in this review with only 5 studies using 10 or more of the 15 separate ERAS components</w:t>
      </w:r>
      <w:r w:rsidRPr="3A5FC3B6" w:rsidR="3A5FC3B6">
        <w:rPr>
          <w:color w:val="auto"/>
        </w:rPr>
        <w:t xml:space="preserve">.  </w:t>
      </w:r>
      <w:r w:rsidRPr="3A5FC3B6" w:rsidR="3A5FC3B6">
        <w:rPr>
          <w:color w:val="auto"/>
        </w:rPr>
        <w:t>All of</w:t>
      </w:r>
      <w:r w:rsidRPr="3A5FC3B6" w:rsidR="3A5FC3B6">
        <w:rPr>
          <w:color w:val="auto"/>
        </w:rPr>
        <w:t xml:space="preserve"> the </w:t>
      </w:r>
      <w:r w:rsidRPr="3A5FC3B6" w:rsidR="3A5FC3B6">
        <w:rPr>
          <w:color w:val="auto"/>
        </w:rPr>
        <w:t>studies</w:t>
      </w:r>
      <w:r w:rsidRPr="3A5FC3B6" w:rsidR="3A5FC3B6">
        <w:rPr>
          <w:color w:val="auto"/>
        </w:rPr>
        <w:t xml:space="preserve"> included in thi</w:t>
      </w:r>
      <w:r w:rsidRPr="3A5FC3B6" w:rsidR="3A5FC3B6">
        <w:rPr>
          <w:color w:val="auto"/>
        </w:rPr>
        <w:t>s meta-analysis used regimens fo</w:t>
      </w:r>
      <w:r w:rsidRPr="3A5FC3B6" w:rsidR="3A5FC3B6">
        <w:rPr>
          <w:color w:val="auto"/>
        </w:rPr>
        <w:t>r bowels and diet</w:t>
      </w:r>
      <w:r w:rsidRPr="3A5FC3B6" w:rsidR="3A5FC3B6">
        <w:rPr>
          <w:color w:val="auto"/>
        </w:rPr>
        <w:t xml:space="preserve">.  </w:t>
      </w:r>
      <w:r w:rsidRPr="3A5FC3B6" w:rsidR="3A5FC3B6">
        <w:rPr>
          <w:color w:val="auto"/>
        </w:rPr>
        <w:t xml:space="preserve">Other commonly implemented components were </w:t>
      </w:r>
      <w:r w:rsidRPr="3A5FC3B6" w:rsidR="3A5FC3B6">
        <w:rPr>
          <w:color w:val="auto"/>
        </w:rPr>
        <w:t xml:space="preserve">line, catheter and drain management, multimodal analgesia, early mobilisation </w:t>
      </w:r>
      <w:r w:rsidRPr="3A5FC3B6" w:rsidR="3A5FC3B6">
        <w:rPr>
          <w:color w:val="auto"/>
        </w:rPr>
        <w:t xml:space="preserve">(9/10 studies) </w:t>
      </w:r>
      <w:r w:rsidRPr="3A5FC3B6" w:rsidR="3A5FC3B6">
        <w:rPr>
          <w:color w:val="auto"/>
        </w:rPr>
        <w:t>and patient education</w:t>
      </w:r>
      <w:r w:rsidRPr="3A5FC3B6" w:rsidR="3A5FC3B6">
        <w:rPr>
          <w:color w:val="auto"/>
        </w:rPr>
        <w:t xml:space="preserve"> (8/10 studies)</w:t>
      </w:r>
      <w:r w:rsidRPr="3A5FC3B6" w:rsidR="3A5FC3B6">
        <w:rPr>
          <w:color w:val="auto"/>
        </w:rPr>
        <w:t xml:space="preserve">.  </w:t>
      </w:r>
      <w:r w:rsidRPr="3A5FC3B6" w:rsidR="3A5FC3B6">
        <w:rPr>
          <w:color w:val="auto"/>
        </w:rPr>
        <w:t xml:space="preserve">Fasting/carbohydrate </w:t>
      </w:r>
      <w:r w:rsidRPr="3A5FC3B6" w:rsidR="3A5FC3B6">
        <w:rPr>
          <w:color w:val="auto"/>
        </w:rPr>
        <w:t>loading</w:t>
      </w:r>
      <w:r w:rsidRPr="3A5FC3B6" w:rsidR="3A5FC3B6">
        <w:rPr>
          <w:color w:val="auto"/>
        </w:rPr>
        <w:t xml:space="preserve"> and discharge co-ordination were also used in 7/10 studies</w:t>
      </w:r>
      <w:r w:rsidRPr="3A5FC3B6" w:rsidR="3A5FC3B6">
        <w:rPr>
          <w:color w:val="auto"/>
        </w:rPr>
        <w:t xml:space="preserve">.  </w:t>
      </w:r>
      <w:r w:rsidRPr="3A5FC3B6" w:rsidR="3A5FC3B6">
        <w:rPr>
          <w:color w:val="auto"/>
        </w:rPr>
        <w:t>Other aspects of ERAS such as pre-operative medical optimization</w:t>
      </w:r>
      <w:r w:rsidRPr="3A5FC3B6" w:rsidR="3A5FC3B6">
        <w:rPr>
          <w:color w:val="auto"/>
        </w:rPr>
        <w:t xml:space="preserve"> (3/10 studies)</w:t>
      </w:r>
      <w:r w:rsidRPr="3A5FC3B6" w:rsidR="3A5FC3B6">
        <w:rPr>
          <w:color w:val="auto"/>
        </w:rPr>
        <w:t>, early anti-emetics</w:t>
      </w:r>
      <w:r w:rsidRPr="3A5FC3B6" w:rsidR="3A5FC3B6">
        <w:rPr>
          <w:color w:val="auto"/>
        </w:rPr>
        <w:t xml:space="preserve"> (2/10 studies)</w:t>
      </w:r>
      <w:r w:rsidRPr="3A5FC3B6" w:rsidR="3A5FC3B6">
        <w:rPr>
          <w:color w:val="auto"/>
        </w:rPr>
        <w:t xml:space="preserve"> and analgesia</w:t>
      </w:r>
      <w:r w:rsidRPr="3A5FC3B6" w:rsidR="3A5FC3B6">
        <w:rPr>
          <w:color w:val="auto"/>
        </w:rPr>
        <w:t xml:space="preserve"> </w:t>
      </w:r>
      <w:r w:rsidRPr="3A5FC3B6" w:rsidR="3A5FC3B6">
        <w:rPr>
          <w:color w:val="auto"/>
        </w:rPr>
        <w:t>(4/10 studies)</w:t>
      </w:r>
      <w:r w:rsidRPr="3A5FC3B6" w:rsidR="3A5FC3B6">
        <w:rPr>
          <w:color w:val="auto"/>
        </w:rPr>
        <w:t xml:space="preserve">, </w:t>
      </w:r>
      <w:r w:rsidRPr="3A5FC3B6" w:rsidR="3A5FC3B6">
        <w:rPr>
          <w:color w:val="auto"/>
        </w:rPr>
        <w:t xml:space="preserve">patient </w:t>
      </w:r>
      <w:r w:rsidRPr="3A5FC3B6" w:rsidR="3A5FC3B6">
        <w:rPr>
          <w:color w:val="auto"/>
        </w:rPr>
        <w:t>warming</w:t>
      </w:r>
      <w:r w:rsidRPr="3A5FC3B6" w:rsidR="3A5FC3B6">
        <w:rPr>
          <w:color w:val="auto"/>
        </w:rPr>
        <w:t xml:space="preserve"> (5/10 studies)</w:t>
      </w:r>
      <w:r w:rsidRPr="3A5FC3B6" w:rsidR="3A5FC3B6">
        <w:rPr>
          <w:color w:val="auto"/>
        </w:rPr>
        <w:t xml:space="preserve">, </w:t>
      </w:r>
      <w:r w:rsidRPr="3A5FC3B6" w:rsidR="3A5FC3B6">
        <w:rPr>
          <w:color w:val="auto"/>
        </w:rPr>
        <w:t>goal-directed fluids (3/10 studies), short acting anaesth</w:t>
      </w:r>
      <w:r w:rsidRPr="3A5FC3B6" w:rsidR="3A5FC3B6">
        <w:rPr>
          <w:color w:val="auto"/>
        </w:rPr>
        <w:t>etic (</w:t>
      </w:r>
      <w:r w:rsidRPr="3A5FC3B6" w:rsidR="3A5FC3B6">
        <w:rPr>
          <w:color w:val="auto"/>
        </w:rPr>
        <w:t xml:space="preserve">5/10 studies), </w:t>
      </w:r>
      <w:r w:rsidRPr="3A5FC3B6" w:rsidR="3A5FC3B6">
        <w:rPr>
          <w:color w:val="auto"/>
        </w:rPr>
        <w:t>opioid</w:t>
      </w:r>
      <w:r w:rsidRPr="3A5FC3B6" w:rsidR="3A5FC3B6">
        <w:rPr>
          <w:color w:val="auto"/>
        </w:rPr>
        <w:t xml:space="preserve"> dimin</w:t>
      </w:r>
      <w:r w:rsidRPr="3A5FC3B6" w:rsidR="3A5FC3B6">
        <w:rPr>
          <w:color w:val="auto"/>
        </w:rPr>
        <w:t>i</w:t>
      </w:r>
      <w:r w:rsidRPr="3A5FC3B6" w:rsidR="3A5FC3B6">
        <w:rPr>
          <w:color w:val="auto"/>
        </w:rPr>
        <w:t xml:space="preserve">shment (4/10 studies) and post-operative </w:t>
      </w:r>
      <w:r w:rsidRPr="3A5FC3B6" w:rsidR="3A5FC3B6">
        <w:rPr>
          <w:color w:val="auto"/>
        </w:rPr>
        <w:t>fluid management programmes</w:t>
      </w:r>
      <w:r w:rsidRPr="3A5FC3B6" w:rsidR="3A5FC3B6">
        <w:rPr>
          <w:color w:val="auto"/>
        </w:rPr>
        <w:t xml:space="preserve"> (5/10 studies)</w:t>
      </w:r>
      <w:r w:rsidRPr="3A5FC3B6" w:rsidR="3A5FC3B6">
        <w:rPr>
          <w:color w:val="auto"/>
        </w:rPr>
        <w:t xml:space="preserve"> were less </w:t>
      </w:r>
      <w:r w:rsidRPr="3A5FC3B6" w:rsidR="3A5FC3B6">
        <w:rPr>
          <w:color w:val="auto"/>
        </w:rPr>
        <w:t>frequently</w:t>
      </w:r>
      <w:r w:rsidRPr="3A5FC3B6" w:rsidR="3A5FC3B6">
        <w:rPr>
          <w:color w:val="auto"/>
        </w:rPr>
        <w:t xml:space="preserve"> used</w:t>
      </w:r>
      <w:r w:rsidRPr="3A5FC3B6" w:rsidR="3A5FC3B6">
        <w:rPr>
          <w:color w:val="auto"/>
        </w:rPr>
        <w:t xml:space="preserve">.  </w:t>
      </w:r>
      <w:r w:rsidRPr="3A5FC3B6" w:rsidR="3A5FC3B6">
        <w:rPr>
          <w:color w:val="auto"/>
        </w:rPr>
        <w:t xml:space="preserve">Analysis of the effect of </w:t>
      </w:r>
      <w:r w:rsidRPr="3A5FC3B6" w:rsidR="3A5FC3B6">
        <w:rPr>
          <w:color w:val="auto"/>
        </w:rPr>
        <w:t xml:space="preserve">any </w:t>
      </w:r>
      <w:r w:rsidRPr="3A5FC3B6" w:rsidR="3A5FC3B6">
        <w:rPr>
          <w:color w:val="auto"/>
        </w:rPr>
        <w:t>individual ERAS element was limited within the studies.</w:t>
      </w:r>
      <w:r w:rsidRPr="3A5FC3B6" w:rsidR="3A5FC3B6">
        <w:rPr>
          <w:color w:val="auto"/>
        </w:rPr>
        <w:t xml:space="preserve"> </w:t>
      </w:r>
      <w:r w:rsidRPr="3A5FC3B6" w:rsidR="3A5FC3B6">
        <w:rPr>
          <w:color w:val="auto"/>
        </w:rPr>
        <w:t>Giacomelli</w:t>
      </w:r>
      <w:r w:rsidRPr="3A5FC3B6" w:rsidR="3A5FC3B6">
        <w:rPr>
          <w:color w:val="auto"/>
        </w:rPr>
        <w:t xml:space="preserve"> et al </w:t>
      </w:r>
      <w:r w:rsidRPr="3A5FC3B6" w:rsidR="3A5FC3B6">
        <w:rPr>
          <w:color w:val="auto"/>
        </w:rPr>
        <w:t>suggested that the most important aspect of the ERAS protocol</w:t>
      </w:r>
      <w:r w:rsidRPr="3A5FC3B6" w:rsidR="3A5FC3B6">
        <w:rPr>
          <w:color w:val="auto"/>
        </w:rPr>
        <w:t xml:space="preserve"> they imple</w:t>
      </w:r>
      <w:r w:rsidRPr="3A5FC3B6" w:rsidR="3A5FC3B6">
        <w:rPr>
          <w:color w:val="auto"/>
        </w:rPr>
        <w:t>me</w:t>
      </w:r>
      <w:r w:rsidRPr="3A5FC3B6" w:rsidR="3A5FC3B6">
        <w:rPr>
          <w:color w:val="auto"/>
        </w:rPr>
        <w:t>nted</w:t>
      </w:r>
      <w:r w:rsidRPr="3A5FC3B6" w:rsidR="3A5FC3B6">
        <w:rPr>
          <w:color w:val="auto"/>
        </w:rPr>
        <w:t xml:space="preserve"> is a </w:t>
      </w:r>
      <w:r w:rsidRPr="3A5FC3B6" w:rsidR="3A5FC3B6">
        <w:rPr>
          <w:color w:val="auto"/>
        </w:rPr>
        <w:t>fully-informed</w:t>
      </w:r>
      <w:r w:rsidRPr="3A5FC3B6" w:rsidR="3A5FC3B6">
        <w:rPr>
          <w:color w:val="auto"/>
        </w:rPr>
        <w:t xml:space="preserve"> </w:t>
      </w:r>
      <w:r w:rsidRPr="3A5FC3B6" w:rsidR="3A5FC3B6">
        <w:rPr>
          <w:color w:val="auto"/>
        </w:rPr>
        <w:t>multidiscipliniary</w:t>
      </w:r>
      <w:r w:rsidRPr="3A5FC3B6" w:rsidR="3A5FC3B6">
        <w:rPr>
          <w:color w:val="auto"/>
        </w:rPr>
        <w:t xml:space="preserve"> team</w:t>
      </w:r>
      <w:r w:rsidRPr="3A5FC3B6" w:rsidR="3A5FC3B6">
        <w:rPr>
          <w:color w:val="auto"/>
        </w:rPr>
        <w:t xml:space="preserve"> that </w:t>
      </w:r>
      <w:r w:rsidRPr="3A5FC3B6" w:rsidR="3A5FC3B6">
        <w:rPr>
          <w:color w:val="auto"/>
        </w:rPr>
        <w:t>is able to</w:t>
      </w:r>
      <w:r w:rsidRPr="3A5FC3B6" w:rsidR="3A5FC3B6">
        <w:rPr>
          <w:color w:val="auto"/>
        </w:rPr>
        <w:t xml:space="preserve"> ensure the other ERAS</w:t>
      </w:r>
      <w:r w:rsidRPr="3A5FC3B6" w:rsidR="3A5FC3B6">
        <w:rPr>
          <w:color w:val="auto"/>
        </w:rPr>
        <w:t xml:space="preserve"> phases are </w:t>
      </w:r>
      <w:r w:rsidRPr="3A5FC3B6" w:rsidR="3A5FC3B6">
        <w:rPr>
          <w:color w:val="auto"/>
        </w:rPr>
        <w:t>applied</w:t>
      </w:r>
      <w:r w:rsidRPr="3A5FC3B6" w:rsidR="3A5FC3B6">
        <w:rPr>
          <w:color w:val="auto"/>
        </w:rPr>
        <w:t xml:space="preserve"> successfully. </w:t>
      </w:r>
      <w:r w:rsidRPr="3A5FC3B6" w:rsidR="3A5FC3B6">
        <w:rPr>
          <w:color w:val="auto"/>
        </w:rPr>
        <w:t xml:space="preserve">The absence of commentary </w:t>
      </w:r>
      <w:r w:rsidRPr="3A5FC3B6" w:rsidR="3A5FC3B6">
        <w:rPr>
          <w:color w:val="auto"/>
        </w:rPr>
        <w:t xml:space="preserve">on the effect of individual ERAS elements and </w:t>
      </w:r>
      <w:r w:rsidRPr="3A5FC3B6" w:rsidR="3A5FC3B6">
        <w:rPr>
          <w:color w:val="auto"/>
        </w:rPr>
        <w:t>t</w:t>
      </w:r>
      <w:r w:rsidRPr="3A5FC3B6" w:rsidR="3A5FC3B6">
        <w:rPr>
          <w:color w:val="auto"/>
        </w:rPr>
        <w:t xml:space="preserve">he lack of standardised practice even across the studies that did look at multiple elements of an ERAS pathway makes it </w:t>
      </w:r>
      <w:r w:rsidRPr="3A5FC3B6" w:rsidR="3A5FC3B6">
        <w:rPr>
          <w:color w:val="auto"/>
        </w:rPr>
        <w:t xml:space="preserve">highly </w:t>
      </w:r>
      <w:r w:rsidRPr="3A5FC3B6" w:rsidR="3A5FC3B6">
        <w:rPr>
          <w:color w:val="auto"/>
        </w:rPr>
        <w:t>difficult</w:t>
      </w:r>
      <w:r w:rsidRPr="3A5FC3B6" w:rsidR="3A5FC3B6">
        <w:rPr>
          <w:color w:val="auto"/>
        </w:rPr>
        <w:t xml:space="preserve"> to form </w:t>
      </w:r>
      <w:r w:rsidRPr="3A5FC3B6" w:rsidR="3A5FC3B6">
        <w:rPr>
          <w:color w:val="auto"/>
        </w:rPr>
        <w:t>any clear conclusions</w:t>
      </w:r>
      <w:r w:rsidRPr="3A5FC3B6" w:rsidR="3A5FC3B6">
        <w:rPr>
          <w:color w:val="auto"/>
        </w:rPr>
        <w:t xml:space="preserve"> as to the true effect size of any of the given interventions in open aortic surgery. </w:t>
      </w:r>
      <w:r w:rsidRPr="3A5FC3B6" w:rsidR="3A5FC3B6">
        <w:rPr>
          <w:color w:val="auto"/>
        </w:rPr>
        <w:t xml:space="preserve">A systematic review of </w:t>
      </w:r>
      <w:r w:rsidRPr="3A5FC3B6" w:rsidR="3A5FC3B6">
        <w:rPr>
          <w:color w:val="auto"/>
        </w:rPr>
        <w:t xml:space="preserve">1898 elective colorectal </w:t>
      </w:r>
      <w:r w:rsidRPr="3A5FC3B6" w:rsidR="3A5FC3B6">
        <w:rPr>
          <w:color w:val="auto"/>
        </w:rPr>
        <w:t>patients</w:t>
      </w:r>
      <w:r w:rsidRPr="3A5FC3B6" w:rsidR="3A5FC3B6">
        <w:rPr>
          <w:color w:val="auto"/>
        </w:rPr>
        <w:t xml:space="preserve"> </w:t>
      </w:r>
      <w:r w:rsidRPr="3A5FC3B6" w:rsidR="3A5FC3B6">
        <w:rPr>
          <w:color w:val="auto"/>
        </w:rPr>
        <w:t xml:space="preserve">found </w:t>
      </w:r>
      <w:r w:rsidRPr="3A5FC3B6" w:rsidR="3A5FC3B6">
        <w:rPr>
          <w:color w:val="auto"/>
        </w:rPr>
        <w:t>that</w:t>
      </w:r>
      <w:r w:rsidRPr="3A5FC3B6" w:rsidR="3A5FC3B6">
        <w:rPr>
          <w:color w:val="auto"/>
        </w:rPr>
        <w:t xml:space="preserve">, </w:t>
      </w:r>
      <w:r w:rsidRPr="3A5FC3B6" w:rsidR="3A5FC3B6">
        <w:rPr>
          <w:color w:val="auto"/>
        </w:rPr>
        <w:t>with the exception of</w:t>
      </w:r>
      <w:r w:rsidRPr="3A5FC3B6" w:rsidR="3A5FC3B6">
        <w:rPr>
          <w:color w:val="auto"/>
        </w:rPr>
        <w:t xml:space="preserve"> </w:t>
      </w:r>
      <w:r w:rsidRPr="3A5FC3B6" w:rsidR="3A5FC3B6">
        <w:rPr>
          <w:color w:val="auto"/>
        </w:rPr>
        <w:t>a</w:t>
      </w:r>
      <w:r w:rsidRPr="3A5FC3B6" w:rsidR="3A5FC3B6">
        <w:rPr>
          <w:color w:val="auto"/>
        </w:rPr>
        <w:t xml:space="preserve"> laparoscopic operative approach, </w:t>
      </w:r>
      <w:r w:rsidRPr="3A5FC3B6" w:rsidR="3A5FC3B6">
        <w:rPr>
          <w:color w:val="auto"/>
        </w:rPr>
        <w:t xml:space="preserve">no </w:t>
      </w:r>
      <w:r w:rsidRPr="3A5FC3B6" w:rsidR="3A5FC3B6">
        <w:rPr>
          <w:color w:val="auto"/>
        </w:rPr>
        <w:t>individual</w:t>
      </w:r>
      <w:r w:rsidRPr="3A5FC3B6" w:rsidR="3A5FC3B6">
        <w:rPr>
          <w:color w:val="auto"/>
        </w:rPr>
        <w:t xml:space="preserve"> ERAS element</w:t>
      </w:r>
      <w:r w:rsidRPr="3A5FC3B6" w:rsidR="3A5FC3B6">
        <w:rPr>
          <w:color w:val="auto"/>
        </w:rPr>
        <w:t xml:space="preserve"> was associated with a reduction in</w:t>
      </w:r>
      <w:r w:rsidRPr="3A5FC3B6" w:rsidR="3A5FC3B6">
        <w:rPr>
          <w:color w:val="auto"/>
        </w:rPr>
        <w:t xml:space="preserve"> the systemic inflammatory response</w:t>
      </w:r>
      <w:r w:rsidRPr="3A5FC3B6" w:rsidR="3A5FC3B6">
        <w:rPr>
          <w:color w:val="auto"/>
        </w:rPr>
        <w:t xml:space="preserve"> from surgery</w:t>
      </w:r>
      <w:r w:rsidRPr="3A5FC3B6" w:rsidR="3A5FC3B6">
        <w:rPr>
          <w:color w:val="auto"/>
          <w:vertAlign w:val="superscript"/>
        </w:rPr>
        <w:t>26</w:t>
      </w:r>
      <w:r w:rsidRPr="3A5FC3B6" w:rsidR="3A5FC3B6">
        <w:rPr>
          <w:color w:val="auto"/>
        </w:rPr>
        <w:t xml:space="preserve">. It was </w:t>
      </w:r>
      <w:r w:rsidRPr="3A5FC3B6" w:rsidR="3A5FC3B6">
        <w:rPr>
          <w:color w:val="auto"/>
        </w:rPr>
        <w:t>concluded</w:t>
      </w:r>
      <w:r w:rsidRPr="3A5FC3B6" w:rsidR="3A5FC3B6">
        <w:rPr>
          <w:color w:val="auto"/>
        </w:rPr>
        <w:t xml:space="preserve"> that whilst the benefits of an ERAS approach in reducing peri-operative complications and hospital stay are well documented, </w:t>
      </w:r>
      <w:r w:rsidRPr="3A5FC3B6" w:rsidR="3A5FC3B6">
        <w:rPr>
          <w:color w:val="auto"/>
        </w:rPr>
        <w:t xml:space="preserve">establishment of a protocol </w:t>
      </w:r>
      <w:r w:rsidRPr="3A5FC3B6" w:rsidR="3A5FC3B6">
        <w:rPr>
          <w:color w:val="auto"/>
        </w:rPr>
        <w:t>comprising</w:t>
      </w:r>
      <w:r w:rsidRPr="3A5FC3B6" w:rsidR="3A5FC3B6">
        <w:rPr>
          <w:color w:val="auto"/>
        </w:rPr>
        <w:t xml:space="preserve"> optimised individual components would be </w:t>
      </w:r>
      <w:r w:rsidRPr="3A5FC3B6" w:rsidR="3A5FC3B6">
        <w:rPr>
          <w:color w:val="auto"/>
        </w:rPr>
        <w:t>a subjective process</w:t>
      </w:r>
      <w:r w:rsidRPr="3A5FC3B6" w:rsidR="3A5FC3B6">
        <w:rPr>
          <w:color w:val="auto"/>
        </w:rPr>
        <w:t xml:space="preserve">. </w:t>
      </w:r>
      <w:r w:rsidRPr="3A5FC3B6" w:rsidR="3A5FC3B6">
        <w:rPr>
          <w:color w:val="auto"/>
        </w:rPr>
        <w:t xml:space="preserve">There is little evidence directly for many of these interventions at present. </w:t>
      </w:r>
      <w:r w:rsidRPr="3A5FC3B6" w:rsidR="3A5FC3B6">
        <w:rPr>
          <w:color w:val="auto"/>
        </w:rPr>
        <w:t xml:space="preserve">There </w:t>
      </w:r>
      <w:r w:rsidRPr="3A5FC3B6" w:rsidR="3A5FC3B6">
        <w:rPr>
          <w:color w:val="auto"/>
        </w:rPr>
        <w:t>is</w:t>
      </w:r>
      <w:r w:rsidRPr="3A5FC3B6" w:rsidR="3A5FC3B6">
        <w:rPr>
          <w:color w:val="auto"/>
        </w:rPr>
        <w:t xml:space="preserve"> </w:t>
      </w:r>
      <w:r w:rsidRPr="3A5FC3B6" w:rsidR="3A5FC3B6">
        <w:rPr>
          <w:color w:val="auto"/>
        </w:rPr>
        <w:t xml:space="preserve">however, </w:t>
      </w:r>
      <w:r w:rsidRPr="3A5FC3B6" w:rsidR="3A5FC3B6">
        <w:rPr>
          <w:color w:val="auto"/>
        </w:rPr>
        <w:t xml:space="preserve">recent </w:t>
      </w:r>
      <w:r w:rsidRPr="3A5FC3B6" w:rsidR="3A5FC3B6">
        <w:rPr>
          <w:color w:val="auto"/>
        </w:rPr>
        <w:t>evidence</w:t>
      </w:r>
      <w:r w:rsidRPr="3A5FC3B6" w:rsidR="3A5FC3B6">
        <w:rPr>
          <w:color w:val="auto"/>
        </w:rPr>
        <w:t xml:space="preserve"> </w:t>
      </w:r>
      <w:r w:rsidRPr="3A5FC3B6" w:rsidR="3A5FC3B6">
        <w:rPr>
          <w:color w:val="auto"/>
        </w:rPr>
        <w:t xml:space="preserve">that pre-operative medical optimization improves outcomes </w:t>
      </w:r>
      <w:r w:rsidRPr="3A5FC3B6" w:rsidR="3A5FC3B6">
        <w:rPr>
          <w:color w:val="auto"/>
        </w:rPr>
        <w:t xml:space="preserve">after open aortic procedures </w:t>
      </w:r>
      <w:r w:rsidRPr="3A5FC3B6" w:rsidR="3A5FC3B6">
        <w:rPr>
          <w:color w:val="auto"/>
        </w:rPr>
        <w:t>and a recent Cochrane review has shown a reduction in post-operative complications with the use of epidural analgesia</w:t>
      </w:r>
      <w:r w:rsidRPr="3A5FC3B6" w:rsidR="3A5FC3B6">
        <w:rPr>
          <w:color w:val="auto"/>
        </w:rPr>
        <w:t xml:space="preserve"> in this popluation</w:t>
      </w:r>
      <w:r w:rsidRPr="3A5FC3B6" w:rsidR="3A5FC3B6">
        <w:rPr>
          <w:color w:val="auto"/>
          <w:vertAlign w:val="superscript"/>
        </w:rPr>
        <w:t>2</w:t>
      </w:r>
      <w:r w:rsidRPr="3A5FC3B6" w:rsidR="3A5FC3B6">
        <w:rPr>
          <w:color w:val="auto"/>
          <w:vertAlign w:val="superscript"/>
        </w:rPr>
        <w:t>7</w:t>
      </w:r>
      <w:r w:rsidRPr="3A5FC3B6" w:rsidR="3A5FC3B6">
        <w:rPr>
          <w:color w:val="auto"/>
          <w:vertAlign w:val="superscript"/>
        </w:rPr>
        <w:t>,</w:t>
      </w:r>
      <w:r w:rsidRPr="3A5FC3B6" w:rsidR="3A5FC3B6">
        <w:rPr>
          <w:color w:val="auto"/>
          <w:vertAlign w:val="superscript"/>
        </w:rPr>
        <w:t>2</w:t>
      </w:r>
      <w:r w:rsidRPr="3A5FC3B6" w:rsidR="3A5FC3B6">
        <w:rPr>
          <w:color w:val="auto"/>
          <w:vertAlign w:val="superscript"/>
        </w:rPr>
        <w:t>8</w:t>
      </w:r>
      <w:r w:rsidRPr="3A5FC3B6" w:rsidR="3A5FC3B6">
        <w:rPr>
          <w:color w:val="auto"/>
        </w:rPr>
        <w:t xml:space="preserve">. </w:t>
      </w:r>
      <w:r w:rsidRPr="3A5FC3B6" w:rsidR="3A5FC3B6">
        <w:rPr>
          <w:color w:val="auto"/>
        </w:rPr>
        <w:t xml:space="preserve">Whilst </w:t>
      </w:r>
      <w:r w:rsidRPr="3A5FC3B6" w:rsidR="3A5FC3B6">
        <w:rPr>
          <w:color w:val="auto"/>
        </w:rPr>
        <w:t>likely challenging to</w:t>
      </w:r>
      <w:r w:rsidRPr="3A5FC3B6" w:rsidR="3A5FC3B6">
        <w:rPr>
          <w:color w:val="auto"/>
        </w:rPr>
        <w:t xml:space="preserve"> design </w:t>
      </w:r>
      <w:r w:rsidRPr="3A5FC3B6" w:rsidR="3A5FC3B6">
        <w:rPr>
          <w:color w:val="auto"/>
        </w:rPr>
        <w:t>and implement, a</w:t>
      </w:r>
      <w:r w:rsidRPr="3A5FC3B6" w:rsidR="3A5FC3B6">
        <w:rPr>
          <w:color w:val="auto"/>
        </w:rPr>
        <w:t xml:space="preserve"> large scale randomised controlled trial in open abdominal aortic repair would be beneficial to assess this further.  </w:t>
      </w:r>
    </w:p>
    <w:p w:rsidR="000D1589" w:rsidP="3A5FC3B6" w:rsidRDefault="000D1589" w14:paraId="1E0922B0" w14:textId="77777777" w14:noSpellErr="1">
      <w:pPr>
        <w:pStyle w:val="NoSpacing"/>
        <w:rPr>
          <w:color w:val="auto"/>
        </w:rPr>
      </w:pPr>
    </w:p>
    <w:p w:rsidRPr="00C24BB1" w:rsidR="00E25EC5" w:rsidP="3A5FC3B6" w:rsidRDefault="00C24BB1" w14:paraId="78377E6B" w14:textId="02E7C807" w14:noSpellErr="1">
      <w:pPr>
        <w:pStyle w:val="NoSpacing"/>
        <w:rPr>
          <w:color w:val="auto"/>
        </w:rPr>
      </w:pPr>
      <w:r w:rsidRPr="3A5FC3B6" w:rsidR="3A5FC3B6">
        <w:rPr>
          <w:color w:val="auto"/>
        </w:rPr>
        <w:t xml:space="preserve">There was also a lack of standardisation </w:t>
      </w:r>
      <w:r w:rsidRPr="3A5FC3B6" w:rsidR="3A5FC3B6">
        <w:rPr>
          <w:color w:val="auto"/>
        </w:rPr>
        <w:t>in the reporting of perioperative complications between studies</w:t>
      </w:r>
      <w:r w:rsidRPr="3A5FC3B6" w:rsidR="3A5FC3B6">
        <w:rPr>
          <w:color w:val="auto"/>
        </w:rPr>
        <w:t>, with measures such as returns to theatre or early readmission</w:t>
      </w:r>
      <w:r w:rsidRPr="3A5FC3B6" w:rsidR="3A5FC3B6">
        <w:rPr>
          <w:color w:val="auto"/>
        </w:rPr>
        <w:t xml:space="preserve"> often not reported. ERAS measures wer</w:t>
      </w:r>
      <w:r w:rsidRPr="3A5FC3B6" w:rsidR="3A5FC3B6">
        <w:rPr>
          <w:color w:val="auto"/>
        </w:rPr>
        <w:t xml:space="preserve">e shown to </w:t>
      </w:r>
      <w:r w:rsidRPr="3A5FC3B6" w:rsidR="3A5FC3B6">
        <w:rPr>
          <w:color w:val="auto"/>
        </w:rPr>
        <w:t xml:space="preserve">consistently </w:t>
      </w:r>
      <w:r w:rsidRPr="3A5FC3B6" w:rsidR="3A5FC3B6">
        <w:rPr>
          <w:color w:val="auto"/>
        </w:rPr>
        <w:t xml:space="preserve">reduce pulmonary, </w:t>
      </w:r>
      <w:r w:rsidRPr="3A5FC3B6" w:rsidR="3A5FC3B6">
        <w:rPr>
          <w:color w:val="auto"/>
        </w:rPr>
        <w:t>renal</w:t>
      </w:r>
      <w:r w:rsidRPr="3A5FC3B6" w:rsidR="3A5FC3B6">
        <w:rPr>
          <w:color w:val="auto"/>
        </w:rPr>
        <w:t xml:space="preserve"> and GI complications</w:t>
      </w:r>
      <w:r w:rsidRPr="3A5FC3B6" w:rsidR="3A5FC3B6">
        <w:rPr>
          <w:color w:val="auto"/>
        </w:rPr>
        <w:t>, w</w:t>
      </w:r>
      <w:r w:rsidRPr="3A5FC3B6" w:rsidR="3A5FC3B6">
        <w:rPr>
          <w:color w:val="auto"/>
        </w:rPr>
        <w:t>ith no benefits reported for cardiac complications</w:t>
      </w:r>
      <w:r w:rsidRPr="3A5FC3B6" w:rsidR="3A5FC3B6">
        <w:rPr>
          <w:color w:val="auto"/>
        </w:rPr>
        <w:t xml:space="preserve">, </w:t>
      </w:r>
      <w:r w:rsidRPr="3A5FC3B6" w:rsidR="3A5FC3B6">
        <w:rPr>
          <w:color w:val="auto"/>
        </w:rPr>
        <w:t xml:space="preserve">anaemia requiring transfusion or early readmission. It is possible that </w:t>
      </w:r>
      <w:r w:rsidRPr="3A5FC3B6" w:rsidR="3A5FC3B6">
        <w:rPr>
          <w:color w:val="auto"/>
        </w:rPr>
        <w:t>this is reflective of the nature of the ERAS pathway</w:t>
      </w:r>
      <w:r w:rsidRPr="3A5FC3B6" w:rsidR="3A5FC3B6">
        <w:rPr>
          <w:color w:val="auto"/>
        </w:rPr>
        <w:t>; by</w:t>
      </w:r>
      <w:r w:rsidRPr="3A5FC3B6" w:rsidR="3A5FC3B6">
        <w:rPr>
          <w:color w:val="auto"/>
        </w:rPr>
        <w:t xml:space="preserve"> facilitating </w:t>
      </w:r>
      <w:r w:rsidRPr="3A5FC3B6" w:rsidR="3A5FC3B6">
        <w:rPr>
          <w:color w:val="auto"/>
        </w:rPr>
        <w:t>early resumption of diet and mobility post-operatively there may be a reduction in complications such as gastrointestinal ileus or hospital-acquired pneumonia</w:t>
      </w:r>
      <w:r w:rsidRPr="3A5FC3B6" w:rsidR="3A5FC3B6">
        <w:rPr>
          <w:color w:val="auto"/>
        </w:rPr>
        <w:t xml:space="preserve"> whereas complications such as returns to theatre or </w:t>
      </w:r>
      <w:r w:rsidRPr="3A5FC3B6" w:rsidR="3A5FC3B6">
        <w:rPr>
          <w:color w:val="auto"/>
        </w:rPr>
        <w:t>need for transfusions may be more likely to be reflective of the nature of open AAA surgery</w:t>
      </w:r>
      <w:r w:rsidRPr="3A5FC3B6" w:rsidR="3A5FC3B6">
        <w:rPr>
          <w:color w:val="auto"/>
        </w:rPr>
        <w:t xml:space="preserve"> and are harder to avoid with more generic measures. </w:t>
      </w:r>
      <w:r w:rsidRPr="3A5FC3B6" w:rsidR="3A5FC3B6">
        <w:rPr>
          <w:color w:val="auto"/>
        </w:rPr>
        <w:t xml:space="preserve">Due to the </w:t>
      </w:r>
      <w:r w:rsidRPr="3A5FC3B6" w:rsidR="3A5FC3B6">
        <w:rPr>
          <w:color w:val="auto"/>
        </w:rPr>
        <w:t>aforementioned lack</w:t>
      </w:r>
      <w:r w:rsidRPr="3A5FC3B6" w:rsidR="3A5FC3B6">
        <w:rPr>
          <w:color w:val="auto"/>
        </w:rPr>
        <w:t xml:space="preserve"> of standardised measures and reporting between studies these results need to be </w:t>
      </w:r>
      <w:r w:rsidRPr="3A5FC3B6" w:rsidR="3A5FC3B6">
        <w:rPr>
          <w:color w:val="auto"/>
        </w:rPr>
        <w:t xml:space="preserve">interpreted carefully. </w:t>
      </w:r>
    </w:p>
    <w:p w:rsidRPr="0088032D" w:rsidR="007F7440" w:rsidP="3A5FC3B6" w:rsidRDefault="007F7440" w14:paraId="0BC6A93A" w14:textId="77777777" w14:noSpellErr="1">
      <w:pPr>
        <w:pStyle w:val="NoSpacing"/>
        <w:rPr>
          <w:color w:val="auto"/>
        </w:rPr>
      </w:pPr>
    </w:p>
    <w:p w:rsidR="007F7440" w:rsidP="3A5FC3B6" w:rsidRDefault="007F7440" w14:paraId="0BC6A93B" w14:textId="22ED4BE3">
      <w:pPr>
        <w:pStyle w:val="NoSpacing"/>
        <w:rPr>
          <w:color w:val="auto"/>
        </w:rPr>
      </w:pPr>
      <w:r w:rsidRPr="3A5FC3B6" w:rsidR="3A5FC3B6">
        <w:rPr>
          <w:color w:val="auto"/>
        </w:rPr>
        <w:t xml:space="preserve">The cost implications of implementation of ERAS </w:t>
      </w:r>
      <w:r w:rsidRPr="3A5FC3B6" w:rsidR="3A5FC3B6">
        <w:rPr>
          <w:color w:val="auto"/>
        </w:rPr>
        <w:t>pathways</w:t>
      </w:r>
      <w:r w:rsidRPr="3A5FC3B6" w:rsidR="3A5FC3B6">
        <w:rPr>
          <w:color w:val="auto"/>
        </w:rPr>
        <w:t xml:space="preserve"> </w:t>
      </w:r>
      <w:r w:rsidRPr="3A5FC3B6" w:rsidR="3A5FC3B6">
        <w:rPr>
          <w:color w:val="auto"/>
        </w:rPr>
        <w:t>could not</w:t>
      </w:r>
      <w:r w:rsidRPr="3A5FC3B6" w:rsidR="3A5FC3B6">
        <w:rPr>
          <w:color w:val="auto"/>
        </w:rPr>
        <w:t xml:space="preserve"> be analysed </w:t>
      </w:r>
      <w:r w:rsidRPr="3A5FC3B6" w:rsidR="3A5FC3B6">
        <w:rPr>
          <w:color w:val="auto"/>
        </w:rPr>
        <w:t>in this paper</w:t>
      </w:r>
      <w:r w:rsidRPr="3A5FC3B6" w:rsidR="3A5FC3B6">
        <w:rPr>
          <w:color w:val="auto"/>
        </w:rPr>
        <w:t xml:space="preserve"> due to lack of </w:t>
      </w:r>
      <w:r w:rsidRPr="3A5FC3B6" w:rsidR="3A5FC3B6">
        <w:rPr>
          <w:color w:val="auto"/>
        </w:rPr>
        <w:t xml:space="preserve">available </w:t>
      </w:r>
      <w:r w:rsidRPr="3A5FC3B6" w:rsidR="3A5FC3B6">
        <w:rPr>
          <w:color w:val="auto"/>
        </w:rPr>
        <w:t>data</w:t>
      </w:r>
      <w:r w:rsidRPr="3A5FC3B6" w:rsidR="3A5FC3B6">
        <w:rPr>
          <w:color w:val="auto"/>
        </w:rPr>
        <w:t xml:space="preserve">.  </w:t>
      </w:r>
      <w:r w:rsidRPr="3A5FC3B6" w:rsidR="3A5FC3B6">
        <w:rPr>
          <w:color w:val="auto"/>
        </w:rPr>
        <w:t xml:space="preserve">Overall, </w:t>
      </w:r>
      <w:r w:rsidRPr="3A5FC3B6" w:rsidR="3A5FC3B6">
        <w:rPr>
          <w:color w:val="auto"/>
        </w:rPr>
        <w:t xml:space="preserve">we did show </w:t>
      </w:r>
      <w:r w:rsidRPr="3A5FC3B6" w:rsidR="3A5FC3B6">
        <w:rPr>
          <w:color w:val="auto"/>
        </w:rPr>
        <w:t xml:space="preserve">however </w:t>
      </w:r>
      <w:r w:rsidRPr="3A5FC3B6" w:rsidR="3A5FC3B6">
        <w:rPr>
          <w:color w:val="auto"/>
        </w:rPr>
        <w:t>that there was a mean reduction in length of stay of 3 days</w:t>
      </w:r>
      <w:r w:rsidRPr="3A5FC3B6" w:rsidR="3A5FC3B6">
        <w:rPr>
          <w:color w:val="auto"/>
        </w:rPr>
        <w:t xml:space="preserve">.  </w:t>
      </w:r>
      <w:r w:rsidRPr="3A5FC3B6" w:rsidR="3A5FC3B6">
        <w:rPr>
          <w:color w:val="auto"/>
        </w:rPr>
        <w:t xml:space="preserve">The LIFE registry has shown a cost benefit to ERAS implementation in patients undergoing </w:t>
      </w:r>
      <w:r w:rsidRPr="3A5FC3B6" w:rsidR="3A5FC3B6">
        <w:rPr>
          <w:color w:val="auto"/>
        </w:rPr>
        <w:t>e</w:t>
      </w:r>
      <w:r w:rsidRPr="3A5FC3B6" w:rsidR="3A5FC3B6">
        <w:rPr>
          <w:color w:val="auto"/>
        </w:rPr>
        <w:t xml:space="preserve">ndovascular repair of </w:t>
      </w:r>
      <w:r w:rsidRPr="3A5FC3B6" w:rsidR="3A5FC3B6">
        <w:rPr>
          <w:color w:val="auto"/>
        </w:rPr>
        <w:t>AAA  and</w:t>
      </w:r>
      <w:r w:rsidRPr="3A5FC3B6" w:rsidR="3A5FC3B6">
        <w:rPr>
          <w:color w:val="auto"/>
        </w:rPr>
        <w:t xml:space="preserve"> </w:t>
      </w:r>
      <w:r w:rsidRPr="3A5FC3B6" w:rsidR="3A5FC3B6">
        <w:rPr>
          <w:color w:val="auto"/>
        </w:rPr>
        <w:t>Tatsuishi</w:t>
      </w:r>
      <w:r w:rsidRPr="3A5FC3B6" w:rsidR="3A5FC3B6">
        <w:rPr>
          <w:color w:val="auto"/>
        </w:rPr>
        <w:t xml:space="preserve"> et al did show a reduction of 8% compared to standard treatment with implementation of an ERAS protocol</w:t>
      </w:r>
      <w:r w:rsidRPr="3A5FC3B6" w:rsidR="3A5FC3B6">
        <w:rPr>
          <w:color w:val="auto"/>
          <w:vertAlign w:val="superscript"/>
        </w:rPr>
        <w:t>1</w:t>
      </w:r>
      <w:r w:rsidRPr="3A5FC3B6" w:rsidR="3A5FC3B6">
        <w:rPr>
          <w:color w:val="auto"/>
          <w:vertAlign w:val="superscript"/>
        </w:rPr>
        <w:t>8</w:t>
      </w:r>
      <w:r w:rsidRPr="3A5FC3B6" w:rsidR="3A5FC3B6">
        <w:rPr>
          <w:color w:val="auto"/>
          <w:vertAlign w:val="superscript"/>
        </w:rPr>
        <w:t>,</w:t>
      </w:r>
      <w:r w:rsidRPr="3A5FC3B6" w:rsidR="3A5FC3B6">
        <w:rPr>
          <w:color w:val="auto"/>
          <w:vertAlign w:val="superscript"/>
        </w:rPr>
        <w:t>2</w:t>
      </w:r>
      <w:r w:rsidRPr="3A5FC3B6" w:rsidR="3A5FC3B6">
        <w:rPr>
          <w:color w:val="auto"/>
          <w:vertAlign w:val="superscript"/>
        </w:rPr>
        <w:t>9</w:t>
      </w:r>
      <w:r w:rsidRPr="3A5FC3B6" w:rsidR="3A5FC3B6">
        <w:rPr>
          <w:color w:val="auto"/>
        </w:rPr>
        <w:t xml:space="preserve"> </w:t>
      </w:r>
      <w:r w:rsidRPr="3A5FC3B6" w:rsidR="3A5FC3B6">
        <w:rPr>
          <w:color w:val="auto"/>
        </w:rPr>
        <w:t>It</w:t>
      </w:r>
      <w:r w:rsidRPr="3A5FC3B6" w:rsidR="3A5FC3B6">
        <w:rPr>
          <w:color w:val="auto"/>
        </w:rPr>
        <w:t xml:space="preserve"> would stand to reason that with the recently published NICE guidelines stating that open surgery should be the first-line for unruptured AAA repair that interventions that can reduce LOS would show an increasing cost benefit</w:t>
      </w:r>
      <w:r w:rsidRPr="3A5FC3B6" w:rsidR="3A5FC3B6">
        <w:rPr>
          <w:color w:val="auto"/>
          <w:vertAlign w:val="superscript"/>
        </w:rPr>
        <w:t>30</w:t>
      </w:r>
      <w:r w:rsidRPr="3A5FC3B6" w:rsidR="3A5FC3B6">
        <w:rPr>
          <w:color w:val="auto"/>
        </w:rPr>
        <w:t xml:space="preserve">.  Further RCT evidence is </w:t>
      </w:r>
      <w:r w:rsidRPr="3A5FC3B6" w:rsidR="3A5FC3B6">
        <w:rPr>
          <w:color w:val="auto"/>
        </w:rPr>
        <w:t>require</w:t>
      </w:r>
      <w:r w:rsidRPr="3A5FC3B6" w:rsidR="3A5FC3B6">
        <w:rPr>
          <w:color w:val="auto"/>
        </w:rPr>
        <w:t>d</w:t>
      </w:r>
      <w:r w:rsidRPr="3A5FC3B6" w:rsidR="3A5FC3B6">
        <w:rPr>
          <w:color w:val="auto"/>
        </w:rPr>
        <w:t xml:space="preserve"> </w:t>
      </w:r>
      <w:r w:rsidRPr="3A5FC3B6" w:rsidR="3A5FC3B6">
        <w:rPr>
          <w:color w:val="auto"/>
        </w:rPr>
        <w:t xml:space="preserve">to make a </w:t>
      </w:r>
      <w:r w:rsidRPr="3A5FC3B6" w:rsidR="3A5FC3B6">
        <w:rPr>
          <w:color w:val="auto"/>
        </w:rPr>
        <w:t xml:space="preserve">definitive </w:t>
      </w:r>
      <w:r w:rsidRPr="3A5FC3B6" w:rsidR="3A5FC3B6">
        <w:rPr>
          <w:color w:val="auto"/>
        </w:rPr>
        <w:t>judgement on this</w:t>
      </w:r>
      <w:r w:rsidRPr="3A5FC3B6" w:rsidR="3A5FC3B6">
        <w:rPr>
          <w:color w:val="auto"/>
        </w:rPr>
        <w:t xml:space="preserve">. </w:t>
      </w:r>
    </w:p>
    <w:p w:rsidR="001022E8" w:rsidP="3A5FC3B6" w:rsidRDefault="001022E8" w14:paraId="0BC6A93C" w14:textId="77777777" w14:noSpellErr="1">
      <w:pPr>
        <w:pStyle w:val="NoSpacing"/>
        <w:rPr>
          <w:color w:val="auto"/>
        </w:rPr>
      </w:pPr>
    </w:p>
    <w:p w:rsidRPr="000A27A3" w:rsidR="001022E8" w:rsidP="3A5FC3B6" w:rsidRDefault="0039358C" w14:paraId="0BC6A93D" w14:textId="052BA34E" w14:noSpellErr="1">
      <w:pPr>
        <w:pStyle w:val="NoSpacing"/>
        <w:rPr>
          <w:color w:val="auto"/>
        </w:rPr>
      </w:pPr>
      <w:r w:rsidRPr="3A5FC3B6" w:rsidR="3A5FC3B6">
        <w:rPr>
          <w:color w:val="auto"/>
        </w:rPr>
        <w:t>This meta</w:t>
      </w:r>
      <w:r w:rsidRPr="3A5FC3B6" w:rsidR="3A5FC3B6">
        <w:rPr>
          <w:color w:val="auto"/>
        </w:rPr>
        <w:t>-</w:t>
      </w:r>
      <w:r w:rsidRPr="3A5FC3B6" w:rsidR="3A5FC3B6">
        <w:rPr>
          <w:color w:val="auto"/>
        </w:rPr>
        <w:t>analysis was limited by</w:t>
      </w:r>
      <w:r w:rsidRPr="3A5FC3B6" w:rsidR="3A5FC3B6">
        <w:rPr>
          <w:color w:val="auto"/>
        </w:rPr>
        <w:t xml:space="preserve"> the </w:t>
      </w:r>
      <w:r w:rsidRPr="3A5FC3B6" w:rsidR="3A5FC3B6">
        <w:rPr>
          <w:color w:val="auto"/>
        </w:rPr>
        <w:t xml:space="preserve">limited </w:t>
      </w:r>
      <w:r w:rsidRPr="3A5FC3B6" w:rsidR="3A5FC3B6">
        <w:rPr>
          <w:color w:val="auto"/>
        </w:rPr>
        <w:t xml:space="preserve">number of high </w:t>
      </w:r>
      <w:r w:rsidRPr="3A5FC3B6" w:rsidR="3A5FC3B6">
        <w:rPr>
          <w:color w:val="auto"/>
        </w:rPr>
        <w:t>quality</w:t>
      </w:r>
      <w:r w:rsidRPr="3A5FC3B6" w:rsidR="3A5FC3B6">
        <w:rPr>
          <w:color w:val="auto"/>
        </w:rPr>
        <w:t xml:space="preserve"> RCT</w:t>
      </w:r>
      <w:r w:rsidRPr="3A5FC3B6" w:rsidR="3A5FC3B6">
        <w:rPr>
          <w:color w:val="auto"/>
        </w:rPr>
        <w:t>s available</w:t>
      </w:r>
      <w:r w:rsidRPr="3A5FC3B6" w:rsidR="3A5FC3B6">
        <w:rPr>
          <w:color w:val="auto"/>
        </w:rPr>
        <w:t xml:space="preserve">, </w:t>
      </w:r>
      <w:r w:rsidRPr="3A5FC3B6" w:rsidR="3A5FC3B6">
        <w:rPr>
          <w:color w:val="auto"/>
        </w:rPr>
        <w:t xml:space="preserve">with </w:t>
      </w:r>
      <w:r w:rsidRPr="3A5FC3B6" w:rsidR="3A5FC3B6">
        <w:rPr>
          <w:color w:val="auto"/>
        </w:rPr>
        <w:t xml:space="preserve">the majority </w:t>
      </w:r>
      <w:r w:rsidRPr="3A5FC3B6" w:rsidR="3A5FC3B6">
        <w:rPr>
          <w:color w:val="auto"/>
        </w:rPr>
        <w:t>of</w:t>
      </w:r>
      <w:r w:rsidRPr="3A5FC3B6" w:rsidR="3A5FC3B6">
        <w:rPr>
          <w:color w:val="auto"/>
        </w:rPr>
        <w:t xml:space="preserve"> pap</w:t>
      </w:r>
      <w:r w:rsidRPr="3A5FC3B6" w:rsidR="3A5FC3B6">
        <w:rPr>
          <w:color w:val="auto"/>
        </w:rPr>
        <w:t xml:space="preserve">ers </w:t>
      </w:r>
      <w:r w:rsidRPr="3A5FC3B6" w:rsidR="3A5FC3B6">
        <w:rPr>
          <w:color w:val="auto"/>
        </w:rPr>
        <w:t>comprising</w:t>
      </w:r>
      <w:r w:rsidRPr="3A5FC3B6" w:rsidR="3A5FC3B6">
        <w:rPr>
          <w:color w:val="auto"/>
        </w:rPr>
        <w:t xml:space="preserve"> of small longitudinal </w:t>
      </w:r>
      <w:r w:rsidRPr="3A5FC3B6" w:rsidR="3A5FC3B6">
        <w:rPr>
          <w:color w:val="auto"/>
        </w:rPr>
        <w:t>studies</w:t>
      </w:r>
      <w:r w:rsidRPr="3A5FC3B6" w:rsidR="3A5FC3B6">
        <w:rPr>
          <w:color w:val="auto"/>
        </w:rPr>
        <w:t xml:space="preserve">.  </w:t>
      </w:r>
      <w:r w:rsidRPr="3A5FC3B6" w:rsidR="3A5FC3B6">
        <w:rPr>
          <w:color w:val="auto"/>
        </w:rPr>
        <w:t>The studies</w:t>
      </w:r>
      <w:r w:rsidRPr="3A5FC3B6" w:rsidR="3A5FC3B6">
        <w:rPr>
          <w:color w:val="auto"/>
        </w:rPr>
        <w:t xml:space="preserve"> included were </w:t>
      </w:r>
      <w:r w:rsidRPr="3A5FC3B6" w:rsidR="3A5FC3B6">
        <w:rPr>
          <w:color w:val="auto"/>
        </w:rPr>
        <w:t xml:space="preserve">small and limited to selection </w:t>
      </w:r>
      <w:r w:rsidRPr="3A5FC3B6" w:rsidR="3A5FC3B6">
        <w:rPr>
          <w:color w:val="auto"/>
        </w:rPr>
        <w:t>bias</w:t>
      </w:r>
      <w:r w:rsidRPr="3A5FC3B6" w:rsidR="3A5FC3B6">
        <w:rPr>
          <w:color w:val="auto"/>
        </w:rPr>
        <w:t xml:space="preserve">, </w:t>
      </w:r>
      <w:r w:rsidRPr="3A5FC3B6" w:rsidR="3A5FC3B6">
        <w:rPr>
          <w:color w:val="auto"/>
        </w:rPr>
        <w:t>but</w:t>
      </w:r>
      <w:r w:rsidRPr="3A5FC3B6" w:rsidR="3A5FC3B6">
        <w:rPr>
          <w:color w:val="auto"/>
        </w:rPr>
        <w:t xml:space="preserve"> did score well when evaluated </w:t>
      </w:r>
      <w:r w:rsidRPr="3A5FC3B6" w:rsidR="3A5FC3B6">
        <w:rPr>
          <w:color w:val="auto"/>
        </w:rPr>
        <w:t>with</w:t>
      </w:r>
      <w:r w:rsidRPr="3A5FC3B6" w:rsidR="3A5FC3B6">
        <w:rPr>
          <w:color w:val="auto"/>
        </w:rPr>
        <w:t xml:space="preserve"> the NOS.</w:t>
      </w:r>
      <w:r w:rsidRPr="3A5FC3B6" w:rsidR="3A5FC3B6">
        <w:rPr>
          <w:color w:val="auto"/>
        </w:rPr>
        <w:t xml:space="preserve"> Despite this, this type </w:t>
      </w:r>
      <w:r w:rsidRPr="3A5FC3B6" w:rsidR="3A5FC3B6">
        <w:rPr>
          <w:color w:val="auto"/>
        </w:rPr>
        <w:t xml:space="preserve">of research </w:t>
      </w:r>
      <w:r w:rsidRPr="3A5FC3B6" w:rsidR="3A5FC3B6">
        <w:rPr>
          <w:color w:val="auto"/>
        </w:rPr>
        <w:t>methodology</w:t>
      </w:r>
      <w:r w:rsidRPr="3A5FC3B6" w:rsidR="3A5FC3B6">
        <w:rPr>
          <w:color w:val="auto"/>
        </w:rPr>
        <w:t xml:space="preserve"> is not as favourable as more standardised randomised trials</w:t>
      </w:r>
      <w:r w:rsidRPr="3A5FC3B6" w:rsidR="3A5FC3B6">
        <w:rPr>
          <w:color w:val="auto"/>
        </w:rPr>
        <w:t xml:space="preserve"> and so results from these would need to be interpreted with caution. </w:t>
      </w:r>
      <w:r w:rsidRPr="3A5FC3B6" w:rsidR="3A5FC3B6">
        <w:rPr>
          <w:color w:val="auto"/>
        </w:rPr>
        <w:t>As discussed previously, interventions</w:t>
      </w:r>
      <w:r w:rsidRPr="3A5FC3B6" w:rsidR="3A5FC3B6">
        <w:rPr>
          <w:color w:val="auto"/>
        </w:rPr>
        <w:t xml:space="preserve"> </w:t>
      </w:r>
      <w:r w:rsidRPr="3A5FC3B6" w:rsidR="3A5FC3B6">
        <w:rPr>
          <w:color w:val="auto"/>
        </w:rPr>
        <w:t>and reporting measures</w:t>
      </w:r>
      <w:r w:rsidRPr="3A5FC3B6" w:rsidR="3A5FC3B6">
        <w:rPr>
          <w:color w:val="auto"/>
        </w:rPr>
        <w:t xml:space="preserve"> were not standardised between the studies</w:t>
      </w:r>
      <w:r w:rsidRPr="3A5FC3B6" w:rsidR="3A5FC3B6">
        <w:rPr>
          <w:color w:val="auto"/>
        </w:rPr>
        <w:t xml:space="preserve">, </w:t>
      </w:r>
      <w:r w:rsidRPr="3A5FC3B6" w:rsidR="3A5FC3B6">
        <w:rPr>
          <w:color w:val="auto"/>
        </w:rPr>
        <w:t xml:space="preserve">again </w:t>
      </w:r>
      <w:r w:rsidRPr="3A5FC3B6" w:rsidR="3A5FC3B6">
        <w:rPr>
          <w:color w:val="auto"/>
        </w:rPr>
        <w:t>potentially reducing the validity and applic</w:t>
      </w:r>
      <w:r w:rsidRPr="3A5FC3B6" w:rsidR="3A5FC3B6">
        <w:rPr>
          <w:color w:val="auto"/>
        </w:rPr>
        <w:t xml:space="preserve">ability of these studies and comparisons between them. </w:t>
      </w:r>
    </w:p>
    <w:p w:rsidR="00CD0E7F" w:rsidP="3A5FC3B6" w:rsidRDefault="00CD0E7F" w14:paraId="67E3F9CB" w14:textId="77777777" w14:noSpellErr="1">
      <w:pPr>
        <w:pStyle w:val="NoSpacing"/>
        <w:rPr>
          <w:color w:val="auto"/>
        </w:rPr>
      </w:pPr>
    </w:p>
    <w:p w:rsidRPr="007F7440" w:rsidR="00CD0E7F" w:rsidP="3A5FC3B6" w:rsidRDefault="00CD0E7F" w14:paraId="7A0E0588" w14:textId="6D907A6A" w14:noSpellErr="1">
      <w:pPr>
        <w:pStyle w:val="NoSpacing"/>
        <w:rPr>
          <w:b w:val="1"/>
          <w:bCs w:val="1"/>
          <w:color w:val="auto"/>
        </w:rPr>
      </w:pPr>
      <w:r w:rsidRPr="3A5FC3B6" w:rsidR="3A5FC3B6">
        <w:rPr>
          <w:b w:val="1"/>
          <w:bCs w:val="1"/>
          <w:color w:val="auto"/>
        </w:rPr>
        <w:t>CONCLUSION</w:t>
      </w:r>
    </w:p>
    <w:p w:rsidRPr="0088032D" w:rsidR="007F7440" w:rsidP="3A5FC3B6" w:rsidRDefault="007F7440" w14:paraId="0BC6A93F" w14:textId="77777777" w14:noSpellErr="1">
      <w:pPr>
        <w:pStyle w:val="NoSpacing"/>
        <w:rPr>
          <w:color w:val="auto"/>
        </w:rPr>
      </w:pPr>
    </w:p>
    <w:p w:rsidRPr="0088032D" w:rsidR="007F7440" w:rsidP="3A5FC3B6" w:rsidRDefault="007F7440" w14:paraId="0BC6A940" w14:textId="3907E20F" w14:noSpellErr="1">
      <w:pPr>
        <w:pStyle w:val="NoSpacing"/>
        <w:rPr>
          <w:color w:val="auto"/>
        </w:rPr>
      </w:pPr>
      <w:r w:rsidRPr="3A5FC3B6" w:rsidR="3A5FC3B6">
        <w:rPr>
          <w:color w:val="auto"/>
        </w:rPr>
        <w:t xml:space="preserve">This systematic review and meta-analysis </w:t>
      </w:r>
      <w:r w:rsidRPr="3A5FC3B6" w:rsidR="3A5FC3B6">
        <w:rPr>
          <w:color w:val="auto"/>
        </w:rPr>
        <w:t>provides</w:t>
      </w:r>
      <w:r w:rsidRPr="3A5FC3B6" w:rsidR="3A5FC3B6">
        <w:rPr>
          <w:color w:val="auto"/>
        </w:rPr>
        <w:t xml:space="preserve"> more evidence that ERAS for open aortic procedures is safe and has significant benefits in reducing LOS and complications</w:t>
      </w:r>
      <w:r w:rsidRPr="3A5FC3B6" w:rsidR="3A5FC3B6">
        <w:rPr>
          <w:color w:val="auto"/>
        </w:rPr>
        <w:t xml:space="preserve">.  </w:t>
      </w:r>
      <w:r w:rsidRPr="3A5FC3B6" w:rsidR="3A5FC3B6">
        <w:rPr>
          <w:color w:val="auto"/>
        </w:rPr>
        <w:t xml:space="preserve">The evidence however is limited and of </w:t>
      </w:r>
      <w:r w:rsidRPr="3A5FC3B6" w:rsidR="3A5FC3B6">
        <w:rPr>
          <w:color w:val="auto"/>
        </w:rPr>
        <w:t>poor quality</w:t>
      </w:r>
      <w:r w:rsidRPr="3A5FC3B6" w:rsidR="3A5FC3B6">
        <w:rPr>
          <w:color w:val="auto"/>
        </w:rPr>
        <w:t xml:space="preserve">, and although outcomes from other specialities can be extrapolated to similar cohorts of patients, a large multi-centre randomised controlled trial is needed to look at the benefits in this </w:t>
      </w:r>
      <w:r w:rsidRPr="3A5FC3B6" w:rsidR="3A5FC3B6">
        <w:rPr>
          <w:color w:val="auto"/>
        </w:rPr>
        <w:t>particular patient</w:t>
      </w:r>
      <w:r w:rsidRPr="3A5FC3B6" w:rsidR="3A5FC3B6">
        <w:rPr>
          <w:color w:val="auto"/>
        </w:rPr>
        <w:t xml:space="preserve"> population. The inclusion of a cost-effectiveness analysis in this tr</w:t>
      </w:r>
      <w:r w:rsidRPr="3A5FC3B6" w:rsidR="3A5FC3B6">
        <w:rPr>
          <w:color w:val="auto"/>
        </w:rPr>
        <w:t>ia</w:t>
      </w:r>
      <w:r w:rsidRPr="3A5FC3B6" w:rsidR="3A5FC3B6">
        <w:rPr>
          <w:color w:val="auto"/>
        </w:rPr>
        <w:t>l wou</w:t>
      </w:r>
      <w:r w:rsidRPr="3A5FC3B6" w:rsidR="3A5FC3B6">
        <w:rPr>
          <w:color w:val="auto"/>
        </w:rPr>
        <w:t>l</w:t>
      </w:r>
      <w:r w:rsidRPr="3A5FC3B6" w:rsidR="3A5FC3B6">
        <w:rPr>
          <w:color w:val="auto"/>
        </w:rPr>
        <w:t>d also be beneficial</w:t>
      </w:r>
      <w:r w:rsidRPr="3A5FC3B6" w:rsidR="3A5FC3B6">
        <w:rPr>
          <w:color w:val="auto"/>
        </w:rPr>
        <w:t xml:space="preserve">.  </w:t>
      </w:r>
    </w:p>
    <w:p w:rsidR="007F7440" w:rsidP="3A5FC3B6" w:rsidRDefault="007F7440" w14:paraId="0BC6A941" w14:textId="77777777" w14:noSpellErr="1">
      <w:pPr>
        <w:pStyle w:val="NoSpacing"/>
        <w:jc w:val="center"/>
        <w:rPr>
          <w:rFonts w:cs="Calibri" w:cstheme="minorAscii"/>
          <w:color w:val="auto"/>
          <w:sz w:val="20"/>
          <w:szCs w:val="20"/>
          <w:u w:val="single"/>
        </w:rPr>
      </w:pPr>
    </w:p>
    <w:p w:rsidR="000B42B0" w:rsidP="3A5FC3B6" w:rsidRDefault="000B42B0" w14:paraId="0BC6A950" w14:textId="77777777" w14:noSpellErr="1">
      <w:pPr>
        <w:pStyle w:val="NoSpacing"/>
        <w:rPr>
          <w:color w:val="auto"/>
        </w:rPr>
      </w:pPr>
    </w:p>
    <w:p w:rsidR="002179EA" w:rsidP="3A5FC3B6" w:rsidRDefault="002179EA" w14:paraId="3DE59E36" w14:textId="77777777" w14:noSpellErr="1">
      <w:pPr>
        <w:pStyle w:val="NoSpacing"/>
        <w:rPr>
          <w:rFonts w:cs="Calibri" w:cstheme="minorAscii"/>
          <w:color w:val="auto"/>
        </w:rPr>
      </w:pPr>
    </w:p>
    <w:p w:rsidR="002179EA" w:rsidP="3A5FC3B6" w:rsidRDefault="002179EA" w14:paraId="3EB61800" w14:textId="6B6D48EC" w14:noSpellErr="1">
      <w:pPr>
        <w:pStyle w:val="NoSpacing"/>
        <w:rPr>
          <w:rFonts w:cs="Calibri" w:cstheme="minorAscii"/>
          <w:color w:val="auto"/>
        </w:rPr>
      </w:pPr>
      <w:r w:rsidRPr="3A5FC3B6" w:rsidR="3A5FC3B6">
        <w:rPr>
          <w:rFonts w:cs="Calibri" w:cstheme="minorAscii"/>
          <w:color w:val="auto"/>
        </w:rPr>
        <w:t>The Authors declare</w:t>
      </w:r>
      <w:r w:rsidRPr="3A5FC3B6" w:rsidR="3A5FC3B6">
        <w:rPr>
          <w:rFonts w:cs="Calibri" w:cstheme="minorAscii"/>
          <w:color w:val="auto"/>
        </w:rPr>
        <w:t xml:space="preserve"> that there is no conflict of interest</w:t>
      </w:r>
      <w:r w:rsidRPr="3A5FC3B6" w:rsidR="3A5FC3B6">
        <w:rPr>
          <w:rFonts w:cs="Calibri" w:cstheme="minorAscii"/>
          <w:color w:val="auto"/>
        </w:rPr>
        <w:t xml:space="preserve">. </w:t>
      </w:r>
    </w:p>
    <w:p w:rsidRPr="000B319B" w:rsidR="002179EA" w:rsidP="3A5FC3B6" w:rsidRDefault="002179EA" w14:paraId="6AC3A039" w14:textId="77777777" w14:noSpellErr="1">
      <w:pPr>
        <w:pStyle w:val="NoSpacing"/>
        <w:rPr>
          <w:rFonts w:cs="Calibri" w:cstheme="minorAscii"/>
          <w:color w:val="auto"/>
        </w:rPr>
      </w:pPr>
    </w:p>
    <w:p w:rsidR="00CE1B75" w:rsidP="3A5FC3B6" w:rsidRDefault="00CE1B75" w14:paraId="0E3B3579" w14:textId="77777777" w14:noSpellErr="1">
      <w:pPr>
        <w:pStyle w:val="NoSpacing"/>
        <w:jc w:val="center"/>
        <w:rPr>
          <w:rFonts w:cs="Calibri" w:cstheme="minorAscii"/>
          <w:b w:val="1"/>
          <w:bCs w:val="1"/>
          <w:color w:val="auto"/>
        </w:rPr>
      </w:pPr>
    </w:p>
    <w:p w:rsidR="00CE1B75" w:rsidP="3A5FC3B6" w:rsidRDefault="00CE1B75" w14:paraId="107F1384" w14:textId="77777777" w14:noSpellErr="1">
      <w:pPr>
        <w:pStyle w:val="NoSpacing"/>
        <w:jc w:val="center"/>
        <w:rPr>
          <w:rFonts w:cs="Calibri" w:cstheme="minorAscii"/>
          <w:b w:val="1"/>
          <w:bCs w:val="1"/>
          <w:color w:val="auto"/>
        </w:rPr>
      </w:pPr>
    </w:p>
    <w:p w:rsidR="00CE1B75" w:rsidP="3A5FC3B6" w:rsidRDefault="00CE1B75" w14:paraId="761C5709" w14:textId="77777777" w14:noSpellErr="1">
      <w:pPr>
        <w:pStyle w:val="NoSpacing"/>
        <w:jc w:val="center"/>
        <w:rPr>
          <w:rFonts w:cs="Calibri" w:cstheme="minorAscii"/>
          <w:b w:val="1"/>
          <w:bCs w:val="1"/>
          <w:color w:val="auto"/>
        </w:rPr>
      </w:pPr>
    </w:p>
    <w:p w:rsidR="00DB09D7" w:rsidP="3A5FC3B6" w:rsidRDefault="00DB09D7" w14:paraId="7B01AF66" w14:textId="77777777" w14:noSpellErr="1">
      <w:pPr>
        <w:pStyle w:val="NoSpacing"/>
        <w:jc w:val="center"/>
        <w:rPr>
          <w:rFonts w:cs="Calibri" w:cstheme="minorAscii"/>
          <w:b w:val="1"/>
          <w:bCs w:val="1"/>
          <w:color w:val="auto"/>
        </w:rPr>
      </w:pPr>
    </w:p>
    <w:p w:rsidR="00DB09D7" w:rsidP="3A5FC3B6" w:rsidRDefault="00DB09D7" w14:paraId="0AB2D717" w14:textId="77777777" w14:noSpellErr="1">
      <w:pPr>
        <w:pStyle w:val="NoSpacing"/>
        <w:jc w:val="center"/>
        <w:rPr>
          <w:rFonts w:cs="Calibri" w:cstheme="minorAscii"/>
          <w:b w:val="1"/>
          <w:bCs w:val="1"/>
          <w:color w:val="auto"/>
        </w:rPr>
      </w:pPr>
    </w:p>
    <w:p w:rsidR="00DB09D7" w:rsidP="3A5FC3B6" w:rsidRDefault="00DB09D7" w14:paraId="09F24ABA" w14:textId="77777777" w14:noSpellErr="1">
      <w:pPr>
        <w:pStyle w:val="NoSpacing"/>
        <w:jc w:val="center"/>
        <w:rPr>
          <w:rFonts w:cs="Calibri" w:cstheme="minorAscii"/>
          <w:b w:val="1"/>
          <w:bCs w:val="1"/>
          <w:color w:val="auto"/>
        </w:rPr>
      </w:pPr>
    </w:p>
    <w:p w:rsidR="00787242" w:rsidP="3A5FC3B6" w:rsidRDefault="00787242" w14:paraId="185C448D" w14:textId="77777777" w14:noSpellErr="1">
      <w:pPr>
        <w:pStyle w:val="NoSpacing"/>
        <w:rPr>
          <w:rFonts w:cs="Calibri" w:cstheme="minorAscii"/>
          <w:b w:val="1"/>
          <w:bCs w:val="1"/>
          <w:color w:val="auto"/>
        </w:rPr>
      </w:pPr>
    </w:p>
    <w:p w:rsidRPr="000B319B" w:rsidR="00391423" w:rsidP="3A5FC3B6" w:rsidRDefault="00391423" w14:paraId="0BC6A952" w14:textId="19FBC140" w14:noSpellErr="1">
      <w:pPr>
        <w:pStyle w:val="NoSpacing"/>
        <w:jc w:val="center"/>
        <w:rPr>
          <w:rFonts w:cs="Calibri" w:cstheme="minorAscii"/>
          <w:b w:val="1"/>
          <w:bCs w:val="1"/>
          <w:color w:val="auto"/>
        </w:rPr>
      </w:pPr>
      <w:r w:rsidRPr="3A5FC3B6" w:rsidR="3A5FC3B6">
        <w:rPr>
          <w:rFonts w:cs="Calibri" w:cstheme="minorAscii"/>
          <w:b w:val="1"/>
          <w:bCs w:val="1"/>
          <w:color w:val="auto"/>
        </w:rPr>
        <w:t>REFERENCES</w:t>
      </w:r>
    </w:p>
    <w:p w:rsidRPr="000B319B" w:rsidR="00391423" w:rsidP="3A5FC3B6" w:rsidRDefault="00391423" w14:paraId="0BC6A953" w14:textId="77777777" w14:noSpellErr="1">
      <w:pPr>
        <w:pStyle w:val="NoSpacing"/>
        <w:jc w:val="center"/>
        <w:rPr>
          <w:rFonts w:cs="Calibri" w:cstheme="minorAscii"/>
          <w:color w:val="auto"/>
          <w:u w:val="single"/>
        </w:rPr>
      </w:pPr>
    </w:p>
    <w:p w:rsidRPr="00102FB5" w:rsidR="00A524CF" w:rsidP="3A5FC3B6" w:rsidRDefault="00A524CF" w14:paraId="0BC6A955" w14:textId="111E12CF">
      <w:pPr>
        <w:pStyle w:val="NoSpacing"/>
        <w:numPr>
          <w:ilvl w:val="0"/>
          <w:numId w:val="1"/>
        </w:numPr>
        <w:rPr>
          <w:rFonts w:cs="Calibri" w:cstheme="minorAscii"/>
          <w:color w:val="auto"/>
        </w:rPr>
      </w:pPr>
      <w:r w:rsidRPr="3A5FC3B6">
        <w:rPr>
          <w:rFonts w:cs="Calibri" w:cstheme="minorAscii"/>
          <w:color w:val="auto"/>
          <w:shd w:val="clear" w:color="auto" w:fill="FFFFFF"/>
        </w:rPr>
        <w:t xml:space="preserve">Antoniou GA, Antoniou SA, </w:t>
      </w:r>
      <w:r w:rsidRPr="3A5FC3B6">
        <w:rPr>
          <w:rFonts w:cs="Calibri" w:cstheme="minorAscii"/>
          <w:color w:val="auto"/>
          <w:shd w:val="clear" w:color="auto" w:fill="FFFFFF"/>
        </w:rPr>
        <w:t>Torella</w:t>
      </w:r>
      <w:r w:rsidRPr="3A5FC3B6">
        <w:rPr>
          <w:rFonts w:cs="Calibri" w:cstheme="minorAscii"/>
          <w:color w:val="auto"/>
          <w:shd w:val="clear" w:color="auto" w:fill="FFFFFF"/>
        </w:rPr>
        <w:t xml:space="preserve"> F. Editor's Choice - Endovascular vs. Open Repair for Abdominal Aortic Aneurysm: Systematic Review and Meta-analysis of Updated Peri-operative and </w:t>
      </w:r>
      <w:r w:rsidRPr="3A5FC3B6">
        <w:rPr>
          <w:rFonts w:cs="Calibri" w:cstheme="minorAscii"/>
          <w:color w:val="auto"/>
          <w:shd w:val="clear" w:color="auto" w:fill="FFFFFF"/>
        </w:rPr>
        <w:t>Long Term</w:t>
      </w:r>
      <w:r w:rsidRPr="3A5FC3B6">
        <w:rPr>
          <w:rFonts w:cs="Calibri" w:cstheme="minorAscii"/>
          <w:color w:val="auto"/>
          <w:shd w:val="clear" w:color="auto" w:fill="FFFFFF"/>
        </w:rPr>
        <w:t xml:space="preserve"> Data of Randomised Controlled Trials. </w:t>
      </w:r>
      <w:r w:rsidRPr="3A5FC3B6">
        <w:rPr>
          <w:rFonts w:cs="Calibri" w:cstheme="minorAscii"/>
          <w:color w:val="auto"/>
          <w:shd w:val="clear" w:color="auto" w:fill="FFFFFF"/>
        </w:rPr>
        <w:t>Eur</w:t>
      </w:r>
      <w:r w:rsidRPr="3A5FC3B6">
        <w:rPr>
          <w:rFonts w:cs="Calibri" w:cstheme="minorAscii"/>
          <w:color w:val="auto"/>
          <w:shd w:val="clear" w:color="auto" w:fill="FFFFFF"/>
        </w:rPr>
        <w:t xml:space="preserve"> J </w:t>
      </w:r>
      <w:r w:rsidRPr="3A5FC3B6">
        <w:rPr>
          <w:rFonts w:cs="Calibri" w:cstheme="minorAscii"/>
          <w:color w:val="auto"/>
          <w:shd w:val="clear" w:color="auto" w:fill="FFFFFF"/>
        </w:rPr>
        <w:t>Vasc</w:t>
      </w:r>
      <w:r w:rsidRPr="3A5FC3B6">
        <w:rPr>
          <w:rFonts w:cs="Calibri" w:cstheme="minorAscii"/>
          <w:color w:val="auto"/>
          <w:shd w:val="clear" w:color="auto" w:fill="FFFFFF"/>
        </w:rPr>
        <w:t xml:space="preserve"> </w:t>
      </w:r>
      <w:r w:rsidRPr="3A5FC3B6">
        <w:rPr>
          <w:rFonts w:cs="Calibri" w:cstheme="minorAscii"/>
          <w:color w:val="auto"/>
          <w:shd w:val="clear" w:color="auto" w:fill="FFFFFF"/>
        </w:rPr>
        <w:t>Endovasc</w:t>
      </w:r>
      <w:r w:rsidRPr="3A5FC3B6">
        <w:rPr>
          <w:rFonts w:cs="Calibri" w:cstheme="minorAscii"/>
          <w:color w:val="auto"/>
          <w:shd w:val="clear" w:color="auto" w:fill="FFFFFF"/>
        </w:rPr>
        <w:t xml:space="preserve"> Surg. 2020 Mar;59(3):385-397. </w:t>
      </w:r>
      <w:r w:rsidRPr="3A5FC3B6">
        <w:rPr>
          <w:rFonts w:cs="Calibri" w:cstheme="minorAscii"/>
          <w:color w:val="auto"/>
          <w:shd w:val="clear" w:color="auto" w:fill="FFFFFF"/>
        </w:rPr>
        <w:t>doi</w:t>
      </w:r>
      <w:r w:rsidRPr="3A5FC3B6">
        <w:rPr>
          <w:rFonts w:cs="Calibri" w:cstheme="minorAscii"/>
          <w:color w:val="auto"/>
          <w:shd w:val="clear" w:color="auto" w:fill="FFFFFF"/>
        </w:rPr>
        <w:t xml:space="preserve">: 10.1016/j.ejvs.2019.11.030. </w:t>
      </w:r>
    </w:p>
    <w:p w:rsidRPr="00102FB5" w:rsidR="00197688" w:rsidP="3A5FC3B6" w:rsidRDefault="00197688" w14:paraId="0AC886CE" w14:textId="77777777" w14:noSpellErr="1">
      <w:pPr>
        <w:pStyle w:val="NoSpacing"/>
        <w:ind w:left="720"/>
        <w:rPr>
          <w:rFonts w:cs="Calibri" w:cstheme="minorAscii"/>
          <w:color w:val="auto"/>
        </w:rPr>
      </w:pPr>
    </w:p>
    <w:p w:rsidRPr="00102FB5" w:rsidR="00A524CF" w:rsidP="3A5FC3B6" w:rsidRDefault="00A524CF" w14:paraId="0BC6A956" w14:textId="49E84ABA">
      <w:pPr>
        <w:pStyle w:val="NoSpacing"/>
        <w:numPr>
          <w:ilvl w:val="0"/>
          <w:numId w:val="1"/>
        </w:numPr>
        <w:rPr>
          <w:rFonts w:cs="Calibri" w:cstheme="minorAscii"/>
          <w:color w:val="auto"/>
        </w:rPr>
      </w:pPr>
      <w:r w:rsidRPr="3A5FC3B6">
        <w:rPr>
          <w:rFonts w:cs="Calibri" w:cstheme="minorAscii"/>
          <w:color w:val="auto"/>
          <w:shd w:val="clear" w:color="auto" w:fill="FFFFFF"/>
        </w:rPr>
        <w:t xml:space="preserve">Greenhalgh RM, Brown LC, </w:t>
      </w:r>
      <w:r w:rsidRPr="3A5FC3B6">
        <w:rPr>
          <w:rFonts w:cs="Calibri" w:cstheme="minorAscii"/>
          <w:color w:val="auto"/>
          <w:shd w:val="clear" w:color="auto" w:fill="FFFFFF"/>
        </w:rPr>
        <w:t>Kwong</w:t>
      </w:r>
      <w:r w:rsidRPr="3A5FC3B6">
        <w:rPr>
          <w:rFonts w:cs="Calibri" w:cstheme="minorAscii"/>
          <w:color w:val="auto"/>
          <w:shd w:val="clear" w:color="auto" w:fill="FFFFFF"/>
        </w:rPr>
        <w:t xml:space="preserve"> GP, Powell JT, Thompson SG; EVAR trial participants. Comparison of endovascular aneurysm repair with open repair in patients with abdominal aortic aneurysm (EVAR trial 1), 30-day operative mortality results: randomised controlled trial. Lancet. 2004 Sep 4-10;364(9437):843-8. </w:t>
      </w:r>
      <w:r w:rsidRPr="3A5FC3B6">
        <w:rPr>
          <w:rFonts w:cs="Calibri" w:cstheme="minorAscii"/>
          <w:color w:val="auto"/>
          <w:shd w:val="clear" w:color="auto" w:fill="FFFFFF"/>
        </w:rPr>
        <w:t>doi</w:t>
      </w:r>
      <w:r w:rsidRPr="3A5FC3B6">
        <w:rPr>
          <w:rFonts w:cs="Calibri" w:cstheme="minorAscii"/>
          <w:color w:val="auto"/>
          <w:shd w:val="clear" w:color="auto" w:fill="FFFFFF"/>
        </w:rPr>
        <w:t xml:space="preserve">: 10.1016/S0140-6736(04)16979-1. </w:t>
      </w:r>
    </w:p>
    <w:p w:rsidRPr="00102FB5" w:rsidR="00D26445" w:rsidP="3A5FC3B6" w:rsidRDefault="00D26445" w14:paraId="0BC6A957" w14:textId="77777777" w14:noSpellErr="1">
      <w:pPr>
        <w:pStyle w:val="ListParagraph"/>
        <w:rPr>
          <w:rFonts w:cs="Calibri" w:cstheme="minorAscii"/>
          <w:color w:val="auto"/>
        </w:rPr>
      </w:pPr>
    </w:p>
    <w:p w:rsidRPr="00102FB5" w:rsidR="00D26445" w:rsidP="3A5FC3B6" w:rsidRDefault="00D26445" w14:paraId="0BC6A958" w14:textId="6F879CC1">
      <w:pPr>
        <w:pStyle w:val="NoSpacing"/>
        <w:numPr>
          <w:ilvl w:val="0"/>
          <w:numId w:val="1"/>
        </w:numPr>
        <w:rPr>
          <w:rFonts w:cs="Calibri" w:cstheme="minorAscii"/>
          <w:color w:val="auto"/>
        </w:rPr>
      </w:pPr>
      <w:r w:rsidRPr="3A5FC3B6" w:rsidR="3A5FC3B6">
        <w:rPr>
          <w:rFonts w:cs="Calibri" w:cstheme="minorAscii"/>
          <w:color w:val="auto"/>
        </w:rPr>
        <w:t xml:space="preserve">Greco M, Capretti G, Beretta L, Gemma M, </w:t>
      </w:r>
      <w:r w:rsidRPr="3A5FC3B6" w:rsidR="3A5FC3B6">
        <w:rPr>
          <w:rFonts w:cs="Calibri" w:cstheme="minorAscii"/>
          <w:color w:val="auto"/>
        </w:rPr>
        <w:t>Pecorelli</w:t>
      </w:r>
      <w:r w:rsidRPr="3A5FC3B6" w:rsidR="3A5FC3B6">
        <w:rPr>
          <w:rFonts w:cs="Calibri" w:cstheme="minorAscii"/>
          <w:color w:val="auto"/>
        </w:rPr>
        <w:t xml:space="preserve"> N, Braga M. Enhanced recovery program in colorectal surgery: a meta-analysis of randomized controlled trials. World J Surg. 2014 Jun;38(6):1531-41. </w:t>
      </w:r>
      <w:r w:rsidRPr="3A5FC3B6" w:rsidR="3A5FC3B6">
        <w:rPr>
          <w:rFonts w:cs="Calibri" w:cstheme="minorAscii"/>
          <w:color w:val="auto"/>
        </w:rPr>
        <w:t>doi</w:t>
      </w:r>
      <w:r w:rsidRPr="3A5FC3B6" w:rsidR="3A5FC3B6">
        <w:rPr>
          <w:rFonts w:cs="Calibri" w:cstheme="minorAscii"/>
          <w:color w:val="auto"/>
        </w:rPr>
        <w:t xml:space="preserve">: 10.1007/s00268-013-2416-8. </w:t>
      </w:r>
    </w:p>
    <w:p w:rsidRPr="00102FB5" w:rsidR="00A524CF" w:rsidP="3A5FC3B6" w:rsidRDefault="00A524CF" w14:paraId="0BC6A959" w14:textId="77777777" w14:noSpellErr="1">
      <w:pPr>
        <w:pStyle w:val="ListParagraph"/>
        <w:rPr>
          <w:rFonts w:cs="Calibri" w:cstheme="minorAscii"/>
          <w:color w:val="auto"/>
        </w:rPr>
      </w:pPr>
    </w:p>
    <w:p w:rsidRPr="00102FB5" w:rsidR="00A524CF" w:rsidP="3A5FC3B6" w:rsidRDefault="00A524CF" w14:paraId="0BC6A95A" w14:textId="1BAAFD05">
      <w:pPr>
        <w:pStyle w:val="NoSpacing"/>
        <w:numPr>
          <w:ilvl w:val="0"/>
          <w:numId w:val="1"/>
        </w:numPr>
        <w:rPr>
          <w:rFonts w:cs="Calibri" w:cstheme="minorAscii"/>
          <w:color w:val="auto"/>
        </w:rPr>
      </w:pPr>
      <w:r w:rsidRPr="3A5FC3B6">
        <w:rPr>
          <w:rFonts w:cs="Calibri" w:cstheme="minorAscii"/>
          <w:color w:val="auto"/>
          <w:shd w:val="clear" w:color="auto" w:fill="FFFFFF"/>
        </w:rPr>
        <w:t xml:space="preserve">Gustafsson UO, Scott MJ, </w:t>
      </w:r>
      <w:r w:rsidRPr="3A5FC3B6">
        <w:rPr>
          <w:rFonts w:cs="Calibri" w:cstheme="minorAscii"/>
          <w:color w:val="auto"/>
          <w:shd w:val="clear" w:color="auto" w:fill="FFFFFF"/>
        </w:rPr>
        <w:t>Schwenk</w:t>
      </w:r>
      <w:r w:rsidRPr="3A5FC3B6">
        <w:rPr>
          <w:rFonts w:cs="Calibri" w:cstheme="minorAscii"/>
          <w:color w:val="auto"/>
          <w:shd w:val="clear" w:color="auto" w:fill="FFFFFF"/>
        </w:rPr>
        <w:t xml:space="preserve"> W, </w:t>
      </w:r>
      <w:r w:rsidRPr="3A5FC3B6" w:rsidR="0003672C">
        <w:rPr>
          <w:rFonts w:cs="Calibri" w:cstheme="minorAscii"/>
          <w:color w:val="auto"/>
          <w:shd w:val="clear" w:color="auto" w:fill="FFFFFF"/>
        </w:rPr>
        <w:t xml:space="preserve">et al. </w:t>
      </w:r>
      <w:r w:rsidRPr="3A5FC3B6">
        <w:rPr>
          <w:rFonts w:cs="Calibri" w:cstheme="minorAscii"/>
          <w:color w:val="auto"/>
          <w:shd w:val="clear" w:color="auto" w:fill="FFFFFF"/>
        </w:rPr>
        <w:t>Enhanced Recovery After Surgery (ERAS) Society, for Perioperative Care; European Society for Clinical Nutrition and Metabolism (ESPEN); International Association for Surgical Metabolism and Nutrition (IASMEN). Guidelines for perioperative care in elective colonic surgery: Enhanced Recovery After Surgery (</w:t>
      </w:r>
      <w:r w:rsidRPr="3A5FC3B6">
        <w:rPr>
          <w:rFonts w:cs="Calibri" w:cstheme="minorAscii"/>
          <w:color w:val="auto"/>
          <w:shd w:val="clear" w:color="auto" w:fill="FFFFFF"/>
        </w:rPr>
        <w:t>ERAS(</w:t>
      </w:r>
      <w:r w:rsidRPr="3A5FC3B6">
        <w:rPr>
          <w:rFonts w:cs="Calibri" w:cstheme="minorAscii"/>
          <w:color w:val="auto"/>
          <w:shd w:val="clear" w:color="auto" w:fill="FFFFFF"/>
        </w:rPr>
        <w:t xml:space="preserve">®)) Society recommendations. World J Surg. 2013 Feb;37(2):259-84. </w:t>
      </w:r>
      <w:r w:rsidRPr="3A5FC3B6">
        <w:rPr>
          <w:rFonts w:cs="Calibri" w:cstheme="minorAscii"/>
          <w:color w:val="auto"/>
          <w:shd w:val="clear" w:color="auto" w:fill="FFFFFF"/>
        </w:rPr>
        <w:t>doi</w:t>
      </w:r>
      <w:r w:rsidRPr="3A5FC3B6">
        <w:rPr>
          <w:rFonts w:cs="Calibri" w:cstheme="minorAscii"/>
          <w:color w:val="auto"/>
          <w:shd w:val="clear" w:color="auto" w:fill="FFFFFF"/>
        </w:rPr>
        <w:t>: 10.1007/s00268-012-1772-0</w:t>
      </w:r>
      <w:r w:rsidRPr="3A5FC3B6" w:rsidR="00197688">
        <w:rPr>
          <w:rFonts w:cs="Calibri" w:cstheme="minorAscii"/>
          <w:color w:val="auto"/>
          <w:shd w:val="clear" w:color="auto" w:fill="FFFFFF"/>
        </w:rPr>
        <w:t>.</w:t>
      </w:r>
    </w:p>
    <w:p w:rsidRPr="00102FB5" w:rsidR="00A524CF" w:rsidP="3A5FC3B6" w:rsidRDefault="00A524CF" w14:paraId="0BC6A95B" w14:textId="77777777" w14:noSpellErr="1">
      <w:pPr>
        <w:pStyle w:val="ListParagraph"/>
        <w:rPr>
          <w:rFonts w:cs="Calibri" w:cstheme="minorAscii"/>
          <w:color w:val="auto"/>
        </w:rPr>
      </w:pPr>
    </w:p>
    <w:p w:rsidRPr="00102FB5" w:rsidR="00A524CF" w:rsidP="3A5FC3B6" w:rsidRDefault="00A524CF" w14:paraId="0BC6A95C" w14:textId="5ADFF1F1">
      <w:pPr>
        <w:pStyle w:val="NoSpacing"/>
        <w:numPr>
          <w:ilvl w:val="0"/>
          <w:numId w:val="1"/>
        </w:numPr>
        <w:rPr>
          <w:rFonts w:cs="Calibri" w:cstheme="minorAscii"/>
          <w:color w:val="auto"/>
        </w:rPr>
      </w:pPr>
      <w:r w:rsidRPr="3A5FC3B6">
        <w:rPr>
          <w:rFonts w:cs="Calibri" w:cstheme="minorAscii"/>
          <w:color w:val="auto"/>
          <w:shd w:val="clear" w:color="auto" w:fill="FFFFFF"/>
        </w:rPr>
        <w:t xml:space="preserve">Low DE, Allum W, De Manzoni G, </w:t>
      </w:r>
      <w:r w:rsidRPr="3A5FC3B6" w:rsidR="00ED33E5">
        <w:rPr>
          <w:rFonts w:cs="Calibri" w:cstheme="minorAscii"/>
          <w:color w:val="auto"/>
          <w:shd w:val="clear" w:color="auto" w:fill="FFFFFF"/>
        </w:rPr>
        <w:t>et al</w:t>
      </w:r>
      <w:r w:rsidRPr="3A5FC3B6">
        <w:rPr>
          <w:rFonts w:cs="Calibri" w:cstheme="minorAscii"/>
          <w:color w:val="auto"/>
          <w:shd w:val="clear" w:color="auto" w:fill="FFFFFF"/>
        </w:rPr>
        <w:t>. Guidelines for Perioperative Care in Esophagectomy: Enhanced Recovery After Surgery (ERAS</w:t>
      </w:r>
      <w:r w:rsidRPr="3A5FC3B6">
        <w:rPr>
          <w:rFonts w:cs="Calibri" w:cstheme="minorAscii"/>
          <w:color w:val="auto"/>
          <w:shd w:val="clear" w:color="auto" w:fill="FFFFFF"/>
          <w:vertAlign w:val="superscript"/>
        </w:rPr>
        <w:t>®</w:t>
      </w:r>
      <w:r w:rsidRPr="3A5FC3B6">
        <w:rPr>
          <w:rFonts w:cs="Calibri" w:cstheme="minorAscii"/>
          <w:color w:val="auto"/>
          <w:shd w:val="clear" w:color="auto" w:fill="FFFFFF"/>
        </w:rPr>
        <w:t xml:space="preserve">) Society Recommendations. World J Surg. 2019 Feb;43(2):299-330. </w:t>
      </w:r>
      <w:r w:rsidRPr="3A5FC3B6">
        <w:rPr>
          <w:rFonts w:cs="Calibri" w:cstheme="minorAscii"/>
          <w:color w:val="auto"/>
          <w:shd w:val="clear" w:color="auto" w:fill="FFFFFF"/>
        </w:rPr>
        <w:t>doi</w:t>
      </w:r>
      <w:r w:rsidRPr="3A5FC3B6">
        <w:rPr>
          <w:rFonts w:cs="Calibri" w:cstheme="minorAscii"/>
          <w:color w:val="auto"/>
          <w:shd w:val="clear" w:color="auto" w:fill="FFFFFF"/>
        </w:rPr>
        <w:t xml:space="preserve">: 10.1007/s00268-018-4786-4. </w:t>
      </w:r>
    </w:p>
    <w:p w:rsidRPr="00102FB5" w:rsidR="00A524CF" w:rsidP="3A5FC3B6" w:rsidRDefault="00A524CF" w14:paraId="0BC6A95D" w14:textId="77777777" w14:noSpellErr="1">
      <w:pPr>
        <w:pStyle w:val="ListParagraph"/>
        <w:rPr>
          <w:rFonts w:cs="Calibri" w:cstheme="minorAscii"/>
          <w:color w:val="auto"/>
        </w:rPr>
      </w:pPr>
    </w:p>
    <w:p w:rsidRPr="00102FB5" w:rsidR="00A524CF" w:rsidP="3A5FC3B6" w:rsidRDefault="00A524CF" w14:paraId="0BC6A95E" w14:textId="7152FC6D">
      <w:pPr>
        <w:pStyle w:val="NoSpacing"/>
        <w:numPr>
          <w:ilvl w:val="0"/>
          <w:numId w:val="1"/>
        </w:numPr>
        <w:rPr>
          <w:rFonts w:cs="Calibri" w:cstheme="minorAscii"/>
          <w:color w:val="auto"/>
        </w:rPr>
      </w:pPr>
      <w:r w:rsidRPr="3A5FC3B6">
        <w:rPr>
          <w:rFonts w:cs="Calibri" w:cstheme="minorAscii"/>
          <w:color w:val="auto"/>
          <w:shd w:val="clear" w:color="auto" w:fill="FFFFFF"/>
        </w:rPr>
        <w:t xml:space="preserve">Engelman DT, Ben Ali W, Williams JB, </w:t>
      </w:r>
      <w:r w:rsidRPr="3A5FC3B6" w:rsidR="00ED33E5">
        <w:rPr>
          <w:rFonts w:cs="Calibri" w:cstheme="minorAscii"/>
          <w:color w:val="auto"/>
          <w:shd w:val="clear" w:color="auto" w:fill="FFFFFF"/>
        </w:rPr>
        <w:t>et al</w:t>
      </w:r>
      <w:r w:rsidRPr="3A5FC3B6">
        <w:rPr>
          <w:rFonts w:cs="Calibri" w:cstheme="minorAscii"/>
          <w:color w:val="auto"/>
          <w:shd w:val="clear" w:color="auto" w:fill="FFFFFF"/>
        </w:rPr>
        <w:t xml:space="preserve">. Guidelines for Perioperative Care in Cardiac Surgery: Enhanced Recovery After Surgery Society Recommendations. JAMA Surg. 2019 Aug 1;154(8):755-766. </w:t>
      </w:r>
      <w:r w:rsidRPr="3A5FC3B6">
        <w:rPr>
          <w:rFonts w:cs="Calibri" w:cstheme="minorAscii"/>
          <w:color w:val="auto"/>
          <w:shd w:val="clear" w:color="auto" w:fill="FFFFFF"/>
        </w:rPr>
        <w:t>doi</w:t>
      </w:r>
      <w:r w:rsidRPr="3A5FC3B6">
        <w:rPr>
          <w:rFonts w:cs="Calibri" w:cstheme="minorAscii"/>
          <w:color w:val="auto"/>
          <w:shd w:val="clear" w:color="auto" w:fill="FFFFFF"/>
        </w:rPr>
        <w:t xml:space="preserve">: 10.1001/jamasurg.2019.1153. </w:t>
      </w:r>
    </w:p>
    <w:p w:rsidRPr="00102FB5" w:rsidR="00A524CF" w:rsidP="3A5FC3B6" w:rsidRDefault="00A524CF" w14:paraId="0BC6A95F" w14:textId="77777777" w14:noSpellErr="1">
      <w:pPr>
        <w:rPr>
          <w:rFonts w:cs="Calibri" w:cstheme="minorAscii"/>
          <w:color w:val="auto"/>
        </w:rPr>
      </w:pPr>
    </w:p>
    <w:p w:rsidRPr="00102FB5" w:rsidR="00A524CF" w:rsidP="3A5FC3B6" w:rsidRDefault="00924D98" w14:paraId="0BC6A960" w14:textId="798E0187" w14:noSpellErr="1">
      <w:pPr>
        <w:pStyle w:val="NoSpacing"/>
        <w:numPr>
          <w:ilvl w:val="0"/>
          <w:numId w:val="1"/>
        </w:numPr>
        <w:rPr>
          <w:rFonts w:cs="Calibri" w:cstheme="minorAscii"/>
          <w:color w:val="auto"/>
        </w:rPr>
      </w:pPr>
      <w:r w:rsidRPr="3A5FC3B6" w:rsidR="3A5FC3B6">
        <w:rPr>
          <w:rFonts w:cs="Calibri" w:cstheme="minorAscii"/>
          <w:color w:val="auto"/>
        </w:rPr>
        <w:t xml:space="preserve">The </w:t>
      </w:r>
      <w:r w:rsidRPr="3A5FC3B6" w:rsidR="3A5FC3B6">
        <w:rPr>
          <w:rFonts w:cs="Calibri" w:cstheme="minorAscii"/>
          <w:color w:val="auto"/>
        </w:rPr>
        <w:t>ERAS Society</w:t>
      </w:r>
      <w:r w:rsidRPr="3A5FC3B6" w:rsidR="3A5FC3B6">
        <w:rPr>
          <w:rFonts w:cs="Calibri" w:cstheme="minorAscii"/>
          <w:color w:val="auto"/>
        </w:rPr>
        <w:t xml:space="preserve">.  </w:t>
      </w:r>
      <w:r w:rsidRPr="3A5FC3B6" w:rsidR="3A5FC3B6">
        <w:rPr>
          <w:rFonts w:cs="Calibri" w:cstheme="minorAscii"/>
          <w:color w:val="auto"/>
        </w:rPr>
        <w:t>Guidelines</w:t>
      </w:r>
      <w:r w:rsidRPr="3A5FC3B6" w:rsidR="3A5FC3B6">
        <w:rPr>
          <w:rFonts w:cs="Calibri" w:cstheme="minorAscii"/>
          <w:color w:val="auto"/>
        </w:rPr>
        <w:t xml:space="preserve">. </w:t>
      </w:r>
      <w:r w:rsidRPr="3A5FC3B6" w:rsidR="3A5FC3B6">
        <w:rPr>
          <w:rFonts w:cs="Calibri" w:cstheme="minorAscii"/>
          <w:color w:val="auto"/>
        </w:rPr>
        <w:t xml:space="preserve">Accessed </w:t>
      </w:r>
      <w:r w:rsidRPr="3A5FC3B6" w:rsidR="3A5FC3B6">
        <w:rPr>
          <w:rFonts w:cs="Calibri" w:cstheme="minorAscii"/>
          <w:color w:val="auto"/>
        </w:rPr>
        <w:t>24</w:t>
      </w:r>
      <w:r w:rsidRPr="3A5FC3B6" w:rsidR="3A5FC3B6">
        <w:rPr>
          <w:rFonts w:cs="Calibri" w:cstheme="minorAscii"/>
          <w:color w:val="auto"/>
          <w:vertAlign w:val="superscript"/>
        </w:rPr>
        <w:t>th</w:t>
      </w:r>
      <w:r w:rsidRPr="3A5FC3B6" w:rsidR="3A5FC3B6">
        <w:rPr>
          <w:rFonts w:cs="Calibri" w:cstheme="minorAscii"/>
          <w:color w:val="auto"/>
        </w:rPr>
        <w:t xml:space="preserve"> </w:t>
      </w:r>
      <w:r w:rsidRPr="3A5FC3B6" w:rsidR="3A5FC3B6">
        <w:rPr>
          <w:rFonts w:cs="Calibri" w:cstheme="minorAscii"/>
          <w:color w:val="auto"/>
        </w:rPr>
        <w:t>August 2021</w:t>
      </w:r>
      <w:r w:rsidRPr="3A5FC3B6" w:rsidR="3A5FC3B6">
        <w:rPr>
          <w:rFonts w:cs="Calibri" w:cstheme="minorAscii"/>
          <w:color w:val="auto"/>
        </w:rPr>
        <w:t xml:space="preserve">. Available at </w:t>
      </w:r>
      <w:hyperlink r:id="R9ed017431ac343db">
        <w:r w:rsidRPr="3A5FC3B6" w:rsidR="3A5FC3B6">
          <w:rPr>
            <w:rStyle w:val="Hyperlink"/>
            <w:rFonts w:cs="Calibri" w:cstheme="minorAscii"/>
            <w:color w:val="auto"/>
          </w:rPr>
          <w:t>https://erassociety.org/guidelines/</w:t>
        </w:r>
      </w:hyperlink>
      <w:r w:rsidRPr="3A5FC3B6" w:rsidR="3A5FC3B6">
        <w:rPr>
          <w:rFonts w:cs="Calibri" w:cstheme="minorAscii"/>
          <w:color w:val="auto"/>
        </w:rPr>
        <w:t xml:space="preserve"> </w:t>
      </w:r>
    </w:p>
    <w:p w:rsidRPr="00102FB5" w:rsidR="00A524CF" w:rsidP="3A5FC3B6" w:rsidRDefault="00A524CF" w14:paraId="0BC6A961" w14:textId="77777777" w14:noSpellErr="1">
      <w:pPr>
        <w:pStyle w:val="ListParagraph"/>
        <w:rPr>
          <w:rFonts w:cs="Calibri" w:cstheme="minorAscii"/>
          <w:color w:val="auto"/>
        </w:rPr>
      </w:pPr>
    </w:p>
    <w:p w:rsidRPr="00102FB5" w:rsidR="00A524CF" w:rsidP="3A5FC3B6" w:rsidRDefault="00A524CF" w14:paraId="0BC6A962" w14:textId="77BE2AE5">
      <w:pPr>
        <w:pStyle w:val="NoSpacing"/>
        <w:numPr>
          <w:ilvl w:val="0"/>
          <w:numId w:val="1"/>
        </w:numPr>
        <w:rPr>
          <w:rFonts w:cs="Calibri" w:cstheme="minorAscii"/>
          <w:color w:val="auto"/>
        </w:rPr>
      </w:pPr>
      <w:r w:rsidRPr="3A5FC3B6" w:rsidR="3A5FC3B6">
        <w:rPr>
          <w:rFonts w:cs="Calibri" w:cstheme="minorAscii"/>
          <w:color w:val="auto"/>
        </w:rPr>
        <w:t>McGinigle</w:t>
      </w:r>
      <w:r w:rsidRPr="3A5FC3B6" w:rsidR="3A5FC3B6">
        <w:rPr>
          <w:rFonts w:cs="Calibri" w:cstheme="minorAscii"/>
          <w:color w:val="auto"/>
        </w:rPr>
        <w:t xml:space="preserve"> KL, </w:t>
      </w:r>
      <w:r w:rsidRPr="3A5FC3B6" w:rsidR="3A5FC3B6">
        <w:rPr>
          <w:rFonts w:cs="Calibri" w:cstheme="minorAscii"/>
          <w:color w:val="auto"/>
        </w:rPr>
        <w:t>Eldrup</w:t>
      </w:r>
      <w:r w:rsidRPr="3A5FC3B6" w:rsidR="3A5FC3B6">
        <w:rPr>
          <w:rFonts w:cs="Calibri" w:cstheme="minorAscii"/>
          <w:color w:val="auto"/>
        </w:rPr>
        <w:t xml:space="preserve">-Jorgensen J, McCall R, </w:t>
      </w:r>
      <w:r w:rsidRPr="3A5FC3B6" w:rsidR="3A5FC3B6">
        <w:rPr>
          <w:rFonts w:cs="Calibri" w:cstheme="minorAscii"/>
          <w:color w:val="auto"/>
        </w:rPr>
        <w:t>et al</w:t>
      </w:r>
      <w:r w:rsidRPr="3A5FC3B6" w:rsidR="3A5FC3B6">
        <w:rPr>
          <w:rFonts w:cs="Calibri" w:cstheme="minorAscii"/>
          <w:color w:val="auto"/>
        </w:rPr>
        <w:t xml:space="preserve">. A systematic review of enhanced recovery after surgery for vascular operations. J </w:t>
      </w:r>
      <w:r w:rsidRPr="3A5FC3B6" w:rsidR="3A5FC3B6">
        <w:rPr>
          <w:rFonts w:cs="Calibri" w:cstheme="minorAscii"/>
          <w:color w:val="auto"/>
        </w:rPr>
        <w:t>Vasc</w:t>
      </w:r>
      <w:r w:rsidRPr="3A5FC3B6" w:rsidR="3A5FC3B6">
        <w:rPr>
          <w:rFonts w:cs="Calibri" w:cstheme="minorAscii"/>
          <w:color w:val="auto"/>
        </w:rPr>
        <w:t xml:space="preserve"> Surg. 2019 Aug;70(2):629-640.e1. </w:t>
      </w:r>
      <w:r w:rsidRPr="3A5FC3B6" w:rsidR="3A5FC3B6">
        <w:rPr>
          <w:rFonts w:cs="Calibri" w:cstheme="minorAscii"/>
          <w:color w:val="auto"/>
        </w:rPr>
        <w:t>doi</w:t>
      </w:r>
      <w:r w:rsidRPr="3A5FC3B6" w:rsidR="3A5FC3B6">
        <w:rPr>
          <w:rFonts w:cs="Calibri" w:cstheme="minorAscii"/>
          <w:color w:val="auto"/>
        </w:rPr>
        <w:t xml:space="preserve">: 10.1016/j.jvs.2019.01.050. </w:t>
      </w:r>
      <w:r w:rsidRPr="3A5FC3B6" w:rsidR="3A5FC3B6">
        <w:rPr>
          <w:rFonts w:cs="Calibri" w:cstheme="minorAscii"/>
          <w:color w:val="auto"/>
        </w:rPr>
        <w:t>Epub</w:t>
      </w:r>
      <w:r w:rsidRPr="3A5FC3B6" w:rsidR="3A5FC3B6">
        <w:rPr>
          <w:rFonts w:cs="Calibri" w:cstheme="minorAscii"/>
          <w:color w:val="auto"/>
        </w:rPr>
        <w:t xml:space="preserve"> 2019 Mar 25. PMID: 30922754.</w:t>
      </w:r>
    </w:p>
    <w:p w:rsidRPr="00102FB5" w:rsidR="00A524CF" w:rsidP="3A5FC3B6" w:rsidRDefault="00A524CF" w14:paraId="0BC6A963" w14:textId="77777777" w14:noSpellErr="1">
      <w:pPr>
        <w:pStyle w:val="ListParagraph"/>
        <w:rPr>
          <w:rFonts w:cs="Calibri" w:cstheme="minorAscii"/>
          <w:color w:val="auto"/>
        </w:rPr>
      </w:pPr>
    </w:p>
    <w:p w:rsidRPr="00102FB5" w:rsidR="00A524CF" w:rsidP="3A5FC3B6" w:rsidRDefault="00A524CF" w14:paraId="0BC6A964" w14:textId="77777777">
      <w:pPr>
        <w:pStyle w:val="NoSpacing"/>
        <w:numPr>
          <w:ilvl w:val="0"/>
          <w:numId w:val="1"/>
        </w:numPr>
        <w:rPr>
          <w:rFonts w:cs="Calibri" w:cstheme="minorAscii"/>
          <w:color w:val="auto"/>
        </w:rPr>
      </w:pPr>
      <w:r w:rsidRPr="3A5FC3B6" w:rsidR="3A5FC3B6">
        <w:rPr>
          <w:rFonts w:cs="Calibri" w:cstheme="minorAscii"/>
          <w:color w:val="auto"/>
        </w:rPr>
        <w:t xml:space="preserve">Page MJ, Moher D, </w:t>
      </w:r>
      <w:r w:rsidRPr="3A5FC3B6" w:rsidR="3A5FC3B6">
        <w:rPr>
          <w:rFonts w:cs="Calibri" w:cstheme="minorAscii"/>
          <w:color w:val="auto"/>
        </w:rPr>
        <w:t>Bossuyt</w:t>
      </w:r>
      <w:r w:rsidRPr="3A5FC3B6" w:rsidR="3A5FC3B6">
        <w:rPr>
          <w:rFonts w:cs="Calibri" w:cstheme="minorAscii"/>
          <w:color w:val="auto"/>
        </w:rPr>
        <w:t xml:space="preserve"> PM, et al. PRISMA 2020 explanation and elaboration: updated guidance and exemplars for reporting systematic reviews. BMJ 2021;</w:t>
      </w:r>
      <w:r w:rsidRPr="3A5FC3B6" w:rsidR="3A5FC3B6">
        <w:rPr>
          <w:rFonts w:cs="Calibri" w:cstheme="minorAscii"/>
          <w:color w:val="auto"/>
        </w:rPr>
        <w:t>372:n</w:t>
      </w:r>
      <w:r w:rsidRPr="3A5FC3B6" w:rsidR="3A5FC3B6">
        <w:rPr>
          <w:rFonts w:cs="Calibri" w:cstheme="minorAscii"/>
          <w:color w:val="auto"/>
        </w:rPr>
        <w:t xml:space="preserve">160. </w:t>
      </w:r>
    </w:p>
    <w:p w:rsidRPr="00102FB5" w:rsidR="00A524CF" w:rsidP="3A5FC3B6" w:rsidRDefault="00A524CF" w14:paraId="0BC6A965" w14:textId="77777777" w14:noSpellErr="1">
      <w:pPr>
        <w:pStyle w:val="NoSpacing"/>
        <w:rPr>
          <w:rFonts w:cs="Calibri" w:cstheme="minorAscii"/>
          <w:color w:val="auto"/>
        </w:rPr>
      </w:pPr>
    </w:p>
    <w:p w:rsidRPr="00102FB5" w:rsidR="00A524CF" w:rsidP="3A5FC3B6" w:rsidRDefault="00A524CF" w14:paraId="0BC6A966" w14:textId="77777777" w14:noSpellErr="1">
      <w:pPr>
        <w:pStyle w:val="NoSpacing"/>
        <w:rPr>
          <w:rFonts w:cs="Calibri" w:cstheme="minorAscii"/>
          <w:color w:val="auto"/>
        </w:rPr>
      </w:pPr>
    </w:p>
    <w:p w:rsidRPr="00102FB5" w:rsidR="00A524CF" w:rsidP="3A5FC3B6" w:rsidRDefault="00A524CF" w14:paraId="0BC6A967" w14:textId="77777777">
      <w:pPr>
        <w:pStyle w:val="NoSpacing"/>
        <w:numPr>
          <w:ilvl w:val="0"/>
          <w:numId w:val="1"/>
        </w:numPr>
        <w:rPr>
          <w:rFonts w:cs="Calibri" w:cstheme="minorAscii"/>
          <w:color w:val="auto"/>
        </w:rPr>
      </w:pPr>
      <w:r w:rsidRPr="3A5FC3B6" w:rsidR="3A5FC3B6">
        <w:rPr>
          <w:rFonts w:cs="Calibri" w:cstheme="minorAscii"/>
          <w:color w:val="auto"/>
        </w:rPr>
        <w:t>Dindo</w:t>
      </w:r>
      <w:r w:rsidRPr="3A5FC3B6" w:rsidR="3A5FC3B6">
        <w:rPr>
          <w:rFonts w:cs="Calibri" w:cstheme="minorAscii"/>
          <w:color w:val="auto"/>
        </w:rPr>
        <w:t xml:space="preserve"> D, </w:t>
      </w:r>
      <w:r w:rsidRPr="3A5FC3B6" w:rsidR="3A5FC3B6">
        <w:rPr>
          <w:rFonts w:cs="Calibri" w:cstheme="minorAscii"/>
          <w:color w:val="auto"/>
        </w:rPr>
        <w:t>Demartines</w:t>
      </w:r>
      <w:r w:rsidRPr="3A5FC3B6" w:rsidR="3A5FC3B6">
        <w:rPr>
          <w:rFonts w:cs="Calibri" w:cstheme="minorAscii"/>
          <w:color w:val="auto"/>
        </w:rPr>
        <w:t xml:space="preserve"> N, </w:t>
      </w:r>
      <w:r w:rsidRPr="3A5FC3B6" w:rsidR="3A5FC3B6">
        <w:rPr>
          <w:rFonts w:cs="Calibri" w:cstheme="minorAscii"/>
          <w:color w:val="auto"/>
        </w:rPr>
        <w:t>Clavien</w:t>
      </w:r>
      <w:r w:rsidRPr="3A5FC3B6" w:rsidR="3A5FC3B6">
        <w:rPr>
          <w:rFonts w:cs="Calibri" w:cstheme="minorAscii"/>
          <w:color w:val="auto"/>
        </w:rPr>
        <w:t xml:space="preserve"> PA. Classification of surgical complications: a new proposal with evaluation in a cohort of 6336 patients and results of a survey. Ann </w:t>
      </w:r>
      <w:r w:rsidRPr="3A5FC3B6" w:rsidR="3A5FC3B6">
        <w:rPr>
          <w:rFonts w:cs="Calibri" w:cstheme="minorAscii"/>
          <w:color w:val="auto"/>
        </w:rPr>
        <w:t>Surg</w:t>
      </w:r>
      <w:r w:rsidRPr="3A5FC3B6" w:rsidR="3A5FC3B6">
        <w:rPr>
          <w:rFonts w:cs="Calibri" w:cstheme="minorAscii"/>
          <w:color w:val="auto"/>
        </w:rPr>
        <w:t xml:space="preserve"> 2004; 240(2):205-213.</w:t>
      </w:r>
    </w:p>
    <w:p w:rsidRPr="00102FB5" w:rsidR="00A524CF" w:rsidP="3A5FC3B6" w:rsidRDefault="00A524CF" w14:paraId="0BC6A968" w14:textId="77777777" w14:noSpellErr="1">
      <w:pPr>
        <w:pStyle w:val="NoSpacing"/>
        <w:rPr>
          <w:rFonts w:cs="Calibri" w:cstheme="minorAscii"/>
          <w:color w:val="auto"/>
        </w:rPr>
      </w:pPr>
    </w:p>
    <w:p w:rsidR="00A524CF" w:rsidP="3A5FC3B6" w:rsidRDefault="00A524CF" w14:paraId="0BC6A969" w14:textId="77777777">
      <w:pPr>
        <w:pStyle w:val="NoSpacing"/>
        <w:numPr>
          <w:ilvl w:val="0"/>
          <w:numId w:val="1"/>
        </w:numPr>
        <w:rPr>
          <w:rFonts w:cs="Calibri" w:cstheme="minorAscii"/>
          <w:color w:val="auto"/>
        </w:rPr>
      </w:pPr>
      <w:r w:rsidRPr="3A5FC3B6" w:rsidR="3A5FC3B6">
        <w:rPr>
          <w:rFonts w:cs="Calibri" w:cstheme="minorAscii"/>
          <w:color w:val="auto"/>
        </w:rPr>
        <w:t>Clark E, Burkett K, Stanko-</w:t>
      </w:r>
      <w:r w:rsidRPr="3A5FC3B6" w:rsidR="3A5FC3B6">
        <w:rPr>
          <w:rFonts w:cs="Calibri" w:cstheme="minorAscii"/>
          <w:color w:val="auto"/>
        </w:rPr>
        <w:t>Lopp</w:t>
      </w:r>
      <w:r w:rsidRPr="3A5FC3B6" w:rsidR="3A5FC3B6">
        <w:rPr>
          <w:rFonts w:cs="Calibri" w:cstheme="minorAscii"/>
          <w:color w:val="auto"/>
        </w:rPr>
        <w:t xml:space="preserve"> D. Let Evidence Guide Every New Decision (LEGEND): an evidence evaluation system for point-of-care clinicians and guideline development teams. J Eval Clin </w:t>
      </w:r>
      <w:r w:rsidRPr="3A5FC3B6" w:rsidR="3A5FC3B6">
        <w:rPr>
          <w:rFonts w:cs="Calibri" w:cstheme="minorAscii"/>
          <w:color w:val="auto"/>
        </w:rPr>
        <w:t>Pract</w:t>
      </w:r>
      <w:r w:rsidRPr="3A5FC3B6" w:rsidR="3A5FC3B6">
        <w:rPr>
          <w:rFonts w:cs="Calibri" w:cstheme="minorAscii"/>
          <w:color w:val="auto"/>
        </w:rPr>
        <w:t xml:space="preserve"> </w:t>
      </w:r>
      <w:r w:rsidRPr="3A5FC3B6" w:rsidR="3A5FC3B6">
        <w:rPr>
          <w:rFonts w:cs="Calibri" w:cstheme="minorAscii"/>
          <w:color w:val="auto"/>
        </w:rPr>
        <w:t>2009;15:1054</w:t>
      </w:r>
      <w:r w:rsidRPr="3A5FC3B6" w:rsidR="3A5FC3B6">
        <w:rPr>
          <w:rFonts w:cs="Calibri" w:cstheme="minorAscii"/>
          <w:color w:val="auto"/>
        </w:rPr>
        <w:t>-60.</w:t>
      </w:r>
    </w:p>
    <w:p w:rsidR="003F7931" w:rsidP="3A5FC3B6" w:rsidRDefault="003F7931" w14:paraId="20A4A3A3" w14:textId="77777777" w14:noSpellErr="1">
      <w:pPr>
        <w:pStyle w:val="ListParagraph"/>
        <w:rPr>
          <w:rFonts w:cs="Calibri" w:cstheme="minorAscii"/>
          <w:color w:val="auto"/>
        </w:rPr>
      </w:pPr>
    </w:p>
    <w:p w:rsidRPr="004550DB" w:rsidR="003F7931" w:rsidP="3A5FC3B6" w:rsidRDefault="00226C58" w14:paraId="1B016C4E" w14:textId="23BAB249" w14:noSpellErr="1">
      <w:pPr>
        <w:pStyle w:val="NoSpacing"/>
        <w:numPr>
          <w:ilvl w:val="0"/>
          <w:numId w:val="1"/>
        </w:numPr>
        <w:rPr>
          <w:rFonts w:cs="Calibri" w:cstheme="minorAscii"/>
          <w:color w:val="auto"/>
        </w:rPr>
      </w:pPr>
      <w:r w:rsidRPr="3A5FC3B6" w:rsidR="3A5FC3B6">
        <w:rPr>
          <w:rFonts w:cs="Calibri" w:cstheme="minorAscii"/>
          <w:color w:val="auto"/>
        </w:rPr>
        <w:t>Wells GA, Shea B, O'Connell D, et al. The Newcastle-Ottawa Scale (NOS) for assessing the quality of nonrandomised studies in meta-analyses. Ottawa: Ottawa Hospital Research Institute; 20</w:t>
      </w:r>
      <w:r w:rsidRPr="3A5FC3B6" w:rsidR="3A5FC3B6">
        <w:rPr>
          <w:rFonts w:cs="Calibri" w:cstheme="minorAscii"/>
          <w:color w:val="auto"/>
        </w:rPr>
        <w:t>21</w:t>
      </w:r>
      <w:r w:rsidRPr="3A5FC3B6" w:rsidR="3A5FC3B6">
        <w:rPr>
          <w:rFonts w:cs="Calibri" w:cstheme="minorAscii"/>
          <w:color w:val="auto"/>
        </w:rPr>
        <w:t xml:space="preserve">. </w:t>
      </w:r>
      <w:hyperlink r:id="Rb80904c700c148d0">
        <w:r w:rsidRPr="3A5FC3B6" w:rsidR="3A5FC3B6">
          <w:rPr>
            <w:rStyle w:val="Hyperlink"/>
            <w:rFonts w:cs="Calibri" w:cstheme="minorAscii"/>
            <w:color w:val="auto"/>
          </w:rPr>
          <w:t>http://www.ohri.ca/programs/clinical_epidemiology/oxford.asp</w:t>
        </w:r>
      </w:hyperlink>
      <w:r w:rsidRPr="3A5FC3B6" w:rsidR="3A5FC3B6">
        <w:rPr>
          <w:rFonts w:cs="Calibri" w:cstheme="minorAscii"/>
          <w:color w:val="auto"/>
        </w:rPr>
        <w:t xml:space="preserve"> .</w:t>
      </w:r>
      <w:r w:rsidRPr="3A5FC3B6" w:rsidR="3A5FC3B6">
        <w:rPr>
          <w:rFonts w:cs="Calibri" w:cstheme="minorAscii"/>
          <w:color w:val="auto"/>
        </w:rPr>
        <w:t xml:space="preserve"> Accessed </w:t>
      </w:r>
      <w:r w:rsidRPr="3A5FC3B6" w:rsidR="3A5FC3B6">
        <w:rPr>
          <w:rFonts w:cs="Calibri" w:cstheme="minorAscii"/>
          <w:color w:val="auto"/>
        </w:rPr>
        <w:t>10th</w:t>
      </w:r>
      <w:r w:rsidRPr="3A5FC3B6" w:rsidR="3A5FC3B6">
        <w:rPr>
          <w:rFonts w:cs="Calibri" w:cstheme="minorAscii"/>
          <w:color w:val="auto"/>
        </w:rPr>
        <w:t xml:space="preserve"> </w:t>
      </w:r>
      <w:r w:rsidRPr="3A5FC3B6" w:rsidR="3A5FC3B6">
        <w:rPr>
          <w:rFonts w:cs="Calibri" w:cstheme="minorAscii"/>
          <w:color w:val="auto"/>
        </w:rPr>
        <w:t>March</w:t>
      </w:r>
      <w:r w:rsidRPr="3A5FC3B6" w:rsidR="3A5FC3B6">
        <w:rPr>
          <w:rFonts w:cs="Calibri" w:cstheme="minorAscii"/>
          <w:color w:val="auto"/>
        </w:rPr>
        <w:t xml:space="preserve"> 20</w:t>
      </w:r>
      <w:r w:rsidRPr="3A5FC3B6" w:rsidR="3A5FC3B6">
        <w:rPr>
          <w:rFonts w:cs="Calibri" w:cstheme="minorAscii"/>
          <w:color w:val="auto"/>
        </w:rPr>
        <w:t>21.</w:t>
      </w:r>
    </w:p>
    <w:p w:rsidRPr="004550DB" w:rsidR="00E23711" w:rsidP="3A5FC3B6" w:rsidRDefault="00E23711" w14:paraId="0EA5B0AA" w14:textId="77777777" w14:noSpellErr="1">
      <w:pPr>
        <w:pStyle w:val="ListParagraph"/>
        <w:rPr>
          <w:rFonts w:cs="Calibri" w:cstheme="minorAscii"/>
          <w:color w:val="auto"/>
        </w:rPr>
      </w:pPr>
    </w:p>
    <w:p w:rsidRPr="004550DB" w:rsidR="00E23711" w:rsidP="3A5FC3B6" w:rsidRDefault="006B6E19" w14:paraId="02804A0E" w14:textId="561F980F">
      <w:pPr>
        <w:pStyle w:val="NoSpacing"/>
        <w:numPr>
          <w:ilvl w:val="0"/>
          <w:numId w:val="1"/>
        </w:numPr>
        <w:rPr>
          <w:rFonts w:cs="Calibri" w:cstheme="minorAscii"/>
          <w:color w:val="auto"/>
        </w:rPr>
      </w:pPr>
      <w:r w:rsidRPr="3A5FC3B6" w:rsidR="3A5FC3B6">
        <w:rPr>
          <w:rFonts w:cs="Calibri" w:cstheme="minorAscii"/>
          <w:color w:val="auto"/>
        </w:rPr>
        <w:t xml:space="preserve">Sterne JAC, </w:t>
      </w:r>
      <w:r w:rsidRPr="3A5FC3B6" w:rsidR="3A5FC3B6">
        <w:rPr>
          <w:rFonts w:cs="Calibri" w:cstheme="minorAscii"/>
          <w:color w:val="auto"/>
        </w:rPr>
        <w:t>Savović</w:t>
      </w:r>
      <w:r w:rsidRPr="3A5FC3B6" w:rsidR="3A5FC3B6">
        <w:rPr>
          <w:rFonts w:cs="Calibri" w:cstheme="minorAscii"/>
          <w:color w:val="auto"/>
        </w:rPr>
        <w:t xml:space="preserve"> J, Page MJ, </w:t>
      </w:r>
      <w:r w:rsidRPr="3A5FC3B6" w:rsidR="3A5FC3B6">
        <w:rPr>
          <w:rFonts w:cs="Calibri" w:cstheme="minorAscii"/>
          <w:color w:val="auto"/>
        </w:rPr>
        <w:t>et.al</w:t>
      </w:r>
      <w:r w:rsidRPr="3A5FC3B6" w:rsidR="3A5FC3B6">
        <w:rPr>
          <w:rFonts w:cs="Calibri" w:cstheme="minorAscii"/>
          <w:color w:val="auto"/>
        </w:rPr>
        <w:t xml:space="preserve">. </w:t>
      </w:r>
      <w:r w:rsidRPr="3A5FC3B6" w:rsidR="3A5FC3B6">
        <w:rPr>
          <w:rFonts w:cs="Calibri" w:cstheme="minorAscii"/>
          <w:color w:val="auto"/>
        </w:rPr>
        <w:t>RoB</w:t>
      </w:r>
      <w:r w:rsidRPr="3A5FC3B6" w:rsidR="3A5FC3B6">
        <w:rPr>
          <w:rFonts w:cs="Calibri" w:cstheme="minorAscii"/>
          <w:color w:val="auto"/>
        </w:rPr>
        <w:t xml:space="preserve"> 2: a revised tool for assessing risk of bias in randomised trials. BMJ 2019; 366: l4898</w:t>
      </w:r>
    </w:p>
    <w:p w:rsidRPr="00102FB5" w:rsidR="00A524CF" w:rsidP="3A5FC3B6" w:rsidRDefault="00A524CF" w14:paraId="0BC6A96A" w14:textId="77777777" w14:noSpellErr="1">
      <w:pPr>
        <w:pStyle w:val="NoSpacing"/>
        <w:rPr>
          <w:rFonts w:cs="Calibri" w:cstheme="minorAscii"/>
          <w:color w:val="auto"/>
        </w:rPr>
      </w:pPr>
    </w:p>
    <w:p w:rsidRPr="00102FB5" w:rsidR="00A524CF" w:rsidP="3A5FC3B6" w:rsidRDefault="00A524CF" w14:paraId="0BC6A96B" w14:textId="77777777">
      <w:pPr>
        <w:pStyle w:val="NoSpacing"/>
        <w:numPr>
          <w:ilvl w:val="0"/>
          <w:numId w:val="1"/>
        </w:numPr>
        <w:rPr>
          <w:rFonts w:cs="Calibri" w:cstheme="minorAscii"/>
          <w:color w:val="auto"/>
        </w:rPr>
      </w:pPr>
      <w:r w:rsidRPr="3A5FC3B6" w:rsidR="3A5FC3B6">
        <w:rPr>
          <w:rFonts w:cs="Calibri" w:cstheme="minorAscii"/>
          <w:color w:val="auto"/>
        </w:rPr>
        <w:t>Review Manager (</w:t>
      </w:r>
      <w:r w:rsidRPr="3A5FC3B6" w:rsidR="3A5FC3B6">
        <w:rPr>
          <w:rFonts w:cs="Calibri" w:cstheme="minorAscii"/>
          <w:color w:val="auto"/>
        </w:rPr>
        <w:t>RevMan</w:t>
      </w:r>
      <w:r w:rsidRPr="3A5FC3B6" w:rsidR="3A5FC3B6">
        <w:rPr>
          <w:rFonts w:cs="Calibri" w:cstheme="minorAscii"/>
          <w:color w:val="auto"/>
        </w:rPr>
        <w:t>) [Computer program]. Version 5.4, The Cochrane Collaboration, 2020.</w:t>
      </w:r>
    </w:p>
    <w:p w:rsidRPr="00102FB5" w:rsidR="00A524CF" w:rsidP="3A5FC3B6" w:rsidRDefault="00A524CF" w14:paraId="0BC6A96C" w14:textId="77777777" w14:noSpellErr="1">
      <w:pPr>
        <w:pStyle w:val="NoSpacing"/>
        <w:rPr>
          <w:rFonts w:cs="Calibri" w:cstheme="minorAscii"/>
          <w:color w:val="auto"/>
        </w:rPr>
      </w:pPr>
    </w:p>
    <w:p w:rsidRPr="00102FB5" w:rsidR="00A524CF" w:rsidP="3A5FC3B6" w:rsidRDefault="00A524CF" w14:paraId="0BC6A96D" w14:textId="77777777">
      <w:pPr>
        <w:pStyle w:val="NoSpacing"/>
        <w:numPr>
          <w:ilvl w:val="0"/>
          <w:numId w:val="1"/>
        </w:numPr>
        <w:rPr>
          <w:rFonts w:cs="Calibri" w:cstheme="minorAscii"/>
          <w:color w:val="auto"/>
        </w:rPr>
      </w:pPr>
      <w:r w:rsidRPr="3A5FC3B6" w:rsidR="3A5FC3B6">
        <w:rPr>
          <w:rFonts w:cs="Calibri" w:cstheme="minorAscii"/>
          <w:color w:val="auto"/>
        </w:rPr>
        <w:t xml:space="preserve">Higgins JPT, Li T, </w:t>
      </w:r>
      <w:r w:rsidRPr="3A5FC3B6" w:rsidR="3A5FC3B6">
        <w:rPr>
          <w:rFonts w:cs="Calibri" w:cstheme="minorAscii"/>
          <w:color w:val="auto"/>
        </w:rPr>
        <w:t>Deeks</w:t>
      </w:r>
      <w:r w:rsidRPr="3A5FC3B6" w:rsidR="3A5FC3B6">
        <w:rPr>
          <w:rFonts w:cs="Calibri" w:cstheme="minorAscii"/>
          <w:color w:val="auto"/>
        </w:rPr>
        <w:t xml:space="preserve"> JJ (editors). Chapter 6: Choosing effect measures and computing estimates of effect. In: Higgins JPT, Thomas J, Chandler J, </w:t>
      </w:r>
      <w:r w:rsidRPr="3A5FC3B6" w:rsidR="3A5FC3B6">
        <w:rPr>
          <w:rFonts w:cs="Calibri" w:cstheme="minorAscii"/>
          <w:color w:val="auto"/>
        </w:rPr>
        <w:t>Cumpston</w:t>
      </w:r>
      <w:r w:rsidRPr="3A5FC3B6" w:rsidR="3A5FC3B6">
        <w:rPr>
          <w:rFonts w:cs="Calibri" w:cstheme="minorAscii"/>
          <w:color w:val="auto"/>
        </w:rPr>
        <w:t xml:space="preserve"> M, Li T, Page MJ, Welch VA (editors). Cochrane Handbook for Systematic Reviews of Interventions version 6.2 (updated February 2021). Cochrane, 2021. Available from </w:t>
      </w:r>
      <w:hyperlink r:id="R96e14759787349f9">
        <w:r w:rsidRPr="3A5FC3B6" w:rsidR="3A5FC3B6">
          <w:rPr>
            <w:rStyle w:val="Hyperlink"/>
            <w:rFonts w:cs="Calibri" w:cstheme="minorAscii"/>
            <w:color w:val="auto"/>
          </w:rPr>
          <w:t>www.training.cochrane.org/handbook</w:t>
        </w:r>
      </w:hyperlink>
    </w:p>
    <w:p w:rsidRPr="00102FB5" w:rsidR="00A524CF" w:rsidP="3A5FC3B6" w:rsidRDefault="00A524CF" w14:paraId="0BC6A96E" w14:textId="77777777" w14:noSpellErr="1">
      <w:pPr>
        <w:pStyle w:val="NoSpacing"/>
        <w:rPr>
          <w:rFonts w:cs="Calibri" w:cstheme="minorAscii"/>
          <w:color w:val="auto"/>
        </w:rPr>
      </w:pPr>
    </w:p>
    <w:p w:rsidRPr="00102FB5" w:rsidR="00A524CF" w:rsidP="3A5FC3B6" w:rsidRDefault="00A524CF" w14:paraId="0BC6A96F" w14:textId="77777777" w14:noSpellErr="1">
      <w:pPr>
        <w:pStyle w:val="NoSpacing"/>
        <w:rPr>
          <w:rFonts w:cs="Calibri" w:cstheme="minorAscii"/>
          <w:color w:val="auto"/>
        </w:rPr>
      </w:pPr>
    </w:p>
    <w:p w:rsidRPr="00102FB5" w:rsidR="00A524CF" w:rsidP="3A5FC3B6" w:rsidRDefault="00A524CF" w14:paraId="0BC6A970" w14:textId="6B72B4DB">
      <w:pPr>
        <w:pStyle w:val="ListParagraph"/>
        <w:numPr>
          <w:ilvl w:val="0"/>
          <w:numId w:val="1"/>
        </w:numPr>
        <w:rPr>
          <w:rFonts w:cs="Calibri" w:cstheme="minorAscii"/>
          <w:color w:val="auto"/>
        </w:rPr>
      </w:pPr>
      <w:r w:rsidRPr="3A5FC3B6" w:rsidR="3A5FC3B6">
        <w:rPr>
          <w:rFonts w:cs="Calibri" w:cstheme="minorAscii"/>
          <w:color w:val="auto"/>
          <w:lang w:val="en-US"/>
        </w:rPr>
        <w:t>Pasin</w:t>
      </w:r>
      <w:r w:rsidRPr="3A5FC3B6" w:rsidR="3A5FC3B6">
        <w:rPr>
          <w:rFonts w:cs="Calibri" w:cstheme="minorAscii"/>
          <w:color w:val="auto"/>
          <w:lang w:val="en-US"/>
        </w:rPr>
        <w:t xml:space="preserve"> L, Nardelli P, </w:t>
      </w:r>
      <w:r w:rsidRPr="3A5FC3B6" w:rsidR="3A5FC3B6">
        <w:rPr>
          <w:rFonts w:cs="Calibri" w:cstheme="minorAscii"/>
          <w:color w:val="auto"/>
          <w:lang w:val="en-US"/>
        </w:rPr>
        <w:t>Landoni</w:t>
      </w:r>
      <w:r w:rsidRPr="3A5FC3B6" w:rsidR="3A5FC3B6">
        <w:rPr>
          <w:rFonts w:cs="Calibri" w:cstheme="minorAscii"/>
          <w:color w:val="auto"/>
          <w:lang w:val="en-US"/>
        </w:rPr>
        <w:t xml:space="preserve"> G, et al. Enhanced recovery after surgery program in elective infrarenal abdominal aortic aneurysm repair. J Cardiovasc Surg (Torino) 2016 Apr 8</w:t>
      </w:r>
    </w:p>
    <w:p w:rsidRPr="00102FB5" w:rsidR="00A524CF" w:rsidP="3A5FC3B6" w:rsidRDefault="00A524CF" w14:paraId="0BC6A971" w14:textId="77777777" w14:noSpellErr="1">
      <w:pPr>
        <w:pStyle w:val="ListParagraph"/>
        <w:ind w:left="502"/>
        <w:rPr>
          <w:rFonts w:cs="Calibri" w:cstheme="minorAscii"/>
          <w:color w:val="auto"/>
        </w:rPr>
      </w:pPr>
    </w:p>
    <w:p w:rsidRPr="00102FB5" w:rsidR="00A524CF" w:rsidP="3A5FC3B6" w:rsidRDefault="00A524CF" w14:paraId="0BC6A972" w14:textId="727DDA1D">
      <w:pPr>
        <w:pStyle w:val="ListParagraph"/>
        <w:numPr>
          <w:ilvl w:val="0"/>
          <w:numId w:val="1"/>
        </w:numPr>
        <w:rPr>
          <w:rFonts w:cs="Calibri" w:cstheme="minorAscii"/>
          <w:color w:val="auto"/>
        </w:rPr>
      </w:pPr>
      <w:r w:rsidRPr="3A5FC3B6" w:rsidR="3A5FC3B6">
        <w:rPr>
          <w:rFonts w:cs="Calibri" w:cstheme="minorAscii"/>
          <w:color w:val="auto"/>
        </w:rPr>
        <w:t>Feo</w:t>
      </w:r>
      <w:r w:rsidRPr="3A5FC3B6" w:rsidR="3A5FC3B6">
        <w:rPr>
          <w:rFonts w:cs="Calibri" w:cstheme="minorAscii"/>
          <w:color w:val="auto"/>
        </w:rPr>
        <w:t xml:space="preserve"> CV, Portinari M, </w:t>
      </w:r>
      <w:r w:rsidRPr="3A5FC3B6" w:rsidR="3A5FC3B6">
        <w:rPr>
          <w:rFonts w:cs="Calibri" w:cstheme="minorAscii"/>
          <w:color w:val="auto"/>
        </w:rPr>
        <w:t>Tsolaki</w:t>
      </w:r>
      <w:r w:rsidRPr="3A5FC3B6" w:rsidR="3A5FC3B6">
        <w:rPr>
          <w:rFonts w:cs="Calibri" w:cstheme="minorAscii"/>
          <w:color w:val="auto"/>
        </w:rPr>
        <w:t xml:space="preserve"> E, </w:t>
      </w:r>
      <w:r w:rsidRPr="3A5FC3B6" w:rsidR="3A5FC3B6">
        <w:rPr>
          <w:rFonts w:cs="Calibri" w:cstheme="minorAscii"/>
          <w:color w:val="auto"/>
        </w:rPr>
        <w:t>et al</w:t>
      </w:r>
      <w:r w:rsidRPr="3A5FC3B6" w:rsidR="3A5FC3B6">
        <w:rPr>
          <w:rFonts w:cs="Calibri" w:cstheme="minorAscii"/>
          <w:color w:val="auto"/>
        </w:rPr>
        <w:t xml:space="preserve">. The effect of an Enhanced Recovery Program in elective retroperitoneal abdominal aortic aneurysm repair. J </w:t>
      </w:r>
      <w:r w:rsidRPr="3A5FC3B6" w:rsidR="3A5FC3B6">
        <w:rPr>
          <w:rFonts w:cs="Calibri" w:cstheme="minorAscii"/>
          <w:color w:val="auto"/>
        </w:rPr>
        <w:t>Vasc</w:t>
      </w:r>
      <w:r w:rsidRPr="3A5FC3B6" w:rsidR="3A5FC3B6">
        <w:rPr>
          <w:rFonts w:cs="Calibri" w:cstheme="minorAscii"/>
          <w:color w:val="auto"/>
        </w:rPr>
        <w:t xml:space="preserve"> Surg. 2016 Apr;63(4):888-94. </w:t>
      </w:r>
      <w:r w:rsidRPr="3A5FC3B6" w:rsidR="3A5FC3B6">
        <w:rPr>
          <w:rFonts w:cs="Calibri" w:cstheme="minorAscii"/>
          <w:color w:val="auto"/>
        </w:rPr>
        <w:t>doi</w:t>
      </w:r>
      <w:r w:rsidRPr="3A5FC3B6" w:rsidR="3A5FC3B6">
        <w:rPr>
          <w:rFonts w:cs="Calibri" w:cstheme="minorAscii"/>
          <w:color w:val="auto"/>
        </w:rPr>
        <w:t xml:space="preserve">: 10.1016/j.jvs.2015.09.060. </w:t>
      </w:r>
    </w:p>
    <w:p w:rsidRPr="00102FB5" w:rsidR="00A524CF" w:rsidP="3A5FC3B6" w:rsidRDefault="00A524CF" w14:paraId="0BC6A973" w14:textId="77777777" w14:noSpellErr="1">
      <w:pPr>
        <w:pStyle w:val="ListParagraph"/>
        <w:ind w:left="643"/>
        <w:rPr>
          <w:rFonts w:cs="Calibri" w:cstheme="minorAscii"/>
          <w:color w:val="auto"/>
        </w:rPr>
      </w:pPr>
    </w:p>
    <w:p w:rsidRPr="00102FB5" w:rsidR="00A524CF" w:rsidP="3A5FC3B6" w:rsidRDefault="00A524CF" w14:paraId="0BC6A974" w14:textId="6125923B">
      <w:pPr>
        <w:pStyle w:val="ListParagraph"/>
        <w:numPr>
          <w:ilvl w:val="0"/>
          <w:numId w:val="1"/>
        </w:numPr>
        <w:rPr>
          <w:rFonts w:cs="Calibri" w:cstheme="minorAscii"/>
          <w:color w:val="auto"/>
        </w:rPr>
      </w:pPr>
      <w:r w:rsidRPr="3A5FC3B6" w:rsidR="3A5FC3B6">
        <w:rPr>
          <w:rFonts w:cs="Calibri" w:cstheme="minorAscii"/>
          <w:color w:val="auto"/>
        </w:rPr>
        <w:t>Tatsuishi</w:t>
      </w:r>
      <w:r w:rsidRPr="3A5FC3B6" w:rsidR="3A5FC3B6">
        <w:rPr>
          <w:rFonts w:cs="Calibri" w:cstheme="minorAscii"/>
          <w:color w:val="auto"/>
        </w:rPr>
        <w:t xml:space="preserve"> W, </w:t>
      </w:r>
      <w:r w:rsidRPr="3A5FC3B6" w:rsidR="3A5FC3B6">
        <w:rPr>
          <w:rFonts w:cs="Calibri" w:cstheme="minorAscii"/>
          <w:color w:val="auto"/>
        </w:rPr>
        <w:t>Kohri</w:t>
      </w:r>
      <w:r w:rsidRPr="3A5FC3B6" w:rsidR="3A5FC3B6">
        <w:rPr>
          <w:rFonts w:cs="Calibri" w:cstheme="minorAscii"/>
          <w:color w:val="auto"/>
        </w:rPr>
        <w:t xml:space="preserve"> T, Kodera K, </w:t>
      </w:r>
      <w:r w:rsidRPr="3A5FC3B6" w:rsidR="3A5FC3B6">
        <w:rPr>
          <w:rFonts w:cs="Calibri" w:cstheme="minorAscii"/>
          <w:color w:val="auto"/>
        </w:rPr>
        <w:t>et al</w:t>
      </w:r>
      <w:r w:rsidRPr="3A5FC3B6" w:rsidR="3A5FC3B6">
        <w:rPr>
          <w:rFonts w:cs="Calibri" w:cstheme="minorAscii"/>
          <w:color w:val="auto"/>
        </w:rPr>
        <w:t xml:space="preserve">. Usefulness of an enhanced recovery after surgery protocol for perioperative management following open repair of an abdominal aortic aneurysm. </w:t>
      </w:r>
      <w:r w:rsidRPr="3A5FC3B6" w:rsidR="3A5FC3B6">
        <w:rPr>
          <w:rFonts w:cs="Calibri" w:cstheme="minorAscii"/>
          <w:color w:val="auto"/>
        </w:rPr>
        <w:t>Surg</w:t>
      </w:r>
      <w:r w:rsidRPr="3A5FC3B6" w:rsidR="3A5FC3B6">
        <w:rPr>
          <w:rFonts w:cs="Calibri" w:cstheme="minorAscii"/>
          <w:color w:val="auto"/>
        </w:rPr>
        <w:t xml:space="preserve"> Today. 2012 Dec;42(12):1195-200. </w:t>
      </w:r>
      <w:r w:rsidRPr="3A5FC3B6" w:rsidR="3A5FC3B6">
        <w:rPr>
          <w:rFonts w:cs="Calibri" w:cstheme="minorAscii"/>
          <w:color w:val="auto"/>
        </w:rPr>
        <w:t>doi</w:t>
      </w:r>
      <w:r w:rsidRPr="3A5FC3B6" w:rsidR="3A5FC3B6">
        <w:rPr>
          <w:rFonts w:cs="Calibri" w:cstheme="minorAscii"/>
          <w:color w:val="auto"/>
        </w:rPr>
        <w:t xml:space="preserve">: 10.1007/s00595-012-0252-3. </w:t>
      </w:r>
    </w:p>
    <w:p w:rsidRPr="00102FB5" w:rsidR="00A524CF" w:rsidP="3A5FC3B6" w:rsidRDefault="00A524CF" w14:paraId="0BC6A975" w14:textId="77777777" w14:noSpellErr="1">
      <w:pPr>
        <w:pStyle w:val="ListParagraph"/>
        <w:rPr>
          <w:rFonts w:cs="Calibri" w:cstheme="minorAscii"/>
          <w:color w:val="auto"/>
        </w:rPr>
      </w:pPr>
    </w:p>
    <w:p w:rsidRPr="00102FB5" w:rsidR="00A524CF" w:rsidP="3A5FC3B6" w:rsidRDefault="00A524CF" w14:paraId="0BC6A976" w14:textId="7967B979">
      <w:pPr>
        <w:pStyle w:val="ListParagraph"/>
        <w:numPr>
          <w:ilvl w:val="0"/>
          <w:numId w:val="1"/>
        </w:numPr>
        <w:rPr>
          <w:rFonts w:cs="Calibri" w:cstheme="minorAscii"/>
          <w:color w:val="auto"/>
        </w:rPr>
      </w:pPr>
      <w:r w:rsidRPr="3A5FC3B6" w:rsidR="3A5FC3B6">
        <w:rPr>
          <w:rFonts w:cs="Calibri" w:cstheme="minorAscii"/>
          <w:color w:val="auto"/>
        </w:rPr>
        <w:t>Muehling</w:t>
      </w:r>
      <w:r w:rsidRPr="3A5FC3B6" w:rsidR="3A5FC3B6">
        <w:rPr>
          <w:rFonts w:cs="Calibri" w:cstheme="minorAscii"/>
          <w:color w:val="auto"/>
        </w:rPr>
        <w:t xml:space="preserve"> B, </w:t>
      </w:r>
      <w:r w:rsidRPr="3A5FC3B6" w:rsidR="3A5FC3B6">
        <w:rPr>
          <w:rFonts w:cs="Calibri" w:cstheme="minorAscii"/>
          <w:color w:val="auto"/>
        </w:rPr>
        <w:t>Schelzig</w:t>
      </w:r>
      <w:r w:rsidRPr="3A5FC3B6" w:rsidR="3A5FC3B6">
        <w:rPr>
          <w:rFonts w:cs="Calibri" w:cstheme="minorAscii"/>
          <w:color w:val="auto"/>
        </w:rPr>
        <w:t xml:space="preserve"> H, Steffen P, </w:t>
      </w:r>
      <w:r w:rsidRPr="3A5FC3B6" w:rsidR="3A5FC3B6">
        <w:rPr>
          <w:rFonts w:cs="Calibri" w:cstheme="minorAscii"/>
          <w:color w:val="auto"/>
        </w:rPr>
        <w:t>Meierhenrich</w:t>
      </w:r>
      <w:r w:rsidRPr="3A5FC3B6" w:rsidR="3A5FC3B6">
        <w:rPr>
          <w:rFonts w:cs="Calibri" w:cstheme="minorAscii"/>
          <w:color w:val="auto"/>
        </w:rPr>
        <w:t xml:space="preserve"> R, Sunder-</w:t>
      </w:r>
      <w:r w:rsidRPr="3A5FC3B6" w:rsidR="3A5FC3B6">
        <w:rPr>
          <w:rFonts w:cs="Calibri" w:cstheme="minorAscii"/>
          <w:color w:val="auto"/>
        </w:rPr>
        <w:t>Plassmann</w:t>
      </w:r>
      <w:r w:rsidRPr="3A5FC3B6" w:rsidR="3A5FC3B6">
        <w:rPr>
          <w:rFonts w:cs="Calibri" w:cstheme="minorAscii"/>
          <w:color w:val="auto"/>
        </w:rPr>
        <w:t xml:space="preserve"> L, </w:t>
      </w:r>
      <w:r w:rsidRPr="3A5FC3B6" w:rsidR="3A5FC3B6">
        <w:rPr>
          <w:rFonts w:cs="Calibri" w:cstheme="minorAscii"/>
          <w:color w:val="auto"/>
        </w:rPr>
        <w:t>Orend</w:t>
      </w:r>
      <w:r w:rsidRPr="3A5FC3B6" w:rsidR="3A5FC3B6">
        <w:rPr>
          <w:rFonts w:cs="Calibri" w:cstheme="minorAscii"/>
          <w:color w:val="auto"/>
        </w:rPr>
        <w:t xml:space="preserve"> KH. A prospective randomized trial comparing traditional and fast-track patient care in elective open infrarenal aneurysm repair. World J Surg. 2009 Mar;33(3):577-85. </w:t>
      </w:r>
      <w:r w:rsidRPr="3A5FC3B6" w:rsidR="3A5FC3B6">
        <w:rPr>
          <w:rFonts w:cs="Calibri" w:cstheme="minorAscii"/>
          <w:color w:val="auto"/>
        </w:rPr>
        <w:t>doi</w:t>
      </w:r>
      <w:r w:rsidRPr="3A5FC3B6" w:rsidR="3A5FC3B6">
        <w:rPr>
          <w:rFonts w:cs="Calibri" w:cstheme="minorAscii"/>
          <w:color w:val="auto"/>
        </w:rPr>
        <w:t xml:space="preserve">: 10.1007/s00268-008-9892-2. </w:t>
      </w:r>
    </w:p>
    <w:p w:rsidRPr="00102FB5" w:rsidR="00A524CF" w:rsidP="3A5FC3B6" w:rsidRDefault="00A524CF" w14:paraId="0BC6A977" w14:textId="77777777" w14:noSpellErr="1">
      <w:pPr>
        <w:pStyle w:val="ListParagraph"/>
        <w:rPr>
          <w:rFonts w:cs="Calibri" w:cstheme="minorAscii"/>
          <w:color w:val="auto"/>
        </w:rPr>
      </w:pPr>
    </w:p>
    <w:p w:rsidRPr="00102FB5" w:rsidR="00A524CF" w:rsidP="3A5FC3B6" w:rsidRDefault="00A524CF" w14:paraId="0BC6A978" w14:textId="77777777">
      <w:pPr>
        <w:pStyle w:val="ListParagraph"/>
        <w:numPr>
          <w:ilvl w:val="0"/>
          <w:numId w:val="1"/>
        </w:numPr>
        <w:rPr>
          <w:rFonts w:cs="Calibri" w:cstheme="minorAscii"/>
          <w:color w:val="auto"/>
        </w:rPr>
      </w:pPr>
      <w:r w:rsidRPr="3A5FC3B6" w:rsidR="3A5FC3B6">
        <w:rPr>
          <w:rFonts w:cs="Calibri" w:cstheme="minorAscii"/>
          <w:color w:val="auto"/>
        </w:rPr>
        <w:t>Muehling</w:t>
      </w:r>
      <w:r w:rsidRPr="3A5FC3B6" w:rsidR="3A5FC3B6">
        <w:rPr>
          <w:rFonts w:cs="Calibri" w:cstheme="minorAscii"/>
          <w:color w:val="auto"/>
        </w:rPr>
        <w:t xml:space="preserve"> BM, </w:t>
      </w:r>
      <w:r w:rsidRPr="3A5FC3B6" w:rsidR="3A5FC3B6">
        <w:rPr>
          <w:rFonts w:cs="Calibri" w:cstheme="minorAscii"/>
          <w:color w:val="auto"/>
        </w:rPr>
        <w:t>Ortlieb</w:t>
      </w:r>
      <w:r w:rsidRPr="3A5FC3B6" w:rsidR="3A5FC3B6">
        <w:rPr>
          <w:rFonts w:cs="Calibri" w:cstheme="minorAscii"/>
          <w:color w:val="auto"/>
        </w:rPr>
        <w:t xml:space="preserve"> L, </w:t>
      </w:r>
      <w:r w:rsidRPr="3A5FC3B6" w:rsidR="3A5FC3B6">
        <w:rPr>
          <w:rFonts w:cs="Calibri" w:cstheme="minorAscii"/>
          <w:color w:val="auto"/>
        </w:rPr>
        <w:t>Oberhuber</w:t>
      </w:r>
      <w:r w:rsidRPr="3A5FC3B6" w:rsidR="3A5FC3B6">
        <w:rPr>
          <w:rFonts w:cs="Calibri" w:cstheme="minorAscii"/>
          <w:color w:val="auto"/>
        </w:rPr>
        <w:t xml:space="preserve"> A, </w:t>
      </w:r>
      <w:r w:rsidRPr="3A5FC3B6" w:rsidR="3A5FC3B6">
        <w:rPr>
          <w:rFonts w:cs="Calibri" w:cstheme="minorAscii"/>
          <w:color w:val="auto"/>
        </w:rPr>
        <w:t>Orend</w:t>
      </w:r>
      <w:r w:rsidRPr="3A5FC3B6" w:rsidR="3A5FC3B6">
        <w:rPr>
          <w:rFonts w:cs="Calibri" w:cstheme="minorAscii"/>
          <w:color w:val="auto"/>
        </w:rPr>
        <w:t xml:space="preserve"> KH. Fast track management reduces the systemic inflammatory response and organ failure following elective infrarenal aortic aneurysm repair. Interact Cardiovasc </w:t>
      </w:r>
      <w:r w:rsidRPr="3A5FC3B6" w:rsidR="3A5FC3B6">
        <w:rPr>
          <w:rFonts w:cs="Calibri" w:cstheme="minorAscii"/>
          <w:color w:val="auto"/>
        </w:rPr>
        <w:t>Thorac</w:t>
      </w:r>
      <w:r w:rsidRPr="3A5FC3B6" w:rsidR="3A5FC3B6">
        <w:rPr>
          <w:rFonts w:cs="Calibri" w:cstheme="minorAscii"/>
          <w:color w:val="auto"/>
        </w:rPr>
        <w:t xml:space="preserve"> </w:t>
      </w:r>
      <w:r w:rsidRPr="3A5FC3B6" w:rsidR="3A5FC3B6">
        <w:rPr>
          <w:rFonts w:cs="Calibri" w:cstheme="minorAscii"/>
          <w:color w:val="auto"/>
        </w:rPr>
        <w:t>Surg</w:t>
      </w:r>
      <w:r w:rsidRPr="3A5FC3B6" w:rsidR="3A5FC3B6">
        <w:rPr>
          <w:rFonts w:cs="Calibri" w:cstheme="minorAscii"/>
          <w:color w:val="auto"/>
        </w:rPr>
        <w:t xml:space="preserve"> </w:t>
      </w:r>
      <w:r w:rsidRPr="3A5FC3B6" w:rsidR="3A5FC3B6">
        <w:rPr>
          <w:rFonts w:cs="Calibri" w:cstheme="minorAscii"/>
          <w:color w:val="auto"/>
        </w:rPr>
        <w:t>2011;12:784</w:t>
      </w:r>
      <w:r w:rsidRPr="3A5FC3B6" w:rsidR="3A5FC3B6">
        <w:rPr>
          <w:rFonts w:cs="Calibri" w:cstheme="minorAscii"/>
          <w:color w:val="auto"/>
        </w:rPr>
        <w:t>-8.</w:t>
      </w:r>
    </w:p>
    <w:p w:rsidRPr="00102FB5" w:rsidR="00A524CF" w:rsidP="3A5FC3B6" w:rsidRDefault="00A524CF" w14:paraId="0BC6A979" w14:textId="77777777" w14:noSpellErr="1">
      <w:pPr>
        <w:pStyle w:val="ListParagraph"/>
        <w:ind w:left="502"/>
        <w:rPr>
          <w:rFonts w:cs="Calibri" w:cstheme="minorAscii"/>
          <w:color w:val="auto"/>
        </w:rPr>
      </w:pPr>
    </w:p>
    <w:p w:rsidRPr="00102FB5" w:rsidR="00A524CF" w:rsidP="3A5FC3B6" w:rsidRDefault="00A524CF" w14:paraId="0BC6A97A" w14:textId="1C88D508">
      <w:pPr>
        <w:pStyle w:val="ListParagraph"/>
        <w:numPr>
          <w:ilvl w:val="0"/>
          <w:numId w:val="1"/>
        </w:numPr>
        <w:rPr>
          <w:rFonts w:cs="Calibri" w:cstheme="minorAscii"/>
          <w:color w:val="auto"/>
        </w:rPr>
      </w:pPr>
      <w:r w:rsidRPr="3A5FC3B6" w:rsidR="3A5FC3B6">
        <w:rPr>
          <w:rFonts w:cs="Calibri" w:cstheme="minorAscii"/>
          <w:color w:val="auto"/>
        </w:rPr>
        <w:t xml:space="preserve">Hayashi K, </w:t>
      </w:r>
      <w:r w:rsidRPr="3A5FC3B6" w:rsidR="3A5FC3B6">
        <w:rPr>
          <w:rFonts w:cs="Calibri" w:cstheme="minorAscii"/>
          <w:color w:val="auto"/>
        </w:rPr>
        <w:t>Hirashiki</w:t>
      </w:r>
      <w:r w:rsidRPr="3A5FC3B6" w:rsidR="3A5FC3B6">
        <w:rPr>
          <w:rFonts w:cs="Calibri" w:cstheme="minorAscii"/>
          <w:color w:val="auto"/>
        </w:rPr>
        <w:t xml:space="preserve"> A, Kodama A, et al. </w:t>
      </w:r>
      <w:r w:rsidRPr="3A5FC3B6" w:rsidR="3A5FC3B6">
        <w:rPr>
          <w:rFonts w:cs="Calibri" w:cstheme="minorAscii"/>
          <w:color w:val="auto"/>
        </w:rPr>
        <w:t>Impact</w:t>
      </w:r>
      <w:r w:rsidRPr="3A5FC3B6" w:rsidR="3A5FC3B6">
        <w:rPr>
          <w:rFonts w:cs="Calibri" w:cstheme="minorAscii"/>
          <w:color w:val="auto"/>
        </w:rPr>
        <w:t xml:space="preserve"> of preoperative regular physical activity on postoperative course after open abdominal aortic aneurysm surgery. Heart Vessels </w:t>
      </w:r>
      <w:r w:rsidRPr="3A5FC3B6" w:rsidR="3A5FC3B6">
        <w:rPr>
          <w:rFonts w:cs="Calibri" w:cstheme="minorAscii"/>
          <w:color w:val="auto"/>
        </w:rPr>
        <w:t>2016;31:578</w:t>
      </w:r>
      <w:r w:rsidRPr="3A5FC3B6" w:rsidR="3A5FC3B6">
        <w:rPr>
          <w:rFonts w:cs="Calibri" w:cstheme="minorAscii"/>
          <w:color w:val="auto"/>
        </w:rPr>
        <w:t>-83.</w:t>
      </w:r>
    </w:p>
    <w:p w:rsidRPr="00102FB5" w:rsidR="00A524CF" w:rsidP="3A5FC3B6" w:rsidRDefault="00A524CF" w14:paraId="0BC6A97B" w14:textId="77777777" w14:noSpellErr="1">
      <w:pPr>
        <w:pStyle w:val="ListParagraph"/>
        <w:rPr>
          <w:rFonts w:cs="Calibri" w:cstheme="minorAscii"/>
          <w:color w:val="auto"/>
        </w:rPr>
      </w:pPr>
    </w:p>
    <w:p w:rsidRPr="00102FB5" w:rsidR="00A524CF" w:rsidP="3A5FC3B6" w:rsidRDefault="00A524CF" w14:paraId="0BC6A97C" w14:textId="77777777">
      <w:pPr>
        <w:pStyle w:val="ListParagraph"/>
        <w:numPr>
          <w:ilvl w:val="0"/>
          <w:numId w:val="1"/>
        </w:numPr>
        <w:rPr>
          <w:rFonts w:cs="Calibri" w:cstheme="minorAscii"/>
          <w:color w:val="auto"/>
        </w:rPr>
      </w:pPr>
      <w:r w:rsidRPr="3A5FC3B6" w:rsidR="3A5FC3B6">
        <w:rPr>
          <w:rFonts w:cs="Calibri" w:cstheme="minorAscii"/>
          <w:color w:val="auto"/>
        </w:rPr>
        <w:t xml:space="preserve">Murphy MA, Richards T, Atkinson C, Perkins J, Hands LJ. Fast </w:t>
      </w:r>
      <w:r w:rsidRPr="3A5FC3B6" w:rsidR="3A5FC3B6">
        <w:rPr>
          <w:rFonts w:cs="Calibri" w:cstheme="minorAscii"/>
          <w:color w:val="auto"/>
        </w:rPr>
        <w:t>track</w:t>
      </w:r>
      <w:r w:rsidRPr="3A5FC3B6" w:rsidR="3A5FC3B6">
        <w:rPr>
          <w:rFonts w:cs="Calibri" w:cstheme="minorAscii"/>
          <w:color w:val="auto"/>
        </w:rPr>
        <w:t xml:space="preserve"> open aortic surgery: reduced post operative stay with a goal directed pathway. </w:t>
      </w:r>
      <w:r w:rsidRPr="3A5FC3B6" w:rsidR="3A5FC3B6">
        <w:rPr>
          <w:rFonts w:cs="Calibri" w:cstheme="minorAscii"/>
          <w:color w:val="auto"/>
        </w:rPr>
        <w:t>Eur</w:t>
      </w:r>
      <w:r w:rsidRPr="3A5FC3B6" w:rsidR="3A5FC3B6">
        <w:rPr>
          <w:rFonts w:cs="Calibri" w:cstheme="minorAscii"/>
          <w:color w:val="auto"/>
        </w:rPr>
        <w:t xml:space="preserve"> J </w:t>
      </w:r>
      <w:r w:rsidRPr="3A5FC3B6" w:rsidR="3A5FC3B6">
        <w:rPr>
          <w:rFonts w:cs="Calibri" w:cstheme="minorAscii"/>
          <w:color w:val="auto"/>
        </w:rPr>
        <w:t>Vasc</w:t>
      </w:r>
      <w:r w:rsidRPr="3A5FC3B6" w:rsidR="3A5FC3B6">
        <w:rPr>
          <w:rFonts w:cs="Calibri" w:cstheme="minorAscii"/>
          <w:color w:val="auto"/>
        </w:rPr>
        <w:t xml:space="preserve"> </w:t>
      </w:r>
      <w:r w:rsidRPr="3A5FC3B6" w:rsidR="3A5FC3B6">
        <w:rPr>
          <w:rFonts w:cs="Calibri" w:cstheme="minorAscii"/>
          <w:color w:val="auto"/>
        </w:rPr>
        <w:t>Endovasc</w:t>
      </w:r>
      <w:r w:rsidRPr="3A5FC3B6" w:rsidR="3A5FC3B6">
        <w:rPr>
          <w:rFonts w:cs="Calibri" w:cstheme="minorAscii"/>
          <w:color w:val="auto"/>
        </w:rPr>
        <w:t xml:space="preserve"> </w:t>
      </w:r>
      <w:r w:rsidRPr="3A5FC3B6" w:rsidR="3A5FC3B6">
        <w:rPr>
          <w:rFonts w:cs="Calibri" w:cstheme="minorAscii"/>
          <w:color w:val="auto"/>
        </w:rPr>
        <w:t>Surg</w:t>
      </w:r>
      <w:r w:rsidRPr="3A5FC3B6" w:rsidR="3A5FC3B6">
        <w:rPr>
          <w:rFonts w:cs="Calibri" w:cstheme="minorAscii"/>
          <w:color w:val="auto"/>
        </w:rPr>
        <w:t xml:space="preserve"> 2007;34: 274-8.</w:t>
      </w:r>
    </w:p>
    <w:p w:rsidRPr="00102FB5" w:rsidR="00A524CF" w:rsidP="3A5FC3B6" w:rsidRDefault="00A524CF" w14:paraId="0BC6A97D" w14:textId="77777777" w14:noSpellErr="1">
      <w:pPr>
        <w:pStyle w:val="ListParagraph"/>
        <w:rPr>
          <w:rFonts w:cs="Calibri" w:cstheme="minorAscii"/>
          <w:color w:val="auto"/>
        </w:rPr>
      </w:pPr>
    </w:p>
    <w:p w:rsidRPr="00102FB5" w:rsidR="00A524CF" w:rsidP="3A5FC3B6" w:rsidRDefault="00A524CF" w14:paraId="0BC6A97E" w14:textId="70854E22">
      <w:pPr>
        <w:pStyle w:val="ListParagraph"/>
        <w:numPr>
          <w:ilvl w:val="0"/>
          <w:numId w:val="1"/>
        </w:numPr>
        <w:rPr>
          <w:rFonts w:cs="Calibri" w:cstheme="minorAscii"/>
          <w:color w:val="auto"/>
        </w:rPr>
      </w:pPr>
      <w:r w:rsidRPr="3A5FC3B6" w:rsidR="3A5FC3B6">
        <w:rPr>
          <w:rFonts w:cs="Calibri" w:cstheme="minorAscii"/>
          <w:color w:val="auto"/>
        </w:rPr>
        <w:t>Brustia</w:t>
      </w:r>
      <w:r w:rsidRPr="3A5FC3B6" w:rsidR="3A5FC3B6">
        <w:rPr>
          <w:rFonts w:cs="Calibri" w:cstheme="minorAscii"/>
          <w:color w:val="auto"/>
        </w:rPr>
        <w:t xml:space="preserve"> P, </w:t>
      </w:r>
      <w:r w:rsidRPr="3A5FC3B6" w:rsidR="3A5FC3B6">
        <w:rPr>
          <w:rFonts w:cs="Calibri" w:cstheme="minorAscii"/>
          <w:color w:val="auto"/>
        </w:rPr>
        <w:t>Renghi</w:t>
      </w:r>
      <w:r w:rsidRPr="3A5FC3B6" w:rsidR="3A5FC3B6">
        <w:rPr>
          <w:rFonts w:cs="Calibri" w:cstheme="minorAscii"/>
          <w:color w:val="auto"/>
        </w:rPr>
        <w:t xml:space="preserve"> A, </w:t>
      </w:r>
      <w:r w:rsidRPr="3A5FC3B6" w:rsidR="3A5FC3B6">
        <w:rPr>
          <w:rFonts w:cs="Calibri" w:cstheme="minorAscii"/>
          <w:color w:val="auto"/>
        </w:rPr>
        <w:t>Gramaglia</w:t>
      </w:r>
      <w:r w:rsidRPr="3A5FC3B6" w:rsidR="3A5FC3B6">
        <w:rPr>
          <w:rFonts w:cs="Calibri" w:cstheme="minorAscii"/>
          <w:color w:val="auto"/>
        </w:rPr>
        <w:t xml:space="preserve"> L, et al. </w:t>
      </w:r>
      <w:r w:rsidRPr="3A5FC3B6" w:rsidR="3A5FC3B6">
        <w:rPr>
          <w:rFonts w:cs="Calibri" w:cstheme="minorAscii"/>
          <w:color w:val="auto"/>
        </w:rPr>
        <w:t>Mininvasive</w:t>
      </w:r>
      <w:r w:rsidRPr="3A5FC3B6" w:rsidR="3A5FC3B6">
        <w:rPr>
          <w:rFonts w:cs="Calibri" w:cstheme="minorAscii"/>
          <w:color w:val="auto"/>
        </w:rPr>
        <w:t xml:space="preserve"> abdominal aortic surgery. Early recovery and reduced hospitalization after a multidisciplinary approach. J Cardiovasc </w:t>
      </w:r>
      <w:r w:rsidRPr="3A5FC3B6" w:rsidR="3A5FC3B6">
        <w:rPr>
          <w:rFonts w:cs="Calibri" w:cstheme="minorAscii"/>
          <w:color w:val="auto"/>
        </w:rPr>
        <w:t>Surg</w:t>
      </w:r>
      <w:r w:rsidRPr="3A5FC3B6" w:rsidR="3A5FC3B6">
        <w:rPr>
          <w:rFonts w:cs="Calibri" w:cstheme="minorAscii"/>
          <w:color w:val="auto"/>
        </w:rPr>
        <w:t xml:space="preserve"> (Torino) </w:t>
      </w:r>
      <w:r w:rsidRPr="3A5FC3B6" w:rsidR="3A5FC3B6">
        <w:rPr>
          <w:rFonts w:cs="Calibri" w:cstheme="minorAscii"/>
          <w:color w:val="auto"/>
        </w:rPr>
        <w:t>2003;44:629</w:t>
      </w:r>
      <w:r w:rsidRPr="3A5FC3B6" w:rsidR="3A5FC3B6">
        <w:rPr>
          <w:rFonts w:cs="Calibri" w:cstheme="minorAscii"/>
          <w:color w:val="auto"/>
        </w:rPr>
        <w:t>-35.</w:t>
      </w:r>
    </w:p>
    <w:p w:rsidRPr="00102FB5" w:rsidR="00A524CF" w:rsidP="3A5FC3B6" w:rsidRDefault="00A524CF" w14:paraId="0BC6A97F" w14:textId="77777777" w14:noSpellErr="1">
      <w:pPr>
        <w:pStyle w:val="ListParagraph"/>
        <w:rPr>
          <w:rFonts w:cs="Calibri" w:cstheme="minorAscii"/>
          <w:color w:val="auto"/>
        </w:rPr>
      </w:pPr>
    </w:p>
    <w:p w:rsidRPr="00102FB5" w:rsidR="00A524CF" w:rsidP="3A5FC3B6" w:rsidRDefault="00A524CF" w14:paraId="0BC6A980" w14:textId="365634E3">
      <w:pPr>
        <w:pStyle w:val="ListParagraph"/>
        <w:numPr>
          <w:ilvl w:val="0"/>
          <w:numId w:val="1"/>
        </w:numPr>
        <w:rPr>
          <w:rFonts w:cs="Calibri" w:cstheme="minorAscii"/>
          <w:color w:val="auto"/>
        </w:rPr>
      </w:pPr>
      <w:r w:rsidRPr="3A5FC3B6" w:rsidR="3A5FC3B6">
        <w:rPr>
          <w:rFonts w:cs="Calibri" w:cstheme="minorAscii"/>
          <w:color w:val="auto"/>
        </w:rPr>
        <w:t>Giacomelli</w:t>
      </w:r>
      <w:r w:rsidRPr="3A5FC3B6" w:rsidR="3A5FC3B6">
        <w:rPr>
          <w:rFonts w:cs="Calibri" w:cstheme="minorAscii"/>
          <w:color w:val="auto"/>
        </w:rPr>
        <w:t xml:space="preserve"> E, Dorigo W, </w:t>
      </w:r>
      <w:r w:rsidRPr="3A5FC3B6" w:rsidR="3A5FC3B6">
        <w:rPr>
          <w:rFonts w:cs="Calibri" w:cstheme="minorAscii"/>
          <w:color w:val="auto"/>
        </w:rPr>
        <w:t>Campolmi</w:t>
      </w:r>
      <w:r w:rsidRPr="3A5FC3B6" w:rsidR="3A5FC3B6">
        <w:rPr>
          <w:rFonts w:cs="Calibri" w:cstheme="minorAscii"/>
          <w:color w:val="auto"/>
        </w:rPr>
        <w:t xml:space="preserve"> M, </w:t>
      </w:r>
      <w:r w:rsidRPr="3A5FC3B6" w:rsidR="3A5FC3B6">
        <w:rPr>
          <w:rFonts w:cs="Calibri" w:cstheme="minorAscii"/>
          <w:color w:val="auto"/>
        </w:rPr>
        <w:t>et al</w:t>
      </w:r>
      <w:r w:rsidRPr="3A5FC3B6" w:rsidR="3A5FC3B6">
        <w:rPr>
          <w:rFonts w:cs="Calibri" w:cstheme="minorAscii"/>
          <w:color w:val="auto"/>
        </w:rPr>
        <w:t xml:space="preserve">. A pilot study of the enhanced recovery after surgery protocol in aortic surgery. J </w:t>
      </w:r>
      <w:r w:rsidRPr="3A5FC3B6" w:rsidR="3A5FC3B6">
        <w:rPr>
          <w:rFonts w:cs="Calibri" w:cstheme="minorAscii"/>
          <w:color w:val="auto"/>
        </w:rPr>
        <w:t>Vasc</w:t>
      </w:r>
      <w:r w:rsidRPr="3A5FC3B6" w:rsidR="3A5FC3B6">
        <w:rPr>
          <w:rFonts w:cs="Calibri" w:cstheme="minorAscii"/>
          <w:color w:val="auto"/>
        </w:rPr>
        <w:t xml:space="preserve"> Surg. 2021 Jul;74(1):90-</w:t>
      </w:r>
      <w:r w:rsidRPr="3A5FC3B6" w:rsidR="3A5FC3B6">
        <w:rPr>
          <w:rFonts w:cs="Calibri" w:cstheme="minorAscii"/>
          <w:color w:val="auto"/>
        </w:rPr>
        <w:t>96.e</w:t>
      </w:r>
      <w:r w:rsidRPr="3A5FC3B6" w:rsidR="3A5FC3B6">
        <w:rPr>
          <w:rFonts w:cs="Calibri" w:cstheme="minorAscii"/>
          <w:color w:val="auto"/>
        </w:rPr>
        <w:t xml:space="preserve">2. </w:t>
      </w:r>
      <w:r w:rsidRPr="3A5FC3B6" w:rsidR="3A5FC3B6">
        <w:rPr>
          <w:rFonts w:cs="Calibri" w:cstheme="minorAscii"/>
          <w:color w:val="auto"/>
        </w:rPr>
        <w:t>doi</w:t>
      </w:r>
      <w:r w:rsidRPr="3A5FC3B6" w:rsidR="3A5FC3B6">
        <w:rPr>
          <w:rFonts w:cs="Calibri" w:cstheme="minorAscii"/>
          <w:color w:val="auto"/>
        </w:rPr>
        <w:t xml:space="preserve">: 10.1016/j.jvs.2020.11.042. </w:t>
      </w:r>
    </w:p>
    <w:p w:rsidRPr="00102FB5" w:rsidR="00A524CF" w:rsidP="3A5FC3B6" w:rsidRDefault="00A524CF" w14:paraId="0BC6A981" w14:textId="77777777" w14:noSpellErr="1">
      <w:pPr>
        <w:pStyle w:val="ListParagraph"/>
        <w:rPr>
          <w:rFonts w:cs="Calibri" w:cstheme="minorAscii"/>
          <w:color w:val="auto"/>
        </w:rPr>
      </w:pPr>
    </w:p>
    <w:p w:rsidRPr="00B068B0" w:rsidR="00A524CF" w:rsidP="3A5FC3B6" w:rsidRDefault="0062077F" w14:paraId="0BC6A98C" w14:textId="7E49A0B1">
      <w:pPr>
        <w:pStyle w:val="ListParagraph"/>
        <w:numPr>
          <w:ilvl w:val="0"/>
          <w:numId w:val="1"/>
        </w:numPr>
        <w:rPr>
          <w:rFonts w:cs="Calibri" w:cstheme="minorAscii"/>
          <w:color w:val="auto"/>
        </w:rPr>
      </w:pPr>
      <w:r w:rsidRPr="3A5FC3B6" w:rsidR="3A5FC3B6">
        <w:rPr>
          <w:rFonts w:cs="Calibri" w:cstheme="minorAscii"/>
          <w:color w:val="auto"/>
        </w:rPr>
        <w:t>Malik</w:t>
      </w:r>
      <w:r w:rsidRPr="3A5FC3B6" w:rsidR="3A5FC3B6">
        <w:rPr>
          <w:rFonts w:cs="Calibri" w:cstheme="minorAscii"/>
          <w:color w:val="auto"/>
        </w:rPr>
        <w:t xml:space="preserve"> </w:t>
      </w:r>
      <w:r w:rsidRPr="3A5FC3B6" w:rsidR="3A5FC3B6">
        <w:rPr>
          <w:rFonts w:cs="Calibri" w:cstheme="minorAscii"/>
          <w:color w:val="auto"/>
        </w:rPr>
        <w:t xml:space="preserve">K, </w:t>
      </w:r>
      <w:r w:rsidRPr="3A5FC3B6" w:rsidR="3A5FC3B6">
        <w:rPr>
          <w:rFonts w:cs="Calibri" w:cstheme="minorAscii"/>
          <w:color w:val="auto"/>
        </w:rPr>
        <w:t>Poletto</w:t>
      </w:r>
      <w:r w:rsidRPr="3A5FC3B6" w:rsidR="3A5FC3B6">
        <w:rPr>
          <w:rFonts w:cs="Calibri" w:cstheme="minorAscii"/>
          <w:color w:val="auto"/>
        </w:rPr>
        <w:t xml:space="preserve"> </w:t>
      </w:r>
      <w:r w:rsidRPr="3A5FC3B6" w:rsidR="3A5FC3B6">
        <w:rPr>
          <w:rFonts w:cs="Calibri" w:cstheme="minorAscii"/>
          <w:color w:val="auto"/>
        </w:rPr>
        <w:t>G, Musto</w:t>
      </w:r>
      <w:r w:rsidRPr="3A5FC3B6" w:rsidR="3A5FC3B6">
        <w:rPr>
          <w:rFonts w:cs="Calibri" w:cstheme="minorAscii"/>
          <w:color w:val="auto"/>
        </w:rPr>
        <w:t xml:space="preserve"> </w:t>
      </w:r>
      <w:r w:rsidRPr="3A5FC3B6" w:rsidR="3A5FC3B6">
        <w:rPr>
          <w:rFonts w:cs="Calibri" w:cstheme="minorAscii"/>
          <w:color w:val="auto"/>
        </w:rPr>
        <w:t xml:space="preserve">L, </w:t>
      </w:r>
      <w:r w:rsidRPr="3A5FC3B6" w:rsidR="3A5FC3B6">
        <w:rPr>
          <w:rFonts w:cs="Calibri" w:cstheme="minorAscii"/>
          <w:color w:val="auto"/>
        </w:rPr>
        <w:t>Giustiniano</w:t>
      </w:r>
      <w:r w:rsidRPr="3A5FC3B6" w:rsidR="3A5FC3B6">
        <w:rPr>
          <w:rFonts w:cs="Calibri" w:cstheme="minorAscii"/>
          <w:color w:val="auto"/>
        </w:rPr>
        <w:t xml:space="preserve"> </w:t>
      </w:r>
      <w:r w:rsidRPr="3A5FC3B6" w:rsidR="3A5FC3B6">
        <w:rPr>
          <w:rFonts w:cs="Calibri" w:cstheme="minorAscii"/>
          <w:color w:val="auto"/>
        </w:rPr>
        <w:t xml:space="preserve">E, </w:t>
      </w:r>
      <w:r w:rsidRPr="3A5FC3B6" w:rsidR="3A5FC3B6">
        <w:rPr>
          <w:rFonts w:cs="Calibri" w:cstheme="minorAscii"/>
          <w:color w:val="auto"/>
        </w:rPr>
        <w:t>Cecconi</w:t>
      </w:r>
      <w:r w:rsidRPr="3A5FC3B6" w:rsidR="3A5FC3B6">
        <w:rPr>
          <w:rFonts w:cs="Calibri" w:cstheme="minorAscii"/>
          <w:color w:val="auto"/>
        </w:rPr>
        <w:t xml:space="preserve"> </w:t>
      </w:r>
      <w:r w:rsidRPr="3A5FC3B6" w:rsidR="3A5FC3B6">
        <w:rPr>
          <w:rFonts w:cs="Calibri" w:cstheme="minorAscii"/>
          <w:color w:val="auto"/>
        </w:rPr>
        <w:t>M,</w:t>
      </w:r>
      <w:r w:rsidRPr="3A5FC3B6" w:rsidR="3A5FC3B6">
        <w:rPr>
          <w:rFonts w:cs="Calibri" w:cstheme="minorAscii"/>
          <w:color w:val="auto"/>
        </w:rPr>
        <w:t xml:space="preserve"> </w:t>
      </w:r>
      <w:r w:rsidRPr="3A5FC3B6" w:rsidR="3A5FC3B6">
        <w:rPr>
          <w:rFonts w:cs="Calibri" w:cstheme="minorAscii"/>
          <w:color w:val="auto"/>
        </w:rPr>
        <w:t>Civilini</w:t>
      </w:r>
      <w:r w:rsidRPr="3A5FC3B6" w:rsidR="3A5FC3B6">
        <w:rPr>
          <w:rFonts w:cs="Calibri" w:cstheme="minorAscii"/>
          <w:color w:val="auto"/>
        </w:rPr>
        <w:t>, E. Implementation of a perioperative protocol to enhance open aortic repair. J</w:t>
      </w:r>
      <w:r w:rsidRPr="3A5FC3B6" w:rsidR="3A5FC3B6">
        <w:rPr>
          <w:rFonts w:cs="Calibri" w:cstheme="minorAscii"/>
          <w:color w:val="auto"/>
        </w:rPr>
        <w:t xml:space="preserve"> </w:t>
      </w:r>
      <w:r w:rsidRPr="3A5FC3B6" w:rsidR="3A5FC3B6">
        <w:rPr>
          <w:rFonts w:cs="Calibri" w:cstheme="minorAscii"/>
          <w:color w:val="auto"/>
        </w:rPr>
        <w:t>Vas</w:t>
      </w:r>
      <w:r w:rsidRPr="3A5FC3B6" w:rsidR="3A5FC3B6">
        <w:rPr>
          <w:rFonts w:cs="Calibri" w:cstheme="minorAscii"/>
          <w:color w:val="auto"/>
        </w:rPr>
        <w:t>c</w:t>
      </w:r>
      <w:r w:rsidRPr="3A5FC3B6" w:rsidR="3A5FC3B6">
        <w:rPr>
          <w:rFonts w:cs="Calibri" w:cstheme="minorAscii"/>
          <w:color w:val="auto"/>
        </w:rPr>
        <w:t xml:space="preserve"> </w:t>
      </w:r>
      <w:r w:rsidRPr="3A5FC3B6" w:rsidR="3A5FC3B6">
        <w:rPr>
          <w:rFonts w:cs="Calibri" w:cstheme="minorAscii"/>
          <w:color w:val="auto"/>
        </w:rPr>
        <w:t>Surg.</w:t>
      </w:r>
      <w:r w:rsidRPr="3A5FC3B6" w:rsidR="3A5FC3B6">
        <w:rPr>
          <w:rFonts w:cs="Calibri" w:cstheme="minorAscii"/>
          <w:color w:val="auto"/>
        </w:rPr>
        <w:t xml:space="preserve"> 2021</w:t>
      </w:r>
      <w:r w:rsidRPr="3A5FC3B6" w:rsidR="3A5FC3B6">
        <w:rPr>
          <w:rFonts w:cs="Calibri" w:cstheme="minorAscii"/>
          <w:color w:val="auto"/>
        </w:rPr>
        <w:t xml:space="preserve"> Aug; </w:t>
      </w:r>
      <w:r w:rsidRPr="3A5FC3B6" w:rsidR="3A5FC3B6">
        <w:rPr>
          <w:rFonts w:cs="Calibri" w:cstheme="minorAscii"/>
          <w:color w:val="auto"/>
        </w:rPr>
        <w:t xml:space="preserve">74 (2):434-441 </w:t>
      </w:r>
    </w:p>
    <w:p w:rsidR="00B068B0" w:rsidP="3A5FC3B6" w:rsidRDefault="00B068B0" w14:paraId="4D9D0B93" w14:textId="77777777" w14:noSpellErr="1">
      <w:pPr>
        <w:pStyle w:val="ListParagraph"/>
        <w:rPr>
          <w:color w:val="auto"/>
        </w:rPr>
      </w:pPr>
    </w:p>
    <w:p w:rsidRPr="008A3E84" w:rsidR="00B068B0" w:rsidP="3A5FC3B6" w:rsidRDefault="008A3E84" w14:paraId="7F0A6A4D" w14:textId="4BB544ED">
      <w:pPr>
        <w:pStyle w:val="ListParagraph"/>
        <w:numPr>
          <w:ilvl w:val="0"/>
          <w:numId w:val="1"/>
        </w:numPr>
        <w:rPr>
          <w:color w:val="auto"/>
        </w:rPr>
      </w:pPr>
      <w:r w:rsidRPr="3A5FC3B6" w:rsidR="3A5FC3B6">
        <w:rPr>
          <w:color w:val="auto"/>
        </w:rPr>
        <w:t>Watt DG, McSorley ST, Horgan PG,</w:t>
      </w:r>
      <w:r w:rsidRPr="3A5FC3B6" w:rsidR="3A5FC3B6">
        <w:rPr>
          <w:color w:val="auto"/>
        </w:rPr>
        <w:t xml:space="preserve"> et.al. </w:t>
      </w:r>
      <w:r w:rsidRPr="3A5FC3B6" w:rsidR="3A5FC3B6">
        <w:rPr>
          <w:color w:val="auto"/>
        </w:rPr>
        <w:t xml:space="preserve">Enhanced Recovery After Surgery: Which Components, If Any, Impact on The Systemic Inflammatory Response Following Colorectal </w:t>
      </w:r>
      <w:r w:rsidRPr="3A5FC3B6" w:rsidR="3A5FC3B6">
        <w:rPr>
          <w:color w:val="auto"/>
        </w:rPr>
        <w:t>Surgery?:</w:t>
      </w:r>
      <w:r w:rsidRPr="3A5FC3B6" w:rsidR="3A5FC3B6">
        <w:rPr>
          <w:color w:val="auto"/>
        </w:rPr>
        <w:t xml:space="preserve"> A Systematic Review. Medicine (Baltimore). 2015 Sep;94(36</w:t>
      </w:r>
      <w:r w:rsidRPr="3A5FC3B6" w:rsidR="3A5FC3B6">
        <w:rPr>
          <w:color w:val="auto"/>
        </w:rPr>
        <w:t>):e</w:t>
      </w:r>
      <w:r w:rsidRPr="3A5FC3B6" w:rsidR="3A5FC3B6">
        <w:rPr>
          <w:color w:val="auto"/>
        </w:rPr>
        <w:t xml:space="preserve">1286. </w:t>
      </w:r>
      <w:r w:rsidRPr="3A5FC3B6" w:rsidR="3A5FC3B6">
        <w:rPr>
          <w:color w:val="auto"/>
        </w:rPr>
        <w:t>doi</w:t>
      </w:r>
      <w:r w:rsidRPr="3A5FC3B6" w:rsidR="3A5FC3B6">
        <w:rPr>
          <w:color w:val="auto"/>
        </w:rPr>
        <w:t>: 10.1097/MD.0000000000001286. PMID: 26356689; PMCID: PMC4616657.</w:t>
      </w:r>
    </w:p>
    <w:p w:rsidRPr="00102FB5" w:rsidR="00A524CF" w:rsidP="3A5FC3B6" w:rsidRDefault="00A524CF" w14:paraId="0BC6A98E" w14:textId="1B21D9B4">
      <w:pPr>
        <w:pStyle w:val="NoSpacing"/>
        <w:numPr>
          <w:ilvl w:val="0"/>
          <w:numId w:val="1"/>
        </w:numPr>
        <w:rPr>
          <w:rFonts w:cs="Calibri" w:cstheme="minorAscii"/>
          <w:color w:val="auto"/>
        </w:rPr>
      </w:pPr>
      <w:r w:rsidRPr="3A5FC3B6" w:rsidR="3A5FC3B6">
        <w:rPr>
          <w:rFonts w:cs="Calibri" w:cstheme="minorAscii"/>
          <w:color w:val="auto"/>
        </w:rPr>
        <w:t>Kolh</w:t>
      </w:r>
      <w:r w:rsidRPr="3A5FC3B6" w:rsidR="3A5FC3B6">
        <w:rPr>
          <w:rFonts w:cs="Calibri" w:cstheme="minorAscii"/>
          <w:color w:val="auto"/>
        </w:rPr>
        <w:t xml:space="preserve"> P, De </w:t>
      </w:r>
      <w:r w:rsidRPr="3A5FC3B6" w:rsidR="3A5FC3B6">
        <w:rPr>
          <w:rFonts w:cs="Calibri" w:cstheme="minorAscii"/>
          <w:color w:val="auto"/>
        </w:rPr>
        <w:t>Hert</w:t>
      </w:r>
      <w:r w:rsidRPr="3A5FC3B6" w:rsidR="3A5FC3B6">
        <w:rPr>
          <w:rFonts w:cs="Calibri" w:cstheme="minorAscii"/>
          <w:color w:val="auto"/>
        </w:rPr>
        <w:t xml:space="preserve"> S, De Rango P. The Concept of Risk Assessment and Being Unfit for Surgery. </w:t>
      </w:r>
      <w:r w:rsidRPr="3A5FC3B6" w:rsidR="3A5FC3B6">
        <w:rPr>
          <w:rFonts w:cs="Calibri" w:cstheme="minorAscii"/>
          <w:color w:val="auto"/>
        </w:rPr>
        <w:t>Eur</w:t>
      </w:r>
      <w:r w:rsidRPr="3A5FC3B6" w:rsidR="3A5FC3B6">
        <w:rPr>
          <w:rFonts w:cs="Calibri" w:cstheme="minorAscii"/>
          <w:color w:val="auto"/>
        </w:rPr>
        <w:t xml:space="preserve"> J </w:t>
      </w:r>
      <w:r w:rsidRPr="3A5FC3B6" w:rsidR="3A5FC3B6">
        <w:rPr>
          <w:rFonts w:cs="Calibri" w:cstheme="minorAscii"/>
          <w:color w:val="auto"/>
        </w:rPr>
        <w:t>Vasc</w:t>
      </w:r>
      <w:r w:rsidRPr="3A5FC3B6" w:rsidR="3A5FC3B6">
        <w:rPr>
          <w:rFonts w:cs="Calibri" w:cstheme="minorAscii"/>
          <w:color w:val="auto"/>
        </w:rPr>
        <w:t xml:space="preserve"> </w:t>
      </w:r>
      <w:r w:rsidRPr="3A5FC3B6" w:rsidR="3A5FC3B6">
        <w:rPr>
          <w:rFonts w:cs="Calibri" w:cstheme="minorAscii"/>
          <w:color w:val="auto"/>
        </w:rPr>
        <w:t>Endovasc</w:t>
      </w:r>
      <w:r w:rsidRPr="3A5FC3B6" w:rsidR="3A5FC3B6">
        <w:rPr>
          <w:rFonts w:cs="Calibri" w:cstheme="minorAscii"/>
          <w:color w:val="auto"/>
        </w:rPr>
        <w:t xml:space="preserve"> Surg. 2016 Jun;51(6):857-66. </w:t>
      </w:r>
      <w:r w:rsidRPr="3A5FC3B6" w:rsidR="3A5FC3B6">
        <w:rPr>
          <w:rFonts w:cs="Calibri" w:cstheme="minorAscii"/>
          <w:color w:val="auto"/>
        </w:rPr>
        <w:t>doi</w:t>
      </w:r>
      <w:r w:rsidRPr="3A5FC3B6" w:rsidR="3A5FC3B6">
        <w:rPr>
          <w:rFonts w:cs="Calibri" w:cstheme="minorAscii"/>
          <w:color w:val="auto"/>
        </w:rPr>
        <w:t xml:space="preserve">: 10.1016/j.ejvs.2016.02.004. </w:t>
      </w:r>
    </w:p>
    <w:p w:rsidRPr="00102FB5" w:rsidR="006050D5" w:rsidP="3A5FC3B6" w:rsidRDefault="006050D5" w14:paraId="129F3D02" w14:textId="77777777" w14:noSpellErr="1">
      <w:pPr>
        <w:pStyle w:val="NoSpacing"/>
        <w:ind w:left="720"/>
        <w:rPr>
          <w:rFonts w:cs="Calibri" w:cstheme="minorAscii"/>
          <w:color w:val="auto"/>
        </w:rPr>
      </w:pPr>
    </w:p>
    <w:p w:rsidRPr="00102FB5" w:rsidR="00A524CF" w:rsidP="3A5FC3B6" w:rsidRDefault="00A524CF" w14:paraId="0BC6A98F" w14:textId="69A69485">
      <w:pPr>
        <w:pStyle w:val="NoSpacing"/>
        <w:numPr>
          <w:ilvl w:val="0"/>
          <w:numId w:val="1"/>
        </w:numPr>
        <w:rPr>
          <w:rFonts w:cs="Calibri" w:cstheme="minorAscii"/>
          <w:color w:val="auto"/>
        </w:rPr>
      </w:pPr>
      <w:r w:rsidRPr="3A5FC3B6" w:rsidR="3A5FC3B6">
        <w:rPr>
          <w:rFonts w:cs="Calibri" w:cstheme="minorAscii"/>
          <w:color w:val="auto"/>
        </w:rPr>
        <w:t>Guay</w:t>
      </w:r>
      <w:r w:rsidRPr="3A5FC3B6" w:rsidR="3A5FC3B6">
        <w:rPr>
          <w:rFonts w:cs="Calibri" w:cstheme="minorAscii"/>
          <w:color w:val="auto"/>
        </w:rPr>
        <w:t xml:space="preserve">  J</w:t>
      </w:r>
      <w:r w:rsidRPr="3A5FC3B6" w:rsidR="3A5FC3B6">
        <w:rPr>
          <w:rFonts w:cs="Calibri" w:cstheme="minorAscii"/>
          <w:color w:val="auto"/>
        </w:rPr>
        <w:t xml:space="preserve">, </w:t>
      </w:r>
      <w:r w:rsidRPr="3A5FC3B6" w:rsidR="3A5FC3B6">
        <w:rPr>
          <w:rFonts w:cs="Calibri" w:cstheme="minorAscii"/>
          <w:color w:val="auto"/>
        </w:rPr>
        <w:t>Kopp  S.</w:t>
      </w:r>
      <w:r w:rsidRPr="3A5FC3B6" w:rsidR="3A5FC3B6">
        <w:rPr>
          <w:rFonts w:cs="Calibri" w:cstheme="minorAscii"/>
          <w:color w:val="auto"/>
        </w:rPr>
        <w:t xml:space="preserve"> Epidural pain relief versus systemic opioid‐based pain relief for abdominal aortic surgery. Cochrane Database of Systematic Reviews 2016, Issue 1. Art. No.: CD005059. DOI: 10.1002/14651858.CD005059.pub4. </w:t>
      </w:r>
    </w:p>
    <w:p w:rsidRPr="00102FB5" w:rsidR="00A524CF" w:rsidP="3A5FC3B6" w:rsidRDefault="00A524CF" w14:paraId="0BC6A990" w14:textId="77777777" w14:noSpellErr="1">
      <w:pPr>
        <w:pStyle w:val="ListParagraph"/>
        <w:rPr>
          <w:rFonts w:cs="Calibri" w:cstheme="minorAscii"/>
          <w:color w:val="auto"/>
        </w:rPr>
      </w:pPr>
    </w:p>
    <w:p w:rsidRPr="00102FB5" w:rsidR="00D24ADC" w:rsidP="3A5FC3B6" w:rsidRDefault="00A524CF" w14:paraId="6F0974E1" w14:textId="63828CA8">
      <w:pPr>
        <w:pStyle w:val="NoSpacing"/>
        <w:numPr>
          <w:ilvl w:val="0"/>
          <w:numId w:val="1"/>
        </w:numPr>
        <w:rPr>
          <w:rFonts w:cs="Calibri" w:cstheme="minorAscii"/>
          <w:color w:val="auto"/>
        </w:rPr>
      </w:pPr>
      <w:r w:rsidRPr="3A5FC3B6" w:rsidR="3A5FC3B6">
        <w:rPr>
          <w:rFonts w:cs="Calibri" w:cstheme="minorAscii"/>
          <w:color w:val="auto"/>
        </w:rPr>
        <w:t>Krajcer</w:t>
      </w:r>
      <w:r w:rsidRPr="3A5FC3B6" w:rsidR="3A5FC3B6">
        <w:rPr>
          <w:rFonts w:cs="Calibri" w:cstheme="minorAscii"/>
          <w:color w:val="auto"/>
        </w:rPr>
        <w:t xml:space="preserve"> Z, Ramaiah V, </w:t>
      </w:r>
      <w:r w:rsidRPr="3A5FC3B6" w:rsidR="3A5FC3B6">
        <w:rPr>
          <w:rFonts w:cs="Calibri" w:cstheme="minorAscii"/>
          <w:color w:val="auto"/>
        </w:rPr>
        <w:t>Huetter</w:t>
      </w:r>
      <w:r w:rsidRPr="3A5FC3B6" w:rsidR="3A5FC3B6">
        <w:rPr>
          <w:rFonts w:cs="Calibri" w:cstheme="minorAscii"/>
          <w:color w:val="auto"/>
        </w:rPr>
        <w:t xml:space="preserve"> M. Fast-track endovascular aneurysm repair: rationale and design of the </w:t>
      </w:r>
      <w:r w:rsidRPr="3A5FC3B6" w:rsidR="3A5FC3B6">
        <w:rPr>
          <w:rFonts w:cs="Calibri" w:cstheme="minorAscii"/>
          <w:color w:val="auto"/>
        </w:rPr>
        <w:t>multicenter</w:t>
      </w:r>
      <w:r w:rsidRPr="3A5FC3B6" w:rsidR="3A5FC3B6">
        <w:rPr>
          <w:rFonts w:cs="Calibri" w:cstheme="minorAscii"/>
          <w:color w:val="auto"/>
        </w:rPr>
        <w:t xml:space="preserve"> Least Invasive Fast-Track EVAR (LIFE) registry. BMC Cardiovasc </w:t>
      </w:r>
      <w:r w:rsidRPr="3A5FC3B6" w:rsidR="3A5FC3B6">
        <w:rPr>
          <w:rFonts w:cs="Calibri" w:cstheme="minorAscii"/>
          <w:color w:val="auto"/>
        </w:rPr>
        <w:t>Disord</w:t>
      </w:r>
      <w:r w:rsidRPr="3A5FC3B6" w:rsidR="3A5FC3B6">
        <w:rPr>
          <w:rFonts w:cs="Calibri" w:cstheme="minorAscii"/>
          <w:color w:val="auto"/>
        </w:rPr>
        <w:t xml:space="preserve">. 2015 Dec </w:t>
      </w:r>
      <w:r w:rsidRPr="3A5FC3B6" w:rsidR="3A5FC3B6">
        <w:rPr>
          <w:rFonts w:cs="Calibri" w:cstheme="minorAscii"/>
          <w:color w:val="auto"/>
        </w:rPr>
        <w:t>19;15:174</w:t>
      </w:r>
      <w:r w:rsidRPr="3A5FC3B6" w:rsidR="3A5FC3B6">
        <w:rPr>
          <w:rFonts w:cs="Calibri" w:cstheme="minorAscii"/>
          <w:color w:val="auto"/>
        </w:rPr>
        <w:t xml:space="preserve">. </w:t>
      </w:r>
      <w:r w:rsidRPr="3A5FC3B6" w:rsidR="3A5FC3B6">
        <w:rPr>
          <w:rFonts w:cs="Calibri" w:cstheme="minorAscii"/>
          <w:color w:val="auto"/>
        </w:rPr>
        <w:t>doi</w:t>
      </w:r>
      <w:r w:rsidRPr="3A5FC3B6" w:rsidR="3A5FC3B6">
        <w:rPr>
          <w:rFonts w:cs="Calibri" w:cstheme="minorAscii"/>
          <w:color w:val="auto"/>
        </w:rPr>
        <w:t xml:space="preserve">: 10.1186/s12872-015-0167-1. </w:t>
      </w:r>
    </w:p>
    <w:p w:rsidRPr="00102FB5" w:rsidR="00881572" w:rsidP="3A5FC3B6" w:rsidRDefault="00881572" w14:paraId="0D07798A" w14:textId="77777777" w14:noSpellErr="1">
      <w:pPr>
        <w:pStyle w:val="NoSpacing"/>
        <w:ind w:left="720"/>
        <w:rPr>
          <w:rFonts w:cs="Calibri" w:cstheme="minorAscii"/>
          <w:color w:val="auto"/>
        </w:rPr>
      </w:pPr>
    </w:p>
    <w:p w:rsidR="00FB0D9A" w:rsidP="3A5FC3B6" w:rsidRDefault="00881572" w14:paraId="35C90478" w14:textId="727AA43E" w14:noSpellErr="1">
      <w:pPr>
        <w:pStyle w:val="NoSpacing"/>
        <w:numPr>
          <w:ilvl w:val="0"/>
          <w:numId w:val="1"/>
        </w:numPr>
        <w:rPr>
          <w:rFonts w:cs="Calibri" w:cstheme="minorAscii"/>
          <w:color w:val="auto"/>
        </w:rPr>
      </w:pPr>
      <w:r w:rsidRPr="3A5FC3B6" w:rsidR="3A5FC3B6">
        <w:rPr>
          <w:rFonts w:cs="Calibri" w:cstheme="minorAscii"/>
          <w:color w:val="auto"/>
        </w:rPr>
        <w:t>National Institute for Health and Care Excellence. (2020). Abdominal aortic aneurysm: diagnosis and management</w:t>
      </w:r>
      <w:r w:rsidRPr="3A5FC3B6" w:rsidR="3A5FC3B6">
        <w:rPr>
          <w:rFonts w:cs="Calibri" w:cstheme="minorAscii"/>
          <w:color w:val="auto"/>
        </w:rPr>
        <w:t xml:space="preserve">   [</w:t>
      </w:r>
      <w:r w:rsidRPr="3A5FC3B6" w:rsidR="3A5FC3B6">
        <w:rPr>
          <w:rFonts w:cs="Calibri" w:cstheme="minorAscii"/>
          <w:color w:val="auto"/>
        </w:rPr>
        <w:t xml:space="preserve">NICE Guideline No. 156].  </w:t>
      </w:r>
      <w:hyperlink r:id="R51af0f0989f445bf">
        <w:r w:rsidRPr="3A5FC3B6" w:rsidR="3A5FC3B6">
          <w:rPr>
            <w:rStyle w:val="Hyperlink"/>
            <w:color w:val="auto"/>
          </w:rPr>
          <w:t>https://www.nice.org.uk/guidance/ng156</w:t>
        </w:r>
      </w:hyperlink>
    </w:p>
    <w:p w:rsidR="00FB0D9A" w:rsidP="3A5FC3B6" w:rsidRDefault="00FB0D9A" w14:paraId="7582BF59" w14:textId="77777777" w14:noSpellErr="1">
      <w:pPr>
        <w:pStyle w:val="ListParagraph"/>
        <w:rPr>
          <w:rFonts w:cs="Calibri" w:cstheme="minorAscii"/>
          <w:color w:val="auto"/>
        </w:rPr>
      </w:pPr>
    </w:p>
    <w:p w:rsidR="00FB0D9A" w:rsidP="3A5FC3B6" w:rsidRDefault="00FB0D9A" w14:paraId="0B5FCE87" w14:textId="77777777" w14:noSpellErr="1">
      <w:pPr>
        <w:pStyle w:val="NoSpacing"/>
        <w:rPr>
          <w:rFonts w:cs="Calibri" w:cstheme="minorAscii"/>
          <w:color w:val="auto"/>
        </w:rPr>
      </w:pPr>
    </w:p>
    <w:p w:rsidR="00A56964" w:rsidP="3A5FC3B6" w:rsidRDefault="00A56964" w14:paraId="2EB98834" w14:textId="77777777" w14:noSpellErr="1">
      <w:pPr>
        <w:pStyle w:val="NoSpacing"/>
        <w:rPr>
          <w:rFonts w:cs="Calibri" w:cstheme="minorAscii"/>
          <w:color w:val="auto"/>
        </w:rPr>
      </w:pPr>
    </w:p>
    <w:p w:rsidR="00A56964" w:rsidP="3A5FC3B6" w:rsidRDefault="00A56964" w14:paraId="22CF36B6" w14:textId="77777777" w14:noSpellErr="1">
      <w:pPr>
        <w:pStyle w:val="NoSpacing"/>
        <w:rPr>
          <w:rFonts w:cs="Calibri" w:cstheme="minorAscii"/>
          <w:color w:val="auto"/>
        </w:rPr>
      </w:pPr>
    </w:p>
    <w:p w:rsidR="00A56964" w:rsidP="3A5FC3B6" w:rsidRDefault="00A56964" w14:paraId="04700E64" w14:textId="77777777" w14:noSpellErr="1">
      <w:pPr>
        <w:pStyle w:val="NoSpacing"/>
        <w:rPr>
          <w:rFonts w:cs="Calibri" w:cstheme="minorAscii"/>
          <w:color w:val="auto"/>
        </w:rPr>
      </w:pPr>
    </w:p>
    <w:p w:rsidR="00A56964" w:rsidP="3A5FC3B6" w:rsidRDefault="00A56964" w14:paraId="3793E35E" w14:textId="77777777" w14:noSpellErr="1">
      <w:pPr>
        <w:pStyle w:val="NoSpacing"/>
        <w:rPr>
          <w:rFonts w:cs="Calibri" w:cstheme="minorAscii"/>
          <w:color w:val="auto"/>
        </w:rPr>
      </w:pPr>
    </w:p>
    <w:p w:rsidR="00A56964" w:rsidP="3A5FC3B6" w:rsidRDefault="00A56964" w14:paraId="1E94D2D7" w14:textId="77777777" w14:noSpellErr="1">
      <w:pPr>
        <w:pStyle w:val="NoSpacing"/>
        <w:rPr>
          <w:rFonts w:cs="Calibri" w:cstheme="minorAscii"/>
          <w:color w:val="auto"/>
        </w:rPr>
      </w:pPr>
    </w:p>
    <w:p w:rsidR="00A56964" w:rsidP="3A5FC3B6" w:rsidRDefault="00A56964" w14:paraId="36B1F5DC" w14:textId="77777777" w14:noSpellErr="1">
      <w:pPr>
        <w:pStyle w:val="NoSpacing"/>
        <w:rPr>
          <w:rFonts w:cs="Calibri" w:cstheme="minorAscii"/>
          <w:color w:val="auto"/>
        </w:rPr>
      </w:pPr>
    </w:p>
    <w:p w:rsidR="00A56964" w:rsidP="3A5FC3B6" w:rsidRDefault="00A56964" w14:paraId="65F3BA12" w14:textId="77777777" w14:noSpellErr="1">
      <w:pPr>
        <w:pStyle w:val="NoSpacing"/>
        <w:rPr>
          <w:rFonts w:cs="Calibri" w:cstheme="minorAscii"/>
          <w:color w:val="auto"/>
        </w:rPr>
      </w:pPr>
    </w:p>
    <w:p w:rsidR="00A56964" w:rsidP="3A5FC3B6" w:rsidRDefault="00A56964" w14:paraId="04B638B2" w14:textId="77777777" w14:noSpellErr="1">
      <w:pPr>
        <w:pStyle w:val="NoSpacing"/>
        <w:rPr>
          <w:rFonts w:cs="Calibri" w:cstheme="minorAscii"/>
          <w:color w:val="auto"/>
        </w:rPr>
      </w:pPr>
    </w:p>
    <w:p w:rsidR="00A56964" w:rsidP="3A5FC3B6" w:rsidRDefault="00A56964" w14:paraId="50A00A8E" w14:textId="77777777" w14:noSpellErr="1">
      <w:pPr>
        <w:pStyle w:val="NoSpacing"/>
        <w:rPr>
          <w:rFonts w:cs="Calibri" w:cstheme="minorAscii"/>
          <w:color w:val="auto"/>
        </w:rPr>
      </w:pPr>
    </w:p>
    <w:p w:rsidR="00A56964" w:rsidP="3A5FC3B6" w:rsidRDefault="00A56964" w14:paraId="72EE98B5" w14:textId="77777777" w14:noSpellErr="1">
      <w:pPr>
        <w:pStyle w:val="NoSpacing"/>
        <w:rPr>
          <w:rFonts w:cs="Calibri" w:cstheme="minorAscii"/>
          <w:color w:val="auto"/>
        </w:rPr>
      </w:pPr>
    </w:p>
    <w:p w:rsidR="00A56964" w:rsidP="3A5FC3B6" w:rsidRDefault="00A56964" w14:paraId="354BAD73" w14:textId="77777777" w14:noSpellErr="1">
      <w:pPr>
        <w:pStyle w:val="NoSpacing"/>
        <w:rPr>
          <w:rFonts w:cs="Calibri" w:cstheme="minorAscii"/>
          <w:color w:val="auto"/>
        </w:rPr>
      </w:pPr>
    </w:p>
    <w:p w:rsidR="00A56964" w:rsidP="3A5FC3B6" w:rsidRDefault="00A56964" w14:paraId="348529E5" w14:textId="77777777" w14:noSpellErr="1">
      <w:pPr>
        <w:pStyle w:val="NoSpacing"/>
        <w:rPr>
          <w:rFonts w:cs="Calibri" w:cstheme="minorAscii"/>
          <w:color w:val="auto"/>
        </w:rPr>
      </w:pPr>
    </w:p>
    <w:p w:rsidR="00A56964" w:rsidP="3A5FC3B6" w:rsidRDefault="00A56964" w14:paraId="1A45E40B" w14:textId="77777777" w14:noSpellErr="1">
      <w:pPr>
        <w:pStyle w:val="NoSpacing"/>
        <w:rPr>
          <w:rFonts w:cs="Calibri" w:cstheme="minorAscii"/>
          <w:color w:val="auto"/>
        </w:rPr>
      </w:pPr>
    </w:p>
    <w:p w:rsidR="00A56964" w:rsidP="3A5FC3B6" w:rsidRDefault="00A56964" w14:paraId="6920B136" w14:textId="77777777" w14:noSpellErr="1">
      <w:pPr>
        <w:pStyle w:val="NoSpacing"/>
        <w:rPr>
          <w:rFonts w:cs="Calibri" w:cstheme="minorAscii"/>
          <w:color w:val="auto"/>
        </w:rPr>
      </w:pPr>
    </w:p>
    <w:p w:rsidR="00A56964" w:rsidP="3A5FC3B6" w:rsidRDefault="00A56964" w14:paraId="4B1411F3" w14:textId="77777777" w14:noSpellErr="1">
      <w:pPr>
        <w:pStyle w:val="NoSpacing"/>
        <w:rPr>
          <w:rFonts w:cs="Calibri" w:cstheme="minorAscii"/>
          <w:color w:val="auto"/>
        </w:rPr>
      </w:pPr>
    </w:p>
    <w:p w:rsidR="00A56964" w:rsidP="3A5FC3B6" w:rsidRDefault="00A56964" w14:paraId="3F5A5231" w14:textId="77777777" w14:noSpellErr="1">
      <w:pPr>
        <w:pStyle w:val="NoSpacing"/>
        <w:rPr>
          <w:rFonts w:cs="Calibri" w:cstheme="minorAscii"/>
          <w:color w:val="auto"/>
        </w:rPr>
      </w:pPr>
    </w:p>
    <w:p w:rsidR="00A56964" w:rsidP="3A5FC3B6" w:rsidRDefault="00A56964" w14:paraId="08897309" w14:textId="77777777" w14:noSpellErr="1">
      <w:pPr>
        <w:pStyle w:val="NoSpacing"/>
        <w:rPr>
          <w:rFonts w:cs="Calibri" w:cstheme="minorAscii"/>
          <w:color w:val="auto"/>
        </w:rPr>
      </w:pPr>
    </w:p>
    <w:p w:rsidR="00A56964" w:rsidP="3A5FC3B6" w:rsidRDefault="00A56964" w14:paraId="7D4EB58B" w14:textId="77777777" w14:noSpellErr="1">
      <w:pPr>
        <w:pStyle w:val="NoSpacing"/>
        <w:rPr>
          <w:rFonts w:cs="Calibri" w:cstheme="minorAscii"/>
          <w:color w:val="auto"/>
        </w:rPr>
      </w:pPr>
    </w:p>
    <w:p w:rsidR="00A56964" w:rsidP="3A5FC3B6" w:rsidRDefault="00A56964" w14:paraId="025A282E" w14:textId="77777777" w14:noSpellErr="1">
      <w:pPr>
        <w:pStyle w:val="NoSpacing"/>
        <w:rPr>
          <w:rFonts w:cs="Calibri" w:cstheme="minorAscii"/>
          <w:color w:val="auto"/>
        </w:rPr>
      </w:pPr>
    </w:p>
    <w:p w:rsidR="00A56964" w:rsidP="3A5FC3B6" w:rsidRDefault="00A56964" w14:paraId="189B140E" w14:textId="77777777" w14:noSpellErr="1">
      <w:pPr>
        <w:pStyle w:val="NoSpacing"/>
        <w:rPr>
          <w:rFonts w:cs="Calibri" w:cstheme="minorAscii"/>
          <w:color w:val="auto"/>
        </w:rPr>
      </w:pPr>
    </w:p>
    <w:p w:rsidR="00A56964" w:rsidP="3A5FC3B6" w:rsidRDefault="00A56964" w14:paraId="611CCA45" w14:textId="77777777" w14:noSpellErr="1">
      <w:pPr>
        <w:pStyle w:val="NoSpacing"/>
        <w:rPr>
          <w:rFonts w:cs="Calibri" w:cstheme="minorAscii"/>
          <w:color w:val="auto"/>
        </w:rPr>
      </w:pPr>
    </w:p>
    <w:p w:rsidR="00A56964" w:rsidP="3A5FC3B6" w:rsidRDefault="00A56964" w14:paraId="1E60F2F3" w14:textId="77777777" w14:noSpellErr="1">
      <w:pPr>
        <w:pStyle w:val="NoSpacing"/>
        <w:rPr>
          <w:rFonts w:cs="Calibri" w:cstheme="minorAscii"/>
          <w:color w:val="auto"/>
        </w:rPr>
      </w:pPr>
    </w:p>
    <w:p w:rsidR="00A56964" w:rsidP="3A5FC3B6" w:rsidRDefault="00A56964" w14:paraId="449260B2" w14:textId="77777777" w14:noSpellErr="1">
      <w:pPr>
        <w:pStyle w:val="NoSpacing"/>
        <w:rPr>
          <w:rFonts w:cs="Calibri" w:cstheme="minorAscii"/>
          <w:color w:val="auto"/>
        </w:rPr>
      </w:pPr>
    </w:p>
    <w:p w:rsidR="00A56964" w:rsidP="3A5FC3B6" w:rsidRDefault="00A56964" w14:paraId="5C61493A" w14:textId="77777777" w14:noSpellErr="1">
      <w:pPr>
        <w:pStyle w:val="NoSpacing"/>
        <w:rPr>
          <w:rFonts w:cs="Calibri" w:cstheme="minorAscii"/>
          <w:color w:val="auto"/>
        </w:rPr>
      </w:pPr>
    </w:p>
    <w:p w:rsidR="00A56964" w:rsidP="3A5FC3B6" w:rsidRDefault="00A56964" w14:paraId="77C8E3AD" w14:textId="77777777" w14:noSpellErr="1">
      <w:pPr>
        <w:pStyle w:val="NoSpacing"/>
        <w:rPr>
          <w:rFonts w:cs="Calibri" w:cstheme="minorAscii"/>
          <w:color w:val="auto"/>
        </w:rPr>
      </w:pPr>
    </w:p>
    <w:p w:rsidR="00A56964" w:rsidP="3A5FC3B6" w:rsidRDefault="00A56964" w14:paraId="74C9C579" w14:textId="77777777" w14:noSpellErr="1">
      <w:pPr>
        <w:pStyle w:val="NoSpacing"/>
        <w:rPr>
          <w:rFonts w:cs="Calibri" w:cstheme="minorAscii"/>
          <w:color w:val="auto"/>
        </w:rPr>
      </w:pPr>
    </w:p>
    <w:p w:rsidR="00A56964" w:rsidP="3A5FC3B6" w:rsidRDefault="00A56964" w14:paraId="35BB9B21" w14:textId="77777777" w14:noSpellErr="1">
      <w:pPr>
        <w:pStyle w:val="NoSpacing"/>
        <w:rPr>
          <w:rFonts w:cs="Calibri" w:cstheme="minorAscii"/>
          <w:color w:val="auto"/>
        </w:rPr>
      </w:pPr>
    </w:p>
    <w:p w:rsidR="00A56964" w:rsidP="3A5FC3B6" w:rsidRDefault="00A56964" w14:paraId="69929EEE" w14:textId="77777777" w14:noSpellErr="1">
      <w:pPr>
        <w:pStyle w:val="NoSpacing"/>
        <w:rPr>
          <w:rFonts w:cs="Calibri" w:cstheme="minorAscii"/>
          <w:color w:val="auto"/>
        </w:rPr>
      </w:pPr>
    </w:p>
    <w:p w:rsidR="00A56964" w:rsidP="3A5FC3B6" w:rsidRDefault="00A56964" w14:paraId="36C63E9B" w14:textId="77777777" w14:noSpellErr="1">
      <w:pPr>
        <w:pStyle w:val="NoSpacing"/>
        <w:rPr>
          <w:rFonts w:cs="Calibri" w:cstheme="minorAscii"/>
          <w:color w:val="auto"/>
        </w:rPr>
      </w:pPr>
    </w:p>
    <w:p w:rsidR="00A56964" w:rsidP="3A5FC3B6" w:rsidRDefault="00A56964" w14:paraId="72C327C4" w14:textId="77777777" w14:noSpellErr="1">
      <w:pPr>
        <w:pStyle w:val="NoSpacing"/>
        <w:rPr>
          <w:rFonts w:cs="Calibri" w:cstheme="minorAscii"/>
          <w:color w:val="auto"/>
        </w:rPr>
      </w:pPr>
    </w:p>
    <w:p w:rsidR="00A56964" w:rsidP="3A5FC3B6" w:rsidRDefault="00A56964" w14:paraId="095523EA" w14:textId="77777777" w14:noSpellErr="1">
      <w:pPr>
        <w:pStyle w:val="NoSpacing"/>
        <w:rPr>
          <w:rFonts w:cs="Calibri" w:cstheme="minorAscii"/>
          <w:color w:val="auto"/>
        </w:rPr>
      </w:pPr>
    </w:p>
    <w:p w:rsidR="00A56964" w:rsidP="3A5FC3B6" w:rsidRDefault="00A56964" w14:paraId="5EBCB028" w14:textId="77777777" w14:noSpellErr="1">
      <w:pPr>
        <w:pStyle w:val="NoSpacing"/>
        <w:rPr>
          <w:rFonts w:cs="Calibri" w:cstheme="minorAscii"/>
          <w:color w:val="auto"/>
        </w:rPr>
      </w:pPr>
    </w:p>
    <w:p w:rsidR="00A56964" w:rsidP="3A5FC3B6" w:rsidRDefault="00A56964" w14:paraId="3F38FDBE" w14:textId="77777777" w14:noSpellErr="1">
      <w:pPr>
        <w:pStyle w:val="NoSpacing"/>
        <w:rPr>
          <w:rFonts w:cs="Calibri" w:cstheme="minorAscii"/>
          <w:color w:val="auto"/>
        </w:rPr>
      </w:pPr>
    </w:p>
    <w:p w:rsidR="00A56964" w:rsidP="3A5FC3B6" w:rsidRDefault="00A56964" w14:paraId="131593C8" w14:textId="77777777" w14:noSpellErr="1">
      <w:pPr>
        <w:pStyle w:val="NoSpacing"/>
        <w:rPr>
          <w:rFonts w:cs="Calibri" w:cstheme="minorAscii"/>
          <w:color w:val="auto"/>
        </w:rPr>
      </w:pPr>
    </w:p>
    <w:p w:rsidR="00A56964" w:rsidP="3A5FC3B6" w:rsidRDefault="00A56964" w14:paraId="67329E45" w14:textId="77777777" w14:noSpellErr="1">
      <w:pPr>
        <w:pStyle w:val="NoSpacing"/>
        <w:rPr>
          <w:rFonts w:cs="Calibri" w:cstheme="minorAscii"/>
          <w:color w:val="auto"/>
        </w:rPr>
      </w:pPr>
    </w:p>
    <w:p w:rsidR="00A56964" w:rsidP="3A5FC3B6" w:rsidRDefault="00A56964" w14:paraId="2D7E98AB" w14:textId="77777777" w14:noSpellErr="1">
      <w:pPr>
        <w:pStyle w:val="NoSpacing"/>
        <w:rPr>
          <w:rFonts w:cs="Calibri" w:cstheme="minorAscii"/>
          <w:color w:val="auto"/>
        </w:rPr>
      </w:pPr>
    </w:p>
    <w:p w:rsidR="00A56964" w:rsidP="3A5FC3B6" w:rsidRDefault="00A56964" w14:paraId="40D988EA" w14:textId="77777777" w14:noSpellErr="1">
      <w:pPr>
        <w:pStyle w:val="NoSpacing"/>
        <w:rPr>
          <w:rFonts w:cs="Calibri" w:cstheme="minorAscii"/>
          <w:color w:val="auto"/>
        </w:rPr>
      </w:pPr>
    </w:p>
    <w:p w:rsidR="00A56964" w:rsidP="3A5FC3B6" w:rsidRDefault="00A56964" w14:paraId="160C0EEB" w14:textId="77777777" w14:noSpellErr="1">
      <w:pPr>
        <w:pStyle w:val="NoSpacing"/>
        <w:rPr>
          <w:rFonts w:cs="Calibri" w:cstheme="minorAscii"/>
          <w:color w:val="auto"/>
        </w:rPr>
      </w:pPr>
    </w:p>
    <w:p w:rsidR="00A56964" w:rsidP="3A5FC3B6" w:rsidRDefault="00A56964" w14:paraId="4251BD28" w14:textId="77777777" w14:noSpellErr="1">
      <w:pPr>
        <w:pStyle w:val="NoSpacing"/>
        <w:rPr>
          <w:rFonts w:cs="Calibri" w:cstheme="minorAscii"/>
          <w:color w:val="auto"/>
        </w:rPr>
      </w:pPr>
    </w:p>
    <w:p w:rsidR="00A56964" w:rsidP="3A5FC3B6" w:rsidRDefault="00A56964" w14:paraId="2A582F95" w14:textId="77777777" w14:noSpellErr="1">
      <w:pPr>
        <w:pStyle w:val="NoSpacing"/>
        <w:rPr>
          <w:rFonts w:cs="Calibri" w:cstheme="minorAscii"/>
          <w:color w:val="auto"/>
        </w:rPr>
      </w:pPr>
    </w:p>
    <w:p w:rsidR="00A56964" w:rsidP="3A5FC3B6" w:rsidRDefault="00A56964" w14:paraId="18865390" w14:textId="77777777" w14:noSpellErr="1">
      <w:pPr>
        <w:pStyle w:val="NoSpacing"/>
        <w:rPr>
          <w:rFonts w:cs="Calibri" w:cstheme="minorAscii"/>
          <w:color w:val="auto"/>
        </w:rPr>
      </w:pPr>
    </w:p>
    <w:p w:rsidRPr="00FB0D9A" w:rsidR="00A56964" w:rsidP="3A5FC3B6" w:rsidRDefault="00A56964" w14:paraId="34498703" w14:textId="77777777" w14:noSpellErr="1">
      <w:pPr>
        <w:pStyle w:val="NoSpacing"/>
        <w:rPr>
          <w:rFonts w:cs="Calibri" w:cstheme="minorAscii"/>
          <w:color w:val="auto"/>
        </w:rPr>
      </w:pPr>
    </w:p>
    <w:p w:rsidR="00DB09D7" w:rsidP="3A5FC3B6" w:rsidRDefault="00DB09D7" w14:paraId="6789B5E3" w14:textId="77777777" w14:noSpellErr="1">
      <w:pPr>
        <w:pStyle w:val="NoSpacing"/>
        <w:rPr>
          <w:rFonts w:cs="Calibri" w:cstheme="minorAscii"/>
          <w:color w:val="auto"/>
        </w:rPr>
      </w:pPr>
    </w:p>
    <w:p w:rsidRPr="00102FB5" w:rsidR="007926C7" w:rsidP="3A5FC3B6" w:rsidRDefault="00BD39E9" w14:paraId="3D5BE431" w14:textId="5928190B" w14:noSpellErr="1">
      <w:pPr>
        <w:pStyle w:val="NoSpacing"/>
        <w:rPr>
          <w:rFonts w:cs="Calibri" w:cstheme="minorAscii"/>
          <w:b w:val="1"/>
          <w:bCs w:val="1"/>
          <w:color w:val="auto"/>
        </w:rPr>
      </w:pPr>
      <w:r w:rsidRPr="3A5FC3B6" w:rsidR="3A5FC3B6">
        <w:rPr>
          <w:rFonts w:cs="Calibri" w:cstheme="minorAscii"/>
          <w:b w:val="1"/>
          <w:bCs w:val="1"/>
          <w:color w:val="auto"/>
        </w:rPr>
        <w:t xml:space="preserve">Table 1: Enhanced recovery after surgery (ERAS) element prevalence in shortlisted </w:t>
      </w:r>
      <w:r w:rsidRPr="3A5FC3B6" w:rsidR="3A5FC3B6">
        <w:rPr>
          <w:rFonts w:cs="Calibri" w:cstheme="minorAscii"/>
          <w:b w:val="1"/>
          <w:bCs w:val="1"/>
          <w:color w:val="auto"/>
        </w:rPr>
        <w:t>research papers</w:t>
      </w:r>
    </w:p>
    <w:p w:rsidR="007926C7" w:rsidP="3A5FC3B6" w:rsidRDefault="007926C7" w14:paraId="094DF469" w14:textId="77777777" w14:noSpellErr="1">
      <w:pPr>
        <w:pStyle w:val="NoSpacing"/>
        <w:rPr>
          <w:rFonts w:cs="Calibri" w:cstheme="minorAscii"/>
          <w:color w:val="auto"/>
        </w:rPr>
      </w:pPr>
    </w:p>
    <w:p w:rsidRPr="00102FB5" w:rsidR="007926C7" w:rsidP="3A5FC3B6" w:rsidRDefault="007926C7" w14:paraId="0EA61400" w14:textId="77777777" w14:noSpellErr="1">
      <w:pPr>
        <w:pStyle w:val="NoSpacing"/>
        <w:rPr>
          <w:rFonts w:cs="Calibri" w:cstheme="minorAscii"/>
          <w:color w:val="auto"/>
        </w:rPr>
      </w:pPr>
    </w:p>
    <w:tbl>
      <w:tblPr>
        <w:tblW w:w="5000" w:type="pct"/>
        <w:tblLayout w:type="fixed"/>
        <w:tblCellMar>
          <w:top w:w="15" w:type="dxa"/>
          <w:bottom w:w="15" w:type="dxa"/>
        </w:tblCellMar>
        <w:tblLook w:val="04A0" w:firstRow="1" w:lastRow="0" w:firstColumn="1" w:lastColumn="0" w:noHBand="0" w:noVBand="1"/>
      </w:tblPr>
      <w:tblGrid>
        <w:gridCol w:w="758"/>
        <w:gridCol w:w="728"/>
        <w:gridCol w:w="634"/>
        <w:gridCol w:w="739"/>
        <w:gridCol w:w="634"/>
        <w:gridCol w:w="527"/>
        <w:gridCol w:w="527"/>
        <w:gridCol w:w="634"/>
        <w:gridCol w:w="634"/>
        <w:gridCol w:w="739"/>
        <w:gridCol w:w="634"/>
        <w:gridCol w:w="634"/>
        <w:gridCol w:w="739"/>
        <w:gridCol w:w="739"/>
        <w:gridCol w:w="527"/>
        <w:gridCol w:w="634"/>
      </w:tblGrid>
      <w:tr w:rsidRPr="007926C7" w:rsidR="007926C7" w:rsidTr="3A5FC3B6" w14:paraId="722792D6" w14:textId="77777777">
        <w:trPr>
          <w:trHeight w:val="285"/>
        </w:trPr>
        <w:tc>
          <w:tcPr>
            <w:tcW w:w="363" w:type="pct"/>
            <w:tcBorders>
              <w:top w:val="nil"/>
              <w:left w:val="nil"/>
              <w:bottom w:val="nil"/>
              <w:right w:val="single" w:color="auto" w:sz="4" w:space="0"/>
            </w:tcBorders>
            <w:noWrap/>
            <w:tcMar/>
            <w:vAlign w:val="bottom"/>
            <w:hideMark/>
          </w:tcPr>
          <w:p w:rsidRPr="00102FB5" w:rsidR="007926C7" w:rsidP="3A5FC3B6" w:rsidRDefault="007926C7" w14:paraId="3B28B794" w14:textId="77777777" w14:noSpellErr="1">
            <w:pPr>
              <w:spacing w:after="0" w:line="240" w:lineRule="auto"/>
              <w:rPr>
                <w:rFonts w:eastAsia="Times New Roman" w:cs="Calibri" w:cstheme="minorAscii"/>
                <w:color w:val="auto"/>
                <w:sz w:val="11"/>
                <w:szCs w:val="11"/>
                <w:lang w:eastAsia="en-GB"/>
              </w:rPr>
            </w:pPr>
            <w:r w:rsidRPr="3A5FC3B6" w:rsidR="3A5FC3B6">
              <w:rPr>
                <w:rFonts w:eastAsia="Times New Roman" w:cs="Calibri" w:cstheme="minorAscii"/>
                <w:color w:val="auto"/>
                <w:sz w:val="11"/>
                <w:szCs w:val="11"/>
                <w:lang w:eastAsia="en-GB"/>
              </w:rPr>
              <w:t> </w:t>
            </w:r>
          </w:p>
        </w:tc>
        <w:tc>
          <w:tcPr>
            <w:tcW w:w="1559" w:type="pct"/>
            <w:gridSpan w:val="5"/>
            <w:tcBorders>
              <w:top w:val="single" w:color="auto" w:sz="4" w:space="0"/>
              <w:left w:val="nil"/>
              <w:bottom w:val="single" w:color="auto" w:sz="4" w:space="0"/>
              <w:right w:val="single" w:color="auto" w:sz="4" w:space="0"/>
            </w:tcBorders>
            <w:tcMar/>
            <w:vAlign w:val="center"/>
            <w:hideMark/>
          </w:tcPr>
          <w:p w:rsidRPr="00102FB5" w:rsidR="007926C7" w:rsidP="3A5FC3B6" w:rsidRDefault="007926C7" w14:paraId="24177D83" w14:textId="77777777" w14:noSpellErr="1">
            <w:pPr>
              <w:spacing w:after="0" w:line="240" w:lineRule="auto"/>
              <w:jc w:val="center"/>
              <w:rPr>
                <w:rFonts w:eastAsia="Times New Roman" w:cs="Calibri" w:cstheme="minorAscii"/>
                <w:b w:val="1"/>
                <w:bCs w:val="1"/>
                <w:color w:val="auto"/>
                <w:sz w:val="11"/>
                <w:szCs w:val="11"/>
                <w:lang w:eastAsia="en-GB"/>
              </w:rPr>
            </w:pPr>
            <w:r w:rsidRPr="3A5FC3B6" w:rsidR="3A5FC3B6">
              <w:rPr>
                <w:rFonts w:eastAsia="Times New Roman" w:cs="Calibri" w:cstheme="minorAscii"/>
                <w:b w:val="1"/>
                <w:bCs w:val="1"/>
                <w:color w:val="auto"/>
                <w:sz w:val="11"/>
                <w:szCs w:val="11"/>
                <w:lang w:eastAsia="en-GB"/>
              </w:rPr>
              <w:t>Pre-operative period</w:t>
            </w:r>
          </w:p>
        </w:tc>
        <w:tc>
          <w:tcPr>
            <w:tcW w:w="858" w:type="pct"/>
            <w:gridSpan w:val="3"/>
            <w:tcBorders>
              <w:top w:val="single" w:color="auto" w:sz="4" w:space="0"/>
              <w:left w:val="single" w:color="auto" w:sz="4" w:space="0"/>
              <w:bottom w:val="single" w:color="auto" w:sz="4" w:space="0"/>
              <w:right w:val="single" w:color="auto" w:sz="4" w:space="0"/>
            </w:tcBorders>
            <w:tcMar/>
            <w:vAlign w:val="center"/>
            <w:hideMark/>
          </w:tcPr>
          <w:p w:rsidRPr="00102FB5" w:rsidR="007926C7" w:rsidP="3A5FC3B6" w:rsidRDefault="007926C7" w14:paraId="3436CEC7" w14:textId="77777777" w14:noSpellErr="1">
            <w:pPr>
              <w:spacing w:after="0" w:line="240" w:lineRule="auto"/>
              <w:jc w:val="center"/>
              <w:rPr>
                <w:rFonts w:eastAsia="Times New Roman" w:cs="Calibri" w:cstheme="minorAscii"/>
                <w:b w:val="1"/>
                <w:bCs w:val="1"/>
                <w:color w:val="auto"/>
                <w:sz w:val="11"/>
                <w:szCs w:val="11"/>
                <w:lang w:eastAsia="en-GB"/>
              </w:rPr>
            </w:pPr>
            <w:r w:rsidRPr="3A5FC3B6" w:rsidR="3A5FC3B6">
              <w:rPr>
                <w:rFonts w:eastAsia="Times New Roman" w:cs="Calibri" w:cstheme="minorAscii"/>
                <w:b w:val="1"/>
                <w:bCs w:val="1"/>
                <w:color w:val="auto"/>
                <w:sz w:val="11"/>
                <w:szCs w:val="11"/>
                <w:lang w:eastAsia="en-GB"/>
              </w:rPr>
              <w:t>Intra-operative period</w:t>
            </w:r>
          </w:p>
        </w:tc>
        <w:tc>
          <w:tcPr>
            <w:tcW w:w="2220" w:type="pct"/>
            <w:gridSpan w:val="7"/>
            <w:tcBorders>
              <w:top w:val="single" w:color="auto" w:sz="4" w:space="0"/>
              <w:left w:val="single" w:color="auto" w:sz="4" w:space="0"/>
              <w:bottom w:val="single" w:color="auto" w:sz="4" w:space="0"/>
              <w:right w:val="single" w:color="auto" w:sz="4" w:space="0"/>
            </w:tcBorders>
            <w:tcMar/>
            <w:vAlign w:val="center"/>
            <w:hideMark/>
          </w:tcPr>
          <w:p w:rsidRPr="00102FB5" w:rsidR="007926C7" w:rsidP="3A5FC3B6" w:rsidRDefault="007926C7" w14:paraId="35A76702" w14:textId="77777777" w14:noSpellErr="1">
            <w:pPr>
              <w:spacing w:after="0" w:line="240" w:lineRule="auto"/>
              <w:jc w:val="center"/>
              <w:rPr>
                <w:rFonts w:eastAsia="Times New Roman" w:cs="Calibri" w:cstheme="minorAscii"/>
                <w:b w:val="1"/>
                <w:bCs w:val="1"/>
                <w:color w:val="auto"/>
                <w:sz w:val="11"/>
                <w:szCs w:val="11"/>
                <w:lang w:eastAsia="en-GB"/>
              </w:rPr>
            </w:pPr>
            <w:r w:rsidRPr="3A5FC3B6" w:rsidR="3A5FC3B6">
              <w:rPr>
                <w:rFonts w:eastAsia="Times New Roman" w:cs="Calibri" w:cstheme="minorAscii"/>
                <w:b w:val="1"/>
                <w:bCs w:val="1"/>
                <w:color w:val="auto"/>
                <w:sz w:val="11"/>
                <w:szCs w:val="11"/>
                <w:lang w:eastAsia="en-GB"/>
              </w:rPr>
              <w:t>Post-operative period</w:t>
            </w:r>
          </w:p>
        </w:tc>
      </w:tr>
      <w:tr w:rsidRPr="007926C7" w:rsidR="007926C7" w:rsidTr="3A5FC3B6" w14:paraId="4C98A781" w14:textId="77777777">
        <w:trPr>
          <w:trHeight w:val="380"/>
        </w:trPr>
        <w:tc>
          <w:tcPr>
            <w:tcW w:w="363" w:type="pct"/>
            <w:tcBorders>
              <w:top w:val="nil"/>
              <w:left w:val="nil"/>
              <w:bottom w:val="single" w:color="auto" w:sz="4" w:space="0"/>
              <w:right w:val="single" w:color="auto" w:sz="4" w:space="0"/>
            </w:tcBorders>
            <w:noWrap/>
            <w:tcMar/>
            <w:vAlign w:val="bottom"/>
            <w:hideMark/>
          </w:tcPr>
          <w:p w:rsidRPr="00102FB5" w:rsidR="007926C7" w:rsidP="3A5FC3B6" w:rsidRDefault="007926C7" w14:paraId="73391725" w14:textId="77777777" w14:noSpellErr="1">
            <w:pPr>
              <w:spacing w:after="0" w:line="240" w:lineRule="auto"/>
              <w:rPr>
                <w:rFonts w:eastAsia="Times New Roman" w:cs="Calibri" w:cstheme="minorAscii"/>
                <w:color w:val="auto"/>
                <w:sz w:val="11"/>
                <w:szCs w:val="11"/>
                <w:lang w:eastAsia="en-GB"/>
              </w:rPr>
            </w:pPr>
            <w:r w:rsidRPr="3A5FC3B6" w:rsidR="3A5FC3B6">
              <w:rPr>
                <w:rFonts w:eastAsia="Times New Roman" w:cs="Calibri" w:cstheme="minorAscii"/>
                <w:color w:val="auto"/>
                <w:sz w:val="11"/>
                <w:szCs w:val="11"/>
                <w:lang w:eastAsia="en-GB"/>
              </w:rPr>
              <w:t> </w:t>
            </w:r>
          </w:p>
        </w:tc>
        <w:tc>
          <w:tcPr>
            <w:tcW w:w="348" w:type="pct"/>
            <w:tcBorders>
              <w:top w:val="single" w:color="auto" w:sz="4" w:space="0"/>
              <w:left w:val="nil"/>
              <w:bottom w:val="single" w:color="auto" w:sz="4" w:space="0"/>
              <w:right w:val="single" w:color="auto" w:sz="4" w:space="0"/>
            </w:tcBorders>
            <w:tcMar/>
            <w:vAlign w:val="center"/>
            <w:hideMark/>
          </w:tcPr>
          <w:p w:rsidRPr="00102FB5" w:rsidR="007926C7" w:rsidP="3A5FC3B6" w:rsidRDefault="007926C7" w14:paraId="7039ECEF" w14:textId="77777777" w14:noSpellErr="1">
            <w:pPr>
              <w:spacing w:after="0" w:line="240" w:lineRule="auto"/>
              <w:jc w:val="center"/>
              <w:rPr>
                <w:rFonts w:eastAsia="Times New Roman" w:cs="Calibri" w:cstheme="minorAscii"/>
                <w:b w:val="1"/>
                <w:bCs w:val="1"/>
                <w:color w:val="auto"/>
                <w:sz w:val="11"/>
                <w:szCs w:val="11"/>
                <w:lang w:eastAsia="en-GB"/>
              </w:rPr>
            </w:pPr>
            <w:r w:rsidRPr="3A5FC3B6" w:rsidR="3A5FC3B6">
              <w:rPr>
                <w:rFonts w:eastAsia="Times New Roman" w:cs="Calibri" w:cstheme="minorAscii"/>
                <w:b w:val="1"/>
                <w:bCs w:val="1"/>
                <w:color w:val="auto"/>
                <w:sz w:val="11"/>
                <w:szCs w:val="11"/>
                <w:lang w:eastAsia="en-GB"/>
              </w:rPr>
              <w:t>Screening and medical optimisation</w:t>
            </w:r>
          </w:p>
        </w:tc>
        <w:tc>
          <w:tcPr>
            <w:tcW w:w="303" w:type="pct"/>
            <w:tcBorders>
              <w:top w:val="single" w:color="auto" w:sz="4" w:space="0"/>
              <w:left w:val="nil"/>
              <w:bottom w:val="single" w:color="auto" w:sz="4" w:space="0"/>
              <w:right w:val="single" w:color="auto" w:sz="4" w:space="0"/>
            </w:tcBorders>
            <w:tcMar/>
            <w:vAlign w:val="center"/>
            <w:hideMark/>
          </w:tcPr>
          <w:p w:rsidRPr="00102FB5" w:rsidR="007926C7" w:rsidP="3A5FC3B6" w:rsidRDefault="007926C7" w14:paraId="79438ED2" w14:textId="77777777" w14:noSpellErr="1">
            <w:pPr>
              <w:spacing w:after="0" w:line="240" w:lineRule="auto"/>
              <w:jc w:val="center"/>
              <w:rPr>
                <w:rFonts w:eastAsia="Times New Roman" w:cs="Calibri" w:cstheme="minorAscii"/>
                <w:b w:val="1"/>
                <w:bCs w:val="1"/>
                <w:color w:val="auto"/>
                <w:sz w:val="11"/>
                <w:szCs w:val="11"/>
                <w:lang w:eastAsia="en-GB"/>
              </w:rPr>
            </w:pPr>
            <w:r w:rsidRPr="3A5FC3B6" w:rsidR="3A5FC3B6">
              <w:rPr>
                <w:rFonts w:eastAsia="Times New Roman" w:cs="Calibri" w:cstheme="minorAscii"/>
                <w:b w:val="1"/>
                <w:bCs w:val="1"/>
                <w:color w:val="auto"/>
                <w:sz w:val="11"/>
                <w:szCs w:val="11"/>
                <w:lang w:eastAsia="en-GB"/>
              </w:rPr>
              <w:t>Patient education</w:t>
            </w:r>
          </w:p>
        </w:tc>
        <w:tc>
          <w:tcPr>
            <w:tcW w:w="353" w:type="pct"/>
            <w:tcBorders>
              <w:top w:val="single" w:color="auto" w:sz="4" w:space="0"/>
              <w:left w:val="nil"/>
              <w:bottom w:val="single" w:color="auto" w:sz="4" w:space="0"/>
              <w:right w:val="single" w:color="auto" w:sz="4" w:space="0"/>
            </w:tcBorders>
            <w:tcMar/>
            <w:vAlign w:val="center"/>
            <w:hideMark/>
          </w:tcPr>
          <w:p w:rsidRPr="00102FB5" w:rsidR="007926C7" w:rsidP="3A5FC3B6" w:rsidRDefault="007926C7" w14:paraId="2FCB1430" w14:textId="77777777" w14:noSpellErr="1">
            <w:pPr>
              <w:spacing w:after="0" w:line="240" w:lineRule="auto"/>
              <w:jc w:val="center"/>
              <w:rPr>
                <w:rFonts w:eastAsia="Times New Roman" w:cs="Calibri" w:cstheme="minorAscii"/>
                <w:b w:val="1"/>
                <w:bCs w:val="1"/>
                <w:color w:val="auto"/>
                <w:sz w:val="11"/>
                <w:szCs w:val="11"/>
                <w:lang w:eastAsia="en-GB"/>
              </w:rPr>
            </w:pPr>
            <w:r w:rsidRPr="3A5FC3B6" w:rsidR="3A5FC3B6">
              <w:rPr>
                <w:rFonts w:eastAsia="Times New Roman" w:cs="Calibri" w:cstheme="minorAscii"/>
                <w:b w:val="1"/>
                <w:bCs w:val="1"/>
                <w:color w:val="auto"/>
                <w:sz w:val="11"/>
                <w:szCs w:val="11"/>
                <w:lang w:eastAsia="en-GB"/>
              </w:rPr>
              <w:t>Fasting / carbohydrate loading measures</w:t>
            </w:r>
          </w:p>
        </w:tc>
        <w:tc>
          <w:tcPr>
            <w:tcW w:w="303" w:type="pct"/>
            <w:tcBorders>
              <w:top w:val="single" w:color="auto" w:sz="4" w:space="0"/>
              <w:left w:val="nil"/>
              <w:bottom w:val="single" w:color="auto" w:sz="4" w:space="0"/>
              <w:right w:val="single" w:color="auto" w:sz="4" w:space="0"/>
            </w:tcBorders>
            <w:tcMar/>
            <w:vAlign w:val="center"/>
            <w:hideMark/>
          </w:tcPr>
          <w:p w:rsidRPr="00102FB5" w:rsidR="007926C7" w:rsidP="3A5FC3B6" w:rsidRDefault="007926C7" w14:paraId="1CD23FB2" w14:textId="77777777" w14:noSpellErr="1">
            <w:pPr>
              <w:spacing w:after="0" w:line="240" w:lineRule="auto"/>
              <w:jc w:val="center"/>
              <w:rPr>
                <w:rFonts w:eastAsia="Times New Roman" w:cs="Calibri" w:cstheme="minorAscii"/>
                <w:b w:val="1"/>
                <w:bCs w:val="1"/>
                <w:color w:val="auto"/>
                <w:sz w:val="11"/>
                <w:szCs w:val="11"/>
                <w:lang w:eastAsia="en-GB"/>
              </w:rPr>
            </w:pPr>
            <w:r w:rsidRPr="3A5FC3B6" w:rsidR="3A5FC3B6">
              <w:rPr>
                <w:rFonts w:eastAsia="Times New Roman" w:cs="Calibri" w:cstheme="minorAscii"/>
                <w:b w:val="1"/>
                <w:bCs w:val="1"/>
                <w:color w:val="auto"/>
                <w:sz w:val="11"/>
                <w:szCs w:val="11"/>
                <w:lang w:eastAsia="en-GB"/>
              </w:rPr>
              <w:t>Early antiemetics</w:t>
            </w:r>
          </w:p>
        </w:tc>
        <w:tc>
          <w:tcPr>
            <w:tcW w:w="252" w:type="pct"/>
            <w:tcBorders>
              <w:top w:val="single" w:color="auto" w:sz="4" w:space="0"/>
              <w:left w:val="nil"/>
              <w:bottom w:val="single" w:color="auto" w:sz="4" w:space="0"/>
              <w:right w:val="single" w:color="auto" w:sz="4" w:space="0"/>
            </w:tcBorders>
            <w:tcMar/>
            <w:vAlign w:val="center"/>
            <w:hideMark/>
          </w:tcPr>
          <w:p w:rsidRPr="00102FB5" w:rsidR="007926C7" w:rsidP="3A5FC3B6" w:rsidRDefault="007926C7" w14:paraId="48E2435D" w14:textId="77777777" w14:noSpellErr="1">
            <w:pPr>
              <w:spacing w:after="0" w:line="240" w:lineRule="auto"/>
              <w:jc w:val="center"/>
              <w:rPr>
                <w:rFonts w:eastAsia="Times New Roman" w:cs="Calibri" w:cstheme="minorAscii"/>
                <w:b w:val="1"/>
                <w:bCs w:val="1"/>
                <w:color w:val="auto"/>
                <w:sz w:val="11"/>
                <w:szCs w:val="11"/>
                <w:lang w:eastAsia="en-GB"/>
              </w:rPr>
            </w:pPr>
            <w:r w:rsidRPr="3A5FC3B6" w:rsidR="3A5FC3B6">
              <w:rPr>
                <w:rFonts w:eastAsia="Times New Roman" w:cs="Calibri" w:cstheme="minorAscii"/>
                <w:b w:val="1"/>
                <w:bCs w:val="1"/>
                <w:color w:val="auto"/>
                <w:sz w:val="11"/>
                <w:szCs w:val="11"/>
                <w:lang w:eastAsia="en-GB"/>
              </w:rPr>
              <w:t>Early analgesia</w:t>
            </w:r>
          </w:p>
        </w:tc>
        <w:tc>
          <w:tcPr>
            <w:tcW w:w="252" w:type="pct"/>
            <w:tcBorders>
              <w:top w:val="single" w:color="auto" w:sz="4" w:space="0"/>
              <w:left w:val="nil"/>
              <w:bottom w:val="nil"/>
              <w:right w:val="single" w:color="auto" w:sz="4" w:space="0"/>
            </w:tcBorders>
            <w:tcMar/>
            <w:vAlign w:val="center"/>
            <w:hideMark/>
          </w:tcPr>
          <w:p w:rsidRPr="00102FB5" w:rsidR="007926C7" w:rsidP="3A5FC3B6" w:rsidRDefault="007926C7" w14:paraId="2B3F2D5D" w14:textId="77777777" w14:noSpellErr="1">
            <w:pPr>
              <w:spacing w:after="0" w:line="240" w:lineRule="auto"/>
              <w:jc w:val="center"/>
              <w:rPr>
                <w:rFonts w:eastAsia="Times New Roman" w:cs="Calibri" w:cstheme="minorAscii"/>
                <w:b w:val="1"/>
                <w:bCs w:val="1"/>
                <w:color w:val="auto"/>
                <w:sz w:val="11"/>
                <w:szCs w:val="11"/>
                <w:lang w:eastAsia="en-GB"/>
              </w:rPr>
            </w:pPr>
            <w:r w:rsidRPr="3A5FC3B6" w:rsidR="3A5FC3B6">
              <w:rPr>
                <w:rFonts w:eastAsia="Times New Roman" w:cs="Calibri" w:cstheme="minorAscii"/>
                <w:b w:val="1"/>
                <w:bCs w:val="1"/>
                <w:color w:val="auto"/>
                <w:sz w:val="11"/>
                <w:szCs w:val="11"/>
                <w:lang w:eastAsia="en-GB"/>
              </w:rPr>
              <w:t>Patient warming</w:t>
            </w:r>
          </w:p>
        </w:tc>
        <w:tc>
          <w:tcPr>
            <w:tcW w:w="303" w:type="pct"/>
            <w:tcBorders>
              <w:top w:val="single" w:color="auto" w:sz="4" w:space="0"/>
              <w:left w:val="nil"/>
              <w:bottom w:val="nil"/>
              <w:right w:val="single" w:color="auto" w:sz="4" w:space="0"/>
            </w:tcBorders>
            <w:tcMar/>
            <w:vAlign w:val="center"/>
            <w:hideMark/>
          </w:tcPr>
          <w:p w:rsidRPr="00102FB5" w:rsidR="007926C7" w:rsidP="3A5FC3B6" w:rsidRDefault="007926C7" w14:paraId="31BC15D0" w14:textId="77777777" w14:noSpellErr="1">
            <w:pPr>
              <w:spacing w:after="0" w:line="240" w:lineRule="auto"/>
              <w:jc w:val="center"/>
              <w:rPr>
                <w:rFonts w:eastAsia="Times New Roman" w:cs="Calibri" w:cstheme="minorAscii"/>
                <w:b w:val="1"/>
                <w:bCs w:val="1"/>
                <w:color w:val="auto"/>
                <w:sz w:val="11"/>
                <w:szCs w:val="11"/>
                <w:lang w:eastAsia="en-GB"/>
              </w:rPr>
            </w:pPr>
            <w:r w:rsidRPr="3A5FC3B6" w:rsidR="3A5FC3B6">
              <w:rPr>
                <w:rFonts w:eastAsia="Times New Roman" w:cs="Calibri" w:cstheme="minorAscii"/>
                <w:b w:val="1"/>
                <w:bCs w:val="1"/>
                <w:color w:val="auto"/>
                <w:sz w:val="11"/>
                <w:szCs w:val="11"/>
                <w:lang w:eastAsia="en-GB"/>
              </w:rPr>
              <w:t>Goal-orientated fluids</w:t>
            </w:r>
          </w:p>
        </w:tc>
        <w:tc>
          <w:tcPr>
            <w:tcW w:w="303" w:type="pct"/>
            <w:tcBorders>
              <w:top w:val="single" w:color="auto" w:sz="4" w:space="0"/>
              <w:left w:val="nil"/>
              <w:bottom w:val="nil"/>
              <w:right w:val="single" w:color="auto" w:sz="4" w:space="0"/>
            </w:tcBorders>
            <w:tcMar/>
            <w:vAlign w:val="center"/>
            <w:hideMark/>
          </w:tcPr>
          <w:p w:rsidRPr="00102FB5" w:rsidR="007926C7" w:rsidP="3A5FC3B6" w:rsidRDefault="007926C7" w14:paraId="179D9BEA" w14:textId="77777777" w14:noSpellErr="1">
            <w:pPr>
              <w:spacing w:after="0" w:line="240" w:lineRule="auto"/>
              <w:jc w:val="center"/>
              <w:rPr>
                <w:rFonts w:eastAsia="Times New Roman" w:cs="Calibri" w:cstheme="minorAscii"/>
                <w:b w:val="1"/>
                <w:bCs w:val="1"/>
                <w:color w:val="auto"/>
                <w:sz w:val="11"/>
                <w:szCs w:val="11"/>
                <w:lang w:eastAsia="en-GB"/>
              </w:rPr>
            </w:pPr>
            <w:r w:rsidRPr="3A5FC3B6" w:rsidR="3A5FC3B6">
              <w:rPr>
                <w:rFonts w:eastAsia="Times New Roman" w:cs="Calibri" w:cstheme="minorAscii"/>
                <w:b w:val="1"/>
                <w:bCs w:val="1"/>
                <w:color w:val="auto"/>
                <w:sz w:val="11"/>
                <w:szCs w:val="11"/>
                <w:lang w:eastAsia="en-GB"/>
              </w:rPr>
              <w:t>Short-acting anaesthetic</w:t>
            </w:r>
          </w:p>
        </w:tc>
        <w:tc>
          <w:tcPr>
            <w:tcW w:w="353" w:type="pct"/>
            <w:tcBorders>
              <w:top w:val="single" w:color="auto" w:sz="4" w:space="0"/>
              <w:left w:val="nil"/>
              <w:bottom w:val="nil"/>
              <w:right w:val="single" w:color="auto" w:sz="4" w:space="0"/>
            </w:tcBorders>
            <w:tcMar/>
            <w:vAlign w:val="center"/>
            <w:hideMark/>
          </w:tcPr>
          <w:p w:rsidRPr="00102FB5" w:rsidR="007926C7" w:rsidP="3A5FC3B6" w:rsidRDefault="007926C7" w14:paraId="14732133" w14:textId="77777777" w14:noSpellErr="1">
            <w:pPr>
              <w:spacing w:after="0" w:line="240" w:lineRule="auto"/>
              <w:jc w:val="center"/>
              <w:rPr>
                <w:rFonts w:eastAsia="Times New Roman" w:cs="Calibri" w:cstheme="minorAscii"/>
                <w:b w:val="1"/>
                <w:bCs w:val="1"/>
                <w:color w:val="auto"/>
                <w:sz w:val="11"/>
                <w:szCs w:val="11"/>
                <w:lang w:eastAsia="en-GB"/>
              </w:rPr>
            </w:pPr>
            <w:r w:rsidRPr="3A5FC3B6" w:rsidR="3A5FC3B6">
              <w:rPr>
                <w:rFonts w:eastAsia="Times New Roman" w:cs="Calibri" w:cstheme="minorAscii"/>
                <w:b w:val="1"/>
                <w:bCs w:val="1"/>
                <w:color w:val="auto"/>
                <w:sz w:val="11"/>
                <w:szCs w:val="11"/>
                <w:lang w:eastAsia="en-GB"/>
              </w:rPr>
              <w:t>Opioid diminishment</w:t>
            </w:r>
          </w:p>
        </w:tc>
        <w:tc>
          <w:tcPr>
            <w:tcW w:w="303" w:type="pct"/>
            <w:tcBorders>
              <w:top w:val="single" w:color="auto" w:sz="4" w:space="0"/>
              <w:left w:val="nil"/>
              <w:bottom w:val="nil"/>
              <w:right w:val="single" w:color="auto" w:sz="4" w:space="0"/>
            </w:tcBorders>
            <w:tcMar/>
            <w:vAlign w:val="center"/>
            <w:hideMark/>
          </w:tcPr>
          <w:p w:rsidRPr="00102FB5" w:rsidR="007926C7" w:rsidP="3A5FC3B6" w:rsidRDefault="007926C7" w14:paraId="1FCD560E" w14:textId="77777777" w14:noSpellErr="1">
            <w:pPr>
              <w:spacing w:after="0" w:line="240" w:lineRule="auto"/>
              <w:jc w:val="center"/>
              <w:rPr>
                <w:rFonts w:eastAsia="Times New Roman" w:cs="Calibri" w:cstheme="minorAscii"/>
                <w:b w:val="1"/>
                <w:bCs w:val="1"/>
                <w:color w:val="auto"/>
                <w:sz w:val="11"/>
                <w:szCs w:val="11"/>
                <w:lang w:eastAsia="en-GB"/>
              </w:rPr>
            </w:pPr>
            <w:r w:rsidRPr="3A5FC3B6" w:rsidR="3A5FC3B6">
              <w:rPr>
                <w:rFonts w:eastAsia="Times New Roman" w:cs="Calibri" w:cstheme="minorAscii"/>
                <w:b w:val="1"/>
                <w:bCs w:val="1"/>
                <w:color w:val="auto"/>
                <w:sz w:val="11"/>
                <w:szCs w:val="11"/>
                <w:lang w:eastAsia="en-GB"/>
              </w:rPr>
              <w:t>Early mobilisation</w:t>
            </w:r>
          </w:p>
        </w:tc>
        <w:tc>
          <w:tcPr>
            <w:tcW w:w="303" w:type="pct"/>
            <w:tcBorders>
              <w:top w:val="single" w:color="auto" w:sz="4" w:space="0"/>
              <w:left w:val="nil"/>
              <w:bottom w:val="nil"/>
              <w:right w:val="single" w:color="auto" w:sz="4" w:space="0"/>
            </w:tcBorders>
            <w:tcMar/>
            <w:vAlign w:val="center"/>
            <w:hideMark/>
          </w:tcPr>
          <w:p w:rsidRPr="00102FB5" w:rsidR="007926C7" w:rsidP="3A5FC3B6" w:rsidRDefault="007926C7" w14:paraId="236B173A" w14:textId="77777777" w14:noSpellErr="1">
            <w:pPr>
              <w:spacing w:after="0" w:line="240" w:lineRule="auto"/>
              <w:jc w:val="center"/>
              <w:rPr>
                <w:rFonts w:eastAsia="Times New Roman" w:cs="Calibri" w:cstheme="minorAscii"/>
                <w:b w:val="1"/>
                <w:bCs w:val="1"/>
                <w:color w:val="auto"/>
                <w:sz w:val="11"/>
                <w:szCs w:val="11"/>
                <w:lang w:eastAsia="en-GB"/>
              </w:rPr>
            </w:pPr>
            <w:r w:rsidRPr="3A5FC3B6" w:rsidR="3A5FC3B6">
              <w:rPr>
                <w:rFonts w:eastAsia="Times New Roman" w:cs="Calibri" w:cstheme="minorAscii"/>
                <w:b w:val="1"/>
                <w:bCs w:val="1"/>
                <w:color w:val="auto"/>
                <w:sz w:val="11"/>
                <w:szCs w:val="11"/>
                <w:lang w:eastAsia="en-GB"/>
              </w:rPr>
              <w:t>Multimodal analgesia (epidural)</w:t>
            </w:r>
          </w:p>
        </w:tc>
        <w:tc>
          <w:tcPr>
            <w:tcW w:w="353" w:type="pct"/>
            <w:tcBorders>
              <w:top w:val="single" w:color="auto" w:sz="4" w:space="0"/>
              <w:left w:val="nil"/>
              <w:bottom w:val="nil"/>
              <w:right w:val="single" w:color="auto" w:sz="4" w:space="0"/>
            </w:tcBorders>
            <w:tcMar/>
            <w:vAlign w:val="center"/>
            <w:hideMark/>
          </w:tcPr>
          <w:p w:rsidRPr="00102FB5" w:rsidR="007926C7" w:rsidP="3A5FC3B6" w:rsidRDefault="007926C7" w14:paraId="5E66D220" w14:textId="77777777" w14:noSpellErr="1">
            <w:pPr>
              <w:spacing w:after="0" w:line="240" w:lineRule="auto"/>
              <w:jc w:val="center"/>
              <w:rPr>
                <w:rFonts w:eastAsia="Times New Roman" w:cs="Calibri" w:cstheme="minorAscii"/>
                <w:b w:val="1"/>
                <w:bCs w:val="1"/>
                <w:color w:val="auto"/>
                <w:sz w:val="11"/>
                <w:szCs w:val="11"/>
                <w:lang w:eastAsia="en-GB"/>
              </w:rPr>
            </w:pPr>
            <w:r w:rsidRPr="3A5FC3B6" w:rsidR="3A5FC3B6">
              <w:rPr>
                <w:rFonts w:eastAsia="Times New Roman" w:cs="Calibri" w:cstheme="minorAscii"/>
                <w:b w:val="1"/>
                <w:bCs w:val="1"/>
                <w:color w:val="auto"/>
                <w:sz w:val="11"/>
                <w:szCs w:val="11"/>
                <w:lang w:eastAsia="en-GB"/>
              </w:rPr>
              <w:t>Fluid management strategies</w:t>
            </w:r>
          </w:p>
        </w:tc>
        <w:tc>
          <w:tcPr>
            <w:tcW w:w="353" w:type="pct"/>
            <w:tcBorders>
              <w:top w:val="single" w:color="auto" w:sz="4" w:space="0"/>
              <w:left w:val="nil"/>
              <w:bottom w:val="nil"/>
              <w:right w:val="single" w:color="auto" w:sz="4" w:space="0"/>
            </w:tcBorders>
            <w:tcMar/>
            <w:vAlign w:val="center"/>
            <w:hideMark/>
          </w:tcPr>
          <w:p w:rsidRPr="00102FB5" w:rsidR="007926C7" w:rsidP="3A5FC3B6" w:rsidRDefault="007926C7" w14:paraId="29980F76" w14:textId="77777777" w14:noSpellErr="1">
            <w:pPr>
              <w:spacing w:after="0" w:line="240" w:lineRule="auto"/>
              <w:jc w:val="center"/>
              <w:rPr>
                <w:rFonts w:eastAsia="Times New Roman" w:cs="Calibri" w:cstheme="minorAscii"/>
                <w:b w:val="1"/>
                <w:bCs w:val="1"/>
                <w:color w:val="auto"/>
                <w:sz w:val="11"/>
                <w:szCs w:val="11"/>
                <w:lang w:eastAsia="en-GB"/>
              </w:rPr>
            </w:pPr>
            <w:r w:rsidRPr="3A5FC3B6" w:rsidR="3A5FC3B6">
              <w:rPr>
                <w:rFonts w:eastAsia="Times New Roman" w:cs="Calibri" w:cstheme="minorAscii"/>
                <w:b w:val="1"/>
                <w:bCs w:val="1"/>
                <w:color w:val="auto"/>
                <w:sz w:val="11"/>
                <w:szCs w:val="11"/>
                <w:lang w:eastAsia="en-GB"/>
              </w:rPr>
              <w:t>Long line</w:t>
            </w:r>
            <w:r w:rsidRPr="3A5FC3B6" w:rsidR="3A5FC3B6">
              <w:rPr>
                <w:rFonts w:eastAsia="Times New Roman" w:cs="Calibri" w:cstheme="minorAscii"/>
                <w:b w:val="1"/>
                <w:bCs w:val="1"/>
                <w:color w:val="auto"/>
                <w:sz w:val="11"/>
                <w:szCs w:val="11"/>
                <w:lang w:eastAsia="en-GB"/>
              </w:rPr>
              <w:t>, catheter and drain management</w:t>
            </w:r>
          </w:p>
        </w:tc>
        <w:tc>
          <w:tcPr>
            <w:tcW w:w="252" w:type="pct"/>
            <w:tcBorders>
              <w:top w:val="single" w:color="auto" w:sz="4" w:space="0"/>
              <w:left w:val="nil"/>
              <w:bottom w:val="nil"/>
              <w:right w:val="single" w:color="auto" w:sz="4" w:space="0"/>
            </w:tcBorders>
            <w:tcMar/>
            <w:vAlign w:val="center"/>
            <w:hideMark/>
          </w:tcPr>
          <w:p w:rsidRPr="00102FB5" w:rsidR="007926C7" w:rsidP="3A5FC3B6" w:rsidRDefault="007926C7" w14:paraId="4995E2AE" w14:textId="77777777" w14:noSpellErr="1">
            <w:pPr>
              <w:spacing w:after="0" w:line="240" w:lineRule="auto"/>
              <w:jc w:val="center"/>
              <w:rPr>
                <w:rFonts w:eastAsia="Times New Roman" w:cs="Calibri" w:cstheme="minorAscii"/>
                <w:b w:val="1"/>
                <w:bCs w:val="1"/>
                <w:color w:val="auto"/>
                <w:sz w:val="11"/>
                <w:szCs w:val="11"/>
                <w:lang w:eastAsia="en-GB"/>
              </w:rPr>
            </w:pPr>
            <w:r w:rsidRPr="3A5FC3B6" w:rsidR="3A5FC3B6">
              <w:rPr>
                <w:rFonts w:eastAsia="Times New Roman" w:cs="Calibri" w:cstheme="minorAscii"/>
                <w:b w:val="1"/>
                <w:bCs w:val="1"/>
                <w:color w:val="auto"/>
                <w:sz w:val="11"/>
                <w:szCs w:val="11"/>
                <w:lang w:eastAsia="en-GB"/>
              </w:rPr>
              <w:t>Regimens for bowels and diet</w:t>
            </w:r>
          </w:p>
        </w:tc>
        <w:tc>
          <w:tcPr>
            <w:tcW w:w="303" w:type="pct"/>
            <w:tcBorders>
              <w:top w:val="single" w:color="auto" w:sz="4" w:space="0"/>
              <w:left w:val="nil"/>
              <w:bottom w:val="nil"/>
              <w:right w:val="single" w:color="auto" w:sz="4" w:space="0"/>
            </w:tcBorders>
            <w:tcMar/>
            <w:vAlign w:val="center"/>
            <w:hideMark/>
          </w:tcPr>
          <w:p w:rsidRPr="00102FB5" w:rsidR="007926C7" w:rsidP="3A5FC3B6" w:rsidRDefault="007926C7" w14:paraId="16260BA0" w14:textId="77777777" w14:noSpellErr="1">
            <w:pPr>
              <w:spacing w:after="0" w:line="240" w:lineRule="auto"/>
              <w:jc w:val="center"/>
              <w:rPr>
                <w:rFonts w:eastAsia="Times New Roman" w:cs="Calibri" w:cstheme="minorAscii"/>
                <w:b w:val="1"/>
                <w:bCs w:val="1"/>
                <w:color w:val="auto"/>
                <w:sz w:val="11"/>
                <w:szCs w:val="11"/>
                <w:lang w:eastAsia="en-GB"/>
              </w:rPr>
            </w:pPr>
            <w:r w:rsidRPr="3A5FC3B6" w:rsidR="3A5FC3B6">
              <w:rPr>
                <w:rFonts w:eastAsia="Times New Roman" w:cs="Calibri" w:cstheme="minorAscii"/>
                <w:b w:val="1"/>
                <w:bCs w:val="1"/>
                <w:color w:val="auto"/>
                <w:sz w:val="11"/>
                <w:szCs w:val="11"/>
                <w:lang w:eastAsia="en-GB"/>
              </w:rPr>
              <w:t>Discharge co-ordination</w:t>
            </w:r>
          </w:p>
        </w:tc>
      </w:tr>
      <w:tr w:rsidRPr="007926C7" w:rsidR="007926C7" w:rsidTr="3A5FC3B6" w14:paraId="1EB3434E" w14:textId="77777777">
        <w:trPr>
          <w:trHeight w:val="285"/>
        </w:trPr>
        <w:tc>
          <w:tcPr>
            <w:tcW w:w="363" w:type="pct"/>
            <w:tcBorders>
              <w:top w:val="nil"/>
              <w:left w:val="single" w:color="auto" w:sz="4" w:space="0"/>
              <w:bottom w:val="single" w:color="auto" w:sz="4" w:space="0"/>
              <w:right w:val="single" w:color="auto" w:sz="4" w:space="0"/>
            </w:tcBorders>
            <w:noWrap/>
            <w:tcMar/>
            <w:vAlign w:val="center"/>
            <w:hideMark/>
          </w:tcPr>
          <w:p w:rsidRPr="00102FB5" w:rsidR="007926C7" w:rsidP="3A5FC3B6" w:rsidRDefault="007926C7" w14:paraId="175EEA6A" w14:textId="77777777">
            <w:pPr>
              <w:spacing w:after="0" w:line="240" w:lineRule="auto"/>
              <w:jc w:val="center"/>
              <w:rPr>
                <w:rFonts w:eastAsia="Times New Roman" w:cs="Calibri" w:cstheme="minorAscii"/>
                <w:b w:val="1"/>
                <w:bCs w:val="1"/>
                <w:color w:val="auto"/>
                <w:sz w:val="11"/>
                <w:szCs w:val="11"/>
                <w:lang w:eastAsia="en-GB"/>
              </w:rPr>
            </w:pPr>
            <w:r w:rsidRPr="3A5FC3B6" w:rsidR="3A5FC3B6">
              <w:rPr>
                <w:rFonts w:eastAsia="Times New Roman" w:cs="Calibri" w:cstheme="minorAscii"/>
                <w:b w:val="1"/>
                <w:bCs w:val="1"/>
                <w:color w:val="auto"/>
                <w:sz w:val="11"/>
                <w:szCs w:val="11"/>
                <w:lang w:eastAsia="en-GB"/>
              </w:rPr>
              <w:t>Brustia</w:t>
            </w:r>
          </w:p>
        </w:tc>
        <w:tc>
          <w:tcPr>
            <w:tcW w:w="348" w:type="pct"/>
            <w:tcBorders>
              <w:top w:val="nil"/>
              <w:left w:val="nil"/>
              <w:bottom w:val="single" w:color="auto" w:sz="4" w:space="0"/>
              <w:right w:val="single" w:color="auto" w:sz="4" w:space="0"/>
            </w:tcBorders>
            <w:tcMar/>
            <w:vAlign w:val="center"/>
            <w:hideMark/>
          </w:tcPr>
          <w:p w:rsidRPr="00102FB5" w:rsidR="007926C7" w:rsidP="3A5FC3B6" w:rsidRDefault="007926C7" w14:paraId="2F53A339" w14:textId="77777777" w14:noSpellErr="1">
            <w:pPr>
              <w:spacing w:after="0" w:line="240" w:lineRule="auto"/>
              <w:jc w:val="center"/>
              <w:rPr>
                <w:rFonts w:eastAsia="Times New Roman" w:cs="Calibri" w:cstheme="minorAscii"/>
                <w:color w:val="auto"/>
                <w:sz w:val="11"/>
                <w:szCs w:val="11"/>
                <w:lang w:eastAsia="en-GB"/>
              </w:rPr>
            </w:pPr>
            <w:r w:rsidRPr="3A5FC3B6" w:rsidR="3A5FC3B6">
              <w:rPr>
                <w:rFonts w:eastAsia="Times New Roman" w:cs="Calibri" w:cstheme="minorAscii"/>
                <w:color w:val="auto"/>
                <w:sz w:val="11"/>
                <w:szCs w:val="11"/>
                <w:lang w:eastAsia="en-GB"/>
              </w:rPr>
              <w:t>N/A</w:t>
            </w:r>
          </w:p>
        </w:tc>
        <w:tc>
          <w:tcPr>
            <w:tcW w:w="303" w:type="pct"/>
            <w:tcBorders>
              <w:top w:val="nil"/>
              <w:left w:val="nil"/>
              <w:bottom w:val="single" w:color="auto" w:sz="4" w:space="0"/>
              <w:right w:val="single" w:color="auto" w:sz="4" w:space="0"/>
            </w:tcBorders>
            <w:tcMar/>
            <w:vAlign w:val="center"/>
            <w:hideMark/>
          </w:tcPr>
          <w:p w:rsidRPr="00102FB5" w:rsidR="007926C7" w:rsidP="3A5FC3B6" w:rsidRDefault="007926C7" w14:paraId="36A99CD2" w14:textId="77777777" w14:noSpellErr="1">
            <w:pPr>
              <w:spacing w:after="0" w:line="240" w:lineRule="auto"/>
              <w:jc w:val="center"/>
              <w:rPr>
                <w:rFonts w:eastAsia="Times New Roman" w:cs="Calibri" w:cstheme="minorAscii"/>
                <w:color w:val="auto"/>
                <w:sz w:val="11"/>
                <w:szCs w:val="11"/>
                <w:lang w:eastAsia="en-GB"/>
              </w:rPr>
            </w:pPr>
            <w:r w:rsidRPr="3A5FC3B6" w:rsidR="3A5FC3B6">
              <w:rPr>
                <w:rFonts w:eastAsia="Times New Roman" w:cs="Calibri" w:cstheme="minorAscii"/>
                <w:color w:val="auto"/>
                <w:sz w:val="11"/>
                <w:szCs w:val="11"/>
                <w:lang w:eastAsia="en-GB"/>
              </w:rPr>
              <w:t>Y</w:t>
            </w:r>
          </w:p>
        </w:tc>
        <w:tc>
          <w:tcPr>
            <w:tcW w:w="353" w:type="pct"/>
            <w:tcBorders>
              <w:top w:val="nil"/>
              <w:left w:val="nil"/>
              <w:bottom w:val="single" w:color="auto" w:sz="4" w:space="0"/>
              <w:right w:val="single" w:color="auto" w:sz="4" w:space="0"/>
            </w:tcBorders>
            <w:tcMar/>
            <w:vAlign w:val="center"/>
            <w:hideMark/>
          </w:tcPr>
          <w:p w:rsidRPr="00102FB5" w:rsidR="007926C7" w:rsidP="3A5FC3B6" w:rsidRDefault="007926C7" w14:paraId="23F1F956" w14:textId="77777777" w14:noSpellErr="1">
            <w:pPr>
              <w:spacing w:after="0" w:line="240" w:lineRule="auto"/>
              <w:jc w:val="center"/>
              <w:rPr>
                <w:rFonts w:eastAsia="Times New Roman" w:cs="Calibri" w:cstheme="minorAscii"/>
                <w:color w:val="auto"/>
                <w:sz w:val="11"/>
                <w:szCs w:val="11"/>
                <w:lang w:eastAsia="en-GB"/>
              </w:rPr>
            </w:pPr>
            <w:r w:rsidRPr="3A5FC3B6" w:rsidR="3A5FC3B6">
              <w:rPr>
                <w:rFonts w:eastAsia="Times New Roman" w:cs="Calibri" w:cstheme="minorAscii"/>
                <w:color w:val="auto"/>
                <w:sz w:val="11"/>
                <w:szCs w:val="11"/>
                <w:lang w:eastAsia="en-GB"/>
              </w:rPr>
              <w:t>N/A</w:t>
            </w:r>
          </w:p>
        </w:tc>
        <w:tc>
          <w:tcPr>
            <w:tcW w:w="303" w:type="pct"/>
            <w:tcBorders>
              <w:top w:val="nil"/>
              <w:left w:val="nil"/>
              <w:bottom w:val="single" w:color="auto" w:sz="4" w:space="0"/>
              <w:right w:val="single" w:color="auto" w:sz="4" w:space="0"/>
            </w:tcBorders>
            <w:tcMar/>
            <w:vAlign w:val="center"/>
            <w:hideMark/>
          </w:tcPr>
          <w:p w:rsidRPr="00102FB5" w:rsidR="007926C7" w:rsidP="3A5FC3B6" w:rsidRDefault="007926C7" w14:paraId="14F711F1" w14:textId="77777777" w14:noSpellErr="1">
            <w:pPr>
              <w:spacing w:after="0" w:line="240" w:lineRule="auto"/>
              <w:jc w:val="center"/>
              <w:rPr>
                <w:rFonts w:eastAsia="Times New Roman" w:cs="Calibri" w:cstheme="minorAscii"/>
                <w:color w:val="auto"/>
                <w:sz w:val="11"/>
                <w:szCs w:val="11"/>
                <w:lang w:eastAsia="en-GB"/>
              </w:rPr>
            </w:pPr>
            <w:r w:rsidRPr="3A5FC3B6" w:rsidR="3A5FC3B6">
              <w:rPr>
                <w:rFonts w:eastAsia="Times New Roman" w:cs="Calibri" w:cstheme="minorAscii"/>
                <w:color w:val="auto"/>
                <w:sz w:val="11"/>
                <w:szCs w:val="11"/>
                <w:lang w:eastAsia="en-GB"/>
              </w:rPr>
              <w:t>N/A</w:t>
            </w:r>
          </w:p>
        </w:tc>
        <w:tc>
          <w:tcPr>
            <w:tcW w:w="252" w:type="pct"/>
            <w:tcBorders>
              <w:top w:val="nil"/>
              <w:left w:val="nil"/>
              <w:bottom w:val="single" w:color="auto" w:sz="4" w:space="0"/>
              <w:right w:val="single" w:color="auto" w:sz="4" w:space="0"/>
            </w:tcBorders>
            <w:tcMar/>
            <w:vAlign w:val="center"/>
            <w:hideMark/>
          </w:tcPr>
          <w:p w:rsidRPr="00102FB5" w:rsidR="007926C7" w:rsidP="3A5FC3B6" w:rsidRDefault="007926C7" w14:paraId="6577F8C8" w14:textId="77777777" w14:noSpellErr="1">
            <w:pPr>
              <w:spacing w:after="0" w:line="240" w:lineRule="auto"/>
              <w:jc w:val="center"/>
              <w:rPr>
                <w:rFonts w:eastAsia="Times New Roman" w:cs="Calibri" w:cstheme="minorAscii"/>
                <w:color w:val="auto"/>
                <w:sz w:val="11"/>
                <w:szCs w:val="11"/>
                <w:lang w:eastAsia="en-GB"/>
              </w:rPr>
            </w:pPr>
            <w:r w:rsidRPr="3A5FC3B6" w:rsidR="3A5FC3B6">
              <w:rPr>
                <w:rFonts w:eastAsia="Times New Roman" w:cs="Calibri" w:cstheme="minorAscii"/>
                <w:color w:val="auto"/>
                <w:sz w:val="11"/>
                <w:szCs w:val="11"/>
                <w:lang w:eastAsia="en-GB"/>
              </w:rPr>
              <w:t>N/A</w:t>
            </w:r>
          </w:p>
        </w:tc>
        <w:tc>
          <w:tcPr>
            <w:tcW w:w="252" w:type="pct"/>
            <w:tcBorders>
              <w:top w:val="single" w:color="auto" w:sz="4" w:space="0"/>
              <w:left w:val="nil"/>
              <w:bottom w:val="single" w:color="auto" w:sz="4" w:space="0"/>
              <w:right w:val="single" w:color="auto" w:sz="4" w:space="0"/>
            </w:tcBorders>
            <w:tcMar/>
            <w:vAlign w:val="center"/>
            <w:hideMark/>
          </w:tcPr>
          <w:p w:rsidRPr="00102FB5" w:rsidR="007926C7" w:rsidP="3A5FC3B6" w:rsidRDefault="007926C7" w14:paraId="468FED44" w14:textId="77777777" w14:noSpellErr="1">
            <w:pPr>
              <w:spacing w:after="0" w:line="240" w:lineRule="auto"/>
              <w:jc w:val="center"/>
              <w:rPr>
                <w:rFonts w:eastAsia="Times New Roman" w:cs="Calibri" w:cstheme="minorAscii"/>
                <w:color w:val="auto"/>
                <w:sz w:val="11"/>
                <w:szCs w:val="11"/>
                <w:lang w:eastAsia="en-GB"/>
              </w:rPr>
            </w:pPr>
            <w:r w:rsidRPr="3A5FC3B6" w:rsidR="3A5FC3B6">
              <w:rPr>
                <w:rFonts w:eastAsia="Times New Roman" w:cs="Calibri" w:cstheme="minorAscii"/>
                <w:color w:val="auto"/>
                <w:sz w:val="11"/>
                <w:szCs w:val="11"/>
                <w:lang w:eastAsia="en-GB"/>
              </w:rPr>
              <w:t>N/A</w:t>
            </w:r>
          </w:p>
        </w:tc>
        <w:tc>
          <w:tcPr>
            <w:tcW w:w="303" w:type="pct"/>
            <w:tcBorders>
              <w:top w:val="single" w:color="auto" w:sz="4" w:space="0"/>
              <w:left w:val="nil"/>
              <w:bottom w:val="single" w:color="auto" w:sz="4" w:space="0"/>
              <w:right w:val="single" w:color="auto" w:sz="4" w:space="0"/>
            </w:tcBorders>
            <w:tcMar/>
            <w:vAlign w:val="center"/>
            <w:hideMark/>
          </w:tcPr>
          <w:p w:rsidRPr="00102FB5" w:rsidR="007926C7" w:rsidP="3A5FC3B6" w:rsidRDefault="007926C7" w14:paraId="1A8E3707" w14:textId="77777777" w14:noSpellErr="1">
            <w:pPr>
              <w:spacing w:after="0" w:line="240" w:lineRule="auto"/>
              <w:jc w:val="center"/>
              <w:rPr>
                <w:rFonts w:eastAsia="Times New Roman" w:cs="Calibri" w:cstheme="minorAscii"/>
                <w:color w:val="auto"/>
                <w:sz w:val="11"/>
                <w:szCs w:val="11"/>
                <w:lang w:eastAsia="en-GB"/>
              </w:rPr>
            </w:pPr>
            <w:r w:rsidRPr="3A5FC3B6" w:rsidR="3A5FC3B6">
              <w:rPr>
                <w:rFonts w:eastAsia="Times New Roman" w:cs="Calibri" w:cstheme="minorAscii"/>
                <w:color w:val="auto"/>
                <w:sz w:val="11"/>
                <w:szCs w:val="11"/>
                <w:lang w:eastAsia="en-GB"/>
              </w:rPr>
              <w:t>N/A</w:t>
            </w:r>
          </w:p>
        </w:tc>
        <w:tc>
          <w:tcPr>
            <w:tcW w:w="303" w:type="pct"/>
            <w:tcBorders>
              <w:top w:val="single" w:color="auto" w:sz="4" w:space="0"/>
              <w:left w:val="nil"/>
              <w:bottom w:val="single" w:color="auto" w:sz="4" w:space="0"/>
              <w:right w:val="single" w:color="auto" w:sz="4" w:space="0"/>
            </w:tcBorders>
            <w:tcMar/>
            <w:vAlign w:val="center"/>
            <w:hideMark/>
          </w:tcPr>
          <w:p w:rsidRPr="00102FB5" w:rsidR="007926C7" w:rsidP="3A5FC3B6" w:rsidRDefault="007926C7" w14:paraId="5CE1BB8B" w14:textId="77777777" w14:noSpellErr="1">
            <w:pPr>
              <w:spacing w:after="0" w:line="240" w:lineRule="auto"/>
              <w:jc w:val="center"/>
              <w:rPr>
                <w:rFonts w:eastAsia="Times New Roman" w:cs="Calibri" w:cstheme="minorAscii"/>
                <w:color w:val="auto"/>
                <w:sz w:val="11"/>
                <w:szCs w:val="11"/>
                <w:lang w:eastAsia="en-GB"/>
              </w:rPr>
            </w:pPr>
            <w:r w:rsidRPr="3A5FC3B6" w:rsidR="3A5FC3B6">
              <w:rPr>
                <w:rFonts w:eastAsia="Times New Roman" w:cs="Calibri" w:cstheme="minorAscii"/>
                <w:color w:val="auto"/>
                <w:sz w:val="11"/>
                <w:szCs w:val="11"/>
                <w:lang w:eastAsia="en-GB"/>
              </w:rPr>
              <w:t>Y</w:t>
            </w:r>
          </w:p>
        </w:tc>
        <w:tc>
          <w:tcPr>
            <w:tcW w:w="353" w:type="pct"/>
            <w:tcBorders>
              <w:top w:val="single" w:color="auto" w:sz="4" w:space="0"/>
              <w:left w:val="nil"/>
              <w:bottom w:val="single" w:color="auto" w:sz="4" w:space="0"/>
              <w:right w:val="single" w:color="auto" w:sz="4" w:space="0"/>
            </w:tcBorders>
            <w:tcMar/>
            <w:vAlign w:val="center"/>
            <w:hideMark/>
          </w:tcPr>
          <w:p w:rsidRPr="00102FB5" w:rsidR="007926C7" w:rsidP="3A5FC3B6" w:rsidRDefault="007926C7" w14:paraId="5AE49F95" w14:textId="77777777" w14:noSpellErr="1">
            <w:pPr>
              <w:spacing w:after="0" w:line="240" w:lineRule="auto"/>
              <w:jc w:val="center"/>
              <w:rPr>
                <w:rFonts w:eastAsia="Times New Roman" w:cs="Calibri" w:cstheme="minorAscii"/>
                <w:color w:val="auto"/>
                <w:sz w:val="11"/>
                <w:szCs w:val="11"/>
                <w:lang w:eastAsia="en-GB"/>
              </w:rPr>
            </w:pPr>
            <w:r w:rsidRPr="3A5FC3B6" w:rsidR="3A5FC3B6">
              <w:rPr>
                <w:rFonts w:eastAsia="Times New Roman" w:cs="Calibri" w:cstheme="minorAscii"/>
                <w:color w:val="auto"/>
                <w:sz w:val="11"/>
                <w:szCs w:val="11"/>
                <w:lang w:eastAsia="en-GB"/>
              </w:rPr>
              <w:t>Y</w:t>
            </w:r>
          </w:p>
        </w:tc>
        <w:tc>
          <w:tcPr>
            <w:tcW w:w="303" w:type="pct"/>
            <w:tcBorders>
              <w:top w:val="single" w:color="auto" w:sz="4" w:space="0"/>
              <w:left w:val="nil"/>
              <w:bottom w:val="single" w:color="auto" w:sz="4" w:space="0"/>
              <w:right w:val="single" w:color="auto" w:sz="4" w:space="0"/>
            </w:tcBorders>
            <w:tcMar/>
            <w:vAlign w:val="center"/>
            <w:hideMark/>
          </w:tcPr>
          <w:p w:rsidRPr="00102FB5" w:rsidR="007926C7" w:rsidP="3A5FC3B6" w:rsidRDefault="007926C7" w14:paraId="0FCAFA0A" w14:textId="77777777" w14:noSpellErr="1">
            <w:pPr>
              <w:spacing w:after="0" w:line="240" w:lineRule="auto"/>
              <w:jc w:val="center"/>
              <w:rPr>
                <w:rFonts w:eastAsia="Times New Roman" w:cs="Calibri" w:cstheme="minorAscii"/>
                <w:color w:val="auto"/>
                <w:sz w:val="11"/>
                <w:szCs w:val="11"/>
                <w:lang w:eastAsia="en-GB"/>
              </w:rPr>
            </w:pPr>
            <w:r w:rsidRPr="3A5FC3B6" w:rsidR="3A5FC3B6">
              <w:rPr>
                <w:rFonts w:eastAsia="Times New Roman" w:cs="Calibri" w:cstheme="minorAscii"/>
                <w:color w:val="auto"/>
                <w:sz w:val="11"/>
                <w:szCs w:val="11"/>
                <w:lang w:eastAsia="en-GB"/>
              </w:rPr>
              <w:t>Y</w:t>
            </w:r>
          </w:p>
        </w:tc>
        <w:tc>
          <w:tcPr>
            <w:tcW w:w="303" w:type="pct"/>
            <w:tcBorders>
              <w:top w:val="single" w:color="auto" w:sz="4" w:space="0"/>
              <w:left w:val="nil"/>
              <w:bottom w:val="single" w:color="auto" w:sz="4" w:space="0"/>
              <w:right w:val="single" w:color="auto" w:sz="4" w:space="0"/>
            </w:tcBorders>
            <w:tcMar/>
            <w:vAlign w:val="center"/>
            <w:hideMark/>
          </w:tcPr>
          <w:p w:rsidRPr="00102FB5" w:rsidR="007926C7" w:rsidP="3A5FC3B6" w:rsidRDefault="007926C7" w14:paraId="78E6FC1D" w14:textId="77777777" w14:noSpellErr="1">
            <w:pPr>
              <w:spacing w:after="0" w:line="240" w:lineRule="auto"/>
              <w:jc w:val="center"/>
              <w:rPr>
                <w:rFonts w:eastAsia="Times New Roman" w:cs="Calibri" w:cstheme="minorAscii"/>
                <w:color w:val="auto"/>
                <w:sz w:val="11"/>
                <w:szCs w:val="11"/>
                <w:lang w:eastAsia="en-GB"/>
              </w:rPr>
            </w:pPr>
            <w:r w:rsidRPr="3A5FC3B6" w:rsidR="3A5FC3B6">
              <w:rPr>
                <w:rFonts w:eastAsia="Times New Roman" w:cs="Calibri" w:cstheme="minorAscii"/>
                <w:color w:val="auto"/>
                <w:sz w:val="11"/>
                <w:szCs w:val="11"/>
                <w:lang w:eastAsia="en-GB"/>
              </w:rPr>
              <w:t>Y</w:t>
            </w:r>
          </w:p>
        </w:tc>
        <w:tc>
          <w:tcPr>
            <w:tcW w:w="353" w:type="pct"/>
            <w:tcBorders>
              <w:top w:val="single" w:color="auto" w:sz="4" w:space="0"/>
              <w:left w:val="nil"/>
              <w:bottom w:val="single" w:color="auto" w:sz="4" w:space="0"/>
              <w:right w:val="single" w:color="auto" w:sz="4" w:space="0"/>
            </w:tcBorders>
            <w:tcMar/>
            <w:vAlign w:val="center"/>
            <w:hideMark/>
          </w:tcPr>
          <w:p w:rsidRPr="00102FB5" w:rsidR="007926C7" w:rsidP="3A5FC3B6" w:rsidRDefault="007926C7" w14:paraId="5062E45D" w14:textId="77777777" w14:noSpellErr="1">
            <w:pPr>
              <w:spacing w:after="0" w:line="240" w:lineRule="auto"/>
              <w:jc w:val="center"/>
              <w:rPr>
                <w:rFonts w:eastAsia="Times New Roman" w:cs="Calibri" w:cstheme="minorAscii"/>
                <w:color w:val="auto"/>
                <w:sz w:val="11"/>
                <w:szCs w:val="11"/>
                <w:lang w:eastAsia="en-GB"/>
              </w:rPr>
            </w:pPr>
            <w:r w:rsidRPr="3A5FC3B6" w:rsidR="3A5FC3B6">
              <w:rPr>
                <w:rFonts w:eastAsia="Times New Roman" w:cs="Calibri" w:cstheme="minorAscii"/>
                <w:color w:val="auto"/>
                <w:sz w:val="11"/>
                <w:szCs w:val="11"/>
                <w:lang w:eastAsia="en-GB"/>
              </w:rPr>
              <w:t>N/A</w:t>
            </w:r>
          </w:p>
        </w:tc>
        <w:tc>
          <w:tcPr>
            <w:tcW w:w="353" w:type="pct"/>
            <w:tcBorders>
              <w:top w:val="single" w:color="auto" w:sz="4" w:space="0"/>
              <w:left w:val="nil"/>
              <w:bottom w:val="single" w:color="auto" w:sz="4" w:space="0"/>
              <w:right w:val="single" w:color="auto" w:sz="4" w:space="0"/>
            </w:tcBorders>
            <w:tcMar/>
            <w:vAlign w:val="center"/>
            <w:hideMark/>
          </w:tcPr>
          <w:p w:rsidRPr="00102FB5" w:rsidR="007926C7" w:rsidP="3A5FC3B6" w:rsidRDefault="007926C7" w14:paraId="7CDF9920" w14:textId="77777777" w14:noSpellErr="1">
            <w:pPr>
              <w:spacing w:after="0" w:line="240" w:lineRule="auto"/>
              <w:jc w:val="center"/>
              <w:rPr>
                <w:rFonts w:eastAsia="Times New Roman" w:cs="Calibri" w:cstheme="minorAscii"/>
                <w:color w:val="auto"/>
                <w:sz w:val="11"/>
                <w:szCs w:val="11"/>
                <w:lang w:eastAsia="en-GB"/>
              </w:rPr>
            </w:pPr>
            <w:r w:rsidRPr="3A5FC3B6" w:rsidR="3A5FC3B6">
              <w:rPr>
                <w:rFonts w:eastAsia="Times New Roman" w:cs="Calibri" w:cstheme="minorAscii"/>
                <w:color w:val="auto"/>
                <w:sz w:val="11"/>
                <w:szCs w:val="11"/>
                <w:lang w:eastAsia="en-GB"/>
              </w:rPr>
              <w:t>Y</w:t>
            </w:r>
          </w:p>
        </w:tc>
        <w:tc>
          <w:tcPr>
            <w:tcW w:w="252" w:type="pct"/>
            <w:tcBorders>
              <w:top w:val="single" w:color="auto" w:sz="4" w:space="0"/>
              <w:left w:val="nil"/>
              <w:bottom w:val="single" w:color="auto" w:sz="4" w:space="0"/>
              <w:right w:val="single" w:color="auto" w:sz="4" w:space="0"/>
            </w:tcBorders>
            <w:tcMar/>
            <w:vAlign w:val="center"/>
            <w:hideMark/>
          </w:tcPr>
          <w:p w:rsidRPr="00102FB5" w:rsidR="007926C7" w:rsidP="3A5FC3B6" w:rsidRDefault="007926C7" w14:paraId="29025C8F" w14:textId="77777777" w14:noSpellErr="1">
            <w:pPr>
              <w:spacing w:after="0" w:line="240" w:lineRule="auto"/>
              <w:jc w:val="center"/>
              <w:rPr>
                <w:rFonts w:eastAsia="Times New Roman" w:cs="Calibri" w:cstheme="minorAscii"/>
                <w:color w:val="auto"/>
                <w:sz w:val="11"/>
                <w:szCs w:val="11"/>
                <w:lang w:eastAsia="en-GB"/>
              </w:rPr>
            </w:pPr>
            <w:r w:rsidRPr="3A5FC3B6" w:rsidR="3A5FC3B6">
              <w:rPr>
                <w:rFonts w:eastAsia="Times New Roman" w:cs="Calibri" w:cstheme="minorAscii"/>
                <w:color w:val="auto"/>
                <w:sz w:val="11"/>
                <w:szCs w:val="11"/>
                <w:lang w:eastAsia="en-GB"/>
              </w:rPr>
              <w:t>Y</w:t>
            </w:r>
          </w:p>
        </w:tc>
        <w:tc>
          <w:tcPr>
            <w:tcW w:w="303" w:type="pct"/>
            <w:tcBorders>
              <w:top w:val="single" w:color="auto" w:sz="4" w:space="0"/>
              <w:left w:val="nil"/>
              <w:bottom w:val="single" w:color="auto" w:sz="4" w:space="0"/>
              <w:right w:val="single" w:color="auto" w:sz="4" w:space="0"/>
            </w:tcBorders>
            <w:tcMar/>
            <w:vAlign w:val="center"/>
            <w:hideMark/>
          </w:tcPr>
          <w:p w:rsidRPr="00102FB5" w:rsidR="007926C7" w:rsidP="3A5FC3B6" w:rsidRDefault="007926C7" w14:paraId="5AA59E35" w14:textId="77777777" w14:noSpellErr="1">
            <w:pPr>
              <w:spacing w:after="0" w:line="240" w:lineRule="auto"/>
              <w:jc w:val="center"/>
              <w:rPr>
                <w:rFonts w:eastAsia="Times New Roman" w:cs="Calibri" w:cstheme="minorAscii"/>
                <w:color w:val="auto"/>
                <w:sz w:val="11"/>
                <w:szCs w:val="11"/>
                <w:lang w:eastAsia="en-GB"/>
              </w:rPr>
            </w:pPr>
            <w:r w:rsidRPr="3A5FC3B6" w:rsidR="3A5FC3B6">
              <w:rPr>
                <w:rFonts w:eastAsia="Times New Roman" w:cs="Calibri" w:cstheme="minorAscii"/>
                <w:color w:val="auto"/>
                <w:sz w:val="11"/>
                <w:szCs w:val="11"/>
                <w:lang w:eastAsia="en-GB"/>
              </w:rPr>
              <w:t>Y</w:t>
            </w:r>
          </w:p>
        </w:tc>
      </w:tr>
      <w:tr w:rsidRPr="007926C7" w:rsidR="007926C7" w:rsidTr="3A5FC3B6" w14:paraId="52E78414" w14:textId="77777777">
        <w:trPr>
          <w:trHeight w:val="285"/>
        </w:trPr>
        <w:tc>
          <w:tcPr>
            <w:tcW w:w="363" w:type="pct"/>
            <w:tcBorders>
              <w:top w:val="nil"/>
              <w:left w:val="single" w:color="auto" w:sz="4" w:space="0"/>
              <w:bottom w:val="single" w:color="auto" w:sz="4" w:space="0"/>
              <w:right w:val="single" w:color="auto" w:sz="4" w:space="0"/>
            </w:tcBorders>
            <w:noWrap/>
            <w:tcMar/>
            <w:vAlign w:val="center"/>
            <w:hideMark/>
          </w:tcPr>
          <w:p w:rsidRPr="00102FB5" w:rsidR="007926C7" w:rsidP="3A5FC3B6" w:rsidRDefault="007926C7" w14:paraId="5E29B7F6" w14:textId="77777777">
            <w:pPr>
              <w:spacing w:after="0" w:line="240" w:lineRule="auto"/>
              <w:jc w:val="center"/>
              <w:rPr>
                <w:rFonts w:eastAsia="Times New Roman" w:cs="Calibri" w:cstheme="minorAscii"/>
                <w:b w:val="1"/>
                <w:bCs w:val="1"/>
                <w:color w:val="auto"/>
                <w:sz w:val="11"/>
                <w:szCs w:val="11"/>
                <w:lang w:eastAsia="en-GB"/>
              </w:rPr>
            </w:pPr>
            <w:r w:rsidRPr="3A5FC3B6" w:rsidR="3A5FC3B6">
              <w:rPr>
                <w:rFonts w:eastAsia="Times New Roman" w:cs="Calibri" w:cstheme="minorAscii"/>
                <w:b w:val="1"/>
                <w:bCs w:val="1"/>
                <w:color w:val="auto"/>
                <w:sz w:val="11"/>
                <w:szCs w:val="11"/>
                <w:lang w:eastAsia="en-GB"/>
              </w:rPr>
              <w:t>Feo</w:t>
            </w:r>
          </w:p>
        </w:tc>
        <w:tc>
          <w:tcPr>
            <w:tcW w:w="348" w:type="pct"/>
            <w:tcBorders>
              <w:top w:val="nil"/>
              <w:left w:val="nil"/>
              <w:bottom w:val="single" w:color="auto" w:sz="4" w:space="0"/>
              <w:right w:val="single" w:color="auto" w:sz="4" w:space="0"/>
            </w:tcBorders>
            <w:tcMar/>
            <w:vAlign w:val="center"/>
            <w:hideMark/>
          </w:tcPr>
          <w:p w:rsidRPr="00102FB5" w:rsidR="007926C7" w:rsidP="3A5FC3B6" w:rsidRDefault="007926C7" w14:paraId="01835427" w14:textId="77777777" w14:noSpellErr="1">
            <w:pPr>
              <w:spacing w:after="0" w:line="240" w:lineRule="auto"/>
              <w:jc w:val="center"/>
              <w:rPr>
                <w:rFonts w:eastAsia="Times New Roman" w:cs="Calibri" w:cstheme="minorAscii"/>
                <w:color w:val="auto"/>
                <w:sz w:val="11"/>
                <w:szCs w:val="11"/>
                <w:lang w:eastAsia="en-GB"/>
              </w:rPr>
            </w:pPr>
            <w:r w:rsidRPr="3A5FC3B6" w:rsidR="3A5FC3B6">
              <w:rPr>
                <w:rFonts w:eastAsia="Times New Roman" w:cs="Calibri" w:cstheme="minorAscii"/>
                <w:color w:val="auto"/>
                <w:sz w:val="11"/>
                <w:szCs w:val="11"/>
                <w:lang w:eastAsia="en-GB"/>
              </w:rPr>
              <w:t>N/A</w:t>
            </w:r>
          </w:p>
        </w:tc>
        <w:tc>
          <w:tcPr>
            <w:tcW w:w="303" w:type="pct"/>
            <w:tcBorders>
              <w:top w:val="nil"/>
              <w:left w:val="nil"/>
              <w:bottom w:val="single" w:color="auto" w:sz="4" w:space="0"/>
              <w:right w:val="single" w:color="auto" w:sz="4" w:space="0"/>
            </w:tcBorders>
            <w:tcMar/>
            <w:vAlign w:val="center"/>
            <w:hideMark/>
          </w:tcPr>
          <w:p w:rsidRPr="00102FB5" w:rsidR="007926C7" w:rsidP="3A5FC3B6" w:rsidRDefault="007926C7" w14:paraId="26401258" w14:textId="77777777" w14:noSpellErr="1">
            <w:pPr>
              <w:spacing w:after="0" w:line="240" w:lineRule="auto"/>
              <w:jc w:val="center"/>
              <w:rPr>
                <w:rFonts w:eastAsia="Times New Roman" w:cs="Calibri" w:cstheme="minorAscii"/>
                <w:color w:val="auto"/>
                <w:sz w:val="11"/>
                <w:szCs w:val="11"/>
                <w:lang w:eastAsia="en-GB"/>
              </w:rPr>
            </w:pPr>
            <w:r w:rsidRPr="3A5FC3B6" w:rsidR="3A5FC3B6">
              <w:rPr>
                <w:rFonts w:eastAsia="Times New Roman" w:cs="Calibri" w:cstheme="minorAscii"/>
                <w:color w:val="auto"/>
                <w:sz w:val="11"/>
                <w:szCs w:val="11"/>
                <w:lang w:eastAsia="en-GB"/>
              </w:rPr>
              <w:t>Y</w:t>
            </w:r>
          </w:p>
        </w:tc>
        <w:tc>
          <w:tcPr>
            <w:tcW w:w="353" w:type="pct"/>
            <w:tcBorders>
              <w:top w:val="nil"/>
              <w:left w:val="nil"/>
              <w:bottom w:val="single" w:color="auto" w:sz="4" w:space="0"/>
              <w:right w:val="single" w:color="auto" w:sz="4" w:space="0"/>
            </w:tcBorders>
            <w:tcMar/>
            <w:vAlign w:val="center"/>
            <w:hideMark/>
          </w:tcPr>
          <w:p w:rsidRPr="00102FB5" w:rsidR="007926C7" w:rsidP="3A5FC3B6" w:rsidRDefault="007926C7" w14:paraId="030C79F6" w14:textId="77777777" w14:noSpellErr="1">
            <w:pPr>
              <w:spacing w:after="0" w:line="240" w:lineRule="auto"/>
              <w:jc w:val="center"/>
              <w:rPr>
                <w:rFonts w:eastAsia="Times New Roman" w:cs="Calibri" w:cstheme="minorAscii"/>
                <w:color w:val="auto"/>
                <w:sz w:val="11"/>
                <w:szCs w:val="11"/>
                <w:lang w:eastAsia="en-GB"/>
              </w:rPr>
            </w:pPr>
            <w:r w:rsidRPr="3A5FC3B6" w:rsidR="3A5FC3B6">
              <w:rPr>
                <w:rFonts w:eastAsia="Times New Roman" w:cs="Calibri" w:cstheme="minorAscii"/>
                <w:color w:val="auto"/>
                <w:sz w:val="11"/>
                <w:szCs w:val="11"/>
                <w:lang w:eastAsia="en-GB"/>
              </w:rPr>
              <w:t>Y</w:t>
            </w:r>
          </w:p>
        </w:tc>
        <w:tc>
          <w:tcPr>
            <w:tcW w:w="303" w:type="pct"/>
            <w:tcBorders>
              <w:top w:val="nil"/>
              <w:left w:val="nil"/>
              <w:bottom w:val="single" w:color="auto" w:sz="4" w:space="0"/>
              <w:right w:val="single" w:color="auto" w:sz="4" w:space="0"/>
            </w:tcBorders>
            <w:tcMar/>
            <w:vAlign w:val="center"/>
            <w:hideMark/>
          </w:tcPr>
          <w:p w:rsidRPr="00102FB5" w:rsidR="007926C7" w:rsidP="3A5FC3B6" w:rsidRDefault="007926C7" w14:paraId="10AF95FE" w14:textId="77777777" w14:noSpellErr="1">
            <w:pPr>
              <w:spacing w:after="0" w:line="240" w:lineRule="auto"/>
              <w:jc w:val="center"/>
              <w:rPr>
                <w:rFonts w:eastAsia="Times New Roman" w:cs="Calibri" w:cstheme="minorAscii"/>
                <w:color w:val="auto"/>
                <w:sz w:val="11"/>
                <w:szCs w:val="11"/>
                <w:lang w:eastAsia="en-GB"/>
              </w:rPr>
            </w:pPr>
            <w:r w:rsidRPr="3A5FC3B6" w:rsidR="3A5FC3B6">
              <w:rPr>
                <w:rFonts w:eastAsia="Times New Roman" w:cs="Calibri" w:cstheme="minorAscii"/>
                <w:color w:val="auto"/>
                <w:sz w:val="11"/>
                <w:szCs w:val="11"/>
                <w:lang w:eastAsia="en-GB"/>
              </w:rPr>
              <w:t>N/A</w:t>
            </w:r>
          </w:p>
        </w:tc>
        <w:tc>
          <w:tcPr>
            <w:tcW w:w="252" w:type="pct"/>
            <w:tcBorders>
              <w:top w:val="nil"/>
              <w:left w:val="nil"/>
              <w:bottom w:val="single" w:color="auto" w:sz="4" w:space="0"/>
              <w:right w:val="single" w:color="auto" w:sz="4" w:space="0"/>
            </w:tcBorders>
            <w:tcMar/>
            <w:vAlign w:val="center"/>
            <w:hideMark/>
          </w:tcPr>
          <w:p w:rsidRPr="00102FB5" w:rsidR="007926C7" w:rsidP="3A5FC3B6" w:rsidRDefault="007926C7" w14:paraId="3B19F546" w14:textId="77777777" w14:noSpellErr="1">
            <w:pPr>
              <w:spacing w:after="0" w:line="240" w:lineRule="auto"/>
              <w:jc w:val="center"/>
              <w:rPr>
                <w:rFonts w:eastAsia="Times New Roman" w:cs="Calibri" w:cstheme="minorAscii"/>
                <w:color w:val="auto"/>
                <w:sz w:val="11"/>
                <w:szCs w:val="11"/>
                <w:lang w:eastAsia="en-GB"/>
              </w:rPr>
            </w:pPr>
            <w:r w:rsidRPr="3A5FC3B6" w:rsidR="3A5FC3B6">
              <w:rPr>
                <w:rFonts w:eastAsia="Times New Roman" w:cs="Calibri" w:cstheme="minorAscii"/>
                <w:color w:val="auto"/>
                <w:sz w:val="11"/>
                <w:szCs w:val="11"/>
                <w:lang w:eastAsia="en-GB"/>
              </w:rPr>
              <w:t>N/A</w:t>
            </w:r>
          </w:p>
        </w:tc>
        <w:tc>
          <w:tcPr>
            <w:tcW w:w="252" w:type="pct"/>
            <w:tcBorders>
              <w:top w:val="nil"/>
              <w:left w:val="nil"/>
              <w:bottom w:val="single" w:color="auto" w:sz="4" w:space="0"/>
              <w:right w:val="single" w:color="auto" w:sz="4" w:space="0"/>
            </w:tcBorders>
            <w:tcMar/>
            <w:vAlign w:val="center"/>
            <w:hideMark/>
          </w:tcPr>
          <w:p w:rsidRPr="00102FB5" w:rsidR="007926C7" w:rsidP="3A5FC3B6" w:rsidRDefault="007926C7" w14:paraId="6DE355E8" w14:textId="77777777" w14:noSpellErr="1">
            <w:pPr>
              <w:spacing w:after="0" w:line="240" w:lineRule="auto"/>
              <w:jc w:val="center"/>
              <w:rPr>
                <w:rFonts w:eastAsia="Times New Roman" w:cs="Calibri" w:cstheme="minorAscii"/>
                <w:color w:val="auto"/>
                <w:sz w:val="11"/>
                <w:szCs w:val="11"/>
                <w:lang w:eastAsia="en-GB"/>
              </w:rPr>
            </w:pPr>
            <w:r w:rsidRPr="3A5FC3B6" w:rsidR="3A5FC3B6">
              <w:rPr>
                <w:rFonts w:eastAsia="Times New Roman" w:cs="Calibri" w:cstheme="minorAscii"/>
                <w:color w:val="auto"/>
                <w:sz w:val="11"/>
                <w:szCs w:val="11"/>
                <w:lang w:eastAsia="en-GB"/>
              </w:rPr>
              <w:t>N/A</w:t>
            </w:r>
          </w:p>
        </w:tc>
        <w:tc>
          <w:tcPr>
            <w:tcW w:w="303" w:type="pct"/>
            <w:tcBorders>
              <w:top w:val="nil"/>
              <w:left w:val="nil"/>
              <w:bottom w:val="single" w:color="auto" w:sz="4" w:space="0"/>
              <w:right w:val="single" w:color="auto" w:sz="4" w:space="0"/>
            </w:tcBorders>
            <w:tcMar/>
            <w:vAlign w:val="center"/>
            <w:hideMark/>
          </w:tcPr>
          <w:p w:rsidRPr="00102FB5" w:rsidR="007926C7" w:rsidP="3A5FC3B6" w:rsidRDefault="007926C7" w14:paraId="456394C6" w14:textId="77777777" w14:noSpellErr="1">
            <w:pPr>
              <w:spacing w:after="0" w:line="240" w:lineRule="auto"/>
              <w:jc w:val="center"/>
              <w:rPr>
                <w:rFonts w:eastAsia="Times New Roman" w:cs="Calibri" w:cstheme="minorAscii"/>
                <w:color w:val="auto"/>
                <w:sz w:val="11"/>
                <w:szCs w:val="11"/>
                <w:lang w:eastAsia="en-GB"/>
              </w:rPr>
            </w:pPr>
            <w:r w:rsidRPr="3A5FC3B6" w:rsidR="3A5FC3B6">
              <w:rPr>
                <w:rFonts w:eastAsia="Times New Roman" w:cs="Calibri" w:cstheme="minorAscii"/>
                <w:color w:val="auto"/>
                <w:sz w:val="11"/>
                <w:szCs w:val="11"/>
                <w:lang w:eastAsia="en-GB"/>
              </w:rPr>
              <w:t>N/A</w:t>
            </w:r>
          </w:p>
        </w:tc>
        <w:tc>
          <w:tcPr>
            <w:tcW w:w="303" w:type="pct"/>
            <w:tcBorders>
              <w:top w:val="nil"/>
              <w:left w:val="nil"/>
              <w:bottom w:val="single" w:color="auto" w:sz="4" w:space="0"/>
              <w:right w:val="single" w:color="auto" w:sz="4" w:space="0"/>
            </w:tcBorders>
            <w:tcMar/>
            <w:vAlign w:val="center"/>
            <w:hideMark/>
          </w:tcPr>
          <w:p w:rsidRPr="00102FB5" w:rsidR="007926C7" w:rsidP="3A5FC3B6" w:rsidRDefault="007926C7" w14:paraId="184F5490" w14:textId="77777777" w14:noSpellErr="1">
            <w:pPr>
              <w:spacing w:after="0" w:line="240" w:lineRule="auto"/>
              <w:jc w:val="center"/>
              <w:rPr>
                <w:rFonts w:eastAsia="Times New Roman" w:cs="Calibri" w:cstheme="minorAscii"/>
                <w:color w:val="auto"/>
                <w:sz w:val="11"/>
                <w:szCs w:val="11"/>
                <w:lang w:eastAsia="en-GB"/>
              </w:rPr>
            </w:pPr>
            <w:r w:rsidRPr="3A5FC3B6" w:rsidR="3A5FC3B6">
              <w:rPr>
                <w:rFonts w:eastAsia="Times New Roman" w:cs="Calibri" w:cstheme="minorAscii"/>
                <w:color w:val="auto"/>
                <w:sz w:val="11"/>
                <w:szCs w:val="11"/>
                <w:lang w:eastAsia="en-GB"/>
              </w:rPr>
              <w:t>Y</w:t>
            </w:r>
          </w:p>
        </w:tc>
        <w:tc>
          <w:tcPr>
            <w:tcW w:w="353" w:type="pct"/>
            <w:tcBorders>
              <w:top w:val="nil"/>
              <w:left w:val="nil"/>
              <w:bottom w:val="single" w:color="auto" w:sz="4" w:space="0"/>
              <w:right w:val="single" w:color="auto" w:sz="4" w:space="0"/>
            </w:tcBorders>
            <w:tcMar/>
            <w:vAlign w:val="center"/>
            <w:hideMark/>
          </w:tcPr>
          <w:p w:rsidRPr="00102FB5" w:rsidR="007926C7" w:rsidP="3A5FC3B6" w:rsidRDefault="007926C7" w14:paraId="366BC99E" w14:textId="77777777" w14:noSpellErr="1">
            <w:pPr>
              <w:spacing w:after="0" w:line="240" w:lineRule="auto"/>
              <w:jc w:val="center"/>
              <w:rPr>
                <w:rFonts w:eastAsia="Times New Roman" w:cs="Calibri" w:cstheme="minorAscii"/>
                <w:color w:val="auto"/>
                <w:sz w:val="11"/>
                <w:szCs w:val="11"/>
                <w:lang w:eastAsia="en-GB"/>
              </w:rPr>
            </w:pPr>
            <w:r w:rsidRPr="3A5FC3B6" w:rsidR="3A5FC3B6">
              <w:rPr>
                <w:rFonts w:eastAsia="Times New Roman" w:cs="Calibri" w:cstheme="minorAscii"/>
                <w:color w:val="auto"/>
                <w:sz w:val="11"/>
                <w:szCs w:val="11"/>
                <w:lang w:eastAsia="en-GB"/>
              </w:rPr>
              <w:t>Y</w:t>
            </w:r>
          </w:p>
        </w:tc>
        <w:tc>
          <w:tcPr>
            <w:tcW w:w="303" w:type="pct"/>
            <w:tcBorders>
              <w:top w:val="nil"/>
              <w:left w:val="nil"/>
              <w:bottom w:val="single" w:color="auto" w:sz="4" w:space="0"/>
              <w:right w:val="single" w:color="auto" w:sz="4" w:space="0"/>
            </w:tcBorders>
            <w:tcMar/>
            <w:vAlign w:val="center"/>
            <w:hideMark/>
          </w:tcPr>
          <w:p w:rsidRPr="00102FB5" w:rsidR="007926C7" w:rsidP="3A5FC3B6" w:rsidRDefault="007926C7" w14:paraId="602279CE" w14:textId="77777777" w14:noSpellErr="1">
            <w:pPr>
              <w:spacing w:after="0" w:line="240" w:lineRule="auto"/>
              <w:jc w:val="center"/>
              <w:rPr>
                <w:rFonts w:eastAsia="Times New Roman" w:cs="Calibri" w:cstheme="minorAscii"/>
                <w:color w:val="auto"/>
                <w:sz w:val="11"/>
                <w:szCs w:val="11"/>
                <w:lang w:eastAsia="en-GB"/>
              </w:rPr>
            </w:pPr>
            <w:r w:rsidRPr="3A5FC3B6" w:rsidR="3A5FC3B6">
              <w:rPr>
                <w:rFonts w:eastAsia="Times New Roman" w:cs="Calibri" w:cstheme="minorAscii"/>
                <w:color w:val="auto"/>
                <w:sz w:val="11"/>
                <w:szCs w:val="11"/>
                <w:lang w:eastAsia="en-GB"/>
              </w:rPr>
              <w:t>Y</w:t>
            </w:r>
          </w:p>
        </w:tc>
        <w:tc>
          <w:tcPr>
            <w:tcW w:w="303" w:type="pct"/>
            <w:tcBorders>
              <w:top w:val="nil"/>
              <w:left w:val="nil"/>
              <w:bottom w:val="single" w:color="auto" w:sz="4" w:space="0"/>
              <w:right w:val="single" w:color="auto" w:sz="4" w:space="0"/>
            </w:tcBorders>
            <w:tcMar/>
            <w:vAlign w:val="center"/>
            <w:hideMark/>
          </w:tcPr>
          <w:p w:rsidRPr="00102FB5" w:rsidR="007926C7" w:rsidP="3A5FC3B6" w:rsidRDefault="007926C7" w14:paraId="25A7B1A6" w14:textId="77777777" w14:noSpellErr="1">
            <w:pPr>
              <w:spacing w:after="0" w:line="240" w:lineRule="auto"/>
              <w:jc w:val="center"/>
              <w:rPr>
                <w:rFonts w:eastAsia="Times New Roman" w:cs="Calibri" w:cstheme="minorAscii"/>
                <w:color w:val="auto"/>
                <w:sz w:val="11"/>
                <w:szCs w:val="11"/>
                <w:lang w:eastAsia="en-GB"/>
              </w:rPr>
            </w:pPr>
            <w:r w:rsidRPr="3A5FC3B6" w:rsidR="3A5FC3B6">
              <w:rPr>
                <w:rFonts w:eastAsia="Times New Roman" w:cs="Calibri" w:cstheme="minorAscii"/>
                <w:color w:val="auto"/>
                <w:sz w:val="11"/>
                <w:szCs w:val="11"/>
                <w:lang w:eastAsia="en-GB"/>
              </w:rPr>
              <w:t>Y</w:t>
            </w:r>
          </w:p>
        </w:tc>
        <w:tc>
          <w:tcPr>
            <w:tcW w:w="353" w:type="pct"/>
            <w:tcBorders>
              <w:top w:val="nil"/>
              <w:left w:val="nil"/>
              <w:bottom w:val="single" w:color="auto" w:sz="4" w:space="0"/>
              <w:right w:val="single" w:color="auto" w:sz="4" w:space="0"/>
            </w:tcBorders>
            <w:tcMar/>
            <w:vAlign w:val="center"/>
            <w:hideMark/>
          </w:tcPr>
          <w:p w:rsidRPr="00102FB5" w:rsidR="007926C7" w:rsidP="3A5FC3B6" w:rsidRDefault="007926C7" w14:paraId="2D56F0AB" w14:textId="77777777" w14:noSpellErr="1">
            <w:pPr>
              <w:spacing w:after="0" w:line="240" w:lineRule="auto"/>
              <w:jc w:val="center"/>
              <w:rPr>
                <w:rFonts w:eastAsia="Times New Roman" w:cs="Calibri" w:cstheme="minorAscii"/>
                <w:color w:val="auto"/>
                <w:sz w:val="11"/>
                <w:szCs w:val="11"/>
                <w:lang w:eastAsia="en-GB"/>
              </w:rPr>
            </w:pPr>
            <w:r w:rsidRPr="3A5FC3B6" w:rsidR="3A5FC3B6">
              <w:rPr>
                <w:rFonts w:eastAsia="Times New Roman" w:cs="Calibri" w:cstheme="minorAscii"/>
                <w:color w:val="auto"/>
                <w:sz w:val="11"/>
                <w:szCs w:val="11"/>
                <w:lang w:eastAsia="en-GB"/>
              </w:rPr>
              <w:t>N/A</w:t>
            </w:r>
          </w:p>
        </w:tc>
        <w:tc>
          <w:tcPr>
            <w:tcW w:w="353" w:type="pct"/>
            <w:tcBorders>
              <w:top w:val="nil"/>
              <w:left w:val="nil"/>
              <w:bottom w:val="single" w:color="auto" w:sz="4" w:space="0"/>
              <w:right w:val="single" w:color="auto" w:sz="4" w:space="0"/>
            </w:tcBorders>
            <w:tcMar/>
            <w:vAlign w:val="center"/>
            <w:hideMark/>
          </w:tcPr>
          <w:p w:rsidRPr="00102FB5" w:rsidR="007926C7" w:rsidP="3A5FC3B6" w:rsidRDefault="007926C7" w14:paraId="7B5B8EE8" w14:textId="77777777" w14:noSpellErr="1">
            <w:pPr>
              <w:spacing w:after="0" w:line="240" w:lineRule="auto"/>
              <w:jc w:val="center"/>
              <w:rPr>
                <w:rFonts w:eastAsia="Times New Roman" w:cs="Calibri" w:cstheme="minorAscii"/>
                <w:color w:val="auto"/>
                <w:sz w:val="11"/>
                <w:szCs w:val="11"/>
                <w:lang w:eastAsia="en-GB"/>
              </w:rPr>
            </w:pPr>
            <w:r w:rsidRPr="3A5FC3B6" w:rsidR="3A5FC3B6">
              <w:rPr>
                <w:rFonts w:eastAsia="Times New Roman" w:cs="Calibri" w:cstheme="minorAscii"/>
                <w:color w:val="auto"/>
                <w:sz w:val="11"/>
                <w:szCs w:val="11"/>
                <w:lang w:eastAsia="en-GB"/>
              </w:rPr>
              <w:t>Y</w:t>
            </w:r>
          </w:p>
        </w:tc>
        <w:tc>
          <w:tcPr>
            <w:tcW w:w="252" w:type="pct"/>
            <w:tcBorders>
              <w:top w:val="nil"/>
              <w:left w:val="nil"/>
              <w:bottom w:val="single" w:color="auto" w:sz="4" w:space="0"/>
              <w:right w:val="single" w:color="auto" w:sz="4" w:space="0"/>
            </w:tcBorders>
            <w:tcMar/>
            <w:vAlign w:val="center"/>
            <w:hideMark/>
          </w:tcPr>
          <w:p w:rsidRPr="00102FB5" w:rsidR="007926C7" w:rsidP="3A5FC3B6" w:rsidRDefault="007926C7" w14:paraId="028662BB" w14:textId="77777777" w14:noSpellErr="1">
            <w:pPr>
              <w:spacing w:after="0" w:line="240" w:lineRule="auto"/>
              <w:jc w:val="center"/>
              <w:rPr>
                <w:rFonts w:eastAsia="Times New Roman" w:cs="Calibri" w:cstheme="minorAscii"/>
                <w:color w:val="auto"/>
                <w:sz w:val="11"/>
                <w:szCs w:val="11"/>
                <w:lang w:eastAsia="en-GB"/>
              </w:rPr>
            </w:pPr>
            <w:r w:rsidRPr="3A5FC3B6" w:rsidR="3A5FC3B6">
              <w:rPr>
                <w:rFonts w:eastAsia="Times New Roman" w:cs="Calibri" w:cstheme="minorAscii"/>
                <w:color w:val="auto"/>
                <w:sz w:val="11"/>
                <w:szCs w:val="11"/>
                <w:lang w:eastAsia="en-GB"/>
              </w:rPr>
              <w:t>Y</w:t>
            </w:r>
          </w:p>
        </w:tc>
        <w:tc>
          <w:tcPr>
            <w:tcW w:w="303" w:type="pct"/>
            <w:tcBorders>
              <w:top w:val="nil"/>
              <w:left w:val="nil"/>
              <w:bottom w:val="single" w:color="auto" w:sz="4" w:space="0"/>
              <w:right w:val="single" w:color="auto" w:sz="4" w:space="0"/>
            </w:tcBorders>
            <w:tcMar/>
            <w:vAlign w:val="center"/>
            <w:hideMark/>
          </w:tcPr>
          <w:p w:rsidRPr="00102FB5" w:rsidR="007926C7" w:rsidP="3A5FC3B6" w:rsidRDefault="007926C7" w14:paraId="78864A91" w14:textId="77777777" w14:noSpellErr="1">
            <w:pPr>
              <w:spacing w:after="0" w:line="240" w:lineRule="auto"/>
              <w:jc w:val="center"/>
              <w:rPr>
                <w:rFonts w:eastAsia="Times New Roman" w:cs="Calibri" w:cstheme="minorAscii"/>
                <w:color w:val="auto"/>
                <w:sz w:val="11"/>
                <w:szCs w:val="11"/>
                <w:lang w:eastAsia="en-GB"/>
              </w:rPr>
            </w:pPr>
            <w:r w:rsidRPr="3A5FC3B6" w:rsidR="3A5FC3B6">
              <w:rPr>
                <w:rFonts w:eastAsia="Times New Roman" w:cs="Calibri" w:cstheme="minorAscii"/>
                <w:color w:val="auto"/>
                <w:sz w:val="11"/>
                <w:szCs w:val="11"/>
                <w:lang w:eastAsia="en-GB"/>
              </w:rPr>
              <w:t>Y</w:t>
            </w:r>
          </w:p>
        </w:tc>
      </w:tr>
      <w:tr w:rsidRPr="007926C7" w:rsidR="007926C7" w:rsidTr="3A5FC3B6" w14:paraId="6804EF82" w14:textId="77777777">
        <w:trPr>
          <w:trHeight w:val="285"/>
        </w:trPr>
        <w:tc>
          <w:tcPr>
            <w:tcW w:w="363" w:type="pct"/>
            <w:tcBorders>
              <w:top w:val="nil"/>
              <w:left w:val="single" w:color="auto" w:sz="4" w:space="0"/>
              <w:bottom w:val="single" w:color="auto" w:sz="4" w:space="0"/>
              <w:right w:val="single" w:color="auto" w:sz="4" w:space="0"/>
            </w:tcBorders>
            <w:noWrap/>
            <w:tcMar/>
            <w:vAlign w:val="center"/>
            <w:hideMark/>
          </w:tcPr>
          <w:p w:rsidRPr="00102FB5" w:rsidR="007926C7" w:rsidP="3A5FC3B6" w:rsidRDefault="007926C7" w14:paraId="16C2D74C" w14:textId="77777777">
            <w:pPr>
              <w:spacing w:after="0" w:line="240" w:lineRule="auto"/>
              <w:jc w:val="center"/>
              <w:rPr>
                <w:rFonts w:eastAsia="Times New Roman" w:cs="Calibri" w:cstheme="minorAscii"/>
                <w:b w:val="1"/>
                <w:bCs w:val="1"/>
                <w:color w:val="auto"/>
                <w:sz w:val="11"/>
                <w:szCs w:val="11"/>
                <w:lang w:eastAsia="en-GB"/>
              </w:rPr>
            </w:pPr>
            <w:r w:rsidRPr="3A5FC3B6" w:rsidR="3A5FC3B6">
              <w:rPr>
                <w:rFonts w:eastAsia="Times New Roman" w:cs="Calibri" w:cstheme="minorAscii"/>
                <w:b w:val="1"/>
                <w:bCs w:val="1"/>
                <w:color w:val="auto"/>
                <w:sz w:val="11"/>
                <w:szCs w:val="11"/>
                <w:lang w:eastAsia="en-GB"/>
              </w:rPr>
              <w:t>Giacomelli</w:t>
            </w:r>
          </w:p>
        </w:tc>
        <w:tc>
          <w:tcPr>
            <w:tcW w:w="348" w:type="pct"/>
            <w:tcBorders>
              <w:top w:val="nil"/>
              <w:left w:val="nil"/>
              <w:bottom w:val="single" w:color="auto" w:sz="4" w:space="0"/>
              <w:right w:val="single" w:color="auto" w:sz="4" w:space="0"/>
            </w:tcBorders>
            <w:tcMar/>
            <w:vAlign w:val="center"/>
            <w:hideMark/>
          </w:tcPr>
          <w:p w:rsidRPr="00102FB5" w:rsidR="007926C7" w:rsidP="3A5FC3B6" w:rsidRDefault="007926C7" w14:paraId="4BCA44E4" w14:textId="77777777" w14:noSpellErr="1">
            <w:pPr>
              <w:spacing w:after="0" w:line="240" w:lineRule="auto"/>
              <w:jc w:val="center"/>
              <w:rPr>
                <w:rFonts w:eastAsia="Times New Roman" w:cs="Calibri" w:cstheme="minorAscii"/>
                <w:color w:val="auto"/>
                <w:sz w:val="11"/>
                <w:szCs w:val="11"/>
                <w:lang w:eastAsia="en-GB"/>
              </w:rPr>
            </w:pPr>
            <w:r w:rsidRPr="3A5FC3B6" w:rsidR="3A5FC3B6">
              <w:rPr>
                <w:rFonts w:eastAsia="Times New Roman" w:cs="Calibri" w:cstheme="minorAscii"/>
                <w:color w:val="auto"/>
                <w:sz w:val="11"/>
                <w:szCs w:val="11"/>
                <w:lang w:eastAsia="en-GB"/>
              </w:rPr>
              <w:t>N/A</w:t>
            </w:r>
          </w:p>
        </w:tc>
        <w:tc>
          <w:tcPr>
            <w:tcW w:w="303" w:type="pct"/>
            <w:tcBorders>
              <w:top w:val="nil"/>
              <w:left w:val="nil"/>
              <w:bottom w:val="single" w:color="auto" w:sz="4" w:space="0"/>
              <w:right w:val="single" w:color="auto" w:sz="4" w:space="0"/>
            </w:tcBorders>
            <w:tcMar/>
            <w:vAlign w:val="center"/>
            <w:hideMark/>
          </w:tcPr>
          <w:p w:rsidRPr="00102FB5" w:rsidR="007926C7" w:rsidP="3A5FC3B6" w:rsidRDefault="007926C7" w14:paraId="29C1C734" w14:textId="77777777" w14:noSpellErr="1">
            <w:pPr>
              <w:spacing w:after="0" w:line="240" w:lineRule="auto"/>
              <w:jc w:val="center"/>
              <w:rPr>
                <w:rFonts w:eastAsia="Times New Roman" w:cs="Calibri" w:cstheme="minorAscii"/>
                <w:color w:val="auto"/>
                <w:sz w:val="11"/>
                <w:szCs w:val="11"/>
                <w:lang w:eastAsia="en-GB"/>
              </w:rPr>
            </w:pPr>
            <w:r w:rsidRPr="3A5FC3B6" w:rsidR="3A5FC3B6">
              <w:rPr>
                <w:rFonts w:eastAsia="Times New Roman" w:cs="Calibri" w:cstheme="minorAscii"/>
                <w:color w:val="auto"/>
                <w:sz w:val="11"/>
                <w:szCs w:val="11"/>
                <w:lang w:eastAsia="en-GB"/>
              </w:rPr>
              <w:t>Y</w:t>
            </w:r>
          </w:p>
        </w:tc>
        <w:tc>
          <w:tcPr>
            <w:tcW w:w="353" w:type="pct"/>
            <w:tcBorders>
              <w:top w:val="nil"/>
              <w:left w:val="nil"/>
              <w:bottom w:val="single" w:color="auto" w:sz="4" w:space="0"/>
              <w:right w:val="single" w:color="auto" w:sz="4" w:space="0"/>
            </w:tcBorders>
            <w:tcMar/>
            <w:vAlign w:val="center"/>
            <w:hideMark/>
          </w:tcPr>
          <w:p w:rsidRPr="00102FB5" w:rsidR="007926C7" w:rsidP="3A5FC3B6" w:rsidRDefault="007926C7" w14:paraId="0A03F0B5" w14:textId="77777777" w14:noSpellErr="1">
            <w:pPr>
              <w:spacing w:after="0" w:line="240" w:lineRule="auto"/>
              <w:jc w:val="center"/>
              <w:rPr>
                <w:rFonts w:eastAsia="Times New Roman" w:cs="Calibri" w:cstheme="minorAscii"/>
                <w:color w:val="auto"/>
                <w:sz w:val="11"/>
                <w:szCs w:val="11"/>
                <w:lang w:eastAsia="en-GB"/>
              </w:rPr>
            </w:pPr>
            <w:r w:rsidRPr="3A5FC3B6" w:rsidR="3A5FC3B6">
              <w:rPr>
                <w:rFonts w:eastAsia="Times New Roman" w:cs="Calibri" w:cstheme="minorAscii"/>
                <w:color w:val="auto"/>
                <w:sz w:val="11"/>
                <w:szCs w:val="11"/>
                <w:lang w:eastAsia="en-GB"/>
              </w:rPr>
              <w:t>Y</w:t>
            </w:r>
          </w:p>
        </w:tc>
        <w:tc>
          <w:tcPr>
            <w:tcW w:w="303" w:type="pct"/>
            <w:tcBorders>
              <w:top w:val="nil"/>
              <w:left w:val="nil"/>
              <w:bottom w:val="single" w:color="auto" w:sz="4" w:space="0"/>
              <w:right w:val="single" w:color="auto" w:sz="4" w:space="0"/>
            </w:tcBorders>
            <w:tcMar/>
            <w:vAlign w:val="center"/>
            <w:hideMark/>
          </w:tcPr>
          <w:p w:rsidRPr="00102FB5" w:rsidR="007926C7" w:rsidP="3A5FC3B6" w:rsidRDefault="007926C7" w14:paraId="543608EC" w14:textId="77777777" w14:noSpellErr="1">
            <w:pPr>
              <w:spacing w:after="0" w:line="240" w:lineRule="auto"/>
              <w:jc w:val="center"/>
              <w:rPr>
                <w:rFonts w:eastAsia="Times New Roman" w:cs="Calibri" w:cstheme="minorAscii"/>
                <w:color w:val="auto"/>
                <w:sz w:val="11"/>
                <w:szCs w:val="11"/>
                <w:lang w:eastAsia="en-GB"/>
              </w:rPr>
            </w:pPr>
            <w:r w:rsidRPr="3A5FC3B6" w:rsidR="3A5FC3B6">
              <w:rPr>
                <w:rFonts w:eastAsia="Times New Roman" w:cs="Calibri" w:cstheme="minorAscii"/>
                <w:color w:val="auto"/>
                <w:sz w:val="11"/>
                <w:szCs w:val="11"/>
                <w:lang w:eastAsia="en-GB"/>
              </w:rPr>
              <w:t>N/A</w:t>
            </w:r>
          </w:p>
        </w:tc>
        <w:tc>
          <w:tcPr>
            <w:tcW w:w="252" w:type="pct"/>
            <w:tcBorders>
              <w:top w:val="nil"/>
              <w:left w:val="nil"/>
              <w:bottom w:val="single" w:color="auto" w:sz="4" w:space="0"/>
              <w:right w:val="single" w:color="auto" w:sz="4" w:space="0"/>
            </w:tcBorders>
            <w:tcMar/>
            <w:vAlign w:val="center"/>
            <w:hideMark/>
          </w:tcPr>
          <w:p w:rsidRPr="00102FB5" w:rsidR="007926C7" w:rsidP="3A5FC3B6" w:rsidRDefault="007926C7" w14:paraId="38013647" w14:textId="77777777" w14:noSpellErr="1">
            <w:pPr>
              <w:spacing w:after="0" w:line="240" w:lineRule="auto"/>
              <w:jc w:val="center"/>
              <w:rPr>
                <w:rFonts w:eastAsia="Times New Roman" w:cs="Calibri" w:cstheme="minorAscii"/>
                <w:color w:val="auto"/>
                <w:sz w:val="11"/>
                <w:szCs w:val="11"/>
                <w:lang w:eastAsia="en-GB"/>
              </w:rPr>
            </w:pPr>
            <w:r w:rsidRPr="3A5FC3B6" w:rsidR="3A5FC3B6">
              <w:rPr>
                <w:rFonts w:eastAsia="Times New Roman" w:cs="Calibri" w:cstheme="minorAscii"/>
                <w:color w:val="auto"/>
                <w:sz w:val="11"/>
                <w:szCs w:val="11"/>
                <w:lang w:eastAsia="en-GB"/>
              </w:rPr>
              <w:t>N/A</w:t>
            </w:r>
          </w:p>
        </w:tc>
        <w:tc>
          <w:tcPr>
            <w:tcW w:w="252" w:type="pct"/>
            <w:tcBorders>
              <w:top w:val="nil"/>
              <w:left w:val="nil"/>
              <w:bottom w:val="single" w:color="auto" w:sz="4" w:space="0"/>
              <w:right w:val="single" w:color="auto" w:sz="4" w:space="0"/>
            </w:tcBorders>
            <w:tcMar/>
            <w:vAlign w:val="center"/>
            <w:hideMark/>
          </w:tcPr>
          <w:p w:rsidRPr="00102FB5" w:rsidR="007926C7" w:rsidP="3A5FC3B6" w:rsidRDefault="007926C7" w14:paraId="218C14E4" w14:textId="77777777" w14:noSpellErr="1">
            <w:pPr>
              <w:spacing w:after="0" w:line="240" w:lineRule="auto"/>
              <w:jc w:val="center"/>
              <w:rPr>
                <w:rFonts w:eastAsia="Times New Roman" w:cs="Calibri" w:cstheme="minorAscii"/>
                <w:color w:val="auto"/>
                <w:sz w:val="11"/>
                <w:szCs w:val="11"/>
                <w:lang w:eastAsia="en-GB"/>
              </w:rPr>
            </w:pPr>
            <w:r w:rsidRPr="3A5FC3B6" w:rsidR="3A5FC3B6">
              <w:rPr>
                <w:rFonts w:eastAsia="Times New Roman" w:cs="Calibri" w:cstheme="minorAscii"/>
                <w:color w:val="auto"/>
                <w:sz w:val="11"/>
                <w:szCs w:val="11"/>
                <w:lang w:eastAsia="en-GB"/>
              </w:rPr>
              <w:t>N/A</w:t>
            </w:r>
          </w:p>
        </w:tc>
        <w:tc>
          <w:tcPr>
            <w:tcW w:w="303" w:type="pct"/>
            <w:tcBorders>
              <w:top w:val="nil"/>
              <w:left w:val="nil"/>
              <w:bottom w:val="single" w:color="auto" w:sz="4" w:space="0"/>
              <w:right w:val="single" w:color="auto" w:sz="4" w:space="0"/>
            </w:tcBorders>
            <w:tcMar/>
            <w:vAlign w:val="center"/>
            <w:hideMark/>
          </w:tcPr>
          <w:p w:rsidRPr="00102FB5" w:rsidR="007926C7" w:rsidP="3A5FC3B6" w:rsidRDefault="007926C7" w14:paraId="160A332A" w14:textId="77777777" w14:noSpellErr="1">
            <w:pPr>
              <w:spacing w:after="0" w:line="240" w:lineRule="auto"/>
              <w:jc w:val="center"/>
              <w:rPr>
                <w:rFonts w:eastAsia="Times New Roman" w:cs="Calibri" w:cstheme="minorAscii"/>
                <w:color w:val="auto"/>
                <w:sz w:val="11"/>
                <w:szCs w:val="11"/>
                <w:lang w:eastAsia="en-GB"/>
              </w:rPr>
            </w:pPr>
            <w:r w:rsidRPr="3A5FC3B6" w:rsidR="3A5FC3B6">
              <w:rPr>
                <w:rFonts w:eastAsia="Times New Roman" w:cs="Calibri" w:cstheme="minorAscii"/>
                <w:color w:val="auto"/>
                <w:sz w:val="11"/>
                <w:szCs w:val="11"/>
                <w:lang w:eastAsia="en-GB"/>
              </w:rPr>
              <w:t>N/A</w:t>
            </w:r>
          </w:p>
        </w:tc>
        <w:tc>
          <w:tcPr>
            <w:tcW w:w="303" w:type="pct"/>
            <w:tcBorders>
              <w:top w:val="nil"/>
              <w:left w:val="nil"/>
              <w:bottom w:val="single" w:color="auto" w:sz="4" w:space="0"/>
              <w:right w:val="single" w:color="auto" w:sz="4" w:space="0"/>
            </w:tcBorders>
            <w:tcMar/>
            <w:vAlign w:val="center"/>
            <w:hideMark/>
          </w:tcPr>
          <w:p w:rsidRPr="00102FB5" w:rsidR="007926C7" w:rsidP="3A5FC3B6" w:rsidRDefault="007926C7" w14:paraId="20599EE9" w14:textId="77777777" w14:noSpellErr="1">
            <w:pPr>
              <w:spacing w:after="0" w:line="240" w:lineRule="auto"/>
              <w:jc w:val="center"/>
              <w:rPr>
                <w:rFonts w:eastAsia="Times New Roman" w:cs="Calibri" w:cstheme="minorAscii"/>
                <w:color w:val="auto"/>
                <w:sz w:val="11"/>
                <w:szCs w:val="11"/>
                <w:lang w:eastAsia="en-GB"/>
              </w:rPr>
            </w:pPr>
            <w:r w:rsidRPr="3A5FC3B6" w:rsidR="3A5FC3B6">
              <w:rPr>
                <w:rFonts w:eastAsia="Times New Roman" w:cs="Calibri" w:cstheme="minorAscii"/>
                <w:color w:val="auto"/>
                <w:sz w:val="11"/>
                <w:szCs w:val="11"/>
                <w:lang w:eastAsia="en-GB"/>
              </w:rPr>
              <w:t>Y</w:t>
            </w:r>
          </w:p>
        </w:tc>
        <w:tc>
          <w:tcPr>
            <w:tcW w:w="353" w:type="pct"/>
            <w:tcBorders>
              <w:top w:val="nil"/>
              <w:left w:val="nil"/>
              <w:bottom w:val="single" w:color="auto" w:sz="4" w:space="0"/>
              <w:right w:val="single" w:color="auto" w:sz="4" w:space="0"/>
            </w:tcBorders>
            <w:tcMar/>
            <w:vAlign w:val="center"/>
            <w:hideMark/>
          </w:tcPr>
          <w:p w:rsidRPr="00102FB5" w:rsidR="007926C7" w:rsidP="3A5FC3B6" w:rsidRDefault="007926C7" w14:paraId="29322384" w14:textId="77777777" w14:noSpellErr="1">
            <w:pPr>
              <w:spacing w:after="0" w:line="240" w:lineRule="auto"/>
              <w:jc w:val="center"/>
              <w:rPr>
                <w:rFonts w:eastAsia="Times New Roman" w:cs="Calibri" w:cstheme="minorAscii"/>
                <w:color w:val="auto"/>
                <w:sz w:val="11"/>
                <w:szCs w:val="11"/>
                <w:lang w:eastAsia="en-GB"/>
              </w:rPr>
            </w:pPr>
            <w:r w:rsidRPr="3A5FC3B6" w:rsidR="3A5FC3B6">
              <w:rPr>
                <w:rFonts w:eastAsia="Times New Roman" w:cs="Calibri" w:cstheme="minorAscii"/>
                <w:color w:val="auto"/>
                <w:sz w:val="11"/>
                <w:szCs w:val="11"/>
                <w:lang w:eastAsia="en-GB"/>
              </w:rPr>
              <w:t>Y</w:t>
            </w:r>
          </w:p>
        </w:tc>
        <w:tc>
          <w:tcPr>
            <w:tcW w:w="303" w:type="pct"/>
            <w:tcBorders>
              <w:top w:val="nil"/>
              <w:left w:val="nil"/>
              <w:bottom w:val="single" w:color="auto" w:sz="4" w:space="0"/>
              <w:right w:val="single" w:color="auto" w:sz="4" w:space="0"/>
            </w:tcBorders>
            <w:tcMar/>
            <w:vAlign w:val="center"/>
            <w:hideMark/>
          </w:tcPr>
          <w:p w:rsidRPr="00102FB5" w:rsidR="007926C7" w:rsidP="3A5FC3B6" w:rsidRDefault="007926C7" w14:paraId="038954C0" w14:textId="77777777" w14:noSpellErr="1">
            <w:pPr>
              <w:spacing w:after="0" w:line="240" w:lineRule="auto"/>
              <w:jc w:val="center"/>
              <w:rPr>
                <w:rFonts w:eastAsia="Times New Roman" w:cs="Calibri" w:cstheme="minorAscii"/>
                <w:color w:val="auto"/>
                <w:sz w:val="11"/>
                <w:szCs w:val="11"/>
                <w:lang w:eastAsia="en-GB"/>
              </w:rPr>
            </w:pPr>
            <w:r w:rsidRPr="3A5FC3B6" w:rsidR="3A5FC3B6">
              <w:rPr>
                <w:rFonts w:eastAsia="Times New Roman" w:cs="Calibri" w:cstheme="minorAscii"/>
                <w:color w:val="auto"/>
                <w:sz w:val="11"/>
                <w:szCs w:val="11"/>
                <w:lang w:eastAsia="en-GB"/>
              </w:rPr>
              <w:t>Y</w:t>
            </w:r>
          </w:p>
        </w:tc>
        <w:tc>
          <w:tcPr>
            <w:tcW w:w="303" w:type="pct"/>
            <w:tcBorders>
              <w:top w:val="nil"/>
              <w:left w:val="nil"/>
              <w:bottom w:val="single" w:color="auto" w:sz="4" w:space="0"/>
              <w:right w:val="single" w:color="auto" w:sz="4" w:space="0"/>
            </w:tcBorders>
            <w:tcMar/>
            <w:vAlign w:val="center"/>
            <w:hideMark/>
          </w:tcPr>
          <w:p w:rsidRPr="00102FB5" w:rsidR="007926C7" w:rsidP="3A5FC3B6" w:rsidRDefault="007926C7" w14:paraId="4684FC67" w14:textId="77777777" w14:noSpellErr="1">
            <w:pPr>
              <w:spacing w:after="0" w:line="240" w:lineRule="auto"/>
              <w:jc w:val="center"/>
              <w:rPr>
                <w:rFonts w:eastAsia="Times New Roman" w:cs="Calibri" w:cstheme="minorAscii"/>
                <w:color w:val="auto"/>
                <w:sz w:val="11"/>
                <w:szCs w:val="11"/>
                <w:lang w:eastAsia="en-GB"/>
              </w:rPr>
            </w:pPr>
            <w:r w:rsidRPr="3A5FC3B6" w:rsidR="3A5FC3B6">
              <w:rPr>
                <w:rFonts w:eastAsia="Times New Roman" w:cs="Calibri" w:cstheme="minorAscii"/>
                <w:color w:val="auto"/>
                <w:sz w:val="11"/>
                <w:szCs w:val="11"/>
                <w:lang w:eastAsia="en-GB"/>
              </w:rPr>
              <w:t>Y</w:t>
            </w:r>
          </w:p>
        </w:tc>
        <w:tc>
          <w:tcPr>
            <w:tcW w:w="353" w:type="pct"/>
            <w:tcBorders>
              <w:top w:val="nil"/>
              <w:left w:val="nil"/>
              <w:bottom w:val="single" w:color="auto" w:sz="4" w:space="0"/>
              <w:right w:val="single" w:color="auto" w:sz="4" w:space="0"/>
            </w:tcBorders>
            <w:tcMar/>
            <w:vAlign w:val="center"/>
            <w:hideMark/>
          </w:tcPr>
          <w:p w:rsidRPr="00102FB5" w:rsidR="007926C7" w:rsidP="3A5FC3B6" w:rsidRDefault="007926C7" w14:paraId="76D3CD29" w14:textId="77777777" w14:noSpellErr="1">
            <w:pPr>
              <w:spacing w:after="0" w:line="240" w:lineRule="auto"/>
              <w:jc w:val="center"/>
              <w:rPr>
                <w:rFonts w:eastAsia="Times New Roman" w:cs="Calibri" w:cstheme="minorAscii"/>
                <w:color w:val="auto"/>
                <w:sz w:val="11"/>
                <w:szCs w:val="11"/>
                <w:lang w:eastAsia="en-GB"/>
              </w:rPr>
            </w:pPr>
            <w:r w:rsidRPr="3A5FC3B6" w:rsidR="3A5FC3B6">
              <w:rPr>
                <w:rFonts w:eastAsia="Times New Roman" w:cs="Calibri" w:cstheme="minorAscii"/>
                <w:color w:val="auto"/>
                <w:sz w:val="11"/>
                <w:szCs w:val="11"/>
                <w:lang w:eastAsia="en-GB"/>
              </w:rPr>
              <w:t>N/A</w:t>
            </w:r>
          </w:p>
        </w:tc>
        <w:tc>
          <w:tcPr>
            <w:tcW w:w="353" w:type="pct"/>
            <w:tcBorders>
              <w:top w:val="nil"/>
              <w:left w:val="nil"/>
              <w:bottom w:val="single" w:color="auto" w:sz="4" w:space="0"/>
              <w:right w:val="single" w:color="auto" w:sz="4" w:space="0"/>
            </w:tcBorders>
            <w:tcMar/>
            <w:vAlign w:val="center"/>
            <w:hideMark/>
          </w:tcPr>
          <w:p w:rsidRPr="00102FB5" w:rsidR="007926C7" w:rsidP="3A5FC3B6" w:rsidRDefault="007926C7" w14:paraId="3672A49E" w14:textId="77777777" w14:noSpellErr="1">
            <w:pPr>
              <w:spacing w:after="0" w:line="240" w:lineRule="auto"/>
              <w:jc w:val="center"/>
              <w:rPr>
                <w:rFonts w:eastAsia="Times New Roman" w:cs="Calibri" w:cstheme="minorAscii"/>
                <w:color w:val="auto"/>
                <w:sz w:val="11"/>
                <w:szCs w:val="11"/>
                <w:lang w:eastAsia="en-GB"/>
              </w:rPr>
            </w:pPr>
            <w:r w:rsidRPr="3A5FC3B6" w:rsidR="3A5FC3B6">
              <w:rPr>
                <w:rFonts w:eastAsia="Times New Roman" w:cs="Calibri" w:cstheme="minorAscii"/>
                <w:color w:val="auto"/>
                <w:sz w:val="11"/>
                <w:szCs w:val="11"/>
                <w:lang w:eastAsia="en-GB"/>
              </w:rPr>
              <w:t>Y</w:t>
            </w:r>
          </w:p>
        </w:tc>
        <w:tc>
          <w:tcPr>
            <w:tcW w:w="252" w:type="pct"/>
            <w:tcBorders>
              <w:top w:val="nil"/>
              <w:left w:val="nil"/>
              <w:bottom w:val="single" w:color="auto" w:sz="4" w:space="0"/>
              <w:right w:val="single" w:color="auto" w:sz="4" w:space="0"/>
            </w:tcBorders>
            <w:tcMar/>
            <w:vAlign w:val="center"/>
            <w:hideMark/>
          </w:tcPr>
          <w:p w:rsidRPr="00102FB5" w:rsidR="007926C7" w:rsidP="3A5FC3B6" w:rsidRDefault="007926C7" w14:paraId="67220BA6" w14:textId="77777777" w14:noSpellErr="1">
            <w:pPr>
              <w:spacing w:after="0" w:line="240" w:lineRule="auto"/>
              <w:jc w:val="center"/>
              <w:rPr>
                <w:rFonts w:eastAsia="Times New Roman" w:cs="Calibri" w:cstheme="minorAscii"/>
                <w:color w:val="auto"/>
                <w:sz w:val="11"/>
                <w:szCs w:val="11"/>
                <w:lang w:eastAsia="en-GB"/>
              </w:rPr>
            </w:pPr>
            <w:r w:rsidRPr="3A5FC3B6" w:rsidR="3A5FC3B6">
              <w:rPr>
                <w:rFonts w:eastAsia="Times New Roman" w:cs="Calibri" w:cstheme="minorAscii"/>
                <w:color w:val="auto"/>
                <w:sz w:val="11"/>
                <w:szCs w:val="11"/>
                <w:lang w:eastAsia="en-GB"/>
              </w:rPr>
              <w:t>Y</w:t>
            </w:r>
          </w:p>
        </w:tc>
        <w:tc>
          <w:tcPr>
            <w:tcW w:w="303" w:type="pct"/>
            <w:tcBorders>
              <w:top w:val="nil"/>
              <w:left w:val="nil"/>
              <w:bottom w:val="single" w:color="auto" w:sz="4" w:space="0"/>
              <w:right w:val="single" w:color="auto" w:sz="4" w:space="0"/>
            </w:tcBorders>
            <w:tcMar/>
            <w:vAlign w:val="center"/>
            <w:hideMark/>
          </w:tcPr>
          <w:p w:rsidRPr="00102FB5" w:rsidR="007926C7" w:rsidP="3A5FC3B6" w:rsidRDefault="007926C7" w14:paraId="2025DFBC" w14:textId="77777777" w14:noSpellErr="1">
            <w:pPr>
              <w:spacing w:after="0" w:line="240" w:lineRule="auto"/>
              <w:jc w:val="center"/>
              <w:rPr>
                <w:rFonts w:eastAsia="Times New Roman" w:cs="Calibri" w:cstheme="minorAscii"/>
                <w:color w:val="auto"/>
                <w:sz w:val="11"/>
                <w:szCs w:val="11"/>
                <w:lang w:eastAsia="en-GB"/>
              </w:rPr>
            </w:pPr>
            <w:r w:rsidRPr="3A5FC3B6" w:rsidR="3A5FC3B6">
              <w:rPr>
                <w:rFonts w:eastAsia="Times New Roman" w:cs="Calibri" w:cstheme="minorAscii"/>
                <w:color w:val="auto"/>
                <w:sz w:val="11"/>
                <w:szCs w:val="11"/>
                <w:lang w:eastAsia="en-GB"/>
              </w:rPr>
              <w:t>N/A</w:t>
            </w:r>
          </w:p>
        </w:tc>
      </w:tr>
      <w:tr w:rsidRPr="007926C7" w:rsidR="007926C7" w:rsidTr="3A5FC3B6" w14:paraId="7137F292" w14:textId="77777777">
        <w:trPr>
          <w:trHeight w:val="285"/>
        </w:trPr>
        <w:tc>
          <w:tcPr>
            <w:tcW w:w="363" w:type="pct"/>
            <w:tcBorders>
              <w:top w:val="nil"/>
              <w:left w:val="single" w:color="auto" w:sz="4" w:space="0"/>
              <w:bottom w:val="single" w:color="auto" w:sz="4" w:space="0"/>
              <w:right w:val="single" w:color="auto" w:sz="4" w:space="0"/>
            </w:tcBorders>
            <w:noWrap/>
            <w:tcMar/>
            <w:vAlign w:val="center"/>
            <w:hideMark/>
          </w:tcPr>
          <w:p w:rsidRPr="00102FB5" w:rsidR="007926C7" w:rsidP="3A5FC3B6" w:rsidRDefault="007926C7" w14:paraId="2065419E" w14:textId="77777777" w14:noSpellErr="1">
            <w:pPr>
              <w:spacing w:after="0" w:line="240" w:lineRule="auto"/>
              <w:jc w:val="center"/>
              <w:rPr>
                <w:rFonts w:eastAsia="Times New Roman" w:cs="Calibri" w:cstheme="minorAscii"/>
                <w:b w:val="1"/>
                <w:bCs w:val="1"/>
                <w:color w:val="auto"/>
                <w:sz w:val="11"/>
                <w:szCs w:val="11"/>
                <w:lang w:eastAsia="en-GB"/>
              </w:rPr>
            </w:pPr>
            <w:r w:rsidRPr="3A5FC3B6" w:rsidR="3A5FC3B6">
              <w:rPr>
                <w:rFonts w:eastAsia="Times New Roman" w:cs="Calibri" w:cstheme="minorAscii"/>
                <w:b w:val="1"/>
                <w:bCs w:val="1"/>
                <w:color w:val="auto"/>
                <w:sz w:val="11"/>
                <w:szCs w:val="11"/>
                <w:lang w:eastAsia="en-GB"/>
              </w:rPr>
              <w:t>Hayashi</w:t>
            </w:r>
          </w:p>
        </w:tc>
        <w:tc>
          <w:tcPr>
            <w:tcW w:w="348" w:type="pct"/>
            <w:tcBorders>
              <w:top w:val="nil"/>
              <w:left w:val="nil"/>
              <w:bottom w:val="single" w:color="auto" w:sz="4" w:space="0"/>
              <w:right w:val="single" w:color="auto" w:sz="4" w:space="0"/>
            </w:tcBorders>
            <w:tcMar/>
            <w:vAlign w:val="center"/>
            <w:hideMark/>
          </w:tcPr>
          <w:p w:rsidRPr="00102FB5" w:rsidR="007926C7" w:rsidP="3A5FC3B6" w:rsidRDefault="007926C7" w14:paraId="679319BF" w14:textId="77777777" w14:noSpellErr="1">
            <w:pPr>
              <w:spacing w:after="0" w:line="240" w:lineRule="auto"/>
              <w:jc w:val="center"/>
              <w:rPr>
                <w:rFonts w:eastAsia="Times New Roman" w:cs="Calibri" w:cstheme="minorAscii"/>
                <w:color w:val="auto"/>
                <w:sz w:val="11"/>
                <w:szCs w:val="11"/>
                <w:lang w:eastAsia="en-GB"/>
              </w:rPr>
            </w:pPr>
            <w:r w:rsidRPr="3A5FC3B6" w:rsidR="3A5FC3B6">
              <w:rPr>
                <w:rFonts w:eastAsia="Times New Roman" w:cs="Calibri" w:cstheme="minorAscii"/>
                <w:color w:val="auto"/>
                <w:sz w:val="11"/>
                <w:szCs w:val="11"/>
                <w:lang w:eastAsia="en-GB"/>
              </w:rPr>
              <w:t>N/A</w:t>
            </w:r>
          </w:p>
        </w:tc>
        <w:tc>
          <w:tcPr>
            <w:tcW w:w="303" w:type="pct"/>
            <w:tcBorders>
              <w:top w:val="nil"/>
              <w:left w:val="nil"/>
              <w:bottom w:val="single" w:color="auto" w:sz="4" w:space="0"/>
              <w:right w:val="single" w:color="auto" w:sz="4" w:space="0"/>
            </w:tcBorders>
            <w:tcMar/>
            <w:vAlign w:val="center"/>
            <w:hideMark/>
          </w:tcPr>
          <w:p w:rsidRPr="00102FB5" w:rsidR="007926C7" w:rsidP="3A5FC3B6" w:rsidRDefault="007926C7" w14:paraId="114F9BF1" w14:textId="77777777" w14:noSpellErr="1">
            <w:pPr>
              <w:spacing w:after="0" w:line="240" w:lineRule="auto"/>
              <w:jc w:val="center"/>
              <w:rPr>
                <w:rFonts w:eastAsia="Times New Roman" w:cs="Calibri" w:cstheme="minorAscii"/>
                <w:color w:val="auto"/>
                <w:sz w:val="11"/>
                <w:szCs w:val="11"/>
                <w:lang w:eastAsia="en-GB"/>
              </w:rPr>
            </w:pPr>
            <w:r w:rsidRPr="3A5FC3B6" w:rsidR="3A5FC3B6">
              <w:rPr>
                <w:rFonts w:eastAsia="Times New Roman" w:cs="Calibri" w:cstheme="minorAscii"/>
                <w:color w:val="auto"/>
                <w:sz w:val="11"/>
                <w:szCs w:val="11"/>
                <w:lang w:eastAsia="en-GB"/>
              </w:rPr>
              <w:t>N/A</w:t>
            </w:r>
          </w:p>
        </w:tc>
        <w:tc>
          <w:tcPr>
            <w:tcW w:w="353" w:type="pct"/>
            <w:tcBorders>
              <w:top w:val="nil"/>
              <w:left w:val="nil"/>
              <w:bottom w:val="single" w:color="auto" w:sz="4" w:space="0"/>
              <w:right w:val="single" w:color="auto" w:sz="4" w:space="0"/>
            </w:tcBorders>
            <w:tcMar/>
            <w:vAlign w:val="center"/>
            <w:hideMark/>
          </w:tcPr>
          <w:p w:rsidRPr="00102FB5" w:rsidR="007926C7" w:rsidP="3A5FC3B6" w:rsidRDefault="007926C7" w14:paraId="361E2114" w14:textId="77777777" w14:noSpellErr="1">
            <w:pPr>
              <w:spacing w:after="0" w:line="240" w:lineRule="auto"/>
              <w:jc w:val="center"/>
              <w:rPr>
                <w:rFonts w:eastAsia="Times New Roman" w:cs="Calibri" w:cstheme="minorAscii"/>
                <w:color w:val="auto"/>
                <w:sz w:val="11"/>
                <w:szCs w:val="11"/>
                <w:lang w:eastAsia="en-GB"/>
              </w:rPr>
            </w:pPr>
            <w:r w:rsidRPr="3A5FC3B6" w:rsidR="3A5FC3B6">
              <w:rPr>
                <w:rFonts w:eastAsia="Times New Roman" w:cs="Calibri" w:cstheme="minorAscii"/>
                <w:color w:val="auto"/>
                <w:sz w:val="11"/>
                <w:szCs w:val="11"/>
                <w:lang w:eastAsia="en-GB"/>
              </w:rPr>
              <w:t>N/A</w:t>
            </w:r>
          </w:p>
        </w:tc>
        <w:tc>
          <w:tcPr>
            <w:tcW w:w="303" w:type="pct"/>
            <w:tcBorders>
              <w:top w:val="nil"/>
              <w:left w:val="nil"/>
              <w:bottom w:val="single" w:color="auto" w:sz="4" w:space="0"/>
              <w:right w:val="single" w:color="auto" w:sz="4" w:space="0"/>
            </w:tcBorders>
            <w:tcMar/>
            <w:vAlign w:val="center"/>
            <w:hideMark/>
          </w:tcPr>
          <w:p w:rsidRPr="00102FB5" w:rsidR="007926C7" w:rsidP="3A5FC3B6" w:rsidRDefault="007926C7" w14:paraId="3CE7BC68" w14:textId="77777777" w14:noSpellErr="1">
            <w:pPr>
              <w:spacing w:after="0" w:line="240" w:lineRule="auto"/>
              <w:jc w:val="center"/>
              <w:rPr>
                <w:rFonts w:eastAsia="Times New Roman" w:cs="Calibri" w:cstheme="minorAscii"/>
                <w:color w:val="auto"/>
                <w:sz w:val="11"/>
                <w:szCs w:val="11"/>
                <w:lang w:eastAsia="en-GB"/>
              </w:rPr>
            </w:pPr>
            <w:r w:rsidRPr="3A5FC3B6" w:rsidR="3A5FC3B6">
              <w:rPr>
                <w:rFonts w:eastAsia="Times New Roman" w:cs="Calibri" w:cstheme="minorAscii"/>
                <w:color w:val="auto"/>
                <w:sz w:val="11"/>
                <w:szCs w:val="11"/>
                <w:lang w:eastAsia="en-GB"/>
              </w:rPr>
              <w:t>N/A</w:t>
            </w:r>
          </w:p>
        </w:tc>
        <w:tc>
          <w:tcPr>
            <w:tcW w:w="252" w:type="pct"/>
            <w:tcBorders>
              <w:top w:val="nil"/>
              <w:left w:val="nil"/>
              <w:bottom w:val="single" w:color="auto" w:sz="4" w:space="0"/>
              <w:right w:val="single" w:color="auto" w:sz="4" w:space="0"/>
            </w:tcBorders>
            <w:tcMar/>
            <w:vAlign w:val="center"/>
            <w:hideMark/>
          </w:tcPr>
          <w:p w:rsidRPr="00102FB5" w:rsidR="007926C7" w:rsidP="3A5FC3B6" w:rsidRDefault="007926C7" w14:paraId="2133A7D7" w14:textId="77777777" w14:noSpellErr="1">
            <w:pPr>
              <w:spacing w:after="0" w:line="240" w:lineRule="auto"/>
              <w:jc w:val="center"/>
              <w:rPr>
                <w:rFonts w:eastAsia="Times New Roman" w:cs="Calibri" w:cstheme="minorAscii"/>
                <w:color w:val="auto"/>
                <w:sz w:val="11"/>
                <w:szCs w:val="11"/>
                <w:lang w:eastAsia="en-GB"/>
              </w:rPr>
            </w:pPr>
            <w:r w:rsidRPr="3A5FC3B6" w:rsidR="3A5FC3B6">
              <w:rPr>
                <w:rFonts w:eastAsia="Times New Roman" w:cs="Calibri" w:cstheme="minorAscii"/>
                <w:color w:val="auto"/>
                <w:sz w:val="11"/>
                <w:szCs w:val="11"/>
                <w:lang w:eastAsia="en-GB"/>
              </w:rPr>
              <w:t>N/A</w:t>
            </w:r>
          </w:p>
        </w:tc>
        <w:tc>
          <w:tcPr>
            <w:tcW w:w="252" w:type="pct"/>
            <w:tcBorders>
              <w:top w:val="nil"/>
              <w:left w:val="nil"/>
              <w:bottom w:val="single" w:color="auto" w:sz="4" w:space="0"/>
              <w:right w:val="single" w:color="auto" w:sz="4" w:space="0"/>
            </w:tcBorders>
            <w:tcMar/>
            <w:vAlign w:val="center"/>
            <w:hideMark/>
          </w:tcPr>
          <w:p w:rsidRPr="00102FB5" w:rsidR="007926C7" w:rsidP="3A5FC3B6" w:rsidRDefault="007926C7" w14:paraId="55BAB693" w14:textId="77777777" w14:noSpellErr="1">
            <w:pPr>
              <w:spacing w:after="0" w:line="240" w:lineRule="auto"/>
              <w:jc w:val="center"/>
              <w:rPr>
                <w:rFonts w:eastAsia="Times New Roman" w:cs="Calibri" w:cstheme="minorAscii"/>
                <w:color w:val="auto"/>
                <w:sz w:val="11"/>
                <w:szCs w:val="11"/>
                <w:lang w:eastAsia="en-GB"/>
              </w:rPr>
            </w:pPr>
            <w:r w:rsidRPr="3A5FC3B6" w:rsidR="3A5FC3B6">
              <w:rPr>
                <w:rFonts w:eastAsia="Times New Roman" w:cs="Calibri" w:cstheme="minorAscii"/>
                <w:color w:val="auto"/>
                <w:sz w:val="11"/>
                <w:szCs w:val="11"/>
                <w:lang w:eastAsia="en-GB"/>
              </w:rPr>
              <w:t>N/A</w:t>
            </w:r>
          </w:p>
        </w:tc>
        <w:tc>
          <w:tcPr>
            <w:tcW w:w="303" w:type="pct"/>
            <w:tcBorders>
              <w:top w:val="nil"/>
              <w:left w:val="nil"/>
              <w:bottom w:val="single" w:color="auto" w:sz="4" w:space="0"/>
              <w:right w:val="single" w:color="auto" w:sz="4" w:space="0"/>
            </w:tcBorders>
            <w:tcMar/>
            <w:vAlign w:val="center"/>
            <w:hideMark/>
          </w:tcPr>
          <w:p w:rsidRPr="00102FB5" w:rsidR="007926C7" w:rsidP="3A5FC3B6" w:rsidRDefault="007926C7" w14:paraId="76FB0C93" w14:textId="77777777" w14:noSpellErr="1">
            <w:pPr>
              <w:spacing w:after="0" w:line="240" w:lineRule="auto"/>
              <w:jc w:val="center"/>
              <w:rPr>
                <w:rFonts w:eastAsia="Times New Roman" w:cs="Calibri" w:cstheme="minorAscii"/>
                <w:color w:val="auto"/>
                <w:sz w:val="11"/>
                <w:szCs w:val="11"/>
                <w:lang w:eastAsia="en-GB"/>
              </w:rPr>
            </w:pPr>
            <w:r w:rsidRPr="3A5FC3B6" w:rsidR="3A5FC3B6">
              <w:rPr>
                <w:rFonts w:eastAsia="Times New Roman" w:cs="Calibri" w:cstheme="minorAscii"/>
                <w:color w:val="auto"/>
                <w:sz w:val="11"/>
                <w:szCs w:val="11"/>
                <w:lang w:eastAsia="en-GB"/>
              </w:rPr>
              <w:t>N/A</w:t>
            </w:r>
          </w:p>
        </w:tc>
        <w:tc>
          <w:tcPr>
            <w:tcW w:w="303" w:type="pct"/>
            <w:tcBorders>
              <w:top w:val="nil"/>
              <w:left w:val="nil"/>
              <w:bottom w:val="single" w:color="auto" w:sz="4" w:space="0"/>
              <w:right w:val="single" w:color="auto" w:sz="4" w:space="0"/>
            </w:tcBorders>
            <w:tcMar/>
            <w:vAlign w:val="center"/>
            <w:hideMark/>
          </w:tcPr>
          <w:p w:rsidRPr="00102FB5" w:rsidR="007926C7" w:rsidP="3A5FC3B6" w:rsidRDefault="007926C7" w14:paraId="181E682E" w14:textId="77777777" w14:noSpellErr="1">
            <w:pPr>
              <w:spacing w:after="0" w:line="240" w:lineRule="auto"/>
              <w:jc w:val="center"/>
              <w:rPr>
                <w:rFonts w:eastAsia="Times New Roman" w:cs="Calibri" w:cstheme="minorAscii"/>
                <w:color w:val="auto"/>
                <w:sz w:val="11"/>
                <w:szCs w:val="11"/>
                <w:lang w:eastAsia="en-GB"/>
              </w:rPr>
            </w:pPr>
            <w:r w:rsidRPr="3A5FC3B6" w:rsidR="3A5FC3B6">
              <w:rPr>
                <w:rFonts w:eastAsia="Times New Roman" w:cs="Calibri" w:cstheme="minorAscii"/>
                <w:color w:val="auto"/>
                <w:sz w:val="11"/>
                <w:szCs w:val="11"/>
                <w:lang w:eastAsia="en-GB"/>
              </w:rPr>
              <w:t>N/A</w:t>
            </w:r>
          </w:p>
        </w:tc>
        <w:tc>
          <w:tcPr>
            <w:tcW w:w="353" w:type="pct"/>
            <w:tcBorders>
              <w:top w:val="nil"/>
              <w:left w:val="nil"/>
              <w:bottom w:val="single" w:color="auto" w:sz="4" w:space="0"/>
              <w:right w:val="single" w:color="auto" w:sz="4" w:space="0"/>
            </w:tcBorders>
            <w:tcMar/>
            <w:vAlign w:val="center"/>
            <w:hideMark/>
          </w:tcPr>
          <w:p w:rsidRPr="00102FB5" w:rsidR="007926C7" w:rsidP="3A5FC3B6" w:rsidRDefault="007926C7" w14:paraId="618F5B17" w14:textId="77777777" w14:noSpellErr="1">
            <w:pPr>
              <w:spacing w:after="0" w:line="240" w:lineRule="auto"/>
              <w:jc w:val="center"/>
              <w:rPr>
                <w:rFonts w:eastAsia="Times New Roman" w:cs="Calibri" w:cstheme="minorAscii"/>
                <w:color w:val="auto"/>
                <w:sz w:val="11"/>
                <w:szCs w:val="11"/>
                <w:lang w:eastAsia="en-GB"/>
              </w:rPr>
            </w:pPr>
            <w:r w:rsidRPr="3A5FC3B6" w:rsidR="3A5FC3B6">
              <w:rPr>
                <w:rFonts w:eastAsia="Times New Roman" w:cs="Calibri" w:cstheme="minorAscii"/>
                <w:color w:val="auto"/>
                <w:sz w:val="11"/>
                <w:szCs w:val="11"/>
                <w:lang w:eastAsia="en-GB"/>
              </w:rPr>
              <w:t>N/A</w:t>
            </w:r>
          </w:p>
        </w:tc>
        <w:tc>
          <w:tcPr>
            <w:tcW w:w="303" w:type="pct"/>
            <w:tcBorders>
              <w:top w:val="nil"/>
              <w:left w:val="nil"/>
              <w:bottom w:val="single" w:color="auto" w:sz="4" w:space="0"/>
              <w:right w:val="single" w:color="auto" w:sz="4" w:space="0"/>
            </w:tcBorders>
            <w:tcMar/>
            <w:vAlign w:val="center"/>
            <w:hideMark/>
          </w:tcPr>
          <w:p w:rsidRPr="00102FB5" w:rsidR="007926C7" w:rsidP="3A5FC3B6" w:rsidRDefault="007926C7" w14:paraId="53A66BE7" w14:textId="77777777" w14:noSpellErr="1">
            <w:pPr>
              <w:spacing w:after="0" w:line="240" w:lineRule="auto"/>
              <w:jc w:val="center"/>
              <w:rPr>
                <w:rFonts w:eastAsia="Times New Roman" w:cs="Calibri" w:cstheme="minorAscii"/>
                <w:color w:val="auto"/>
                <w:sz w:val="11"/>
                <w:szCs w:val="11"/>
                <w:lang w:eastAsia="en-GB"/>
              </w:rPr>
            </w:pPr>
            <w:r w:rsidRPr="3A5FC3B6" w:rsidR="3A5FC3B6">
              <w:rPr>
                <w:rFonts w:eastAsia="Times New Roman" w:cs="Calibri" w:cstheme="minorAscii"/>
                <w:color w:val="auto"/>
                <w:sz w:val="11"/>
                <w:szCs w:val="11"/>
                <w:lang w:eastAsia="en-GB"/>
              </w:rPr>
              <w:t>Y</w:t>
            </w:r>
          </w:p>
        </w:tc>
        <w:tc>
          <w:tcPr>
            <w:tcW w:w="303" w:type="pct"/>
            <w:tcBorders>
              <w:top w:val="nil"/>
              <w:left w:val="nil"/>
              <w:bottom w:val="single" w:color="auto" w:sz="4" w:space="0"/>
              <w:right w:val="single" w:color="auto" w:sz="4" w:space="0"/>
            </w:tcBorders>
            <w:tcMar/>
            <w:vAlign w:val="center"/>
            <w:hideMark/>
          </w:tcPr>
          <w:p w:rsidRPr="00102FB5" w:rsidR="007926C7" w:rsidP="3A5FC3B6" w:rsidRDefault="007926C7" w14:paraId="328661FF" w14:textId="77777777" w14:noSpellErr="1">
            <w:pPr>
              <w:spacing w:after="0" w:line="240" w:lineRule="auto"/>
              <w:jc w:val="center"/>
              <w:rPr>
                <w:rFonts w:eastAsia="Times New Roman" w:cs="Calibri" w:cstheme="minorAscii"/>
                <w:color w:val="auto"/>
                <w:sz w:val="11"/>
                <w:szCs w:val="11"/>
                <w:lang w:eastAsia="en-GB"/>
              </w:rPr>
            </w:pPr>
            <w:r w:rsidRPr="3A5FC3B6" w:rsidR="3A5FC3B6">
              <w:rPr>
                <w:rFonts w:eastAsia="Times New Roman" w:cs="Calibri" w:cstheme="minorAscii"/>
                <w:color w:val="auto"/>
                <w:sz w:val="11"/>
                <w:szCs w:val="11"/>
                <w:lang w:eastAsia="en-GB"/>
              </w:rPr>
              <w:t>Y</w:t>
            </w:r>
          </w:p>
        </w:tc>
        <w:tc>
          <w:tcPr>
            <w:tcW w:w="353" w:type="pct"/>
            <w:tcBorders>
              <w:top w:val="nil"/>
              <w:left w:val="nil"/>
              <w:bottom w:val="single" w:color="auto" w:sz="4" w:space="0"/>
              <w:right w:val="single" w:color="auto" w:sz="4" w:space="0"/>
            </w:tcBorders>
            <w:tcMar/>
            <w:vAlign w:val="center"/>
            <w:hideMark/>
          </w:tcPr>
          <w:p w:rsidRPr="00102FB5" w:rsidR="007926C7" w:rsidP="3A5FC3B6" w:rsidRDefault="007926C7" w14:paraId="686A4EBF" w14:textId="77777777" w14:noSpellErr="1">
            <w:pPr>
              <w:spacing w:after="0" w:line="240" w:lineRule="auto"/>
              <w:jc w:val="center"/>
              <w:rPr>
                <w:rFonts w:eastAsia="Times New Roman" w:cs="Calibri" w:cstheme="minorAscii"/>
                <w:color w:val="auto"/>
                <w:sz w:val="11"/>
                <w:szCs w:val="11"/>
                <w:lang w:eastAsia="en-GB"/>
              </w:rPr>
            </w:pPr>
            <w:r w:rsidRPr="3A5FC3B6" w:rsidR="3A5FC3B6">
              <w:rPr>
                <w:rFonts w:eastAsia="Times New Roman" w:cs="Calibri" w:cstheme="minorAscii"/>
                <w:color w:val="auto"/>
                <w:sz w:val="11"/>
                <w:szCs w:val="11"/>
                <w:lang w:eastAsia="en-GB"/>
              </w:rPr>
              <w:t>N/A</w:t>
            </w:r>
          </w:p>
        </w:tc>
        <w:tc>
          <w:tcPr>
            <w:tcW w:w="353" w:type="pct"/>
            <w:tcBorders>
              <w:top w:val="nil"/>
              <w:left w:val="nil"/>
              <w:bottom w:val="single" w:color="auto" w:sz="4" w:space="0"/>
              <w:right w:val="single" w:color="auto" w:sz="4" w:space="0"/>
            </w:tcBorders>
            <w:tcMar/>
            <w:vAlign w:val="center"/>
            <w:hideMark/>
          </w:tcPr>
          <w:p w:rsidRPr="00102FB5" w:rsidR="007926C7" w:rsidP="3A5FC3B6" w:rsidRDefault="007926C7" w14:paraId="515BF0CB" w14:textId="77777777" w14:noSpellErr="1">
            <w:pPr>
              <w:spacing w:after="0" w:line="240" w:lineRule="auto"/>
              <w:jc w:val="center"/>
              <w:rPr>
                <w:rFonts w:eastAsia="Times New Roman" w:cs="Calibri" w:cstheme="minorAscii"/>
                <w:color w:val="auto"/>
                <w:sz w:val="11"/>
                <w:szCs w:val="11"/>
                <w:lang w:eastAsia="en-GB"/>
              </w:rPr>
            </w:pPr>
            <w:r w:rsidRPr="3A5FC3B6" w:rsidR="3A5FC3B6">
              <w:rPr>
                <w:rFonts w:eastAsia="Times New Roman" w:cs="Calibri" w:cstheme="minorAscii"/>
                <w:color w:val="auto"/>
                <w:sz w:val="11"/>
                <w:szCs w:val="11"/>
                <w:lang w:eastAsia="en-GB"/>
              </w:rPr>
              <w:t>N</w:t>
            </w:r>
          </w:p>
        </w:tc>
        <w:tc>
          <w:tcPr>
            <w:tcW w:w="252" w:type="pct"/>
            <w:tcBorders>
              <w:top w:val="nil"/>
              <w:left w:val="nil"/>
              <w:bottom w:val="single" w:color="auto" w:sz="4" w:space="0"/>
              <w:right w:val="single" w:color="auto" w:sz="4" w:space="0"/>
            </w:tcBorders>
            <w:tcMar/>
            <w:vAlign w:val="center"/>
            <w:hideMark/>
          </w:tcPr>
          <w:p w:rsidRPr="00102FB5" w:rsidR="007926C7" w:rsidP="3A5FC3B6" w:rsidRDefault="007926C7" w14:paraId="4F317BCE" w14:textId="77777777" w14:noSpellErr="1">
            <w:pPr>
              <w:spacing w:after="0" w:line="240" w:lineRule="auto"/>
              <w:jc w:val="center"/>
              <w:rPr>
                <w:rFonts w:eastAsia="Times New Roman" w:cs="Calibri" w:cstheme="minorAscii"/>
                <w:color w:val="auto"/>
                <w:sz w:val="11"/>
                <w:szCs w:val="11"/>
                <w:lang w:eastAsia="en-GB"/>
              </w:rPr>
            </w:pPr>
            <w:r w:rsidRPr="3A5FC3B6" w:rsidR="3A5FC3B6">
              <w:rPr>
                <w:rFonts w:eastAsia="Times New Roman" w:cs="Calibri" w:cstheme="minorAscii"/>
                <w:color w:val="auto"/>
                <w:sz w:val="11"/>
                <w:szCs w:val="11"/>
                <w:lang w:eastAsia="en-GB"/>
              </w:rPr>
              <w:t>Y</w:t>
            </w:r>
          </w:p>
        </w:tc>
        <w:tc>
          <w:tcPr>
            <w:tcW w:w="303" w:type="pct"/>
            <w:tcBorders>
              <w:top w:val="nil"/>
              <w:left w:val="nil"/>
              <w:bottom w:val="single" w:color="auto" w:sz="4" w:space="0"/>
              <w:right w:val="single" w:color="auto" w:sz="4" w:space="0"/>
            </w:tcBorders>
            <w:tcMar/>
            <w:vAlign w:val="center"/>
            <w:hideMark/>
          </w:tcPr>
          <w:p w:rsidRPr="00102FB5" w:rsidR="007926C7" w:rsidP="3A5FC3B6" w:rsidRDefault="007926C7" w14:paraId="3867626E" w14:textId="77777777" w14:noSpellErr="1">
            <w:pPr>
              <w:spacing w:after="0" w:line="240" w:lineRule="auto"/>
              <w:jc w:val="center"/>
              <w:rPr>
                <w:rFonts w:eastAsia="Times New Roman" w:cs="Calibri" w:cstheme="minorAscii"/>
                <w:color w:val="auto"/>
                <w:sz w:val="11"/>
                <w:szCs w:val="11"/>
                <w:lang w:eastAsia="en-GB"/>
              </w:rPr>
            </w:pPr>
            <w:r w:rsidRPr="3A5FC3B6" w:rsidR="3A5FC3B6">
              <w:rPr>
                <w:rFonts w:eastAsia="Times New Roman" w:cs="Calibri" w:cstheme="minorAscii"/>
                <w:color w:val="auto"/>
                <w:sz w:val="11"/>
                <w:szCs w:val="11"/>
                <w:lang w:eastAsia="en-GB"/>
              </w:rPr>
              <w:t>N/A</w:t>
            </w:r>
          </w:p>
        </w:tc>
      </w:tr>
      <w:tr w:rsidRPr="007926C7" w:rsidR="007926C7" w:rsidTr="3A5FC3B6" w14:paraId="0C23A6DB" w14:textId="77777777">
        <w:trPr>
          <w:trHeight w:val="285"/>
        </w:trPr>
        <w:tc>
          <w:tcPr>
            <w:tcW w:w="363" w:type="pct"/>
            <w:tcBorders>
              <w:top w:val="nil"/>
              <w:left w:val="single" w:color="auto" w:sz="4" w:space="0"/>
              <w:bottom w:val="single" w:color="auto" w:sz="4" w:space="0"/>
              <w:right w:val="single" w:color="auto" w:sz="4" w:space="0"/>
            </w:tcBorders>
            <w:noWrap/>
            <w:tcMar/>
            <w:vAlign w:val="center"/>
            <w:hideMark/>
          </w:tcPr>
          <w:p w:rsidRPr="00102FB5" w:rsidR="007926C7" w:rsidP="3A5FC3B6" w:rsidRDefault="007926C7" w14:paraId="0A61B85D" w14:textId="77777777" w14:noSpellErr="1">
            <w:pPr>
              <w:spacing w:after="0" w:line="240" w:lineRule="auto"/>
              <w:jc w:val="center"/>
              <w:rPr>
                <w:rFonts w:eastAsia="Times New Roman" w:cs="Calibri" w:cstheme="minorAscii"/>
                <w:b w:val="1"/>
                <w:bCs w:val="1"/>
                <w:color w:val="auto"/>
                <w:sz w:val="11"/>
                <w:szCs w:val="11"/>
                <w:lang w:eastAsia="en-GB"/>
              </w:rPr>
            </w:pPr>
            <w:r w:rsidRPr="3A5FC3B6" w:rsidR="3A5FC3B6">
              <w:rPr>
                <w:rFonts w:eastAsia="Times New Roman" w:cs="Calibri" w:cstheme="minorAscii"/>
                <w:b w:val="1"/>
                <w:bCs w:val="1"/>
                <w:color w:val="auto"/>
                <w:sz w:val="11"/>
                <w:szCs w:val="11"/>
                <w:lang w:eastAsia="en-GB"/>
              </w:rPr>
              <w:t>Malik</w:t>
            </w:r>
          </w:p>
        </w:tc>
        <w:tc>
          <w:tcPr>
            <w:tcW w:w="348" w:type="pct"/>
            <w:tcBorders>
              <w:top w:val="nil"/>
              <w:left w:val="nil"/>
              <w:bottom w:val="single" w:color="auto" w:sz="4" w:space="0"/>
              <w:right w:val="single" w:color="auto" w:sz="4" w:space="0"/>
            </w:tcBorders>
            <w:tcMar/>
            <w:vAlign w:val="center"/>
            <w:hideMark/>
          </w:tcPr>
          <w:p w:rsidRPr="00102FB5" w:rsidR="007926C7" w:rsidP="3A5FC3B6" w:rsidRDefault="007926C7" w14:paraId="61EA7BDC" w14:textId="77777777" w14:noSpellErr="1">
            <w:pPr>
              <w:spacing w:after="0" w:line="240" w:lineRule="auto"/>
              <w:jc w:val="center"/>
              <w:rPr>
                <w:rFonts w:eastAsia="Times New Roman" w:cs="Calibri" w:cstheme="minorAscii"/>
                <w:color w:val="auto"/>
                <w:sz w:val="11"/>
                <w:szCs w:val="11"/>
                <w:lang w:eastAsia="en-GB"/>
              </w:rPr>
            </w:pPr>
            <w:r w:rsidRPr="3A5FC3B6" w:rsidR="3A5FC3B6">
              <w:rPr>
                <w:rFonts w:eastAsia="Times New Roman" w:cs="Calibri" w:cstheme="minorAscii"/>
                <w:color w:val="auto"/>
                <w:sz w:val="11"/>
                <w:szCs w:val="11"/>
                <w:lang w:eastAsia="en-GB"/>
              </w:rPr>
              <w:t>N/A</w:t>
            </w:r>
          </w:p>
        </w:tc>
        <w:tc>
          <w:tcPr>
            <w:tcW w:w="303" w:type="pct"/>
            <w:tcBorders>
              <w:top w:val="nil"/>
              <w:left w:val="nil"/>
              <w:bottom w:val="single" w:color="auto" w:sz="4" w:space="0"/>
              <w:right w:val="single" w:color="auto" w:sz="4" w:space="0"/>
            </w:tcBorders>
            <w:tcMar/>
            <w:vAlign w:val="center"/>
            <w:hideMark/>
          </w:tcPr>
          <w:p w:rsidRPr="00102FB5" w:rsidR="007926C7" w:rsidP="3A5FC3B6" w:rsidRDefault="007926C7" w14:paraId="7B9E89F9" w14:textId="77777777" w14:noSpellErr="1">
            <w:pPr>
              <w:spacing w:after="0" w:line="240" w:lineRule="auto"/>
              <w:jc w:val="center"/>
              <w:rPr>
                <w:rFonts w:eastAsia="Times New Roman" w:cs="Calibri" w:cstheme="minorAscii"/>
                <w:color w:val="auto"/>
                <w:sz w:val="11"/>
                <w:szCs w:val="11"/>
                <w:lang w:eastAsia="en-GB"/>
              </w:rPr>
            </w:pPr>
            <w:r w:rsidRPr="3A5FC3B6" w:rsidR="3A5FC3B6">
              <w:rPr>
                <w:rFonts w:eastAsia="Times New Roman" w:cs="Calibri" w:cstheme="minorAscii"/>
                <w:color w:val="auto"/>
                <w:sz w:val="11"/>
                <w:szCs w:val="11"/>
                <w:lang w:eastAsia="en-GB"/>
              </w:rPr>
              <w:t>Y</w:t>
            </w:r>
          </w:p>
        </w:tc>
        <w:tc>
          <w:tcPr>
            <w:tcW w:w="353" w:type="pct"/>
            <w:tcBorders>
              <w:top w:val="nil"/>
              <w:left w:val="nil"/>
              <w:bottom w:val="single" w:color="auto" w:sz="4" w:space="0"/>
              <w:right w:val="single" w:color="auto" w:sz="4" w:space="0"/>
            </w:tcBorders>
            <w:tcMar/>
            <w:vAlign w:val="center"/>
            <w:hideMark/>
          </w:tcPr>
          <w:p w:rsidRPr="00102FB5" w:rsidR="007926C7" w:rsidP="3A5FC3B6" w:rsidRDefault="007926C7" w14:paraId="0C201A9C" w14:textId="77777777" w14:noSpellErr="1">
            <w:pPr>
              <w:spacing w:after="0" w:line="240" w:lineRule="auto"/>
              <w:jc w:val="center"/>
              <w:rPr>
                <w:rFonts w:eastAsia="Times New Roman" w:cs="Calibri" w:cstheme="minorAscii"/>
                <w:color w:val="auto"/>
                <w:sz w:val="11"/>
                <w:szCs w:val="11"/>
                <w:lang w:eastAsia="en-GB"/>
              </w:rPr>
            </w:pPr>
            <w:r w:rsidRPr="3A5FC3B6" w:rsidR="3A5FC3B6">
              <w:rPr>
                <w:rFonts w:eastAsia="Times New Roman" w:cs="Calibri" w:cstheme="minorAscii"/>
                <w:color w:val="auto"/>
                <w:sz w:val="11"/>
                <w:szCs w:val="11"/>
                <w:lang w:eastAsia="en-GB"/>
              </w:rPr>
              <w:t>Y</w:t>
            </w:r>
          </w:p>
        </w:tc>
        <w:tc>
          <w:tcPr>
            <w:tcW w:w="303" w:type="pct"/>
            <w:tcBorders>
              <w:top w:val="nil"/>
              <w:left w:val="nil"/>
              <w:bottom w:val="single" w:color="auto" w:sz="4" w:space="0"/>
              <w:right w:val="single" w:color="auto" w:sz="4" w:space="0"/>
            </w:tcBorders>
            <w:tcMar/>
            <w:vAlign w:val="center"/>
            <w:hideMark/>
          </w:tcPr>
          <w:p w:rsidRPr="00102FB5" w:rsidR="007926C7" w:rsidP="3A5FC3B6" w:rsidRDefault="007926C7" w14:paraId="46A97D9B" w14:textId="77777777" w14:noSpellErr="1">
            <w:pPr>
              <w:spacing w:after="0" w:line="240" w:lineRule="auto"/>
              <w:jc w:val="center"/>
              <w:rPr>
                <w:rFonts w:eastAsia="Times New Roman" w:cs="Calibri" w:cstheme="minorAscii"/>
                <w:color w:val="auto"/>
                <w:sz w:val="11"/>
                <w:szCs w:val="11"/>
                <w:lang w:eastAsia="en-GB"/>
              </w:rPr>
            </w:pPr>
            <w:r w:rsidRPr="3A5FC3B6" w:rsidR="3A5FC3B6">
              <w:rPr>
                <w:rFonts w:eastAsia="Times New Roman" w:cs="Calibri" w:cstheme="minorAscii"/>
                <w:color w:val="auto"/>
                <w:sz w:val="11"/>
                <w:szCs w:val="11"/>
                <w:lang w:eastAsia="en-GB"/>
              </w:rPr>
              <w:t>Y</w:t>
            </w:r>
          </w:p>
        </w:tc>
        <w:tc>
          <w:tcPr>
            <w:tcW w:w="252" w:type="pct"/>
            <w:tcBorders>
              <w:top w:val="nil"/>
              <w:left w:val="nil"/>
              <w:bottom w:val="single" w:color="auto" w:sz="4" w:space="0"/>
              <w:right w:val="single" w:color="auto" w:sz="4" w:space="0"/>
            </w:tcBorders>
            <w:tcMar/>
            <w:vAlign w:val="center"/>
            <w:hideMark/>
          </w:tcPr>
          <w:p w:rsidRPr="00102FB5" w:rsidR="007926C7" w:rsidP="3A5FC3B6" w:rsidRDefault="007926C7" w14:paraId="6F448038" w14:textId="77777777" w14:noSpellErr="1">
            <w:pPr>
              <w:spacing w:after="0" w:line="240" w:lineRule="auto"/>
              <w:jc w:val="center"/>
              <w:rPr>
                <w:rFonts w:eastAsia="Times New Roman" w:cs="Calibri" w:cstheme="minorAscii"/>
                <w:color w:val="auto"/>
                <w:sz w:val="11"/>
                <w:szCs w:val="11"/>
                <w:lang w:eastAsia="en-GB"/>
              </w:rPr>
            </w:pPr>
            <w:r w:rsidRPr="3A5FC3B6" w:rsidR="3A5FC3B6">
              <w:rPr>
                <w:rFonts w:eastAsia="Times New Roman" w:cs="Calibri" w:cstheme="minorAscii"/>
                <w:color w:val="auto"/>
                <w:sz w:val="11"/>
                <w:szCs w:val="11"/>
                <w:lang w:eastAsia="en-GB"/>
              </w:rPr>
              <w:t>Y</w:t>
            </w:r>
          </w:p>
        </w:tc>
        <w:tc>
          <w:tcPr>
            <w:tcW w:w="252" w:type="pct"/>
            <w:tcBorders>
              <w:top w:val="nil"/>
              <w:left w:val="nil"/>
              <w:bottom w:val="single" w:color="auto" w:sz="4" w:space="0"/>
              <w:right w:val="single" w:color="auto" w:sz="4" w:space="0"/>
            </w:tcBorders>
            <w:tcMar/>
            <w:vAlign w:val="center"/>
            <w:hideMark/>
          </w:tcPr>
          <w:p w:rsidRPr="00102FB5" w:rsidR="007926C7" w:rsidP="3A5FC3B6" w:rsidRDefault="007926C7" w14:paraId="31F7C72D" w14:textId="77777777" w14:noSpellErr="1">
            <w:pPr>
              <w:spacing w:after="0" w:line="240" w:lineRule="auto"/>
              <w:jc w:val="center"/>
              <w:rPr>
                <w:rFonts w:eastAsia="Times New Roman" w:cs="Calibri" w:cstheme="minorAscii"/>
                <w:color w:val="auto"/>
                <w:sz w:val="11"/>
                <w:szCs w:val="11"/>
                <w:lang w:eastAsia="en-GB"/>
              </w:rPr>
            </w:pPr>
            <w:r w:rsidRPr="3A5FC3B6" w:rsidR="3A5FC3B6">
              <w:rPr>
                <w:rFonts w:eastAsia="Times New Roman" w:cs="Calibri" w:cstheme="minorAscii"/>
                <w:color w:val="auto"/>
                <w:sz w:val="11"/>
                <w:szCs w:val="11"/>
                <w:lang w:eastAsia="en-GB"/>
              </w:rPr>
              <w:t>Y</w:t>
            </w:r>
          </w:p>
        </w:tc>
        <w:tc>
          <w:tcPr>
            <w:tcW w:w="303" w:type="pct"/>
            <w:tcBorders>
              <w:top w:val="nil"/>
              <w:left w:val="nil"/>
              <w:bottom w:val="single" w:color="auto" w:sz="4" w:space="0"/>
              <w:right w:val="single" w:color="auto" w:sz="4" w:space="0"/>
            </w:tcBorders>
            <w:tcMar/>
            <w:vAlign w:val="center"/>
            <w:hideMark/>
          </w:tcPr>
          <w:p w:rsidRPr="00102FB5" w:rsidR="007926C7" w:rsidP="3A5FC3B6" w:rsidRDefault="007926C7" w14:paraId="09A0D34E" w14:textId="77777777" w14:noSpellErr="1">
            <w:pPr>
              <w:spacing w:after="0" w:line="240" w:lineRule="auto"/>
              <w:jc w:val="center"/>
              <w:rPr>
                <w:rFonts w:eastAsia="Times New Roman" w:cs="Calibri" w:cstheme="minorAscii"/>
                <w:color w:val="auto"/>
                <w:sz w:val="11"/>
                <w:szCs w:val="11"/>
                <w:lang w:eastAsia="en-GB"/>
              </w:rPr>
            </w:pPr>
            <w:r w:rsidRPr="3A5FC3B6" w:rsidR="3A5FC3B6">
              <w:rPr>
                <w:rFonts w:eastAsia="Times New Roman" w:cs="Calibri" w:cstheme="minorAscii"/>
                <w:color w:val="auto"/>
                <w:sz w:val="11"/>
                <w:szCs w:val="11"/>
                <w:lang w:eastAsia="en-GB"/>
              </w:rPr>
              <w:t>N/A</w:t>
            </w:r>
          </w:p>
        </w:tc>
        <w:tc>
          <w:tcPr>
            <w:tcW w:w="303" w:type="pct"/>
            <w:tcBorders>
              <w:top w:val="nil"/>
              <w:left w:val="nil"/>
              <w:bottom w:val="single" w:color="auto" w:sz="4" w:space="0"/>
              <w:right w:val="single" w:color="auto" w:sz="4" w:space="0"/>
            </w:tcBorders>
            <w:tcMar/>
            <w:vAlign w:val="center"/>
            <w:hideMark/>
          </w:tcPr>
          <w:p w:rsidRPr="00102FB5" w:rsidR="007926C7" w:rsidP="3A5FC3B6" w:rsidRDefault="007926C7" w14:paraId="79D71586" w14:textId="77777777" w14:noSpellErr="1">
            <w:pPr>
              <w:spacing w:after="0" w:line="240" w:lineRule="auto"/>
              <w:jc w:val="center"/>
              <w:rPr>
                <w:rFonts w:eastAsia="Times New Roman" w:cs="Calibri" w:cstheme="minorAscii"/>
                <w:color w:val="auto"/>
                <w:sz w:val="11"/>
                <w:szCs w:val="11"/>
                <w:lang w:eastAsia="en-GB"/>
              </w:rPr>
            </w:pPr>
            <w:r w:rsidRPr="3A5FC3B6" w:rsidR="3A5FC3B6">
              <w:rPr>
                <w:rFonts w:eastAsia="Times New Roman" w:cs="Calibri" w:cstheme="minorAscii"/>
                <w:color w:val="auto"/>
                <w:sz w:val="11"/>
                <w:szCs w:val="11"/>
                <w:lang w:eastAsia="en-GB"/>
              </w:rPr>
              <w:t>N/A</w:t>
            </w:r>
          </w:p>
        </w:tc>
        <w:tc>
          <w:tcPr>
            <w:tcW w:w="353" w:type="pct"/>
            <w:tcBorders>
              <w:top w:val="nil"/>
              <w:left w:val="nil"/>
              <w:bottom w:val="single" w:color="auto" w:sz="4" w:space="0"/>
              <w:right w:val="single" w:color="auto" w:sz="4" w:space="0"/>
            </w:tcBorders>
            <w:tcMar/>
            <w:vAlign w:val="center"/>
            <w:hideMark/>
          </w:tcPr>
          <w:p w:rsidRPr="00102FB5" w:rsidR="007926C7" w:rsidP="3A5FC3B6" w:rsidRDefault="007926C7" w14:paraId="4B61ACBE" w14:textId="77777777" w14:noSpellErr="1">
            <w:pPr>
              <w:spacing w:after="0" w:line="240" w:lineRule="auto"/>
              <w:jc w:val="center"/>
              <w:rPr>
                <w:rFonts w:eastAsia="Times New Roman" w:cs="Calibri" w:cstheme="minorAscii"/>
                <w:color w:val="auto"/>
                <w:sz w:val="11"/>
                <w:szCs w:val="11"/>
                <w:lang w:eastAsia="en-GB"/>
              </w:rPr>
            </w:pPr>
            <w:r w:rsidRPr="3A5FC3B6" w:rsidR="3A5FC3B6">
              <w:rPr>
                <w:rFonts w:eastAsia="Times New Roman" w:cs="Calibri" w:cstheme="minorAscii"/>
                <w:color w:val="auto"/>
                <w:sz w:val="11"/>
                <w:szCs w:val="11"/>
                <w:lang w:eastAsia="en-GB"/>
              </w:rPr>
              <w:t>Y</w:t>
            </w:r>
          </w:p>
        </w:tc>
        <w:tc>
          <w:tcPr>
            <w:tcW w:w="303" w:type="pct"/>
            <w:tcBorders>
              <w:top w:val="nil"/>
              <w:left w:val="nil"/>
              <w:bottom w:val="single" w:color="auto" w:sz="4" w:space="0"/>
              <w:right w:val="single" w:color="auto" w:sz="4" w:space="0"/>
            </w:tcBorders>
            <w:tcMar/>
            <w:vAlign w:val="center"/>
            <w:hideMark/>
          </w:tcPr>
          <w:p w:rsidRPr="00102FB5" w:rsidR="007926C7" w:rsidP="3A5FC3B6" w:rsidRDefault="007926C7" w14:paraId="7D2CC09F" w14:textId="77777777" w14:noSpellErr="1">
            <w:pPr>
              <w:spacing w:after="0" w:line="240" w:lineRule="auto"/>
              <w:jc w:val="center"/>
              <w:rPr>
                <w:rFonts w:eastAsia="Times New Roman" w:cs="Calibri" w:cstheme="minorAscii"/>
                <w:color w:val="auto"/>
                <w:sz w:val="11"/>
                <w:szCs w:val="11"/>
                <w:lang w:eastAsia="en-GB"/>
              </w:rPr>
            </w:pPr>
            <w:r w:rsidRPr="3A5FC3B6" w:rsidR="3A5FC3B6">
              <w:rPr>
                <w:rFonts w:eastAsia="Times New Roman" w:cs="Calibri" w:cstheme="minorAscii"/>
                <w:color w:val="auto"/>
                <w:sz w:val="11"/>
                <w:szCs w:val="11"/>
                <w:lang w:eastAsia="en-GB"/>
              </w:rPr>
              <w:t>N/A</w:t>
            </w:r>
          </w:p>
        </w:tc>
        <w:tc>
          <w:tcPr>
            <w:tcW w:w="303" w:type="pct"/>
            <w:tcBorders>
              <w:top w:val="nil"/>
              <w:left w:val="nil"/>
              <w:bottom w:val="single" w:color="auto" w:sz="4" w:space="0"/>
              <w:right w:val="single" w:color="auto" w:sz="4" w:space="0"/>
            </w:tcBorders>
            <w:tcMar/>
            <w:vAlign w:val="center"/>
            <w:hideMark/>
          </w:tcPr>
          <w:p w:rsidRPr="00102FB5" w:rsidR="007926C7" w:rsidP="3A5FC3B6" w:rsidRDefault="007926C7" w14:paraId="38E69E88" w14:textId="77777777" w14:noSpellErr="1">
            <w:pPr>
              <w:spacing w:after="0" w:line="240" w:lineRule="auto"/>
              <w:jc w:val="center"/>
              <w:rPr>
                <w:rFonts w:eastAsia="Times New Roman" w:cs="Calibri" w:cstheme="minorAscii"/>
                <w:color w:val="auto"/>
                <w:sz w:val="11"/>
                <w:szCs w:val="11"/>
                <w:lang w:eastAsia="en-GB"/>
              </w:rPr>
            </w:pPr>
            <w:r w:rsidRPr="3A5FC3B6" w:rsidR="3A5FC3B6">
              <w:rPr>
                <w:rFonts w:eastAsia="Times New Roman" w:cs="Calibri" w:cstheme="minorAscii"/>
                <w:color w:val="auto"/>
                <w:sz w:val="11"/>
                <w:szCs w:val="11"/>
                <w:lang w:eastAsia="en-GB"/>
              </w:rPr>
              <w:t>N/A</w:t>
            </w:r>
          </w:p>
        </w:tc>
        <w:tc>
          <w:tcPr>
            <w:tcW w:w="353" w:type="pct"/>
            <w:tcBorders>
              <w:top w:val="nil"/>
              <w:left w:val="nil"/>
              <w:bottom w:val="single" w:color="auto" w:sz="4" w:space="0"/>
              <w:right w:val="single" w:color="auto" w:sz="4" w:space="0"/>
            </w:tcBorders>
            <w:tcMar/>
            <w:vAlign w:val="center"/>
            <w:hideMark/>
          </w:tcPr>
          <w:p w:rsidRPr="00102FB5" w:rsidR="007926C7" w:rsidP="3A5FC3B6" w:rsidRDefault="007926C7" w14:paraId="025C8A2C" w14:textId="77777777" w14:noSpellErr="1">
            <w:pPr>
              <w:spacing w:after="0" w:line="240" w:lineRule="auto"/>
              <w:jc w:val="center"/>
              <w:rPr>
                <w:rFonts w:eastAsia="Times New Roman" w:cs="Calibri" w:cstheme="minorAscii"/>
                <w:color w:val="auto"/>
                <w:sz w:val="11"/>
                <w:szCs w:val="11"/>
                <w:lang w:eastAsia="en-GB"/>
              </w:rPr>
            </w:pPr>
            <w:r w:rsidRPr="3A5FC3B6" w:rsidR="3A5FC3B6">
              <w:rPr>
                <w:rFonts w:eastAsia="Times New Roman" w:cs="Calibri" w:cstheme="minorAscii"/>
                <w:color w:val="auto"/>
                <w:sz w:val="11"/>
                <w:szCs w:val="11"/>
                <w:lang w:eastAsia="en-GB"/>
              </w:rPr>
              <w:t>Y</w:t>
            </w:r>
          </w:p>
        </w:tc>
        <w:tc>
          <w:tcPr>
            <w:tcW w:w="353" w:type="pct"/>
            <w:tcBorders>
              <w:top w:val="nil"/>
              <w:left w:val="nil"/>
              <w:bottom w:val="single" w:color="auto" w:sz="4" w:space="0"/>
              <w:right w:val="single" w:color="auto" w:sz="4" w:space="0"/>
            </w:tcBorders>
            <w:tcMar/>
            <w:vAlign w:val="center"/>
            <w:hideMark/>
          </w:tcPr>
          <w:p w:rsidRPr="00102FB5" w:rsidR="007926C7" w:rsidP="3A5FC3B6" w:rsidRDefault="007926C7" w14:paraId="332D6764" w14:textId="77777777" w14:noSpellErr="1">
            <w:pPr>
              <w:spacing w:after="0" w:line="240" w:lineRule="auto"/>
              <w:jc w:val="center"/>
              <w:rPr>
                <w:rFonts w:eastAsia="Times New Roman" w:cs="Calibri" w:cstheme="minorAscii"/>
                <w:color w:val="auto"/>
                <w:sz w:val="11"/>
                <w:szCs w:val="11"/>
                <w:lang w:eastAsia="en-GB"/>
              </w:rPr>
            </w:pPr>
            <w:r w:rsidRPr="3A5FC3B6" w:rsidR="3A5FC3B6">
              <w:rPr>
                <w:rFonts w:eastAsia="Times New Roman" w:cs="Calibri" w:cstheme="minorAscii"/>
                <w:color w:val="auto"/>
                <w:sz w:val="11"/>
                <w:szCs w:val="11"/>
                <w:lang w:eastAsia="en-GB"/>
              </w:rPr>
              <w:t>Y</w:t>
            </w:r>
          </w:p>
        </w:tc>
        <w:tc>
          <w:tcPr>
            <w:tcW w:w="252" w:type="pct"/>
            <w:tcBorders>
              <w:top w:val="nil"/>
              <w:left w:val="nil"/>
              <w:bottom w:val="single" w:color="auto" w:sz="4" w:space="0"/>
              <w:right w:val="single" w:color="auto" w:sz="4" w:space="0"/>
            </w:tcBorders>
            <w:tcMar/>
            <w:vAlign w:val="center"/>
            <w:hideMark/>
          </w:tcPr>
          <w:p w:rsidRPr="00102FB5" w:rsidR="007926C7" w:rsidP="3A5FC3B6" w:rsidRDefault="007926C7" w14:paraId="6FE44404" w14:textId="77777777" w14:noSpellErr="1">
            <w:pPr>
              <w:spacing w:after="0" w:line="240" w:lineRule="auto"/>
              <w:jc w:val="center"/>
              <w:rPr>
                <w:rFonts w:eastAsia="Times New Roman" w:cs="Calibri" w:cstheme="minorAscii"/>
                <w:color w:val="auto"/>
                <w:sz w:val="11"/>
                <w:szCs w:val="11"/>
                <w:lang w:eastAsia="en-GB"/>
              </w:rPr>
            </w:pPr>
            <w:r w:rsidRPr="3A5FC3B6" w:rsidR="3A5FC3B6">
              <w:rPr>
                <w:rFonts w:eastAsia="Times New Roman" w:cs="Calibri" w:cstheme="minorAscii"/>
                <w:color w:val="auto"/>
                <w:sz w:val="11"/>
                <w:szCs w:val="11"/>
                <w:lang w:eastAsia="en-GB"/>
              </w:rPr>
              <w:t>Y</w:t>
            </w:r>
          </w:p>
        </w:tc>
        <w:tc>
          <w:tcPr>
            <w:tcW w:w="303" w:type="pct"/>
            <w:tcBorders>
              <w:top w:val="nil"/>
              <w:left w:val="nil"/>
              <w:bottom w:val="single" w:color="auto" w:sz="4" w:space="0"/>
              <w:right w:val="single" w:color="auto" w:sz="4" w:space="0"/>
            </w:tcBorders>
            <w:tcMar/>
            <w:vAlign w:val="center"/>
            <w:hideMark/>
          </w:tcPr>
          <w:p w:rsidRPr="00102FB5" w:rsidR="007926C7" w:rsidP="3A5FC3B6" w:rsidRDefault="007926C7" w14:paraId="23123262" w14:textId="77777777" w14:noSpellErr="1">
            <w:pPr>
              <w:spacing w:after="0" w:line="240" w:lineRule="auto"/>
              <w:jc w:val="center"/>
              <w:rPr>
                <w:rFonts w:eastAsia="Times New Roman" w:cs="Calibri" w:cstheme="minorAscii"/>
                <w:color w:val="auto"/>
                <w:sz w:val="11"/>
                <w:szCs w:val="11"/>
                <w:lang w:eastAsia="en-GB"/>
              </w:rPr>
            </w:pPr>
            <w:r w:rsidRPr="3A5FC3B6" w:rsidR="3A5FC3B6">
              <w:rPr>
                <w:rFonts w:eastAsia="Times New Roman" w:cs="Calibri" w:cstheme="minorAscii"/>
                <w:color w:val="auto"/>
                <w:sz w:val="11"/>
                <w:szCs w:val="11"/>
                <w:lang w:eastAsia="en-GB"/>
              </w:rPr>
              <w:t>Y</w:t>
            </w:r>
          </w:p>
        </w:tc>
      </w:tr>
      <w:tr w:rsidRPr="007926C7" w:rsidR="007926C7" w:rsidTr="3A5FC3B6" w14:paraId="42F6EC45" w14:textId="77777777">
        <w:trPr>
          <w:trHeight w:val="285"/>
        </w:trPr>
        <w:tc>
          <w:tcPr>
            <w:tcW w:w="363" w:type="pct"/>
            <w:tcBorders>
              <w:top w:val="nil"/>
              <w:left w:val="single" w:color="auto" w:sz="4" w:space="0"/>
              <w:bottom w:val="single" w:color="auto" w:sz="4" w:space="0"/>
              <w:right w:val="single" w:color="auto" w:sz="4" w:space="0"/>
            </w:tcBorders>
            <w:noWrap/>
            <w:tcMar/>
            <w:vAlign w:val="center"/>
            <w:hideMark/>
          </w:tcPr>
          <w:p w:rsidRPr="00102FB5" w:rsidR="007926C7" w:rsidP="3A5FC3B6" w:rsidRDefault="007926C7" w14:paraId="4EC4DD73" w14:textId="77777777">
            <w:pPr>
              <w:spacing w:after="0" w:line="240" w:lineRule="auto"/>
              <w:jc w:val="center"/>
              <w:rPr>
                <w:rFonts w:eastAsia="Times New Roman" w:cs="Calibri" w:cstheme="minorAscii"/>
                <w:b w:val="1"/>
                <w:bCs w:val="1"/>
                <w:color w:val="auto"/>
                <w:sz w:val="11"/>
                <w:szCs w:val="11"/>
                <w:lang w:eastAsia="en-GB"/>
              </w:rPr>
            </w:pPr>
            <w:r w:rsidRPr="3A5FC3B6" w:rsidR="3A5FC3B6">
              <w:rPr>
                <w:rFonts w:eastAsia="Times New Roman" w:cs="Calibri" w:cstheme="minorAscii"/>
                <w:b w:val="1"/>
                <w:bCs w:val="1"/>
                <w:color w:val="auto"/>
                <w:sz w:val="11"/>
                <w:szCs w:val="11"/>
                <w:lang w:eastAsia="en-GB"/>
              </w:rPr>
              <w:t>Muehling</w:t>
            </w:r>
            <w:r w:rsidRPr="3A5FC3B6" w:rsidR="3A5FC3B6">
              <w:rPr>
                <w:rFonts w:eastAsia="Times New Roman" w:cs="Calibri" w:cstheme="minorAscii"/>
                <w:b w:val="1"/>
                <w:bCs w:val="1"/>
                <w:color w:val="auto"/>
                <w:sz w:val="11"/>
                <w:szCs w:val="11"/>
                <w:lang w:eastAsia="en-GB"/>
              </w:rPr>
              <w:t xml:space="preserve"> 2009</w:t>
            </w:r>
          </w:p>
        </w:tc>
        <w:tc>
          <w:tcPr>
            <w:tcW w:w="348" w:type="pct"/>
            <w:tcBorders>
              <w:top w:val="nil"/>
              <w:left w:val="nil"/>
              <w:bottom w:val="single" w:color="auto" w:sz="4" w:space="0"/>
              <w:right w:val="single" w:color="auto" w:sz="4" w:space="0"/>
            </w:tcBorders>
            <w:tcMar/>
            <w:vAlign w:val="center"/>
            <w:hideMark/>
          </w:tcPr>
          <w:p w:rsidRPr="00102FB5" w:rsidR="007926C7" w:rsidP="3A5FC3B6" w:rsidRDefault="007926C7" w14:paraId="71705FF6" w14:textId="77777777" w14:noSpellErr="1">
            <w:pPr>
              <w:spacing w:after="0" w:line="240" w:lineRule="auto"/>
              <w:jc w:val="center"/>
              <w:rPr>
                <w:rFonts w:eastAsia="Times New Roman" w:cs="Calibri" w:cstheme="minorAscii"/>
                <w:color w:val="auto"/>
                <w:sz w:val="11"/>
                <w:szCs w:val="11"/>
                <w:lang w:eastAsia="en-GB"/>
              </w:rPr>
            </w:pPr>
            <w:r w:rsidRPr="3A5FC3B6" w:rsidR="3A5FC3B6">
              <w:rPr>
                <w:rFonts w:eastAsia="Times New Roman" w:cs="Calibri" w:cstheme="minorAscii"/>
                <w:color w:val="auto"/>
                <w:sz w:val="11"/>
                <w:szCs w:val="11"/>
                <w:lang w:eastAsia="en-GB"/>
              </w:rPr>
              <w:t>Y</w:t>
            </w:r>
          </w:p>
        </w:tc>
        <w:tc>
          <w:tcPr>
            <w:tcW w:w="303" w:type="pct"/>
            <w:tcBorders>
              <w:top w:val="nil"/>
              <w:left w:val="nil"/>
              <w:bottom w:val="single" w:color="auto" w:sz="4" w:space="0"/>
              <w:right w:val="single" w:color="auto" w:sz="4" w:space="0"/>
            </w:tcBorders>
            <w:tcMar/>
            <w:vAlign w:val="center"/>
            <w:hideMark/>
          </w:tcPr>
          <w:p w:rsidRPr="00102FB5" w:rsidR="007926C7" w:rsidP="3A5FC3B6" w:rsidRDefault="007926C7" w14:paraId="7F1E62BD" w14:textId="77777777" w14:noSpellErr="1">
            <w:pPr>
              <w:spacing w:after="0" w:line="240" w:lineRule="auto"/>
              <w:jc w:val="center"/>
              <w:rPr>
                <w:rFonts w:eastAsia="Times New Roman" w:cs="Calibri" w:cstheme="minorAscii"/>
                <w:color w:val="auto"/>
                <w:sz w:val="11"/>
                <w:szCs w:val="11"/>
                <w:lang w:eastAsia="en-GB"/>
              </w:rPr>
            </w:pPr>
            <w:r w:rsidRPr="3A5FC3B6" w:rsidR="3A5FC3B6">
              <w:rPr>
                <w:rFonts w:eastAsia="Times New Roman" w:cs="Calibri" w:cstheme="minorAscii"/>
                <w:color w:val="auto"/>
                <w:sz w:val="11"/>
                <w:szCs w:val="11"/>
                <w:lang w:eastAsia="en-GB"/>
              </w:rPr>
              <w:t>Y</w:t>
            </w:r>
          </w:p>
        </w:tc>
        <w:tc>
          <w:tcPr>
            <w:tcW w:w="353" w:type="pct"/>
            <w:tcBorders>
              <w:top w:val="nil"/>
              <w:left w:val="nil"/>
              <w:bottom w:val="single" w:color="auto" w:sz="4" w:space="0"/>
              <w:right w:val="single" w:color="auto" w:sz="4" w:space="0"/>
            </w:tcBorders>
            <w:tcMar/>
            <w:vAlign w:val="center"/>
            <w:hideMark/>
          </w:tcPr>
          <w:p w:rsidRPr="00102FB5" w:rsidR="007926C7" w:rsidP="3A5FC3B6" w:rsidRDefault="007926C7" w14:paraId="4BBEEEF6" w14:textId="77777777" w14:noSpellErr="1">
            <w:pPr>
              <w:spacing w:after="0" w:line="240" w:lineRule="auto"/>
              <w:jc w:val="center"/>
              <w:rPr>
                <w:rFonts w:eastAsia="Times New Roman" w:cs="Calibri" w:cstheme="minorAscii"/>
                <w:color w:val="auto"/>
                <w:sz w:val="11"/>
                <w:szCs w:val="11"/>
                <w:lang w:eastAsia="en-GB"/>
              </w:rPr>
            </w:pPr>
            <w:r w:rsidRPr="3A5FC3B6" w:rsidR="3A5FC3B6">
              <w:rPr>
                <w:rFonts w:eastAsia="Times New Roman" w:cs="Calibri" w:cstheme="minorAscii"/>
                <w:color w:val="auto"/>
                <w:sz w:val="11"/>
                <w:szCs w:val="11"/>
                <w:lang w:eastAsia="en-GB"/>
              </w:rPr>
              <w:t>Y</w:t>
            </w:r>
          </w:p>
        </w:tc>
        <w:tc>
          <w:tcPr>
            <w:tcW w:w="303" w:type="pct"/>
            <w:tcBorders>
              <w:top w:val="nil"/>
              <w:left w:val="nil"/>
              <w:bottom w:val="single" w:color="auto" w:sz="4" w:space="0"/>
              <w:right w:val="single" w:color="auto" w:sz="4" w:space="0"/>
            </w:tcBorders>
            <w:tcMar/>
            <w:vAlign w:val="center"/>
            <w:hideMark/>
          </w:tcPr>
          <w:p w:rsidRPr="00102FB5" w:rsidR="007926C7" w:rsidP="3A5FC3B6" w:rsidRDefault="007926C7" w14:paraId="76E22868" w14:textId="77777777" w14:noSpellErr="1">
            <w:pPr>
              <w:spacing w:after="0" w:line="240" w:lineRule="auto"/>
              <w:jc w:val="center"/>
              <w:rPr>
                <w:rFonts w:eastAsia="Times New Roman" w:cs="Calibri" w:cstheme="minorAscii"/>
                <w:color w:val="auto"/>
                <w:sz w:val="11"/>
                <w:szCs w:val="11"/>
                <w:lang w:eastAsia="en-GB"/>
              </w:rPr>
            </w:pPr>
            <w:r w:rsidRPr="3A5FC3B6" w:rsidR="3A5FC3B6">
              <w:rPr>
                <w:rFonts w:eastAsia="Times New Roman" w:cs="Calibri" w:cstheme="minorAscii"/>
                <w:color w:val="auto"/>
                <w:sz w:val="11"/>
                <w:szCs w:val="11"/>
                <w:lang w:eastAsia="en-GB"/>
              </w:rPr>
              <w:t>N/A</w:t>
            </w:r>
          </w:p>
        </w:tc>
        <w:tc>
          <w:tcPr>
            <w:tcW w:w="252" w:type="pct"/>
            <w:tcBorders>
              <w:top w:val="nil"/>
              <w:left w:val="nil"/>
              <w:bottom w:val="single" w:color="auto" w:sz="4" w:space="0"/>
              <w:right w:val="single" w:color="auto" w:sz="4" w:space="0"/>
            </w:tcBorders>
            <w:tcMar/>
            <w:vAlign w:val="center"/>
            <w:hideMark/>
          </w:tcPr>
          <w:p w:rsidRPr="00102FB5" w:rsidR="007926C7" w:rsidP="3A5FC3B6" w:rsidRDefault="007926C7" w14:paraId="5D352433" w14:textId="77777777" w14:noSpellErr="1">
            <w:pPr>
              <w:spacing w:after="0" w:line="240" w:lineRule="auto"/>
              <w:jc w:val="center"/>
              <w:rPr>
                <w:rFonts w:eastAsia="Times New Roman" w:cs="Calibri" w:cstheme="minorAscii"/>
                <w:color w:val="auto"/>
                <w:sz w:val="11"/>
                <w:szCs w:val="11"/>
                <w:lang w:eastAsia="en-GB"/>
              </w:rPr>
            </w:pPr>
            <w:r w:rsidRPr="3A5FC3B6" w:rsidR="3A5FC3B6">
              <w:rPr>
                <w:rFonts w:eastAsia="Times New Roman" w:cs="Calibri" w:cstheme="minorAscii"/>
                <w:color w:val="auto"/>
                <w:sz w:val="11"/>
                <w:szCs w:val="11"/>
                <w:lang w:eastAsia="en-GB"/>
              </w:rPr>
              <w:t>Y</w:t>
            </w:r>
          </w:p>
        </w:tc>
        <w:tc>
          <w:tcPr>
            <w:tcW w:w="252" w:type="pct"/>
            <w:tcBorders>
              <w:top w:val="nil"/>
              <w:left w:val="nil"/>
              <w:bottom w:val="single" w:color="auto" w:sz="4" w:space="0"/>
              <w:right w:val="single" w:color="auto" w:sz="4" w:space="0"/>
            </w:tcBorders>
            <w:tcMar/>
            <w:vAlign w:val="center"/>
            <w:hideMark/>
          </w:tcPr>
          <w:p w:rsidRPr="00102FB5" w:rsidR="007926C7" w:rsidP="3A5FC3B6" w:rsidRDefault="007926C7" w14:paraId="5ABAB3A2" w14:textId="77777777" w14:noSpellErr="1">
            <w:pPr>
              <w:spacing w:after="0" w:line="240" w:lineRule="auto"/>
              <w:jc w:val="center"/>
              <w:rPr>
                <w:rFonts w:eastAsia="Times New Roman" w:cs="Calibri" w:cstheme="minorAscii"/>
                <w:color w:val="auto"/>
                <w:sz w:val="11"/>
                <w:szCs w:val="11"/>
                <w:lang w:eastAsia="en-GB"/>
              </w:rPr>
            </w:pPr>
            <w:r w:rsidRPr="3A5FC3B6" w:rsidR="3A5FC3B6">
              <w:rPr>
                <w:rFonts w:eastAsia="Times New Roman" w:cs="Calibri" w:cstheme="minorAscii"/>
                <w:color w:val="auto"/>
                <w:sz w:val="11"/>
                <w:szCs w:val="11"/>
                <w:lang w:eastAsia="en-GB"/>
              </w:rPr>
              <w:t>Y</w:t>
            </w:r>
          </w:p>
        </w:tc>
        <w:tc>
          <w:tcPr>
            <w:tcW w:w="303" w:type="pct"/>
            <w:tcBorders>
              <w:top w:val="nil"/>
              <w:left w:val="nil"/>
              <w:bottom w:val="single" w:color="auto" w:sz="4" w:space="0"/>
              <w:right w:val="single" w:color="auto" w:sz="4" w:space="0"/>
            </w:tcBorders>
            <w:tcMar/>
            <w:vAlign w:val="center"/>
            <w:hideMark/>
          </w:tcPr>
          <w:p w:rsidRPr="00102FB5" w:rsidR="007926C7" w:rsidP="3A5FC3B6" w:rsidRDefault="007926C7" w14:paraId="478A3866" w14:textId="77777777" w14:noSpellErr="1">
            <w:pPr>
              <w:spacing w:after="0" w:line="240" w:lineRule="auto"/>
              <w:jc w:val="center"/>
              <w:rPr>
                <w:rFonts w:eastAsia="Times New Roman" w:cs="Calibri" w:cstheme="minorAscii"/>
                <w:color w:val="auto"/>
                <w:sz w:val="11"/>
                <w:szCs w:val="11"/>
                <w:lang w:eastAsia="en-GB"/>
              </w:rPr>
            </w:pPr>
            <w:r w:rsidRPr="3A5FC3B6" w:rsidR="3A5FC3B6">
              <w:rPr>
                <w:rFonts w:eastAsia="Times New Roman" w:cs="Calibri" w:cstheme="minorAscii"/>
                <w:color w:val="auto"/>
                <w:sz w:val="11"/>
                <w:szCs w:val="11"/>
                <w:lang w:eastAsia="en-GB"/>
              </w:rPr>
              <w:t>Y</w:t>
            </w:r>
          </w:p>
        </w:tc>
        <w:tc>
          <w:tcPr>
            <w:tcW w:w="303" w:type="pct"/>
            <w:tcBorders>
              <w:top w:val="nil"/>
              <w:left w:val="nil"/>
              <w:bottom w:val="single" w:color="auto" w:sz="4" w:space="0"/>
              <w:right w:val="single" w:color="auto" w:sz="4" w:space="0"/>
            </w:tcBorders>
            <w:tcMar/>
            <w:vAlign w:val="center"/>
            <w:hideMark/>
          </w:tcPr>
          <w:p w:rsidRPr="00102FB5" w:rsidR="007926C7" w:rsidP="3A5FC3B6" w:rsidRDefault="007926C7" w14:paraId="1CA28623" w14:textId="77777777" w14:noSpellErr="1">
            <w:pPr>
              <w:spacing w:after="0" w:line="240" w:lineRule="auto"/>
              <w:jc w:val="center"/>
              <w:rPr>
                <w:rFonts w:eastAsia="Times New Roman" w:cs="Calibri" w:cstheme="minorAscii"/>
                <w:color w:val="auto"/>
                <w:sz w:val="11"/>
                <w:szCs w:val="11"/>
                <w:lang w:eastAsia="en-GB"/>
              </w:rPr>
            </w:pPr>
            <w:r w:rsidRPr="3A5FC3B6" w:rsidR="3A5FC3B6">
              <w:rPr>
                <w:rFonts w:eastAsia="Times New Roman" w:cs="Calibri" w:cstheme="minorAscii"/>
                <w:color w:val="auto"/>
                <w:sz w:val="11"/>
                <w:szCs w:val="11"/>
                <w:lang w:eastAsia="en-GB"/>
              </w:rPr>
              <w:t>Y</w:t>
            </w:r>
          </w:p>
        </w:tc>
        <w:tc>
          <w:tcPr>
            <w:tcW w:w="353" w:type="pct"/>
            <w:tcBorders>
              <w:top w:val="nil"/>
              <w:left w:val="nil"/>
              <w:bottom w:val="single" w:color="auto" w:sz="4" w:space="0"/>
              <w:right w:val="single" w:color="auto" w:sz="4" w:space="0"/>
            </w:tcBorders>
            <w:tcMar/>
            <w:vAlign w:val="center"/>
            <w:hideMark/>
          </w:tcPr>
          <w:p w:rsidRPr="00102FB5" w:rsidR="007926C7" w:rsidP="3A5FC3B6" w:rsidRDefault="007926C7" w14:paraId="2200A177" w14:textId="77777777" w14:noSpellErr="1">
            <w:pPr>
              <w:spacing w:after="0" w:line="240" w:lineRule="auto"/>
              <w:jc w:val="center"/>
              <w:rPr>
                <w:rFonts w:eastAsia="Times New Roman" w:cs="Calibri" w:cstheme="minorAscii"/>
                <w:color w:val="auto"/>
                <w:sz w:val="11"/>
                <w:szCs w:val="11"/>
                <w:lang w:eastAsia="en-GB"/>
              </w:rPr>
            </w:pPr>
            <w:r w:rsidRPr="3A5FC3B6" w:rsidR="3A5FC3B6">
              <w:rPr>
                <w:rFonts w:eastAsia="Times New Roman" w:cs="Calibri" w:cstheme="minorAscii"/>
                <w:color w:val="auto"/>
                <w:sz w:val="11"/>
                <w:szCs w:val="11"/>
                <w:lang w:eastAsia="en-GB"/>
              </w:rPr>
              <w:t>N/A</w:t>
            </w:r>
          </w:p>
        </w:tc>
        <w:tc>
          <w:tcPr>
            <w:tcW w:w="303" w:type="pct"/>
            <w:tcBorders>
              <w:top w:val="nil"/>
              <w:left w:val="nil"/>
              <w:bottom w:val="single" w:color="auto" w:sz="4" w:space="0"/>
              <w:right w:val="single" w:color="auto" w:sz="4" w:space="0"/>
            </w:tcBorders>
            <w:tcMar/>
            <w:vAlign w:val="center"/>
            <w:hideMark/>
          </w:tcPr>
          <w:p w:rsidRPr="00102FB5" w:rsidR="007926C7" w:rsidP="3A5FC3B6" w:rsidRDefault="007926C7" w14:paraId="0D3F2747" w14:textId="77777777" w14:noSpellErr="1">
            <w:pPr>
              <w:spacing w:after="0" w:line="240" w:lineRule="auto"/>
              <w:jc w:val="center"/>
              <w:rPr>
                <w:rFonts w:eastAsia="Times New Roman" w:cs="Calibri" w:cstheme="minorAscii"/>
                <w:color w:val="auto"/>
                <w:sz w:val="11"/>
                <w:szCs w:val="11"/>
                <w:lang w:eastAsia="en-GB"/>
              </w:rPr>
            </w:pPr>
            <w:r w:rsidRPr="3A5FC3B6" w:rsidR="3A5FC3B6">
              <w:rPr>
                <w:rFonts w:eastAsia="Times New Roman" w:cs="Calibri" w:cstheme="minorAscii"/>
                <w:color w:val="auto"/>
                <w:sz w:val="11"/>
                <w:szCs w:val="11"/>
                <w:lang w:eastAsia="en-GB"/>
              </w:rPr>
              <w:t>Y</w:t>
            </w:r>
          </w:p>
        </w:tc>
        <w:tc>
          <w:tcPr>
            <w:tcW w:w="303" w:type="pct"/>
            <w:tcBorders>
              <w:top w:val="nil"/>
              <w:left w:val="nil"/>
              <w:bottom w:val="single" w:color="auto" w:sz="4" w:space="0"/>
              <w:right w:val="single" w:color="auto" w:sz="4" w:space="0"/>
            </w:tcBorders>
            <w:tcMar/>
            <w:vAlign w:val="center"/>
            <w:hideMark/>
          </w:tcPr>
          <w:p w:rsidRPr="00102FB5" w:rsidR="007926C7" w:rsidP="3A5FC3B6" w:rsidRDefault="007926C7" w14:paraId="4AD2887D" w14:textId="77777777" w14:noSpellErr="1">
            <w:pPr>
              <w:spacing w:after="0" w:line="240" w:lineRule="auto"/>
              <w:jc w:val="center"/>
              <w:rPr>
                <w:rFonts w:eastAsia="Times New Roman" w:cs="Calibri" w:cstheme="minorAscii"/>
                <w:color w:val="auto"/>
                <w:sz w:val="11"/>
                <w:szCs w:val="11"/>
                <w:lang w:eastAsia="en-GB"/>
              </w:rPr>
            </w:pPr>
            <w:r w:rsidRPr="3A5FC3B6" w:rsidR="3A5FC3B6">
              <w:rPr>
                <w:rFonts w:eastAsia="Times New Roman" w:cs="Calibri" w:cstheme="minorAscii"/>
                <w:color w:val="auto"/>
                <w:sz w:val="11"/>
                <w:szCs w:val="11"/>
                <w:lang w:eastAsia="en-GB"/>
              </w:rPr>
              <w:t>Y</w:t>
            </w:r>
          </w:p>
        </w:tc>
        <w:tc>
          <w:tcPr>
            <w:tcW w:w="353" w:type="pct"/>
            <w:tcBorders>
              <w:top w:val="nil"/>
              <w:left w:val="nil"/>
              <w:bottom w:val="single" w:color="auto" w:sz="4" w:space="0"/>
              <w:right w:val="single" w:color="auto" w:sz="4" w:space="0"/>
            </w:tcBorders>
            <w:tcMar/>
            <w:vAlign w:val="center"/>
            <w:hideMark/>
          </w:tcPr>
          <w:p w:rsidRPr="00102FB5" w:rsidR="007926C7" w:rsidP="3A5FC3B6" w:rsidRDefault="007926C7" w14:paraId="09CAF802" w14:textId="77777777" w14:noSpellErr="1">
            <w:pPr>
              <w:spacing w:after="0" w:line="240" w:lineRule="auto"/>
              <w:jc w:val="center"/>
              <w:rPr>
                <w:rFonts w:eastAsia="Times New Roman" w:cs="Calibri" w:cstheme="minorAscii"/>
                <w:color w:val="auto"/>
                <w:sz w:val="11"/>
                <w:szCs w:val="11"/>
                <w:lang w:eastAsia="en-GB"/>
              </w:rPr>
            </w:pPr>
            <w:r w:rsidRPr="3A5FC3B6" w:rsidR="3A5FC3B6">
              <w:rPr>
                <w:rFonts w:eastAsia="Times New Roman" w:cs="Calibri" w:cstheme="minorAscii"/>
                <w:color w:val="auto"/>
                <w:sz w:val="11"/>
                <w:szCs w:val="11"/>
                <w:lang w:eastAsia="en-GB"/>
              </w:rPr>
              <w:t>Y</w:t>
            </w:r>
          </w:p>
        </w:tc>
        <w:tc>
          <w:tcPr>
            <w:tcW w:w="353" w:type="pct"/>
            <w:tcBorders>
              <w:top w:val="nil"/>
              <w:left w:val="nil"/>
              <w:bottom w:val="single" w:color="auto" w:sz="4" w:space="0"/>
              <w:right w:val="single" w:color="auto" w:sz="4" w:space="0"/>
            </w:tcBorders>
            <w:tcMar/>
            <w:vAlign w:val="center"/>
            <w:hideMark/>
          </w:tcPr>
          <w:p w:rsidRPr="00102FB5" w:rsidR="007926C7" w:rsidP="3A5FC3B6" w:rsidRDefault="007926C7" w14:paraId="4A991AF9" w14:textId="77777777" w14:noSpellErr="1">
            <w:pPr>
              <w:spacing w:after="0" w:line="240" w:lineRule="auto"/>
              <w:jc w:val="center"/>
              <w:rPr>
                <w:rFonts w:eastAsia="Times New Roman" w:cs="Calibri" w:cstheme="minorAscii"/>
                <w:color w:val="auto"/>
                <w:sz w:val="11"/>
                <w:szCs w:val="11"/>
                <w:lang w:eastAsia="en-GB"/>
              </w:rPr>
            </w:pPr>
            <w:r w:rsidRPr="3A5FC3B6" w:rsidR="3A5FC3B6">
              <w:rPr>
                <w:rFonts w:eastAsia="Times New Roman" w:cs="Calibri" w:cstheme="minorAscii"/>
                <w:color w:val="auto"/>
                <w:sz w:val="11"/>
                <w:szCs w:val="11"/>
                <w:lang w:eastAsia="en-GB"/>
              </w:rPr>
              <w:t>Y</w:t>
            </w:r>
          </w:p>
        </w:tc>
        <w:tc>
          <w:tcPr>
            <w:tcW w:w="252" w:type="pct"/>
            <w:tcBorders>
              <w:top w:val="nil"/>
              <w:left w:val="nil"/>
              <w:bottom w:val="single" w:color="auto" w:sz="4" w:space="0"/>
              <w:right w:val="single" w:color="auto" w:sz="4" w:space="0"/>
            </w:tcBorders>
            <w:tcMar/>
            <w:vAlign w:val="center"/>
            <w:hideMark/>
          </w:tcPr>
          <w:p w:rsidRPr="00102FB5" w:rsidR="007926C7" w:rsidP="3A5FC3B6" w:rsidRDefault="007926C7" w14:paraId="6EACAFC6" w14:textId="77777777" w14:noSpellErr="1">
            <w:pPr>
              <w:spacing w:after="0" w:line="240" w:lineRule="auto"/>
              <w:jc w:val="center"/>
              <w:rPr>
                <w:rFonts w:eastAsia="Times New Roman" w:cs="Calibri" w:cstheme="minorAscii"/>
                <w:color w:val="auto"/>
                <w:sz w:val="11"/>
                <w:szCs w:val="11"/>
                <w:lang w:eastAsia="en-GB"/>
              </w:rPr>
            </w:pPr>
            <w:r w:rsidRPr="3A5FC3B6" w:rsidR="3A5FC3B6">
              <w:rPr>
                <w:rFonts w:eastAsia="Times New Roman" w:cs="Calibri" w:cstheme="minorAscii"/>
                <w:color w:val="auto"/>
                <w:sz w:val="11"/>
                <w:szCs w:val="11"/>
                <w:lang w:eastAsia="en-GB"/>
              </w:rPr>
              <w:t>Y</w:t>
            </w:r>
          </w:p>
        </w:tc>
        <w:tc>
          <w:tcPr>
            <w:tcW w:w="303" w:type="pct"/>
            <w:tcBorders>
              <w:top w:val="nil"/>
              <w:left w:val="nil"/>
              <w:bottom w:val="single" w:color="auto" w:sz="4" w:space="0"/>
              <w:right w:val="single" w:color="auto" w:sz="4" w:space="0"/>
            </w:tcBorders>
            <w:tcMar/>
            <w:vAlign w:val="center"/>
            <w:hideMark/>
          </w:tcPr>
          <w:p w:rsidRPr="00102FB5" w:rsidR="007926C7" w:rsidP="3A5FC3B6" w:rsidRDefault="007926C7" w14:paraId="71E03FA7" w14:textId="77777777" w14:noSpellErr="1">
            <w:pPr>
              <w:spacing w:after="0" w:line="240" w:lineRule="auto"/>
              <w:jc w:val="center"/>
              <w:rPr>
                <w:rFonts w:eastAsia="Times New Roman" w:cs="Calibri" w:cstheme="minorAscii"/>
                <w:color w:val="auto"/>
                <w:sz w:val="11"/>
                <w:szCs w:val="11"/>
                <w:lang w:eastAsia="en-GB"/>
              </w:rPr>
            </w:pPr>
            <w:r w:rsidRPr="3A5FC3B6" w:rsidR="3A5FC3B6">
              <w:rPr>
                <w:rFonts w:eastAsia="Times New Roman" w:cs="Calibri" w:cstheme="minorAscii"/>
                <w:color w:val="auto"/>
                <w:sz w:val="11"/>
                <w:szCs w:val="11"/>
                <w:lang w:eastAsia="en-GB"/>
              </w:rPr>
              <w:t>Y</w:t>
            </w:r>
          </w:p>
        </w:tc>
      </w:tr>
      <w:tr w:rsidRPr="007926C7" w:rsidR="007926C7" w:rsidTr="3A5FC3B6" w14:paraId="4E1A86F3" w14:textId="77777777">
        <w:trPr>
          <w:trHeight w:val="285"/>
        </w:trPr>
        <w:tc>
          <w:tcPr>
            <w:tcW w:w="363" w:type="pct"/>
            <w:tcBorders>
              <w:top w:val="nil"/>
              <w:left w:val="single" w:color="auto" w:sz="4" w:space="0"/>
              <w:bottom w:val="single" w:color="auto" w:sz="4" w:space="0"/>
              <w:right w:val="single" w:color="auto" w:sz="4" w:space="0"/>
            </w:tcBorders>
            <w:noWrap/>
            <w:tcMar/>
            <w:vAlign w:val="center"/>
            <w:hideMark/>
          </w:tcPr>
          <w:p w:rsidRPr="00102FB5" w:rsidR="007926C7" w:rsidP="3A5FC3B6" w:rsidRDefault="007926C7" w14:paraId="15D2DD9F" w14:textId="77777777">
            <w:pPr>
              <w:spacing w:after="0" w:line="240" w:lineRule="auto"/>
              <w:jc w:val="center"/>
              <w:rPr>
                <w:rFonts w:eastAsia="Times New Roman" w:cs="Calibri" w:cstheme="minorAscii"/>
                <w:b w:val="1"/>
                <w:bCs w:val="1"/>
                <w:color w:val="auto"/>
                <w:sz w:val="11"/>
                <w:szCs w:val="11"/>
                <w:lang w:eastAsia="en-GB"/>
              </w:rPr>
            </w:pPr>
            <w:r w:rsidRPr="3A5FC3B6" w:rsidR="3A5FC3B6">
              <w:rPr>
                <w:rFonts w:eastAsia="Times New Roman" w:cs="Calibri" w:cstheme="minorAscii"/>
                <w:b w:val="1"/>
                <w:bCs w:val="1"/>
                <w:color w:val="auto"/>
                <w:sz w:val="11"/>
                <w:szCs w:val="11"/>
                <w:lang w:eastAsia="en-GB"/>
              </w:rPr>
              <w:t>Muehling</w:t>
            </w:r>
            <w:r w:rsidRPr="3A5FC3B6" w:rsidR="3A5FC3B6">
              <w:rPr>
                <w:rFonts w:eastAsia="Times New Roman" w:cs="Calibri" w:cstheme="minorAscii"/>
                <w:b w:val="1"/>
                <w:bCs w:val="1"/>
                <w:color w:val="auto"/>
                <w:sz w:val="11"/>
                <w:szCs w:val="11"/>
                <w:lang w:eastAsia="en-GB"/>
              </w:rPr>
              <w:t xml:space="preserve"> 2011</w:t>
            </w:r>
          </w:p>
        </w:tc>
        <w:tc>
          <w:tcPr>
            <w:tcW w:w="348" w:type="pct"/>
            <w:tcBorders>
              <w:top w:val="nil"/>
              <w:left w:val="nil"/>
              <w:bottom w:val="single" w:color="auto" w:sz="4" w:space="0"/>
              <w:right w:val="single" w:color="auto" w:sz="4" w:space="0"/>
            </w:tcBorders>
            <w:tcMar/>
            <w:vAlign w:val="center"/>
            <w:hideMark/>
          </w:tcPr>
          <w:p w:rsidRPr="00102FB5" w:rsidR="007926C7" w:rsidP="3A5FC3B6" w:rsidRDefault="007926C7" w14:paraId="558CEC56" w14:textId="77777777" w14:noSpellErr="1">
            <w:pPr>
              <w:spacing w:after="0" w:line="240" w:lineRule="auto"/>
              <w:jc w:val="center"/>
              <w:rPr>
                <w:rFonts w:eastAsia="Times New Roman" w:cs="Calibri" w:cstheme="minorAscii"/>
                <w:color w:val="auto"/>
                <w:sz w:val="11"/>
                <w:szCs w:val="11"/>
                <w:lang w:eastAsia="en-GB"/>
              </w:rPr>
            </w:pPr>
            <w:r w:rsidRPr="3A5FC3B6" w:rsidR="3A5FC3B6">
              <w:rPr>
                <w:rFonts w:eastAsia="Times New Roman" w:cs="Calibri" w:cstheme="minorAscii"/>
                <w:color w:val="auto"/>
                <w:sz w:val="11"/>
                <w:szCs w:val="11"/>
                <w:lang w:eastAsia="en-GB"/>
              </w:rPr>
              <w:t>Y</w:t>
            </w:r>
          </w:p>
        </w:tc>
        <w:tc>
          <w:tcPr>
            <w:tcW w:w="303" w:type="pct"/>
            <w:tcBorders>
              <w:top w:val="nil"/>
              <w:left w:val="nil"/>
              <w:bottom w:val="single" w:color="auto" w:sz="4" w:space="0"/>
              <w:right w:val="single" w:color="auto" w:sz="4" w:space="0"/>
            </w:tcBorders>
            <w:tcMar/>
            <w:vAlign w:val="center"/>
            <w:hideMark/>
          </w:tcPr>
          <w:p w:rsidRPr="00102FB5" w:rsidR="007926C7" w:rsidP="3A5FC3B6" w:rsidRDefault="007926C7" w14:paraId="1A537556" w14:textId="77777777" w14:noSpellErr="1">
            <w:pPr>
              <w:spacing w:after="0" w:line="240" w:lineRule="auto"/>
              <w:jc w:val="center"/>
              <w:rPr>
                <w:rFonts w:eastAsia="Times New Roman" w:cs="Calibri" w:cstheme="minorAscii"/>
                <w:color w:val="auto"/>
                <w:sz w:val="11"/>
                <w:szCs w:val="11"/>
                <w:lang w:eastAsia="en-GB"/>
              </w:rPr>
            </w:pPr>
            <w:r w:rsidRPr="3A5FC3B6" w:rsidR="3A5FC3B6">
              <w:rPr>
                <w:rFonts w:eastAsia="Times New Roman" w:cs="Calibri" w:cstheme="minorAscii"/>
                <w:color w:val="auto"/>
                <w:sz w:val="11"/>
                <w:szCs w:val="11"/>
                <w:lang w:eastAsia="en-GB"/>
              </w:rPr>
              <w:t>Y</w:t>
            </w:r>
          </w:p>
        </w:tc>
        <w:tc>
          <w:tcPr>
            <w:tcW w:w="353" w:type="pct"/>
            <w:tcBorders>
              <w:top w:val="nil"/>
              <w:left w:val="nil"/>
              <w:bottom w:val="single" w:color="auto" w:sz="4" w:space="0"/>
              <w:right w:val="single" w:color="auto" w:sz="4" w:space="0"/>
            </w:tcBorders>
            <w:tcMar/>
            <w:vAlign w:val="center"/>
            <w:hideMark/>
          </w:tcPr>
          <w:p w:rsidRPr="00102FB5" w:rsidR="007926C7" w:rsidP="3A5FC3B6" w:rsidRDefault="007926C7" w14:paraId="0EC932C5" w14:textId="77777777" w14:noSpellErr="1">
            <w:pPr>
              <w:spacing w:after="0" w:line="240" w:lineRule="auto"/>
              <w:jc w:val="center"/>
              <w:rPr>
                <w:rFonts w:eastAsia="Times New Roman" w:cs="Calibri" w:cstheme="minorAscii"/>
                <w:color w:val="auto"/>
                <w:sz w:val="11"/>
                <w:szCs w:val="11"/>
                <w:lang w:eastAsia="en-GB"/>
              </w:rPr>
            </w:pPr>
            <w:r w:rsidRPr="3A5FC3B6" w:rsidR="3A5FC3B6">
              <w:rPr>
                <w:rFonts w:eastAsia="Times New Roman" w:cs="Calibri" w:cstheme="minorAscii"/>
                <w:color w:val="auto"/>
                <w:sz w:val="11"/>
                <w:szCs w:val="11"/>
                <w:lang w:eastAsia="en-GB"/>
              </w:rPr>
              <w:t>Y</w:t>
            </w:r>
          </w:p>
        </w:tc>
        <w:tc>
          <w:tcPr>
            <w:tcW w:w="303" w:type="pct"/>
            <w:tcBorders>
              <w:top w:val="nil"/>
              <w:left w:val="nil"/>
              <w:bottom w:val="single" w:color="auto" w:sz="4" w:space="0"/>
              <w:right w:val="single" w:color="auto" w:sz="4" w:space="0"/>
            </w:tcBorders>
            <w:tcMar/>
            <w:vAlign w:val="center"/>
            <w:hideMark/>
          </w:tcPr>
          <w:p w:rsidRPr="00102FB5" w:rsidR="007926C7" w:rsidP="3A5FC3B6" w:rsidRDefault="007926C7" w14:paraId="57AD70D4" w14:textId="77777777" w14:noSpellErr="1">
            <w:pPr>
              <w:spacing w:after="0" w:line="240" w:lineRule="auto"/>
              <w:jc w:val="center"/>
              <w:rPr>
                <w:rFonts w:eastAsia="Times New Roman" w:cs="Calibri" w:cstheme="minorAscii"/>
                <w:color w:val="auto"/>
                <w:sz w:val="11"/>
                <w:szCs w:val="11"/>
                <w:lang w:eastAsia="en-GB"/>
              </w:rPr>
            </w:pPr>
            <w:r w:rsidRPr="3A5FC3B6" w:rsidR="3A5FC3B6">
              <w:rPr>
                <w:rFonts w:eastAsia="Times New Roman" w:cs="Calibri" w:cstheme="minorAscii"/>
                <w:color w:val="auto"/>
                <w:sz w:val="11"/>
                <w:szCs w:val="11"/>
                <w:lang w:eastAsia="en-GB"/>
              </w:rPr>
              <w:t>N/A</w:t>
            </w:r>
          </w:p>
        </w:tc>
        <w:tc>
          <w:tcPr>
            <w:tcW w:w="252" w:type="pct"/>
            <w:tcBorders>
              <w:top w:val="nil"/>
              <w:left w:val="nil"/>
              <w:bottom w:val="single" w:color="auto" w:sz="4" w:space="0"/>
              <w:right w:val="single" w:color="auto" w:sz="4" w:space="0"/>
            </w:tcBorders>
            <w:tcMar/>
            <w:vAlign w:val="center"/>
            <w:hideMark/>
          </w:tcPr>
          <w:p w:rsidRPr="00102FB5" w:rsidR="007926C7" w:rsidP="3A5FC3B6" w:rsidRDefault="007926C7" w14:paraId="33CE56DF" w14:textId="77777777" w14:noSpellErr="1">
            <w:pPr>
              <w:spacing w:after="0" w:line="240" w:lineRule="auto"/>
              <w:jc w:val="center"/>
              <w:rPr>
                <w:rFonts w:eastAsia="Times New Roman" w:cs="Calibri" w:cstheme="minorAscii"/>
                <w:color w:val="auto"/>
                <w:sz w:val="11"/>
                <w:szCs w:val="11"/>
                <w:lang w:eastAsia="en-GB"/>
              </w:rPr>
            </w:pPr>
            <w:r w:rsidRPr="3A5FC3B6" w:rsidR="3A5FC3B6">
              <w:rPr>
                <w:rFonts w:eastAsia="Times New Roman" w:cs="Calibri" w:cstheme="minorAscii"/>
                <w:color w:val="auto"/>
                <w:sz w:val="11"/>
                <w:szCs w:val="11"/>
                <w:lang w:eastAsia="en-GB"/>
              </w:rPr>
              <w:t>Y</w:t>
            </w:r>
          </w:p>
        </w:tc>
        <w:tc>
          <w:tcPr>
            <w:tcW w:w="252" w:type="pct"/>
            <w:tcBorders>
              <w:top w:val="nil"/>
              <w:left w:val="nil"/>
              <w:bottom w:val="single" w:color="auto" w:sz="4" w:space="0"/>
              <w:right w:val="single" w:color="auto" w:sz="4" w:space="0"/>
            </w:tcBorders>
            <w:tcMar/>
            <w:vAlign w:val="center"/>
            <w:hideMark/>
          </w:tcPr>
          <w:p w:rsidRPr="00102FB5" w:rsidR="007926C7" w:rsidP="3A5FC3B6" w:rsidRDefault="007926C7" w14:paraId="0DE78B65" w14:textId="77777777" w14:noSpellErr="1">
            <w:pPr>
              <w:spacing w:after="0" w:line="240" w:lineRule="auto"/>
              <w:jc w:val="center"/>
              <w:rPr>
                <w:rFonts w:eastAsia="Times New Roman" w:cs="Calibri" w:cstheme="minorAscii"/>
                <w:color w:val="auto"/>
                <w:sz w:val="11"/>
                <w:szCs w:val="11"/>
                <w:lang w:eastAsia="en-GB"/>
              </w:rPr>
            </w:pPr>
            <w:r w:rsidRPr="3A5FC3B6" w:rsidR="3A5FC3B6">
              <w:rPr>
                <w:rFonts w:eastAsia="Times New Roman" w:cs="Calibri" w:cstheme="minorAscii"/>
                <w:color w:val="auto"/>
                <w:sz w:val="11"/>
                <w:szCs w:val="11"/>
                <w:lang w:eastAsia="en-GB"/>
              </w:rPr>
              <w:t>Y</w:t>
            </w:r>
          </w:p>
        </w:tc>
        <w:tc>
          <w:tcPr>
            <w:tcW w:w="303" w:type="pct"/>
            <w:tcBorders>
              <w:top w:val="nil"/>
              <w:left w:val="nil"/>
              <w:bottom w:val="single" w:color="auto" w:sz="4" w:space="0"/>
              <w:right w:val="single" w:color="auto" w:sz="4" w:space="0"/>
            </w:tcBorders>
            <w:tcMar/>
            <w:vAlign w:val="center"/>
            <w:hideMark/>
          </w:tcPr>
          <w:p w:rsidRPr="00102FB5" w:rsidR="007926C7" w:rsidP="3A5FC3B6" w:rsidRDefault="007926C7" w14:paraId="06DB6821" w14:textId="77777777" w14:noSpellErr="1">
            <w:pPr>
              <w:spacing w:after="0" w:line="240" w:lineRule="auto"/>
              <w:jc w:val="center"/>
              <w:rPr>
                <w:rFonts w:eastAsia="Times New Roman" w:cs="Calibri" w:cstheme="minorAscii"/>
                <w:color w:val="auto"/>
                <w:sz w:val="11"/>
                <w:szCs w:val="11"/>
                <w:lang w:eastAsia="en-GB"/>
              </w:rPr>
            </w:pPr>
            <w:r w:rsidRPr="3A5FC3B6" w:rsidR="3A5FC3B6">
              <w:rPr>
                <w:rFonts w:eastAsia="Times New Roman" w:cs="Calibri" w:cstheme="minorAscii"/>
                <w:color w:val="auto"/>
                <w:sz w:val="11"/>
                <w:szCs w:val="11"/>
                <w:lang w:eastAsia="en-GB"/>
              </w:rPr>
              <w:t>Y</w:t>
            </w:r>
          </w:p>
        </w:tc>
        <w:tc>
          <w:tcPr>
            <w:tcW w:w="303" w:type="pct"/>
            <w:tcBorders>
              <w:top w:val="nil"/>
              <w:left w:val="nil"/>
              <w:bottom w:val="single" w:color="auto" w:sz="4" w:space="0"/>
              <w:right w:val="single" w:color="auto" w:sz="4" w:space="0"/>
            </w:tcBorders>
            <w:tcMar/>
            <w:vAlign w:val="center"/>
            <w:hideMark/>
          </w:tcPr>
          <w:p w:rsidRPr="00102FB5" w:rsidR="007926C7" w:rsidP="3A5FC3B6" w:rsidRDefault="007926C7" w14:paraId="2A366393" w14:textId="77777777" w14:noSpellErr="1">
            <w:pPr>
              <w:spacing w:after="0" w:line="240" w:lineRule="auto"/>
              <w:jc w:val="center"/>
              <w:rPr>
                <w:rFonts w:eastAsia="Times New Roman" w:cs="Calibri" w:cstheme="minorAscii"/>
                <w:color w:val="auto"/>
                <w:sz w:val="11"/>
                <w:szCs w:val="11"/>
                <w:lang w:eastAsia="en-GB"/>
              </w:rPr>
            </w:pPr>
            <w:r w:rsidRPr="3A5FC3B6" w:rsidR="3A5FC3B6">
              <w:rPr>
                <w:rFonts w:eastAsia="Times New Roman" w:cs="Calibri" w:cstheme="minorAscii"/>
                <w:color w:val="auto"/>
                <w:sz w:val="11"/>
                <w:szCs w:val="11"/>
                <w:lang w:eastAsia="en-GB"/>
              </w:rPr>
              <w:t>Y</w:t>
            </w:r>
          </w:p>
        </w:tc>
        <w:tc>
          <w:tcPr>
            <w:tcW w:w="353" w:type="pct"/>
            <w:tcBorders>
              <w:top w:val="nil"/>
              <w:left w:val="nil"/>
              <w:bottom w:val="single" w:color="auto" w:sz="4" w:space="0"/>
              <w:right w:val="single" w:color="auto" w:sz="4" w:space="0"/>
            </w:tcBorders>
            <w:tcMar/>
            <w:vAlign w:val="center"/>
            <w:hideMark/>
          </w:tcPr>
          <w:p w:rsidRPr="00102FB5" w:rsidR="007926C7" w:rsidP="3A5FC3B6" w:rsidRDefault="007926C7" w14:paraId="0396D0FA" w14:textId="77777777" w14:noSpellErr="1">
            <w:pPr>
              <w:spacing w:after="0" w:line="240" w:lineRule="auto"/>
              <w:jc w:val="center"/>
              <w:rPr>
                <w:rFonts w:eastAsia="Times New Roman" w:cs="Calibri" w:cstheme="minorAscii"/>
                <w:color w:val="auto"/>
                <w:sz w:val="11"/>
                <w:szCs w:val="11"/>
                <w:lang w:eastAsia="en-GB"/>
              </w:rPr>
            </w:pPr>
            <w:r w:rsidRPr="3A5FC3B6" w:rsidR="3A5FC3B6">
              <w:rPr>
                <w:rFonts w:eastAsia="Times New Roman" w:cs="Calibri" w:cstheme="minorAscii"/>
                <w:color w:val="auto"/>
                <w:sz w:val="11"/>
                <w:szCs w:val="11"/>
                <w:lang w:eastAsia="en-GB"/>
              </w:rPr>
              <w:t>N/A</w:t>
            </w:r>
          </w:p>
        </w:tc>
        <w:tc>
          <w:tcPr>
            <w:tcW w:w="303" w:type="pct"/>
            <w:tcBorders>
              <w:top w:val="nil"/>
              <w:left w:val="nil"/>
              <w:bottom w:val="single" w:color="auto" w:sz="4" w:space="0"/>
              <w:right w:val="single" w:color="auto" w:sz="4" w:space="0"/>
            </w:tcBorders>
            <w:tcMar/>
            <w:vAlign w:val="center"/>
            <w:hideMark/>
          </w:tcPr>
          <w:p w:rsidRPr="00102FB5" w:rsidR="007926C7" w:rsidP="3A5FC3B6" w:rsidRDefault="007926C7" w14:paraId="4BDBC0BD" w14:textId="77777777" w14:noSpellErr="1">
            <w:pPr>
              <w:spacing w:after="0" w:line="240" w:lineRule="auto"/>
              <w:jc w:val="center"/>
              <w:rPr>
                <w:rFonts w:eastAsia="Times New Roman" w:cs="Calibri" w:cstheme="minorAscii"/>
                <w:color w:val="auto"/>
                <w:sz w:val="11"/>
                <w:szCs w:val="11"/>
                <w:lang w:eastAsia="en-GB"/>
              </w:rPr>
            </w:pPr>
            <w:r w:rsidRPr="3A5FC3B6" w:rsidR="3A5FC3B6">
              <w:rPr>
                <w:rFonts w:eastAsia="Times New Roman" w:cs="Calibri" w:cstheme="minorAscii"/>
                <w:color w:val="auto"/>
                <w:sz w:val="11"/>
                <w:szCs w:val="11"/>
                <w:lang w:eastAsia="en-GB"/>
              </w:rPr>
              <w:t>Y</w:t>
            </w:r>
          </w:p>
        </w:tc>
        <w:tc>
          <w:tcPr>
            <w:tcW w:w="303" w:type="pct"/>
            <w:tcBorders>
              <w:top w:val="nil"/>
              <w:left w:val="nil"/>
              <w:bottom w:val="single" w:color="auto" w:sz="4" w:space="0"/>
              <w:right w:val="single" w:color="auto" w:sz="4" w:space="0"/>
            </w:tcBorders>
            <w:tcMar/>
            <w:vAlign w:val="center"/>
            <w:hideMark/>
          </w:tcPr>
          <w:p w:rsidRPr="00102FB5" w:rsidR="007926C7" w:rsidP="3A5FC3B6" w:rsidRDefault="007926C7" w14:paraId="487DFC29" w14:textId="77777777" w14:noSpellErr="1">
            <w:pPr>
              <w:spacing w:after="0" w:line="240" w:lineRule="auto"/>
              <w:jc w:val="center"/>
              <w:rPr>
                <w:rFonts w:eastAsia="Times New Roman" w:cs="Calibri" w:cstheme="minorAscii"/>
                <w:color w:val="auto"/>
                <w:sz w:val="11"/>
                <w:szCs w:val="11"/>
                <w:lang w:eastAsia="en-GB"/>
              </w:rPr>
            </w:pPr>
            <w:r w:rsidRPr="3A5FC3B6" w:rsidR="3A5FC3B6">
              <w:rPr>
                <w:rFonts w:eastAsia="Times New Roman" w:cs="Calibri" w:cstheme="minorAscii"/>
                <w:color w:val="auto"/>
                <w:sz w:val="11"/>
                <w:szCs w:val="11"/>
                <w:lang w:eastAsia="en-GB"/>
              </w:rPr>
              <w:t>Y</w:t>
            </w:r>
          </w:p>
        </w:tc>
        <w:tc>
          <w:tcPr>
            <w:tcW w:w="353" w:type="pct"/>
            <w:tcBorders>
              <w:top w:val="nil"/>
              <w:left w:val="nil"/>
              <w:bottom w:val="single" w:color="auto" w:sz="4" w:space="0"/>
              <w:right w:val="single" w:color="auto" w:sz="4" w:space="0"/>
            </w:tcBorders>
            <w:tcMar/>
            <w:vAlign w:val="center"/>
            <w:hideMark/>
          </w:tcPr>
          <w:p w:rsidRPr="00102FB5" w:rsidR="007926C7" w:rsidP="3A5FC3B6" w:rsidRDefault="007926C7" w14:paraId="243F8125" w14:textId="77777777" w14:noSpellErr="1">
            <w:pPr>
              <w:spacing w:after="0" w:line="240" w:lineRule="auto"/>
              <w:jc w:val="center"/>
              <w:rPr>
                <w:rFonts w:eastAsia="Times New Roman" w:cs="Calibri" w:cstheme="minorAscii"/>
                <w:color w:val="auto"/>
                <w:sz w:val="11"/>
                <w:szCs w:val="11"/>
                <w:lang w:eastAsia="en-GB"/>
              </w:rPr>
            </w:pPr>
            <w:r w:rsidRPr="3A5FC3B6" w:rsidR="3A5FC3B6">
              <w:rPr>
                <w:rFonts w:eastAsia="Times New Roman" w:cs="Calibri" w:cstheme="minorAscii"/>
                <w:color w:val="auto"/>
                <w:sz w:val="11"/>
                <w:szCs w:val="11"/>
                <w:lang w:eastAsia="en-GB"/>
              </w:rPr>
              <w:t>Y</w:t>
            </w:r>
          </w:p>
        </w:tc>
        <w:tc>
          <w:tcPr>
            <w:tcW w:w="353" w:type="pct"/>
            <w:tcBorders>
              <w:top w:val="nil"/>
              <w:left w:val="nil"/>
              <w:bottom w:val="single" w:color="auto" w:sz="4" w:space="0"/>
              <w:right w:val="single" w:color="auto" w:sz="4" w:space="0"/>
            </w:tcBorders>
            <w:tcMar/>
            <w:vAlign w:val="center"/>
            <w:hideMark/>
          </w:tcPr>
          <w:p w:rsidRPr="00102FB5" w:rsidR="007926C7" w:rsidP="3A5FC3B6" w:rsidRDefault="007926C7" w14:paraId="334A3086" w14:textId="77777777" w14:noSpellErr="1">
            <w:pPr>
              <w:spacing w:after="0" w:line="240" w:lineRule="auto"/>
              <w:jc w:val="center"/>
              <w:rPr>
                <w:rFonts w:eastAsia="Times New Roman" w:cs="Calibri" w:cstheme="minorAscii"/>
                <w:color w:val="auto"/>
                <w:sz w:val="11"/>
                <w:szCs w:val="11"/>
                <w:lang w:eastAsia="en-GB"/>
              </w:rPr>
            </w:pPr>
            <w:r w:rsidRPr="3A5FC3B6" w:rsidR="3A5FC3B6">
              <w:rPr>
                <w:rFonts w:eastAsia="Times New Roman" w:cs="Calibri" w:cstheme="minorAscii"/>
                <w:color w:val="auto"/>
                <w:sz w:val="11"/>
                <w:szCs w:val="11"/>
                <w:lang w:eastAsia="en-GB"/>
              </w:rPr>
              <w:t>Y</w:t>
            </w:r>
          </w:p>
        </w:tc>
        <w:tc>
          <w:tcPr>
            <w:tcW w:w="252" w:type="pct"/>
            <w:tcBorders>
              <w:top w:val="nil"/>
              <w:left w:val="nil"/>
              <w:bottom w:val="single" w:color="auto" w:sz="4" w:space="0"/>
              <w:right w:val="single" w:color="auto" w:sz="4" w:space="0"/>
            </w:tcBorders>
            <w:tcMar/>
            <w:vAlign w:val="center"/>
            <w:hideMark/>
          </w:tcPr>
          <w:p w:rsidRPr="00102FB5" w:rsidR="007926C7" w:rsidP="3A5FC3B6" w:rsidRDefault="007926C7" w14:paraId="4034547B" w14:textId="77777777" w14:noSpellErr="1">
            <w:pPr>
              <w:spacing w:after="0" w:line="240" w:lineRule="auto"/>
              <w:jc w:val="center"/>
              <w:rPr>
                <w:rFonts w:eastAsia="Times New Roman" w:cs="Calibri" w:cstheme="minorAscii"/>
                <w:color w:val="auto"/>
                <w:sz w:val="11"/>
                <w:szCs w:val="11"/>
                <w:lang w:eastAsia="en-GB"/>
              </w:rPr>
            </w:pPr>
            <w:r w:rsidRPr="3A5FC3B6" w:rsidR="3A5FC3B6">
              <w:rPr>
                <w:rFonts w:eastAsia="Times New Roman" w:cs="Calibri" w:cstheme="minorAscii"/>
                <w:color w:val="auto"/>
                <w:sz w:val="11"/>
                <w:szCs w:val="11"/>
                <w:lang w:eastAsia="en-GB"/>
              </w:rPr>
              <w:t>Y</w:t>
            </w:r>
          </w:p>
        </w:tc>
        <w:tc>
          <w:tcPr>
            <w:tcW w:w="303" w:type="pct"/>
            <w:tcBorders>
              <w:top w:val="nil"/>
              <w:left w:val="nil"/>
              <w:bottom w:val="single" w:color="auto" w:sz="4" w:space="0"/>
              <w:right w:val="single" w:color="auto" w:sz="4" w:space="0"/>
            </w:tcBorders>
            <w:tcMar/>
            <w:vAlign w:val="center"/>
            <w:hideMark/>
          </w:tcPr>
          <w:p w:rsidRPr="00102FB5" w:rsidR="007926C7" w:rsidP="3A5FC3B6" w:rsidRDefault="007926C7" w14:paraId="3299B752" w14:textId="77777777" w14:noSpellErr="1">
            <w:pPr>
              <w:spacing w:after="0" w:line="240" w:lineRule="auto"/>
              <w:jc w:val="center"/>
              <w:rPr>
                <w:rFonts w:eastAsia="Times New Roman" w:cs="Calibri" w:cstheme="minorAscii"/>
                <w:color w:val="auto"/>
                <w:sz w:val="11"/>
                <w:szCs w:val="11"/>
                <w:lang w:eastAsia="en-GB"/>
              </w:rPr>
            </w:pPr>
            <w:r w:rsidRPr="3A5FC3B6" w:rsidR="3A5FC3B6">
              <w:rPr>
                <w:rFonts w:eastAsia="Times New Roman" w:cs="Calibri" w:cstheme="minorAscii"/>
                <w:color w:val="auto"/>
                <w:sz w:val="11"/>
                <w:szCs w:val="11"/>
                <w:lang w:eastAsia="en-GB"/>
              </w:rPr>
              <w:t>Y</w:t>
            </w:r>
          </w:p>
        </w:tc>
      </w:tr>
      <w:tr w:rsidRPr="007926C7" w:rsidR="007926C7" w:rsidTr="3A5FC3B6" w14:paraId="572D3DBD" w14:textId="77777777">
        <w:trPr>
          <w:trHeight w:val="285"/>
        </w:trPr>
        <w:tc>
          <w:tcPr>
            <w:tcW w:w="363" w:type="pct"/>
            <w:tcBorders>
              <w:top w:val="nil"/>
              <w:left w:val="single" w:color="auto" w:sz="4" w:space="0"/>
              <w:bottom w:val="single" w:color="auto" w:sz="4" w:space="0"/>
              <w:right w:val="single" w:color="auto" w:sz="4" w:space="0"/>
            </w:tcBorders>
            <w:noWrap/>
            <w:tcMar/>
            <w:vAlign w:val="center"/>
            <w:hideMark/>
          </w:tcPr>
          <w:p w:rsidRPr="00102FB5" w:rsidR="007926C7" w:rsidP="3A5FC3B6" w:rsidRDefault="007926C7" w14:paraId="6AB80106" w14:textId="77777777" w14:noSpellErr="1">
            <w:pPr>
              <w:spacing w:after="0" w:line="240" w:lineRule="auto"/>
              <w:jc w:val="center"/>
              <w:rPr>
                <w:rFonts w:eastAsia="Times New Roman" w:cs="Calibri" w:cstheme="minorAscii"/>
                <w:b w:val="1"/>
                <w:bCs w:val="1"/>
                <w:color w:val="auto"/>
                <w:sz w:val="11"/>
                <w:szCs w:val="11"/>
                <w:lang w:eastAsia="en-GB"/>
              </w:rPr>
            </w:pPr>
            <w:r w:rsidRPr="3A5FC3B6" w:rsidR="3A5FC3B6">
              <w:rPr>
                <w:rFonts w:eastAsia="Times New Roman" w:cs="Calibri" w:cstheme="minorAscii"/>
                <w:b w:val="1"/>
                <w:bCs w:val="1"/>
                <w:color w:val="auto"/>
                <w:sz w:val="11"/>
                <w:szCs w:val="11"/>
                <w:lang w:eastAsia="en-GB"/>
              </w:rPr>
              <w:t>Murphy</w:t>
            </w:r>
          </w:p>
        </w:tc>
        <w:tc>
          <w:tcPr>
            <w:tcW w:w="348" w:type="pct"/>
            <w:tcBorders>
              <w:top w:val="nil"/>
              <w:left w:val="nil"/>
              <w:bottom w:val="single" w:color="auto" w:sz="4" w:space="0"/>
              <w:right w:val="single" w:color="auto" w:sz="4" w:space="0"/>
            </w:tcBorders>
            <w:tcMar/>
            <w:vAlign w:val="center"/>
            <w:hideMark/>
          </w:tcPr>
          <w:p w:rsidRPr="00102FB5" w:rsidR="007926C7" w:rsidP="3A5FC3B6" w:rsidRDefault="007926C7" w14:paraId="300C40D6" w14:textId="77777777" w14:noSpellErr="1">
            <w:pPr>
              <w:spacing w:after="0" w:line="240" w:lineRule="auto"/>
              <w:jc w:val="center"/>
              <w:rPr>
                <w:rFonts w:eastAsia="Times New Roman" w:cs="Calibri" w:cstheme="minorAscii"/>
                <w:color w:val="auto"/>
                <w:sz w:val="11"/>
                <w:szCs w:val="11"/>
                <w:lang w:eastAsia="en-GB"/>
              </w:rPr>
            </w:pPr>
            <w:r w:rsidRPr="3A5FC3B6" w:rsidR="3A5FC3B6">
              <w:rPr>
                <w:rFonts w:eastAsia="Times New Roman" w:cs="Calibri" w:cstheme="minorAscii"/>
                <w:color w:val="auto"/>
                <w:sz w:val="11"/>
                <w:szCs w:val="11"/>
                <w:lang w:eastAsia="en-GB"/>
              </w:rPr>
              <w:t>N/A</w:t>
            </w:r>
          </w:p>
        </w:tc>
        <w:tc>
          <w:tcPr>
            <w:tcW w:w="303" w:type="pct"/>
            <w:tcBorders>
              <w:top w:val="nil"/>
              <w:left w:val="nil"/>
              <w:bottom w:val="single" w:color="auto" w:sz="4" w:space="0"/>
              <w:right w:val="single" w:color="auto" w:sz="4" w:space="0"/>
            </w:tcBorders>
            <w:tcMar/>
            <w:vAlign w:val="center"/>
            <w:hideMark/>
          </w:tcPr>
          <w:p w:rsidRPr="00102FB5" w:rsidR="007926C7" w:rsidP="3A5FC3B6" w:rsidRDefault="007926C7" w14:paraId="61201CAB" w14:textId="77777777" w14:noSpellErr="1">
            <w:pPr>
              <w:spacing w:after="0" w:line="240" w:lineRule="auto"/>
              <w:jc w:val="center"/>
              <w:rPr>
                <w:rFonts w:eastAsia="Times New Roman" w:cs="Calibri" w:cstheme="minorAscii"/>
                <w:color w:val="auto"/>
                <w:sz w:val="11"/>
                <w:szCs w:val="11"/>
                <w:lang w:eastAsia="en-GB"/>
              </w:rPr>
            </w:pPr>
            <w:r w:rsidRPr="3A5FC3B6" w:rsidR="3A5FC3B6">
              <w:rPr>
                <w:rFonts w:eastAsia="Times New Roman" w:cs="Calibri" w:cstheme="minorAscii"/>
                <w:color w:val="auto"/>
                <w:sz w:val="11"/>
                <w:szCs w:val="11"/>
                <w:lang w:eastAsia="en-GB"/>
              </w:rPr>
              <w:t>Y</w:t>
            </w:r>
          </w:p>
        </w:tc>
        <w:tc>
          <w:tcPr>
            <w:tcW w:w="353" w:type="pct"/>
            <w:tcBorders>
              <w:top w:val="nil"/>
              <w:left w:val="nil"/>
              <w:bottom w:val="single" w:color="auto" w:sz="4" w:space="0"/>
              <w:right w:val="single" w:color="auto" w:sz="4" w:space="0"/>
            </w:tcBorders>
            <w:tcMar/>
            <w:vAlign w:val="center"/>
            <w:hideMark/>
          </w:tcPr>
          <w:p w:rsidRPr="00102FB5" w:rsidR="007926C7" w:rsidP="3A5FC3B6" w:rsidRDefault="007926C7" w14:paraId="27F8BE8A" w14:textId="77777777" w14:noSpellErr="1">
            <w:pPr>
              <w:spacing w:after="0" w:line="240" w:lineRule="auto"/>
              <w:jc w:val="center"/>
              <w:rPr>
                <w:rFonts w:eastAsia="Times New Roman" w:cs="Calibri" w:cstheme="minorAscii"/>
                <w:color w:val="auto"/>
                <w:sz w:val="11"/>
                <w:szCs w:val="11"/>
                <w:lang w:eastAsia="en-GB"/>
              </w:rPr>
            </w:pPr>
            <w:r w:rsidRPr="3A5FC3B6" w:rsidR="3A5FC3B6">
              <w:rPr>
                <w:rFonts w:eastAsia="Times New Roman" w:cs="Calibri" w:cstheme="minorAscii"/>
                <w:color w:val="auto"/>
                <w:sz w:val="11"/>
                <w:szCs w:val="11"/>
                <w:lang w:eastAsia="en-GB"/>
              </w:rPr>
              <w:t>N/A</w:t>
            </w:r>
          </w:p>
        </w:tc>
        <w:tc>
          <w:tcPr>
            <w:tcW w:w="303" w:type="pct"/>
            <w:tcBorders>
              <w:top w:val="nil"/>
              <w:left w:val="nil"/>
              <w:bottom w:val="single" w:color="auto" w:sz="4" w:space="0"/>
              <w:right w:val="single" w:color="auto" w:sz="4" w:space="0"/>
            </w:tcBorders>
            <w:tcMar/>
            <w:vAlign w:val="center"/>
            <w:hideMark/>
          </w:tcPr>
          <w:p w:rsidRPr="00102FB5" w:rsidR="007926C7" w:rsidP="3A5FC3B6" w:rsidRDefault="007926C7" w14:paraId="0CB275A0" w14:textId="77777777" w14:noSpellErr="1">
            <w:pPr>
              <w:spacing w:after="0" w:line="240" w:lineRule="auto"/>
              <w:jc w:val="center"/>
              <w:rPr>
                <w:rFonts w:eastAsia="Times New Roman" w:cs="Calibri" w:cstheme="minorAscii"/>
                <w:color w:val="auto"/>
                <w:sz w:val="11"/>
                <w:szCs w:val="11"/>
                <w:lang w:eastAsia="en-GB"/>
              </w:rPr>
            </w:pPr>
            <w:r w:rsidRPr="3A5FC3B6" w:rsidR="3A5FC3B6">
              <w:rPr>
                <w:rFonts w:eastAsia="Times New Roman" w:cs="Calibri" w:cstheme="minorAscii"/>
                <w:color w:val="auto"/>
                <w:sz w:val="11"/>
                <w:szCs w:val="11"/>
                <w:lang w:eastAsia="en-GB"/>
              </w:rPr>
              <w:t>N/A</w:t>
            </w:r>
          </w:p>
        </w:tc>
        <w:tc>
          <w:tcPr>
            <w:tcW w:w="252" w:type="pct"/>
            <w:tcBorders>
              <w:top w:val="nil"/>
              <w:left w:val="nil"/>
              <w:bottom w:val="single" w:color="auto" w:sz="4" w:space="0"/>
              <w:right w:val="single" w:color="auto" w:sz="4" w:space="0"/>
            </w:tcBorders>
            <w:tcMar/>
            <w:vAlign w:val="center"/>
            <w:hideMark/>
          </w:tcPr>
          <w:p w:rsidRPr="00102FB5" w:rsidR="007926C7" w:rsidP="3A5FC3B6" w:rsidRDefault="007926C7" w14:paraId="35572529" w14:textId="77777777" w14:noSpellErr="1">
            <w:pPr>
              <w:spacing w:after="0" w:line="240" w:lineRule="auto"/>
              <w:jc w:val="center"/>
              <w:rPr>
                <w:rFonts w:eastAsia="Times New Roman" w:cs="Calibri" w:cstheme="minorAscii"/>
                <w:color w:val="auto"/>
                <w:sz w:val="11"/>
                <w:szCs w:val="11"/>
                <w:lang w:eastAsia="en-GB"/>
              </w:rPr>
            </w:pPr>
            <w:r w:rsidRPr="3A5FC3B6" w:rsidR="3A5FC3B6">
              <w:rPr>
                <w:rFonts w:eastAsia="Times New Roman" w:cs="Calibri" w:cstheme="minorAscii"/>
                <w:color w:val="auto"/>
                <w:sz w:val="11"/>
                <w:szCs w:val="11"/>
                <w:lang w:eastAsia="en-GB"/>
              </w:rPr>
              <w:t>N/A</w:t>
            </w:r>
          </w:p>
        </w:tc>
        <w:tc>
          <w:tcPr>
            <w:tcW w:w="252" w:type="pct"/>
            <w:tcBorders>
              <w:top w:val="nil"/>
              <w:left w:val="nil"/>
              <w:bottom w:val="single" w:color="auto" w:sz="4" w:space="0"/>
              <w:right w:val="single" w:color="auto" w:sz="4" w:space="0"/>
            </w:tcBorders>
            <w:tcMar/>
            <w:vAlign w:val="center"/>
            <w:hideMark/>
          </w:tcPr>
          <w:p w:rsidRPr="00102FB5" w:rsidR="007926C7" w:rsidP="3A5FC3B6" w:rsidRDefault="007926C7" w14:paraId="6B396BE9" w14:textId="77777777" w14:noSpellErr="1">
            <w:pPr>
              <w:spacing w:after="0" w:line="240" w:lineRule="auto"/>
              <w:jc w:val="center"/>
              <w:rPr>
                <w:rFonts w:eastAsia="Times New Roman" w:cs="Calibri" w:cstheme="minorAscii"/>
                <w:color w:val="auto"/>
                <w:sz w:val="11"/>
                <w:szCs w:val="11"/>
                <w:lang w:eastAsia="en-GB"/>
              </w:rPr>
            </w:pPr>
            <w:r w:rsidRPr="3A5FC3B6" w:rsidR="3A5FC3B6">
              <w:rPr>
                <w:rFonts w:eastAsia="Times New Roman" w:cs="Calibri" w:cstheme="minorAscii"/>
                <w:color w:val="auto"/>
                <w:sz w:val="11"/>
                <w:szCs w:val="11"/>
                <w:lang w:eastAsia="en-GB"/>
              </w:rPr>
              <w:t>N/A</w:t>
            </w:r>
          </w:p>
        </w:tc>
        <w:tc>
          <w:tcPr>
            <w:tcW w:w="303" w:type="pct"/>
            <w:tcBorders>
              <w:top w:val="nil"/>
              <w:left w:val="nil"/>
              <w:bottom w:val="single" w:color="auto" w:sz="4" w:space="0"/>
              <w:right w:val="single" w:color="auto" w:sz="4" w:space="0"/>
            </w:tcBorders>
            <w:tcMar/>
            <w:vAlign w:val="center"/>
            <w:hideMark/>
          </w:tcPr>
          <w:p w:rsidRPr="00102FB5" w:rsidR="007926C7" w:rsidP="3A5FC3B6" w:rsidRDefault="007926C7" w14:paraId="14EDB791" w14:textId="77777777" w14:noSpellErr="1">
            <w:pPr>
              <w:spacing w:after="0" w:line="240" w:lineRule="auto"/>
              <w:jc w:val="center"/>
              <w:rPr>
                <w:rFonts w:eastAsia="Times New Roman" w:cs="Calibri" w:cstheme="minorAscii"/>
                <w:color w:val="auto"/>
                <w:sz w:val="11"/>
                <w:szCs w:val="11"/>
                <w:lang w:eastAsia="en-GB"/>
              </w:rPr>
            </w:pPr>
            <w:r w:rsidRPr="3A5FC3B6" w:rsidR="3A5FC3B6">
              <w:rPr>
                <w:rFonts w:eastAsia="Times New Roman" w:cs="Calibri" w:cstheme="minorAscii"/>
                <w:color w:val="auto"/>
                <w:sz w:val="11"/>
                <w:szCs w:val="11"/>
                <w:lang w:eastAsia="en-GB"/>
              </w:rPr>
              <w:t>N/A</w:t>
            </w:r>
          </w:p>
        </w:tc>
        <w:tc>
          <w:tcPr>
            <w:tcW w:w="303" w:type="pct"/>
            <w:tcBorders>
              <w:top w:val="nil"/>
              <w:left w:val="nil"/>
              <w:bottom w:val="single" w:color="auto" w:sz="4" w:space="0"/>
              <w:right w:val="single" w:color="auto" w:sz="4" w:space="0"/>
            </w:tcBorders>
            <w:tcMar/>
            <w:vAlign w:val="center"/>
            <w:hideMark/>
          </w:tcPr>
          <w:p w:rsidRPr="00102FB5" w:rsidR="007926C7" w:rsidP="3A5FC3B6" w:rsidRDefault="007926C7" w14:paraId="7EA7FB21" w14:textId="77777777" w14:noSpellErr="1">
            <w:pPr>
              <w:spacing w:after="0" w:line="240" w:lineRule="auto"/>
              <w:jc w:val="center"/>
              <w:rPr>
                <w:rFonts w:eastAsia="Times New Roman" w:cs="Calibri" w:cstheme="minorAscii"/>
                <w:color w:val="auto"/>
                <w:sz w:val="11"/>
                <w:szCs w:val="11"/>
                <w:lang w:eastAsia="en-GB"/>
              </w:rPr>
            </w:pPr>
            <w:r w:rsidRPr="3A5FC3B6" w:rsidR="3A5FC3B6">
              <w:rPr>
                <w:rFonts w:eastAsia="Times New Roman" w:cs="Calibri" w:cstheme="minorAscii"/>
                <w:color w:val="auto"/>
                <w:sz w:val="11"/>
                <w:szCs w:val="11"/>
                <w:lang w:eastAsia="en-GB"/>
              </w:rPr>
              <w:t>N/A</w:t>
            </w:r>
          </w:p>
        </w:tc>
        <w:tc>
          <w:tcPr>
            <w:tcW w:w="353" w:type="pct"/>
            <w:tcBorders>
              <w:top w:val="nil"/>
              <w:left w:val="nil"/>
              <w:bottom w:val="single" w:color="auto" w:sz="4" w:space="0"/>
              <w:right w:val="single" w:color="auto" w:sz="4" w:space="0"/>
            </w:tcBorders>
            <w:tcMar/>
            <w:vAlign w:val="center"/>
            <w:hideMark/>
          </w:tcPr>
          <w:p w:rsidRPr="00102FB5" w:rsidR="007926C7" w:rsidP="3A5FC3B6" w:rsidRDefault="007926C7" w14:paraId="0D5A2FCE" w14:textId="77777777" w14:noSpellErr="1">
            <w:pPr>
              <w:spacing w:after="0" w:line="240" w:lineRule="auto"/>
              <w:jc w:val="center"/>
              <w:rPr>
                <w:rFonts w:eastAsia="Times New Roman" w:cs="Calibri" w:cstheme="minorAscii"/>
                <w:color w:val="auto"/>
                <w:sz w:val="11"/>
                <w:szCs w:val="11"/>
                <w:lang w:eastAsia="en-GB"/>
              </w:rPr>
            </w:pPr>
            <w:r w:rsidRPr="3A5FC3B6" w:rsidR="3A5FC3B6">
              <w:rPr>
                <w:rFonts w:eastAsia="Times New Roman" w:cs="Calibri" w:cstheme="minorAscii"/>
                <w:color w:val="auto"/>
                <w:sz w:val="11"/>
                <w:szCs w:val="11"/>
                <w:lang w:eastAsia="en-GB"/>
              </w:rPr>
              <w:t>N/A</w:t>
            </w:r>
          </w:p>
        </w:tc>
        <w:tc>
          <w:tcPr>
            <w:tcW w:w="303" w:type="pct"/>
            <w:tcBorders>
              <w:top w:val="nil"/>
              <w:left w:val="nil"/>
              <w:bottom w:val="single" w:color="auto" w:sz="4" w:space="0"/>
              <w:right w:val="single" w:color="auto" w:sz="4" w:space="0"/>
            </w:tcBorders>
            <w:tcMar/>
            <w:vAlign w:val="center"/>
            <w:hideMark/>
          </w:tcPr>
          <w:p w:rsidRPr="00102FB5" w:rsidR="007926C7" w:rsidP="3A5FC3B6" w:rsidRDefault="007926C7" w14:paraId="57E8AD67" w14:textId="77777777" w14:noSpellErr="1">
            <w:pPr>
              <w:spacing w:after="0" w:line="240" w:lineRule="auto"/>
              <w:jc w:val="center"/>
              <w:rPr>
                <w:rFonts w:eastAsia="Times New Roman" w:cs="Calibri" w:cstheme="minorAscii"/>
                <w:color w:val="auto"/>
                <w:sz w:val="11"/>
                <w:szCs w:val="11"/>
                <w:lang w:eastAsia="en-GB"/>
              </w:rPr>
            </w:pPr>
            <w:r w:rsidRPr="3A5FC3B6" w:rsidR="3A5FC3B6">
              <w:rPr>
                <w:rFonts w:eastAsia="Times New Roman" w:cs="Calibri" w:cstheme="minorAscii"/>
                <w:color w:val="auto"/>
                <w:sz w:val="11"/>
                <w:szCs w:val="11"/>
                <w:lang w:eastAsia="en-GB"/>
              </w:rPr>
              <w:t>Y</w:t>
            </w:r>
          </w:p>
        </w:tc>
        <w:tc>
          <w:tcPr>
            <w:tcW w:w="303" w:type="pct"/>
            <w:tcBorders>
              <w:top w:val="nil"/>
              <w:left w:val="nil"/>
              <w:bottom w:val="single" w:color="auto" w:sz="4" w:space="0"/>
              <w:right w:val="single" w:color="auto" w:sz="4" w:space="0"/>
            </w:tcBorders>
            <w:tcMar/>
            <w:vAlign w:val="center"/>
            <w:hideMark/>
          </w:tcPr>
          <w:p w:rsidRPr="00102FB5" w:rsidR="007926C7" w:rsidP="3A5FC3B6" w:rsidRDefault="007926C7" w14:paraId="145131C5" w14:textId="77777777" w14:noSpellErr="1">
            <w:pPr>
              <w:spacing w:after="0" w:line="240" w:lineRule="auto"/>
              <w:jc w:val="center"/>
              <w:rPr>
                <w:rFonts w:eastAsia="Times New Roman" w:cs="Calibri" w:cstheme="minorAscii"/>
                <w:color w:val="auto"/>
                <w:sz w:val="11"/>
                <w:szCs w:val="11"/>
                <w:lang w:eastAsia="en-GB"/>
              </w:rPr>
            </w:pPr>
            <w:r w:rsidRPr="3A5FC3B6" w:rsidR="3A5FC3B6">
              <w:rPr>
                <w:rFonts w:eastAsia="Times New Roman" w:cs="Calibri" w:cstheme="minorAscii"/>
                <w:color w:val="auto"/>
                <w:sz w:val="11"/>
                <w:szCs w:val="11"/>
                <w:lang w:eastAsia="en-GB"/>
              </w:rPr>
              <w:t>Y</w:t>
            </w:r>
          </w:p>
        </w:tc>
        <w:tc>
          <w:tcPr>
            <w:tcW w:w="353" w:type="pct"/>
            <w:tcBorders>
              <w:top w:val="nil"/>
              <w:left w:val="nil"/>
              <w:bottom w:val="single" w:color="auto" w:sz="4" w:space="0"/>
              <w:right w:val="single" w:color="auto" w:sz="4" w:space="0"/>
            </w:tcBorders>
            <w:tcMar/>
            <w:vAlign w:val="center"/>
            <w:hideMark/>
          </w:tcPr>
          <w:p w:rsidRPr="00102FB5" w:rsidR="007926C7" w:rsidP="3A5FC3B6" w:rsidRDefault="007926C7" w14:paraId="09EF14E2" w14:textId="77777777" w14:noSpellErr="1">
            <w:pPr>
              <w:spacing w:after="0" w:line="240" w:lineRule="auto"/>
              <w:jc w:val="center"/>
              <w:rPr>
                <w:rFonts w:eastAsia="Times New Roman" w:cs="Calibri" w:cstheme="minorAscii"/>
                <w:color w:val="auto"/>
                <w:sz w:val="11"/>
                <w:szCs w:val="11"/>
                <w:lang w:eastAsia="en-GB"/>
              </w:rPr>
            </w:pPr>
            <w:r w:rsidRPr="3A5FC3B6" w:rsidR="3A5FC3B6">
              <w:rPr>
                <w:rFonts w:eastAsia="Times New Roman" w:cs="Calibri" w:cstheme="minorAscii"/>
                <w:color w:val="auto"/>
                <w:sz w:val="11"/>
                <w:szCs w:val="11"/>
                <w:lang w:eastAsia="en-GB"/>
              </w:rPr>
              <w:t>N/A</w:t>
            </w:r>
          </w:p>
        </w:tc>
        <w:tc>
          <w:tcPr>
            <w:tcW w:w="353" w:type="pct"/>
            <w:tcBorders>
              <w:top w:val="nil"/>
              <w:left w:val="nil"/>
              <w:bottom w:val="single" w:color="auto" w:sz="4" w:space="0"/>
              <w:right w:val="single" w:color="auto" w:sz="4" w:space="0"/>
            </w:tcBorders>
            <w:tcMar/>
            <w:vAlign w:val="center"/>
            <w:hideMark/>
          </w:tcPr>
          <w:p w:rsidRPr="00102FB5" w:rsidR="007926C7" w:rsidP="3A5FC3B6" w:rsidRDefault="007926C7" w14:paraId="3400CC10" w14:textId="77777777" w14:noSpellErr="1">
            <w:pPr>
              <w:spacing w:after="0" w:line="240" w:lineRule="auto"/>
              <w:jc w:val="center"/>
              <w:rPr>
                <w:rFonts w:eastAsia="Times New Roman" w:cs="Calibri" w:cstheme="minorAscii"/>
                <w:color w:val="auto"/>
                <w:sz w:val="11"/>
                <w:szCs w:val="11"/>
                <w:lang w:eastAsia="en-GB"/>
              </w:rPr>
            </w:pPr>
            <w:r w:rsidRPr="3A5FC3B6" w:rsidR="3A5FC3B6">
              <w:rPr>
                <w:rFonts w:eastAsia="Times New Roman" w:cs="Calibri" w:cstheme="minorAscii"/>
                <w:color w:val="auto"/>
                <w:sz w:val="11"/>
                <w:szCs w:val="11"/>
                <w:lang w:eastAsia="en-GB"/>
              </w:rPr>
              <w:t>Y</w:t>
            </w:r>
          </w:p>
        </w:tc>
        <w:tc>
          <w:tcPr>
            <w:tcW w:w="252" w:type="pct"/>
            <w:tcBorders>
              <w:top w:val="nil"/>
              <w:left w:val="nil"/>
              <w:bottom w:val="single" w:color="auto" w:sz="4" w:space="0"/>
              <w:right w:val="single" w:color="auto" w:sz="4" w:space="0"/>
            </w:tcBorders>
            <w:tcMar/>
            <w:vAlign w:val="center"/>
            <w:hideMark/>
          </w:tcPr>
          <w:p w:rsidRPr="00102FB5" w:rsidR="007926C7" w:rsidP="3A5FC3B6" w:rsidRDefault="007926C7" w14:paraId="1DA150DD" w14:textId="77777777" w14:noSpellErr="1">
            <w:pPr>
              <w:spacing w:after="0" w:line="240" w:lineRule="auto"/>
              <w:jc w:val="center"/>
              <w:rPr>
                <w:rFonts w:eastAsia="Times New Roman" w:cs="Calibri" w:cstheme="minorAscii"/>
                <w:color w:val="auto"/>
                <w:sz w:val="11"/>
                <w:szCs w:val="11"/>
                <w:lang w:eastAsia="en-GB"/>
              </w:rPr>
            </w:pPr>
            <w:r w:rsidRPr="3A5FC3B6" w:rsidR="3A5FC3B6">
              <w:rPr>
                <w:rFonts w:eastAsia="Times New Roman" w:cs="Calibri" w:cstheme="minorAscii"/>
                <w:color w:val="auto"/>
                <w:sz w:val="11"/>
                <w:szCs w:val="11"/>
                <w:lang w:eastAsia="en-GB"/>
              </w:rPr>
              <w:t>Y</w:t>
            </w:r>
          </w:p>
        </w:tc>
        <w:tc>
          <w:tcPr>
            <w:tcW w:w="303" w:type="pct"/>
            <w:tcBorders>
              <w:top w:val="nil"/>
              <w:left w:val="nil"/>
              <w:bottom w:val="single" w:color="auto" w:sz="4" w:space="0"/>
              <w:right w:val="single" w:color="auto" w:sz="4" w:space="0"/>
            </w:tcBorders>
            <w:tcMar/>
            <w:vAlign w:val="center"/>
            <w:hideMark/>
          </w:tcPr>
          <w:p w:rsidRPr="00102FB5" w:rsidR="007926C7" w:rsidP="3A5FC3B6" w:rsidRDefault="007926C7" w14:paraId="50A7F9F6" w14:textId="77777777" w14:noSpellErr="1">
            <w:pPr>
              <w:spacing w:after="0" w:line="240" w:lineRule="auto"/>
              <w:jc w:val="center"/>
              <w:rPr>
                <w:rFonts w:eastAsia="Times New Roman" w:cs="Calibri" w:cstheme="minorAscii"/>
                <w:color w:val="auto"/>
                <w:sz w:val="11"/>
                <w:szCs w:val="11"/>
                <w:lang w:eastAsia="en-GB"/>
              </w:rPr>
            </w:pPr>
            <w:r w:rsidRPr="3A5FC3B6" w:rsidR="3A5FC3B6">
              <w:rPr>
                <w:rFonts w:eastAsia="Times New Roman" w:cs="Calibri" w:cstheme="minorAscii"/>
                <w:color w:val="auto"/>
                <w:sz w:val="11"/>
                <w:szCs w:val="11"/>
                <w:lang w:eastAsia="en-GB"/>
              </w:rPr>
              <w:t>Y</w:t>
            </w:r>
          </w:p>
        </w:tc>
      </w:tr>
      <w:tr w:rsidRPr="007926C7" w:rsidR="007926C7" w:rsidTr="3A5FC3B6" w14:paraId="01C866A5" w14:textId="77777777">
        <w:trPr>
          <w:trHeight w:val="285"/>
        </w:trPr>
        <w:tc>
          <w:tcPr>
            <w:tcW w:w="363" w:type="pct"/>
            <w:tcBorders>
              <w:top w:val="nil"/>
              <w:left w:val="single" w:color="auto" w:sz="4" w:space="0"/>
              <w:bottom w:val="single" w:color="auto" w:sz="4" w:space="0"/>
              <w:right w:val="single" w:color="auto" w:sz="4" w:space="0"/>
            </w:tcBorders>
            <w:noWrap/>
            <w:tcMar/>
            <w:vAlign w:val="center"/>
            <w:hideMark/>
          </w:tcPr>
          <w:p w:rsidRPr="00102FB5" w:rsidR="007926C7" w:rsidP="3A5FC3B6" w:rsidRDefault="007926C7" w14:paraId="7DA660A9" w14:textId="77777777">
            <w:pPr>
              <w:spacing w:after="0" w:line="240" w:lineRule="auto"/>
              <w:jc w:val="center"/>
              <w:rPr>
                <w:rFonts w:eastAsia="Times New Roman" w:cs="Calibri" w:cstheme="minorAscii"/>
                <w:b w:val="1"/>
                <w:bCs w:val="1"/>
                <w:color w:val="auto"/>
                <w:sz w:val="11"/>
                <w:szCs w:val="11"/>
                <w:lang w:eastAsia="en-GB"/>
              </w:rPr>
            </w:pPr>
            <w:r w:rsidRPr="3A5FC3B6" w:rsidR="3A5FC3B6">
              <w:rPr>
                <w:rFonts w:eastAsia="Times New Roman" w:cs="Calibri" w:cstheme="minorAscii"/>
                <w:b w:val="1"/>
                <w:bCs w:val="1"/>
                <w:color w:val="auto"/>
                <w:sz w:val="11"/>
                <w:szCs w:val="11"/>
                <w:lang w:eastAsia="en-GB"/>
              </w:rPr>
              <w:t>Pasin</w:t>
            </w:r>
            <w:r w:rsidRPr="3A5FC3B6" w:rsidR="3A5FC3B6">
              <w:rPr>
                <w:rFonts w:eastAsia="Times New Roman" w:cs="Calibri" w:cstheme="minorAscii"/>
                <w:b w:val="1"/>
                <w:bCs w:val="1"/>
                <w:color w:val="auto"/>
                <w:sz w:val="11"/>
                <w:szCs w:val="11"/>
                <w:lang w:eastAsia="en-GB"/>
              </w:rPr>
              <w:t xml:space="preserve"> </w:t>
            </w:r>
          </w:p>
        </w:tc>
        <w:tc>
          <w:tcPr>
            <w:tcW w:w="348" w:type="pct"/>
            <w:tcBorders>
              <w:top w:val="nil"/>
              <w:left w:val="nil"/>
              <w:bottom w:val="single" w:color="auto" w:sz="4" w:space="0"/>
              <w:right w:val="single" w:color="auto" w:sz="4" w:space="0"/>
            </w:tcBorders>
            <w:tcMar/>
            <w:vAlign w:val="center"/>
            <w:hideMark/>
          </w:tcPr>
          <w:p w:rsidRPr="00102FB5" w:rsidR="007926C7" w:rsidP="3A5FC3B6" w:rsidRDefault="007926C7" w14:paraId="72D72DE6" w14:textId="77777777" w14:noSpellErr="1">
            <w:pPr>
              <w:spacing w:after="0" w:line="240" w:lineRule="auto"/>
              <w:jc w:val="center"/>
              <w:rPr>
                <w:rFonts w:eastAsia="Times New Roman" w:cs="Calibri" w:cstheme="minorAscii"/>
                <w:color w:val="auto"/>
                <w:sz w:val="11"/>
                <w:szCs w:val="11"/>
                <w:lang w:eastAsia="en-GB"/>
              </w:rPr>
            </w:pPr>
            <w:r w:rsidRPr="3A5FC3B6" w:rsidR="3A5FC3B6">
              <w:rPr>
                <w:rFonts w:eastAsia="Times New Roman" w:cs="Calibri" w:cstheme="minorAscii"/>
                <w:color w:val="auto"/>
                <w:sz w:val="11"/>
                <w:szCs w:val="11"/>
                <w:lang w:eastAsia="en-GB"/>
              </w:rPr>
              <w:t>N/A</w:t>
            </w:r>
          </w:p>
        </w:tc>
        <w:tc>
          <w:tcPr>
            <w:tcW w:w="303" w:type="pct"/>
            <w:tcBorders>
              <w:top w:val="nil"/>
              <w:left w:val="nil"/>
              <w:bottom w:val="single" w:color="auto" w:sz="4" w:space="0"/>
              <w:right w:val="single" w:color="auto" w:sz="4" w:space="0"/>
            </w:tcBorders>
            <w:tcMar/>
            <w:vAlign w:val="center"/>
            <w:hideMark/>
          </w:tcPr>
          <w:p w:rsidRPr="00102FB5" w:rsidR="007926C7" w:rsidP="3A5FC3B6" w:rsidRDefault="007926C7" w14:paraId="4408D028" w14:textId="77777777" w14:noSpellErr="1">
            <w:pPr>
              <w:spacing w:after="0" w:line="240" w:lineRule="auto"/>
              <w:jc w:val="center"/>
              <w:rPr>
                <w:rFonts w:eastAsia="Times New Roman" w:cs="Calibri" w:cstheme="minorAscii"/>
                <w:color w:val="auto"/>
                <w:sz w:val="11"/>
                <w:szCs w:val="11"/>
                <w:lang w:eastAsia="en-GB"/>
              </w:rPr>
            </w:pPr>
            <w:r w:rsidRPr="3A5FC3B6" w:rsidR="3A5FC3B6">
              <w:rPr>
                <w:rFonts w:eastAsia="Times New Roman" w:cs="Calibri" w:cstheme="minorAscii"/>
                <w:color w:val="auto"/>
                <w:sz w:val="11"/>
                <w:szCs w:val="11"/>
                <w:lang w:eastAsia="en-GB"/>
              </w:rPr>
              <w:t>N/A</w:t>
            </w:r>
          </w:p>
        </w:tc>
        <w:tc>
          <w:tcPr>
            <w:tcW w:w="353" w:type="pct"/>
            <w:tcBorders>
              <w:top w:val="nil"/>
              <w:left w:val="nil"/>
              <w:bottom w:val="single" w:color="auto" w:sz="4" w:space="0"/>
              <w:right w:val="single" w:color="auto" w:sz="4" w:space="0"/>
            </w:tcBorders>
            <w:tcMar/>
            <w:vAlign w:val="center"/>
            <w:hideMark/>
          </w:tcPr>
          <w:p w:rsidRPr="00102FB5" w:rsidR="007926C7" w:rsidP="3A5FC3B6" w:rsidRDefault="007926C7" w14:paraId="21267543" w14:textId="77777777" w14:noSpellErr="1">
            <w:pPr>
              <w:spacing w:after="0" w:line="240" w:lineRule="auto"/>
              <w:jc w:val="center"/>
              <w:rPr>
                <w:rFonts w:eastAsia="Times New Roman" w:cs="Calibri" w:cstheme="minorAscii"/>
                <w:color w:val="auto"/>
                <w:sz w:val="11"/>
                <w:szCs w:val="11"/>
                <w:lang w:eastAsia="en-GB"/>
              </w:rPr>
            </w:pPr>
            <w:r w:rsidRPr="3A5FC3B6" w:rsidR="3A5FC3B6">
              <w:rPr>
                <w:rFonts w:eastAsia="Times New Roman" w:cs="Calibri" w:cstheme="minorAscii"/>
                <w:color w:val="auto"/>
                <w:sz w:val="11"/>
                <w:szCs w:val="11"/>
                <w:lang w:eastAsia="en-GB"/>
              </w:rPr>
              <w:t>Y</w:t>
            </w:r>
          </w:p>
        </w:tc>
        <w:tc>
          <w:tcPr>
            <w:tcW w:w="303" w:type="pct"/>
            <w:tcBorders>
              <w:top w:val="nil"/>
              <w:left w:val="nil"/>
              <w:bottom w:val="single" w:color="auto" w:sz="4" w:space="0"/>
              <w:right w:val="single" w:color="auto" w:sz="4" w:space="0"/>
            </w:tcBorders>
            <w:tcMar/>
            <w:vAlign w:val="center"/>
            <w:hideMark/>
          </w:tcPr>
          <w:p w:rsidRPr="00102FB5" w:rsidR="007926C7" w:rsidP="3A5FC3B6" w:rsidRDefault="007926C7" w14:paraId="5B6D3FF0" w14:textId="77777777" w14:noSpellErr="1">
            <w:pPr>
              <w:spacing w:after="0" w:line="240" w:lineRule="auto"/>
              <w:jc w:val="center"/>
              <w:rPr>
                <w:rFonts w:eastAsia="Times New Roman" w:cs="Calibri" w:cstheme="minorAscii"/>
                <w:color w:val="auto"/>
                <w:sz w:val="11"/>
                <w:szCs w:val="11"/>
                <w:lang w:eastAsia="en-GB"/>
              </w:rPr>
            </w:pPr>
            <w:r w:rsidRPr="3A5FC3B6" w:rsidR="3A5FC3B6">
              <w:rPr>
                <w:rFonts w:eastAsia="Times New Roman" w:cs="Calibri" w:cstheme="minorAscii"/>
                <w:color w:val="auto"/>
                <w:sz w:val="11"/>
                <w:szCs w:val="11"/>
                <w:lang w:eastAsia="en-GB"/>
              </w:rPr>
              <w:t>Y</w:t>
            </w:r>
          </w:p>
        </w:tc>
        <w:tc>
          <w:tcPr>
            <w:tcW w:w="252" w:type="pct"/>
            <w:tcBorders>
              <w:top w:val="nil"/>
              <w:left w:val="nil"/>
              <w:bottom w:val="single" w:color="auto" w:sz="4" w:space="0"/>
              <w:right w:val="single" w:color="auto" w:sz="4" w:space="0"/>
            </w:tcBorders>
            <w:tcMar/>
            <w:vAlign w:val="center"/>
            <w:hideMark/>
          </w:tcPr>
          <w:p w:rsidRPr="00102FB5" w:rsidR="007926C7" w:rsidP="3A5FC3B6" w:rsidRDefault="007926C7" w14:paraId="093AC7A9" w14:textId="77777777" w14:noSpellErr="1">
            <w:pPr>
              <w:spacing w:after="0" w:line="240" w:lineRule="auto"/>
              <w:jc w:val="center"/>
              <w:rPr>
                <w:rFonts w:eastAsia="Times New Roman" w:cs="Calibri" w:cstheme="minorAscii"/>
                <w:color w:val="auto"/>
                <w:sz w:val="11"/>
                <w:szCs w:val="11"/>
                <w:lang w:eastAsia="en-GB"/>
              </w:rPr>
            </w:pPr>
            <w:r w:rsidRPr="3A5FC3B6" w:rsidR="3A5FC3B6">
              <w:rPr>
                <w:rFonts w:eastAsia="Times New Roman" w:cs="Calibri" w:cstheme="minorAscii"/>
                <w:color w:val="auto"/>
                <w:sz w:val="11"/>
                <w:szCs w:val="11"/>
                <w:lang w:eastAsia="en-GB"/>
              </w:rPr>
              <w:t>Y</w:t>
            </w:r>
          </w:p>
        </w:tc>
        <w:tc>
          <w:tcPr>
            <w:tcW w:w="252" w:type="pct"/>
            <w:tcBorders>
              <w:top w:val="nil"/>
              <w:left w:val="nil"/>
              <w:bottom w:val="single" w:color="auto" w:sz="4" w:space="0"/>
              <w:right w:val="single" w:color="auto" w:sz="4" w:space="0"/>
            </w:tcBorders>
            <w:tcMar/>
            <w:vAlign w:val="center"/>
            <w:hideMark/>
          </w:tcPr>
          <w:p w:rsidRPr="00102FB5" w:rsidR="007926C7" w:rsidP="3A5FC3B6" w:rsidRDefault="007926C7" w14:paraId="2F0A6055" w14:textId="77777777" w14:noSpellErr="1">
            <w:pPr>
              <w:spacing w:after="0" w:line="240" w:lineRule="auto"/>
              <w:jc w:val="center"/>
              <w:rPr>
                <w:rFonts w:eastAsia="Times New Roman" w:cs="Calibri" w:cstheme="minorAscii"/>
                <w:color w:val="auto"/>
                <w:sz w:val="11"/>
                <w:szCs w:val="11"/>
                <w:lang w:eastAsia="en-GB"/>
              </w:rPr>
            </w:pPr>
            <w:r w:rsidRPr="3A5FC3B6" w:rsidR="3A5FC3B6">
              <w:rPr>
                <w:rFonts w:eastAsia="Times New Roman" w:cs="Calibri" w:cstheme="minorAscii"/>
                <w:color w:val="auto"/>
                <w:sz w:val="11"/>
                <w:szCs w:val="11"/>
                <w:lang w:eastAsia="en-GB"/>
              </w:rPr>
              <w:t>Y</w:t>
            </w:r>
          </w:p>
        </w:tc>
        <w:tc>
          <w:tcPr>
            <w:tcW w:w="303" w:type="pct"/>
            <w:tcBorders>
              <w:top w:val="nil"/>
              <w:left w:val="nil"/>
              <w:bottom w:val="single" w:color="auto" w:sz="4" w:space="0"/>
              <w:right w:val="single" w:color="auto" w:sz="4" w:space="0"/>
            </w:tcBorders>
            <w:tcMar/>
            <w:vAlign w:val="center"/>
            <w:hideMark/>
          </w:tcPr>
          <w:p w:rsidRPr="00102FB5" w:rsidR="007926C7" w:rsidP="3A5FC3B6" w:rsidRDefault="007926C7" w14:paraId="3C1E70B9" w14:textId="77777777" w14:noSpellErr="1">
            <w:pPr>
              <w:spacing w:after="0" w:line="240" w:lineRule="auto"/>
              <w:jc w:val="center"/>
              <w:rPr>
                <w:rFonts w:eastAsia="Times New Roman" w:cs="Calibri" w:cstheme="minorAscii"/>
                <w:color w:val="auto"/>
                <w:sz w:val="11"/>
                <w:szCs w:val="11"/>
                <w:lang w:eastAsia="en-GB"/>
              </w:rPr>
            </w:pPr>
            <w:r w:rsidRPr="3A5FC3B6" w:rsidR="3A5FC3B6">
              <w:rPr>
                <w:rFonts w:eastAsia="Times New Roman" w:cs="Calibri" w:cstheme="minorAscii"/>
                <w:color w:val="auto"/>
                <w:sz w:val="11"/>
                <w:szCs w:val="11"/>
                <w:lang w:eastAsia="en-GB"/>
              </w:rPr>
              <w:t>Y</w:t>
            </w:r>
          </w:p>
        </w:tc>
        <w:tc>
          <w:tcPr>
            <w:tcW w:w="303" w:type="pct"/>
            <w:tcBorders>
              <w:top w:val="nil"/>
              <w:left w:val="nil"/>
              <w:bottom w:val="single" w:color="auto" w:sz="4" w:space="0"/>
              <w:right w:val="single" w:color="auto" w:sz="4" w:space="0"/>
            </w:tcBorders>
            <w:tcMar/>
            <w:vAlign w:val="center"/>
            <w:hideMark/>
          </w:tcPr>
          <w:p w:rsidRPr="00102FB5" w:rsidR="007926C7" w:rsidP="3A5FC3B6" w:rsidRDefault="007926C7" w14:paraId="76D74CDC" w14:textId="77777777" w14:noSpellErr="1">
            <w:pPr>
              <w:spacing w:after="0" w:line="240" w:lineRule="auto"/>
              <w:jc w:val="center"/>
              <w:rPr>
                <w:rFonts w:eastAsia="Times New Roman" w:cs="Calibri" w:cstheme="minorAscii"/>
                <w:color w:val="auto"/>
                <w:sz w:val="11"/>
                <w:szCs w:val="11"/>
                <w:lang w:eastAsia="en-GB"/>
              </w:rPr>
            </w:pPr>
            <w:r w:rsidRPr="3A5FC3B6" w:rsidR="3A5FC3B6">
              <w:rPr>
                <w:rFonts w:eastAsia="Times New Roman" w:cs="Calibri" w:cstheme="minorAscii"/>
                <w:color w:val="auto"/>
                <w:sz w:val="11"/>
                <w:szCs w:val="11"/>
                <w:lang w:eastAsia="en-GB"/>
              </w:rPr>
              <w:t>N/A</w:t>
            </w:r>
          </w:p>
        </w:tc>
        <w:tc>
          <w:tcPr>
            <w:tcW w:w="353" w:type="pct"/>
            <w:tcBorders>
              <w:top w:val="nil"/>
              <w:left w:val="nil"/>
              <w:bottom w:val="single" w:color="auto" w:sz="4" w:space="0"/>
              <w:right w:val="single" w:color="auto" w:sz="4" w:space="0"/>
            </w:tcBorders>
            <w:tcMar/>
            <w:vAlign w:val="center"/>
            <w:hideMark/>
          </w:tcPr>
          <w:p w:rsidRPr="00102FB5" w:rsidR="007926C7" w:rsidP="3A5FC3B6" w:rsidRDefault="007926C7" w14:paraId="3CAC8417" w14:textId="77777777" w14:noSpellErr="1">
            <w:pPr>
              <w:spacing w:after="0" w:line="240" w:lineRule="auto"/>
              <w:jc w:val="center"/>
              <w:rPr>
                <w:rFonts w:eastAsia="Times New Roman" w:cs="Calibri" w:cstheme="minorAscii"/>
                <w:color w:val="auto"/>
                <w:sz w:val="11"/>
                <w:szCs w:val="11"/>
                <w:lang w:eastAsia="en-GB"/>
              </w:rPr>
            </w:pPr>
            <w:r w:rsidRPr="3A5FC3B6" w:rsidR="3A5FC3B6">
              <w:rPr>
                <w:rFonts w:eastAsia="Times New Roman" w:cs="Calibri" w:cstheme="minorAscii"/>
                <w:color w:val="auto"/>
                <w:sz w:val="11"/>
                <w:szCs w:val="11"/>
                <w:lang w:eastAsia="en-GB"/>
              </w:rPr>
              <w:t>N/A</w:t>
            </w:r>
          </w:p>
        </w:tc>
        <w:tc>
          <w:tcPr>
            <w:tcW w:w="303" w:type="pct"/>
            <w:tcBorders>
              <w:top w:val="nil"/>
              <w:left w:val="nil"/>
              <w:bottom w:val="single" w:color="auto" w:sz="4" w:space="0"/>
              <w:right w:val="single" w:color="auto" w:sz="4" w:space="0"/>
            </w:tcBorders>
            <w:tcMar/>
            <w:vAlign w:val="center"/>
            <w:hideMark/>
          </w:tcPr>
          <w:p w:rsidRPr="00102FB5" w:rsidR="007926C7" w:rsidP="3A5FC3B6" w:rsidRDefault="007926C7" w14:paraId="41543D0C" w14:textId="77777777" w14:noSpellErr="1">
            <w:pPr>
              <w:spacing w:after="0" w:line="240" w:lineRule="auto"/>
              <w:jc w:val="center"/>
              <w:rPr>
                <w:rFonts w:eastAsia="Times New Roman" w:cs="Calibri" w:cstheme="minorAscii"/>
                <w:color w:val="auto"/>
                <w:sz w:val="11"/>
                <w:szCs w:val="11"/>
                <w:lang w:eastAsia="en-GB"/>
              </w:rPr>
            </w:pPr>
            <w:r w:rsidRPr="3A5FC3B6" w:rsidR="3A5FC3B6">
              <w:rPr>
                <w:rFonts w:eastAsia="Times New Roman" w:cs="Calibri" w:cstheme="minorAscii"/>
                <w:color w:val="auto"/>
                <w:sz w:val="11"/>
                <w:szCs w:val="11"/>
                <w:lang w:eastAsia="en-GB"/>
              </w:rPr>
              <w:t>Y</w:t>
            </w:r>
          </w:p>
        </w:tc>
        <w:tc>
          <w:tcPr>
            <w:tcW w:w="303" w:type="pct"/>
            <w:tcBorders>
              <w:top w:val="nil"/>
              <w:left w:val="nil"/>
              <w:bottom w:val="single" w:color="auto" w:sz="4" w:space="0"/>
              <w:right w:val="single" w:color="auto" w:sz="4" w:space="0"/>
            </w:tcBorders>
            <w:tcMar/>
            <w:vAlign w:val="center"/>
            <w:hideMark/>
          </w:tcPr>
          <w:p w:rsidRPr="00102FB5" w:rsidR="007926C7" w:rsidP="3A5FC3B6" w:rsidRDefault="007926C7" w14:paraId="57B6D544" w14:textId="77777777" w14:noSpellErr="1">
            <w:pPr>
              <w:spacing w:after="0" w:line="240" w:lineRule="auto"/>
              <w:jc w:val="center"/>
              <w:rPr>
                <w:rFonts w:eastAsia="Times New Roman" w:cs="Calibri" w:cstheme="minorAscii"/>
                <w:color w:val="auto"/>
                <w:sz w:val="11"/>
                <w:szCs w:val="11"/>
                <w:lang w:eastAsia="en-GB"/>
              </w:rPr>
            </w:pPr>
            <w:r w:rsidRPr="3A5FC3B6" w:rsidR="3A5FC3B6">
              <w:rPr>
                <w:rFonts w:eastAsia="Times New Roman" w:cs="Calibri" w:cstheme="minorAscii"/>
                <w:color w:val="auto"/>
                <w:sz w:val="11"/>
                <w:szCs w:val="11"/>
                <w:lang w:eastAsia="en-GB"/>
              </w:rPr>
              <w:t>Y</w:t>
            </w:r>
          </w:p>
        </w:tc>
        <w:tc>
          <w:tcPr>
            <w:tcW w:w="353" w:type="pct"/>
            <w:tcBorders>
              <w:top w:val="nil"/>
              <w:left w:val="nil"/>
              <w:bottom w:val="single" w:color="auto" w:sz="4" w:space="0"/>
              <w:right w:val="single" w:color="auto" w:sz="4" w:space="0"/>
            </w:tcBorders>
            <w:tcMar/>
            <w:vAlign w:val="center"/>
            <w:hideMark/>
          </w:tcPr>
          <w:p w:rsidRPr="00102FB5" w:rsidR="007926C7" w:rsidP="3A5FC3B6" w:rsidRDefault="007926C7" w14:paraId="1C207EBA" w14:textId="77777777" w14:noSpellErr="1">
            <w:pPr>
              <w:spacing w:after="0" w:line="240" w:lineRule="auto"/>
              <w:jc w:val="center"/>
              <w:rPr>
                <w:rFonts w:eastAsia="Times New Roman" w:cs="Calibri" w:cstheme="minorAscii"/>
                <w:color w:val="auto"/>
                <w:sz w:val="11"/>
                <w:szCs w:val="11"/>
                <w:lang w:eastAsia="en-GB"/>
              </w:rPr>
            </w:pPr>
            <w:r w:rsidRPr="3A5FC3B6" w:rsidR="3A5FC3B6">
              <w:rPr>
                <w:rFonts w:eastAsia="Times New Roman" w:cs="Calibri" w:cstheme="minorAscii"/>
                <w:color w:val="auto"/>
                <w:sz w:val="11"/>
                <w:szCs w:val="11"/>
                <w:lang w:eastAsia="en-GB"/>
              </w:rPr>
              <w:t>Y</w:t>
            </w:r>
          </w:p>
        </w:tc>
        <w:tc>
          <w:tcPr>
            <w:tcW w:w="353" w:type="pct"/>
            <w:tcBorders>
              <w:top w:val="nil"/>
              <w:left w:val="nil"/>
              <w:bottom w:val="single" w:color="auto" w:sz="4" w:space="0"/>
              <w:right w:val="single" w:color="auto" w:sz="4" w:space="0"/>
            </w:tcBorders>
            <w:tcMar/>
            <w:vAlign w:val="center"/>
            <w:hideMark/>
          </w:tcPr>
          <w:p w:rsidRPr="00102FB5" w:rsidR="007926C7" w:rsidP="3A5FC3B6" w:rsidRDefault="007926C7" w14:paraId="25AA6410" w14:textId="77777777" w14:noSpellErr="1">
            <w:pPr>
              <w:spacing w:after="0" w:line="240" w:lineRule="auto"/>
              <w:jc w:val="center"/>
              <w:rPr>
                <w:rFonts w:eastAsia="Times New Roman" w:cs="Calibri" w:cstheme="minorAscii"/>
                <w:color w:val="auto"/>
                <w:sz w:val="11"/>
                <w:szCs w:val="11"/>
                <w:lang w:eastAsia="en-GB"/>
              </w:rPr>
            </w:pPr>
            <w:r w:rsidRPr="3A5FC3B6" w:rsidR="3A5FC3B6">
              <w:rPr>
                <w:rFonts w:eastAsia="Times New Roman" w:cs="Calibri" w:cstheme="minorAscii"/>
                <w:color w:val="auto"/>
                <w:sz w:val="11"/>
                <w:szCs w:val="11"/>
                <w:lang w:eastAsia="en-GB"/>
              </w:rPr>
              <w:t>Y</w:t>
            </w:r>
          </w:p>
        </w:tc>
        <w:tc>
          <w:tcPr>
            <w:tcW w:w="252" w:type="pct"/>
            <w:tcBorders>
              <w:top w:val="nil"/>
              <w:left w:val="nil"/>
              <w:bottom w:val="single" w:color="auto" w:sz="4" w:space="0"/>
              <w:right w:val="single" w:color="auto" w:sz="4" w:space="0"/>
            </w:tcBorders>
            <w:tcMar/>
            <w:vAlign w:val="center"/>
            <w:hideMark/>
          </w:tcPr>
          <w:p w:rsidRPr="00102FB5" w:rsidR="007926C7" w:rsidP="3A5FC3B6" w:rsidRDefault="007926C7" w14:paraId="14CD8006" w14:textId="77777777" w14:noSpellErr="1">
            <w:pPr>
              <w:spacing w:after="0" w:line="240" w:lineRule="auto"/>
              <w:jc w:val="center"/>
              <w:rPr>
                <w:rFonts w:eastAsia="Times New Roman" w:cs="Calibri" w:cstheme="minorAscii"/>
                <w:color w:val="auto"/>
                <w:sz w:val="11"/>
                <w:szCs w:val="11"/>
                <w:lang w:eastAsia="en-GB"/>
              </w:rPr>
            </w:pPr>
            <w:r w:rsidRPr="3A5FC3B6" w:rsidR="3A5FC3B6">
              <w:rPr>
                <w:rFonts w:eastAsia="Times New Roman" w:cs="Calibri" w:cstheme="minorAscii"/>
                <w:color w:val="auto"/>
                <w:sz w:val="11"/>
                <w:szCs w:val="11"/>
                <w:lang w:eastAsia="en-GB"/>
              </w:rPr>
              <w:t>Y</w:t>
            </w:r>
          </w:p>
        </w:tc>
        <w:tc>
          <w:tcPr>
            <w:tcW w:w="303" w:type="pct"/>
            <w:tcBorders>
              <w:top w:val="nil"/>
              <w:left w:val="nil"/>
              <w:bottom w:val="single" w:color="auto" w:sz="4" w:space="0"/>
              <w:right w:val="single" w:color="auto" w:sz="4" w:space="0"/>
            </w:tcBorders>
            <w:tcMar/>
            <w:vAlign w:val="center"/>
            <w:hideMark/>
          </w:tcPr>
          <w:p w:rsidRPr="00102FB5" w:rsidR="007926C7" w:rsidP="3A5FC3B6" w:rsidRDefault="007926C7" w14:paraId="2AB5213A" w14:textId="77777777" w14:noSpellErr="1">
            <w:pPr>
              <w:spacing w:after="0" w:line="240" w:lineRule="auto"/>
              <w:jc w:val="center"/>
              <w:rPr>
                <w:rFonts w:eastAsia="Times New Roman" w:cs="Calibri" w:cstheme="minorAscii"/>
                <w:color w:val="auto"/>
                <w:sz w:val="11"/>
                <w:szCs w:val="11"/>
                <w:lang w:eastAsia="en-GB"/>
              </w:rPr>
            </w:pPr>
            <w:r w:rsidRPr="3A5FC3B6" w:rsidR="3A5FC3B6">
              <w:rPr>
                <w:rFonts w:eastAsia="Times New Roman" w:cs="Calibri" w:cstheme="minorAscii"/>
                <w:color w:val="auto"/>
                <w:sz w:val="11"/>
                <w:szCs w:val="11"/>
                <w:lang w:eastAsia="en-GB"/>
              </w:rPr>
              <w:t>N/A</w:t>
            </w:r>
          </w:p>
        </w:tc>
      </w:tr>
      <w:tr w:rsidRPr="007926C7" w:rsidR="007926C7" w:rsidTr="3A5FC3B6" w14:paraId="458420BA" w14:textId="77777777">
        <w:trPr>
          <w:trHeight w:val="285"/>
        </w:trPr>
        <w:tc>
          <w:tcPr>
            <w:tcW w:w="363" w:type="pct"/>
            <w:tcBorders>
              <w:top w:val="nil"/>
              <w:left w:val="single" w:color="auto" w:sz="4" w:space="0"/>
              <w:bottom w:val="single" w:color="auto" w:sz="4" w:space="0"/>
              <w:right w:val="single" w:color="auto" w:sz="4" w:space="0"/>
            </w:tcBorders>
            <w:noWrap/>
            <w:tcMar/>
            <w:vAlign w:val="center"/>
            <w:hideMark/>
          </w:tcPr>
          <w:p w:rsidRPr="00102FB5" w:rsidR="007926C7" w:rsidP="3A5FC3B6" w:rsidRDefault="007926C7" w14:paraId="001680BE" w14:textId="77777777">
            <w:pPr>
              <w:spacing w:after="0" w:line="240" w:lineRule="auto"/>
              <w:jc w:val="center"/>
              <w:rPr>
                <w:rFonts w:eastAsia="Times New Roman" w:cs="Calibri" w:cstheme="minorAscii"/>
                <w:b w:val="1"/>
                <w:bCs w:val="1"/>
                <w:color w:val="auto"/>
                <w:sz w:val="11"/>
                <w:szCs w:val="11"/>
                <w:lang w:eastAsia="en-GB"/>
              </w:rPr>
            </w:pPr>
            <w:r w:rsidRPr="3A5FC3B6" w:rsidR="3A5FC3B6">
              <w:rPr>
                <w:rFonts w:eastAsia="Times New Roman" w:cs="Calibri" w:cstheme="minorAscii"/>
                <w:b w:val="1"/>
                <w:bCs w:val="1"/>
                <w:color w:val="auto"/>
                <w:sz w:val="11"/>
                <w:szCs w:val="11"/>
                <w:lang w:eastAsia="en-GB"/>
              </w:rPr>
              <w:t>Tatsuishi</w:t>
            </w:r>
          </w:p>
        </w:tc>
        <w:tc>
          <w:tcPr>
            <w:tcW w:w="348" w:type="pct"/>
            <w:tcBorders>
              <w:top w:val="nil"/>
              <w:left w:val="nil"/>
              <w:bottom w:val="single" w:color="auto" w:sz="4" w:space="0"/>
              <w:right w:val="single" w:color="auto" w:sz="4" w:space="0"/>
            </w:tcBorders>
            <w:tcMar/>
            <w:vAlign w:val="center"/>
            <w:hideMark/>
          </w:tcPr>
          <w:p w:rsidRPr="00102FB5" w:rsidR="007926C7" w:rsidP="3A5FC3B6" w:rsidRDefault="007926C7" w14:paraId="7A55A05C" w14:textId="77777777" w14:noSpellErr="1">
            <w:pPr>
              <w:spacing w:after="0" w:line="240" w:lineRule="auto"/>
              <w:jc w:val="center"/>
              <w:rPr>
                <w:rFonts w:eastAsia="Times New Roman" w:cs="Calibri" w:cstheme="minorAscii"/>
                <w:color w:val="auto"/>
                <w:sz w:val="11"/>
                <w:szCs w:val="11"/>
                <w:lang w:eastAsia="en-GB"/>
              </w:rPr>
            </w:pPr>
            <w:r w:rsidRPr="3A5FC3B6" w:rsidR="3A5FC3B6">
              <w:rPr>
                <w:rFonts w:eastAsia="Times New Roman" w:cs="Calibri" w:cstheme="minorAscii"/>
                <w:color w:val="auto"/>
                <w:sz w:val="11"/>
                <w:szCs w:val="11"/>
                <w:lang w:eastAsia="en-GB"/>
              </w:rPr>
              <w:t>Y</w:t>
            </w:r>
          </w:p>
        </w:tc>
        <w:tc>
          <w:tcPr>
            <w:tcW w:w="303" w:type="pct"/>
            <w:tcBorders>
              <w:top w:val="nil"/>
              <w:left w:val="nil"/>
              <w:bottom w:val="single" w:color="auto" w:sz="4" w:space="0"/>
              <w:right w:val="single" w:color="auto" w:sz="4" w:space="0"/>
            </w:tcBorders>
            <w:tcMar/>
            <w:vAlign w:val="center"/>
            <w:hideMark/>
          </w:tcPr>
          <w:p w:rsidRPr="00102FB5" w:rsidR="007926C7" w:rsidP="3A5FC3B6" w:rsidRDefault="007926C7" w14:paraId="41F5E81F" w14:textId="77777777" w14:noSpellErr="1">
            <w:pPr>
              <w:spacing w:after="0" w:line="240" w:lineRule="auto"/>
              <w:jc w:val="center"/>
              <w:rPr>
                <w:rFonts w:eastAsia="Times New Roman" w:cs="Calibri" w:cstheme="minorAscii"/>
                <w:color w:val="auto"/>
                <w:sz w:val="11"/>
                <w:szCs w:val="11"/>
                <w:lang w:eastAsia="en-GB"/>
              </w:rPr>
            </w:pPr>
            <w:r w:rsidRPr="3A5FC3B6" w:rsidR="3A5FC3B6">
              <w:rPr>
                <w:rFonts w:eastAsia="Times New Roman" w:cs="Calibri" w:cstheme="minorAscii"/>
                <w:color w:val="auto"/>
                <w:sz w:val="11"/>
                <w:szCs w:val="11"/>
                <w:lang w:eastAsia="en-GB"/>
              </w:rPr>
              <w:t>Y</w:t>
            </w:r>
          </w:p>
        </w:tc>
        <w:tc>
          <w:tcPr>
            <w:tcW w:w="353" w:type="pct"/>
            <w:tcBorders>
              <w:top w:val="nil"/>
              <w:left w:val="nil"/>
              <w:bottom w:val="single" w:color="auto" w:sz="4" w:space="0"/>
              <w:right w:val="single" w:color="auto" w:sz="4" w:space="0"/>
            </w:tcBorders>
            <w:tcMar/>
            <w:vAlign w:val="center"/>
            <w:hideMark/>
          </w:tcPr>
          <w:p w:rsidRPr="00102FB5" w:rsidR="007926C7" w:rsidP="3A5FC3B6" w:rsidRDefault="007926C7" w14:paraId="11D6BC2A" w14:textId="77777777" w14:noSpellErr="1">
            <w:pPr>
              <w:spacing w:after="0" w:line="240" w:lineRule="auto"/>
              <w:jc w:val="center"/>
              <w:rPr>
                <w:rFonts w:eastAsia="Times New Roman" w:cs="Calibri" w:cstheme="minorAscii"/>
                <w:color w:val="auto"/>
                <w:sz w:val="11"/>
                <w:szCs w:val="11"/>
                <w:lang w:eastAsia="en-GB"/>
              </w:rPr>
            </w:pPr>
            <w:r w:rsidRPr="3A5FC3B6" w:rsidR="3A5FC3B6">
              <w:rPr>
                <w:rFonts w:eastAsia="Times New Roman" w:cs="Calibri" w:cstheme="minorAscii"/>
                <w:color w:val="auto"/>
                <w:sz w:val="11"/>
                <w:szCs w:val="11"/>
                <w:lang w:eastAsia="en-GB"/>
              </w:rPr>
              <w:t>Y</w:t>
            </w:r>
          </w:p>
        </w:tc>
        <w:tc>
          <w:tcPr>
            <w:tcW w:w="303" w:type="pct"/>
            <w:tcBorders>
              <w:top w:val="nil"/>
              <w:left w:val="nil"/>
              <w:bottom w:val="single" w:color="auto" w:sz="4" w:space="0"/>
              <w:right w:val="single" w:color="auto" w:sz="4" w:space="0"/>
            </w:tcBorders>
            <w:tcMar/>
            <w:vAlign w:val="center"/>
            <w:hideMark/>
          </w:tcPr>
          <w:p w:rsidRPr="00102FB5" w:rsidR="007926C7" w:rsidP="3A5FC3B6" w:rsidRDefault="007926C7" w14:paraId="75FD54FF" w14:textId="77777777" w14:noSpellErr="1">
            <w:pPr>
              <w:spacing w:after="0" w:line="240" w:lineRule="auto"/>
              <w:jc w:val="center"/>
              <w:rPr>
                <w:rFonts w:eastAsia="Times New Roman" w:cs="Calibri" w:cstheme="minorAscii"/>
                <w:color w:val="auto"/>
                <w:sz w:val="11"/>
                <w:szCs w:val="11"/>
                <w:lang w:eastAsia="en-GB"/>
              </w:rPr>
            </w:pPr>
            <w:r w:rsidRPr="3A5FC3B6" w:rsidR="3A5FC3B6">
              <w:rPr>
                <w:rFonts w:eastAsia="Times New Roman" w:cs="Calibri" w:cstheme="minorAscii"/>
                <w:color w:val="auto"/>
                <w:sz w:val="11"/>
                <w:szCs w:val="11"/>
                <w:lang w:eastAsia="en-GB"/>
              </w:rPr>
              <w:t>N/A</w:t>
            </w:r>
          </w:p>
        </w:tc>
        <w:tc>
          <w:tcPr>
            <w:tcW w:w="252" w:type="pct"/>
            <w:tcBorders>
              <w:top w:val="nil"/>
              <w:left w:val="nil"/>
              <w:bottom w:val="single" w:color="auto" w:sz="4" w:space="0"/>
              <w:right w:val="single" w:color="auto" w:sz="4" w:space="0"/>
            </w:tcBorders>
            <w:tcMar/>
            <w:vAlign w:val="center"/>
            <w:hideMark/>
          </w:tcPr>
          <w:p w:rsidRPr="00102FB5" w:rsidR="007926C7" w:rsidP="3A5FC3B6" w:rsidRDefault="007926C7" w14:paraId="12B2AE41" w14:textId="77777777" w14:noSpellErr="1">
            <w:pPr>
              <w:spacing w:after="0" w:line="240" w:lineRule="auto"/>
              <w:jc w:val="center"/>
              <w:rPr>
                <w:rFonts w:eastAsia="Times New Roman" w:cs="Calibri" w:cstheme="minorAscii"/>
                <w:color w:val="auto"/>
                <w:sz w:val="11"/>
                <w:szCs w:val="11"/>
                <w:lang w:eastAsia="en-GB"/>
              </w:rPr>
            </w:pPr>
            <w:r w:rsidRPr="3A5FC3B6" w:rsidR="3A5FC3B6">
              <w:rPr>
                <w:rFonts w:eastAsia="Times New Roman" w:cs="Calibri" w:cstheme="minorAscii"/>
                <w:color w:val="auto"/>
                <w:sz w:val="11"/>
                <w:szCs w:val="11"/>
                <w:lang w:eastAsia="en-GB"/>
              </w:rPr>
              <w:t>N/A</w:t>
            </w:r>
          </w:p>
        </w:tc>
        <w:tc>
          <w:tcPr>
            <w:tcW w:w="252" w:type="pct"/>
            <w:tcBorders>
              <w:top w:val="nil"/>
              <w:left w:val="nil"/>
              <w:bottom w:val="single" w:color="auto" w:sz="4" w:space="0"/>
              <w:right w:val="single" w:color="auto" w:sz="4" w:space="0"/>
            </w:tcBorders>
            <w:tcMar/>
            <w:vAlign w:val="center"/>
            <w:hideMark/>
          </w:tcPr>
          <w:p w:rsidRPr="00102FB5" w:rsidR="007926C7" w:rsidP="3A5FC3B6" w:rsidRDefault="007926C7" w14:paraId="6BD3B194" w14:textId="77777777" w14:noSpellErr="1">
            <w:pPr>
              <w:spacing w:after="0" w:line="240" w:lineRule="auto"/>
              <w:jc w:val="center"/>
              <w:rPr>
                <w:rFonts w:eastAsia="Times New Roman" w:cs="Calibri" w:cstheme="minorAscii"/>
                <w:color w:val="auto"/>
                <w:sz w:val="11"/>
                <w:szCs w:val="11"/>
                <w:lang w:eastAsia="en-GB"/>
              </w:rPr>
            </w:pPr>
            <w:r w:rsidRPr="3A5FC3B6" w:rsidR="3A5FC3B6">
              <w:rPr>
                <w:rFonts w:eastAsia="Times New Roman" w:cs="Calibri" w:cstheme="minorAscii"/>
                <w:color w:val="auto"/>
                <w:sz w:val="11"/>
                <w:szCs w:val="11"/>
                <w:lang w:eastAsia="en-GB"/>
              </w:rPr>
              <w:t>Y</w:t>
            </w:r>
          </w:p>
        </w:tc>
        <w:tc>
          <w:tcPr>
            <w:tcW w:w="303" w:type="pct"/>
            <w:tcBorders>
              <w:top w:val="nil"/>
              <w:left w:val="nil"/>
              <w:bottom w:val="single" w:color="auto" w:sz="4" w:space="0"/>
              <w:right w:val="single" w:color="auto" w:sz="4" w:space="0"/>
            </w:tcBorders>
            <w:tcMar/>
            <w:vAlign w:val="center"/>
            <w:hideMark/>
          </w:tcPr>
          <w:p w:rsidRPr="00102FB5" w:rsidR="007926C7" w:rsidP="3A5FC3B6" w:rsidRDefault="007926C7" w14:paraId="33505CEC" w14:textId="77777777" w14:noSpellErr="1">
            <w:pPr>
              <w:spacing w:after="0" w:line="240" w:lineRule="auto"/>
              <w:jc w:val="center"/>
              <w:rPr>
                <w:rFonts w:eastAsia="Times New Roman" w:cs="Calibri" w:cstheme="minorAscii"/>
                <w:color w:val="auto"/>
                <w:sz w:val="11"/>
                <w:szCs w:val="11"/>
                <w:lang w:eastAsia="en-GB"/>
              </w:rPr>
            </w:pPr>
            <w:r w:rsidRPr="3A5FC3B6" w:rsidR="3A5FC3B6">
              <w:rPr>
                <w:rFonts w:eastAsia="Times New Roman" w:cs="Calibri" w:cstheme="minorAscii"/>
                <w:color w:val="auto"/>
                <w:sz w:val="11"/>
                <w:szCs w:val="11"/>
                <w:lang w:eastAsia="en-GB"/>
              </w:rPr>
              <w:t>N/A</w:t>
            </w:r>
          </w:p>
        </w:tc>
        <w:tc>
          <w:tcPr>
            <w:tcW w:w="303" w:type="pct"/>
            <w:tcBorders>
              <w:top w:val="nil"/>
              <w:left w:val="nil"/>
              <w:bottom w:val="single" w:color="auto" w:sz="4" w:space="0"/>
              <w:right w:val="single" w:color="auto" w:sz="4" w:space="0"/>
            </w:tcBorders>
            <w:tcMar/>
            <w:vAlign w:val="center"/>
            <w:hideMark/>
          </w:tcPr>
          <w:p w:rsidRPr="00102FB5" w:rsidR="007926C7" w:rsidP="3A5FC3B6" w:rsidRDefault="007926C7" w14:paraId="2D09A1C7" w14:textId="77777777" w14:noSpellErr="1">
            <w:pPr>
              <w:spacing w:after="0" w:line="240" w:lineRule="auto"/>
              <w:jc w:val="center"/>
              <w:rPr>
                <w:rFonts w:eastAsia="Times New Roman" w:cs="Calibri" w:cstheme="minorAscii"/>
                <w:color w:val="auto"/>
                <w:sz w:val="11"/>
                <w:szCs w:val="11"/>
                <w:lang w:eastAsia="en-GB"/>
              </w:rPr>
            </w:pPr>
            <w:r w:rsidRPr="3A5FC3B6" w:rsidR="3A5FC3B6">
              <w:rPr>
                <w:rFonts w:eastAsia="Times New Roman" w:cs="Calibri" w:cstheme="minorAscii"/>
                <w:color w:val="auto"/>
                <w:sz w:val="11"/>
                <w:szCs w:val="11"/>
                <w:lang w:eastAsia="en-GB"/>
              </w:rPr>
              <w:t>N/A</w:t>
            </w:r>
          </w:p>
        </w:tc>
        <w:tc>
          <w:tcPr>
            <w:tcW w:w="353" w:type="pct"/>
            <w:tcBorders>
              <w:top w:val="nil"/>
              <w:left w:val="nil"/>
              <w:bottom w:val="single" w:color="auto" w:sz="4" w:space="0"/>
              <w:right w:val="single" w:color="auto" w:sz="4" w:space="0"/>
            </w:tcBorders>
            <w:tcMar/>
            <w:vAlign w:val="center"/>
            <w:hideMark/>
          </w:tcPr>
          <w:p w:rsidRPr="00102FB5" w:rsidR="007926C7" w:rsidP="3A5FC3B6" w:rsidRDefault="007926C7" w14:paraId="6590132D" w14:textId="77777777" w14:noSpellErr="1">
            <w:pPr>
              <w:spacing w:after="0" w:line="240" w:lineRule="auto"/>
              <w:jc w:val="center"/>
              <w:rPr>
                <w:rFonts w:eastAsia="Times New Roman" w:cs="Calibri" w:cstheme="minorAscii"/>
                <w:color w:val="auto"/>
                <w:sz w:val="11"/>
                <w:szCs w:val="11"/>
                <w:lang w:eastAsia="en-GB"/>
              </w:rPr>
            </w:pPr>
            <w:r w:rsidRPr="3A5FC3B6" w:rsidR="3A5FC3B6">
              <w:rPr>
                <w:rFonts w:eastAsia="Times New Roman" w:cs="Calibri" w:cstheme="minorAscii"/>
                <w:color w:val="auto"/>
                <w:sz w:val="11"/>
                <w:szCs w:val="11"/>
                <w:lang w:eastAsia="en-GB"/>
              </w:rPr>
              <w:t>N/A</w:t>
            </w:r>
          </w:p>
        </w:tc>
        <w:tc>
          <w:tcPr>
            <w:tcW w:w="303" w:type="pct"/>
            <w:tcBorders>
              <w:top w:val="nil"/>
              <w:left w:val="nil"/>
              <w:bottom w:val="single" w:color="auto" w:sz="4" w:space="0"/>
              <w:right w:val="single" w:color="auto" w:sz="4" w:space="0"/>
            </w:tcBorders>
            <w:tcMar/>
            <w:vAlign w:val="center"/>
            <w:hideMark/>
          </w:tcPr>
          <w:p w:rsidRPr="00102FB5" w:rsidR="007926C7" w:rsidP="3A5FC3B6" w:rsidRDefault="007926C7" w14:paraId="633C94EA" w14:textId="77777777" w14:noSpellErr="1">
            <w:pPr>
              <w:spacing w:after="0" w:line="240" w:lineRule="auto"/>
              <w:jc w:val="center"/>
              <w:rPr>
                <w:rFonts w:eastAsia="Times New Roman" w:cs="Calibri" w:cstheme="minorAscii"/>
                <w:color w:val="auto"/>
                <w:sz w:val="11"/>
                <w:szCs w:val="11"/>
                <w:lang w:eastAsia="en-GB"/>
              </w:rPr>
            </w:pPr>
            <w:r w:rsidRPr="3A5FC3B6" w:rsidR="3A5FC3B6">
              <w:rPr>
                <w:rFonts w:eastAsia="Times New Roman" w:cs="Calibri" w:cstheme="minorAscii"/>
                <w:color w:val="auto"/>
                <w:sz w:val="11"/>
                <w:szCs w:val="11"/>
                <w:lang w:eastAsia="en-GB"/>
              </w:rPr>
              <w:t>Y</w:t>
            </w:r>
          </w:p>
        </w:tc>
        <w:tc>
          <w:tcPr>
            <w:tcW w:w="303" w:type="pct"/>
            <w:tcBorders>
              <w:top w:val="nil"/>
              <w:left w:val="nil"/>
              <w:bottom w:val="single" w:color="auto" w:sz="4" w:space="0"/>
              <w:right w:val="single" w:color="auto" w:sz="4" w:space="0"/>
            </w:tcBorders>
            <w:tcMar/>
            <w:vAlign w:val="center"/>
            <w:hideMark/>
          </w:tcPr>
          <w:p w:rsidRPr="00102FB5" w:rsidR="007926C7" w:rsidP="3A5FC3B6" w:rsidRDefault="007926C7" w14:paraId="2629C09B" w14:textId="77777777" w14:noSpellErr="1">
            <w:pPr>
              <w:spacing w:after="0" w:line="240" w:lineRule="auto"/>
              <w:jc w:val="center"/>
              <w:rPr>
                <w:rFonts w:eastAsia="Times New Roman" w:cs="Calibri" w:cstheme="minorAscii"/>
                <w:color w:val="auto"/>
                <w:sz w:val="11"/>
                <w:szCs w:val="11"/>
                <w:lang w:eastAsia="en-GB"/>
              </w:rPr>
            </w:pPr>
            <w:r w:rsidRPr="3A5FC3B6" w:rsidR="3A5FC3B6">
              <w:rPr>
                <w:rFonts w:eastAsia="Times New Roman" w:cs="Calibri" w:cstheme="minorAscii"/>
                <w:color w:val="auto"/>
                <w:sz w:val="11"/>
                <w:szCs w:val="11"/>
                <w:lang w:eastAsia="en-GB"/>
              </w:rPr>
              <w:t>Y</w:t>
            </w:r>
          </w:p>
        </w:tc>
        <w:tc>
          <w:tcPr>
            <w:tcW w:w="353" w:type="pct"/>
            <w:tcBorders>
              <w:top w:val="nil"/>
              <w:left w:val="nil"/>
              <w:bottom w:val="single" w:color="auto" w:sz="4" w:space="0"/>
              <w:right w:val="single" w:color="auto" w:sz="4" w:space="0"/>
            </w:tcBorders>
            <w:tcMar/>
            <w:vAlign w:val="center"/>
            <w:hideMark/>
          </w:tcPr>
          <w:p w:rsidRPr="00102FB5" w:rsidR="007926C7" w:rsidP="3A5FC3B6" w:rsidRDefault="007926C7" w14:paraId="2ACECDDB" w14:textId="77777777" w14:noSpellErr="1">
            <w:pPr>
              <w:spacing w:after="0" w:line="240" w:lineRule="auto"/>
              <w:jc w:val="center"/>
              <w:rPr>
                <w:rFonts w:eastAsia="Times New Roman" w:cs="Calibri" w:cstheme="minorAscii"/>
                <w:color w:val="auto"/>
                <w:sz w:val="11"/>
                <w:szCs w:val="11"/>
                <w:lang w:eastAsia="en-GB"/>
              </w:rPr>
            </w:pPr>
            <w:r w:rsidRPr="3A5FC3B6" w:rsidR="3A5FC3B6">
              <w:rPr>
                <w:rFonts w:eastAsia="Times New Roman" w:cs="Calibri" w:cstheme="minorAscii"/>
                <w:color w:val="auto"/>
                <w:sz w:val="11"/>
                <w:szCs w:val="11"/>
                <w:lang w:eastAsia="en-GB"/>
              </w:rPr>
              <w:t>Y</w:t>
            </w:r>
          </w:p>
        </w:tc>
        <w:tc>
          <w:tcPr>
            <w:tcW w:w="353" w:type="pct"/>
            <w:tcBorders>
              <w:top w:val="nil"/>
              <w:left w:val="nil"/>
              <w:bottom w:val="single" w:color="auto" w:sz="4" w:space="0"/>
              <w:right w:val="single" w:color="auto" w:sz="4" w:space="0"/>
            </w:tcBorders>
            <w:tcMar/>
            <w:vAlign w:val="center"/>
            <w:hideMark/>
          </w:tcPr>
          <w:p w:rsidRPr="00102FB5" w:rsidR="007926C7" w:rsidP="3A5FC3B6" w:rsidRDefault="007926C7" w14:paraId="5ABC1257" w14:textId="77777777" w14:noSpellErr="1">
            <w:pPr>
              <w:spacing w:after="0" w:line="240" w:lineRule="auto"/>
              <w:jc w:val="center"/>
              <w:rPr>
                <w:rFonts w:eastAsia="Times New Roman" w:cs="Calibri" w:cstheme="minorAscii"/>
                <w:color w:val="auto"/>
                <w:sz w:val="11"/>
                <w:szCs w:val="11"/>
                <w:lang w:eastAsia="en-GB"/>
              </w:rPr>
            </w:pPr>
            <w:r w:rsidRPr="3A5FC3B6" w:rsidR="3A5FC3B6">
              <w:rPr>
                <w:rFonts w:eastAsia="Times New Roman" w:cs="Calibri" w:cstheme="minorAscii"/>
                <w:color w:val="auto"/>
                <w:sz w:val="11"/>
                <w:szCs w:val="11"/>
                <w:lang w:eastAsia="en-GB"/>
              </w:rPr>
              <w:t>Y</w:t>
            </w:r>
          </w:p>
        </w:tc>
        <w:tc>
          <w:tcPr>
            <w:tcW w:w="252" w:type="pct"/>
            <w:tcBorders>
              <w:top w:val="nil"/>
              <w:left w:val="nil"/>
              <w:bottom w:val="single" w:color="auto" w:sz="4" w:space="0"/>
              <w:right w:val="single" w:color="auto" w:sz="4" w:space="0"/>
            </w:tcBorders>
            <w:tcMar/>
            <w:vAlign w:val="center"/>
            <w:hideMark/>
          </w:tcPr>
          <w:p w:rsidRPr="00102FB5" w:rsidR="007926C7" w:rsidP="3A5FC3B6" w:rsidRDefault="007926C7" w14:paraId="7C186DE4" w14:textId="77777777" w14:noSpellErr="1">
            <w:pPr>
              <w:spacing w:after="0" w:line="240" w:lineRule="auto"/>
              <w:jc w:val="center"/>
              <w:rPr>
                <w:rFonts w:eastAsia="Times New Roman" w:cs="Calibri" w:cstheme="minorAscii"/>
                <w:color w:val="auto"/>
                <w:sz w:val="11"/>
                <w:szCs w:val="11"/>
                <w:lang w:eastAsia="en-GB"/>
              </w:rPr>
            </w:pPr>
            <w:r w:rsidRPr="3A5FC3B6" w:rsidR="3A5FC3B6">
              <w:rPr>
                <w:rFonts w:eastAsia="Times New Roman" w:cs="Calibri" w:cstheme="minorAscii"/>
                <w:color w:val="auto"/>
                <w:sz w:val="11"/>
                <w:szCs w:val="11"/>
                <w:lang w:eastAsia="en-GB"/>
              </w:rPr>
              <w:t>Y</w:t>
            </w:r>
          </w:p>
        </w:tc>
        <w:tc>
          <w:tcPr>
            <w:tcW w:w="303" w:type="pct"/>
            <w:tcBorders>
              <w:top w:val="nil"/>
              <w:left w:val="nil"/>
              <w:bottom w:val="single" w:color="auto" w:sz="4" w:space="0"/>
              <w:right w:val="single" w:color="auto" w:sz="4" w:space="0"/>
            </w:tcBorders>
            <w:tcMar/>
            <w:vAlign w:val="center"/>
            <w:hideMark/>
          </w:tcPr>
          <w:p w:rsidRPr="00102FB5" w:rsidR="007926C7" w:rsidP="3A5FC3B6" w:rsidRDefault="007926C7" w14:paraId="503CBF4F" w14:textId="77777777" w14:noSpellErr="1">
            <w:pPr>
              <w:spacing w:after="0" w:line="240" w:lineRule="auto"/>
              <w:jc w:val="center"/>
              <w:rPr>
                <w:rFonts w:eastAsia="Times New Roman" w:cs="Calibri" w:cstheme="minorAscii"/>
                <w:color w:val="auto"/>
                <w:sz w:val="11"/>
                <w:szCs w:val="11"/>
                <w:lang w:eastAsia="en-GB"/>
              </w:rPr>
            </w:pPr>
            <w:r w:rsidRPr="3A5FC3B6" w:rsidR="3A5FC3B6">
              <w:rPr>
                <w:rFonts w:eastAsia="Times New Roman" w:cs="Calibri" w:cstheme="minorAscii"/>
                <w:color w:val="auto"/>
                <w:sz w:val="11"/>
                <w:szCs w:val="11"/>
                <w:lang w:eastAsia="en-GB"/>
              </w:rPr>
              <w:t>Y</w:t>
            </w:r>
          </w:p>
        </w:tc>
      </w:tr>
    </w:tbl>
    <w:p w:rsidR="00865180" w:rsidP="3A5FC3B6" w:rsidRDefault="00865180" w14:paraId="5D7172B0" w14:textId="77777777" w14:noSpellErr="1">
      <w:pPr>
        <w:pStyle w:val="NoSpacing"/>
        <w:rPr>
          <w:rFonts w:cs="Calibri" w:cstheme="minorAscii"/>
          <w:color w:val="auto"/>
          <w:sz w:val="11"/>
          <w:szCs w:val="11"/>
          <w:shd w:val="clear" w:color="auto" w:fill="FAF26D"/>
        </w:rPr>
      </w:pPr>
    </w:p>
    <w:p w:rsidRPr="00102FB5" w:rsidR="00865180" w:rsidP="3A5FC3B6" w:rsidRDefault="00865180" w14:paraId="6BBD17E2" w14:textId="721A7B6D" w14:noSpellErr="1">
      <w:pPr>
        <w:pStyle w:val="NoSpacing"/>
        <w:rPr>
          <w:rFonts w:cs="Calibri" w:cstheme="minorAscii"/>
          <w:color w:val="auto"/>
        </w:rPr>
      </w:pPr>
      <w:r w:rsidRPr="3A5FC3B6" w:rsidR="3A5FC3B6">
        <w:rPr>
          <w:rFonts w:cs="Calibri" w:cstheme="minorAscii"/>
          <w:color w:val="auto"/>
        </w:rPr>
        <w:t xml:space="preserve">N/A, not applicable. This element was not utilised. </w:t>
      </w:r>
    </w:p>
    <w:p w:rsidR="00980C35" w:rsidP="3A5FC3B6" w:rsidRDefault="00980C35" w14:paraId="66275D18" w14:textId="09B261F3" w14:noSpellErr="1">
      <w:pPr>
        <w:pStyle w:val="NoSpacing"/>
        <w:rPr>
          <w:rFonts w:cs="Calibri" w:cstheme="minorAscii"/>
          <w:color w:val="auto"/>
          <w:sz w:val="11"/>
          <w:szCs w:val="11"/>
        </w:rPr>
      </w:pPr>
    </w:p>
    <w:p w:rsidRPr="00102FB5" w:rsidR="00980C35" w:rsidP="3A5FC3B6" w:rsidRDefault="00980C35" w14:paraId="1B646C70" w14:textId="77777777" w14:noSpellErr="1">
      <w:pPr>
        <w:pStyle w:val="NoSpacing"/>
        <w:rPr>
          <w:rFonts w:cs="Calibri" w:cstheme="minorAscii"/>
          <w:color w:val="auto"/>
        </w:rPr>
      </w:pPr>
    </w:p>
    <w:p w:rsidRPr="00102FB5" w:rsidR="00980C35" w:rsidP="3A5FC3B6" w:rsidRDefault="00980C35" w14:paraId="76A0D143" w14:textId="77777777" w14:noSpellErr="1">
      <w:pPr>
        <w:pStyle w:val="NoSpacing"/>
        <w:rPr>
          <w:rFonts w:cs="Calibri" w:cstheme="minorAscii"/>
          <w:color w:val="auto"/>
        </w:rPr>
      </w:pPr>
    </w:p>
    <w:p w:rsidRPr="00102FB5" w:rsidR="00980C35" w:rsidP="3A5FC3B6" w:rsidRDefault="00980C35" w14:paraId="1AB00300" w14:textId="77777777" w14:noSpellErr="1">
      <w:pPr>
        <w:pStyle w:val="NoSpacing"/>
        <w:rPr>
          <w:rFonts w:cs="Calibri" w:cstheme="minorAscii"/>
          <w:color w:val="auto"/>
        </w:rPr>
      </w:pPr>
    </w:p>
    <w:p w:rsidRPr="00102FB5" w:rsidR="00980C35" w:rsidP="3A5FC3B6" w:rsidRDefault="00AE0E94" w14:paraId="6D6FD9C2" w14:textId="4A9EF9C3" w14:noSpellErr="1">
      <w:pPr>
        <w:pStyle w:val="NoSpacing"/>
        <w:rPr>
          <w:rFonts w:cs="Calibri" w:cstheme="minorAscii"/>
          <w:b w:val="1"/>
          <w:bCs w:val="1"/>
          <w:color w:val="auto"/>
        </w:rPr>
      </w:pPr>
      <w:r w:rsidRPr="3A5FC3B6" w:rsidR="3A5FC3B6">
        <w:rPr>
          <w:rFonts w:cs="Calibri" w:cstheme="minorAscii"/>
          <w:b w:val="1"/>
          <w:bCs w:val="1"/>
          <w:color w:val="auto"/>
        </w:rPr>
        <w:t xml:space="preserve">Table 2: Study characteristics </w:t>
      </w:r>
    </w:p>
    <w:p w:rsidR="00980C35" w:rsidP="3A5FC3B6" w:rsidRDefault="00980C35" w14:paraId="7701E19B" w14:textId="77777777" w14:noSpellErr="1">
      <w:pPr>
        <w:pStyle w:val="NoSpacing"/>
        <w:rPr>
          <w:rFonts w:cs="Calibri" w:cstheme="minorAscii"/>
          <w:color w:val="auto"/>
          <w:sz w:val="11"/>
          <w:szCs w:val="11"/>
        </w:rPr>
      </w:pPr>
    </w:p>
    <w:tbl>
      <w:tblPr>
        <w:tblW w:w="5000" w:type="pct"/>
        <w:tblLook w:val="0420" w:firstRow="1" w:lastRow="0" w:firstColumn="0" w:lastColumn="0" w:noHBand="0" w:noVBand="1"/>
      </w:tblPr>
      <w:tblGrid>
        <w:gridCol w:w="1238"/>
        <w:gridCol w:w="1655"/>
        <w:gridCol w:w="1335"/>
        <w:gridCol w:w="1061"/>
        <w:gridCol w:w="1118"/>
        <w:gridCol w:w="1166"/>
        <w:gridCol w:w="1469"/>
        <w:gridCol w:w="1404"/>
      </w:tblGrid>
      <w:tr w:rsidRPr="0021439F" w:rsidR="00980C35" w:rsidTr="3A5FC3B6" w14:paraId="68ED48C0" w14:textId="77777777">
        <w:trPr>
          <w:trHeight w:val="790"/>
        </w:trPr>
        <w:tc>
          <w:tcPr>
            <w:tcW w:w="593" w:type="pct"/>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vAlign w:val="center"/>
          </w:tcPr>
          <w:p w:rsidRPr="0021439F" w:rsidR="00980C35" w:rsidP="3A5FC3B6" w:rsidRDefault="00980C35" w14:paraId="0AEF292B" w14:textId="77777777" w14:noSpellErr="1">
            <w:pPr>
              <w:spacing w:after="0" w:line="240" w:lineRule="auto"/>
              <w:jc w:val="center"/>
              <w:rPr>
                <w:rFonts w:ascii="Calibri" w:hAnsi="Calibri" w:eastAsia="Times New Roman" w:cs="Calibri"/>
                <w:b w:val="1"/>
                <w:bCs w:val="1"/>
                <w:color w:val="auto"/>
                <w:sz w:val="20"/>
                <w:szCs w:val="20"/>
                <w:lang w:eastAsia="en-GB"/>
              </w:rPr>
            </w:pPr>
            <w:r w:rsidRPr="3A5FC3B6" w:rsidR="3A5FC3B6">
              <w:rPr>
                <w:rFonts w:ascii="Calibri" w:hAnsi="Calibri" w:eastAsia="Times New Roman" w:cs="Calibri"/>
                <w:b w:val="1"/>
                <w:bCs w:val="1"/>
                <w:color w:val="auto"/>
                <w:sz w:val="20"/>
                <w:szCs w:val="20"/>
                <w:lang w:eastAsia="en-GB"/>
              </w:rPr>
              <w:t>Author </w:t>
            </w:r>
          </w:p>
        </w:tc>
        <w:tc>
          <w:tcPr>
            <w:tcW w:w="792" w:type="pct"/>
            <w:tcBorders>
              <w:top w:val="single" w:color="000000" w:themeColor="text1" w:sz="8" w:space="0"/>
              <w:left w:val="nil"/>
              <w:bottom w:val="single" w:color="000000" w:themeColor="text1" w:sz="8" w:space="0"/>
              <w:right w:val="single" w:color="000000" w:themeColor="text1" w:sz="8" w:space="0"/>
            </w:tcBorders>
            <w:shd w:val="clear" w:color="auto" w:fill="auto"/>
            <w:tcMar/>
            <w:vAlign w:val="center"/>
          </w:tcPr>
          <w:p w:rsidRPr="0021439F" w:rsidR="00980C35" w:rsidP="3A5FC3B6" w:rsidRDefault="00980C35" w14:paraId="140B053B" w14:textId="77777777" w14:noSpellErr="1">
            <w:pPr>
              <w:spacing w:after="0" w:line="240" w:lineRule="auto"/>
              <w:jc w:val="center"/>
              <w:rPr>
                <w:rFonts w:ascii="Calibri" w:hAnsi="Calibri" w:eastAsia="Times New Roman" w:cs="Calibri"/>
                <w:b w:val="1"/>
                <w:bCs w:val="1"/>
                <w:color w:val="auto"/>
                <w:sz w:val="20"/>
                <w:szCs w:val="20"/>
                <w:lang w:eastAsia="en-GB"/>
              </w:rPr>
            </w:pPr>
            <w:r w:rsidRPr="3A5FC3B6" w:rsidR="3A5FC3B6">
              <w:rPr>
                <w:rFonts w:ascii="Calibri" w:hAnsi="Calibri" w:eastAsia="Times New Roman" w:cs="Calibri"/>
                <w:b w:val="1"/>
                <w:bCs w:val="1"/>
                <w:color w:val="auto"/>
                <w:sz w:val="20"/>
                <w:szCs w:val="20"/>
                <w:lang w:eastAsia="en-GB"/>
              </w:rPr>
              <w:t xml:space="preserve">Design </w:t>
            </w:r>
            <w:r w:rsidRPr="3A5FC3B6" w:rsidR="3A5FC3B6">
              <w:rPr>
                <w:rFonts w:ascii="Calibri" w:hAnsi="Calibri" w:eastAsia="Times New Roman" w:cs="Calibri"/>
                <w:b w:val="1"/>
                <w:bCs w:val="1"/>
                <w:color w:val="auto"/>
                <w:sz w:val="20"/>
                <w:szCs w:val="20"/>
                <w:lang w:eastAsia="en-GB"/>
              </w:rPr>
              <w:t>methodology</w:t>
            </w:r>
            <w:r w:rsidRPr="3A5FC3B6" w:rsidR="3A5FC3B6">
              <w:rPr>
                <w:rFonts w:ascii="Calibri" w:hAnsi="Calibri" w:eastAsia="Times New Roman" w:cs="Calibri"/>
                <w:b w:val="1"/>
                <w:bCs w:val="1"/>
                <w:color w:val="auto"/>
                <w:sz w:val="20"/>
                <w:szCs w:val="20"/>
                <w:lang w:eastAsia="en-GB"/>
              </w:rPr>
              <w:t> </w:t>
            </w:r>
          </w:p>
        </w:tc>
        <w:tc>
          <w:tcPr>
            <w:tcW w:w="639" w:type="pct"/>
            <w:tcBorders>
              <w:top w:val="single" w:color="000000" w:themeColor="text1" w:sz="8" w:space="0"/>
              <w:left w:val="nil"/>
              <w:bottom w:val="single" w:color="000000" w:themeColor="text1" w:sz="8" w:space="0"/>
              <w:right w:val="single" w:color="000000" w:themeColor="text1" w:sz="8" w:space="0"/>
            </w:tcBorders>
            <w:shd w:val="clear" w:color="auto" w:fill="auto"/>
            <w:tcMar/>
            <w:vAlign w:val="center"/>
          </w:tcPr>
          <w:p w:rsidRPr="0021439F" w:rsidR="00980C35" w:rsidP="3A5FC3B6" w:rsidRDefault="00980C35" w14:paraId="05D45B2A" w14:textId="77777777" w14:noSpellErr="1">
            <w:pPr>
              <w:spacing w:after="0" w:line="240" w:lineRule="auto"/>
              <w:jc w:val="center"/>
              <w:rPr>
                <w:rFonts w:ascii="Calibri" w:hAnsi="Calibri" w:eastAsia="Times New Roman" w:cs="Calibri"/>
                <w:b w:val="1"/>
                <w:bCs w:val="1"/>
                <w:color w:val="auto"/>
                <w:sz w:val="20"/>
                <w:szCs w:val="20"/>
                <w:lang w:eastAsia="en-GB"/>
              </w:rPr>
            </w:pPr>
            <w:r w:rsidRPr="3A5FC3B6" w:rsidR="3A5FC3B6">
              <w:rPr>
                <w:rFonts w:ascii="Calibri" w:hAnsi="Calibri" w:eastAsia="Times New Roman" w:cs="Calibri"/>
                <w:b w:val="1"/>
                <w:bCs w:val="1"/>
                <w:color w:val="auto"/>
                <w:sz w:val="20"/>
                <w:szCs w:val="20"/>
                <w:lang w:eastAsia="en-GB"/>
              </w:rPr>
              <w:t>Publication date </w:t>
            </w:r>
          </w:p>
        </w:tc>
        <w:tc>
          <w:tcPr>
            <w:tcW w:w="508" w:type="pct"/>
            <w:tcBorders>
              <w:top w:val="single" w:color="000000" w:themeColor="text1" w:sz="8" w:space="0"/>
              <w:left w:val="nil"/>
              <w:bottom w:val="single" w:color="000000" w:themeColor="text1" w:sz="8" w:space="0"/>
              <w:right w:val="single" w:color="000000" w:themeColor="text1" w:sz="8" w:space="0"/>
            </w:tcBorders>
            <w:shd w:val="clear" w:color="auto" w:fill="auto"/>
            <w:tcMar/>
            <w:vAlign w:val="center"/>
          </w:tcPr>
          <w:p w:rsidRPr="0021439F" w:rsidR="00980C35" w:rsidP="3A5FC3B6" w:rsidRDefault="00980C35" w14:paraId="3EBA0C9C" w14:textId="77777777" w14:noSpellErr="1">
            <w:pPr>
              <w:spacing w:after="0" w:line="240" w:lineRule="auto"/>
              <w:jc w:val="center"/>
              <w:rPr>
                <w:rFonts w:ascii="Calibri" w:hAnsi="Calibri" w:eastAsia="Times New Roman" w:cs="Calibri"/>
                <w:b w:val="1"/>
                <w:bCs w:val="1"/>
                <w:color w:val="auto"/>
                <w:sz w:val="20"/>
                <w:szCs w:val="20"/>
                <w:lang w:eastAsia="en-GB"/>
              </w:rPr>
            </w:pPr>
            <w:r w:rsidRPr="3A5FC3B6" w:rsidR="3A5FC3B6">
              <w:rPr>
                <w:rFonts w:ascii="Calibri" w:hAnsi="Calibri" w:eastAsia="Times New Roman" w:cs="Calibri"/>
                <w:b w:val="1"/>
                <w:bCs w:val="1"/>
                <w:color w:val="auto"/>
                <w:sz w:val="20"/>
                <w:szCs w:val="20"/>
                <w:lang w:eastAsia="en-GB"/>
              </w:rPr>
              <w:t>Study Duration (years) </w:t>
            </w:r>
          </w:p>
        </w:tc>
        <w:tc>
          <w:tcPr>
            <w:tcW w:w="535" w:type="pct"/>
            <w:tcBorders>
              <w:top w:val="single" w:color="000000" w:themeColor="text1" w:sz="8" w:space="0"/>
              <w:left w:val="nil"/>
              <w:bottom w:val="single" w:color="000000" w:themeColor="text1" w:sz="8" w:space="0"/>
              <w:right w:val="single" w:color="000000" w:themeColor="text1" w:sz="8" w:space="0"/>
            </w:tcBorders>
            <w:shd w:val="clear" w:color="auto" w:fill="auto"/>
            <w:tcMar/>
            <w:vAlign w:val="center"/>
          </w:tcPr>
          <w:p w:rsidRPr="0021439F" w:rsidR="00980C35" w:rsidP="3A5FC3B6" w:rsidRDefault="00980C35" w14:paraId="028298EA" w14:textId="77777777" w14:noSpellErr="1">
            <w:pPr>
              <w:spacing w:after="0" w:line="240" w:lineRule="auto"/>
              <w:jc w:val="center"/>
              <w:rPr>
                <w:rFonts w:ascii="Calibri" w:hAnsi="Calibri" w:eastAsia="Times New Roman" w:cs="Calibri"/>
                <w:b w:val="1"/>
                <w:bCs w:val="1"/>
                <w:color w:val="auto"/>
                <w:sz w:val="20"/>
                <w:szCs w:val="20"/>
                <w:lang w:eastAsia="en-GB"/>
              </w:rPr>
            </w:pPr>
            <w:r w:rsidRPr="3A5FC3B6" w:rsidR="3A5FC3B6">
              <w:rPr>
                <w:rFonts w:ascii="Calibri" w:hAnsi="Calibri" w:eastAsia="Times New Roman" w:cs="Calibri"/>
                <w:b w:val="1"/>
                <w:bCs w:val="1"/>
                <w:color w:val="auto"/>
                <w:sz w:val="20"/>
                <w:szCs w:val="20"/>
                <w:lang w:eastAsia="en-GB"/>
              </w:rPr>
              <w:t>Location </w:t>
            </w:r>
          </w:p>
        </w:tc>
        <w:tc>
          <w:tcPr>
            <w:tcW w:w="558" w:type="pct"/>
            <w:tcBorders>
              <w:top w:val="single" w:color="000000" w:themeColor="text1" w:sz="8" w:space="0"/>
              <w:left w:val="nil"/>
              <w:bottom w:val="single" w:color="000000" w:themeColor="text1" w:sz="8" w:space="0"/>
              <w:right w:val="single" w:color="000000" w:themeColor="text1" w:sz="8" w:space="0"/>
            </w:tcBorders>
            <w:shd w:val="clear" w:color="auto" w:fill="auto"/>
            <w:tcMar/>
            <w:vAlign w:val="center"/>
          </w:tcPr>
          <w:p w:rsidRPr="0021439F" w:rsidR="00980C35" w:rsidP="3A5FC3B6" w:rsidRDefault="00980C35" w14:paraId="6730ED1F" w14:textId="47AB6419" w14:noSpellErr="1">
            <w:pPr>
              <w:spacing w:after="0" w:line="240" w:lineRule="auto"/>
              <w:jc w:val="center"/>
              <w:rPr>
                <w:rFonts w:ascii="Calibri" w:hAnsi="Calibri" w:eastAsia="Times New Roman" w:cs="Calibri"/>
                <w:b w:val="1"/>
                <w:bCs w:val="1"/>
                <w:color w:val="auto"/>
                <w:sz w:val="20"/>
                <w:szCs w:val="20"/>
                <w:lang w:eastAsia="en-GB"/>
              </w:rPr>
            </w:pPr>
            <w:r w:rsidRPr="3A5FC3B6" w:rsidR="3A5FC3B6">
              <w:rPr>
                <w:rFonts w:ascii="Calibri" w:hAnsi="Calibri" w:eastAsia="Times New Roman" w:cs="Calibri"/>
                <w:b w:val="1"/>
                <w:bCs w:val="1"/>
                <w:color w:val="auto"/>
                <w:sz w:val="20"/>
                <w:szCs w:val="20"/>
                <w:lang w:eastAsia="en-GB"/>
              </w:rPr>
              <w:t>Grading of paper (LEGEND</w:t>
            </w:r>
            <w:r w:rsidRPr="3A5FC3B6" w:rsidR="3A5FC3B6">
              <w:rPr>
                <w:rFonts w:ascii="Calibri" w:hAnsi="Calibri" w:eastAsia="Times New Roman" w:cs="Calibri"/>
                <w:b w:val="1"/>
                <w:bCs w:val="1"/>
                <w:color w:val="auto"/>
                <w:sz w:val="20"/>
                <w:szCs w:val="20"/>
                <w:lang w:eastAsia="en-GB"/>
              </w:rPr>
              <w:t xml:space="preserve"> criteria</w:t>
            </w:r>
            <w:r w:rsidRPr="3A5FC3B6" w:rsidR="3A5FC3B6">
              <w:rPr>
                <w:rFonts w:ascii="Calibri" w:hAnsi="Calibri" w:eastAsia="Times New Roman" w:cs="Calibri"/>
                <w:b w:val="1"/>
                <w:bCs w:val="1"/>
                <w:color w:val="auto"/>
                <w:sz w:val="20"/>
                <w:szCs w:val="20"/>
                <w:lang w:eastAsia="en-GB"/>
              </w:rPr>
              <w:t>) </w:t>
            </w:r>
          </w:p>
        </w:tc>
        <w:tc>
          <w:tcPr>
            <w:tcW w:w="703" w:type="pct"/>
            <w:tcBorders>
              <w:top w:val="single" w:color="000000" w:themeColor="text1" w:sz="8" w:space="0"/>
              <w:left w:val="nil"/>
              <w:bottom w:val="single" w:color="000000" w:themeColor="text1" w:sz="8" w:space="0"/>
              <w:right w:val="single" w:color="000000" w:themeColor="text1" w:sz="8" w:space="0"/>
            </w:tcBorders>
            <w:shd w:val="clear" w:color="auto" w:fill="auto"/>
            <w:tcMar/>
            <w:vAlign w:val="center"/>
          </w:tcPr>
          <w:p w:rsidRPr="0021439F" w:rsidR="00980C35" w:rsidP="3A5FC3B6" w:rsidRDefault="00980C35" w14:paraId="5B05AD3B" w14:textId="77777777" w14:noSpellErr="1">
            <w:pPr>
              <w:spacing w:after="0" w:line="240" w:lineRule="auto"/>
              <w:jc w:val="center"/>
              <w:rPr>
                <w:rFonts w:ascii="Calibri" w:hAnsi="Calibri" w:eastAsia="Times New Roman" w:cs="Calibri"/>
                <w:b w:val="1"/>
                <w:bCs w:val="1"/>
                <w:color w:val="auto"/>
                <w:sz w:val="20"/>
                <w:szCs w:val="20"/>
                <w:lang w:eastAsia="en-GB"/>
              </w:rPr>
            </w:pPr>
            <w:r w:rsidRPr="3A5FC3B6" w:rsidR="3A5FC3B6">
              <w:rPr>
                <w:rFonts w:ascii="Calibri" w:hAnsi="Calibri" w:eastAsia="Times New Roman" w:cs="Calibri"/>
                <w:b w:val="1"/>
                <w:bCs w:val="1"/>
                <w:color w:val="auto"/>
                <w:sz w:val="20"/>
                <w:szCs w:val="20"/>
                <w:lang w:eastAsia="en-GB"/>
              </w:rPr>
              <w:t>Number of patients in ERAS arm</w:t>
            </w:r>
          </w:p>
        </w:tc>
        <w:tc>
          <w:tcPr>
            <w:tcW w:w="672" w:type="pct"/>
            <w:tcBorders>
              <w:top w:val="single" w:color="000000" w:themeColor="text1" w:sz="8" w:space="0"/>
              <w:left w:val="nil"/>
              <w:bottom w:val="single" w:color="000000" w:themeColor="text1" w:sz="8" w:space="0"/>
              <w:right w:val="single" w:color="000000" w:themeColor="text1" w:sz="8" w:space="0"/>
            </w:tcBorders>
            <w:shd w:val="clear" w:color="auto" w:fill="auto"/>
            <w:tcMar/>
            <w:vAlign w:val="center"/>
          </w:tcPr>
          <w:p w:rsidRPr="0021439F" w:rsidR="00980C35" w:rsidP="3A5FC3B6" w:rsidRDefault="00980C35" w14:paraId="03D3A1A7" w14:textId="77777777" w14:noSpellErr="1">
            <w:pPr>
              <w:spacing w:after="0" w:line="240" w:lineRule="auto"/>
              <w:jc w:val="center"/>
              <w:rPr>
                <w:rFonts w:ascii="Calibri" w:hAnsi="Calibri" w:eastAsia="Times New Roman" w:cs="Calibri"/>
                <w:b w:val="1"/>
                <w:bCs w:val="1"/>
                <w:color w:val="auto"/>
                <w:sz w:val="20"/>
                <w:szCs w:val="20"/>
                <w:lang w:eastAsia="en-GB"/>
              </w:rPr>
            </w:pPr>
            <w:r w:rsidRPr="3A5FC3B6" w:rsidR="3A5FC3B6">
              <w:rPr>
                <w:rFonts w:ascii="Calibri" w:hAnsi="Calibri" w:eastAsia="Times New Roman" w:cs="Calibri"/>
                <w:b w:val="1"/>
                <w:bCs w:val="1"/>
                <w:color w:val="auto"/>
                <w:sz w:val="20"/>
                <w:szCs w:val="20"/>
                <w:lang w:eastAsia="en-GB"/>
              </w:rPr>
              <w:t>Number of patients in non-ERAS arm</w:t>
            </w:r>
          </w:p>
        </w:tc>
      </w:tr>
      <w:tr w:rsidRPr="0021439F" w:rsidR="00980C35" w:rsidTr="3A5FC3B6" w14:paraId="73D307BD" w14:textId="77777777">
        <w:trPr>
          <w:trHeight w:val="300"/>
        </w:trPr>
        <w:tc>
          <w:tcPr>
            <w:tcW w:w="593" w:type="pct"/>
            <w:tcBorders>
              <w:top w:val="nil"/>
              <w:left w:val="single" w:color="000000" w:themeColor="text1" w:sz="8" w:space="0"/>
              <w:bottom w:val="single" w:color="000000" w:themeColor="text1" w:sz="8" w:space="0"/>
              <w:right w:val="single" w:color="000000" w:themeColor="text1" w:sz="8" w:space="0"/>
            </w:tcBorders>
            <w:shd w:val="clear" w:color="auto" w:fill="auto"/>
            <w:tcMar/>
            <w:vAlign w:val="center"/>
          </w:tcPr>
          <w:p w:rsidRPr="0021439F" w:rsidR="00980C35" w:rsidP="3A5FC3B6" w:rsidRDefault="00980C35" w14:paraId="720CD9B8" w14:textId="77777777">
            <w:pPr>
              <w:spacing w:after="0" w:line="240" w:lineRule="auto"/>
              <w:jc w:val="center"/>
              <w:rPr>
                <w:rFonts w:ascii="Calibri" w:hAnsi="Calibri" w:eastAsia="Times New Roman" w:cs="Calibri"/>
                <w:color w:val="auto"/>
                <w:sz w:val="20"/>
                <w:szCs w:val="20"/>
                <w:lang w:eastAsia="en-GB"/>
              </w:rPr>
            </w:pPr>
            <w:r w:rsidRPr="3A5FC3B6" w:rsidR="3A5FC3B6">
              <w:rPr>
                <w:rFonts w:ascii="Calibri" w:hAnsi="Calibri" w:eastAsia="Times New Roman" w:cs="Calibri"/>
                <w:color w:val="auto"/>
                <w:sz w:val="20"/>
                <w:szCs w:val="20"/>
                <w:lang w:eastAsia="en-GB"/>
              </w:rPr>
              <w:t>Brustia</w:t>
            </w:r>
            <w:r w:rsidRPr="3A5FC3B6" w:rsidR="3A5FC3B6">
              <w:rPr>
                <w:rFonts w:ascii="Calibri" w:hAnsi="Calibri" w:eastAsia="Times New Roman" w:cs="Calibri"/>
                <w:color w:val="auto"/>
                <w:sz w:val="20"/>
                <w:szCs w:val="20"/>
                <w:lang w:eastAsia="en-GB"/>
              </w:rPr>
              <w:t> </w:t>
            </w:r>
          </w:p>
        </w:tc>
        <w:tc>
          <w:tcPr>
            <w:tcW w:w="792" w:type="pct"/>
            <w:tcBorders>
              <w:top w:val="nil"/>
              <w:left w:val="nil"/>
              <w:bottom w:val="single" w:color="000000" w:themeColor="text1" w:sz="8" w:space="0"/>
              <w:right w:val="single" w:color="000000" w:themeColor="text1" w:sz="8" w:space="0"/>
            </w:tcBorders>
            <w:shd w:val="clear" w:color="auto" w:fill="auto"/>
            <w:tcMar/>
            <w:vAlign w:val="center"/>
          </w:tcPr>
          <w:p w:rsidRPr="0021439F" w:rsidR="00980C35" w:rsidP="3A5FC3B6" w:rsidRDefault="00980C35" w14:paraId="72095E3A" w14:textId="77777777" w14:noSpellErr="1">
            <w:pPr>
              <w:spacing w:after="0" w:line="240" w:lineRule="auto"/>
              <w:jc w:val="center"/>
              <w:rPr>
                <w:rFonts w:ascii="Calibri" w:hAnsi="Calibri" w:eastAsia="Times New Roman" w:cs="Calibri"/>
                <w:color w:val="auto"/>
                <w:sz w:val="20"/>
                <w:szCs w:val="20"/>
                <w:lang w:eastAsia="en-GB"/>
              </w:rPr>
            </w:pPr>
            <w:r w:rsidRPr="3A5FC3B6" w:rsidR="3A5FC3B6">
              <w:rPr>
                <w:rFonts w:ascii="Calibri" w:hAnsi="Calibri" w:eastAsia="Times New Roman" w:cs="Calibri"/>
                <w:color w:val="auto"/>
                <w:sz w:val="20"/>
                <w:szCs w:val="20"/>
                <w:lang w:eastAsia="en-GB"/>
              </w:rPr>
              <w:t>Longitudinal </w:t>
            </w:r>
          </w:p>
        </w:tc>
        <w:tc>
          <w:tcPr>
            <w:tcW w:w="639" w:type="pct"/>
            <w:tcBorders>
              <w:top w:val="nil"/>
              <w:left w:val="nil"/>
              <w:bottom w:val="single" w:color="000000" w:themeColor="text1" w:sz="8" w:space="0"/>
              <w:right w:val="single" w:color="000000" w:themeColor="text1" w:sz="8" w:space="0"/>
            </w:tcBorders>
            <w:shd w:val="clear" w:color="auto" w:fill="auto"/>
            <w:tcMar/>
            <w:vAlign w:val="center"/>
          </w:tcPr>
          <w:p w:rsidRPr="0021439F" w:rsidR="00980C35" w:rsidP="3A5FC3B6" w:rsidRDefault="00980C35" w14:paraId="6C70D6F8" w14:textId="77777777" w14:noSpellErr="1">
            <w:pPr>
              <w:spacing w:after="0" w:line="240" w:lineRule="auto"/>
              <w:jc w:val="center"/>
              <w:rPr>
                <w:rFonts w:ascii="Calibri" w:hAnsi="Calibri" w:eastAsia="Times New Roman" w:cs="Calibri"/>
                <w:color w:val="auto"/>
                <w:sz w:val="20"/>
                <w:szCs w:val="20"/>
                <w:lang w:eastAsia="en-GB"/>
              </w:rPr>
            </w:pPr>
            <w:r w:rsidRPr="3A5FC3B6" w:rsidR="3A5FC3B6">
              <w:rPr>
                <w:rFonts w:ascii="Calibri" w:hAnsi="Calibri" w:eastAsia="Times New Roman" w:cs="Calibri"/>
                <w:color w:val="auto"/>
                <w:sz w:val="20"/>
                <w:szCs w:val="20"/>
                <w:lang w:eastAsia="en-GB"/>
              </w:rPr>
              <w:t>2003 </w:t>
            </w:r>
          </w:p>
        </w:tc>
        <w:tc>
          <w:tcPr>
            <w:tcW w:w="508" w:type="pct"/>
            <w:tcBorders>
              <w:top w:val="nil"/>
              <w:left w:val="nil"/>
              <w:bottom w:val="single" w:color="000000" w:themeColor="text1" w:sz="8" w:space="0"/>
              <w:right w:val="single" w:color="000000" w:themeColor="text1" w:sz="8" w:space="0"/>
            </w:tcBorders>
            <w:shd w:val="clear" w:color="auto" w:fill="auto"/>
            <w:tcMar/>
            <w:vAlign w:val="center"/>
          </w:tcPr>
          <w:p w:rsidRPr="0021439F" w:rsidR="00980C35" w:rsidP="3A5FC3B6" w:rsidRDefault="00980C35" w14:paraId="3FF3EAB2" w14:textId="77777777" w14:noSpellErr="1">
            <w:pPr>
              <w:spacing w:after="0" w:line="240" w:lineRule="auto"/>
              <w:jc w:val="center"/>
              <w:rPr>
                <w:rFonts w:ascii="Calibri" w:hAnsi="Calibri" w:eastAsia="Times New Roman" w:cs="Calibri"/>
                <w:color w:val="auto"/>
                <w:sz w:val="20"/>
                <w:szCs w:val="20"/>
                <w:lang w:eastAsia="en-GB"/>
              </w:rPr>
            </w:pPr>
            <w:r w:rsidRPr="3A5FC3B6" w:rsidR="3A5FC3B6">
              <w:rPr>
                <w:rFonts w:ascii="Calibri" w:hAnsi="Calibri" w:eastAsia="Times New Roman" w:cs="Calibri"/>
                <w:color w:val="auto"/>
                <w:sz w:val="20"/>
                <w:szCs w:val="20"/>
                <w:lang w:eastAsia="en-GB"/>
              </w:rPr>
              <w:t>4 </w:t>
            </w:r>
          </w:p>
        </w:tc>
        <w:tc>
          <w:tcPr>
            <w:tcW w:w="535" w:type="pct"/>
            <w:tcBorders>
              <w:top w:val="nil"/>
              <w:left w:val="nil"/>
              <w:bottom w:val="single" w:color="000000" w:themeColor="text1" w:sz="8" w:space="0"/>
              <w:right w:val="single" w:color="000000" w:themeColor="text1" w:sz="8" w:space="0"/>
            </w:tcBorders>
            <w:shd w:val="clear" w:color="auto" w:fill="auto"/>
            <w:tcMar/>
            <w:vAlign w:val="center"/>
          </w:tcPr>
          <w:p w:rsidRPr="0021439F" w:rsidR="00980C35" w:rsidP="3A5FC3B6" w:rsidRDefault="00980C35" w14:paraId="0B7F7939" w14:textId="77777777" w14:noSpellErr="1">
            <w:pPr>
              <w:spacing w:after="0" w:line="240" w:lineRule="auto"/>
              <w:jc w:val="center"/>
              <w:rPr>
                <w:rFonts w:ascii="Calibri" w:hAnsi="Calibri" w:eastAsia="Times New Roman" w:cs="Calibri"/>
                <w:color w:val="auto"/>
                <w:sz w:val="20"/>
                <w:szCs w:val="20"/>
                <w:lang w:eastAsia="en-GB"/>
              </w:rPr>
            </w:pPr>
            <w:r w:rsidRPr="3A5FC3B6" w:rsidR="3A5FC3B6">
              <w:rPr>
                <w:rFonts w:ascii="Calibri" w:hAnsi="Calibri" w:eastAsia="Times New Roman" w:cs="Calibri"/>
                <w:color w:val="auto"/>
                <w:sz w:val="20"/>
                <w:szCs w:val="20"/>
                <w:lang w:eastAsia="en-GB"/>
              </w:rPr>
              <w:t>Italy </w:t>
            </w:r>
          </w:p>
        </w:tc>
        <w:tc>
          <w:tcPr>
            <w:tcW w:w="558" w:type="pct"/>
            <w:tcBorders>
              <w:top w:val="nil"/>
              <w:left w:val="nil"/>
              <w:bottom w:val="single" w:color="000000" w:themeColor="text1" w:sz="8" w:space="0"/>
              <w:right w:val="single" w:color="000000" w:themeColor="text1" w:sz="8" w:space="0"/>
            </w:tcBorders>
            <w:shd w:val="clear" w:color="auto" w:fill="auto"/>
            <w:tcMar/>
            <w:vAlign w:val="center"/>
          </w:tcPr>
          <w:p w:rsidRPr="0021439F" w:rsidR="00980C35" w:rsidP="3A5FC3B6" w:rsidRDefault="00980C35" w14:paraId="345A28EB" w14:textId="77777777" w14:noSpellErr="1">
            <w:pPr>
              <w:spacing w:after="0" w:line="240" w:lineRule="auto"/>
              <w:jc w:val="center"/>
              <w:rPr>
                <w:rFonts w:ascii="Calibri" w:hAnsi="Calibri" w:eastAsia="Times New Roman" w:cs="Calibri"/>
                <w:color w:val="auto"/>
                <w:sz w:val="20"/>
                <w:szCs w:val="20"/>
                <w:lang w:eastAsia="en-GB"/>
              </w:rPr>
            </w:pPr>
            <w:r w:rsidRPr="3A5FC3B6" w:rsidR="3A5FC3B6">
              <w:rPr>
                <w:rFonts w:ascii="Calibri" w:hAnsi="Calibri" w:eastAsia="Times New Roman" w:cs="Calibri"/>
                <w:color w:val="auto"/>
                <w:sz w:val="20"/>
                <w:szCs w:val="20"/>
                <w:lang w:eastAsia="en-GB"/>
              </w:rPr>
              <w:t>4a</w:t>
            </w:r>
          </w:p>
        </w:tc>
        <w:tc>
          <w:tcPr>
            <w:tcW w:w="703" w:type="pct"/>
            <w:tcBorders>
              <w:top w:val="nil"/>
              <w:left w:val="nil"/>
              <w:bottom w:val="single" w:color="000000" w:themeColor="text1" w:sz="8" w:space="0"/>
              <w:right w:val="single" w:color="000000" w:themeColor="text1" w:sz="8" w:space="0"/>
            </w:tcBorders>
            <w:shd w:val="clear" w:color="auto" w:fill="auto"/>
            <w:tcMar/>
            <w:vAlign w:val="center"/>
          </w:tcPr>
          <w:p w:rsidRPr="0021439F" w:rsidR="00980C35" w:rsidP="3A5FC3B6" w:rsidRDefault="00980C35" w14:paraId="01E09578" w14:textId="77777777" w14:noSpellErr="1">
            <w:pPr>
              <w:spacing w:after="0" w:line="240" w:lineRule="auto"/>
              <w:jc w:val="center"/>
              <w:rPr>
                <w:rFonts w:ascii="Calibri" w:hAnsi="Calibri" w:eastAsia="Times New Roman" w:cs="Calibri"/>
                <w:color w:val="auto"/>
                <w:sz w:val="20"/>
                <w:szCs w:val="20"/>
                <w:lang w:eastAsia="en-GB"/>
              </w:rPr>
            </w:pPr>
            <w:r w:rsidRPr="3A5FC3B6" w:rsidR="3A5FC3B6">
              <w:rPr>
                <w:rFonts w:ascii="Calibri" w:hAnsi="Calibri" w:eastAsia="Times New Roman" w:cs="Calibri"/>
                <w:color w:val="auto"/>
                <w:sz w:val="20"/>
                <w:szCs w:val="20"/>
                <w:lang w:eastAsia="en-GB"/>
              </w:rPr>
              <w:t>82</w:t>
            </w:r>
          </w:p>
        </w:tc>
        <w:tc>
          <w:tcPr>
            <w:tcW w:w="672" w:type="pct"/>
            <w:tcBorders>
              <w:top w:val="nil"/>
              <w:left w:val="nil"/>
              <w:bottom w:val="single" w:color="000000" w:themeColor="text1" w:sz="8" w:space="0"/>
              <w:right w:val="single" w:color="000000" w:themeColor="text1" w:sz="8" w:space="0"/>
            </w:tcBorders>
            <w:shd w:val="clear" w:color="auto" w:fill="auto"/>
            <w:tcMar/>
            <w:vAlign w:val="center"/>
          </w:tcPr>
          <w:p w:rsidRPr="0021439F" w:rsidR="00980C35" w:rsidP="3A5FC3B6" w:rsidRDefault="00980C35" w14:paraId="1FD2C4C2" w14:textId="77777777" w14:noSpellErr="1">
            <w:pPr>
              <w:spacing w:after="0" w:line="240" w:lineRule="auto"/>
              <w:jc w:val="center"/>
              <w:rPr>
                <w:rFonts w:ascii="Calibri" w:hAnsi="Calibri" w:eastAsia="Times New Roman" w:cs="Calibri"/>
                <w:color w:val="auto"/>
                <w:sz w:val="20"/>
                <w:szCs w:val="20"/>
                <w:lang w:eastAsia="en-GB"/>
              </w:rPr>
            </w:pPr>
            <w:r w:rsidRPr="3A5FC3B6" w:rsidR="3A5FC3B6">
              <w:rPr>
                <w:rFonts w:ascii="Calibri" w:hAnsi="Calibri" w:eastAsia="Times New Roman" w:cs="Calibri"/>
                <w:color w:val="auto"/>
                <w:sz w:val="20"/>
                <w:szCs w:val="20"/>
                <w:lang w:eastAsia="en-GB"/>
              </w:rPr>
              <w:t>64</w:t>
            </w:r>
          </w:p>
        </w:tc>
      </w:tr>
      <w:tr w:rsidRPr="0021439F" w:rsidR="00980C35" w:rsidTr="3A5FC3B6" w14:paraId="315D642A" w14:textId="77777777">
        <w:trPr>
          <w:trHeight w:val="300"/>
        </w:trPr>
        <w:tc>
          <w:tcPr>
            <w:tcW w:w="593" w:type="pct"/>
            <w:tcBorders>
              <w:top w:val="nil"/>
              <w:left w:val="single" w:color="000000" w:themeColor="text1" w:sz="8" w:space="0"/>
              <w:bottom w:val="single" w:color="000000" w:themeColor="text1" w:sz="8" w:space="0"/>
              <w:right w:val="single" w:color="000000" w:themeColor="text1" w:sz="8" w:space="0"/>
            </w:tcBorders>
            <w:shd w:val="clear" w:color="auto" w:fill="auto"/>
            <w:tcMar/>
            <w:vAlign w:val="center"/>
          </w:tcPr>
          <w:p w:rsidRPr="0021439F" w:rsidR="00980C35" w:rsidP="3A5FC3B6" w:rsidRDefault="00980C35" w14:paraId="01DCD686" w14:textId="77777777">
            <w:pPr>
              <w:spacing w:after="0" w:line="240" w:lineRule="auto"/>
              <w:jc w:val="center"/>
              <w:rPr>
                <w:rFonts w:ascii="Calibri" w:hAnsi="Calibri" w:eastAsia="Times New Roman" w:cs="Calibri"/>
                <w:color w:val="auto"/>
                <w:sz w:val="20"/>
                <w:szCs w:val="20"/>
                <w:lang w:eastAsia="en-GB"/>
              </w:rPr>
            </w:pPr>
            <w:r w:rsidRPr="3A5FC3B6" w:rsidR="3A5FC3B6">
              <w:rPr>
                <w:rFonts w:ascii="Calibri" w:hAnsi="Calibri" w:eastAsia="Times New Roman" w:cs="Calibri"/>
                <w:color w:val="auto"/>
                <w:sz w:val="20"/>
                <w:szCs w:val="20"/>
                <w:lang w:eastAsia="en-GB"/>
              </w:rPr>
              <w:t>Feo</w:t>
            </w:r>
            <w:r w:rsidRPr="3A5FC3B6" w:rsidR="3A5FC3B6">
              <w:rPr>
                <w:rFonts w:ascii="Calibri" w:hAnsi="Calibri" w:eastAsia="Times New Roman" w:cs="Calibri"/>
                <w:color w:val="auto"/>
                <w:sz w:val="20"/>
                <w:szCs w:val="20"/>
                <w:lang w:eastAsia="en-GB"/>
              </w:rPr>
              <w:t> </w:t>
            </w:r>
          </w:p>
        </w:tc>
        <w:tc>
          <w:tcPr>
            <w:tcW w:w="792" w:type="pct"/>
            <w:tcBorders>
              <w:top w:val="nil"/>
              <w:left w:val="nil"/>
              <w:bottom w:val="single" w:color="000000" w:themeColor="text1" w:sz="8" w:space="0"/>
              <w:right w:val="single" w:color="000000" w:themeColor="text1" w:sz="8" w:space="0"/>
            </w:tcBorders>
            <w:shd w:val="clear" w:color="auto" w:fill="auto"/>
            <w:tcMar/>
            <w:vAlign w:val="center"/>
          </w:tcPr>
          <w:p w:rsidRPr="0021439F" w:rsidR="00980C35" w:rsidP="3A5FC3B6" w:rsidRDefault="00980C35" w14:paraId="101E85B6" w14:textId="77777777" w14:noSpellErr="1">
            <w:pPr>
              <w:spacing w:after="0" w:line="240" w:lineRule="auto"/>
              <w:jc w:val="center"/>
              <w:rPr>
                <w:rFonts w:ascii="Calibri" w:hAnsi="Calibri" w:eastAsia="Times New Roman" w:cs="Calibri"/>
                <w:color w:val="auto"/>
                <w:sz w:val="20"/>
                <w:szCs w:val="20"/>
                <w:lang w:eastAsia="en-GB"/>
              </w:rPr>
            </w:pPr>
            <w:r w:rsidRPr="3A5FC3B6" w:rsidR="3A5FC3B6">
              <w:rPr>
                <w:rFonts w:ascii="Calibri" w:hAnsi="Calibri" w:eastAsia="Times New Roman" w:cs="Calibri"/>
                <w:color w:val="auto"/>
                <w:sz w:val="20"/>
                <w:szCs w:val="20"/>
                <w:lang w:eastAsia="en-GB"/>
              </w:rPr>
              <w:t>Longitudinal </w:t>
            </w:r>
          </w:p>
        </w:tc>
        <w:tc>
          <w:tcPr>
            <w:tcW w:w="639" w:type="pct"/>
            <w:tcBorders>
              <w:top w:val="nil"/>
              <w:left w:val="nil"/>
              <w:bottom w:val="single" w:color="000000" w:themeColor="text1" w:sz="8" w:space="0"/>
              <w:right w:val="single" w:color="000000" w:themeColor="text1" w:sz="8" w:space="0"/>
            </w:tcBorders>
            <w:shd w:val="clear" w:color="auto" w:fill="auto"/>
            <w:tcMar/>
            <w:vAlign w:val="center"/>
          </w:tcPr>
          <w:p w:rsidRPr="0021439F" w:rsidR="00980C35" w:rsidP="3A5FC3B6" w:rsidRDefault="00980C35" w14:paraId="7DFC3EFA" w14:textId="77777777" w14:noSpellErr="1">
            <w:pPr>
              <w:spacing w:after="0" w:line="240" w:lineRule="auto"/>
              <w:jc w:val="center"/>
              <w:rPr>
                <w:rFonts w:ascii="Calibri" w:hAnsi="Calibri" w:eastAsia="Times New Roman" w:cs="Calibri"/>
                <w:color w:val="auto"/>
                <w:sz w:val="20"/>
                <w:szCs w:val="20"/>
                <w:lang w:eastAsia="en-GB"/>
              </w:rPr>
            </w:pPr>
            <w:r w:rsidRPr="3A5FC3B6" w:rsidR="3A5FC3B6">
              <w:rPr>
                <w:rFonts w:ascii="Calibri" w:hAnsi="Calibri" w:eastAsia="Times New Roman" w:cs="Calibri"/>
                <w:color w:val="auto"/>
                <w:sz w:val="20"/>
                <w:szCs w:val="20"/>
                <w:lang w:eastAsia="en-GB"/>
              </w:rPr>
              <w:t>2016 </w:t>
            </w:r>
          </w:p>
        </w:tc>
        <w:tc>
          <w:tcPr>
            <w:tcW w:w="508" w:type="pct"/>
            <w:tcBorders>
              <w:top w:val="nil"/>
              <w:left w:val="nil"/>
              <w:bottom w:val="single" w:color="000000" w:themeColor="text1" w:sz="8" w:space="0"/>
              <w:right w:val="single" w:color="000000" w:themeColor="text1" w:sz="8" w:space="0"/>
            </w:tcBorders>
            <w:shd w:val="clear" w:color="auto" w:fill="auto"/>
            <w:tcMar/>
            <w:vAlign w:val="center"/>
          </w:tcPr>
          <w:p w:rsidRPr="0021439F" w:rsidR="00980C35" w:rsidP="3A5FC3B6" w:rsidRDefault="00980C35" w14:paraId="510905F0" w14:textId="77777777" w14:noSpellErr="1">
            <w:pPr>
              <w:spacing w:after="0" w:line="240" w:lineRule="auto"/>
              <w:jc w:val="center"/>
              <w:rPr>
                <w:rFonts w:ascii="Calibri" w:hAnsi="Calibri" w:eastAsia="Times New Roman" w:cs="Calibri"/>
                <w:color w:val="auto"/>
                <w:sz w:val="20"/>
                <w:szCs w:val="20"/>
                <w:lang w:eastAsia="en-GB"/>
              </w:rPr>
            </w:pPr>
            <w:r w:rsidRPr="3A5FC3B6" w:rsidR="3A5FC3B6">
              <w:rPr>
                <w:rFonts w:ascii="Calibri" w:hAnsi="Calibri" w:eastAsia="Times New Roman" w:cs="Calibri"/>
                <w:color w:val="auto"/>
                <w:sz w:val="20"/>
                <w:szCs w:val="20"/>
                <w:lang w:eastAsia="en-GB"/>
              </w:rPr>
              <w:t>8 </w:t>
            </w:r>
          </w:p>
        </w:tc>
        <w:tc>
          <w:tcPr>
            <w:tcW w:w="535" w:type="pct"/>
            <w:tcBorders>
              <w:top w:val="nil"/>
              <w:left w:val="nil"/>
              <w:bottom w:val="single" w:color="000000" w:themeColor="text1" w:sz="8" w:space="0"/>
              <w:right w:val="single" w:color="000000" w:themeColor="text1" w:sz="8" w:space="0"/>
            </w:tcBorders>
            <w:shd w:val="clear" w:color="auto" w:fill="auto"/>
            <w:tcMar/>
            <w:vAlign w:val="center"/>
          </w:tcPr>
          <w:p w:rsidRPr="0021439F" w:rsidR="00980C35" w:rsidP="3A5FC3B6" w:rsidRDefault="00980C35" w14:paraId="6235B19C" w14:textId="77777777" w14:noSpellErr="1">
            <w:pPr>
              <w:spacing w:after="0" w:line="240" w:lineRule="auto"/>
              <w:jc w:val="center"/>
              <w:rPr>
                <w:rFonts w:ascii="Calibri" w:hAnsi="Calibri" w:eastAsia="Times New Roman" w:cs="Calibri"/>
                <w:color w:val="auto"/>
                <w:sz w:val="20"/>
                <w:szCs w:val="20"/>
                <w:lang w:eastAsia="en-GB"/>
              </w:rPr>
            </w:pPr>
            <w:r w:rsidRPr="3A5FC3B6" w:rsidR="3A5FC3B6">
              <w:rPr>
                <w:rFonts w:ascii="Calibri" w:hAnsi="Calibri" w:eastAsia="Times New Roman" w:cs="Calibri"/>
                <w:color w:val="auto"/>
                <w:sz w:val="20"/>
                <w:szCs w:val="20"/>
                <w:lang w:eastAsia="en-GB"/>
              </w:rPr>
              <w:t>Italy </w:t>
            </w:r>
          </w:p>
        </w:tc>
        <w:tc>
          <w:tcPr>
            <w:tcW w:w="558" w:type="pct"/>
            <w:tcBorders>
              <w:top w:val="nil"/>
              <w:left w:val="nil"/>
              <w:bottom w:val="single" w:color="000000" w:themeColor="text1" w:sz="8" w:space="0"/>
              <w:right w:val="single" w:color="000000" w:themeColor="text1" w:sz="8" w:space="0"/>
            </w:tcBorders>
            <w:shd w:val="clear" w:color="auto" w:fill="auto"/>
            <w:tcMar/>
            <w:vAlign w:val="center"/>
          </w:tcPr>
          <w:p w:rsidRPr="0021439F" w:rsidR="00980C35" w:rsidP="3A5FC3B6" w:rsidRDefault="00980C35" w14:paraId="40EB9D51" w14:textId="77777777" w14:noSpellErr="1">
            <w:pPr>
              <w:spacing w:after="0" w:line="240" w:lineRule="auto"/>
              <w:jc w:val="center"/>
              <w:rPr>
                <w:rFonts w:ascii="Calibri" w:hAnsi="Calibri" w:eastAsia="Times New Roman" w:cs="Calibri"/>
                <w:color w:val="auto"/>
                <w:sz w:val="20"/>
                <w:szCs w:val="20"/>
                <w:lang w:eastAsia="en-GB"/>
              </w:rPr>
            </w:pPr>
            <w:r w:rsidRPr="3A5FC3B6" w:rsidR="3A5FC3B6">
              <w:rPr>
                <w:rFonts w:ascii="Calibri" w:hAnsi="Calibri" w:eastAsia="Times New Roman" w:cs="Calibri"/>
                <w:color w:val="auto"/>
                <w:sz w:val="20"/>
                <w:szCs w:val="20"/>
                <w:lang w:eastAsia="en-GB"/>
              </w:rPr>
              <w:t>4a</w:t>
            </w:r>
          </w:p>
        </w:tc>
        <w:tc>
          <w:tcPr>
            <w:tcW w:w="703" w:type="pct"/>
            <w:tcBorders>
              <w:top w:val="nil"/>
              <w:left w:val="nil"/>
              <w:bottom w:val="single" w:color="000000" w:themeColor="text1" w:sz="8" w:space="0"/>
              <w:right w:val="single" w:color="000000" w:themeColor="text1" w:sz="8" w:space="0"/>
            </w:tcBorders>
            <w:shd w:val="clear" w:color="auto" w:fill="auto"/>
            <w:tcMar/>
            <w:vAlign w:val="center"/>
          </w:tcPr>
          <w:p w:rsidRPr="0021439F" w:rsidR="00980C35" w:rsidP="3A5FC3B6" w:rsidRDefault="00980C35" w14:paraId="29FEF8A1" w14:textId="77777777" w14:noSpellErr="1">
            <w:pPr>
              <w:spacing w:after="0" w:line="240" w:lineRule="auto"/>
              <w:jc w:val="center"/>
              <w:rPr>
                <w:rFonts w:ascii="Calibri" w:hAnsi="Calibri" w:eastAsia="Times New Roman" w:cs="Calibri"/>
                <w:color w:val="auto"/>
                <w:sz w:val="20"/>
                <w:szCs w:val="20"/>
                <w:lang w:eastAsia="en-GB"/>
              </w:rPr>
            </w:pPr>
            <w:r w:rsidRPr="3A5FC3B6" w:rsidR="3A5FC3B6">
              <w:rPr>
                <w:rFonts w:ascii="Calibri" w:hAnsi="Calibri" w:eastAsia="Times New Roman" w:cs="Calibri"/>
                <w:color w:val="auto"/>
                <w:sz w:val="20"/>
                <w:szCs w:val="20"/>
                <w:lang w:eastAsia="en-GB"/>
              </w:rPr>
              <w:t>130</w:t>
            </w:r>
          </w:p>
        </w:tc>
        <w:tc>
          <w:tcPr>
            <w:tcW w:w="672" w:type="pct"/>
            <w:tcBorders>
              <w:top w:val="nil"/>
              <w:left w:val="nil"/>
              <w:bottom w:val="single" w:color="000000" w:themeColor="text1" w:sz="8" w:space="0"/>
              <w:right w:val="single" w:color="000000" w:themeColor="text1" w:sz="8" w:space="0"/>
            </w:tcBorders>
            <w:shd w:val="clear" w:color="auto" w:fill="auto"/>
            <w:tcMar/>
            <w:vAlign w:val="center"/>
          </w:tcPr>
          <w:p w:rsidRPr="0021439F" w:rsidR="00980C35" w:rsidP="3A5FC3B6" w:rsidRDefault="00980C35" w14:paraId="359507EA" w14:textId="77777777" w14:noSpellErr="1">
            <w:pPr>
              <w:spacing w:after="0" w:line="240" w:lineRule="auto"/>
              <w:jc w:val="center"/>
              <w:rPr>
                <w:rFonts w:ascii="Calibri" w:hAnsi="Calibri" w:eastAsia="Times New Roman" w:cs="Calibri"/>
                <w:color w:val="auto"/>
                <w:sz w:val="20"/>
                <w:szCs w:val="20"/>
                <w:lang w:eastAsia="en-GB"/>
              </w:rPr>
            </w:pPr>
            <w:r w:rsidRPr="3A5FC3B6" w:rsidR="3A5FC3B6">
              <w:rPr>
                <w:rFonts w:ascii="Calibri" w:hAnsi="Calibri" w:eastAsia="Times New Roman" w:cs="Calibri"/>
                <w:color w:val="auto"/>
                <w:sz w:val="20"/>
                <w:szCs w:val="20"/>
                <w:lang w:eastAsia="en-GB"/>
              </w:rPr>
              <w:t>91</w:t>
            </w:r>
          </w:p>
        </w:tc>
      </w:tr>
      <w:tr w:rsidRPr="0021439F" w:rsidR="00980C35" w:rsidTr="3A5FC3B6" w14:paraId="02C4D7D8" w14:textId="77777777">
        <w:trPr>
          <w:trHeight w:val="1050"/>
        </w:trPr>
        <w:tc>
          <w:tcPr>
            <w:tcW w:w="593" w:type="pct"/>
            <w:tcBorders>
              <w:top w:val="nil"/>
              <w:left w:val="single" w:color="000000" w:themeColor="text1" w:sz="8" w:space="0"/>
              <w:bottom w:val="single" w:color="000000" w:themeColor="text1" w:sz="8" w:space="0"/>
              <w:right w:val="single" w:color="000000" w:themeColor="text1" w:sz="8" w:space="0"/>
            </w:tcBorders>
            <w:shd w:val="clear" w:color="auto" w:fill="auto"/>
            <w:tcMar/>
            <w:vAlign w:val="center"/>
          </w:tcPr>
          <w:p w:rsidRPr="0021439F" w:rsidR="00980C35" w:rsidP="3A5FC3B6" w:rsidRDefault="00980C35" w14:paraId="66D87606" w14:textId="77777777">
            <w:pPr>
              <w:spacing w:after="0" w:line="240" w:lineRule="auto"/>
              <w:jc w:val="center"/>
              <w:rPr>
                <w:rFonts w:ascii="Calibri" w:hAnsi="Calibri" w:eastAsia="Times New Roman" w:cs="Calibri"/>
                <w:color w:val="auto"/>
                <w:sz w:val="20"/>
                <w:szCs w:val="20"/>
                <w:lang w:eastAsia="en-GB"/>
              </w:rPr>
            </w:pPr>
            <w:r w:rsidRPr="3A5FC3B6" w:rsidR="3A5FC3B6">
              <w:rPr>
                <w:rFonts w:ascii="Calibri" w:hAnsi="Calibri" w:eastAsia="Times New Roman" w:cs="Calibri"/>
                <w:color w:val="auto"/>
                <w:sz w:val="20"/>
                <w:szCs w:val="20"/>
                <w:lang w:eastAsia="en-GB"/>
              </w:rPr>
              <w:t>Giacomelli</w:t>
            </w:r>
            <w:r w:rsidRPr="3A5FC3B6" w:rsidR="3A5FC3B6">
              <w:rPr>
                <w:rFonts w:ascii="Calibri" w:hAnsi="Calibri" w:eastAsia="Times New Roman" w:cs="Calibri"/>
                <w:color w:val="auto"/>
                <w:sz w:val="20"/>
                <w:szCs w:val="20"/>
                <w:lang w:eastAsia="en-GB"/>
              </w:rPr>
              <w:t> </w:t>
            </w:r>
          </w:p>
        </w:tc>
        <w:tc>
          <w:tcPr>
            <w:tcW w:w="792" w:type="pct"/>
            <w:tcBorders>
              <w:top w:val="nil"/>
              <w:left w:val="nil"/>
              <w:bottom w:val="single" w:color="000000" w:themeColor="text1" w:sz="8" w:space="0"/>
              <w:right w:val="single" w:color="000000" w:themeColor="text1" w:sz="8" w:space="0"/>
            </w:tcBorders>
            <w:shd w:val="clear" w:color="auto" w:fill="auto"/>
            <w:tcMar/>
            <w:vAlign w:val="center"/>
          </w:tcPr>
          <w:p w:rsidRPr="0021439F" w:rsidR="00980C35" w:rsidP="3A5FC3B6" w:rsidRDefault="00980C35" w14:paraId="1934AB0F" w14:textId="77777777" w14:noSpellErr="1">
            <w:pPr>
              <w:spacing w:after="0" w:line="240" w:lineRule="auto"/>
              <w:jc w:val="center"/>
              <w:rPr>
                <w:rFonts w:ascii="Calibri" w:hAnsi="Calibri" w:eastAsia="Times New Roman" w:cs="Calibri"/>
                <w:color w:val="auto"/>
                <w:sz w:val="20"/>
                <w:szCs w:val="20"/>
                <w:lang w:eastAsia="en-GB"/>
              </w:rPr>
            </w:pPr>
            <w:r w:rsidRPr="3A5FC3B6" w:rsidR="3A5FC3B6">
              <w:rPr>
                <w:rFonts w:ascii="Calibri" w:hAnsi="Calibri" w:eastAsia="Times New Roman" w:cs="Calibri"/>
                <w:color w:val="auto"/>
                <w:sz w:val="20"/>
                <w:szCs w:val="20"/>
                <w:lang w:eastAsia="en-GB"/>
              </w:rPr>
              <w:t>Prospective non-randomised cohort </w:t>
            </w:r>
          </w:p>
        </w:tc>
        <w:tc>
          <w:tcPr>
            <w:tcW w:w="639" w:type="pct"/>
            <w:tcBorders>
              <w:top w:val="nil"/>
              <w:left w:val="nil"/>
              <w:bottom w:val="single" w:color="000000" w:themeColor="text1" w:sz="8" w:space="0"/>
              <w:right w:val="single" w:color="000000" w:themeColor="text1" w:sz="8" w:space="0"/>
            </w:tcBorders>
            <w:shd w:val="clear" w:color="auto" w:fill="auto"/>
            <w:tcMar/>
            <w:vAlign w:val="center"/>
          </w:tcPr>
          <w:p w:rsidRPr="0021439F" w:rsidR="00980C35" w:rsidP="3A5FC3B6" w:rsidRDefault="00980C35" w14:paraId="149320FD" w14:textId="77777777" w14:noSpellErr="1">
            <w:pPr>
              <w:spacing w:after="0" w:line="240" w:lineRule="auto"/>
              <w:jc w:val="center"/>
              <w:rPr>
                <w:rFonts w:ascii="Calibri" w:hAnsi="Calibri" w:eastAsia="Times New Roman" w:cs="Calibri"/>
                <w:color w:val="auto"/>
                <w:sz w:val="20"/>
                <w:szCs w:val="20"/>
                <w:lang w:eastAsia="en-GB"/>
              </w:rPr>
            </w:pPr>
            <w:r w:rsidRPr="3A5FC3B6" w:rsidR="3A5FC3B6">
              <w:rPr>
                <w:rFonts w:ascii="Calibri" w:hAnsi="Calibri" w:eastAsia="Times New Roman" w:cs="Calibri"/>
                <w:color w:val="auto"/>
                <w:sz w:val="20"/>
                <w:szCs w:val="20"/>
                <w:lang w:eastAsia="en-GB"/>
              </w:rPr>
              <w:t>2020 </w:t>
            </w:r>
          </w:p>
        </w:tc>
        <w:tc>
          <w:tcPr>
            <w:tcW w:w="508" w:type="pct"/>
            <w:tcBorders>
              <w:top w:val="nil"/>
              <w:left w:val="nil"/>
              <w:bottom w:val="single" w:color="000000" w:themeColor="text1" w:sz="8" w:space="0"/>
              <w:right w:val="single" w:color="000000" w:themeColor="text1" w:sz="8" w:space="0"/>
            </w:tcBorders>
            <w:shd w:val="clear" w:color="auto" w:fill="auto"/>
            <w:tcMar/>
            <w:vAlign w:val="center"/>
          </w:tcPr>
          <w:p w:rsidRPr="0021439F" w:rsidR="00980C35" w:rsidP="3A5FC3B6" w:rsidRDefault="00980C35" w14:paraId="6B6548C6" w14:textId="77777777" w14:noSpellErr="1">
            <w:pPr>
              <w:spacing w:after="0" w:line="240" w:lineRule="auto"/>
              <w:jc w:val="center"/>
              <w:rPr>
                <w:rFonts w:ascii="Calibri" w:hAnsi="Calibri" w:eastAsia="Times New Roman" w:cs="Calibri"/>
                <w:color w:val="auto"/>
                <w:sz w:val="20"/>
                <w:szCs w:val="20"/>
                <w:lang w:eastAsia="en-GB"/>
              </w:rPr>
            </w:pPr>
            <w:r w:rsidRPr="3A5FC3B6" w:rsidR="3A5FC3B6">
              <w:rPr>
                <w:rFonts w:ascii="Calibri" w:hAnsi="Calibri" w:eastAsia="Times New Roman" w:cs="Calibri"/>
                <w:color w:val="auto"/>
                <w:sz w:val="20"/>
                <w:szCs w:val="20"/>
                <w:lang w:eastAsia="en-GB"/>
              </w:rPr>
              <w:t>0.5 (6 months) </w:t>
            </w:r>
          </w:p>
        </w:tc>
        <w:tc>
          <w:tcPr>
            <w:tcW w:w="535" w:type="pct"/>
            <w:tcBorders>
              <w:top w:val="nil"/>
              <w:left w:val="nil"/>
              <w:bottom w:val="single" w:color="000000" w:themeColor="text1" w:sz="8" w:space="0"/>
              <w:right w:val="single" w:color="000000" w:themeColor="text1" w:sz="8" w:space="0"/>
            </w:tcBorders>
            <w:shd w:val="clear" w:color="auto" w:fill="auto"/>
            <w:tcMar/>
            <w:vAlign w:val="center"/>
          </w:tcPr>
          <w:p w:rsidRPr="0021439F" w:rsidR="00980C35" w:rsidP="3A5FC3B6" w:rsidRDefault="00980C35" w14:paraId="27A5BCFB" w14:textId="77777777" w14:noSpellErr="1">
            <w:pPr>
              <w:spacing w:after="0" w:line="240" w:lineRule="auto"/>
              <w:jc w:val="center"/>
              <w:rPr>
                <w:rFonts w:ascii="Calibri" w:hAnsi="Calibri" w:eastAsia="Times New Roman" w:cs="Calibri"/>
                <w:color w:val="auto"/>
                <w:sz w:val="20"/>
                <w:szCs w:val="20"/>
                <w:lang w:eastAsia="en-GB"/>
              </w:rPr>
            </w:pPr>
            <w:r w:rsidRPr="3A5FC3B6" w:rsidR="3A5FC3B6">
              <w:rPr>
                <w:rFonts w:ascii="Calibri" w:hAnsi="Calibri" w:eastAsia="Times New Roman" w:cs="Calibri"/>
                <w:color w:val="auto"/>
                <w:sz w:val="20"/>
                <w:szCs w:val="20"/>
                <w:lang w:eastAsia="en-GB"/>
              </w:rPr>
              <w:t>Italy </w:t>
            </w:r>
          </w:p>
        </w:tc>
        <w:tc>
          <w:tcPr>
            <w:tcW w:w="558" w:type="pct"/>
            <w:tcBorders>
              <w:top w:val="nil"/>
              <w:left w:val="nil"/>
              <w:bottom w:val="single" w:color="000000" w:themeColor="text1" w:sz="8" w:space="0"/>
              <w:right w:val="single" w:color="000000" w:themeColor="text1" w:sz="8" w:space="0"/>
            </w:tcBorders>
            <w:shd w:val="clear" w:color="auto" w:fill="auto"/>
            <w:tcMar/>
            <w:vAlign w:val="center"/>
          </w:tcPr>
          <w:p w:rsidRPr="0021439F" w:rsidR="00980C35" w:rsidP="3A5FC3B6" w:rsidRDefault="00980C35" w14:paraId="1C4FB623" w14:textId="77777777" w14:noSpellErr="1">
            <w:pPr>
              <w:spacing w:after="0" w:line="240" w:lineRule="auto"/>
              <w:jc w:val="center"/>
              <w:rPr>
                <w:rFonts w:ascii="Calibri" w:hAnsi="Calibri" w:eastAsia="Times New Roman" w:cs="Calibri"/>
                <w:color w:val="auto"/>
                <w:sz w:val="20"/>
                <w:szCs w:val="20"/>
                <w:lang w:eastAsia="en-GB"/>
              </w:rPr>
            </w:pPr>
            <w:r w:rsidRPr="3A5FC3B6" w:rsidR="3A5FC3B6">
              <w:rPr>
                <w:rFonts w:ascii="Calibri" w:hAnsi="Calibri" w:eastAsia="Times New Roman" w:cs="Calibri"/>
                <w:color w:val="auto"/>
                <w:sz w:val="20"/>
                <w:szCs w:val="20"/>
                <w:lang w:eastAsia="en-GB"/>
              </w:rPr>
              <w:t>3a</w:t>
            </w:r>
          </w:p>
        </w:tc>
        <w:tc>
          <w:tcPr>
            <w:tcW w:w="703" w:type="pct"/>
            <w:tcBorders>
              <w:top w:val="nil"/>
              <w:left w:val="nil"/>
              <w:bottom w:val="single" w:color="000000" w:themeColor="text1" w:sz="8" w:space="0"/>
              <w:right w:val="single" w:color="000000" w:themeColor="text1" w:sz="8" w:space="0"/>
            </w:tcBorders>
            <w:shd w:val="clear" w:color="auto" w:fill="auto"/>
            <w:tcMar/>
            <w:vAlign w:val="center"/>
          </w:tcPr>
          <w:p w:rsidRPr="0021439F" w:rsidR="00980C35" w:rsidP="3A5FC3B6" w:rsidRDefault="00980C35" w14:paraId="390B2519" w14:textId="77777777" w14:noSpellErr="1">
            <w:pPr>
              <w:spacing w:after="0" w:line="240" w:lineRule="auto"/>
              <w:jc w:val="center"/>
              <w:rPr>
                <w:rFonts w:ascii="Calibri" w:hAnsi="Calibri" w:eastAsia="Times New Roman" w:cs="Calibri"/>
                <w:color w:val="auto"/>
                <w:sz w:val="20"/>
                <w:szCs w:val="20"/>
                <w:lang w:eastAsia="en-GB"/>
              </w:rPr>
            </w:pPr>
            <w:r w:rsidRPr="3A5FC3B6" w:rsidR="3A5FC3B6">
              <w:rPr>
                <w:rFonts w:ascii="Calibri" w:hAnsi="Calibri" w:eastAsia="Times New Roman" w:cs="Calibri"/>
                <w:color w:val="auto"/>
                <w:sz w:val="20"/>
                <w:szCs w:val="20"/>
                <w:lang w:eastAsia="en-GB"/>
              </w:rPr>
              <w:t>17</w:t>
            </w:r>
          </w:p>
        </w:tc>
        <w:tc>
          <w:tcPr>
            <w:tcW w:w="672" w:type="pct"/>
            <w:tcBorders>
              <w:top w:val="nil"/>
              <w:left w:val="nil"/>
              <w:bottom w:val="single" w:color="000000" w:themeColor="text1" w:sz="8" w:space="0"/>
              <w:right w:val="single" w:color="000000" w:themeColor="text1" w:sz="8" w:space="0"/>
            </w:tcBorders>
            <w:shd w:val="clear" w:color="auto" w:fill="auto"/>
            <w:tcMar/>
            <w:vAlign w:val="center"/>
          </w:tcPr>
          <w:p w:rsidRPr="0021439F" w:rsidR="00980C35" w:rsidP="3A5FC3B6" w:rsidRDefault="00980C35" w14:paraId="7B9AF563" w14:textId="77777777" w14:noSpellErr="1">
            <w:pPr>
              <w:spacing w:after="0" w:line="240" w:lineRule="auto"/>
              <w:jc w:val="center"/>
              <w:rPr>
                <w:rFonts w:ascii="Calibri" w:hAnsi="Calibri" w:eastAsia="Times New Roman" w:cs="Calibri"/>
                <w:color w:val="auto"/>
                <w:sz w:val="20"/>
                <w:szCs w:val="20"/>
                <w:lang w:eastAsia="en-GB"/>
              </w:rPr>
            </w:pPr>
            <w:r w:rsidRPr="3A5FC3B6" w:rsidR="3A5FC3B6">
              <w:rPr>
                <w:rFonts w:ascii="Calibri" w:hAnsi="Calibri" w:eastAsia="Times New Roman" w:cs="Calibri"/>
                <w:color w:val="auto"/>
                <w:sz w:val="20"/>
                <w:szCs w:val="20"/>
                <w:lang w:eastAsia="en-GB"/>
              </w:rPr>
              <w:t>32</w:t>
            </w:r>
          </w:p>
        </w:tc>
      </w:tr>
      <w:tr w:rsidRPr="0021439F" w:rsidR="00980C35" w:rsidTr="3A5FC3B6" w14:paraId="64F8F642" w14:textId="77777777">
        <w:trPr>
          <w:trHeight w:val="300"/>
        </w:trPr>
        <w:tc>
          <w:tcPr>
            <w:tcW w:w="593" w:type="pct"/>
            <w:tcBorders>
              <w:top w:val="nil"/>
              <w:left w:val="single" w:color="000000" w:themeColor="text1" w:sz="8" w:space="0"/>
              <w:bottom w:val="single" w:color="000000" w:themeColor="text1" w:sz="8" w:space="0"/>
              <w:right w:val="single" w:color="000000" w:themeColor="text1" w:sz="8" w:space="0"/>
            </w:tcBorders>
            <w:shd w:val="clear" w:color="auto" w:fill="auto"/>
            <w:tcMar/>
            <w:vAlign w:val="center"/>
          </w:tcPr>
          <w:p w:rsidRPr="0021439F" w:rsidR="00980C35" w:rsidP="3A5FC3B6" w:rsidRDefault="00980C35" w14:paraId="54993D21" w14:textId="77777777" w14:noSpellErr="1">
            <w:pPr>
              <w:spacing w:after="0" w:line="240" w:lineRule="auto"/>
              <w:jc w:val="center"/>
              <w:rPr>
                <w:rFonts w:ascii="Calibri" w:hAnsi="Calibri" w:eastAsia="Times New Roman" w:cs="Calibri"/>
                <w:color w:val="auto"/>
                <w:sz w:val="20"/>
                <w:szCs w:val="20"/>
                <w:lang w:eastAsia="en-GB"/>
              </w:rPr>
            </w:pPr>
            <w:r w:rsidRPr="3A5FC3B6" w:rsidR="3A5FC3B6">
              <w:rPr>
                <w:rFonts w:ascii="Calibri" w:hAnsi="Calibri" w:eastAsia="Times New Roman" w:cs="Calibri"/>
                <w:color w:val="auto"/>
                <w:sz w:val="20"/>
                <w:szCs w:val="20"/>
                <w:lang w:eastAsia="en-GB"/>
              </w:rPr>
              <w:t>Hayashi </w:t>
            </w:r>
          </w:p>
        </w:tc>
        <w:tc>
          <w:tcPr>
            <w:tcW w:w="792" w:type="pct"/>
            <w:tcBorders>
              <w:top w:val="nil"/>
              <w:left w:val="nil"/>
              <w:bottom w:val="single" w:color="000000" w:themeColor="text1" w:sz="8" w:space="0"/>
              <w:right w:val="single" w:color="000000" w:themeColor="text1" w:sz="8" w:space="0"/>
            </w:tcBorders>
            <w:shd w:val="clear" w:color="auto" w:fill="auto"/>
            <w:tcMar/>
            <w:vAlign w:val="center"/>
          </w:tcPr>
          <w:p w:rsidRPr="0021439F" w:rsidR="00980C35" w:rsidP="3A5FC3B6" w:rsidRDefault="00980C35" w14:paraId="15CAF5A8" w14:textId="77777777" w14:noSpellErr="1">
            <w:pPr>
              <w:spacing w:after="0" w:line="240" w:lineRule="auto"/>
              <w:jc w:val="center"/>
              <w:rPr>
                <w:rFonts w:ascii="Calibri" w:hAnsi="Calibri" w:eastAsia="Times New Roman" w:cs="Calibri"/>
                <w:color w:val="auto"/>
                <w:sz w:val="20"/>
                <w:szCs w:val="20"/>
                <w:lang w:eastAsia="en-GB"/>
              </w:rPr>
            </w:pPr>
            <w:r w:rsidRPr="3A5FC3B6" w:rsidR="3A5FC3B6">
              <w:rPr>
                <w:rFonts w:ascii="Calibri" w:hAnsi="Calibri" w:eastAsia="Times New Roman" w:cs="Calibri"/>
                <w:color w:val="auto"/>
                <w:sz w:val="20"/>
                <w:szCs w:val="20"/>
                <w:lang w:eastAsia="en-GB"/>
              </w:rPr>
              <w:t>Descriptive </w:t>
            </w:r>
          </w:p>
        </w:tc>
        <w:tc>
          <w:tcPr>
            <w:tcW w:w="639" w:type="pct"/>
            <w:tcBorders>
              <w:top w:val="nil"/>
              <w:left w:val="nil"/>
              <w:bottom w:val="single" w:color="000000" w:themeColor="text1" w:sz="8" w:space="0"/>
              <w:right w:val="single" w:color="000000" w:themeColor="text1" w:sz="8" w:space="0"/>
            </w:tcBorders>
            <w:shd w:val="clear" w:color="auto" w:fill="auto"/>
            <w:tcMar/>
            <w:vAlign w:val="center"/>
          </w:tcPr>
          <w:p w:rsidRPr="0021439F" w:rsidR="00980C35" w:rsidP="3A5FC3B6" w:rsidRDefault="00980C35" w14:paraId="263EF045" w14:textId="77777777" w14:noSpellErr="1">
            <w:pPr>
              <w:spacing w:after="0" w:line="240" w:lineRule="auto"/>
              <w:jc w:val="center"/>
              <w:rPr>
                <w:rFonts w:ascii="Calibri" w:hAnsi="Calibri" w:eastAsia="Times New Roman" w:cs="Calibri"/>
                <w:color w:val="auto"/>
                <w:sz w:val="20"/>
                <w:szCs w:val="20"/>
                <w:lang w:eastAsia="en-GB"/>
              </w:rPr>
            </w:pPr>
            <w:r w:rsidRPr="3A5FC3B6" w:rsidR="3A5FC3B6">
              <w:rPr>
                <w:rFonts w:ascii="Calibri" w:hAnsi="Calibri" w:eastAsia="Times New Roman" w:cs="Calibri"/>
                <w:color w:val="auto"/>
                <w:sz w:val="20"/>
                <w:szCs w:val="20"/>
                <w:lang w:eastAsia="en-GB"/>
              </w:rPr>
              <w:t>2016 </w:t>
            </w:r>
          </w:p>
        </w:tc>
        <w:tc>
          <w:tcPr>
            <w:tcW w:w="508" w:type="pct"/>
            <w:tcBorders>
              <w:top w:val="nil"/>
              <w:left w:val="nil"/>
              <w:bottom w:val="single" w:color="000000" w:themeColor="text1" w:sz="8" w:space="0"/>
              <w:right w:val="single" w:color="000000" w:themeColor="text1" w:sz="8" w:space="0"/>
            </w:tcBorders>
            <w:shd w:val="clear" w:color="auto" w:fill="auto"/>
            <w:tcMar/>
            <w:vAlign w:val="center"/>
          </w:tcPr>
          <w:p w:rsidRPr="0021439F" w:rsidR="00980C35" w:rsidP="3A5FC3B6" w:rsidRDefault="00980C35" w14:paraId="5794506C" w14:textId="77777777" w14:noSpellErr="1">
            <w:pPr>
              <w:spacing w:after="0" w:line="240" w:lineRule="auto"/>
              <w:jc w:val="center"/>
              <w:rPr>
                <w:rFonts w:ascii="Calibri" w:hAnsi="Calibri" w:eastAsia="Times New Roman" w:cs="Calibri"/>
                <w:color w:val="auto"/>
                <w:sz w:val="20"/>
                <w:szCs w:val="20"/>
                <w:lang w:eastAsia="en-GB"/>
              </w:rPr>
            </w:pPr>
            <w:r w:rsidRPr="3A5FC3B6" w:rsidR="3A5FC3B6">
              <w:rPr>
                <w:rFonts w:ascii="Calibri" w:hAnsi="Calibri" w:eastAsia="Times New Roman" w:cs="Calibri"/>
                <w:color w:val="auto"/>
                <w:sz w:val="20"/>
                <w:szCs w:val="20"/>
                <w:lang w:eastAsia="en-GB"/>
              </w:rPr>
              <w:t>2 </w:t>
            </w:r>
          </w:p>
        </w:tc>
        <w:tc>
          <w:tcPr>
            <w:tcW w:w="535" w:type="pct"/>
            <w:tcBorders>
              <w:top w:val="nil"/>
              <w:left w:val="nil"/>
              <w:bottom w:val="single" w:color="000000" w:themeColor="text1" w:sz="8" w:space="0"/>
              <w:right w:val="single" w:color="000000" w:themeColor="text1" w:sz="8" w:space="0"/>
            </w:tcBorders>
            <w:shd w:val="clear" w:color="auto" w:fill="auto"/>
            <w:tcMar/>
            <w:vAlign w:val="center"/>
          </w:tcPr>
          <w:p w:rsidRPr="0021439F" w:rsidR="00980C35" w:rsidP="3A5FC3B6" w:rsidRDefault="00980C35" w14:paraId="6FDE1267" w14:textId="77777777" w14:noSpellErr="1">
            <w:pPr>
              <w:spacing w:after="0" w:line="240" w:lineRule="auto"/>
              <w:jc w:val="center"/>
              <w:rPr>
                <w:rFonts w:ascii="Calibri" w:hAnsi="Calibri" w:eastAsia="Times New Roman" w:cs="Calibri"/>
                <w:color w:val="auto"/>
                <w:sz w:val="20"/>
                <w:szCs w:val="20"/>
                <w:lang w:eastAsia="en-GB"/>
              </w:rPr>
            </w:pPr>
            <w:r w:rsidRPr="3A5FC3B6" w:rsidR="3A5FC3B6">
              <w:rPr>
                <w:rFonts w:ascii="Calibri" w:hAnsi="Calibri" w:eastAsia="Times New Roman" w:cs="Calibri"/>
                <w:color w:val="auto"/>
                <w:sz w:val="20"/>
                <w:szCs w:val="20"/>
                <w:lang w:eastAsia="en-GB"/>
              </w:rPr>
              <w:t>Japan </w:t>
            </w:r>
          </w:p>
        </w:tc>
        <w:tc>
          <w:tcPr>
            <w:tcW w:w="558" w:type="pct"/>
            <w:tcBorders>
              <w:top w:val="nil"/>
              <w:left w:val="nil"/>
              <w:bottom w:val="single" w:color="000000" w:themeColor="text1" w:sz="8" w:space="0"/>
              <w:right w:val="single" w:color="000000" w:themeColor="text1" w:sz="8" w:space="0"/>
            </w:tcBorders>
            <w:shd w:val="clear" w:color="auto" w:fill="auto"/>
            <w:tcMar/>
            <w:vAlign w:val="center"/>
          </w:tcPr>
          <w:p w:rsidRPr="0021439F" w:rsidR="00980C35" w:rsidP="3A5FC3B6" w:rsidRDefault="00980C35" w14:paraId="3574EB16" w14:textId="77777777" w14:noSpellErr="1">
            <w:pPr>
              <w:spacing w:after="0" w:line="240" w:lineRule="auto"/>
              <w:jc w:val="center"/>
              <w:rPr>
                <w:rFonts w:ascii="Calibri" w:hAnsi="Calibri" w:eastAsia="Times New Roman" w:cs="Calibri"/>
                <w:color w:val="auto"/>
                <w:sz w:val="20"/>
                <w:szCs w:val="20"/>
                <w:lang w:eastAsia="en-GB"/>
              </w:rPr>
            </w:pPr>
            <w:r w:rsidRPr="3A5FC3B6" w:rsidR="3A5FC3B6">
              <w:rPr>
                <w:rFonts w:ascii="Calibri" w:hAnsi="Calibri" w:eastAsia="Times New Roman" w:cs="Calibri"/>
                <w:color w:val="auto"/>
                <w:sz w:val="20"/>
                <w:szCs w:val="20"/>
                <w:lang w:eastAsia="en-GB"/>
              </w:rPr>
              <w:t>4a</w:t>
            </w:r>
          </w:p>
        </w:tc>
        <w:tc>
          <w:tcPr>
            <w:tcW w:w="703" w:type="pct"/>
            <w:tcBorders>
              <w:top w:val="nil"/>
              <w:left w:val="nil"/>
              <w:bottom w:val="single" w:color="000000" w:themeColor="text1" w:sz="8" w:space="0"/>
              <w:right w:val="single" w:color="000000" w:themeColor="text1" w:sz="8" w:space="0"/>
            </w:tcBorders>
            <w:shd w:val="clear" w:color="auto" w:fill="auto"/>
            <w:tcMar/>
            <w:vAlign w:val="center"/>
          </w:tcPr>
          <w:p w:rsidRPr="0021439F" w:rsidR="00980C35" w:rsidP="3A5FC3B6" w:rsidRDefault="00980C35" w14:paraId="616B7399" w14:textId="77777777" w14:noSpellErr="1">
            <w:pPr>
              <w:spacing w:after="0" w:line="240" w:lineRule="auto"/>
              <w:jc w:val="center"/>
              <w:rPr>
                <w:rFonts w:ascii="Calibri" w:hAnsi="Calibri" w:eastAsia="Times New Roman" w:cs="Calibri"/>
                <w:color w:val="auto"/>
                <w:sz w:val="20"/>
                <w:szCs w:val="20"/>
                <w:lang w:eastAsia="en-GB"/>
              </w:rPr>
            </w:pPr>
            <w:r w:rsidRPr="3A5FC3B6" w:rsidR="3A5FC3B6">
              <w:rPr>
                <w:rFonts w:ascii="Calibri" w:hAnsi="Calibri" w:eastAsia="Times New Roman" w:cs="Calibri"/>
                <w:color w:val="auto"/>
                <w:sz w:val="20"/>
                <w:szCs w:val="20"/>
                <w:lang w:eastAsia="en-GB"/>
              </w:rPr>
              <w:t>36</w:t>
            </w:r>
          </w:p>
        </w:tc>
        <w:tc>
          <w:tcPr>
            <w:tcW w:w="672" w:type="pct"/>
            <w:tcBorders>
              <w:top w:val="nil"/>
              <w:left w:val="nil"/>
              <w:bottom w:val="single" w:color="000000" w:themeColor="text1" w:sz="8" w:space="0"/>
              <w:right w:val="single" w:color="000000" w:themeColor="text1" w:sz="8" w:space="0"/>
            </w:tcBorders>
            <w:shd w:val="clear" w:color="auto" w:fill="auto"/>
            <w:tcMar/>
            <w:vAlign w:val="center"/>
          </w:tcPr>
          <w:p w:rsidRPr="0021439F" w:rsidR="00980C35" w:rsidP="3A5FC3B6" w:rsidRDefault="00980C35" w14:paraId="723E8ECB" w14:textId="77777777" w14:noSpellErr="1">
            <w:pPr>
              <w:spacing w:after="0" w:line="240" w:lineRule="auto"/>
              <w:jc w:val="center"/>
              <w:rPr>
                <w:rFonts w:ascii="Calibri" w:hAnsi="Calibri" w:eastAsia="Times New Roman" w:cs="Calibri"/>
                <w:color w:val="auto"/>
                <w:sz w:val="20"/>
                <w:szCs w:val="20"/>
                <w:lang w:eastAsia="en-GB"/>
              </w:rPr>
            </w:pPr>
            <w:r w:rsidRPr="3A5FC3B6" w:rsidR="3A5FC3B6">
              <w:rPr>
                <w:rFonts w:ascii="Calibri" w:hAnsi="Calibri" w:eastAsia="Times New Roman" w:cs="Calibri"/>
                <w:color w:val="auto"/>
                <w:sz w:val="20"/>
                <w:szCs w:val="20"/>
                <w:lang w:eastAsia="en-GB"/>
              </w:rPr>
              <w:t>31</w:t>
            </w:r>
          </w:p>
        </w:tc>
      </w:tr>
      <w:tr w:rsidRPr="0021439F" w:rsidR="00980C35" w:rsidTr="3A5FC3B6" w14:paraId="02601EDF" w14:textId="77777777">
        <w:trPr>
          <w:trHeight w:val="300"/>
        </w:trPr>
        <w:tc>
          <w:tcPr>
            <w:tcW w:w="593" w:type="pct"/>
            <w:tcBorders>
              <w:top w:val="nil"/>
              <w:left w:val="single" w:color="000000" w:themeColor="text1" w:sz="8" w:space="0"/>
              <w:bottom w:val="single" w:color="000000" w:themeColor="text1" w:sz="8" w:space="0"/>
              <w:right w:val="single" w:color="000000" w:themeColor="text1" w:sz="8" w:space="0"/>
            </w:tcBorders>
            <w:shd w:val="clear" w:color="auto" w:fill="auto"/>
            <w:tcMar/>
            <w:vAlign w:val="center"/>
          </w:tcPr>
          <w:p w:rsidRPr="0021439F" w:rsidR="00980C35" w:rsidP="3A5FC3B6" w:rsidRDefault="00980C35" w14:paraId="3E0C2D33" w14:textId="77777777" w14:noSpellErr="1">
            <w:pPr>
              <w:spacing w:after="0" w:line="240" w:lineRule="auto"/>
              <w:jc w:val="center"/>
              <w:rPr>
                <w:rFonts w:ascii="Calibri" w:hAnsi="Calibri" w:eastAsia="Times New Roman" w:cs="Calibri"/>
                <w:color w:val="auto"/>
                <w:sz w:val="20"/>
                <w:szCs w:val="20"/>
                <w:lang w:eastAsia="en-GB"/>
              </w:rPr>
            </w:pPr>
            <w:r w:rsidRPr="3A5FC3B6" w:rsidR="3A5FC3B6">
              <w:rPr>
                <w:rFonts w:ascii="Calibri" w:hAnsi="Calibri" w:eastAsia="Times New Roman" w:cs="Calibri"/>
                <w:color w:val="auto"/>
                <w:sz w:val="20"/>
                <w:szCs w:val="20"/>
                <w:lang w:eastAsia="en-GB"/>
              </w:rPr>
              <w:t>Malik</w:t>
            </w:r>
          </w:p>
        </w:tc>
        <w:tc>
          <w:tcPr>
            <w:tcW w:w="792" w:type="pct"/>
            <w:tcBorders>
              <w:top w:val="nil"/>
              <w:left w:val="nil"/>
              <w:bottom w:val="single" w:color="000000" w:themeColor="text1" w:sz="8" w:space="0"/>
              <w:right w:val="single" w:color="000000" w:themeColor="text1" w:sz="8" w:space="0"/>
            </w:tcBorders>
            <w:shd w:val="clear" w:color="auto" w:fill="auto"/>
            <w:tcMar/>
            <w:vAlign w:val="center"/>
          </w:tcPr>
          <w:p w:rsidRPr="0021439F" w:rsidR="00980C35" w:rsidP="3A5FC3B6" w:rsidRDefault="00980C35" w14:paraId="742ED497" w14:textId="77777777" w14:noSpellErr="1">
            <w:pPr>
              <w:spacing w:after="0" w:line="240" w:lineRule="auto"/>
              <w:jc w:val="center"/>
              <w:rPr>
                <w:rFonts w:ascii="Calibri" w:hAnsi="Calibri" w:eastAsia="Times New Roman" w:cs="Calibri"/>
                <w:color w:val="auto"/>
                <w:sz w:val="20"/>
                <w:szCs w:val="20"/>
                <w:lang w:eastAsia="en-GB"/>
              </w:rPr>
            </w:pPr>
            <w:r w:rsidRPr="3A5FC3B6" w:rsidR="3A5FC3B6">
              <w:rPr>
                <w:rFonts w:ascii="Calibri" w:hAnsi="Calibri" w:eastAsia="Times New Roman" w:cs="Calibri"/>
                <w:color w:val="auto"/>
                <w:sz w:val="20"/>
                <w:szCs w:val="20"/>
                <w:lang w:eastAsia="en-GB"/>
              </w:rPr>
              <w:t>Retrospective</w:t>
            </w:r>
          </w:p>
        </w:tc>
        <w:tc>
          <w:tcPr>
            <w:tcW w:w="639" w:type="pct"/>
            <w:tcBorders>
              <w:top w:val="nil"/>
              <w:left w:val="nil"/>
              <w:bottom w:val="single" w:color="000000" w:themeColor="text1" w:sz="8" w:space="0"/>
              <w:right w:val="single" w:color="000000" w:themeColor="text1" w:sz="8" w:space="0"/>
            </w:tcBorders>
            <w:shd w:val="clear" w:color="auto" w:fill="auto"/>
            <w:tcMar/>
            <w:vAlign w:val="center"/>
          </w:tcPr>
          <w:p w:rsidRPr="0021439F" w:rsidR="00980C35" w:rsidP="3A5FC3B6" w:rsidRDefault="00980C35" w14:paraId="439EA79B" w14:textId="77777777" w14:noSpellErr="1">
            <w:pPr>
              <w:spacing w:after="0" w:line="240" w:lineRule="auto"/>
              <w:jc w:val="center"/>
              <w:rPr>
                <w:rFonts w:ascii="Calibri" w:hAnsi="Calibri" w:eastAsia="Times New Roman" w:cs="Calibri"/>
                <w:color w:val="auto"/>
                <w:sz w:val="20"/>
                <w:szCs w:val="20"/>
                <w:lang w:eastAsia="en-GB"/>
              </w:rPr>
            </w:pPr>
            <w:r w:rsidRPr="3A5FC3B6" w:rsidR="3A5FC3B6">
              <w:rPr>
                <w:rFonts w:ascii="Calibri" w:hAnsi="Calibri" w:eastAsia="Times New Roman" w:cs="Calibri"/>
                <w:color w:val="auto"/>
                <w:sz w:val="20"/>
                <w:szCs w:val="20"/>
                <w:lang w:eastAsia="en-GB"/>
              </w:rPr>
              <w:t>2021</w:t>
            </w:r>
          </w:p>
        </w:tc>
        <w:tc>
          <w:tcPr>
            <w:tcW w:w="508" w:type="pct"/>
            <w:tcBorders>
              <w:top w:val="nil"/>
              <w:left w:val="nil"/>
              <w:bottom w:val="single" w:color="000000" w:themeColor="text1" w:sz="8" w:space="0"/>
              <w:right w:val="single" w:color="000000" w:themeColor="text1" w:sz="8" w:space="0"/>
            </w:tcBorders>
            <w:shd w:val="clear" w:color="auto" w:fill="auto"/>
            <w:tcMar/>
            <w:vAlign w:val="center"/>
          </w:tcPr>
          <w:p w:rsidRPr="0021439F" w:rsidR="00980C35" w:rsidP="3A5FC3B6" w:rsidRDefault="00980C35" w14:paraId="3890BDCD" w14:textId="77777777" w14:noSpellErr="1">
            <w:pPr>
              <w:spacing w:after="0" w:line="240" w:lineRule="auto"/>
              <w:jc w:val="center"/>
              <w:rPr>
                <w:rFonts w:ascii="Calibri" w:hAnsi="Calibri" w:eastAsia="Times New Roman" w:cs="Calibri"/>
                <w:color w:val="auto"/>
                <w:sz w:val="20"/>
                <w:szCs w:val="20"/>
                <w:lang w:eastAsia="en-GB"/>
              </w:rPr>
            </w:pPr>
            <w:r w:rsidRPr="3A5FC3B6" w:rsidR="3A5FC3B6">
              <w:rPr>
                <w:rFonts w:ascii="Calibri" w:hAnsi="Calibri" w:eastAsia="Times New Roman" w:cs="Calibri"/>
                <w:color w:val="auto"/>
                <w:sz w:val="20"/>
                <w:szCs w:val="20"/>
                <w:lang w:eastAsia="en-GB"/>
              </w:rPr>
              <w:t>12</w:t>
            </w:r>
          </w:p>
        </w:tc>
        <w:tc>
          <w:tcPr>
            <w:tcW w:w="535" w:type="pct"/>
            <w:tcBorders>
              <w:top w:val="nil"/>
              <w:left w:val="nil"/>
              <w:bottom w:val="single" w:color="000000" w:themeColor="text1" w:sz="8" w:space="0"/>
              <w:right w:val="single" w:color="000000" w:themeColor="text1" w:sz="8" w:space="0"/>
            </w:tcBorders>
            <w:shd w:val="clear" w:color="auto" w:fill="auto"/>
            <w:tcMar/>
            <w:vAlign w:val="center"/>
          </w:tcPr>
          <w:p w:rsidRPr="0021439F" w:rsidR="00980C35" w:rsidP="3A5FC3B6" w:rsidRDefault="00980C35" w14:paraId="23CE28CE" w14:textId="77777777" w14:noSpellErr="1">
            <w:pPr>
              <w:spacing w:after="0" w:line="240" w:lineRule="auto"/>
              <w:jc w:val="center"/>
              <w:rPr>
                <w:rFonts w:ascii="Calibri" w:hAnsi="Calibri" w:eastAsia="Times New Roman" w:cs="Calibri"/>
                <w:color w:val="auto"/>
                <w:sz w:val="20"/>
                <w:szCs w:val="20"/>
                <w:lang w:eastAsia="en-GB"/>
              </w:rPr>
            </w:pPr>
            <w:r w:rsidRPr="3A5FC3B6" w:rsidR="3A5FC3B6">
              <w:rPr>
                <w:rFonts w:ascii="Calibri" w:hAnsi="Calibri" w:eastAsia="Times New Roman" w:cs="Calibri"/>
                <w:color w:val="auto"/>
                <w:sz w:val="20"/>
                <w:szCs w:val="20"/>
                <w:lang w:eastAsia="en-GB"/>
              </w:rPr>
              <w:t>Italy</w:t>
            </w:r>
          </w:p>
        </w:tc>
        <w:tc>
          <w:tcPr>
            <w:tcW w:w="558" w:type="pct"/>
            <w:tcBorders>
              <w:top w:val="nil"/>
              <w:left w:val="nil"/>
              <w:bottom w:val="single" w:color="000000" w:themeColor="text1" w:sz="8" w:space="0"/>
              <w:right w:val="single" w:color="000000" w:themeColor="text1" w:sz="8" w:space="0"/>
            </w:tcBorders>
            <w:shd w:val="clear" w:color="auto" w:fill="auto"/>
            <w:tcMar/>
            <w:vAlign w:val="center"/>
          </w:tcPr>
          <w:p w:rsidRPr="0021439F" w:rsidR="00980C35" w:rsidP="3A5FC3B6" w:rsidRDefault="00980C35" w14:paraId="37003DAE" w14:textId="77777777" w14:noSpellErr="1">
            <w:pPr>
              <w:spacing w:after="0" w:line="240" w:lineRule="auto"/>
              <w:jc w:val="center"/>
              <w:rPr>
                <w:rFonts w:ascii="Calibri" w:hAnsi="Calibri" w:eastAsia="Times New Roman" w:cs="Calibri"/>
                <w:color w:val="auto"/>
                <w:sz w:val="20"/>
                <w:szCs w:val="20"/>
                <w:lang w:eastAsia="en-GB"/>
              </w:rPr>
            </w:pPr>
            <w:r w:rsidRPr="3A5FC3B6" w:rsidR="3A5FC3B6">
              <w:rPr>
                <w:rFonts w:ascii="Calibri" w:hAnsi="Calibri" w:eastAsia="Times New Roman" w:cs="Calibri"/>
                <w:color w:val="auto"/>
                <w:sz w:val="20"/>
                <w:szCs w:val="20"/>
                <w:lang w:eastAsia="en-GB"/>
              </w:rPr>
              <w:t>4a</w:t>
            </w:r>
          </w:p>
        </w:tc>
        <w:tc>
          <w:tcPr>
            <w:tcW w:w="703" w:type="pct"/>
            <w:tcBorders>
              <w:top w:val="nil"/>
              <w:left w:val="nil"/>
              <w:bottom w:val="single" w:color="000000" w:themeColor="text1" w:sz="8" w:space="0"/>
              <w:right w:val="single" w:color="000000" w:themeColor="text1" w:sz="8" w:space="0"/>
            </w:tcBorders>
            <w:shd w:val="clear" w:color="auto" w:fill="auto"/>
            <w:tcMar/>
            <w:vAlign w:val="center"/>
          </w:tcPr>
          <w:p w:rsidRPr="0021439F" w:rsidR="00980C35" w:rsidP="3A5FC3B6" w:rsidRDefault="00980C35" w14:paraId="1F4B03B2" w14:textId="77777777" w14:noSpellErr="1">
            <w:pPr>
              <w:spacing w:after="0" w:line="240" w:lineRule="auto"/>
              <w:jc w:val="center"/>
              <w:rPr>
                <w:rFonts w:ascii="Calibri" w:hAnsi="Calibri" w:eastAsia="Times New Roman" w:cs="Calibri"/>
                <w:color w:val="auto"/>
                <w:sz w:val="20"/>
                <w:szCs w:val="20"/>
                <w:lang w:eastAsia="en-GB"/>
              </w:rPr>
            </w:pPr>
            <w:r w:rsidRPr="3A5FC3B6" w:rsidR="3A5FC3B6">
              <w:rPr>
                <w:rFonts w:ascii="Calibri" w:hAnsi="Calibri" w:eastAsia="Times New Roman" w:cs="Calibri"/>
                <w:color w:val="auto"/>
                <w:sz w:val="20"/>
                <w:szCs w:val="20"/>
                <w:lang w:eastAsia="en-GB"/>
              </w:rPr>
              <w:t>103</w:t>
            </w:r>
          </w:p>
        </w:tc>
        <w:tc>
          <w:tcPr>
            <w:tcW w:w="672" w:type="pct"/>
            <w:tcBorders>
              <w:top w:val="nil"/>
              <w:left w:val="nil"/>
              <w:bottom w:val="single" w:color="000000" w:themeColor="text1" w:sz="8" w:space="0"/>
              <w:right w:val="single" w:color="000000" w:themeColor="text1" w:sz="8" w:space="0"/>
            </w:tcBorders>
            <w:shd w:val="clear" w:color="auto" w:fill="auto"/>
            <w:tcMar/>
            <w:vAlign w:val="center"/>
          </w:tcPr>
          <w:p w:rsidRPr="0021439F" w:rsidR="00980C35" w:rsidP="3A5FC3B6" w:rsidRDefault="00980C35" w14:paraId="1BD98215" w14:textId="77777777" w14:noSpellErr="1">
            <w:pPr>
              <w:spacing w:after="0" w:line="240" w:lineRule="auto"/>
              <w:jc w:val="center"/>
              <w:rPr>
                <w:rFonts w:ascii="Calibri" w:hAnsi="Calibri" w:eastAsia="Times New Roman" w:cs="Calibri"/>
                <w:color w:val="auto"/>
                <w:sz w:val="20"/>
                <w:szCs w:val="20"/>
                <w:lang w:eastAsia="en-GB"/>
              </w:rPr>
            </w:pPr>
            <w:r w:rsidRPr="3A5FC3B6" w:rsidR="3A5FC3B6">
              <w:rPr>
                <w:rFonts w:ascii="Calibri" w:hAnsi="Calibri" w:eastAsia="Times New Roman" w:cs="Calibri"/>
                <w:color w:val="auto"/>
                <w:sz w:val="20"/>
                <w:szCs w:val="20"/>
                <w:lang w:eastAsia="en-GB"/>
              </w:rPr>
              <w:t>66</w:t>
            </w:r>
          </w:p>
        </w:tc>
      </w:tr>
      <w:tr w:rsidRPr="0021439F" w:rsidR="00980C35" w:rsidTr="3A5FC3B6" w14:paraId="2A185E4A" w14:textId="77777777">
        <w:trPr>
          <w:trHeight w:val="300"/>
        </w:trPr>
        <w:tc>
          <w:tcPr>
            <w:tcW w:w="593" w:type="pct"/>
            <w:tcBorders>
              <w:top w:val="nil"/>
              <w:left w:val="single" w:color="000000" w:themeColor="text1" w:sz="8" w:space="0"/>
              <w:bottom w:val="single" w:color="000000" w:themeColor="text1" w:sz="8" w:space="0"/>
              <w:right w:val="single" w:color="000000" w:themeColor="text1" w:sz="8" w:space="0"/>
            </w:tcBorders>
            <w:shd w:val="clear" w:color="auto" w:fill="auto"/>
            <w:tcMar/>
            <w:vAlign w:val="center"/>
          </w:tcPr>
          <w:p w:rsidRPr="0021439F" w:rsidR="00980C35" w:rsidP="3A5FC3B6" w:rsidRDefault="00980C35" w14:paraId="3C8D102D" w14:textId="77777777">
            <w:pPr>
              <w:spacing w:after="0" w:line="240" w:lineRule="auto"/>
              <w:jc w:val="center"/>
              <w:rPr>
                <w:rFonts w:ascii="Calibri" w:hAnsi="Calibri" w:eastAsia="Times New Roman" w:cs="Calibri"/>
                <w:color w:val="auto"/>
                <w:sz w:val="20"/>
                <w:szCs w:val="20"/>
                <w:lang w:eastAsia="en-GB"/>
              </w:rPr>
            </w:pPr>
            <w:r w:rsidRPr="3A5FC3B6" w:rsidR="3A5FC3B6">
              <w:rPr>
                <w:rFonts w:ascii="Calibri" w:hAnsi="Calibri" w:eastAsia="Times New Roman" w:cs="Calibri"/>
                <w:color w:val="auto"/>
                <w:sz w:val="20"/>
                <w:szCs w:val="20"/>
                <w:lang w:eastAsia="en-GB"/>
              </w:rPr>
              <w:t>Muehling</w:t>
            </w:r>
            <w:r w:rsidRPr="3A5FC3B6" w:rsidR="3A5FC3B6">
              <w:rPr>
                <w:rFonts w:ascii="Calibri" w:hAnsi="Calibri" w:eastAsia="Times New Roman" w:cs="Calibri"/>
                <w:color w:val="auto"/>
                <w:sz w:val="20"/>
                <w:szCs w:val="20"/>
                <w:lang w:eastAsia="en-GB"/>
              </w:rPr>
              <w:t> </w:t>
            </w:r>
          </w:p>
        </w:tc>
        <w:tc>
          <w:tcPr>
            <w:tcW w:w="792" w:type="pct"/>
            <w:tcBorders>
              <w:top w:val="nil"/>
              <w:left w:val="nil"/>
              <w:bottom w:val="single" w:color="000000" w:themeColor="text1" w:sz="8" w:space="0"/>
              <w:right w:val="single" w:color="000000" w:themeColor="text1" w:sz="8" w:space="0"/>
            </w:tcBorders>
            <w:shd w:val="clear" w:color="auto" w:fill="auto"/>
            <w:tcMar/>
            <w:vAlign w:val="center"/>
          </w:tcPr>
          <w:p w:rsidRPr="0021439F" w:rsidR="00980C35" w:rsidP="3A5FC3B6" w:rsidRDefault="00980C35" w14:paraId="0AB26CEA" w14:textId="77777777" w14:noSpellErr="1">
            <w:pPr>
              <w:spacing w:after="0" w:line="240" w:lineRule="auto"/>
              <w:jc w:val="center"/>
              <w:rPr>
                <w:rFonts w:ascii="Calibri" w:hAnsi="Calibri" w:eastAsia="Times New Roman" w:cs="Calibri"/>
                <w:color w:val="auto"/>
                <w:sz w:val="20"/>
                <w:szCs w:val="20"/>
                <w:lang w:eastAsia="en-GB"/>
              </w:rPr>
            </w:pPr>
            <w:r w:rsidRPr="3A5FC3B6" w:rsidR="3A5FC3B6">
              <w:rPr>
                <w:rFonts w:ascii="Calibri" w:hAnsi="Calibri" w:eastAsia="Times New Roman" w:cs="Calibri"/>
                <w:color w:val="auto"/>
                <w:sz w:val="20"/>
                <w:szCs w:val="20"/>
                <w:lang w:eastAsia="en-GB"/>
              </w:rPr>
              <w:t>RCT </w:t>
            </w:r>
          </w:p>
        </w:tc>
        <w:tc>
          <w:tcPr>
            <w:tcW w:w="639" w:type="pct"/>
            <w:tcBorders>
              <w:top w:val="nil"/>
              <w:left w:val="nil"/>
              <w:bottom w:val="single" w:color="000000" w:themeColor="text1" w:sz="8" w:space="0"/>
              <w:right w:val="single" w:color="000000" w:themeColor="text1" w:sz="8" w:space="0"/>
            </w:tcBorders>
            <w:shd w:val="clear" w:color="auto" w:fill="auto"/>
            <w:tcMar/>
            <w:vAlign w:val="center"/>
          </w:tcPr>
          <w:p w:rsidRPr="0021439F" w:rsidR="00980C35" w:rsidP="3A5FC3B6" w:rsidRDefault="00980C35" w14:paraId="7A08F9F6" w14:textId="77777777" w14:noSpellErr="1">
            <w:pPr>
              <w:spacing w:after="0" w:line="240" w:lineRule="auto"/>
              <w:jc w:val="center"/>
              <w:rPr>
                <w:rFonts w:ascii="Calibri" w:hAnsi="Calibri" w:eastAsia="Times New Roman" w:cs="Calibri"/>
                <w:color w:val="auto"/>
                <w:sz w:val="20"/>
                <w:szCs w:val="20"/>
                <w:lang w:eastAsia="en-GB"/>
              </w:rPr>
            </w:pPr>
            <w:r w:rsidRPr="3A5FC3B6" w:rsidR="3A5FC3B6">
              <w:rPr>
                <w:rFonts w:ascii="Calibri" w:hAnsi="Calibri" w:eastAsia="Times New Roman" w:cs="Calibri"/>
                <w:color w:val="auto"/>
                <w:sz w:val="20"/>
                <w:szCs w:val="20"/>
                <w:lang w:eastAsia="en-GB"/>
              </w:rPr>
              <w:t>2009 </w:t>
            </w:r>
          </w:p>
        </w:tc>
        <w:tc>
          <w:tcPr>
            <w:tcW w:w="508" w:type="pct"/>
            <w:tcBorders>
              <w:top w:val="nil"/>
              <w:left w:val="nil"/>
              <w:bottom w:val="single" w:color="000000" w:themeColor="text1" w:sz="8" w:space="0"/>
              <w:right w:val="single" w:color="000000" w:themeColor="text1" w:sz="8" w:space="0"/>
            </w:tcBorders>
            <w:shd w:val="clear" w:color="auto" w:fill="auto"/>
            <w:tcMar/>
            <w:vAlign w:val="center"/>
          </w:tcPr>
          <w:p w:rsidRPr="0021439F" w:rsidR="00980C35" w:rsidP="3A5FC3B6" w:rsidRDefault="00980C35" w14:paraId="456A51F8" w14:textId="77777777" w14:noSpellErr="1">
            <w:pPr>
              <w:spacing w:after="0" w:line="240" w:lineRule="auto"/>
              <w:jc w:val="center"/>
              <w:rPr>
                <w:rFonts w:ascii="Calibri" w:hAnsi="Calibri" w:eastAsia="Times New Roman" w:cs="Calibri"/>
                <w:color w:val="auto"/>
                <w:sz w:val="20"/>
                <w:szCs w:val="20"/>
                <w:lang w:eastAsia="en-GB"/>
              </w:rPr>
            </w:pPr>
            <w:r w:rsidRPr="3A5FC3B6" w:rsidR="3A5FC3B6">
              <w:rPr>
                <w:rFonts w:ascii="Calibri" w:hAnsi="Calibri" w:eastAsia="Times New Roman" w:cs="Calibri"/>
                <w:color w:val="auto"/>
                <w:sz w:val="20"/>
                <w:szCs w:val="20"/>
                <w:lang w:eastAsia="en-GB"/>
              </w:rPr>
              <w:t>N/A </w:t>
            </w:r>
          </w:p>
        </w:tc>
        <w:tc>
          <w:tcPr>
            <w:tcW w:w="535" w:type="pct"/>
            <w:tcBorders>
              <w:top w:val="nil"/>
              <w:left w:val="nil"/>
              <w:bottom w:val="single" w:color="000000" w:themeColor="text1" w:sz="8" w:space="0"/>
              <w:right w:val="single" w:color="000000" w:themeColor="text1" w:sz="8" w:space="0"/>
            </w:tcBorders>
            <w:shd w:val="clear" w:color="auto" w:fill="auto"/>
            <w:tcMar/>
            <w:vAlign w:val="center"/>
          </w:tcPr>
          <w:p w:rsidRPr="0021439F" w:rsidR="00980C35" w:rsidP="3A5FC3B6" w:rsidRDefault="00980C35" w14:paraId="1AD77DD3" w14:textId="77777777" w14:noSpellErr="1">
            <w:pPr>
              <w:spacing w:after="0" w:line="240" w:lineRule="auto"/>
              <w:jc w:val="center"/>
              <w:rPr>
                <w:rFonts w:ascii="Calibri" w:hAnsi="Calibri" w:eastAsia="Times New Roman" w:cs="Calibri"/>
                <w:color w:val="auto"/>
                <w:sz w:val="20"/>
                <w:szCs w:val="20"/>
                <w:lang w:eastAsia="en-GB"/>
              </w:rPr>
            </w:pPr>
            <w:r w:rsidRPr="3A5FC3B6" w:rsidR="3A5FC3B6">
              <w:rPr>
                <w:rFonts w:ascii="Calibri" w:hAnsi="Calibri" w:eastAsia="Times New Roman" w:cs="Calibri"/>
                <w:color w:val="auto"/>
                <w:sz w:val="20"/>
                <w:szCs w:val="20"/>
                <w:lang w:eastAsia="en-GB"/>
              </w:rPr>
              <w:t>Germany </w:t>
            </w:r>
          </w:p>
        </w:tc>
        <w:tc>
          <w:tcPr>
            <w:tcW w:w="558" w:type="pct"/>
            <w:tcBorders>
              <w:top w:val="nil"/>
              <w:left w:val="nil"/>
              <w:bottom w:val="single" w:color="000000" w:themeColor="text1" w:sz="8" w:space="0"/>
              <w:right w:val="single" w:color="000000" w:themeColor="text1" w:sz="8" w:space="0"/>
            </w:tcBorders>
            <w:shd w:val="clear" w:color="auto" w:fill="auto"/>
            <w:tcMar/>
            <w:vAlign w:val="center"/>
          </w:tcPr>
          <w:p w:rsidRPr="0021439F" w:rsidR="00980C35" w:rsidP="3A5FC3B6" w:rsidRDefault="00980C35" w14:paraId="5802BC40" w14:textId="77777777" w14:noSpellErr="1">
            <w:pPr>
              <w:spacing w:after="0" w:line="240" w:lineRule="auto"/>
              <w:jc w:val="center"/>
              <w:rPr>
                <w:rFonts w:ascii="Calibri" w:hAnsi="Calibri" w:eastAsia="Times New Roman" w:cs="Calibri"/>
                <w:color w:val="auto"/>
                <w:sz w:val="20"/>
                <w:szCs w:val="20"/>
                <w:lang w:eastAsia="en-GB"/>
              </w:rPr>
            </w:pPr>
            <w:r w:rsidRPr="3A5FC3B6" w:rsidR="3A5FC3B6">
              <w:rPr>
                <w:rFonts w:ascii="Calibri" w:hAnsi="Calibri" w:eastAsia="Times New Roman" w:cs="Calibri"/>
                <w:color w:val="auto"/>
                <w:sz w:val="20"/>
                <w:szCs w:val="20"/>
                <w:lang w:eastAsia="en-GB"/>
              </w:rPr>
              <w:t>2b</w:t>
            </w:r>
          </w:p>
        </w:tc>
        <w:tc>
          <w:tcPr>
            <w:tcW w:w="703" w:type="pct"/>
            <w:tcBorders>
              <w:top w:val="nil"/>
              <w:left w:val="nil"/>
              <w:bottom w:val="single" w:color="000000" w:themeColor="text1" w:sz="8" w:space="0"/>
              <w:right w:val="single" w:color="000000" w:themeColor="text1" w:sz="8" w:space="0"/>
            </w:tcBorders>
            <w:shd w:val="clear" w:color="auto" w:fill="auto"/>
            <w:tcMar/>
            <w:vAlign w:val="center"/>
          </w:tcPr>
          <w:p w:rsidRPr="0021439F" w:rsidR="00980C35" w:rsidP="3A5FC3B6" w:rsidRDefault="00980C35" w14:paraId="7BFCD0B8" w14:textId="77777777" w14:noSpellErr="1">
            <w:pPr>
              <w:spacing w:after="0" w:line="240" w:lineRule="auto"/>
              <w:jc w:val="center"/>
              <w:rPr>
                <w:rFonts w:ascii="Calibri" w:hAnsi="Calibri" w:eastAsia="Times New Roman" w:cs="Calibri"/>
                <w:color w:val="auto"/>
                <w:sz w:val="20"/>
                <w:szCs w:val="20"/>
                <w:lang w:eastAsia="en-GB"/>
              </w:rPr>
            </w:pPr>
            <w:r w:rsidRPr="3A5FC3B6" w:rsidR="3A5FC3B6">
              <w:rPr>
                <w:rFonts w:ascii="Calibri" w:hAnsi="Calibri" w:eastAsia="Times New Roman" w:cs="Calibri"/>
                <w:color w:val="auto"/>
                <w:sz w:val="20"/>
                <w:szCs w:val="20"/>
                <w:lang w:eastAsia="en-GB"/>
              </w:rPr>
              <w:t>49</w:t>
            </w:r>
          </w:p>
        </w:tc>
        <w:tc>
          <w:tcPr>
            <w:tcW w:w="672" w:type="pct"/>
            <w:tcBorders>
              <w:top w:val="nil"/>
              <w:left w:val="nil"/>
              <w:bottom w:val="single" w:color="000000" w:themeColor="text1" w:sz="8" w:space="0"/>
              <w:right w:val="single" w:color="000000" w:themeColor="text1" w:sz="8" w:space="0"/>
            </w:tcBorders>
            <w:shd w:val="clear" w:color="auto" w:fill="auto"/>
            <w:tcMar/>
            <w:vAlign w:val="center"/>
          </w:tcPr>
          <w:p w:rsidRPr="0021439F" w:rsidR="00980C35" w:rsidP="3A5FC3B6" w:rsidRDefault="00980C35" w14:paraId="2CE00B25" w14:textId="77777777" w14:noSpellErr="1">
            <w:pPr>
              <w:spacing w:after="0" w:line="240" w:lineRule="auto"/>
              <w:jc w:val="center"/>
              <w:rPr>
                <w:rFonts w:ascii="Calibri" w:hAnsi="Calibri" w:eastAsia="Times New Roman" w:cs="Calibri"/>
                <w:color w:val="auto"/>
                <w:sz w:val="20"/>
                <w:szCs w:val="20"/>
                <w:lang w:eastAsia="en-GB"/>
              </w:rPr>
            </w:pPr>
            <w:r w:rsidRPr="3A5FC3B6" w:rsidR="3A5FC3B6">
              <w:rPr>
                <w:rFonts w:ascii="Calibri" w:hAnsi="Calibri" w:eastAsia="Times New Roman" w:cs="Calibri"/>
                <w:color w:val="auto"/>
                <w:sz w:val="20"/>
                <w:szCs w:val="20"/>
                <w:lang w:eastAsia="en-GB"/>
              </w:rPr>
              <w:t>50</w:t>
            </w:r>
          </w:p>
        </w:tc>
      </w:tr>
      <w:tr w:rsidRPr="0021439F" w:rsidR="00980C35" w:rsidTr="3A5FC3B6" w14:paraId="0FFA25CD" w14:textId="77777777">
        <w:trPr>
          <w:trHeight w:val="300"/>
        </w:trPr>
        <w:tc>
          <w:tcPr>
            <w:tcW w:w="593" w:type="pct"/>
            <w:tcBorders>
              <w:top w:val="nil"/>
              <w:left w:val="single" w:color="000000" w:themeColor="text1" w:sz="8" w:space="0"/>
              <w:bottom w:val="single" w:color="000000" w:themeColor="text1" w:sz="8" w:space="0"/>
              <w:right w:val="single" w:color="000000" w:themeColor="text1" w:sz="8" w:space="0"/>
            </w:tcBorders>
            <w:shd w:val="clear" w:color="auto" w:fill="auto"/>
            <w:tcMar/>
            <w:vAlign w:val="center"/>
          </w:tcPr>
          <w:p w:rsidRPr="0021439F" w:rsidR="00980C35" w:rsidP="3A5FC3B6" w:rsidRDefault="00980C35" w14:paraId="03E5FA2E" w14:textId="77777777">
            <w:pPr>
              <w:spacing w:after="0" w:line="240" w:lineRule="auto"/>
              <w:jc w:val="center"/>
              <w:rPr>
                <w:rFonts w:ascii="Calibri" w:hAnsi="Calibri" w:eastAsia="Times New Roman" w:cs="Calibri"/>
                <w:color w:val="auto"/>
                <w:sz w:val="20"/>
                <w:szCs w:val="20"/>
                <w:lang w:eastAsia="en-GB"/>
              </w:rPr>
            </w:pPr>
            <w:r w:rsidRPr="3A5FC3B6" w:rsidR="3A5FC3B6">
              <w:rPr>
                <w:rFonts w:ascii="Calibri" w:hAnsi="Calibri" w:eastAsia="Times New Roman" w:cs="Calibri"/>
                <w:color w:val="auto"/>
                <w:sz w:val="20"/>
                <w:szCs w:val="20"/>
                <w:lang w:eastAsia="en-GB"/>
              </w:rPr>
              <w:t>Muehling</w:t>
            </w:r>
          </w:p>
        </w:tc>
        <w:tc>
          <w:tcPr>
            <w:tcW w:w="792" w:type="pct"/>
            <w:tcBorders>
              <w:top w:val="nil"/>
              <w:left w:val="nil"/>
              <w:bottom w:val="single" w:color="000000" w:themeColor="text1" w:sz="8" w:space="0"/>
              <w:right w:val="single" w:color="000000" w:themeColor="text1" w:sz="8" w:space="0"/>
            </w:tcBorders>
            <w:shd w:val="clear" w:color="auto" w:fill="auto"/>
            <w:tcMar/>
            <w:vAlign w:val="center"/>
          </w:tcPr>
          <w:p w:rsidRPr="0021439F" w:rsidR="00980C35" w:rsidP="3A5FC3B6" w:rsidRDefault="00980C35" w14:paraId="28BB5A27" w14:textId="77777777" w14:noSpellErr="1">
            <w:pPr>
              <w:spacing w:after="0" w:line="240" w:lineRule="auto"/>
              <w:jc w:val="center"/>
              <w:rPr>
                <w:rFonts w:ascii="Calibri" w:hAnsi="Calibri" w:eastAsia="Times New Roman" w:cs="Calibri"/>
                <w:color w:val="auto"/>
                <w:sz w:val="20"/>
                <w:szCs w:val="20"/>
                <w:lang w:eastAsia="en-GB"/>
              </w:rPr>
            </w:pPr>
            <w:r w:rsidRPr="3A5FC3B6" w:rsidR="3A5FC3B6">
              <w:rPr>
                <w:rFonts w:ascii="Calibri" w:hAnsi="Calibri" w:eastAsia="Times New Roman" w:cs="Calibri"/>
                <w:color w:val="auto"/>
                <w:sz w:val="20"/>
                <w:szCs w:val="20"/>
                <w:lang w:eastAsia="en-GB"/>
              </w:rPr>
              <w:t>RCT</w:t>
            </w:r>
          </w:p>
        </w:tc>
        <w:tc>
          <w:tcPr>
            <w:tcW w:w="639" w:type="pct"/>
            <w:tcBorders>
              <w:top w:val="nil"/>
              <w:left w:val="nil"/>
              <w:bottom w:val="single" w:color="000000" w:themeColor="text1" w:sz="8" w:space="0"/>
              <w:right w:val="single" w:color="000000" w:themeColor="text1" w:sz="8" w:space="0"/>
            </w:tcBorders>
            <w:shd w:val="clear" w:color="auto" w:fill="auto"/>
            <w:tcMar/>
            <w:vAlign w:val="center"/>
          </w:tcPr>
          <w:p w:rsidRPr="0021439F" w:rsidR="00980C35" w:rsidP="3A5FC3B6" w:rsidRDefault="00980C35" w14:paraId="367E60C9" w14:textId="77777777" w14:noSpellErr="1">
            <w:pPr>
              <w:spacing w:after="0" w:line="240" w:lineRule="auto"/>
              <w:jc w:val="center"/>
              <w:rPr>
                <w:rFonts w:ascii="Calibri" w:hAnsi="Calibri" w:eastAsia="Times New Roman" w:cs="Calibri"/>
                <w:color w:val="auto"/>
                <w:sz w:val="20"/>
                <w:szCs w:val="20"/>
                <w:lang w:eastAsia="en-GB"/>
              </w:rPr>
            </w:pPr>
            <w:r w:rsidRPr="3A5FC3B6" w:rsidR="3A5FC3B6">
              <w:rPr>
                <w:rFonts w:ascii="Calibri" w:hAnsi="Calibri" w:eastAsia="Times New Roman" w:cs="Calibri"/>
                <w:color w:val="auto"/>
                <w:sz w:val="20"/>
                <w:szCs w:val="20"/>
                <w:lang w:eastAsia="en-GB"/>
              </w:rPr>
              <w:t>2011</w:t>
            </w:r>
          </w:p>
        </w:tc>
        <w:tc>
          <w:tcPr>
            <w:tcW w:w="508" w:type="pct"/>
            <w:tcBorders>
              <w:top w:val="nil"/>
              <w:left w:val="nil"/>
              <w:bottom w:val="single" w:color="000000" w:themeColor="text1" w:sz="8" w:space="0"/>
              <w:right w:val="single" w:color="000000" w:themeColor="text1" w:sz="8" w:space="0"/>
            </w:tcBorders>
            <w:shd w:val="clear" w:color="auto" w:fill="auto"/>
            <w:tcMar/>
            <w:vAlign w:val="center"/>
          </w:tcPr>
          <w:p w:rsidRPr="0021439F" w:rsidR="00980C35" w:rsidP="3A5FC3B6" w:rsidRDefault="00980C35" w14:paraId="2953D7F6" w14:textId="77777777" w14:noSpellErr="1">
            <w:pPr>
              <w:spacing w:after="0" w:line="240" w:lineRule="auto"/>
              <w:jc w:val="center"/>
              <w:rPr>
                <w:rFonts w:ascii="Calibri" w:hAnsi="Calibri" w:eastAsia="Times New Roman" w:cs="Calibri"/>
                <w:color w:val="auto"/>
                <w:sz w:val="20"/>
                <w:szCs w:val="20"/>
                <w:lang w:eastAsia="en-GB"/>
              </w:rPr>
            </w:pPr>
            <w:r w:rsidRPr="3A5FC3B6" w:rsidR="3A5FC3B6">
              <w:rPr>
                <w:rFonts w:ascii="Calibri" w:hAnsi="Calibri" w:eastAsia="Times New Roman" w:cs="Calibri"/>
                <w:color w:val="auto"/>
                <w:sz w:val="20"/>
                <w:szCs w:val="20"/>
                <w:lang w:eastAsia="en-GB"/>
              </w:rPr>
              <w:t>N/A</w:t>
            </w:r>
          </w:p>
        </w:tc>
        <w:tc>
          <w:tcPr>
            <w:tcW w:w="535" w:type="pct"/>
            <w:tcBorders>
              <w:top w:val="nil"/>
              <w:left w:val="nil"/>
              <w:bottom w:val="single" w:color="000000" w:themeColor="text1" w:sz="8" w:space="0"/>
              <w:right w:val="single" w:color="000000" w:themeColor="text1" w:sz="8" w:space="0"/>
            </w:tcBorders>
            <w:shd w:val="clear" w:color="auto" w:fill="auto"/>
            <w:tcMar/>
            <w:vAlign w:val="center"/>
          </w:tcPr>
          <w:p w:rsidRPr="0021439F" w:rsidR="00980C35" w:rsidP="3A5FC3B6" w:rsidRDefault="00980C35" w14:paraId="1090C326" w14:textId="77777777" w14:noSpellErr="1">
            <w:pPr>
              <w:spacing w:after="0" w:line="240" w:lineRule="auto"/>
              <w:jc w:val="center"/>
              <w:rPr>
                <w:rFonts w:ascii="Calibri" w:hAnsi="Calibri" w:eastAsia="Times New Roman" w:cs="Calibri"/>
                <w:color w:val="auto"/>
                <w:sz w:val="20"/>
                <w:szCs w:val="20"/>
                <w:lang w:eastAsia="en-GB"/>
              </w:rPr>
            </w:pPr>
            <w:r w:rsidRPr="3A5FC3B6" w:rsidR="3A5FC3B6">
              <w:rPr>
                <w:rFonts w:ascii="Calibri" w:hAnsi="Calibri" w:eastAsia="Times New Roman" w:cs="Calibri"/>
                <w:color w:val="auto"/>
                <w:sz w:val="20"/>
                <w:szCs w:val="20"/>
                <w:lang w:eastAsia="en-GB"/>
              </w:rPr>
              <w:t>Germany</w:t>
            </w:r>
          </w:p>
        </w:tc>
        <w:tc>
          <w:tcPr>
            <w:tcW w:w="558" w:type="pct"/>
            <w:tcBorders>
              <w:top w:val="nil"/>
              <w:left w:val="nil"/>
              <w:bottom w:val="single" w:color="000000" w:themeColor="text1" w:sz="8" w:space="0"/>
              <w:right w:val="single" w:color="000000" w:themeColor="text1" w:sz="8" w:space="0"/>
            </w:tcBorders>
            <w:shd w:val="clear" w:color="auto" w:fill="auto"/>
            <w:tcMar/>
            <w:vAlign w:val="center"/>
          </w:tcPr>
          <w:p w:rsidRPr="0021439F" w:rsidR="00980C35" w:rsidP="3A5FC3B6" w:rsidRDefault="00980C35" w14:paraId="1C9B46EC" w14:textId="77777777" w14:noSpellErr="1">
            <w:pPr>
              <w:spacing w:after="0" w:line="240" w:lineRule="auto"/>
              <w:jc w:val="center"/>
              <w:rPr>
                <w:rFonts w:ascii="Calibri" w:hAnsi="Calibri" w:eastAsia="Times New Roman" w:cs="Calibri"/>
                <w:color w:val="auto"/>
                <w:sz w:val="20"/>
                <w:szCs w:val="20"/>
                <w:lang w:eastAsia="en-GB"/>
              </w:rPr>
            </w:pPr>
            <w:r w:rsidRPr="3A5FC3B6" w:rsidR="3A5FC3B6">
              <w:rPr>
                <w:rFonts w:ascii="Calibri" w:hAnsi="Calibri" w:eastAsia="Times New Roman" w:cs="Calibri"/>
                <w:color w:val="auto"/>
                <w:sz w:val="20"/>
                <w:szCs w:val="20"/>
                <w:lang w:eastAsia="en-GB"/>
              </w:rPr>
              <w:t>2b</w:t>
            </w:r>
          </w:p>
        </w:tc>
        <w:tc>
          <w:tcPr>
            <w:tcW w:w="703" w:type="pct"/>
            <w:tcBorders>
              <w:top w:val="nil"/>
              <w:left w:val="nil"/>
              <w:bottom w:val="single" w:color="000000" w:themeColor="text1" w:sz="8" w:space="0"/>
              <w:right w:val="single" w:color="000000" w:themeColor="text1" w:sz="8" w:space="0"/>
            </w:tcBorders>
            <w:shd w:val="clear" w:color="auto" w:fill="auto"/>
            <w:tcMar/>
            <w:vAlign w:val="center"/>
          </w:tcPr>
          <w:p w:rsidRPr="0021439F" w:rsidR="00980C35" w:rsidP="3A5FC3B6" w:rsidRDefault="00980C35" w14:paraId="0BFC9578" w14:textId="77777777" w14:noSpellErr="1">
            <w:pPr>
              <w:spacing w:after="0" w:line="240" w:lineRule="auto"/>
              <w:jc w:val="center"/>
              <w:rPr>
                <w:rFonts w:ascii="Calibri" w:hAnsi="Calibri" w:eastAsia="Times New Roman" w:cs="Calibri"/>
                <w:color w:val="auto"/>
                <w:sz w:val="20"/>
                <w:szCs w:val="20"/>
                <w:lang w:eastAsia="en-GB"/>
              </w:rPr>
            </w:pPr>
            <w:r w:rsidRPr="3A5FC3B6" w:rsidR="3A5FC3B6">
              <w:rPr>
                <w:rFonts w:ascii="Calibri" w:hAnsi="Calibri" w:eastAsia="Times New Roman" w:cs="Calibri"/>
                <w:color w:val="auto"/>
                <w:sz w:val="20"/>
                <w:szCs w:val="20"/>
                <w:lang w:eastAsia="en-GB"/>
              </w:rPr>
              <w:t>49</w:t>
            </w:r>
          </w:p>
        </w:tc>
        <w:tc>
          <w:tcPr>
            <w:tcW w:w="672" w:type="pct"/>
            <w:tcBorders>
              <w:top w:val="nil"/>
              <w:left w:val="nil"/>
              <w:bottom w:val="single" w:color="000000" w:themeColor="text1" w:sz="8" w:space="0"/>
              <w:right w:val="single" w:color="000000" w:themeColor="text1" w:sz="8" w:space="0"/>
            </w:tcBorders>
            <w:shd w:val="clear" w:color="auto" w:fill="auto"/>
            <w:tcMar/>
            <w:vAlign w:val="center"/>
          </w:tcPr>
          <w:p w:rsidRPr="0021439F" w:rsidR="00980C35" w:rsidP="3A5FC3B6" w:rsidRDefault="00980C35" w14:paraId="73FEC5E0" w14:textId="77777777" w14:noSpellErr="1">
            <w:pPr>
              <w:spacing w:after="0" w:line="240" w:lineRule="auto"/>
              <w:jc w:val="center"/>
              <w:rPr>
                <w:rFonts w:ascii="Calibri" w:hAnsi="Calibri" w:eastAsia="Times New Roman" w:cs="Calibri"/>
                <w:color w:val="auto"/>
                <w:sz w:val="20"/>
                <w:szCs w:val="20"/>
                <w:lang w:eastAsia="en-GB"/>
              </w:rPr>
            </w:pPr>
            <w:r w:rsidRPr="3A5FC3B6" w:rsidR="3A5FC3B6">
              <w:rPr>
                <w:rFonts w:ascii="Calibri" w:hAnsi="Calibri" w:eastAsia="Times New Roman" w:cs="Calibri"/>
                <w:color w:val="auto"/>
                <w:sz w:val="20"/>
                <w:szCs w:val="20"/>
                <w:lang w:eastAsia="en-GB"/>
              </w:rPr>
              <w:t>50</w:t>
            </w:r>
          </w:p>
        </w:tc>
      </w:tr>
      <w:tr w:rsidRPr="0021439F" w:rsidR="00980C35" w:rsidTr="3A5FC3B6" w14:paraId="19168B2F" w14:textId="77777777">
        <w:trPr>
          <w:trHeight w:val="300"/>
        </w:trPr>
        <w:tc>
          <w:tcPr>
            <w:tcW w:w="593" w:type="pct"/>
            <w:tcBorders>
              <w:top w:val="nil"/>
              <w:left w:val="single" w:color="000000" w:themeColor="text1" w:sz="8" w:space="0"/>
              <w:bottom w:val="single" w:color="000000" w:themeColor="text1" w:sz="8" w:space="0"/>
              <w:right w:val="single" w:color="000000" w:themeColor="text1" w:sz="8" w:space="0"/>
            </w:tcBorders>
            <w:shd w:val="clear" w:color="auto" w:fill="auto"/>
            <w:tcMar/>
            <w:vAlign w:val="center"/>
          </w:tcPr>
          <w:p w:rsidRPr="0021439F" w:rsidR="00980C35" w:rsidP="3A5FC3B6" w:rsidRDefault="00980C35" w14:paraId="0A88F408" w14:textId="77777777" w14:noSpellErr="1">
            <w:pPr>
              <w:spacing w:after="0" w:line="240" w:lineRule="auto"/>
              <w:jc w:val="center"/>
              <w:rPr>
                <w:rFonts w:ascii="Calibri" w:hAnsi="Calibri" w:eastAsia="Times New Roman" w:cs="Calibri"/>
                <w:color w:val="auto"/>
                <w:sz w:val="20"/>
                <w:szCs w:val="20"/>
                <w:lang w:eastAsia="en-GB"/>
              </w:rPr>
            </w:pPr>
            <w:r w:rsidRPr="3A5FC3B6" w:rsidR="3A5FC3B6">
              <w:rPr>
                <w:rFonts w:ascii="Calibri" w:hAnsi="Calibri" w:eastAsia="Times New Roman" w:cs="Calibri"/>
                <w:color w:val="auto"/>
                <w:sz w:val="20"/>
                <w:szCs w:val="20"/>
                <w:lang w:eastAsia="en-GB"/>
              </w:rPr>
              <w:t>Murphy </w:t>
            </w:r>
          </w:p>
        </w:tc>
        <w:tc>
          <w:tcPr>
            <w:tcW w:w="792" w:type="pct"/>
            <w:tcBorders>
              <w:top w:val="nil"/>
              <w:left w:val="nil"/>
              <w:bottom w:val="single" w:color="000000" w:themeColor="text1" w:sz="8" w:space="0"/>
              <w:right w:val="single" w:color="000000" w:themeColor="text1" w:sz="8" w:space="0"/>
            </w:tcBorders>
            <w:shd w:val="clear" w:color="auto" w:fill="auto"/>
            <w:tcMar/>
            <w:vAlign w:val="center"/>
          </w:tcPr>
          <w:p w:rsidRPr="0021439F" w:rsidR="00980C35" w:rsidP="3A5FC3B6" w:rsidRDefault="00980C35" w14:paraId="4306801E" w14:textId="77777777" w14:noSpellErr="1">
            <w:pPr>
              <w:spacing w:after="0" w:line="240" w:lineRule="auto"/>
              <w:jc w:val="center"/>
              <w:rPr>
                <w:rFonts w:ascii="Calibri" w:hAnsi="Calibri" w:eastAsia="Times New Roman" w:cs="Calibri"/>
                <w:color w:val="auto"/>
                <w:sz w:val="20"/>
                <w:szCs w:val="20"/>
                <w:lang w:eastAsia="en-GB"/>
              </w:rPr>
            </w:pPr>
            <w:r w:rsidRPr="3A5FC3B6" w:rsidR="3A5FC3B6">
              <w:rPr>
                <w:rFonts w:ascii="Calibri" w:hAnsi="Calibri" w:eastAsia="Times New Roman" w:cs="Calibri"/>
                <w:color w:val="auto"/>
                <w:sz w:val="20"/>
                <w:szCs w:val="20"/>
                <w:lang w:eastAsia="en-GB"/>
              </w:rPr>
              <w:t>Longitudinal </w:t>
            </w:r>
          </w:p>
        </w:tc>
        <w:tc>
          <w:tcPr>
            <w:tcW w:w="639" w:type="pct"/>
            <w:tcBorders>
              <w:top w:val="nil"/>
              <w:left w:val="nil"/>
              <w:bottom w:val="single" w:color="000000" w:themeColor="text1" w:sz="8" w:space="0"/>
              <w:right w:val="single" w:color="000000" w:themeColor="text1" w:sz="8" w:space="0"/>
            </w:tcBorders>
            <w:shd w:val="clear" w:color="auto" w:fill="auto"/>
            <w:tcMar/>
            <w:vAlign w:val="center"/>
          </w:tcPr>
          <w:p w:rsidRPr="0021439F" w:rsidR="00980C35" w:rsidP="3A5FC3B6" w:rsidRDefault="00980C35" w14:paraId="6B6DD4FD" w14:textId="77777777" w14:noSpellErr="1">
            <w:pPr>
              <w:spacing w:after="0" w:line="240" w:lineRule="auto"/>
              <w:jc w:val="center"/>
              <w:rPr>
                <w:rFonts w:ascii="Calibri" w:hAnsi="Calibri" w:eastAsia="Times New Roman" w:cs="Calibri"/>
                <w:color w:val="auto"/>
                <w:sz w:val="20"/>
                <w:szCs w:val="20"/>
                <w:lang w:eastAsia="en-GB"/>
              </w:rPr>
            </w:pPr>
            <w:r w:rsidRPr="3A5FC3B6" w:rsidR="3A5FC3B6">
              <w:rPr>
                <w:rFonts w:ascii="Calibri" w:hAnsi="Calibri" w:eastAsia="Times New Roman" w:cs="Calibri"/>
                <w:color w:val="auto"/>
                <w:sz w:val="20"/>
                <w:szCs w:val="20"/>
                <w:lang w:eastAsia="en-GB"/>
              </w:rPr>
              <w:t>2007 </w:t>
            </w:r>
          </w:p>
        </w:tc>
        <w:tc>
          <w:tcPr>
            <w:tcW w:w="508" w:type="pct"/>
            <w:tcBorders>
              <w:top w:val="nil"/>
              <w:left w:val="nil"/>
              <w:bottom w:val="single" w:color="000000" w:themeColor="text1" w:sz="8" w:space="0"/>
              <w:right w:val="single" w:color="000000" w:themeColor="text1" w:sz="8" w:space="0"/>
            </w:tcBorders>
            <w:shd w:val="clear" w:color="auto" w:fill="auto"/>
            <w:tcMar/>
            <w:vAlign w:val="center"/>
          </w:tcPr>
          <w:p w:rsidRPr="0021439F" w:rsidR="00980C35" w:rsidP="3A5FC3B6" w:rsidRDefault="00980C35" w14:paraId="6F90E2CC" w14:textId="77777777" w14:noSpellErr="1">
            <w:pPr>
              <w:spacing w:after="0" w:line="240" w:lineRule="auto"/>
              <w:jc w:val="center"/>
              <w:rPr>
                <w:rFonts w:ascii="Calibri" w:hAnsi="Calibri" w:eastAsia="Times New Roman" w:cs="Calibri"/>
                <w:color w:val="auto"/>
                <w:sz w:val="20"/>
                <w:szCs w:val="20"/>
                <w:lang w:eastAsia="en-GB"/>
              </w:rPr>
            </w:pPr>
            <w:r w:rsidRPr="3A5FC3B6" w:rsidR="3A5FC3B6">
              <w:rPr>
                <w:rFonts w:ascii="Calibri" w:hAnsi="Calibri" w:eastAsia="Times New Roman" w:cs="Calibri"/>
                <w:color w:val="auto"/>
                <w:sz w:val="20"/>
                <w:szCs w:val="20"/>
                <w:lang w:eastAsia="en-GB"/>
              </w:rPr>
              <w:t>2 </w:t>
            </w:r>
          </w:p>
        </w:tc>
        <w:tc>
          <w:tcPr>
            <w:tcW w:w="535" w:type="pct"/>
            <w:tcBorders>
              <w:top w:val="nil"/>
              <w:left w:val="nil"/>
              <w:bottom w:val="single" w:color="000000" w:themeColor="text1" w:sz="8" w:space="0"/>
              <w:right w:val="single" w:color="000000" w:themeColor="text1" w:sz="8" w:space="0"/>
            </w:tcBorders>
            <w:shd w:val="clear" w:color="auto" w:fill="auto"/>
            <w:tcMar/>
            <w:vAlign w:val="center"/>
          </w:tcPr>
          <w:p w:rsidRPr="0021439F" w:rsidR="00980C35" w:rsidP="3A5FC3B6" w:rsidRDefault="00980C35" w14:paraId="245993BD" w14:textId="77777777" w14:noSpellErr="1">
            <w:pPr>
              <w:spacing w:after="0" w:line="240" w:lineRule="auto"/>
              <w:jc w:val="center"/>
              <w:rPr>
                <w:rFonts w:ascii="Calibri" w:hAnsi="Calibri" w:eastAsia="Times New Roman" w:cs="Calibri"/>
                <w:color w:val="auto"/>
                <w:sz w:val="20"/>
                <w:szCs w:val="20"/>
                <w:lang w:eastAsia="en-GB"/>
              </w:rPr>
            </w:pPr>
            <w:r w:rsidRPr="3A5FC3B6" w:rsidR="3A5FC3B6">
              <w:rPr>
                <w:rFonts w:ascii="Calibri" w:hAnsi="Calibri" w:eastAsia="Times New Roman" w:cs="Calibri"/>
                <w:color w:val="auto"/>
                <w:sz w:val="20"/>
                <w:szCs w:val="20"/>
                <w:lang w:eastAsia="en-GB"/>
              </w:rPr>
              <w:t>England </w:t>
            </w:r>
          </w:p>
        </w:tc>
        <w:tc>
          <w:tcPr>
            <w:tcW w:w="558" w:type="pct"/>
            <w:tcBorders>
              <w:top w:val="nil"/>
              <w:left w:val="nil"/>
              <w:bottom w:val="single" w:color="000000" w:themeColor="text1" w:sz="8" w:space="0"/>
              <w:right w:val="single" w:color="000000" w:themeColor="text1" w:sz="8" w:space="0"/>
            </w:tcBorders>
            <w:shd w:val="clear" w:color="auto" w:fill="auto"/>
            <w:tcMar/>
            <w:vAlign w:val="center"/>
          </w:tcPr>
          <w:p w:rsidRPr="0021439F" w:rsidR="00980C35" w:rsidP="3A5FC3B6" w:rsidRDefault="00980C35" w14:paraId="1B85753B" w14:textId="77777777" w14:noSpellErr="1">
            <w:pPr>
              <w:spacing w:after="0" w:line="240" w:lineRule="auto"/>
              <w:jc w:val="center"/>
              <w:rPr>
                <w:rFonts w:ascii="Calibri" w:hAnsi="Calibri" w:eastAsia="Times New Roman" w:cs="Calibri"/>
                <w:color w:val="auto"/>
                <w:sz w:val="20"/>
                <w:szCs w:val="20"/>
                <w:lang w:eastAsia="en-GB"/>
              </w:rPr>
            </w:pPr>
            <w:r w:rsidRPr="3A5FC3B6" w:rsidR="3A5FC3B6">
              <w:rPr>
                <w:rFonts w:ascii="Calibri" w:hAnsi="Calibri" w:eastAsia="Times New Roman" w:cs="Calibri"/>
                <w:color w:val="auto"/>
                <w:sz w:val="20"/>
                <w:szCs w:val="20"/>
                <w:lang w:eastAsia="en-GB"/>
              </w:rPr>
              <w:t>4a</w:t>
            </w:r>
          </w:p>
        </w:tc>
        <w:tc>
          <w:tcPr>
            <w:tcW w:w="703" w:type="pct"/>
            <w:tcBorders>
              <w:top w:val="nil"/>
              <w:left w:val="nil"/>
              <w:bottom w:val="single" w:color="000000" w:themeColor="text1" w:sz="8" w:space="0"/>
              <w:right w:val="single" w:color="000000" w:themeColor="text1" w:sz="8" w:space="0"/>
            </w:tcBorders>
            <w:shd w:val="clear" w:color="auto" w:fill="auto"/>
            <w:tcMar/>
            <w:vAlign w:val="center"/>
          </w:tcPr>
          <w:p w:rsidRPr="0021439F" w:rsidR="00980C35" w:rsidP="3A5FC3B6" w:rsidRDefault="00980C35" w14:paraId="69EF1B6B" w14:textId="77777777" w14:noSpellErr="1">
            <w:pPr>
              <w:spacing w:after="0" w:line="240" w:lineRule="auto"/>
              <w:jc w:val="center"/>
              <w:rPr>
                <w:rFonts w:ascii="Calibri" w:hAnsi="Calibri" w:eastAsia="Times New Roman" w:cs="Calibri"/>
                <w:color w:val="auto"/>
                <w:sz w:val="20"/>
                <w:szCs w:val="20"/>
                <w:lang w:eastAsia="en-GB"/>
              </w:rPr>
            </w:pPr>
            <w:r w:rsidRPr="3A5FC3B6" w:rsidR="3A5FC3B6">
              <w:rPr>
                <w:rFonts w:ascii="Calibri" w:hAnsi="Calibri" w:eastAsia="Times New Roman" w:cs="Calibri"/>
                <w:color w:val="auto"/>
                <w:sz w:val="20"/>
                <w:szCs w:val="20"/>
                <w:lang w:eastAsia="en-GB"/>
              </w:rPr>
              <w:t>30</w:t>
            </w:r>
          </w:p>
        </w:tc>
        <w:tc>
          <w:tcPr>
            <w:tcW w:w="672" w:type="pct"/>
            <w:tcBorders>
              <w:top w:val="nil"/>
              <w:left w:val="nil"/>
              <w:bottom w:val="single" w:color="000000" w:themeColor="text1" w:sz="8" w:space="0"/>
              <w:right w:val="single" w:color="000000" w:themeColor="text1" w:sz="8" w:space="0"/>
            </w:tcBorders>
            <w:shd w:val="clear" w:color="auto" w:fill="auto"/>
            <w:tcMar/>
            <w:vAlign w:val="center"/>
          </w:tcPr>
          <w:p w:rsidRPr="0021439F" w:rsidR="00980C35" w:rsidP="3A5FC3B6" w:rsidRDefault="00980C35" w14:paraId="14FBC08D" w14:textId="77777777" w14:noSpellErr="1">
            <w:pPr>
              <w:spacing w:after="0" w:line="240" w:lineRule="auto"/>
              <w:jc w:val="center"/>
              <w:rPr>
                <w:rFonts w:ascii="Calibri" w:hAnsi="Calibri" w:eastAsia="Times New Roman" w:cs="Calibri"/>
                <w:color w:val="auto"/>
                <w:sz w:val="20"/>
                <w:szCs w:val="20"/>
                <w:lang w:eastAsia="en-GB"/>
              </w:rPr>
            </w:pPr>
            <w:r w:rsidRPr="3A5FC3B6" w:rsidR="3A5FC3B6">
              <w:rPr>
                <w:rFonts w:ascii="Calibri" w:hAnsi="Calibri" w:eastAsia="Times New Roman" w:cs="Calibri"/>
                <w:color w:val="auto"/>
                <w:sz w:val="20"/>
                <w:szCs w:val="20"/>
                <w:lang w:eastAsia="en-GB"/>
              </w:rPr>
              <w:t>30</w:t>
            </w:r>
          </w:p>
        </w:tc>
      </w:tr>
      <w:tr w:rsidRPr="0021439F" w:rsidR="00980C35" w:rsidTr="3A5FC3B6" w14:paraId="19BC0A9C" w14:textId="77777777">
        <w:trPr>
          <w:trHeight w:val="790"/>
        </w:trPr>
        <w:tc>
          <w:tcPr>
            <w:tcW w:w="593" w:type="pct"/>
            <w:tcBorders>
              <w:top w:val="nil"/>
              <w:left w:val="single" w:color="000000" w:themeColor="text1" w:sz="8" w:space="0"/>
              <w:bottom w:val="single" w:color="000000" w:themeColor="text1" w:sz="8" w:space="0"/>
              <w:right w:val="single" w:color="000000" w:themeColor="text1" w:sz="8" w:space="0"/>
            </w:tcBorders>
            <w:shd w:val="clear" w:color="auto" w:fill="auto"/>
            <w:tcMar/>
            <w:vAlign w:val="center"/>
          </w:tcPr>
          <w:p w:rsidRPr="0021439F" w:rsidR="00980C35" w:rsidP="3A5FC3B6" w:rsidRDefault="00980C35" w14:paraId="10E65920" w14:textId="77777777">
            <w:pPr>
              <w:spacing w:after="0" w:line="240" w:lineRule="auto"/>
              <w:jc w:val="center"/>
              <w:rPr>
                <w:rFonts w:ascii="Calibri" w:hAnsi="Calibri" w:eastAsia="Times New Roman" w:cs="Calibri"/>
                <w:color w:val="auto"/>
                <w:sz w:val="20"/>
                <w:szCs w:val="20"/>
                <w:lang w:eastAsia="en-GB"/>
              </w:rPr>
            </w:pPr>
            <w:r w:rsidRPr="3A5FC3B6" w:rsidR="3A5FC3B6">
              <w:rPr>
                <w:rFonts w:ascii="Calibri" w:hAnsi="Calibri" w:eastAsia="Times New Roman" w:cs="Calibri"/>
                <w:color w:val="auto"/>
                <w:sz w:val="20"/>
                <w:szCs w:val="20"/>
                <w:lang w:eastAsia="en-GB"/>
              </w:rPr>
              <w:t>Pasin</w:t>
            </w:r>
            <w:r w:rsidRPr="3A5FC3B6" w:rsidR="3A5FC3B6">
              <w:rPr>
                <w:rFonts w:ascii="Calibri" w:hAnsi="Calibri" w:eastAsia="Times New Roman" w:cs="Calibri"/>
                <w:color w:val="auto"/>
                <w:sz w:val="20"/>
                <w:szCs w:val="20"/>
                <w:lang w:eastAsia="en-GB"/>
              </w:rPr>
              <w:t> </w:t>
            </w:r>
          </w:p>
        </w:tc>
        <w:tc>
          <w:tcPr>
            <w:tcW w:w="792" w:type="pct"/>
            <w:tcBorders>
              <w:top w:val="nil"/>
              <w:left w:val="nil"/>
              <w:bottom w:val="single" w:color="000000" w:themeColor="text1" w:sz="8" w:space="0"/>
              <w:right w:val="single" w:color="000000" w:themeColor="text1" w:sz="8" w:space="0"/>
            </w:tcBorders>
            <w:shd w:val="clear" w:color="auto" w:fill="auto"/>
            <w:tcMar/>
            <w:vAlign w:val="center"/>
          </w:tcPr>
          <w:p w:rsidRPr="0021439F" w:rsidR="00980C35" w:rsidP="3A5FC3B6" w:rsidRDefault="00980C35" w14:paraId="6FF5EC4D" w14:textId="77777777" w14:noSpellErr="1">
            <w:pPr>
              <w:spacing w:after="0" w:line="240" w:lineRule="auto"/>
              <w:jc w:val="center"/>
              <w:rPr>
                <w:rFonts w:ascii="Calibri" w:hAnsi="Calibri" w:eastAsia="Times New Roman" w:cs="Calibri"/>
                <w:color w:val="auto"/>
                <w:sz w:val="20"/>
                <w:szCs w:val="20"/>
                <w:lang w:eastAsia="en-GB"/>
              </w:rPr>
            </w:pPr>
            <w:r w:rsidRPr="3A5FC3B6" w:rsidR="3A5FC3B6">
              <w:rPr>
                <w:rFonts w:ascii="Calibri" w:hAnsi="Calibri" w:eastAsia="Times New Roman" w:cs="Calibri"/>
                <w:color w:val="auto"/>
                <w:sz w:val="20"/>
                <w:szCs w:val="20"/>
                <w:lang w:eastAsia="en-GB"/>
              </w:rPr>
              <w:t>Retrospective cohort (observational) </w:t>
            </w:r>
          </w:p>
        </w:tc>
        <w:tc>
          <w:tcPr>
            <w:tcW w:w="639" w:type="pct"/>
            <w:tcBorders>
              <w:top w:val="nil"/>
              <w:left w:val="nil"/>
              <w:bottom w:val="single" w:color="000000" w:themeColor="text1" w:sz="8" w:space="0"/>
              <w:right w:val="single" w:color="000000" w:themeColor="text1" w:sz="8" w:space="0"/>
            </w:tcBorders>
            <w:shd w:val="clear" w:color="auto" w:fill="auto"/>
            <w:tcMar/>
            <w:vAlign w:val="center"/>
          </w:tcPr>
          <w:p w:rsidRPr="0021439F" w:rsidR="00980C35" w:rsidP="3A5FC3B6" w:rsidRDefault="00980C35" w14:paraId="48773158" w14:textId="77777777" w14:noSpellErr="1">
            <w:pPr>
              <w:spacing w:after="0" w:line="240" w:lineRule="auto"/>
              <w:jc w:val="center"/>
              <w:rPr>
                <w:rFonts w:ascii="Calibri" w:hAnsi="Calibri" w:eastAsia="Times New Roman" w:cs="Calibri"/>
                <w:color w:val="auto"/>
                <w:sz w:val="20"/>
                <w:szCs w:val="20"/>
                <w:lang w:eastAsia="en-GB"/>
              </w:rPr>
            </w:pPr>
            <w:r w:rsidRPr="3A5FC3B6" w:rsidR="3A5FC3B6">
              <w:rPr>
                <w:rFonts w:ascii="Calibri" w:hAnsi="Calibri" w:eastAsia="Times New Roman" w:cs="Calibri"/>
                <w:color w:val="auto"/>
                <w:sz w:val="20"/>
                <w:szCs w:val="20"/>
                <w:lang w:eastAsia="en-GB"/>
              </w:rPr>
              <w:t>2019 </w:t>
            </w:r>
          </w:p>
        </w:tc>
        <w:tc>
          <w:tcPr>
            <w:tcW w:w="508" w:type="pct"/>
            <w:tcBorders>
              <w:top w:val="nil"/>
              <w:left w:val="nil"/>
              <w:bottom w:val="single" w:color="000000" w:themeColor="text1" w:sz="8" w:space="0"/>
              <w:right w:val="single" w:color="000000" w:themeColor="text1" w:sz="8" w:space="0"/>
            </w:tcBorders>
            <w:shd w:val="clear" w:color="auto" w:fill="auto"/>
            <w:tcMar/>
            <w:vAlign w:val="center"/>
          </w:tcPr>
          <w:p w:rsidRPr="0021439F" w:rsidR="00980C35" w:rsidP="3A5FC3B6" w:rsidRDefault="00980C35" w14:paraId="1FACE20D" w14:textId="77777777" w14:noSpellErr="1">
            <w:pPr>
              <w:spacing w:after="0" w:line="240" w:lineRule="auto"/>
              <w:jc w:val="center"/>
              <w:rPr>
                <w:rFonts w:ascii="Calibri" w:hAnsi="Calibri" w:eastAsia="Times New Roman" w:cs="Calibri"/>
                <w:color w:val="auto"/>
                <w:sz w:val="20"/>
                <w:szCs w:val="20"/>
                <w:lang w:eastAsia="en-GB"/>
              </w:rPr>
            </w:pPr>
            <w:r w:rsidRPr="3A5FC3B6" w:rsidR="3A5FC3B6">
              <w:rPr>
                <w:rFonts w:ascii="Calibri" w:hAnsi="Calibri" w:eastAsia="Times New Roman" w:cs="Calibri"/>
                <w:color w:val="auto"/>
                <w:sz w:val="20"/>
                <w:szCs w:val="20"/>
                <w:lang w:eastAsia="en-GB"/>
              </w:rPr>
              <w:t>5 </w:t>
            </w:r>
          </w:p>
        </w:tc>
        <w:tc>
          <w:tcPr>
            <w:tcW w:w="535" w:type="pct"/>
            <w:tcBorders>
              <w:top w:val="nil"/>
              <w:left w:val="nil"/>
              <w:bottom w:val="single" w:color="000000" w:themeColor="text1" w:sz="8" w:space="0"/>
              <w:right w:val="single" w:color="000000" w:themeColor="text1" w:sz="8" w:space="0"/>
            </w:tcBorders>
            <w:shd w:val="clear" w:color="auto" w:fill="auto"/>
            <w:tcMar/>
            <w:vAlign w:val="center"/>
          </w:tcPr>
          <w:p w:rsidRPr="0021439F" w:rsidR="00980C35" w:rsidP="3A5FC3B6" w:rsidRDefault="00980C35" w14:paraId="4668C179" w14:textId="77777777" w14:noSpellErr="1">
            <w:pPr>
              <w:spacing w:after="0" w:line="240" w:lineRule="auto"/>
              <w:jc w:val="center"/>
              <w:rPr>
                <w:rFonts w:ascii="Calibri" w:hAnsi="Calibri" w:eastAsia="Times New Roman" w:cs="Calibri"/>
                <w:color w:val="auto"/>
                <w:sz w:val="20"/>
                <w:szCs w:val="20"/>
                <w:lang w:eastAsia="en-GB"/>
              </w:rPr>
            </w:pPr>
            <w:r w:rsidRPr="3A5FC3B6" w:rsidR="3A5FC3B6">
              <w:rPr>
                <w:rFonts w:ascii="Calibri" w:hAnsi="Calibri" w:eastAsia="Times New Roman" w:cs="Calibri"/>
                <w:color w:val="auto"/>
                <w:sz w:val="20"/>
                <w:szCs w:val="20"/>
                <w:lang w:eastAsia="en-GB"/>
              </w:rPr>
              <w:t>Italy </w:t>
            </w:r>
          </w:p>
        </w:tc>
        <w:tc>
          <w:tcPr>
            <w:tcW w:w="558" w:type="pct"/>
            <w:tcBorders>
              <w:top w:val="nil"/>
              <w:left w:val="nil"/>
              <w:bottom w:val="single" w:color="000000" w:themeColor="text1" w:sz="8" w:space="0"/>
              <w:right w:val="single" w:color="000000" w:themeColor="text1" w:sz="8" w:space="0"/>
            </w:tcBorders>
            <w:shd w:val="clear" w:color="auto" w:fill="auto"/>
            <w:tcMar/>
            <w:vAlign w:val="center"/>
          </w:tcPr>
          <w:p w:rsidRPr="0021439F" w:rsidR="00980C35" w:rsidP="3A5FC3B6" w:rsidRDefault="00980C35" w14:paraId="3BD31400" w14:textId="77777777" w14:noSpellErr="1">
            <w:pPr>
              <w:spacing w:after="0" w:line="240" w:lineRule="auto"/>
              <w:jc w:val="center"/>
              <w:rPr>
                <w:rFonts w:ascii="Calibri" w:hAnsi="Calibri" w:eastAsia="Times New Roman" w:cs="Calibri"/>
                <w:color w:val="auto"/>
                <w:sz w:val="20"/>
                <w:szCs w:val="20"/>
                <w:lang w:eastAsia="en-GB"/>
              </w:rPr>
            </w:pPr>
            <w:r w:rsidRPr="3A5FC3B6" w:rsidR="3A5FC3B6">
              <w:rPr>
                <w:rFonts w:ascii="Calibri" w:hAnsi="Calibri" w:eastAsia="Times New Roman" w:cs="Calibri"/>
                <w:color w:val="auto"/>
                <w:sz w:val="20"/>
                <w:szCs w:val="20"/>
                <w:lang w:eastAsia="en-GB"/>
              </w:rPr>
              <w:t>4a</w:t>
            </w:r>
          </w:p>
        </w:tc>
        <w:tc>
          <w:tcPr>
            <w:tcW w:w="703" w:type="pct"/>
            <w:tcBorders>
              <w:top w:val="nil"/>
              <w:left w:val="nil"/>
              <w:bottom w:val="single" w:color="000000" w:themeColor="text1" w:sz="8" w:space="0"/>
              <w:right w:val="single" w:color="000000" w:themeColor="text1" w:sz="8" w:space="0"/>
            </w:tcBorders>
            <w:shd w:val="clear" w:color="auto" w:fill="auto"/>
            <w:tcMar/>
            <w:vAlign w:val="center"/>
          </w:tcPr>
          <w:p w:rsidRPr="0021439F" w:rsidR="00980C35" w:rsidP="3A5FC3B6" w:rsidRDefault="00980C35" w14:paraId="2BB3240F" w14:textId="77777777" w14:noSpellErr="1">
            <w:pPr>
              <w:spacing w:after="0" w:line="240" w:lineRule="auto"/>
              <w:jc w:val="center"/>
              <w:rPr>
                <w:rFonts w:ascii="Calibri" w:hAnsi="Calibri" w:eastAsia="Times New Roman" w:cs="Calibri"/>
                <w:color w:val="auto"/>
                <w:sz w:val="20"/>
                <w:szCs w:val="20"/>
                <w:lang w:eastAsia="en-GB"/>
              </w:rPr>
            </w:pPr>
            <w:r w:rsidRPr="3A5FC3B6" w:rsidR="3A5FC3B6">
              <w:rPr>
                <w:rFonts w:ascii="Calibri" w:hAnsi="Calibri" w:eastAsia="Times New Roman" w:cs="Calibri"/>
                <w:color w:val="auto"/>
                <w:sz w:val="20"/>
                <w:szCs w:val="20"/>
                <w:lang w:eastAsia="en-GB"/>
              </w:rPr>
              <w:t>276</w:t>
            </w:r>
          </w:p>
        </w:tc>
        <w:tc>
          <w:tcPr>
            <w:tcW w:w="672" w:type="pct"/>
            <w:tcBorders>
              <w:top w:val="nil"/>
              <w:left w:val="nil"/>
              <w:bottom w:val="single" w:color="000000" w:themeColor="text1" w:sz="8" w:space="0"/>
              <w:right w:val="single" w:color="000000" w:themeColor="text1" w:sz="8" w:space="0"/>
            </w:tcBorders>
            <w:shd w:val="clear" w:color="auto" w:fill="auto"/>
            <w:tcMar/>
            <w:vAlign w:val="center"/>
          </w:tcPr>
          <w:p w:rsidRPr="0021439F" w:rsidR="00980C35" w:rsidP="3A5FC3B6" w:rsidRDefault="00980C35" w14:paraId="127B280C" w14:textId="77777777" w14:noSpellErr="1">
            <w:pPr>
              <w:spacing w:after="0" w:line="240" w:lineRule="auto"/>
              <w:jc w:val="center"/>
              <w:rPr>
                <w:rFonts w:ascii="Calibri" w:hAnsi="Calibri" w:eastAsia="Times New Roman" w:cs="Calibri"/>
                <w:color w:val="auto"/>
                <w:sz w:val="20"/>
                <w:szCs w:val="20"/>
                <w:lang w:eastAsia="en-GB"/>
              </w:rPr>
            </w:pPr>
            <w:r w:rsidRPr="3A5FC3B6" w:rsidR="3A5FC3B6">
              <w:rPr>
                <w:rFonts w:ascii="Calibri" w:hAnsi="Calibri" w:eastAsia="Times New Roman" w:cs="Calibri"/>
                <w:color w:val="auto"/>
                <w:sz w:val="20"/>
                <w:szCs w:val="20"/>
                <w:lang w:eastAsia="en-GB"/>
              </w:rPr>
              <w:t>552</w:t>
            </w:r>
          </w:p>
        </w:tc>
      </w:tr>
      <w:tr w:rsidRPr="0021439F" w:rsidR="00980C35" w:rsidTr="3A5FC3B6" w14:paraId="6F0BC5C1" w14:textId="77777777">
        <w:trPr>
          <w:trHeight w:val="300"/>
        </w:trPr>
        <w:tc>
          <w:tcPr>
            <w:tcW w:w="593" w:type="pct"/>
            <w:tcBorders>
              <w:top w:val="nil"/>
              <w:left w:val="single" w:color="000000" w:themeColor="text1" w:sz="8" w:space="0"/>
              <w:bottom w:val="single" w:color="000000" w:themeColor="text1" w:sz="8" w:space="0"/>
              <w:right w:val="single" w:color="000000" w:themeColor="text1" w:sz="8" w:space="0"/>
            </w:tcBorders>
            <w:shd w:val="clear" w:color="auto" w:fill="auto"/>
            <w:tcMar/>
            <w:vAlign w:val="center"/>
          </w:tcPr>
          <w:p w:rsidRPr="0021439F" w:rsidR="00980C35" w:rsidP="3A5FC3B6" w:rsidRDefault="00980C35" w14:paraId="5DEFC9A1" w14:textId="77777777">
            <w:pPr>
              <w:spacing w:after="0" w:line="240" w:lineRule="auto"/>
              <w:jc w:val="center"/>
              <w:rPr>
                <w:rFonts w:ascii="Calibri" w:hAnsi="Calibri" w:eastAsia="Times New Roman" w:cs="Calibri"/>
                <w:color w:val="auto"/>
                <w:sz w:val="20"/>
                <w:szCs w:val="20"/>
                <w:lang w:eastAsia="en-GB"/>
              </w:rPr>
            </w:pPr>
            <w:r w:rsidRPr="3A5FC3B6" w:rsidR="3A5FC3B6">
              <w:rPr>
                <w:rFonts w:ascii="Calibri" w:hAnsi="Calibri" w:eastAsia="Times New Roman" w:cs="Calibri"/>
                <w:color w:val="auto"/>
                <w:sz w:val="20"/>
                <w:szCs w:val="20"/>
                <w:lang w:eastAsia="en-GB"/>
              </w:rPr>
              <w:t>Tatsuishi</w:t>
            </w:r>
            <w:r w:rsidRPr="3A5FC3B6" w:rsidR="3A5FC3B6">
              <w:rPr>
                <w:rFonts w:ascii="Calibri" w:hAnsi="Calibri" w:eastAsia="Times New Roman" w:cs="Calibri"/>
                <w:color w:val="auto"/>
                <w:sz w:val="20"/>
                <w:szCs w:val="20"/>
                <w:lang w:eastAsia="en-GB"/>
              </w:rPr>
              <w:t> </w:t>
            </w:r>
          </w:p>
        </w:tc>
        <w:tc>
          <w:tcPr>
            <w:tcW w:w="792" w:type="pct"/>
            <w:tcBorders>
              <w:top w:val="nil"/>
              <w:left w:val="nil"/>
              <w:bottom w:val="single" w:color="000000" w:themeColor="text1" w:sz="8" w:space="0"/>
              <w:right w:val="single" w:color="000000" w:themeColor="text1" w:sz="8" w:space="0"/>
            </w:tcBorders>
            <w:shd w:val="clear" w:color="auto" w:fill="auto"/>
            <w:tcMar/>
            <w:vAlign w:val="center"/>
          </w:tcPr>
          <w:p w:rsidRPr="0021439F" w:rsidR="00980C35" w:rsidP="3A5FC3B6" w:rsidRDefault="00980C35" w14:paraId="5316FFDA" w14:textId="77777777" w14:noSpellErr="1">
            <w:pPr>
              <w:spacing w:after="0" w:line="240" w:lineRule="auto"/>
              <w:jc w:val="center"/>
              <w:rPr>
                <w:rFonts w:ascii="Calibri" w:hAnsi="Calibri" w:eastAsia="Times New Roman" w:cs="Calibri"/>
                <w:color w:val="auto"/>
                <w:sz w:val="20"/>
                <w:szCs w:val="20"/>
                <w:lang w:eastAsia="en-GB"/>
              </w:rPr>
            </w:pPr>
            <w:r w:rsidRPr="3A5FC3B6" w:rsidR="3A5FC3B6">
              <w:rPr>
                <w:rFonts w:ascii="Calibri" w:hAnsi="Calibri" w:eastAsia="Times New Roman" w:cs="Calibri"/>
                <w:color w:val="auto"/>
                <w:sz w:val="20"/>
                <w:szCs w:val="20"/>
                <w:lang w:eastAsia="en-GB"/>
              </w:rPr>
              <w:t>Longitudinal </w:t>
            </w:r>
          </w:p>
        </w:tc>
        <w:tc>
          <w:tcPr>
            <w:tcW w:w="639" w:type="pct"/>
            <w:tcBorders>
              <w:top w:val="nil"/>
              <w:left w:val="nil"/>
              <w:bottom w:val="single" w:color="000000" w:themeColor="text1" w:sz="8" w:space="0"/>
              <w:right w:val="single" w:color="000000" w:themeColor="text1" w:sz="8" w:space="0"/>
            </w:tcBorders>
            <w:shd w:val="clear" w:color="auto" w:fill="auto"/>
            <w:tcMar/>
            <w:vAlign w:val="center"/>
          </w:tcPr>
          <w:p w:rsidRPr="0021439F" w:rsidR="00980C35" w:rsidP="3A5FC3B6" w:rsidRDefault="00980C35" w14:paraId="34622A49" w14:textId="77777777" w14:noSpellErr="1">
            <w:pPr>
              <w:spacing w:after="0" w:line="240" w:lineRule="auto"/>
              <w:jc w:val="center"/>
              <w:rPr>
                <w:rFonts w:ascii="Calibri" w:hAnsi="Calibri" w:eastAsia="Times New Roman" w:cs="Calibri"/>
                <w:color w:val="auto"/>
                <w:sz w:val="20"/>
                <w:szCs w:val="20"/>
                <w:lang w:eastAsia="en-GB"/>
              </w:rPr>
            </w:pPr>
            <w:r w:rsidRPr="3A5FC3B6" w:rsidR="3A5FC3B6">
              <w:rPr>
                <w:rFonts w:ascii="Calibri" w:hAnsi="Calibri" w:eastAsia="Times New Roman" w:cs="Calibri"/>
                <w:color w:val="auto"/>
                <w:sz w:val="20"/>
                <w:szCs w:val="20"/>
                <w:lang w:eastAsia="en-GB"/>
              </w:rPr>
              <w:t>2012 </w:t>
            </w:r>
          </w:p>
        </w:tc>
        <w:tc>
          <w:tcPr>
            <w:tcW w:w="508" w:type="pct"/>
            <w:tcBorders>
              <w:top w:val="nil"/>
              <w:left w:val="nil"/>
              <w:bottom w:val="single" w:color="000000" w:themeColor="text1" w:sz="8" w:space="0"/>
              <w:right w:val="single" w:color="000000" w:themeColor="text1" w:sz="8" w:space="0"/>
            </w:tcBorders>
            <w:shd w:val="clear" w:color="auto" w:fill="auto"/>
            <w:tcMar/>
            <w:vAlign w:val="center"/>
          </w:tcPr>
          <w:p w:rsidRPr="0021439F" w:rsidR="00980C35" w:rsidP="3A5FC3B6" w:rsidRDefault="00980C35" w14:paraId="34FCEF10" w14:textId="77777777" w14:noSpellErr="1">
            <w:pPr>
              <w:spacing w:after="0" w:line="240" w:lineRule="auto"/>
              <w:jc w:val="center"/>
              <w:rPr>
                <w:rFonts w:ascii="Calibri" w:hAnsi="Calibri" w:eastAsia="Times New Roman" w:cs="Calibri"/>
                <w:color w:val="auto"/>
                <w:sz w:val="20"/>
                <w:szCs w:val="20"/>
                <w:lang w:eastAsia="en-GB"/>
              </w:rPr>
            </w:pPr>
            <w:r w:rsidRPr="3A5FC3B6" w:rsidR="3A5FC3B6">
              <w:rPr>
                <w:rFonts w:ascii="Calibri" w:hAnsi="Calibri" w:eastAsia="Times New Roman" w:cs="Calibri"/>
                <w:color w:val="auto"/>
                <w:sz w:val="20"/>
                <w:szCs w:val="20"/>
                <w:lang w:eastAsia="en-GB"/>
              </w:rPr>
              <w:t>8 </w:t>
            </w:r>
          </w:p>
        </w:tc>
        <w:tc>
          <w:tcPr>
            <w:tcW w:w="535" w:type="pct"/>
            <w:tcBorders>
              <w:top w:val="nil"/>
              <w:left w:val="nil"/>
              <w:bottom w:val="single" w:color="000000" w:themeColor="text1" w:sz="8" w:space="0"/>
              <w:right w:val="single" w:color="000000" w:themeColor="text1" w:sz="8" w:space="0"/>
            </w:tcBorders>
            <w:shd w:val="clear" w:color="auto" w:fill="auto"/>
            <w:tcMar/>
            <w:vAlign w:val="center"/>
          </w:tcPr>
          <w:p w:rsidRPr="0021439F" w:rsidR="00980C35" w:rsidP="3A5FC3B6" w:rsidRDefault="00980C35" w14:paraId="666C09A8" w14:textId="77777777" w14:noSpellErr="1">
            <w:pPr>
              <w:spacing w:after="0" w:line="240" w:lineRule="auto"/>
              <w:jc w:val="center"/>
              <w:rPr>
                <w:rFonts w:ascii="Calibri" w:hAnsi="Calibri" w:eastAsia="Times New Roman" w:cs="Calibri"/>
                <w:color w:val="auto"/>
                <w:sz w:val="20"/>
                <w:szCs w:val="20"/>
                <w:lang w:eastAsia="en-GB"/>
              </w:rPr>
            </w:pPr>
            <w:r w:rsidRPr="3A5FC3B6" w:rsidR="3A5FC3B6">
              <w:rPr>
                <w:rFonts w:ascii="Calibri" w:hAnsi="Calibri" w:eastAsia="Times New Roman" w:cs="Calibri"/>
                <w:color w:val="auto"/>
                <w:sz w:val="20"/>
                <w:szCs w:val="20"/>
                <w:lang w:eastAsia="en-GB"/>
              </w:rPr>
              <w:t>Japan </w:t>
            </w:r>
          </w:p>
        </w:tc>
        <w:tc>
          <w:tcPr>
            <w:tcW w:w="558" w:type="pct"/>
            <w:tcBorders>
              <w:top w:val="nil"/>
              <w:left w:val="nil"/>
              <w:bottom w:val="single" w:color="000000" w:themeColor="text1" w:sz="8" w:space="0"/>
              <w:right w:val="single" w:color="000000" w:themeColor="text1" w:sz="8" w:space="0"/>
            </w:tcBorders>
            <w:shd w:val="clear" w:color="auto" w:fill="auto"/>
            <w:tcMar/>
            <w:vAlign w:val="center"/>
          </w:tcPr>
          <w:p w:rsidRPr="0021439F" w:rsidR="00980C35" w:rsidP="3A5FC3B6" w:rsidRDefault="00980C35" w14:paraId="59BB71DC" w14:textId="77777777" w14:noSpellErr="1">
            <w:pPr>
              <w:spacing w:after="0" w:line="240" w:lineRule="auto"/>
              <w:jc w:val="center"/>
              <w:rPr>
                <w:rFonts w:ascii="Calibri" w:hAnsi="Calibri" w:eastAsia="Times New Roman" w:cs="Calibri"/>
                <w:color w:val="auto"/>
                <w:sz w:val="20"/>
                <w:szCs w:val="20"/>
                <w:lang w:eastAsia="en-GB"/>
              </w:rPr>
            </w:pPr>
            <w:r w:rsidRPr="3A5FC3B6" w:rsidR="3A5FC3B6">
              <w:rPr>
                <w:rFonts w:ascii="Calibri" w:hAnsi="Calibri" w:eastAsia="Times New Roman" w:cs="Calibri"/>
                <w:color w:val="auto"/>
                <w:sz w:val="20"/>
                <w:szCs w:val="20"/>
                <w:lang w:eastAsia="en-GB"/>
              </w:rPr>
              <w:t>4a</w:t>
            </w:r>
          </w:p>
        </w:tc>
        <w:tc>
          <w:tcPr>
            <w:tcW w:w="703" w:type="pct"/>
            <w:tcBorders>
              <w:top w:val="nil"/>
              <w:left w:val="nil"/>
              <w:bottom w:val="single" w:color="000000" w:themeColor="text1" w:sz="8" w:space="0"/>
              <w:right w:val="single" w:color="000000" w:themeColor="text1" w:sz="8" w:space="0"/>
            </w:tcBorders>
            <w:shd w:val="clear" w:color="auto" w:fill="auto"/>
            <w:tcMar/>
            <w:vAlign w:val="center"/>
          </w:tcPr>
          <w:p w:rsidRPr="0021439F" w:rsidR="00980C35" w:rsidP="3A5FC3B6" w:rsidRDefault="00980C35" w14:paraId="070BDA1F" w14:textId="77777777" w14:noSpellErr="1">
            <w:pPr>
              <w:spacing w:after="0" w:line="240" w:lineRule="auto"/>
              <w:jc w:val="center"/>
              <w:rPr>
                <w:rFonts w:ascii="Calibri" w:hAnsi="Calibri" w:eastAsia="Times New Roman" w:cs="Calibri"/>
                <w:color w:val="auto"/>
                <w:sz w:val="20"/>
                <w:szCs w:val="20"/>
                <w:lang w:eastAsia="en-GB"/>
              </w:rPr>
            </w:pPr>
            <w:r w:rsidRPr="3A5FC3B6" w:rsidR="3A5FC3B6">
              <w:rPr>
                <w:rFonts w:ascii="Calibri" w:hAnsi="Calibri" w:eastAsia="Times New Roman" w:cs="Calibri"/>
                <w:color w:val="auto"/>
                <w:sz w:val="20"/>
                <w:szCs w:val="20"/>
                <w:lang w:eastAsia="en-GB"/>
              </w:rPr>
              <w:t>52</w:t>
            </w:r>
          </w:p>
        </w:tc>
        <w:tc>
          <w:tcPr>
            <w:tcW w:w="672" w:type="pct"/>
            <w:tcBorders>
              <w:top w:val="nil"/>
              <w:left w:val="nil"/>
              <w:bottom w:val="single" w:color="000000" w:themeColor="text1" w:sz="8" w:space="0"/>
              <w:right w:val="single" w:color="000000" w:themeColor="text1" w:sz="8" w:space="0"/>
            </w:tcBorders>
            <w:shd w:val="clear" w:color="auto" w:fill="auto"/>
            <w:tcMar/>
            <w:vAlign w:val="center"/>
          </w:tcPr>
          <w:p w:rsidRPr="0021439F" w:rsidR="00980C35" w:rsidP="3A5FC3B6" w:rsidRDefault="00980C35" w14:paraId="6CBB7887" w14:textId="77777777" w14:noSpellErr="1">
            <w:pPr>
              <w:spacing w:after="0" w:line="240" w:lineRule="auto"/>
              <w:jc w:val="center"/>
              <w:rPr>
                <w:rFonts w:ascii="Calibri" w:hAnsi="Calibri" w:eastAsia="Times New Roman" w:cs="Calibri"/>
                <w:color w:val="auto"/>
                <w:sz w:val="20"/>
                <w:szCs w:val="20"/>
                <w:lang w:eastAsia="en-GB"/>
              </w:rPr>
            </w:pPr>
            <w:r w:rsidRPr="3A5FC3B6" w:rsidR="3A5FC3B6">
              <w:rPr>
                <w:rFonts w:ascii="Calibri" w:hAnsi="Calibri" w:eastAsia="Times New Roman" w:cs="Calibri"/>
                <w:color w:val="auto"/>
                <w:sz w:val="20"/>
                <w:szCs w:val="20"/>
                <w:lang w:eastAsia="en-GB"/>
              </w:rPr>
              <w:t>75</w:t>
            </w:r>
          </w:p>
        </w:tc>
      </w:tr>
    </w:tbl>
    <w:p w:rsidRPr="00102FB5" w:rsidR="00980C35" w:rsidP="3A5FC3B6" w:rsidRDefault="00980C35" w14:paraId="1E38FA83" w14:textId="77777777" w14:noSpellErr="1">
      <w:pPr>
        <w:pStyle w:val="NoSpacing"/>
        <w:rPr>
          <w:rFonts w:cs="Calibri" w:cstheme="minorAscii"/>
          <w:color w:val="auto"/>
          <w:sz w:val="11"/>
          <w:szCs w:val="11"/>
        </w:rPr>
      </w:pPr>
    </w:p>
    <w:p w:rsidR="00451E14" w:rsidP="3A5FC3B6" w:rsidRDefault="00AE0E94" w14:paraId="2D6BEB5B" w14:textId="48146AE6" w14:noSpellErr="1">
      <w:pPr>
        <w:rPr>
          <w:color w:val="auto"/>
        </w:rPr>
      </w:pPr>
      <w:r w:rsidRPr="3A5FC3B6" w:rsidR="3A5FC3B6">
        <w:rPr>
          <w:color w:val="auto"/>
        </w:rPr>
        <w:t>ERAS, Enhanced Recovery After Surgery</w:t>
      </w:r>
      <w:r w:rsidRPr="3A5FC3B6" w:rsidR="3A5FC3B6">
        <w:rPr>
          <w:color w:val="auto"/>
        </w:rPr>
        <w:t xml:space="preserve">.  </w:t>
      </w:r>
      <w:r w:rsidRPr="3A5FC3B6" w:rsidR="3A5FC3B6">
        <w:rPr>
          <w:color w:val="auto"/>
        </w:rPr>
        <w:t xml:space="preserve">LEGEND, Let Evidence Guide Every New Decision. RCT, randomised control trial. N/A, data not provided. </w:t>
      </w:r>
    </w:p>
    <w:p w:rsidR="00FB0D9A" w:rsidP="3A5FC3B6" w:rsidRDefault="00FB0D9A" w14:paraId="0F768977" w14:textId="77777777" w14:noSpellErr="1">
      <w:pPr>
        <w:rPr>
          <w:color w:val="auto"/>
        </w:rPr>
      </w:pPr>
    </w:p>
    <w:p w:rsidR="00A56964" w:rsidP="3A5FC3B6" w:rsidRDefault="00A56964" w14:paraId="3CEEAF7D" w14:textId="77777777" w14:noSpellErr="1">
      <w:pPr>
        <w:rPr>
          <w:color w:val="auto"/>
        </w:rPr>
      </w:pPr>
    </w:p>
    <w:p w:rsidR="00A56964" w:rsidP="3A5FC3B6" w:rsidRDefault="00A56964" w14:paraId="470B3C9E" w14:textId="77777777" w14:noSpellErr="1">
      <w:pPr>
        <w:rPr>
          <w:color w:val="auto"/>
        </w:rPr>
      </w:pPr>
    </w:p>
    <w:p w:rsidR="00A56964" w:rsidP="3A5FC3B6" w:rsidRDefault="00A56964" w14:paraId="3B3834AF" w14:textId="77777777" w14:noSpellErr="1">
      <w:pPr>
        <w:rPr>
          <w:color w:val="auto"/>
        </w:rPr>
      </w:pPr>
    </w:p>
    <w:p w:rsidR="00A56964" w:rsidP="3A5FC3B6" w:rsidRDefault="00A56964" w14:paraId="0FEA4092" w14:textId="77777777" w14:noSpellErr="1">
      <w:pPr>
        <w:rPr>
          <w:color w:val="auto"/>
        </w:rPr>
      </w:pPr>
    </w:p>
    <w:p w:rsidRPr="00B314C0" w:rsidR="00B314C0" w:rsidP="3A5FC3B6" w:rsidRDefault="00B314C0" w14:paraId="27E40AA0" w14:textId="345115E2" w14:noSpellErr="1">
      <w:pPr>
        <w:rPr>
          <w:b w:val="1"/>
          <w:bCs w:val="1"/>
          <w:color w:val="auto"/>
        </w:rPr>
      </w:pPr>
      <w:r w:rsidRPr="3A5FC3B6" w:rsidR="3A5FC3B6">
        <w:rPr>
          <w:b w:val="1"/>
          <w:bCs w:val="1"/>
          <w:color w:val="auto"/>
        </w:rPr>
        <w:t>Table 3: Newcastle-Ottawa Scale assessments for non-randomised studies</w:t>
      </w:r>
    </w:p>
    <w:p w:rsidR="00B314C0" w:rsidP="3A5FC3B6" w:rsidRDefault="00B314C0" w14:paraId="0DC06B0B" w14:textId="77777777" w14:noSpellErr="1">
      <w:pPr>
        <w:rPr>
          <w:color w:val="auto"/>
        </w:rPr>
      </w:pPr>
    </w:p>
    <w:tbl>
      <w:tblPr>
        <w:tblW w:w="5068" w:type="pct"/>
        <w:tblInd w:w="-142" w:type="dxa"/>
        <w:tblLook w:val="04A0" w:firstRow="1" w:lastRow="0" w:firstColumn="1" w:lastColumn="0" w:noHBand="0" w:noVBand="1"/>
      </w:tblPr>
      <w:tblGrid>
        <w:gridCol w:w="1109"/>
        <w:gridCol w:w="1514"/>
        <w:gridCol w:w="1514"/>
        <w:gridCol w:w="1190"/>
        <w:gridCol w:w="1217"/>
        <w:gridCol w:w="1171"/>
        <w:gridCol w:w="999"/>
        <w:gridCol w:w="1020"/>
        <w:gridCol w:w="869"/>
      </w:tblGrid>
      <w:tr w:rsidRPr="008B1C26" w:rsidR="00451E14" w:rsidTr="3A5FC3B6" w14:paraId="1095E617" w14:textId="77777777">
        <w:trPr>
          <w:trHeight w:val="310"/>
        </w:trPr>
        <w:tc>
          <w:tcPr>
            <w:tcW w:w="523" w:type="pct"/>
            <w:tcBorders>
              <w:top w:val="nil"/>
              <w:left w:val="nil"/>
              <w:bottom w:val="nil"/>
              <w:right w:val="nil"/>
            </w:tcBorders>
            <w:shd w:val="clear" w:color="auto" w:fill="auto"/>
            <w:noWrap/>
            <w:tcMar/>
            <w:vAlign w:val="center"/>
            <w:hideMark/>
          </w:tcPr>
          <w:p w:rsidRPr="00451E14" w:rsidR="00451E14" w:rsidP="3A5FC3B6" w:rsidRDefault="00451E14" w14:paraId="510E63B6" w14:textId="77777777" w14:noSpellErr="1">
            <w:pPr>
              <w:spacing w:after="0" w:line="240" w:lineRule="auto"/>
              <w:rPr>
                <w:rFonts w:eastAsia="Times New Roman" w:cs="Calibri" w:cstheme="minorAscii"/>
                <w:color w:val="auto"/>
                <w:sz w:val="16"/>
                <w:szCs w:val="16"/>
                <w:lang w:eastAsia="en-GB"/>
              </w:rPr>
            </w:pPr>
          </w:p>
        </w:tc>
        <w:tc>
          <w:tcPr>
            <w:tcW w:w="4477" w:type="pct"/>
            <w:gridSpan w:val="8"/>
            <w:tcBorders>
              <w:top w:val="single" w:color="auto" w:sz="4" w:space="0"/>
              <w:left w:val="single" w:color="auto" w:sz="4" w:space="0"/>
              <w:bottom w:val="single" w:color="auto" w:sz="4" w:space="0"/>
              <w:right w:val="single" w:color="auto" w:sz="4" w:space="0"/>
            </w:tcBorders>
            <w:shd w:val="clear" w:color="auto" w:fill="auto"/>
            <w:noWrap/>
            <w:tcMar/>
            <w:vAlign w:val="center"/>
            <w:hideMark/>
          </w:tcPr>
          <w:p w:rsidRPr="00451E14" w:rsidR="00451E14" w:rsidP="3A5FC3B6" w:rsidRDefault="00451E14" w14:paraId="301429D7" w14:textId="500C8A2E" w14:noSpellErr="1">
            <w:pPr>
              <w:spacing w:after="0" w:line="240" w:lineRule="auto"/>
              <w:jc w:val="center"/>
              <w:rPr>
                <w:rFonts w:eastAsia="Times New Roman" w:cs="Calibri" w:cstheme="minorAscii"/>
                <w:b w:val="1"/>
                <w:bCs w:val="1"/>
                <w:color w:val="auto"/>
                <w:sz w:val="16"/>
                <w:szCs w:val="16"/>
                <w:lang w:eastAsia="en-GB"/>
              </w:rPr>
            </w:pPr>
            <w:r w:rsidRPr="3A5FC3B6" w:rsidR="3A5FC3B6">
              <w:rPr>
                <w:rFonts w:eastAsia="Times New Roman" w:cs="Calibri" w:cstheme="minorAscii"/>
                <w:b w:val="1"/>
                <w:bCs w:val="1"/>
                <w:color w:val="auto"/>
                <w:sz w:val="16"/>
                <w:szCs w:val="16"/>
                <w:lang w:eastAsia="en-GB"/>
              </w:rPr>
              <w:t xml:space="preserve">Newcastle-Ottawa Scale </w:t>
            </w:r>
            <w:r w:rsidRPr="3A5FC3B6" w:rsidR="3A5FC3B6">
              <w:rPr>
                <w:rFonts w:eastAsia="Times New Roman" w:cs="Calibri" w:cstheme="minorAscii"/>
                <w:b w:val="1"/>
                <w:bCs w:val="1"/>
                <w:color w:val="auto"/>
                <w:sz w:val="16"/>
                <w:szCs w:val="16"/>
                <w:lang w:eastAsia="en-GB"/>
              </w:rPr>
              <w:t>Criteria</w:t>
            </w:r>
          </w:p>
        </w:tc>
      </w:tr>
      <w:tr w:rsidRPr="008B1C26" w:rsidR="00451E14" w:rsidTr="3A5FC3B6" w14:paraId="02267D19" w14:textId="77777777">
        <w:trPr>
          <w:trHeight w:val="310"/>
        </w:trPr>
        <w:tc>
          <w:tcPr>
            <w:tcW w:w="523" w:type="pct"/>
            <w:tcBorders>
              <w:top w:val="nil"/>
              <w:left w:val="nil"/>
              <w:bottom w:val="nil"/>
              <w:right w:val="nil"/>
            </w:tcBorders>
            <w:shd w:val="clear" w:color="auto" w:fill="auto"/>
            <w:noWrap/>
            <w:tcMar/>
            <w:vAlign w:val="center"/>
            <w:hideMark/>
          </w:tcPr>
          <w:p w:rsidRPr="00451E14" w:rsidR="00451E14" w:rsidP="3A5FC3B6" w:rsidRDefault="00451E14" w14:paraId="61A8B0AF" w14:textId="77777777" w14:noSpellErr="1">
            <w:pPr>
              <w:spacing w:after="0" w:line="240" w:lineRule="auto"/>
              <w:jc w:val="center"/>
              <w:rPr>
                <w:rFonts w:eastAsia="Times New Roman" w:cs="Calibri" w:cstheme="minorAscii"/>
                <w:b w:val="1"/>
                <w:bCs w:val="1"/>
                <w:color w:val="auto"/>
                <w:sz w:val="16"/>
                <w:szCs w:val="16"/>
                <w:lang w:eastAsia="en-GB"/>
              </w:rPr>
            </w:pPr>
          </w:p>
        </w:tc>
        <w:tc>
          <w:tcPr>
            <w:tcW w:w="2562" w:type="pct"/>
            <w:gridSpan w:val="4"/>
            <w:tcBorders>
              <w:top w:val="single" w:color="auto" w:sz="4" w:space="0"/>
              <w:left w:val="single" w:color="auto" w:sz="4" w:space="0"/>
              <w:bottom w:val="single" w:color="auto" w:sz="4" w:space="0"/>
              <w:right w:val="single" w:color="auto" w:sz="4" w:space="0"/>
            </w:tcBorders>
            <w:shd w:val="clear" w:color="auto" w:fill="auto"/>
            <w:noWrap/>
            <w:tcMar/>
            <w:vAlign w:val="center"/>
            <w:hideMark/>
          </w:tcPr>
          <w:p w:rsidRPr="00451E14" w:rsidR="00451E14" w:rsidP="3A5FC3B6" w:rsidRDefault="00451E14" w14:paraId="1F8F097C" w14:textId="77777777" w14:noSpellErr="1">
            <w:pPr>
              <w:spacing w:after="0" w:line="240" w:lineRule="auto"/>
              <w:jc w:val="center"/>
              <w:rPr>
                <w:rFonts w:eastAsia="Times New Roman" w:cs="Calibri" w:cstheme="minorAscii"/>
                <w:b w:val="1"/>
                <w:bCs w:val="1"/>
                <w:color w:val="auto"/>
                <w:sz w:val="16"/>
                <w:szCs w:val="16"/>
                <w:lang w:eastAsia="en-GB"/>
              </w:rPr>
            </w:pPr>
            <w:r w:rsidRPr="3A5FC3B6" w:rsidR="3A5FC3B6">
              <w:rPr>
                <w:rFonts w:eastAsia="Times New Roman" w:cs="Calibri" w:cstheme="minorAscii"/>
                <w:b w:val="1"/>
                <w:bCs w:val="1"/>
                <w:color w:val="auto"/>
                <w:sz w:val="16"/>
                <w:szCs w:val="16"/>
                <w:lang w:eastAsia="en-GB"/>
              </w:rPr>
              <w:t>Selection</w:t>
            </w:r>
          </w:p>
        </w:tc>
        <w:tc>
          <w:tcPr>
            <w:tcW w:w="552" w:type="pct"/>
            <w:tcBorders>
              <w:top w:val="nil"/>
              <w:left w:val="nil"/>
              <w:bottom w:val="single" w:color="auto" w:sz="4" w:space="0"/>
              <w:right w:val="single" w:color="auto" w:sz="4" w:space="0"/>
            </w:tcBorders>
            <w:shd w:val="clear" w:color="auto" w:fill="auto"/>
            <w:noWrap/>
            <w:tcMar/>
            <w:vAlign w:val="bottom"/>
            <w:hideMark/>
          </w:tcPr>
          <w:p w:rsidRPr="00451E14" w:rsidR="00451E14" w:rsidP="3A5FC3B6" w:rsidRDefault="00451E14" w14:paraId="4D6BA0B4" w14:textId="77777777" w14:noSpellErr="1">
            <w:pPr>
              <w:spacing w:after="0" w:line="240" w:lineRule="auto"/>
              <w:jc w:val="center"/>
              <w:rPr>
                <w:rFonts w:eastAsia="Times New Roman" w:cs="Calibri" w:cstheme="minorAscii"/>
                <w:b w:val="1"/>
                <w:bCs w:val="1"/>
                <w:color w:val="auto"/>
                <w:sz w:val="16"/>
                <w:szCs w:val="16"/>
                <w:lang w:eastAsia="en-GB"/>
              </w:rPr>
            </w:pPr>
            <w:r w:rsidRPr="3A5FC3B6" w:rsidR="3A5FC3B6">
              <w:rPr>
                <w:rFonts w:eastAsia="Times New Roman" w:cs="Calibri" w:cstheme="minorAscii"/>
                <w:b w:val="1"/>
                <w:bCs w:val="1"/>
                <w:color w:val="auto"/>
                <w:sz w:val="16"/>
                <w:szCs w:val="16"/>
                <w:lang w:eastAsia="en-GB"/>
              </w:rPr>
              <w:t>Comparability</w:t>
            </w:r>
          </w:p>
        </w:tc>
        <w:tc>
          <w:tcPr>
            <w:tcW w:w="1362" w:type="pct"/>
            <w:gridSpan w:val="3"/>
            <w:tcBorders>
              <w:top w:val="single" w:color="auto" w:sz="4" w:space="0"/>
              <w:left w:val="nil"/>
              <w:bottom w:val="single" w:color="auto" w:sz="4" w:space="0"/>
              <w:right w:val="single" w:color="auto" w:sz="4" w:space="0"/>
            </w:tcBorders>
            <w:shd w:val="clear" w:color="auto" w:fill="auto"/>
            <w:noWrap/>
            <w:tcMar/>
            <w:vAlign w:val="center"/>
            <w:hideMark/>
          </w:tcPr>
          <w:p w:rsidRPr="00451E14" w:rsidR="00451E14" w:rsidP="3A5FC3B6" w:rsidRDefault="00451E14" w14:paraId="3500FE3F" w14:textId="77777777" w14:noSpellErr="1">
            <w:pPr>
              <w:spacing w:after="0" w:line="240" w:lineRule="auto"/>
              <w:jc w:val="center"/>
              <w:rPr>
                <w:rFonts w:eastAsia="Times New Roman" w:cs="Calibri" w:cstheme="minorAscii"/>
                <w:b w:val="1"/>
                <w:bCs w:val="1"/>
                <w:color w:val="auto"/>
                <w:sz w:val="16"/>
                <w:szCs w:val="16"/>
                <w:lang w:eastAsia="en-GB"/>
              </w:rPr>
            </w:pPr>
            <w:r w:rsidRPr="3A5FC3B6" w:rsidR="3A5FC3B6">
              <w:rPr>
                <w:rFonts w:eastAsia="Times New Roman" w:cs="Calibri" w:cstheme="minorAscii"/>
                <w:b w:val="1"/>
                <w:bCs w:val="1"/>
                <w:color w:val="auto"/>
                <w:sz w:val="16"/>
                <w:szCs w:val="16"/>
                <w:lang w:eastAsia="en-GB"/>
              </w:rPr>
              <w:t>Outcome</w:t>
            </w:r>
          </w:p>
        </w:tc>
      </w:tr>
      <w:tr w:rsidRPr="008B1C26" w:rsidR="00451E14" w:rsidTr="3A5FC3B6" w14:paraId="2A1D1D51" w14:textId="77777777">
        <w:trPr>
          <w:trHeight w:val="1240"/>
        </w:trPr>
        <w:tc>
          <w:tcPr>
            <w:tcW w:w="523" w:type="pct"/>
            <w:tcBorders>
              <w:top w:val="nil"/>
              <w:left w:val="nil"/>
              <w:bottom w:val="nil"/>
              <w:right w:val="nil"/>
            </w:tcBorders>
            <w:shd w:val="clear" w:color="auto" w:fill="auto"/>
            <w:noWrap/>
            <w:tcMar/>
            <w:vAlign w:val="center"/>
            <w:hideMark/>
          </w:tcPr>
          <w:p w:rsidRPr="00451E14" w:rsidR="00451E14" w:rsidP="3A5FC3B6" w:rsidRDefault="00451E14" w14:paraId="1999E321" w14:textId="77777777" w14:noSpellErr="1">
            <w:pPr>
              <w:spacing w:after="0" w:line="240" w:lineRule="auto"/>
              <w:jc w:val="center"/>
              <w:rPr>
                <w:rFonts w:eastAsia="Times New Roman" w:cs="Calibri" w:cstheme="minorAscii"/>
                <w:b w:val="1"/>
                <w:bCs w:val="1"/>
                <w:color w:val="auto"/>
                <w:sz w:val="16"/>
                <w:szCs w:val="16"/>
                <w:lang w:eastAsia="en-GB"/>
              </w:rPr>
            </w:pPr>
          </w:p>
        </w:tc>
        <w:tc>
          <w:tcPr>
            <w:tcW w:w="714" w:type="pct"/>
            <w:tcBorders>
              <w:top w:val="nil"/>
              <w:left w:val="single" w:color="auto" w:sz="4" w:space="0"/>
              <w:bottom w:val="single" w:color="auto" w:sz="4" w:space="0"/>
              <w:right w:val="single" w:color="auto" w:sz="4" w:space="0"/>
            </w:tcBorders>
            <w:shd w:val="clear" w:color="auto" w:fill="auto"/>
            <w:tcMar/>
            <w:vAlign w:val="center"/>
            <w:hideMark/>
          </w:tcPr>
          <w:p w:rsidRPr="00451E14" w:rsidR="00451E14" w:rsidP="3A5FC3B6" w:rsidRDefault="00451E14" w14:paraId="3FAB2190" w14:textId="77777777" w14:noSpellErr="1">
            <w:pPr>
              <w:spacing w:after="0" w:line="240" w:lineRule="auto"/>
              <w:jc w:val="center"/>
              <w:rPr>
                <w:rFonts w:eastAsia="Times New Roman" w:cs="Calibri" w:cstheme="minorAscii"/>
                <w:color w:val="auto"/>
                <w:sz w:val="16"/>
                <w:szCs w:val="16"/>
                <w:lang w:eastAsia="en-GB"/>
              </w:rPr>
            </w:pPr>
            <w:r w:rsidRPr="3A5FC3B6" w:rsidR="3A5FC3B6">
              <w:rPr>
                <w:rFonts w:eastAsia="Times New Roman" w:cs="Calibri" w:cstheme="minorAscii"/>
                <w:color w:val="auto"/>
                <w:sz w:val="16"/>
                <w:szCs w:val="16"/>
                <w:lang w:eastAsia="en-GB"/>
              </w:rPr>
              <w:t>Representativeness of exposed cohort</w:t>
            </w:r>
          </w:p>
        </w:tc>
        <w:tc>
          <w:tcPr>
            <w:tcW w:w="714" w:type="pct"/>
            <w:tcBorders>
              <w:top w:val="nil"/>
              <w:left w:val="nil"/>
              <w:bottom w:val="single" w:color="auto" w:sz="4" w:space="0"/>
              <w:right w:val="single" w:color="auto" w:sz="4" w:space="0"/>
            </w:tcBorders>
            <w:shd w:val="clear" w:color="auto" w:fill="auto"/>
            <w:tcMar/>
            <w:vAlign w:val="center"/>
            <w:hideMark/>
          </w:tcPr>
          <w:p w:rsidRPr="00451E14" w:rsidR="00451E14" w:rsidP="3A5FC3B6" w:rsidRDefault="00451E14" w14:paraId="2333611D" w14:textId="77777777" w14:noSpellErr="1">
            <w:pPr>
              <w:spacing w:after="0" w:line="240" w:lineRule="auto"/>
              <w:jc w:val="center"/>
              <w:rPr>
                <w:rFonts w:eastAsia="Times New Roman" w:cs="Calibri" w:cstheme="minorAscii"/>
                <w:color w:val="auto"/>
                <w:sz w:val="16"/>
                <w:szCs w:val="16"/>
                <w:lang w:eastAsia="en-GB"/>
              </w:rPr>
            </w:pPr>
            <w:r w:rsidRPr="3A5FC3B6" w:rsidR="3A5FC3B6">
              <w:rPr>
                <w:rFonts w:eastAsia="Times New Roman" w:cs="Calibri" w:cstheme="minorAscii"/>
                <w:color w:val="auto"/>
                <w:sz w:val="16"/>
                <w:szCs w:val="16"/>
                <w:lang w:eastAsia="en-GB"/>
              </w:rPr>
              <w:t>Representativeness of non-exposed cohort</w:t>
            </w:r>
          </w:p>
        </w:tc>
        <w:tc>
          <w:tcPr>
            <w:tcW w:w="561" w:type="pct"/>
            <w:tcBorders>
              <w:top w:val="nil"/>
              <w:left w:val="nil"/>
              <w:bottom w:val="single" w:color="auto" w:sz="4" w:space="0"/>
              <w:right w:val="single" w:color="auto" w:sz="4" w:space="0"/>
            </w:tcBorders>
            <w:shd w:val="clear" w:color="auto" w:fill="auto"/>
            <w:tcMar/>
            <w:vAlign w:val="center"/>
            <w:hideMark/>
          </w:tcPr>
          <w:p w:rsidRPr="00451E14" w:rsidR="00451E14" w:rsidP="3A5FC3B6" w:rsidRDefault="00451E14" w14:paraId="05215A2C" w14:textId="77777777" w14:noSpellErr="1">
            <w:pPr>
              <w:spacing w:after="0" w:line="240" w:lineRule="auto"/>
              <w:jc w:val="center"/>
              <w:rPr>
                <w:rFonts w:eastAsia="Times New Roman" w:cs="Calibri" w:cstheme="minorAscii"/>
                <w:color w:val="auto"/>
                <w:sz w:val="16"/>
                <w:szCs w:val="16"/>
                <w:lang w:eastAsia="en-GB"/>
              </w:rPr>
            </w:pPr>
            <w:r w:rsidRPr="3A5FC3B6" w:rsidR="3A5FC3B6">
              <w:rPr>
                <w:rFonts w:eastAsia="Times New Roman" w:cs="Calibri" w:cstheme="minorAscii"/>
                <w:color w:val="auto"/>
                <w:sz w:val="16"/>
                <w:szCs w:val="16"/>
                <w:lang w:eastAsia="en-GB"/>
              </w:rPr>
              <w:t>Ascertainment of exposure to implants</w:t>
            </w:r>
          </w:p>
        </w:tc>
        <w:tc>
          <w:tcPr>
            <w:tcW w:w="574" w:type="pct"/>
            <w:tcBorders>
              <w:top w:val="nil"/>
              <w:left w:val="nil"/>
              <w:bottom w:val="single" w:color="auto" w:sz="4" w:space="0"/>
              <w:right w:val="single" w:color="auto" w:sz="4" w:space="0"/>
            </w:tcBorders>
            <w:shd w:val="clear" w:color="auto" w:fill="auto"/>
            <w:tcMar/>
            <w:vAlign w:val="center"/>
            <w:hideMark/>
          </w:tcPr>
          <w:p w:rsidRPr="00451E14" w:rsidR="00451E14" w:rsidP="3A5FC3B6" w:rsidRDefault="00451E14" w14:paraId="6B8D0C25" w14:textId="77777777" w14:noSpellErr="1">
            <w:pPr>
              <w:spacing w:after="0" w:line="240" w:lineRule="auto"/>
              <w:jc w:val="center"/>
              <w:rPr>
                <w:rFonts w:eastAsia="Times New Roman" w:cs="Calibri" w:cstheme="minorAscii"/>
                <w:color w:val="auto"/>
                <w:sz w:val="16"/>
                <w:szCs w:val="16"/>
                <w:lang w:eastAsia="en-GB"/>
              </w:rPr>
            </w:pPr>
            <w:r w:rsidRPr="3A5FC3B6" w:rsidR="3A5FC3B6">
              <w:rPr>
                <w:rFonts w:eastAsia="Times New Roman" w:cs="Calibri" w:cstheme="minorAscii"/>
                <w:color w:val="auto"/>
                <w:sz w:val="16"/>
                <w:szCs w:val="16"/>
                <w:lang w:eastAsia="en-GB"/>
              </w:rPr>
              <w:t xml:space="preserve">Demonstration that outcome of interest </w:t>
            </w:r>
            <w:r w:rsidRPr="3A5FC3B6" w:rsidR="3A5FC3B6">
              <w:rPr>
                <w:rFonts w:eastAsia="Times New Roman" w:cs="Calibri" w:cstheme="minorAscii"/>
                <w:color w:val="auto"/>
                <w:sz w:val="16"/>
                <w:szCs w:val="16"/>
                <w:lang w:eastAsia="en-GB"/>
              </w:rPr>
              <w:t>not present</w:t>
            </w:r>
            <w:r w:rsidRPr="3A5FC3B6" w:rsidR="3A5FC3B6">
              <w:rPr>
                <w:rFonts w:eastAsia="Times New Roman" w:cs="Calibri" w:cstheme="minorAscii"/>
                <w:color w:val="auto"/>
                <w:sz w:val="16"/>
                <w:szCs w:val="16"/>
                <w:lang w:eastAsia="en-GB"/>
              </w:rPr>
              <w:t xml:space="preserve"> at start of study</w:t>
            </w:r>
          </w:p>
        </w:tc>
        <w:tc>
          <w:tcPr>
            <w:tcW w:w="552" w:type="pct"/>
            <w:tcBorders>
              <w:top w:val="nil"/>
              <w:left w:val="nil"/>
              <w:bottom w:val="single" w:color="auto" w:sz="4" w:space="0"/>
              <w:right w:val="single" w:color="auto" w:sz="4" w:space="0"/>
            </w:tcBorders>
            <w:shd w:val="clear" w:color="auto" w:fill="auto"/>
            <w:tcMar/>
            <w:vAlign w:val="center"/>
            <w:hideMark/>
          </w:tcPr>
          <w:p w:rsidRPr="00451E14" w:rsidR="00451E14" w:rsidP="3A5FC3B6" w:rsidRDefault="00451E14" w14:paraId="1D17D032" w14:textId="77777777" w14:noSpellErr="1">
            <w:pPr>
              <w:spacing w:after="0" w:line="240" w:lineRule="auto"/>
              <w:jc w:val="center"/>
              <w:rPr>
                <w:rFonts w:eastAsia="Times New Roman" w:cs="Calibri" w:cstheme="minorAscii"/>
                <w:color w:val="auto"/>
                <w:sz w:val="16"/>
                <w:szCs w:val="16"/>
                <w:lang w:eastAsia="en-GB"/>
              </w:rPr>
            </w:pPr>
            <w:r w:rsidRPr="3A5FC3B6" w:rsidR="3A5FC3B6">
              <w:rPr>
                <w:rFonts w:eastAsia="Times New Roman" w:cs="Calibri" w:cstheme="minorAscii"/>
                <w:color w:val="auto"/>
                <w:sz w:val="16"/>
                <w:szCs w:val="16"/>
                <w:lang w:eastAsia="en-GB"/>
              </w:rPr>
              <w:t>Comparability of cohorts</w:t>
            </w:r>
          </w:p>
        </w:tc>
        <w:tc>
          <w:tcPr>
            <w:tcW w:w="471" w:type="pct"/>
            <w:tcBorders>
              <w:top w:val="nil"/>
              <w:left w:val="nil"/>
              <w:bottom w:val="single" w:color="auto" w:sz="4" w:space="0"/>
              <w:right w:val="single" w:color="auto" w:sz="4" w:space="0"/>
            </w:tcBorders>
            <w:shd w:val="clear" w:color="auto" w:fill="auto"/>
            <w:tcMar/>
            <w:vAlign w:val="center"/>
            <w:hideMark/>
          </w:tcPr>
          <w:p w:rsidRPr="00451E14" w:rsidR="00451E14" w:rsidP="3A5FC3B6" w:rsidRDefault="00451E14" w14:paraId="359ABF3E" w14:textId="77777777" w14:noSpellErr="1">
            <w:pPr>
              <w:spacing w:after="0" w:line="240" w:lineRule="auto"/>
              <w:jc w:val="center"/>
              <w:rPr>
                <w:rFonts w:eastAsia="Times New Roman" w:cs="Calibri" w:cstheme="minorAscii"/>
                <w:color w:val="auto"/>
                <w:sz w:val="16"/>
                <w:szCs w:val="16"/>
                <w:lang w:eastAsia="en-GB"/>
              </w:rPr>
            </w:pPr>
            <w:r w:rsidRPr="3A5FC3B6" w:rsidR="3A5FC3B6">
              <w:rPr>
                <w:rFonts w:eastAsia="Times New Roman" w:cs="Calibri" w:cstheme="minorAscii"/>
                <w:color w:val="auto"/>
                <w:sz w:val="16"/>
                <w:szCs w:val="16"/>
                <w:lang w:eastAsia="en-GB"/>
              </w:rPr>
              <w:t>Assessment of outcomes</w:t>
            </w:r>
          </w:p>
        </w:tc>
        <w:tc>
          <w:tcPr>
            <w:tcW w:w="481" w:type="pct"/>
            <w:tcBorders>
              <w:top w:val="nil"/>
              <w:left w:val="nil"/>
              <w:bottom w:val="single" w:color="auto" w:sz="4" w:space="0"/>
              <w:right w:val="single" w:color="auto" w:sz="4" w:space="0"/>
            </w:tcBorders>
            <w:shd w:val="clear" w:color="auto" w:fill="auto"/>
            <w:tcMar/>
            <w:vAlign w:val="center"/>
            <w:hideMark/>
          </w:tcPr>
          <w:p w:rsidRPr="00451E14" w:rsidR="00451E14" w:rsidP="3A5FC3B6" w:rsidRDefault="00451E14" w14:paraId="0CA78664" w14:textId="77777777" w14:noSpellErr="1">
            <w:pPr>
              <w:spacing w:after="0" w:line="240" w:lineRule="auto"/>
              <w:jc w:val="center"/>
              <w:rPr>
                <w:rFonts w:eastAsia="Times New Roman" w:cs="Calibri" w:cstheme="minorAscii"/>
                <w:color w:val="auto"/>
                <w:sz w:val="16"/>
                <w:szCs w:val="16"/>
                <w:lang w:eastAsia="en-GB"/>
              </w:rPr>
            </w:pPr>
            <w:r w:rsidRPr="3A5FC3B6" w:rsidR="3A5FC3B6">
              <w:rPr>
                <w:rFonts w:eastAsia="Times New Roman" w:cs="Calibri" w:cstheme="minorAscii"/>
                <w:color w:val="auto"/>
                <w:sz w:val="16"/>
                <w:szCs w:val="16"/>
                <w:lang w:eastAsia="en-GB"/>
              </w:rPr>
              <w:t>Appropriate follow up length</w:t>
            </w:r>
          </w:p>
        </w:tc>
        <w:tc>
          <w:tcPr>
            <w:tcW w:w="410" w:type="pct"/>
            <w:tcBorders>
              <w:top w:val="nil"/>
              <w:left w:val="nil"/>
              <w:bottom w:val="single" w:color="auto" w:sz="4" w:space="0"/>
              <w:right w:val="single" w:color="auto" w:sz="4" w:space="0"/>
            </w:tcBorders>
            <w:shd w:val="clear" w:color="auto" w:fill="auto"/>
            <w:tcMar/>
            <w:vAlign w:val="center"/>
            <w:hideMark/>
          </w:tcPr>
          <w:p w:rsidRPr="00451E14" w:rsidR="00451E14" w:rsidP="3A5FC3B6" w:rsidRDefault="00451E14" w14:paraId="11DB6E24" w14:textId="77777777" w14:noSpellErr="1">
            <w:pPr>
              <w:spacing w:after="0" w:line="240" w:lineRule="auto"/>
              <w:jc w:val="center"/>
              <w:rPr>
                <w:rFonts w:eastAsia="Times New Roman" w:cs="Calibri" w:cstheme="minorAscii"/>
                <w:color w:val="auto"/>
                <w:sz w:val="16"/>
                <w:szCs w:val="16"/>
                <w:lang w:eastAsia="en-GB"/>
              </w:rPr>
            </w:pPr>
            <w:r w:rsidRPr="3A5FC3B6" w:rsidR="3A5FC3B6">
              <w:rPr>
                <w:rFonts w:eastAsia="Times New Roman" w:cs="Calibri" w:cstheme="minorAscii"/>
                <w:color w:val="auto"/>
                <w:sz w:val="16"/>
                <w:szCs w:val="16"/>
                <w:lang w:eastAsia="en-GB"/>
              </w:rPr>
              <w:t>Adequacy of follow-up of cohorts</w:t>
            </w:r>
          </w:p>
        </w:tc>
      </w:tr>
      <w:tr w:rsidRPr="008B1C26" w:rsidR="00451E14" w:rsidTr="3A5FC3B6" w14:paraId="08328B5E" w14:textId="77777777">
        <w:trPr>
          <w:trHeight w:val="290"/>
        </w:trPr>
        <w:tc>
          <w:tcPr>
            <w:tcW w:w="523" w:type="pct"/>
            <w:tcBorders>
              <w:top w:val="single" w:color="auto" w:sz="4" w:space="0"/>
              <w:left w:val="single" w:color="auto" w:sz="4" w:space="0"/>
              <w:bottom w:val="single" w:color="auto" w:sz="4" w:space="0"/>
              <w:right w:val="single" w:color="auto" w:sz="4" w:space="0"/>
            </w:tcBorders>
            <w:shd w:val="clear" w:color="auto" w:fill="auto"/>
            <w:noWrap/>
            <w:tcMar/>
            <w:vAlign w:val="center"/>
            <w:hideMark/>
          </w:tcPr>
          <w:p w:rsidRPr="00451E14" w:rsidR="00451E14" w:rsidP="3A5FC3B6" w:rsidRDefault="00451E14" w14:paraId="39FA75C8" w14:textId="77777777">
            <w:pPr>
              <w:spacing w:after="0" w:line="240" w:lineRule="auto"/>
              <w:jc w:val="center"/>
              <w:rPr>
                <w:rFonts w:eastAsia="Times New Roman" w:cs="Calibri" w:cstheme="minorAscii"/>
                <w:b w:val="1"/>
                <w:bCs w:val="1"/>
                <w:color w:val="auto"/>
                <w:sz w:val="16"/>
                <w:szCs w:val="16"/>
                <w:lang w:eastAsia="en-GB"/>
              </w:rPr>
            </w:pPr>
            <w:r w:rsidRPr="3A5FC3B6" w:rsidR="3A5FC3B6">
              <w:rPr>
                <w:rFonts w:eastAsia="Times New Roman" w:cs="Calibri" w:cstheme="minorAscii"/>
                <w:b w:val="1"/>
                <w:bCs w:val="1"/>
                <w:color w:val="auto"/>
                <w:sz w:val="16"/>
                <w:szCs w:val="16"/>
                <w:lang w:eastAsia="en-GB"/>
              </w:rPr>
              <w:t>Brustia</w:t>
            </w:r>
            <w:r w:rsidRPr="3A5FC3B6" w:rsidR="3A5FC3B6">
              <w:rPr>
                <w:rFonts w:eastAsia="Times New Roman" w:cs="Calibri" w:cstheme="minorAscii"/>
                <w:b w:val="1"/>
                <w:bCs w:val="1"/>
                <w:color w:val="auto"/>
                <w:sz w:val="16"/>
                <w:szCs w:val="16"/>
                <w:lang w:eastAsia="en-GB"/>
              </w:rPr>
              <w:t> </w:t>
            </w:r>
          </w:p>
        </w:tc>
        <w:tc>
          <w:tcPr>
            <w:tcW w:w="714" w:type="pct"/>
            <w:tcBorders>
              <w:top w:val="nil"/>
              <w:left w:val="nil"/>
              <w:bottom w:val="single" w:color="auto" w:sz="4" w:space="0"/>
              <w:right w:val="single" w:color="auto" w:sz="4" w:space="0"/>
            </w:tcBorders>
            <w:shd w:val="clear" w:color="auto" w:fill="auto"/>
            <w:noWrap/>
            <w:tcMar/>
            <w:vAlign w:val="center"/>
            <w:hideMark/>
          </w:tcPr>
          <w:p w:rsidRPr="00451E14" w:rsidR="00451E14" w:rsidP="3A5FC3B6" w:rsidRDefault="00451E14" w14:paraId="58854CD3" w14:textId="77777777" w14:noSpellErr="1">
            <w:pPr>
              <w:spacing w:after="0" w:line="240" w:lineRule="auto"/>
              <w:jc w:val="center"/>
              <w:rPr>
                <w:rFonts w:eastAsia="Times New Roman" w:cs="Calibri" w:cstheme="minorAscii"/>
                <w:color w:val="auto"/>
                <w:sz w:val="16"/>
                <w:szCs w:val="16"/>
                <w:lang w:eastAsia="en-GB"/>
              </w:rPr>
            </w:pPr>
            <w:r w:rsidRPr="3A5FC3B6" w:rsidR="3A5FC3B6">
              <w:rPr>
                <w:rFonts w:eastAsia="Times New Roman" w:cs="Calibri" w:cstheme="minorAscii"/>
                <w:color w:val="auto"/>
                <w:sz w:val="16"/>
                <w:szCs w:val="16"/>
                <w:lang w:eastAsia="en-GB"/>
              </w:rPr>
              <w:t>*</w:t>
            </w:r>
          </w:p>
        </w:tc>
        <w:tc>
          <w:tcPr>
            <w:tcW w:w="714" w:type="pct"/>
            <w:tcBorders>
              <w:top w:val="nil"/>
              <w:left w:val="nil"/>
              <w:bottom w:val="single" w:color="auto" w:sz="4" w:space="0"/>
              <w:right w:val="single" w:color="auto" w:sz="4" w:space="0"/>
            </w:tcBorders>
            <w:shd w:val="clear" w:color="auto" w:fill="auto"/>
            <w:noWrap/>
            <w:tcMar/>
            <w:vAlign w:val="center"/>
            <w:hideMark/>
          </w:tcPr>
          <w:p w:rsidRPr="00451E14" w:rsidR="00451E14" w:rsidP="3A5FC3B6" w:rsidRDefault="00451E14" w14:paraId="0CE12C52" w14:textId="77777777" w14:noSpellErr="1">
            <w:pPr>
              <w:spacing w:after="0" w:line="240" w:lineRule="auto"/>
              <w:jc w:val="center"/>
              <w:rPr>
                <w:rFonts w:eastAsia="Times New Roman" w:cs="Calibri" w:cstheme="minorAscii"/>
                <w:color w:val="auto"/>
                <w:sz w:val="16"/>
                <w:szCs w:val="16"/>
                <w:lang w:eastAsia="en-GB"/>
              </w:rPr>
            </w:pPr>
            <w:r w:rsidRPr="3A5FC3B6" w:rsidR="3A5FC3B6">
              <w:rPr>
                <w:rFonts w:eastAsia="Times New Roman" w:cs="Calibri" w:cstheme="minorAscii"/>
                <w:color w:val="auto"/>
                <w:sz w:val="16"/>
                <w:szCs w:val="16"/>
                <w:lang w:eastAsia="en-GB"/>
              </w:rPr>
              <w:t>*</w:t>
            </w:r>
          </w:p>
        </w:tc>
        <w:tc>
          <w:tcPr>
            <w:tcW w:w="561" w:type="pct"/>
            <w:tcBorders>
              <w:top w:val="nil"/>
              <w:left w:val="nil"/>
              <w:bottom w:val="single" w:color="auto" w:sz="4" w:space="0"/>
              <w:right w:val="single" w:color="auto" w:sz="4" w:space="0"/>
            </w:tcBorders>
            <w:shd w:val="clear" w:color="auto" w:fill="auto"/>
            <w:noWrap/>
            <w:tcMar/>
            <w:vAlign w:val="center"/>
            <w:hideMark/>
          </w:tcPr>
          <w:p w:rsidRPr="00451E14" w:rsidR="00451E14" w:rsidP="3A5FC3B6" w:rsidRDefault="00451E14" w14:paraId="356E0E52" w14:textId="77777777" w14:noSpellErr="1">
            <w:pPr>
              <w:spacing w:after="0" w:line="240" w:lineRule="auto"/>
              <w:jc w:val="center"/>
              <w:rPr>
                <w:rFonts w:eastAsia="Times New Roman" w:cs="Calibri" w:cstheme="minorAscii"/>
                <w:color w:val="auto"/>
                <w:sz w:val="16"/>
                <w:szCs w:val="16"/>
                <w:lang w:eastAsia="en-GB"/>
              </w:rPr>
            </w:pPr>
            <w:r w:rsidRPr="3A5FC3B6" w:rsidR="3A5FC3B6">
              <w:rPr>
                <w:rFonts w:eastAsia="Times New Roman" w:cs="Calibri" w:cstheme="minorAscii"/>
                <w:color w:val="auto"/>
                <w:sz w:val="16"/>
                <w:szCs w:val="16"/>
                <w:lang w:eastAsia="en-GB"/>
              </w:rPr>
              <w:t>*</w:t>
            </w:r>
          </w:p>
        </w:tc>
        <w:tc>
          <w:tcPr>
            <w:tcW w:w="574" w:type="pct"/>
            <w:tcBorders>
              <w:top w:val="nil"/>
              <w:left w:val="nil"/>
              <w:bottom w:val="single" w:color="auto" w:sz="4" w:space="0"/>
              <w:right w:val="single" w:color="auto" w:sz="4" w:space="0"/>
            </w:tcBorders>
            <w:shd w:val="clear" w:color="auto" w:fill="auto"/>
            <w:noWrap/>
            <w:tcMar/>
            <w:vAlign w:val="center"/>
            <w:hideMark/>
          </w:tcPr>
          <w:p w:rsidRPr="00451E14" w:rsidR="00451E14" w:rsidP="3A5FC3B6" w:rsidRDefault="00451E14" w14:paraId="5A283308" w14:textId="77777777" w14:noSpellErr="1">
            <w:pPr>
              <w:spacing w:after="0" w:line="240" w:lineRule="auto"/>
              <w:jc w:val="center"/>
              <w:rPr>
                <w:rFonts w:eastAsia="Times New Roman" w:cs="Calibri" w:cstheme="minorAscii"/>
                <w:color w:val="auto"/>
                <w:sz w:val="16"/>
                <w:szCs w:val="16"/>
                <w:lang w:eastAsia="en-GB"/>
              </w:rPr>
            </w:pPr>
            <w:r w:rsidRPr="3A5FC3B6" w:rsidR="3A5FC3B6">
              <w:rPr>
                <w:rFonts w:eastAsia="Times New Roman" w:cs="Calibri" w:cstheme="minorAscii"/>
                <w:color w:val="auto"/>
                <w:sz w:val="16"/>
                <w:szCs w:val="16"/>
                <w:lang w:eastAsia="en-GB"/>
              </w:rPr>
              <w:t>*</w:t>
            </w:r>
          </w:p>
        </w:tc>
        <w:tc>
          <w:tcPr>
            <w:tcW w:w="552" w:type="pct"/>
            <w:tcBorders>
              <w:top w:val="nil"/>
              <w:left w:val="nil"/>
              <w:bottom w:val="single" w:color="auto" w:sz="4" w:space="0"/>
              <w:right w:val="single" w:color="auto" w:sz="4" w:space="0"/>
            </w:tcBorders>
            <w:shd w:val="clear" w:color="auto" w:fill="auto"/>
            <w:noWrap/>
            <w:tcMar/>
            <w:vAlign w:val="center"/>
            <w:hideMark/>
          </w:tcPr>
          <w:p w:rsidRPr="00451E14" w:rsidR="00451E14" w:rsidP="3A5FC3B6" w:rsidRDefault="00451E14" w14:paraId="533AB28A" w14:textId="77777777" w14:noSpellErr="1">
            <w:pPr>
              <w:spacing w:after="0" w:line="240" w:lineRule="auto"/>
              <w:jc w:val="center"/>
              <w:rPr>
                <w:rFonts w:eastAsia="Times New Roman" w:cs="Calibri" w:cstheme="minorAscii"/>
                <w:color w:val="auto"/>
                <w:sz w:val="16"/>
                <w:szCs w:val="16"/>
                <w:lang w:eastAsia="en-GB"/>
              </w:rPr>
            </w:pPr>
            <w:r w:rsidRPr="3A5FC3B6" w:rsidR="3A5FC3B6">
              <w:rPr>
                <w:rFonts w:eastAsia="Times New Roman" w:cs="Calibri" w:cstheme="minorAscii"/>
                <w:color w:val="auto"/>
                <w:sz w:val="16"/>
                <w:szCs w:val="16"/>
                <w:lang w:eastAsia="en-GB"/>
              </w:rPr>
              <w:t>**</w:t>
            </w:r>
          </w:p>
        </w:tc>
        <w:tc>
          <w:tcPr>
            <w:tcW w:w="471" w:type="pct"/>
            <w:tcBorders>
              <w:top w:val="nil"/>
              <w:left w:val="nil"/>
              <w:bottom w:val="single" w:color="auto" w:sz="4" w:space="0"/>
              <w:right w:val="single" w:color="auto" w:sz="4" w:space="0"/>
            </w:tcBorders>
            <w:shd w:val="clear" w:color="auto" w:fill="auto"/>
            <w:noWrap/>
            <w:tcMar/>
            <w:vAlign w:val="center"/>
            <w:hideMark/>
          </w:tcPr>
          <w:p w:rsidRPr="00451E14" w:rsidR="00451E14" w:rsidP="3A5FC3B6" w:rsidRDefault="00451E14" w14:paraId="0DE042E9" w14:textId="77777777" w14:noSpellErr="1">
            <w:pPr>
              <w:spacing w:after="0" w:line="240" w:lineRule="auto"/>
              <w:jc w:val="center"/>
              <w:rPr>
                <w:rFonts w:eastAsia="Times New Roman" w:cs="Calibri" w:cstheme="minorAscii"/>
                <w:color w:val="auto"/>
                <w:sz w:val="16"/>
                <w:szCs w:val="16"/>
                <w:lang w:eastAsia="en-GB"/>
              </w:rPr>
            </w:pPr>
            <w:r w:rsidRPr="3A5FC3B6" w:rsidR="3A5FC3B6">
              <w:rPr>
                <w:rFonts w:eastAsia="Times New Roman" w:cs="Calibri" w:cstheme="minorAscii"/>
                <w:color w:val="auto"/>
                <w:sz w:val="16"/>
                <w:szCs w:val="16"/>
                <w:lang w:eastAsia="en-GB"/>
              </w:rPr>
              <w:t>/</w:t>
            </w:r>
          </w:p>
        </w:tc>
        <w:tc>
          <w:tcPr>
            <w:tcW w:w="481" w:type="pct"/>
            <w:tcBorders>
              <w:top w:val="nil"/>
              <w:left w:val="nil"/>
              <w:bottom w:val="single" w:color="auto" w:sz="4" w:space="0"/>
              <w:right w:val="single" w:color="auto" w:sz="4" w:space="0"/>
            </w:tcBorders>
            <w:shd w:val="clear" w:color="auto" w:fill="auto"/>
            <w:noWrap/>
            <w:tcMar/>
            <w:vAlign w:val="center"/>
            <w:hideMark/>
          </w:tcPr>
          <w:p w:rsidRPr="00451E14" w:rsidR="00451E14" w:rsidP="3A5FC3B6" w:rsidRDefault="00451E14" w14:paraId="6F7391E6" w14:textId="77777777" w14:noSpellErr="1">
            <w:pPr>
              <w:spacing w:after="0" w:line="240" w:lineRule="auto"/>
              <w:jc w:val="center"/>
              <w:rPr>
                <w:rFonts w:eastAsia="Times New Roman" w:cs="Calibri" w:cstheme="minorAscii"/>
                <w:color w:val="auto"/>
                <w:sz w:val="16"/>
                <w:szCs w:val="16"/>
                <w:lang w:eastAsia="en-GB"/>
              </w:rPr>
            </w:pPr>
            <w:r w:rsidRPr="3A5FC3B6" w:rsidR="3A5FC3B6">
              <w:rPr>
                <w:rFonts w:eastAsia="Times New Roman" w:cs="Calibri" w:cstheme="minorAscii"/>
                <w:color w:val="auto"/>
                <w:sz w:val="16"/>
                <w:szCs w:val="16"/>
                <w:lang w:eastAsia="en-GB"/>
              </w:rPr>
              <w:t>*</w:t>
            </w:r>
          </w:p>
        </w:tc>
        <w:tc>
          <w:tcPr>
            <w:tcW w:w="410" w:type="pct"/>
            <w:tcBorders>
              <w:top w:val="nil"/>
              <w:left w:val="nil"/>
              <w:bottom w:val="single" w:color="auto" w:sz="4" w:space="0"/>
              <w:right w:val="single" w:color="auto" w:sz="4" w:space="0"/>
            </w:tcBorders>
            <w:shd w:val="clear" w:color="auto" w:fill="auto"/>
            <w:noWrap/>
            <w:tcMar/>
            <w:vAlign w:val="center"/>
            <w:hideMark/>
          </w:tcPr>
          <w:p w:rsidRPr="00451E14" w:rsidR="00451E14" w:rsidP="3A5FC3B6" w:rsidRDefault="00451E14" w14:paraId="3FB119AB" w14:textId="77777777" w14:noSpellErr="1">
            <w:pPr>
              <w:spacing w:after="0" w:line="240" w:lineRule="auto"/>
              <w:jc w:val="center"/>
              <w:rPr>
                <w:rFonts w:eastAsia="Times New Roman" w:cs="Calibri" w:cstheme="minorAscii"/>
                <w:color w:val="auto"/>
                <w:sz w:val="16"/>
                <w:szCs w:val="16"/>
                <w:lang w:eastAsia="en-GB"/>
              </w:rPr>
            </w:pPr>
            <w:r w:rsidRPr="3A5FC3B6" w:rsidR="3A5FC3B6">
              <w:rPr>
                <w:rFonts w:eastAsia="Times New Roman" w:cs="Calibri" w:cstheme="minorAscii"/>
                <w:color w:val="auto"/>
                <w:sz w:val="16"/>
                <w:szCs w:val="16"/>
                <w:lang w:eastAsia="en-GB"/>
              </w:rPr>
              <w:t>*</w:t>
            </w:r>
          </w:p>
        </w:tc>
      </w:tr>
      <w:tr w:rsidRPr="008B1C26" w:rsidR="00451E14" w:rsidTr="3A5FC3B6" w14:paraId="19859F50" w14:textId="77777777">
        <w:trPr>
          <w:trHeight w:val="290"/>
        </w:trPr>
        <w:tc>
          <w:tcPr>
            <w:tcW w:w="523" w:type="pct"/>
            <w:tcBorders>
              <w:top w:val="nil"/>
              <w:left w:val="single" w:color="auto" w:sz="4" w:space="0"/>
              <w:bottom w:val="single" w:color="auto" w:sz="4" w:space="0"/>
              <w:right w:val="single" w:color="auto" w:sz="4" w:space="0"/>
            </w:tcBorders>
            <w:shd w:val="clear" w:color="auto" w:fill="auto"/>
            <w:noWrap/>
            <w:tcMar/>
            <w:vAlign w:val="center"/>
            <w:hideMark/>
          </w:tcPr>
          <w:p w:rsidRPr="00451E14" w:rsidR="00451E14" w:rsidP="3A5FC3B6" w:rsidRDefault="00451E14" w14:paraId="16194B40" w14:textId="77777777">
            <w:pPr>
              <w:spacing w:after="0" w:line="240" w:lineRule="auto"/>
              <w:jc w:val="center"/>
              <w:rPr>
                <w:rFonts w:eastAsia="Times New Roman" w:cs="Calibri" w:cstheme="minorAscii"/>
                <w:b w:val="1"/>
                <w:bCs w:val="1"/>
                <w:color w:val="auto"/>
                <w:sz w:val="16"/>
                <w:szCs w:val="16"/>
                <w:lang w:eastAsia="en-GB"/>
              </w:rPr>
            </w:pPr>
            <w:r w:rsidRPr="3A5FC3B6" w:rsidR="3A5FC3B6">
              <w:rPr>
                <w:rFonts w:eastAsia="Times New Roman" w:cs="Calibri" w:cstheme="minorAscii"/>
                <w:b w:val="1"/>
                <w:bCs w:val="1"/>
                <w:color w:val="auto"/>
                <w:sz w:val="16"/>
                <w:szCs w:val="16"/>
                <w:lang w:eastAsia="en-GB"/>
              </w:rPr>
              <w:t>Feo</w:t>
            </w:r>
            <w:r w:rsidRPr="3A5FC3B6" w:rsidR="3A5FC3B6">
              <w:rPr>
                <w:rFonts w:eastAsia="Times New Roman" w:cs="Calibri" w:cstheme="minorAscii"/>
                <w:b w:val="1"/>
                <w:bCs w:val="1"/>
                <w:color w:val="auto"/>
                <w:sz w:val="16"/>
                <w:szCs w:val="16"/>
                <w:lang w:eastAsia="en-GB"/>
              </w:rPr>
              <w:t> </w:t>
            </w:r>
          </w:p>
        </w:tc>
        <w:tc>
          <w:tcPr>
            <w:tcW w:w="714" w:type="pct"/>
            <w:tcBorders>
              <w:top w:val="nil"/>
              <w:left w:val="nil"/>
              <w:bottom w:val="single" w:color="auto" w:sz="4" w:space="0"/>
              <w:right w:val="single" w:color="auto" w:sz="4" w:space="0"/>
            </w:tcBorders>
            <w:shd w:val="clear" w:color="auto" w:fill="auto"/>
            <w:noWrap/>
            <w:tcMar/>
            <w:vAlign w:val="center"/>
            <w:hideMark/>
          </w:tcPr>
          <w:p w:rsidRPr="00451E14" w:rsidR="00451E14" w:rsidP="3A5FC3B6" w:rsidRDefault="00451E14" w14:paraId="63688F45" w14:textId="77777777" w14:noSpellErr="1">
            <w:pPr>
              <w:spacing w:after="0" w:line="240" w:lineRule="auto"/>
              <w:jc w:val="center"/>
              <w:rPr>
                <w:rFonts w:eastAsia="Times New Roman" w:cs="Calibri" w:cstheme="minorAscii"/>
                <w:color w:val="auto"/>
                <w:sz w:val="16"/>
                <w:szCs w:val="16"/>
                <w:lang w:eastAsia="en-GB"/>
              </w:rPr>
            </w:pPr>
            <w:r w:rsidRPr="3A5FC3B6" w:rsidR="3A5FC3B6">
              <w:rPr>
                <w:rFonts w:eastAsia="Times New Roman" w:cs="Calibri" w:cstheme="minorAscii"/>
                <w:color w:val="auto"/>
                <w:sz w:val="16"/>
                <w:szCs w:val="16"/>
                <w:lang w:eastAsia="en-GB"/>
              </w:rPr>
              <w:t>*</w:t>
            </w:r>
          </w:p>
        </w:tc>
        <w:tc>
          <w:tcPr>
            <w:tcW w:w="714" w:type="pct"/>
            <w:tcBorders>
              <w:top w:val="nil"/>
              <w:left w:val="nil"/>
              <w:bottom w:val="single" w:color="auto" w:sz="4" w:space="0"/>
              <w:right w:val="single" w:color="auto" w:sz="4" w:space="0"/>
            </w:tcBorders>
            <w:shd w:val="clear" w:color="auto" w:fill="auto"/>
            <w:noWrap/>
            <w:tcMar/>
            <w:vAlign w:val="center"/>
            <w:hideMark/>
          </w:tcPr>
          <w:p w:rsidRPr="00451E14" w:rsidR="00451E14" w:rsidP="3A5FC3B6" w:rsidRDefault="00451E14" w14:paraId="3D4D2CAC" w14:textId="77777777" w14:noSpellErr="1">
            <w:pPr>
              <w:spacing w:after="0" w:line="240" w:lineRule="auto"/>
              <w:jc w:val="center"/>
              <w:rPr>
                <w:rFonts w:eastAsia="Times New Roman" w:cs="Calibri" w:cstheme="minorAscii"/>
                <w:color w:val="auto"/>
                <w:sz w:val="16"/>
                <w:szCs w:val="16"/>
                <w:lang w:eastAsia="en-GB"/>
              </w:rPr>
            </w:pPr>
            <w:r w:rsidRPr="3A5FC3B6" w:rsidR="3A5FC3B6">
              <w:rPr>
                <w:rFonts w:eastAsia="Times New Roman" w:cs="Calibri" w:cstheme="minorAscii"/>
                <w:color w:val="auto"/>
                <w:sz w:val="16"/>
                <w:szCs w:val="16"/>
                <w:lang w:eastAsia="en-GB"/>
              </w:rPr>
              <w:t>*</w:t>
            </w:r>
          </w:p>
        </w:tc>
        <w:tc>
          <w:tcPr>
            <w:tcW w:w="561" w:type="pct"/>
            <w:tcBorders>
              <w:top w:val="nil"/>
              <w:left w:val="nil"/>
              <w:bottom w:val="single" w:color="auto" w:sz="4" w:space="0"/>
              <w:right w:val="single" w:color="auto" w:sz="4" w:space="0"/>
            </w:tcBorders>
            <w:shd w:val="clear" w:color="auto" w:fill="auto"/>
            <w:noWrap/>
            <w:tcMar/>
            <w:vAlign w:val="center"/>
            <w:hideMark/>
          </w:tcPr>
          <w:p w:rsidRPr="00451E14" w:rsidR="00451E14" w:rsidP="3A5FC3B6" w:rsidRDefault="00451E14" w14:paraId="54B79DD2" w14:textId="77777777" w14:noSpellErr="1">
            <w:pPr>
              <w:spacing w:after="0" w:line="240" w:lineRule="auto"/>
              <w:jc w:val="center"/>
              <w:rPr>
                <w:rFonts w:eastAsia="Times New Roman" w:cs="Calibri" w:cstheme="minorAscii"/>
                <w:color w:val="auto"/>
                <w:sz w:val="16"/>
                <w:szCs w:val="16"/>
                <w:lang w:eastAsia="en-GB"/>
              </w:rPr>
            </w:pPr>
            <w:r w:rsidRPr="3A5FC3B6" w:rsidR="3A5FC3B6">
              <w:rPr>
                <w:rFonts w:eastAsia="Times New Roman" w:cs="Calibri" w:cstheme="minorAscii"/>
                <w:color w:val="auto"/>
                <w:sz w:val="16"/>
                <w:szCs w:val="16"/>
                <w:lang w:eastAsia="en-GB"/>
              </w:rPr>
              <w:t>*</w:t>
            </w:r>
          </w:p>
        </w:tc>
        <w:tc>
          <w:tcPr>
            <w:tcW w:w="574" w:type="pct"/>
            <w:tcBorders>
              <w:top w:val="nil"/>
              <w:left w:val="nil"/>
              <w:bottom w:val="single" w:color="auto" w:sz="4" w:space="0"/>
              <w:right w:val="single" w:color="auto" w:sz="4" w:space="0"/>
            </w:tcBorders>
            <w:shd w:val="clear" w:color="auto" w:fill="auto"/>
            <w:noWrap/>
            <w:tcMar/>
            <w:vAlign w:val="center"/>
            <w:hideMark/>
          </w:tcPr>
          <w:p w:rsidRPr="00451E14" w:rsidR="00451E14" w:rsidP="3A5FC3B6" w:rsidRDefault="00451E14" w14:paraId="232E6B3D" w14:textId="77777777" w14:noSpellErr="1">
            <w:pPr>
              <w:spacing w:after="0" w:line="240" w:lineRule="auto"/>
              <w:jc w:val="center"/>
              <w:rPr>
                <w:rFonts w:eastAsia="Times New Roman" w:cs="Calibri" w:cstheme="minorAscii"/>
                <w:color w:val="auto"/>
                <w:sz w:val="16"/>
                <w:szCs w:val="16"/>
                <w:lang w:eastAsia="en-GB"/>
              </w:rPr>
            </w:pPr>
            <w:r w:rsidRPr="3A5FC3B6" w:rsidR="3A5FC3B6">
              <w:rPr>
                <w:rFonts w:eastAsia="Times New Roman" w:cs="Calibri" w:cstheme="minorAscii"/>
                <w:color w:val="auto"/>
                <w:sz w:val="16"/>
                <w:szCs w:val="16"/>
                <w:lang w:eastAsia="en-GB"/>
              </w:rPr>
              <w:t>*</w:t>
            </w:r>
          </w:p>
        </w:tc>
        <w:tc>
          <w:tcPr>
            <w:tcW w:w="552" w:type="pct"/>
            <w:tcBorders>
              <w:top w:val="nil"/>
              <w:left w:val="nil"/>
              <w:bottom w:val="single" w:color="auto" w:sz="4" w:space="0"/>
              <w:right w:val="single" w:color="auto" w:sz="4" w:space="0"/>
            </w:tcBorders>
            <w:shd w:val="clear" w:color="auto" w:fill="auto"/>
            <w:noWrap/>
            <w:tcMar/>
            <w:vAlign w:val="center"/>
            <w:hideMark/>
          </w:tcPr>
          <w:p w:rsidRPr="00451E14" w:rsidR="00451E14" w:rsidP="3A5FC3B6" w:rsidRDefault="00451E14" w14:paraId="46D4D6DB" w14:textId="77777777" w14:noSpellErr="1">
            <w:pPr>
              <w:spacing w:after="0" w:line="240" w:lineRule="auto"/>
              <w:jc w:val="center"/>
              <w:rPr>
                <w:rFonts w:eastAsia="Times New Roman" w:cs="Calibri" w:cstheme="minorAscii"/>
                <w:color w:val="auto"/>
                <w:sz w:val="16"/>
                <w:szCs w:val="16"/>
                <w:lang w:eastAsia="en-GB"/>
              </w:rPr>
            </w:pPr>
            <w:r w:rsidRPr="3A5FC3B6" w:rsidR="3A5FC3B6">
              <w:rPr>
                <w:rFonts w:eastAsia="Times New Roman" w:cs="Calibri" w:cstheme="minorAscii"/>
                <w:color w:val="auto"/>
                <w:sz w:val="16"/>
                <w:szCs w:val="16"/>
                <w:lang w:eastAsia="en-GB"/>
              </w:rPr>
              <w:t>**</w:t>
            </w:r>
          </w:p>
        </w:tc>
        <w:tc>
          <w:tcPr>
            <w:tcW w:w="471" w:type="pct"/>
            <w:tcBorders>
              <w:top w:val="nil"/>
              <w:left w:val="nil"/>
              <w:bottom w:val="single" w:color="auto" w:sz="4" w:space="0"/>
              <w:right w:val="single" w:color="auto" w:sz="4" w:space="0"/>
            </w:tcBorders>
            <w:shd w:val="clear" w:color="auto" w:fill="auto"/>
            <w:noWrap/>
            <w:tcMar/>
            <w:vAlign w:val="center"/>
            <w:hideMark/>
          </w:tcPr>
          <w:p w:rsidRPr="00451E14" w:rsidR="00451E14" w:rsidP="3A5FC3B6" w:rsidRDefault="00451E14" w14:paraId="6E436546" w14:textId="77777777" w14:noSpellErr="1">
            <w:pPr>
              <w:spacing w:after="0" w:line="240" w:lineRule="auto"/>
              <w:jc w:val="center"/>
              <w:rPr>
                <w:rFonts w:eastAsia="Times New Roman" w:cs="Calibri" w:cstheme="minorAscii"/>
                <w:color w:val="auto"/>
                <w:sz w:val="16"/>
                <w:szCs w:val="16"/>
                <w:lang w:eastAsia="en-GB"/>
              </w:rPr>
            </w:pPr>
            <w:r w:rsidRPr="3A5FC3B6" w:rsidR="3A5FC3B6">
              <w:rPr>
                <w:rFonts w:eastAsia="Times New Roman" w:cs="Calibri" w:cstheme="minorAscii"/>
                <w:color w:val="auto"/>
                <w:sz w:val="16"/>
                <w:szCs w:val="16"/>
                <w:lang w:eastAsia="en-GB"/>
              </w:rPr>
              <w:t>/</w:t>
            </w:r>
          </w:p>
        </w:tc>
        <w:tc>
          <w:tcPr>
            <w:tcW w:w="481" w:type="pct"/>
            <w:tcBorders>
              <w:top w:val="nil"/>
              <w:left w:val="nil"/>
              <w:bottom w:val="single" w:color="auto" w:sz="4" w:space="0"/>
              <w:right w:val="single" w:color="auto" w:sz="4" w:space="0"/>
            </w:tcBorders>
            <w:shd w:val="clear" w:color="auto" w:fill="auto"/>
            <w:noWrap/>
            <w:tcMar/>
            <w:vAlign w:val="center"/>
            <w:hideMark/>
          </w:tcPr>
          <w:p w:rsidRPr="00451E14" w:rsidR="00451E14" w:rsidP="3A5FC3B6" w:rsidRDefault="00451E14" w14:paraId="2A9126D7" w14:textId="77777777" w14:noSpellErr="1">
            <w:pPr>
              <w:spacing w:after="0" w:line="240" w:lineRule="auto"/>
              <w:jc w:val="center"/>
              <w:rPr>
                <w:rFonts w:eastAsia="Times New Roman" w:cs="Calibri" w:cstheme="minorAscii"/>
                <w:color w:val="auto"/>
                <w:sz w:val="16"/>
                <w:szCs w:val="16"/>
                <w:lang w:eastAsia="en-GB"/>
              </w:rPr>
            </w:pPr>
            <w:r w:rsidRPr="3A5FC3B6" w:rsidR="3A5FC3B6">
              <w:rPr>
                <w:rFonts w:eastAsia="Times New Roman" w:cs="Calibri" w:cstheme="minorAscii"/>
                <w:color w:val="auto"/>
                <w:sz w:val="16"/>
                <w:szCs w:val="16"/>
                <w:lang w:eastAsia="en-GB"/>
              </w:rPr>
              <w:t>*</w:t>
            </w:r>
          </w:p>
        </w:tc>
        <w:tc>
          <w:tcPr>
            <w:tcW w:w="410" w:type="pct"/>
            <w:tcBorders>
              <w:top w:val="nil"/>
              <w:left w:val="nil"/>
              <w:bottom w:val="single" w:color="auto" w:sz="4" w:space="0"/>
              <w:right w:val="single" w:color="auto" w:sz="4" w:space="0"/>
            </w:tcBorders>
            <w:shd w:val="clear" w:color="auto" w:fill="auto"/>
            <w:noWrap/>
            <w:tcMar/>
            <w:vAlign w:val="center"/>
            <w:hideMark/>
          </w:tcPr>
          <w:p w:rsidRPr="00451E14" w:rsidR="00451E14" w:rsidP="3A5FC3B6" w:rsidRDefault="00451E14" w14:paraId="1D8BDC0D" w14:textId="77777777" w14:noSpellErr="1">
            <w:pPr>
              <w:spacing w:after="0" w:line="240" w:lineRule="auto"/>
              <w:jc w:val="center"/>
              <w:rPr>
                <w:rFonts w:eastAsia="Times New Roman" w:cs="Calibri" w:cstheme="minorAscii"/>
                <w:color w:val="auto"/>
                <w:sz w:val="16"/>
                <w:szCs w:val="16"/>
                <w:lang w:eastAsia="en-GB"/>
              </w:rPr>
            </w:pPr>
            <w:r w:rsidRPr="3A5FC3B6" w:rsidR="3A5FC3B6">
              <w:rPr>
                <w:rFonts w:eastAsia="Times New Roman" w:cs="Calibri" w:cstheme="minorAscii"/>
                <w:color w:val="auto"/>
                <w:sz w:val="16"/>
                <w:szCs w:val="16"/>
                <w:lang w:eastAsia="en-GB"/>
              </w:rPr>
              <w:t>*</w:t>
            </w:r>
          </w:p>
        </w:tc>
      </w:tr>
      <w:tr w:rsidRPr="008B1C26" w:rsidR="00451E14" w:rsidTr="3A5FC3B6" w14:paraId="28A942FC" w14:textId="77777777">
        <w:trPr>
          <w:trHeight w:val="290"/>
        </w:trPr>
        <w:tc>
          <w:tcPr>
            <w:tcW w:w="523" w:type="pct"/>
            <w:tcBorders>
              <w:top w:val="nil"/>
              <w:left w:val="single" w:color="auto" w:sz="4" w:space="0"/>
              <w:bottom w:val="single" w:color="auto" w:sz="4" w:space="0"/>
              <w:right w:val="single" w:color="auto" w:sz="4" w:space="0"/>
            </w:tcBorders>
            <w:shd w:val="clear" w:color="auto" w:fill="auto"/>
            <w:noWrap/>
            <w:tcMar/>
            <w:vAlign w:val="center"/>
            <w:hideMark/>
          </w:tcPr>
          <w:p w:rsidRPr="00451E14" w:rsidR="00451E14" w:rsidP="3A5FC3B6" w:rsidRDefault="00451E14" w14:paraId="363D8991" w14:textId="77777777">
            <w:pPr>
              <w:spacing w:after="0" w:line="240" w:lineRule="auto"/>
              <w:jc w:val="center"/>
              <w:rPr>
                <w:rFonts w:eastAsia="Times New Roman" w:cs="Calibri" w:cstheme="minorAscii"/>
                <w:b w:val="1"/>
                <w:bCs w:val="1"/>
                <w:color w:val="auto"/>
                <w:sz w:val="16"/>
                <w:szCs w:val="16"/>
                <w:lang w:eastAsia="en-GB"/>
              </w:rPr>
            </w:pPr>
            <w:r w:rsidRPr="3A5FC3B6" w:rsidR="3A5FC3B6">
              <w:rPr>
                <w:rFonts w:eastAsia="Times New Roman" w:cs="Calibri" w:cstheme="minorAscii"/>
                <w:b w:val="1"/>
                <w:bCs w:val="1"/>
                <w:color w:val="auto"/>
                <w:sz w:val="16"/>
                <w:szCs w:val="16"/>
                <w:lang w:eastAsia="en-GB"/>
              </w:rPr>
              <w:t>Giacomelli</w:t>
            </w:r>
            <w:r w:rsidRPr="3A5FC3B6" w:rsidR="3A5FC3B6">
              <w:rPr>
                <w:rFonts w:eastAsia="Times New Roman" w:cs="Calibri" w:cstheme="minorAscii"/>
                <w:b w:val="1"/>
                <w:bCs w:val="1"/>
                <w:color w:val="auto"/>
                <w:sz w:val="16"/>
                <w:szCs w:val="16"/>
                <w:lang w:eastAsia="en-GB"/>
              </w:rPr>
              <w:t> </w:t>
            </w:r>
          </w:p>
        </w:tc>
        <w:tc>
          <w:tcPr>
            <w:tcW w:w="714" w:type="pct"/>
            <w:tcBorders>
              <w:top w:val="nil"/>
              <w:left w:val="nil"/>
              <w:bottom w:val="single" w:color="auto" w:sz="4" w:space="0"/>
              <w:right w:val="single" w:color="auto" w:sz="4" w:space="0"/>
            </w:tcBorders>
            <w:shd w:val="clear" w:color="auto" w:fill="auto"/>
            <w:noWrap/>
            <w:tcMar/>
            <w:vAlign w:val="center"/>
            <w:hideMark/>
          </w:tcPr>
          <w:p w:rsidRPr="00451E14" w:rsidR="00451E14" w:rsidP="3A5FC3B6" w:rsidRDefault="00451E14" w14:paraId="71D360C8" w14:textId="77777777" w14:noSpellErr="1">
            <w:pPr>
              <w:spacing w:after="0" w:line="240" w:lineRule="auto"/>
              <w:jc w:val="center"/>
              <w:rPr>
                <w:rFonts w:eastAsia="Times New Roman" w:cs="Calibri" w:cstheme="minorAscii"/>
                <w:color w:val="auto"/>
                <w:sz w:val="16"/>
                <w:szCs w:val="16"/>
                <w:lang w:eastAsia="en-GB"/>
              </w:rPr>
            </w:pPr>
            <w:r w:rsidRPr="3A5FC3B6" w:rsidR="3A5FC3B6">
              <w:rPr>
                <w:rFonts w:eastAsia="Times New Roman" w:cs="Calibri" w:cstheme="minorAscii"/>
                <w:color w:val="auto"/>
                <w:sz w:val="16"/>
                <w:szCs w:val="16"/>
                <w:lang w:eastAsia="en-GB"/>
              </w:rPr>
              <w:t>*</w:t>
            </w:r>
          </w:p>
        </w:tc>
        <w:tc>
          <w:tcPr>
            <w:tcW w:w="714" w:type="pct"/>
            <w:tcBorders>
              <w:top w:val="nil"/>
              <w:left w:val="nil"/>
              <w:bottom w:val="single" w:color="auto" w:sz="4" w:space="0"/>
              <w:right w:val="single" w:color="auto" w:sz="4" w:space="0"/>
            </w:tcBorders>
            <w:shd w:val="clear" w:color="auto" w:fill="auto"/>
            <w:noWrap/>
            <w:tcMar/>
            <w:vAlign w:val="center"/>
            <w:hideMark/>
          </w:tcPr>
          <w:p w:rsidRPr="00451E14" w:rsidR="00451E14" w:rsidP="3A5FC3B6" w:rsidRDefault="00451E14" w14:paraId="5534C214" w14:textId="77777777" w14:noSpellErr="1">
            <w:pPr>
              <w:spacing w:after="0" w:line="240" w:lineRule="auto"/>
              <w:jc w:val="center"/>
              <w:rPr>
                <w:rFonts w:eastAsia="Times New Roman" w:cs="Calibri" w:cstheme="minorAscii"/>
                <w:color w:val="auto"/>
                <w:sz w:val="16"/>
                <w:szCs w:val="16"/>
                <w:lang w:eastAsia="en-GB"/>
              </w:rPr>
            </w:pPr>
            <w:r w:rsidRPr="3A5FC3B6" w:rsidR="3A5FC3B6">
              <w:rPr>
                <w:rFonts w:eastAsia="Times New Roman" w:cs="Calibri" w:cstheme="minorAscii"/>
                <w:color w:val="auto"/>
                <w:sz w:val="16"/>
                <w:szCs w:val="16"/>
                <w:lang w:eastAsia="en-GB"/>
              </w:rPr>
              <w:t>*</w:t>
            </w:r>
          </w:p>
        </w:tc>
        <w:tc>
          <w:tcPr>
            <w:tcW w:w="561" w:type="pct"/>
            <w:tcBorders>
              <w:top w:val="nil"/>
              <w:left w:val="nil"/>
              <w:bottom w:val="single" w:color="auto" w:sz="4" w:space="0"/>
              <w:right w:val="single" w:color="auto" w:sz="4" w:space="0"/>
            </w:tcBorders>
            <w:shd w:val="clear" w:color="auto" w:fill="auto"/>
            <w:noWrap/>
            <w:tcMar/>
            <w:vAlign w:val="center"/>
            <w:hideMark/>
          </w:tcPr>
          <w:p w:rsidRPr="00451E14" w:rsidR="00451E14" w:rsidP="3A5FC3B6" w:rsidRDefault="00451E14" w14:paraId="640668FB" w14:textId="77777777" w14:noSpellErr="1">
            <w:pPr>
              <w:spacing w:after="0" w:line="240" w:lineRule="auto"/>
              <w:jc w:val="center"/>
              <w:rPr>
                <w:rFonts w:eastAsia="Times New Roman" w:cs="Calibri" w:cstheme="minorAscii"/>
                <w:color w:val="auto"/>
                <w:sz w:val="16"/>
                <w:szCs w:val="16"/>
                <w:lang w:eastAsia="en-GB"/>
              </w:rPr>
            </w:pPr>
            <w:r w:rsidRPr="3A5FC3B6" w:rsidR="3A5FC3B6">
              <w:rPr>
                <w:rFonts w:eastAsia="Times New Roman" w:cs="Calibri" w:cstheme="minorAscii"/>
                <w:color w:val="auto"/>
                <w:sz w:val="16"/>
                <w:szCs w:val="16"/>
                <w:lang w:eastAsia="en-GB"/>
              </w:rPr>
              <w:t>*</w:t>
            </w:r>
          </w:p>
        </w:tc>
        <w:tc>
          <w:tcPr>
            <w:tcW w:w="574" w:type="pct"/>
            <w:tcBorders>
              <w:top w:val="nil"/>
              <w:left w:val="nil"/>
              <w:bottom w:val="single" w:color="auto" w:sz="4" w:space="0"/>
              <w:right w:val="single" w:color="auto" w:sz="4" w:space="0"/>
            </w:tcBorders>
            <w:shd w:val="clear" w:color="auto" w:fill="auto"/>
            <w:noWrap/>
            <w:tcMar/>
            <w:vAlign w:val="center"/>
            <w:hideMark/>
          </w:tcPr>
          <w:p w:rsidRPr="00451E14" w:rsidR="00451E14" w:rsidP="3A5FC3B6" w:rsidRDefault="00451E14" w14:paraId="64F65EB7" w14:textId="77777777" w14:noSpellErr="1">
            <w:pPr>
              <w:spacing w:after="0" w:line="240" w:lineRule="auto"/>
              <w:jc w:val="center"/>
              <w:rPr>
                <w:rFonts w:eastAsia="Times New Roman" w:cs="Calibri" w:cstheme="minorAscii"/>
                <w:color w:val="auto"/>
                <w:sz w:val="16"/>
                <w:szCs w:val="16"/>
                <w:lang w:eastAsia="en-GB"/>
              </w:rPr>
            </w:pPr>
            <w:r w:rsidRPr="3A5FC3B6" w:rsidR="3A5FC3B6">
              <w:rPr>
                <w:rFonts w:eastAsia="Times New Roman" w:cs="Calibri" w:cstheme="minorAscii"/>
                <w:color w:val="auto"/>
                <w:sz w:val="16"/>
                <w:szCs w:val="16"/>
                <w:lang w:eastAsia="en-GB"/>
              </w:rPr>
              <w:t>*</w:t>
            </w:r>
          </w:p>
        </w:tc>
        <w:tc>
          <w:tcPr>
            <w:tcW w:w="552" w:type="pct"/>
            <w:tcBorders>
              <w:top w:val="nil"/>
              <w:left w:val="nil"/>
              <w:bottom w:val="single" w:color="auto" w:sz="4" w:space="0"/>
              <w:right w:val="single" w:color="auto" w:sz="4" w:space="0"/>
            </w:tcBorders>
            <w:shd w:val="clear" w:color="auto" w:fill="auto"/>
            <w:noWrap/>
            <w:tcMar/>
            <w:vAlign w:val="center"/>
            <w:hideMark/>
          </w:tcPr>
          <w:p w:rsidRPr="00451E14" w:rsidR="00451E14" w:rsidP="3A5FC3B6" w:rsidRDefault="00451E14" w14:paraId="5A9C8425" w14:textId="77777777" w14:noSpellErr="1">
            <w:pPr>
              <w:spacing w:after="0" w:line="240" w:lineRule="auto"/>
              <w:jc w:val="center"/>
              <w:rPr>
                <w:rFonts w:eastAsia="Times New Roman" w:cs="Calibri" w:cstheme="minorAscii"/>
                <w:color w:val="auto"/>
                <w:sz w:val="16"/>
                <w:szCs w:val="16"/>
                <w:lang w:eastAsia="en-GB"/>
              </w:rPr>
            </w:pPr>
            <w:r w:rsidRPr="3A5FC3B6" w:rsidR="3A5FC3B6">
              <w:rPr>
                <w:rFonts w:eastAsia="Times New Roman" w:cs="Calibri" w:cstheme="minorAscii"/>
                <w:color w:val="auto"/>
                <w:sz w:val="16"/>
                <w:szCs w:val="16"/>
                <w:lang w:eastAsia="en-GB"/>
              </w:rPr>
              <w:t>*</w:t>
            </w:r>
          </w:p>
        </w:tc>
        <w:tc>
          <w:tcPr>
            <w:tcW w:w="471" w:type="pct"/>
            <w:tcBorders>
              <w:top w:val="nil"/>
              <w:left w:val="nil"/>
              <w:bottom w:val="single" w:color="auto" w:sz="4" w:space="0"/>
              <w:right w:val="single" w:color="auto" w:sz="4" w:space="0"/>
            </w:tcBorders>
            <w:shd w:val="clear" w:color="auto" w:fill="auto"/>
            <w:noWrap/>
            <w:tcMar/>
            <w:vAlign w:val="center"/>
            <w:hideMark/>
          </w:tcPr>
          <w:p w:rsidRPr="00451E14" w:rsidR="00451E14" w:rsidP="3A5FC3B6" w:rsidRDefault="00451E14" w14:paraId="41866E56" w14:textId="77777777" w14:noSpellErr="1">
            <w:pPr>
              <w:spacing w:after="0" w:line="240" w:lineRule="auto"/>
              <w:jc w:val="center"/>
              <w:rPr>
                <w:rFonts w:eastAsia="Times New Roman" w:cs="Calibri" w:cstheme="minorAscii"/>
                <w:color w:val="auto"/>
                <w:sz w:val="16"/>
                <w:szCs w:val="16"/>
                <w:lang w:eastAsia="en-GB"/>
              </w:rPr>
            </w:pPr>
            <w:r w:rsidRPr="3A5FC3B6" w:rsidR="3A5FC3B6">
              <w:rPr>
                <w:rFonts w:eastAsia="Times New Roman" w:cs="Calibri" w:cstheme="minorAscii"/>
                <w:color w:val="auto"/>
                <w:sz w:val="16"/>
                <w:szCs w:val="16"/>
                <w:lang w:eastAsia="en-GB"/>
              </w:rPr>
              <w:t>/</w:t>
            </w:r>
          </w:p>
        </w:tc>
        <w:tc>
          <w:tcPr>
            <w:tcW w:w="481" w:type="pct"/>
            <w:tcBorders>
              <w:top w:val="nil"/>
              <w:left w:val="nil"/>
              <w:bottom w:val="single" w:color="auto" w:sz="4" w:space="0"/>
              <w:right w:val="single" w:color="auto" w:sz="4" w:space="0"/>
            </w:tcBorders>
            <w:shd w:val="clear" w:color="auto" w:fill="auto"/>
            <w:noWrap/>
            <w:tcMar/>
            <w:vAlign w:val="center"/>
            <w:hideMark/>
          </w:tcPr>
          <w:p w:rsidRPr="00451E14" w:rsidR="00451E14" w:rsidP="3A5FC3B6" w:rsidRDefault="00451E14" w14:paraId="5D43AC7C" w14:textId="77777777" w14:noSpellErr="1">
            <w:pPr>
              <w:spacing w:after="0" w:line="240" w:lineRule="auto"/>
              <w:jc w:val="center"/>
              <w:rPr>
                <w:rFonts w:eastAsia="Times New Roman" w:cs="Calibri" w:cstheme="minorAscii"/>
                <w:color w:val="auto"/>
                <w:sz w:val="16"/>
                <w:szCs w:val="16"/>
                <w:lang w:eastAsia="en-GB"/>
              </w:rPr>
            </w:pPr>
            <w:r w:rsidRPr="3A5FC3B6" w:rsidR="3A5FC3B6">
              <w:rPr>
                <w:rFonts w:eastAsia="Times New Roman" w:cs="Calibri" w:cstheme="minorAscii"/>
                <w:color w:val="auto"/>
                <w:sz w:val="16"/>
                <w:szCs w:val="16"/>
                <w:lang w:eastAsia="en-GB"/>
              </w:rPr>
              <w:t>*</w:t>
            </w:r>
          </w:p>
        </w:tc>
        <w:tc>
          <w:tcPr>
            <w:tcW w:w="410" w:type="pct"/>
            <w:tcBorders>
              <w:top w:val="nil"/>
              <w:left w:val="nil"/>
              <w:bottom w:val="single" w:color="auto" w:sz="4" w:space="0"/>
              <w:right w:val="single" w:color="auto" w:sz="4" w:space="0"/>
            </w:tcBorders>
            <w:shd w:val="clear" w:color="auto" w:fill="auto"/>
            <w:noWrap/>
            <w:tcMar/>
            <w:vAlign w:val="center"/>
            <w:hideMark/>
          </w:tcPr>
          <w:p w:rsidRPr="00451E14" w:rsidR="00451E14" w:rsidP="3A5FC3B6" w:rsidRDefault="00451E14" w14:paraId="083D09AF" w14:textId="77777777" w14:noSpellErr="1">
            <w:pPr>
              <w:spacing w:after="0" w:line="240" w:lineRule="auto"/>
              <w:jc w:val="center"/>
              <w:rPr>
                <w:rFonts w:eastAsia="Times New Roman" w:cs="Calibri" w:cstheme="minorAscii"/>
                <w:color w:val="auto"/>
                <w:sz w:val="16"/>
                <w:szCs w:val="16"/>
                <w:lang w:eastAsia="en-GB"/>
              </w:rPr>
            </w:pPr>
            <w:r w:rsidRPr="3A5FC3B6" w:rsidR="3A5FC3B6">
              <w:rPr>
                <w:rFonts w:eastAsia="Times New Roman" w:cs="Calibri" w:cstheme="minorAscii"/>
                <w:color w:val="auto"/>
                <w:sz w:val="16"/>
                <w:szCs w:val="16"/>
                <w:lang w:eastAsia="en-GB"/>
              </w:rPr>
              <w:t>*</w:t>
            </w:r>
          </w:p>
        </w:tc>
      </w:tr>
      <w:tr w:rsidRPr="008B1C26" w:rsidR="00451E14" w:rsidTr="3A5FC3B6" w14:paraId="7450B1B9" w14:textId="77777777">
        <w:trPr>
          <w:trHeight w:val="290"/>
        </w:trPr>
        <w:tc>
          <w:tcPr>
            <w:tcW w:w="523" w:type="pct"/>
            <w:tcBorders>
              <w:top w:val="nil"/>
              <w:left w:val="single" w:color="auto" w:sz="4" w:space="0"/>
              <w:bottom w:val="single" w:color="auto" w:sz="4" w:space="0"/>
              <w:right w:val="single" w:color="auto" w:sz="4" w:space="0"/>
            </w:tcBorders>
            <w:shd w:val="clear" w:color="auto" w:fill="auto"/>
            <w:noWrap/>
            <w:tcMar/>
            <w:vAlign w:val="center"/>
            <w:hideMark/>
          </w:tcPr>
          <w:p w:rsidRPr="00451E14" w:rsidR="00451E14" w:rsidP="3A5FC3B6" w:rsidRDefault="00451E14" w14:paraId="007B912C" w14:textId="77777777" w14:noSpellErr="1">
            <w:pPr>
              <w:spacing w:after="0" w:line="240" w:lineRule="auto"/>
              <w:jc w:val="center"/>
              <w:rPr>
                <w:rFonts w:eastAsia="Times New Roman" w:cs="Calibri" w:cstheme="minorAscii"/>
                <w:b w:val="1"/>
                <w:bCs w:val="1"/>
                <w:color w:val="auto"/>
                <w:sz w:val="16"/>
                <w:szCs w:val="16"/>
                <w:lang w:eastAsia="en-GB"/>
              </w:rPr>
            </w:pPr>
            <w:r w:rsidRPr="3A5FC3B6" w:rsidR="3A5FC3B6">
              <w:rPr>
                <w:rFonts w:eastAsia="Times New Roman" w:cs="Calibri" w:cstheme="minorAscii"/>
                <w:b w:val="1"/>
                <w:bCs w:val="1"/>
                <w:color w:val="auto"/>
                <w:sz w:val="16"/>
                <w:szCs w:val="16"/>
                <w:lang w:eastAsia="en-GB"/>
              </w:rPr>
              <w:t>Hayashi </w:t>
            </w:r>
          </w:p>
        </w:tc>
        <w:tc>
          <w:tcPr>
            <w:tcW w:w="714" w:type="pct"/>
            <w:tcBorders>
              <w:top w:val="nil"/>
              <w:left w:val="nil"/>
              <w:bottom w:val="single" w:color="auto" w:sz="4" w:space="0"/>
              <w:right w:val="single" w:color="auto" w:sz="4" w:space="0"/>
            </w:tcBorders>
            <w:shd w:val="clear" w:color="auto" w:fill="auto"/>
            <w:noWrap/>
            <w:tcMar/>
            <w:vAlign w:val="center"/>
            <w:hideMark/>
          </w:tcPr>
          <w:p w:rsidRPr="00451E14" w:rsidR="00451E14" w:rsidP="3A5FC3B6" w:rsidRDefault="00451E14" w14:paraId="1F7CED5F" w14:textId="77777777" w14:noSpellErr="1">
            <w:pPr>
              <w:spacing w:after="0" w:line="240" w:lineRule="auto"/>
              <w:jc w:val="center"/>
              <w:rPr>
                <w:rFonts w:eastAsia="Times New Roman" w:cs="Calibri" w:cstheme="minorAscii"/>
                <w:color w:val="auto"/>
                <w:sz w:val="16"/>
                <w:szCs w:val="16"/>
                <w:lang w:eastAsia="en-GB"/>
              </w:rPr>
            </w:pPr>
            <w:r w:rsidRPr="3A5FC3B6" w:rsidR="3A5FC3B6">
              <w:rPr>
                <w:rFonts w:eastAsia="Times New Roman" w:cs="Calibri" w:cstheme="minorAscii"/>
                <w:color w:val="auto"/>
                <w:sz w:val="16"/>
                <w:szCs w:val="16"/>
                <w:lang w:eastAsia="en-GB"/>
              </w:rPr>
              <w:t>*</w:t>
            </w:r>
          </w:p>
        </w:tc>
        <w:tc>
          <w:tcPr>
            <w:tcW w:w="714" w:type="pct"/>
            <w:tcBorders>
              <w:top w:val="nil"/>
              <w:left w:val="nil"/>
              <w:bottom w:val="single" w:color="auto" w:sz="4" w:space="0"/>
              <w:right w:val="single" w:color="auto" w:sz="4" w:space="0"/>
            </w:tcBorders>
            <w:shd w:val="clear" w:color="auto" w:fill="auto"/>
            <w:noWrap/>
            <w:tcMar/>
            <w:vAlign w:val="center"/>
            <w:hideMark/>
          </w:tcPr>
          <w:p w:rsidRPr="00451E14" w:rsidR="00451E14" w:rsidP="3A5FC3B6" w:rsidRDefault="00451E14" w14:paraId="16AB2BAF" w14:textId="77777777" w14:noSpellErr="1">
            <w:pPr>
              <w:spacing w:after="0" w:line="240" w:lineRule="auto"/>
              <w:jc w:val="center"/>
              <w:rPr>
                <w:rFonts w:eastAsia="Times New Roman" w:cs="Calibri" w:cstheme="minorAscii"/>
                <w:color w:val="auto"/>
                <w:sz w:val="16"/>
                <w:szCs w:val="16"/>
                <w:lang w:eastAsia="en-GB"/>
              </w:rPr>
            </w:pPr>
            <w:r w:rsidRPr="3A5FC3B6" w:rsidR="3A5FC3B6">
              <w:rPr>
                <w:rFonts w:eastAsia="Times New Roman" w:cs="Calibri" w:cstheme="minorAscii"/>
                <w:color w:val="auto"/>
                <w:sz w:val="16"/>
                <w:szCs w:val="16"/>
                <w:lang w:eastAsia="en-GB"/>
              </w:rPr>
              <w:t>*</w:t>
            </w:r>
          </w:p>
        </w:tc>
        <w:tc>
          <w:tcPr>
            <w:tcW w:w="561" w:type="pct"/>
            <w:tcBorders>
              <w:top w:val="nil"/>
              <w:left w:val="nil"/>
              <w:bottom w:val="single" w:color="auto" w:sz="4" w:space="0"/>
              <w:right w:val="single" w:color="auto" w:sz="4" w:space="0"/>
            </w:tcBorders>
            <w:shd w:val="clear" w:color="auto" w:fill="auto"/>
            <w:noWrap/>
            <w:tcMar/>
            <w:vAlign w:val="center"/>
            <w:hideMark/>
          </w:tcPr>
          <w:p w:rsidRPr="00451E14" w:rsidR="00451E14" w:rsidP="3A5FC3B6" w:rsidRDefault="00451E14" w14:paraId="3FB79335" w14:textId="77777777" w14:noSpellErr="1">
            <w:pPr>
              <w:spacing w:after="0" w:line="240" w:lineRule="auto"/>
              <w:jc w:val="center"/>
              <w:rPr>
                <w:rFonts w:eastAsia="Times New Roman" w:cs="Calibri" w:cstheme="minorAscii"/>
                <w:color w:val="auto"/>
                <w:sz w:val="16"/>
                <w:szCs w:val="16"/>
                <w:lang w:eastAsia="en-GB"/>
              </w:rPr>
            </w:pPr>
            <w:r w:rsidRPr="3A5FC3B6" w:rsidR="3A5FC3B6">
              <w:rPr>
                <w:rFonts w:eastAsia="Times New Roman" w:cs="Calibri" w:cstheme="minorAscii"/>
                <w:color w:val="auto"/>
                <w:sz w:val="16"/>
                <w:szCs w:val="16"/>
                <w:lang w:eastAsia="en-GB"/>
              </w:rPr>
              <w:t>*</w:t>
            </w:r>
          </w:p>
        </w:tc>
        <w:tc>
          <w:tcPr>
            <w:tcW w:w="574" w:type="pct"/>
            <w:tcBorders>
              <w:top w:val="nil"/>
              <w:left w:val="nil"/>
              <w:bottom w:val="single" w:color="auto" w:sz="4" w:space="0"/>
              <w:right w:val="single" w:color="auto" w:sz="4" w:space="0"/>
            </w:tcBorders>
            <w:shd w:val="clear" w:color="auto" w:fill="auto"/>
            <w:noWrap/>
            <w:tcMar/>
            <w:vAlign w:val="center"/>
            <w:hideMark/>
          </w:tcPr>
          <w:p w:rsidRPr="00451E14" w:rsidR="00451E14" w:rsidP="3A5FC3B6" w:rsidRDefault="00451E14" w14:paraId="0097240C" w14:textId="77777777" w14:noSpellErr="1">
            <w:pPr>
              <w:spacing w:after="0" w:line="240" w:lineRule="auto"/>
              <w:jc w:val="center"/>
              <w:rPr>
                <w:rFonts w:eastAsia="Times New Roman" w:cs="Calibri" w:cstheme="minorAscii"/>
                <w:color w:val="auto"/>
                <w:sz w:val="16"/>
                <w:szCs w:val="16"/>
                <w:lang w:eastAsia="en-GB"/>
              </w:rPr>
            </w:pPr>
            <w:r w:rsidRPr="3A5FC3B6" w:rsidR="3A5FC3B6">
              <w:rPr>
                <w:rFonts w:eastAsia="Times New Roman" w:cs="Calibri" w:cstheme="minorAscii"/>
                <w:color w:val="auto"/>
                <w:sz w:val="16"/>
                <w:szCs w:val="16"/>
                <w:lang w:eastAsia="en-GB"/>
              </w:rPr>
              <w:t>*</w:t>
            </w:r>
          </w:p>
        </w:tc>
        <w:tc>
          <w:tcPr>
            <w:tcW w:w="552" w:type="pct"/>
            <w:tcBorders>
              <w:top w:val="nil"/>
              <w:left w:val="nil"/>
              <w:bottom w:val="single" w:color="auto" w:sz="4" w:space="0"/>
              <w:right w:val="single" w:color="auto" w:sz="4" w:space="0"/>
            </w:tcBorders>
            <w:shd w:val="clear" w:color="auto" w:fill="auto"/>
            <w:noWrap/>
            <w:tcMar/>
            <w:vAlign w:val="center"/>
            <w:hideMark/>
          </w:tcPr>
          <w:p w:rsidRPr="00451E14" w:rsidR="00451E14" w:rsidP="3A5FC3B6" w:rsidRDefault="00451E14" w14:paraId="414E9C9A" w14:textId="77777777" w14:noSpellErr="1">
            <w:pPr>
              <w:spacing w:after="0" w:line="240" w:lineRule="auto"/>
              <w:jc w:val="center"/>
              <w:rPr>
                <w:rFonts w:eastAsia="Times New Roman" w:cs="Calibri" w:cstheme="minorAscii"/>
                <w:color w:val="auto"/>
                <w:sz w:val="16"/>
                <w:szCs w:val="16"/>
                <w:lang w:eastAsia="en-GB"/>
              </w:rPr>
            </w:pPr>
            <w:r w:rsidRPr="3A5FC3B6" w:rsidR="3A5FC3B6">
              <w:rPr>
                <w:rFonts w:eastAsia="Times New Roman" w:cs="Calibri" w:cstheme="minorAscii"/>
                <w:color w:val="auto"/>
                <w:sz w:val="16"/>
                <w:szCs w:val="16"/>
                <w:lang w:eastAsia="en-GB"/>
              </w:rPr>
              <w:t>*</w:t>
            </w:r>
          </w:p>
        </w:tc>
        <w:tc>
          <w:tcPr>
            <w:tcW w:w="471" w:type="pct"/>
            <w:tcBorders>
              <w:top w:val="nil"/>
              <w:left w:val="nil"/>
              <w:bottom w:val="single" w:color="auto" w:sz="4" w:space="0"/>
              <w:right w:val="single" w:color="auto" w:sz="4" w:space="0"/>
            </w:tcBorders>
            <w:shd w:val="clear" w:color="auto" w:fill="auto"/>
            <w:noWrap/>
            <w:tcMar/>
            <w:vAlign w:val="center"/>
            <w:hideMark/>
          </w:tcPr>
          <w:p w:rsidRPr="00451E14" w:rsidR="00451E14" w:rsidP="3A5FC3B6" w:rsidRDefault="00451E14" w14:paraId="7FDA9B48" w14:textId="77777777" w14:noSpellErr="1">
            <w:pPr>
              <w:spacing w:after="0" w:line="240" w:lineRule="auto"/>
              <w:jc w:val="center"/>
              <w:rPr>
                <w:rFonts w:eastAsia="Times New Roman" w:cs="Calibri" w:cstheme="minorAscii"/>
                <w:color w:val="auto"/>
                <w:sz w:val="16"/>
                <w:szCs w:val="16"/>
                <w:lang w:eastAsia="en-GB"/>
              </w:rPr>
            </w:pPr>
            <w:r w:rsidRPr="3A5FC3B6" w:rsidR="3A5FC3B6">
              <w:rPr>
                <w:rFonts w:eastAsia="Times New Roman" w:cs="Calibri" w:cstheme="minorAscii"/>
                <w:color w:val="auto"/>
                <w:sz w:val="16"/>
                <w:szCs w:val="16"/>
                <w:lang w:eastAsia="en-GB"/>
              </w:rPr>
              <w:t>/</w:t>
            </w:r>
          </w:p>
        </w:tc>
        <w:tc>
          <w:tcPr>
            <w:tcW w:w="481" w:type="pct"/>
            <w:tcBorders>
              <w:top w:val="nil"/>
              <w:left w:val="nil"/>
              <w:bottom w:val="single" w:color="auto" w:sz="4" w:space="0"/>
              <w:right w:val="single" w:color="auto" w:sz="4" w:space="0"/>
            </w:tcBorders>
            <w:shd w:val="clear" w:color="auto" w:fill="auto"/>
            <w:noWrap/>
            <w:tcMar/>
            <w:vAlign w:val="center"/>
            <w:hideMark/>
          </w:tcPr>
          <w:p w:rsidRPr="00451E14" w:rsidR="00451E14" w:rsidP="3A5FC3B6" w:rsidRDefault="00451E14" w14:paraId="00840E93" w14:textId="77777777" w14:noSpellErr="1">
            <w:pPr>
              <w:spacing w:after="0" w:line="240" w:lineRule="auto"/>
              <w:jc w:val="center"/>
              <w:rPr>
                <w:rFonts w:eastAsia="Times New Roman" w:cs="Calibri" w:cstheme="minorAscii"/>
                <w:color w:val="auto"/>
                <w:sz w:val="16"/>
                <w:szCs w:val="16"/>
                <w:lang w:eastAsia="en-GB"/>
              </w:rPr>
            </w:pPr>
            <w:r w:rsidRPr="3A5FC3B6" w:rsidR="3A5FC3B6">
              <w:rPr>
                <w:rFonts w:eastAsia="Times New Roman" w:cs="Calibri" w:cstheme="minorAscii"/>
                <w:color w:val="auto"/>
                <w:sz w:val="16"/>
                <w:szCs w:val="16"/>
                <w:lang w:eastAsia="en-GB"/>
              </w:rPr>
              <w:t>*</w:t>
            </w:r>
          </w:p>
        </w:tc>
        <w:tc>
          <w:tcPr>
            <w:tcW w:w="410" w:type="pct"/>
            <w:tcBorders>
              <w:top w:val="nil"/>
              <w:left w:val="nil"/>
              <w:bottom w:val="single" w:color="auto" w:sz="4" w:space="0"/>
              <w:right w:val="single" w:color="auto" w:sz="4" w:space="0"/>
            </w:tcBorders>
            <w:shd w:val="clear" w:color="auto" w:fill="auto"/>
            <w:noWrap/>
            <w:tcMar/>
            <w:vAlign w:val="center"/>
            <w:hideMark/>
          </w:tcPr>
          <w:p w:rsidRPr="00451E14" w:rsidR="00451E14" w:rsidP="3A5FC3B6" w:rsidRDefault="00451E14" w14:paraId="652FC2CA" w14:textId="77777777" w14:noSpellErr="1">
            <w:pPr>
              <w:spacing w:after="0" w:line="240" w:lineRule="auto"/>
              <w:jc w:val="center"/>
              <w:rPr>
                <w:rFonts w:eastAsia="Times New Roman" w:cs="Calibri" w:cstheme="minorAscii"/>
                <w:color w:val="auto"/>
                <w:sz w:val="16"/>
                <w:szCs w:val="16"/>
                <w:lang w:eastAsia="en-GB"/>
              </w:rPr>
            </w:pPr>
            <w:r w:rsidRPr="3A5FC3B6" w:rsidR="3A5FC3B6">
              <w:rPr>
                <w:rFonts w:eastAsia="Times New Roman" w:cs="Calibri" w:cstheme="minorAscii"/>
                <w:color w:val="auto"/>
                <w:sz w:val="16"/>
                <w:szCs w:val="16"/>
                <w:lang w:eastAsia="en-GB"/>
              </w:rPr>
              <w:t>*</w:t>
            </w:r>
          </w:p>
        </w:tc>
      </w:tr>
      <w:tr w:rsidRPr="008B1C26" w:rsidR="00451E14" w:rsidTr="3A5FC3B6" w14:paraId="5DA0F262" w14:textId="77777777">
        <w:trPr>
          <w:trHeight w:val="290"/>
        </w:trPr>
        <w:tc>
          <w:tcPr>
            <w:tcW w:w="523" w:type="pct"/>
            <w:tcBorders>
              <w:top w:val="nil"/>
              <w:left w:val="single" w:color="auto" w:sz="4" w:space="0"/>
              <w:bottom w:val="single" w:color="auto" w:sz="4" w:space="0"/>
              <w:right w:val="single" w:color="auto" w:sz="4" w:space="0"/>
            </w:tcBorders>
            <w:shd w:val="clear" w:color="auto" w:fill="auto"/>
            <w:noWrap/>
            <w:tcMar/>
            <w:vAlign w:val="center"/>
            <w:hideMark/>
          </w:tcPr>
          <w:p w:rsidRPr="00451E14" w:rsidR="00451E14" w:rsidP="3A5FC3B6" w:rsidRDefault="00451E14" w14:paraId="56BEF28D" w14:textId="77777777" w14:noSpellErr="1">
            <w:pPr>
              <w:spacing w:after="0" w:line="240" w:lineRule="auto"/>
              <w:jc w:val="center"/>
              <w:rPr>
                <w:rFonts w:eastAsia="Times New Roman" w:cs="Calibri" w:cstheme="minorAscii"/>
                <w:b w:val="1"/>
                <w:bCs w:val="1"/>
                <w:color w:val="auto"/>
                <w:sz w:val="16"/>
                <w:szCs w:val="16"/>
                <w:lang w:eastAsia="en-GB"/>
              </w:rPr>
            </w:pPr>
            <w:r w:rsidRPr="3A5FC3B6" w:rsidR="3A5FC3B6">
              <w:rPr>
                <w:rFonts w:eastAsia="Times New Roman" w:cs="Calibri" w:cstheme="minorAscii"/>
                <w:b w:val="1"/>
                <w:bCs w:val="1"/>
                <w:color w:val="auto"/>
                <w:sz w:val="16"/>
                <w:szCs w:val="16"/>
                <w:lang w:eastAsia="en-GB"/>
              </w:rPr>
              <w:t>Malik</w:t>
            </w:r>
          </w:p>
        </w:tc>
        <w:tc>
          <w:tcPr>
            <w:tcW w:w="714" w:type="pct"/>
            <w:tcBorders>
              <w:top w:val="nil"/>
              <w:left w:val="nil"/>
              <w:bottom w:val="single" w:color="auto" w:sz="4" w:space="0"/>
              <w:right w:val="single" w:color="auto" w:sz="4" w:space="0"/>
            </w:tcBorders>
            <w:shd w:val="clear" w:color="auto" w:fill="auto"/>
            <w:noWrap/>
            <w:tcMar/>
            <w:vAlign w:val="center"/>
            <w:hideMark/>
          </w:tcPr>
          <w:p w:rsidRPr="00451E14" w:rsidR="00451E14" w:rsidP="3A5FC3B6" w:rsidRDefault="00451E14" w14:paraId="766BFE3C" w14:textId="77777777" w14:noSpellErr="1">
            <w:pPr>
              <w:spacing w:after="0" w:line="240" w:lineRule="auto"/>
              <w:jc w:val="center"/>
              <w:rPr>
                <w:rFonts w:eastAsia="Times New Roman" w:cs="Calibri" w:cstheme="minorAscii"/>
                <w:color w:val="auto"/>
                <w:sz w:val="16"/>
                <w:szCs w:val="16"/>
                <w:lang w:eastAsia="en-GB"/>
              </w:rPr>
            </w:pPr>
            <w:r w:rsidRPr="3A5FC3B6" w:rsidR="3A5FC3B6">
              <w:rPr>
                <w:rFonts w:eastAsia="Times New Roman" w:cs="Calibri" w:cstheme="minorAscii"/>
                <w:color w:val="auto"/>
                <w:sz w:val="16"/>
                <w:szCs w:val="16"/>
                <w:lang w:eastAsia="en-GB"/>
              </w:rPr>
              <w:t>*</w:t>
            </w:r>
          </w:p>
        </w:tc>
        <w:tc>
          <w:tcPr>
            <w:tcW w:w="714" w:type="pct"/>
            <w:tcBorders>
              <w:top w:val="nil"/>
              <w:left w:val="nil"/>
              <w:bottom w:val="single" w:color="auto" w:sz="4" w:space="0"/>
              <w:right w:val="single" w:color="auto" w:sz="4" w:space="0"/>
            </w:tcBorders>
            <w:shd w:val="clear" w:color="auto" w:fill="auto"/>
            <w:noWrap/>
            <w:tcMar/>
            <w:vAlign w:val="center"/>
            <w:hideMark/>
          </w:tcPr>
          <w:p w:rsidRPr="00451E14" w:rsidR="00451E14" w:rsidP="3A5FC3B6" w:rsidRDefault="00451E14" w14:paraId="28053D08" w14:textId="77777777" w14:noSpellErr="1">
            <w:pPr>
              <w:spacing w:after="0" w:line="240" w:lineRule="auto"/>
              <w:jc w:val="center"/>
              <w:rPr>
                <w:rFonts w:eastAsia="Times New Roman" w:cs="Calibri" w:cstheme="minorAscii"/>
                <w:color w:val="auto"/>
                <w:sz w:val="16"/>
                <w:szCs w:val="16"/>
                <w:lang w:eastAsia="en-GB"/>
              </w:rPr>
            </w:pPr>
            <w:r w:rsidRPr="3A5FC3B6" w:rsidR="3A5FC3B6">
              <w:rPr>
                <w:rFonts w:eastAsia="Times New Roman" w:cs="Calibri" w:cstheme="minorAscii"/>
                <w:color w:val="auto"/>
                <w:sz w:val="16"/>
                <w:szCs w:val="16"/>
                <w:lang w:eastAsia="en-GB"/>
              </w:rPr>
              <w:t>*</w:t>
            </w:r>
          </w:p>
        </w:tc>
        <w:tc>
          <w:tcPr>
            <w:tcW w:w="561" w:type="pct"/>
            <w:tcBorders>
              <w:top w:val="nil"/>
              <w:left w:val="nil"/>
              <w:bottom w:val="single" w:color="auto" w:sz="4" w:space="0"/>
              <w:right w:val="single" w:color="auto" w:sz="4" w:space="0"/>
            </w:tcBorders>
            <w:shd w:val="clear" w:color="auto" w:fill="auto"/>
            <w:noWrap/>
            <w:tcMar/>
            <w:vAlign w:val="center"/>
            <w:hideMark/>
          </w:tcPr>
          <w:p w:rsidRPr="00451E14" w:rsidR="00451E14" w:rsidP="3A5FC3B6" w:rsidRDefault="00451E14" w14:paraId="6C0331D9" w14:textId="77777777" w14:noSpellErr="1">
            <w:pPr>
              <w:spacing w:after="0" w:line="240" w:lineRule="auto"/>
              <w:jc w:val="center"/>
              <w:rPr>
                <w:rFonts w:eastAsia="Times New Roman" w:cs="Calibri" w:cstheme="minorAscii"/>
                <w:color w:val="auto"/>
                <w:sz w:val="16"/>
                <w:szCs w:val="16"/>
                <w:lang w:eastAsia="en-GB"/>
              </w:rPr>
            </w:pPr>
            <w:r w:rsidRPr="3A5FC3B6" w:rsidR="3A5FC3B6">
              <w:rPr>
                <w:rFonts w:eastAsia="Times New Roman" w:cs="Calibri" w:cstheme="minorAscii"/>
                <w:color w:val="auto"/>
                <w:sz w:val="16"/>
                <w:szCs w:val="16"/>
                <w:lang w:eastAsia="en-GB"/>
              </w:rPr>
              <w:t>*</w:t>
            </w:r>
          </w:p>
        </w:tc>
        <w:tc>
          <w:tcPr>
            <w:tcW w:w="574" w:type="pct"/>
            <w:tcBorders>
              <w:top w:val="nil"/>
              <w:left w:val="nil"/>
              <w:bottom w:val="single" w:color="auto" w:sz="4" w:space="0"/>
              <w:right w:val="single" w:color="auto" w:sz="4" w:space="0"/>
            </w:tcBorders>
            <w:shd w:val="clear" w:color="auto" w:fill="auto"/>
            <w:noWrap/>
            <w:tcMar/>
            <w:vAlign w:val="center"/>
            <w:hideMark/>
          </w:tcPr>
          <w:p w:rsidRPr="00451E14" w:rsidR="00451E14" w:rsidP="3A5FC3B6" w:rsidRDefault="00451E14" w14:paraId="519C38C8" w14:textId="77777777" w14:noSpellErr="1">
            <w:pPr>
              <w:spacing w:after="0" w:line="240" w:lineRule="auto"/>
              <w:jc w:val="center"/>
              <w:rPr>
                <w:rFonts w:eastAsia="Times New Roman" w:cs="Calibri" w:cstheme="minorAscii"/>
                <w:color w:val="auto"/>
                <w:sz w:val="16"/>
                <w:szCs w:val="16"/>
                <w:lang w:eastAsia="en-GB"/>
              </w:rPr>
            </w:pPr>
            <w:r w:rsidRPr="3A5FC3B6" w:rsidR="3A5FC3B6">
              <w:rPr>
                <w:rFonts w:eastAsia="Times New Roman" w:cs="Calibri" w:cstheme="minorAscii"/>
                <w:color w:val="auto"/>
                <w:sz w:val="16"/>
                <w:szCs w:val="16"/>
                <w:lang w:eastAsia="en-GB"/>
              </w:rPr>
              <w:t>*</w:t>
            </w:r>
          </w:p>
        </w:tc>
        <w:tc>
          <w:tcPr>
            <w:tcW w:w="552" w:type="pct"/>
            <w:tcBorders>
              <w:top w:val="nil"/>
              <w:left w:val="nil"/>
              <w:bottom w:val="single" w:color="auto" w:sz="4" w:space="0"/>
              <w:right w:val="single" w:color="auto" w:sz="4" w:space="0"/>
            </w:tcBorders>
            <w:shd w:val="clear" w:color="auto" w:fill="auto"/>
            <w:noWrap/>
            <w:tcMar/>
            <w:vAlign w:val="center"/>
            <w:hideMark/>
          </w:tcPr>
          <w:p w:rsidRPr="00451E14" w:rsidR="00451E14" w:rsidP="3A5FC3B6" w:rsidRDefault="00451E14" w14:paraId="713B40AC" w14:textId="77777777" w14:noSpellErr="1">
            <w:pPr>
              <w:spacing w:after="0" w:line="240" w:lineRule="auto"/>
              <w:jc w:val="center"/>
              <w:rPr>
                <w:rFonts w:eastAsia="Times New Roman" w:cs="Calibri" w:cstheme="minorAscii"/>
                <w:color w:val="auto"/>
                <w:sz w:val="16"/>
                <w:szCs w:val="16"/>
                <w:lang w:eastAsia="en-GB"/>
              </w:rPr>
            </w:pPr>
            <w:r w:rsidRPr="3A5FC3B6" w:rsidR="3A5FC3B6">
              <w:rPr>
                <w:rFonts w:eastAsia="Times New Roman" w:cs="Calibri" w:cstheme="minorAscii"/>
                <w:color w:val="auto"/>
                <w:sz w:val="16"/>
                <w:szCs w:val="16"/>
                <w:lang w:eastAsia="en-GB"/>
              </w:rPr>
              <w:t>**</w:t>
            </w:r>
          </w:p>
        </w:tc>
        <w:tc>
          <w:tcPr>
            <w:tcW w:w="471" w:type="pct"/>
            <w:tcBorders>
              <w:top w:val="nil"/>
              <w:left w:val="nil"/>
              <w:bottom w:val="single" w:color="auto" w:sz="4" w:space="0"/>
              <w:right w:val="single" w:color="auto" w:sz="4" w:space="0"/>
            </w:tcBorders>
            <w:shd w:val="clear" w:color="auto" w:fill="auto"/>
            <w:noWrap/>
            <w:tcMar/>
            <w:vAlign w:val="center"/>
            <w:hideMark/>
          </w:tcPr>
          <w:p w:rsidRPr="00451E14" w:rsidR="00451E14" w:rsidP="3A5FC3B6" w:rsidRDefault="00451E14" w14:paraId="092CF588" w14:textId="77777777" w14:noSpellErr="1">
            <w:pPr>
              <w:spacing w:after="0" w:line="240" w:lineRule="auto"/>
              <w:jc w:val="center"/>
              <w:rPr>
                <w:rFonts w:eastAsia="Times New Roman" w:cs="Calibri" w:cstheme="minorAscii"/>
                <w:color w:val="auto"/>
                <w:sz w:val="16"/>
                <w:szCs w:val="16"/>
                <w:lang w:eastAsia="en-GB"/>
              </w:rPr>
            </w:pPr>
            <w:r w:rsidRPr="3A5FC3B6" w:rsidR="3A5FC3B6">
              <w:rPr>
                <w:rFonts w:eastAsia="Times New Roman" w:cs="Calibri" w:cstheme="minorAscii"/>
                <w:color w:val="auto"/>
                <w:sz w:val="16"/>
                <w:szCs w:val="16"/>
                <w:lang w:eastAsia="en-GB"/>
              </w:rPr>
              <w:t>/</w:t>
            </w:r>
          </w:p>
        </w:tc>
        <w:tc>
          <w:tcPr>
            <w:tcW w:w="481" w:type="pct"/>
            <w:tcBorders>
              <w:top w:val="nil"/>
              <w:left w:val="nil"/>
              <w:bottom w:val="single" w:color="auto" w:sz="4" w:space="0"/>
              <w:right w:val="single" w:color="auto" w:sz="4" w:space="0"/>
            </w:tcBorders>
            <w:shd w:val="clear" w:color="auto" w:fill="auto"/>
            <w:noWrap/>
            <w:tcMar/>
            <w:vAlign w:val="center"/>
            <w:hideMark/>
          </w:tcPr>
          <w:p w:rsidRPr="00451E14" w:rsidR="00451E14" w:rsidP="3A5FC3B6" w:rsidRDefault="00451E14" w14:paraId="1CD41D61" w14:textId="77777777" w14:noSpellErr="1">
            <w:pPr>
              <w:spacing w:after="0" w:line="240" w:lineRule="auto"/>
              <w:jc w:val="center"/>
              <w:rPr>
                <w:rFonts w:eastAsia="Times New Roman" w:cs="Calibri" w:cstheme="minorAscii"/>
                <w:color w:val="auto"/>
                <w:sz w:val="16"/>
                <w:szCs w:val="16"/>
                <w:lang w:eastAsia="en-GB"/>
              </w:rPr>
            </w:pPr>
            <w:r w:rsidRPr="3A5FC3B6" w:rsidR="3A5FC3B6">
              <w:rPr>
                <w:rFonts w:eastAsia="Times New Roman" w:cs="Calibri" w:cstheme="minorAscii"/>
                <w:color w:val="auto"/>
                <w:sz w:val="16"/>
                <w:szCs w:val="16"/>
                <w:lang w:eastAsia="en-GB"/>
              </w:rPr>
              <w:t>*</w:t>
            </w:r>
          </w:p>
        </w:tc>
        <w:tc>
          <w:tcPr>
            <w:tcW w:w="410" w:type="pct"/>
            <w:tcBorders>
              <w:top w:val="nil"/>
              <w:left w:val="nil"/>
              <w:bottom w:val="single" w:color="auto" w:sz="4" w:space="0"/>
              <w:right w:val="single" w:color="auto" w:sz="4" w:space="0"/>
            </w:tcBorders>
            <w:shd w:val="clear" w:color="auto" w:fill="auto"/>
            <w:noWrap/>
            <w:tcMar/>
            <w:vAlign w:val="center"/>
            <w:hideMark/>
          </w:tcPr>
          <w:p w:rsidRPr="00451E14" w:rsidR="00451E14" w:rsidP="3A5FC3B6" w:rsidRDefault="00451E14" w14:paraId="1077C3D8" w14:textId="77777777" w14:noSpellErr="1">
            <w:pPr>
              <w:spacing w:after="0" w:line="240" w:lineRule="auto"/>
              <w:jc w:val="center"/>
              <w:rPr>
                <w:rFonts w:eastAsia="Times New Roman" w:cs="Calibri" w:cstheme="minorAscii"/>
                <w:color w:val="auto"/>
                <w:sz w:val="16"/>
                <w:szCs w:val="16"/>
                <w:lang w:eastAsia="en-GB"/>
              </w:rPr>
            </w:pPr>
            <w:r w:rsidRPr="3A5FC3B6" w:rsidR="3A5FC3B6">
              <w:rPr>
                <w:rFonts w:eastAsia="Times New Roman" w:cs="Calibri" w:cstheme="minorAscii"/>
                <w:color w:val="auto"/>
                <w:sz w:val="16"/>
                <w:szCs w:val="16"/>
                <w:lang w:eastAsia="en-GB"/>
              </w:rPr>
              <w:t>*</w:t>
            </w:r>
          </w:p>
        </w:tc>
      </w:tr>
      <w:tr w:rsidRPr="008B1C26" w:rsidR="00451E14" w:rsidTr="3A5FC3B6" w14:paraId="2EAD8A71" w14:textId="77777777">
        <w:trPr>
          <w:trHeight w:val="290"/>
        </w:trPr>
        <w:tc>
          <w:tcPr>
            <w:tcW w:w="523" w:type="pct"/>
            <w:tcBorders>
              <w:top w:val="nil"/>
              <w:left w:val="single" w:color="auto" w:sz="4" w:space="0"/>
              <w:bottom w:val="single" w:color="auto" w:sz="4" w:space="0"/>
              <w:right w:val="single" w:color="auto" w:sz="4" w:space="0"/>
            </w:tcBorders>
            <w:shd w:val="clear" w:color="auto" w:fill="auto"/>
            <w:noWrap/>
            <w:tcMar/>
            <w:vAlign w:val="center"/>
            <w:hideMark/>
          </w:tcPr>
          <w:p w:rsidRPr="00451E14" w:rsidR="00451E14" w:rsidP="3A5FC3B6" w:rsidRDefault="00451E14" w14:paraId="027F8D4C" w14:textId="77777777" w14:noSpellErr="1">
            <w:pPr>
              <w:spacing w:after="0" w:line="240" w:lineRule="auto"/>
              <w:jc w:val="center"/>
              <w:rPr>
                <w:rFonts w:eastAsia="Times New Roman" w:cs="Calibri" w:cstheme="minorAscii"/>
                <w:b w:val="1"/>
                <w:bCs w:val="1"/>
                <w:color w:val="auto"/>
                <w:sz w:val="16"/>
                <w:szCs w:val="16"/>
                <w:lang w:eastAsia="en-GB"/>
              </w:rPr>
            </w:pPr>
            <w:r w:rsidRPr="3A5FC3B6" w:rsidR="3A5FC3B6">
              <w:rPr>
                <w:rFonts w:eastAsia="Times New Roman" w:cs="Calibri" w:cstheme="minorAscii"/>
                <w:b w:val="1"/>
                <w:bCs w:val="1"/>
                <w:color w:val="auto"/>
                <w:sz w:val="16"/>
                <w:szCs w:val="16"/>
                <w:lang w:eastAsia="en-GB"/>
              </w:rPr>
              <w:t>Murphy </w:t>
            </w:r>
          </w:p>
        </w:tc>
        <w:tc>
          <w:tcPr>
            <w:tcW w:w="714" w:type="pct"/>
            <w:tcBorders>
              <w:top w:val="nil"/>
              <w:left w:val="nil"/>
              <w:bottom w:val="single" w:color="auto" w:sz="4" w:space="0"/>
              <w:right w:val="single" w:color="auto" w:sz="4" w:space="0"/>
            </w:tcBorders>
            <w:shd w:val="clear" w:color="auto" w:fill="auto"/>
            <w:noWrap/>
            <w:tcMar/>
            <w:vAlign w:val="center"/>
            <w:hideMark/>
          </w:tcPr>
          <w:p w:rsidRPr="00451E14" w:rsidR="00451E14" w:rsidP="3A5FC3B6" w:rsidRDefault="00451E14" w14:paraId="725C3B1A" w14:textId="77777777" w14:noSpellErr="1">
            <w:pPr>
              <w:spacing w:after="0" w:line="240" w:lineRule="auto"/>
              <w:jc w:val="center"/>
              <w:rPr>
                <w:rFonts w:eastAsia="Times New Roman" w:cs="Calibri" w:cstheme="minorAscii"/>
                <w:color w:val="auto"/>
                <w:sz w:val="16"/>
                <w:szCs w:val="16"/>
                <w:lang w:eastAsia="en-GB"/>
              </w:rPr>
            </w:pPr>
            <w:r w:rsidRPr="3A5FC3B6" w:rsidR="3A5FC3B6">
              <w:rPr>
                <w:rFonts w:eastAsia="Times New Roman" w:cs="Calibri" w:cstheme="minorAscii"/>
                <w:color w:val="auto"/>
                <w:sz w:val="16"/>
                <w:szCs w:val="16"/>
                <w:lang w:eastAsia="en-GB"/>
              </w:rPr>
              <w:t>*</w:t>
            </w:r>
          </w:p>
        </w:tc>
        <w:tc>
          <w:tcPr>
            <w:tcW w:w="714" w:type="pct"/>
            <w:tcBorders>
              <w:top w:val="nil"/>
              <w:left w:val="nil"/>
              <w:bottom w:val="single" w:color="auto" w:sz="4" w:space="0"/>
              <w:right w:val="single" w:color="auto" w:sz="4" w:space="0"/>
            </w:tcBorders>
            <w:shd w:val="clear" w:color="auto" w:fill="auto"/>
            <w:noWrap/>
            <w:tcMar/>
            <w:vAlign w:val="center"/>
            <w:hideMark/>
          </w:tcPr>
          <w:p w:rsidRPr="00451E14" w:rsidR="00451E14" w:rsidP="3A5FC3B6" w:rsidRDefault="00451E14" w14:paraId="575451E0" w14:textId="77777777" w14:noSpellErr="1">
            <w:pPr>
              <w:spacing w:after="0" w:line="240" w:lineRule="auto"/>
              <w:jc w:val="center"/>
              <w:rPr>
                <w:rFonts w:eastAsia="Times New Roman" w:cs="Calibri" w:cstheme="minorAscii"/>
                <w:color w:val="auto"/>
                <w:sz w:val="16"/>
                <w:szCs w:val="16"/>
                <w:lang w:eastAsia="en-GB"/>
              </w:rPr>
            </w:pPr>
            <w:r w:rsidRPr="3A5FC3B6" w:rsidR="3A5FC3B6">
              <w:rPr>
                <w:rFonts w:eastAsia="Times New Roman" w:cs="Calibri" w:cstheme="minorAscii"/>
                <w:color w:val="auto"/>
                <w:sz w:val="16"/>
                <w:szCs w:val="16"/>
                <w:lang w:eastAsia="en-GB"/>
              </w:rPr>
              <w:t>*</w:t>
            </w:r>
          </w:p>
        </w:tc>
        <w:tc>
          <w:tcPr>
            <w:tcW w:w="561" w:type="pct"/>
            <w:tcBorders>
              <w:top w:val="nil"/>
              <w:left w:val="nil"/>
              <w:bottom w:val="single" w:color="auto" w:sz="4" w:space="0"/>
              <w:right w:val="single" w:color="auto" w:sz="4" w:space="0"/>
            </w:tcBorders>
            <w:shd w:val="clear" w:color="auto" w:fill="auto"/>
            <w:noWrap/>
            <w:tcMar/>
            <w:vAlign w:val="center"/>
            <w:hideMark/>
          </w:tcPr>
          <w:p w:rsidRPr="00451E14" w:rsidR="00451E14" w:rsidP="3A5FC3B6" w:rsidRDefault="00451E14" w14:paraId="58D5F1D7" w14:textId="77777777" w14:noSpellErr="1">
            <w:pPr>
              <w:spacing w:after="0" w:line="240" w:lineRule="auto"/>
              <w:jc w:val="center"/>
              <w:rPr>
                <w:rFonts w:eastAsia="Times New Roman" w:cs="Calibri" w:cstheme="minorAscii"/>
                <w:color w:val="auto"/>
                <w:sz w:val="16"/>
                <w:szCs w:val="16"/>
                <w:lang w:eastAsia="en-GB"/>
              </w:rPr>
            </w:pPr>
            <w:r w:rsidRPr="3A5FC3B6" w:rsidR="3A5FC3B6">
              <w:rPr>
                <w:rFonts w:eastAsia="Times New Roman" w:cs="Calibri" w:cstheme="minorAscii"/>
                <w:color w:val="auto"/>
                <w:sz w:val="16"/>
                <w:szCs w:val="16"/>
                <w:lang w:eastAsia="en-GB"/>
              </w:rPr>
              <w:t>*</w:t>
            </w:r>
          </w:p>
        </w:tc>
        <w:tc>
          <w:tcPr>
            <w:tcW w:w="574" w:type="pct"/>
            <w:tcBorders>
              <w:top w:val="nil"/>
              <w:left w:val="nil"/>
              <w:bottom w:val="single" w:color="auto" w:sz="4" w:space="0"/>
              <w:right w:val="single" w:color="auto" w:sz="4" w:space="0"/>
            </w:tcBorders>
            <w:shd w:val="clear" w:color="auto" w:fill="auto"/>
            <w:noWrap/>
            <w:tcMar/>
            <w:vAlign w:val="center"/>
            <w:hideMark/>
          </w:tcPr>
          <w:p w:rsidRPr="00451E14" w:rsidR="00451E14" w:rsidP="3A5FC3B6" w:rsidRDefault="00451E14" w14:paraId="22AB9B6D" w14:textId="77777777" w14:noSpellErr="1">
            <w:pPr>
              <w:spacing w:after="0" w:line="240" w:lineRule="auto"/>
              <w:jc w:val="center"/>
              <w:rPr>
                <w:rFonts w:eastAsia="Times New Roman" w:cs="Calibri" w:cstheme="minorAscii"/>
                <w:color w:val="auto"/>
                <w:sz w:val="16"/>
                <w:szCs w:val="16"/>
                <w:lang w:eastAsia="en-GB"/>
              </w:rPr>
            </w:pPr>
            <w:r w:rsidRPr="3A5FC3B6" w:rsidR="3A5FC3B6">
              <w:rPr>
                <w:rFonts w:eastAsia="Times New Roman" w:cs="Calibri" w:cstheme="minorAscii"/>
                <w:color w:val="auto"/>
                <w:sz w:val="16"/>
                <w:szCs w:val="16"/>
                <w:lang w:eastAsia="en-GB"/>
              </w:rPr>
              <w:t>*</w:t>
            </w:r>
          </w:p>
        </w:tc>
        <w:tc>
          <w:tcPr>
            <w:tcW w:w="552" w:type="pct"/>
            <w:tcBorders>
              <w:top w:val="nil"/>
              <w:left w:val="nil"/>
              <w:bottom w:val="single" w:color="auto" w:sz="4" w:space="0"/>
              <w:right w:val="single" w:color="auto" w:sz="4" w:space="0"/>
            </w:tcBorders>
            <w:shd w:val="clear" w:color="auto" w:fill="auto"/>
            <w:noWrap/>
            <w:tcMar/>
            <w:vAlign w:val="center"/>
            <w:hideMark/>
          </w:tcPr>
          <w:p w:rsidRPr="00451E14" w:rsidR="00451E14" w:rsidP="3A5FC3B6" w:rsidRDefault="00451E14" w14:paraId="2C7661AA" w14:textId="77777777" w14:noSpellErr="1">
            <w:pPr>
              <w:spacing w:after="0" w:line="240" w:lineRule="auto"/>
              <w:jc w:val="center"/>
              <w:rPr>
                <w:rFonts w:eastAsia="Times New Roman" w:cs="Calibri" w:cstheme="minorAscii"/>
                <w:color w:val="auto"/>
                <w:sz w:val="16"/>
                <w:szCs w:val="16"/>
                <w:lang w:eastAsia="en-GB"/>
              </w:rPr>
            </w:pPr>
            <w:r w:rsidRPr="3A5FC3B6" w:rsidR="3A5FC3B6">
              <w:rPr>
                <w:rFonts w:eastAsia="Times New Roman" w:cs="Calibri" w:cstheme="minorAscii"/>
                <w:color w:val="auto"/>
                <w:sz w:val="16"/>
                <w:szCs w:val="16"/>
                <w:lang w:eastAsia="en-GB"/>
              </w:rPr>
              <w:t>**</w:t>
            </w:r>
          </w:p>
        </w:tc>
        <w:tc>
          <w:tcPr>
            <w:tcW w:w="471" w:type="pct"/>
            <w:tcBorders>
              <w:top w:val="nil"/>
              <w:left w:val="nil"/>
              <w:bottom w:val="single" w:color="auto" w:sz="4" w:space="0"/>
              <w:right w:val="single" w:color="auto" w:sz="4" w:space="0"/>
            </w:tcBorders>
            <w:shd w:val="clear" w:color="auto" w:fill="auto"/>
            <w:noWrap/>
            <w:tcMar/>
            <w:vAlign w:val="center"/>
            <w:hideMark/>
          </w:tcPr>
          <w:p w:rsidRPr="00451E14" w:rsidR="00451E14" w:rsidP="3A5FC3B6" w:rsidRDefault="00451E14" w14:paraId="548D9205" w14:textId="77777777" w14:noSpellErr="1">
            <w:pPr>
              <w:spacing w:after="0" w:line="240" w:lineRule="auto"/>
              <w:jc w:val="center"/>
              <w:rPr>
                <w:rFonts w:eastAsia="Times New Roman" w:cs="Calibri" w:cstheme="minorAscii"/>
                <w:color w:val="auto"/>
                <w:sz w:val="16"/>
                <w:szCs w:val="16"/>
                <w:lang w:eastAsia="en-GB"/>
              </w:rPr>
            </w:pPr>
            <w:r w:rsidRPr="3A5FC3B6" w:rsidR="3A5FC3B6">
              <w:rPr>
                <w:rFonts w:eastAsia="Times New Roman" w:cs="Calibri" w:cstheme="minorAscii"/>
                <w:color w:val="auto"/>
                <w:sz w:val="16"/>
                <w:szCs w:val="16"/>
                <w:lang w:eastAsia="en-GB"/>
              </w:rPr>
              <w:t>/</w:t>
            </w:r>
          </w:p>
        </w:tc>
        <w:tc>
          <w:tcPr>
            <w:tcW w:w="481" w:type="pct"/>
            <w:tcBorders>
              <w:top w:val="nil"/>
              <w:left w:val="nil"/>
              <w:bottom w:val="single" w:color="auto" w:sz="4" w:space="0"/>
              <w:right w:val="single" w:color="auto" w:sz="4" w:space="0"/>
            </w:tcBorders>
            <w:shd w:val="clear" w:color="auto" w:fill="auto"/>
            <w:noWrap/>
            <w:tcMar/>
            <w:vAlign w:val="center"/>
            <w:hideMark/>
          </w:tcPr>
          <w:p w:rsidRPr="00451E14" w:rsidR="00451E14" w:rsidP="3A5FC3B6" w:rsidRDefault="00451E14" w14:paraId="5627ACCC" w14:textId="77777777" w14:noSpellErr="1">
            <w:pPr>
              <w:spacing w:after="0" w:line="240" w:lineRule="auto"/>
              <w:jc w:val="center"/>
              <w:rPr>
                <w:rFonts w:eastAsia="Times New Roman" w:cs="Calibri" w:cstheme="minorAscii"/>
                <w:color w:val="auto"/>
                <w:sz w:val="16"/>
                <w:szCs w:val="16"/>
                <w:lang w:eastAsia="en-GB"/>
              </w:rPr>
            </w:pPr>
            <w:r w:rsidRPr="3A5FC3B6" w:rsidR="3A5FC3B6">
              <w:rPr>
                <w:rFonts w:eastAsia="Times New Roman" w:cs="Calibri" w:cstheme="minorAscii"/>
                <w:color w:val="auto"/>
                <w:sz w:val="16"/>
                <w:szCs w:val="16"/>
                <w:lang w:eastAsia="en-GB"/>
              </w:rPr>
              <w:t>*</w:t>
            </w:r>
          </w:p>
        </w:tc>
        <w:tc>
          <w:tcPr>
            <w:tcW w:w="410" w:type="pct"/>
            <w:tcBorders>
              <w:top w:val="nil"/>
              <w:left w:val="nil"/>
              <w:bottom w:val="single" w:color="auto" w:sz="4" w:space="0"/>
              <w:right w:val="single" w:color="auto" w:sz="4" w:space="0"/>
            </w:tcBorders>
            <w:shd w:val="clear" w:color="auto" w:fill="auto"/>
            <w:noWrap/>
            <w:tcMar/>
            <w:vAlign w:val="center"/>
            <w:hideMark/>
          </w:tcPr>
          <w:p w:rsidRPr="00451E14" w:rsidR="00451E14" w:rsidP="3A5FC3B6" w:rsidRDefault="00451E14" w14:paraId="4B1CE5ED" w14:textId="77777777" w14:noSpellErr="1">
            <w:pPr>
              <w:spacing w:after="0" w:line="240" w:lineRule="auto"/>
              <w:jc w:val="center"/>
              <w:rPr>
                <w:rFonts w:eastAsia="Times New Roman" w:cs="Calibri" w:cstheme="minorAscii"/>
                <w:color w:val="auto"/>
                <w:sz w:val="16"/>
                <w:szCs w:val="16"/>
                <w:lang w:eastAsia="en-GB"/>
              </w:rPr>
            </w:pPr>
            <w:r w:rsidRPr="3A5FC3B6" w:rsidR="3A5FC3B6">
              <w:rPr>
                <w:rFonts w:eastAsia="Times New Roman" w:cs="Calibri" w:cstheme="minorAscii"/>
                <w:color w:val="auto"/>
                <w:sz w:val="16"/>
                <w:szCs w:val="16"/>
                <w:lang w:eastAsia="en-GB"/>
              </w:rPr>
              <w:t>*</w:t>
            </w:r>
          </w:p>
        </w:tc>
      </w:tr>
      <w:tr w:rsidRPr="008B1C26" w:rsidR="00451E14" w:rsidTr="3A5FC3B6" w14:paraId="7EF7DEE7" w14:textId="77777777">
        <w:trPr>
          <w:trHeight w:val="290"/>
        </w:trPr>
        <w:tc>
          <w:tcPr>
            <w:tcW w:w="523" w:type="pct"/>
            <w:tcBorders>
              <w:top w:val="nil"/>
              <w:left w:val="single" w:color="auto" w:sz="4" w:space="0"/>
              <w:bottom w:val="single" w:color="auto" w:sz="4" w:space="0"/>
              <w:right w:val="single" w:color="auto" w:sz="4" w:space="0"/>
            </w:tcBorders>
            <w:shd w:val="clear" w:color="auto" w:fill="auto"/>
            <w:noWrap/>
            <w:tcMar/>
            <w:vAlign w:val="center"/>
            <w:hideMark/>
          </w:tcPr>
          <w:p w:rsidRPr="00451E14" w:rsidR="00451E14" w:rsidP="3A5FC3B6" w:rsidRDefault="00451E14" w14:paraId="52A4E69E" w14:textId="77777777">
            <w:pPr>
              <w:spacing w:after="0" w:line="240" w:lineRule="auto"/>
              <w:jc w:val="center"/>
              <w:rPr>
                <w:rFonts w:eastAsia="Times New Roman" w:cs="Calibri" w:cstheme="minorAscii"/>
                <w:b w:val="1"/>
                <w:bCs w:val="1"/>
                <w:color w:val="auto"/>
                <w:sz w:val="16"/>
                <w:szCs w:val="16"/>
                <w:lang w:eastAsia="en-GB"/>
              </w:rPr>
            </w:pPr>
            <w:r w:rsidRPr="3A5FC3B6" w:rsidR="3A5FC3B6">
              <w:rPr>
                <w:rFonts w:eastAsia="Times New Roman" w:cs="Calibri" w:cstheme="minorAscii"/>
                <w:b w:val="1"/>
                <w:bCs w:val="1"/>
                <w:color w:val="auto"/>
                <w:sz w:val="16"/>
                <w:szCs w:val="16"/>
                <w:lang w:eastAsia="en-GB"/>
              </w:rPr>
              <w:t>Pasin</w:t>
            </w:r>
            <w:r w:rsidRPr="3A5FC3B6" w:rsidR="3A5FC3B6">
              <w:rPr>
                <w:rFonts w:eastAsia="Times New Roman" w:cs="Calibri" w:cstheme="minorAscii"/>
                <w:b w:val="1"/>
                <w:bCs w:val="1"/>
                <w:color w:val="auto"/>
                <w:sz w:val="16"/>
                <w:szCs w:val="16"/>
                <w:lang w:eastAsia="en-GB"/>
              </w:rPr>
              <w:t> </w:t>
            </w:r>
          </w:p>
        </w:tc>
        <w:tc>
          <w:tcPr>
            <w:tcW w:w="714" w:type="pct"/>
            <w:tcBorders>
              <w:top w:val="nil"/>
              <w:left w:val="nil"/>
              <w:bottom w:val="single" w:color="auto" w:sz="4" w:space="0"/>
              <w:right w:val="single" w:color="auto" w:sz="4" w:space="0"/>
            </w:tcBorders>
            <w:shd w:val="clear" w:color="auto" w:fill="auto"/>
            <w:noWrap/>
            <w:tcMar/>
            <w:vAlign w:val="center"/>
            <w:hideMark/>
          </w:tcPr>
          <w:p w:rsidRPr="00451E14" w:rsidR="00451E14" w:rsidP="3A5FC3B6" w:rsidRDefault="00451E14" w14:paraId="1B3025E0" w14:textId="77777777" w14:noSpellErr="1">
            <w:pPr>
              <w:spacing w:after="0" w:line="240" w:lineRule="auto"/>
              <w:jc w:val="center"/>
              <w:rPr>
                <w:rFonts w:eastAsia="Times New Roman" w:cs="Calibri" w:cstheme="minorAscii"/>
                <w:color w:val="auto"/>
                <w:sz w:val="16"/>
                <w:szCs w:val="16"/>
                <w:lang w:eastAsia="en-GB"/>
              </w:rPr>
            </w:pPr>
            <w:r w:rsidRPr="3A5FC3B6" w:rsidR="3A5FC3B6">
              <w:rPr>
                <w:rFonts w:eastAsia="Times New Roman" w:cs="Calibri" w:cstheme="minorAscii"/>
                <w:color w:val="auto"/>
                <w:sz w:val="16"/>
                <w:szCs w:val="16"/>
                <w:lang w:eastAsia="en-GB"/>
              </w:rPr>
              <w:t>*</w:t>
            </w:r>
          </w:p>
        </w:tc>
        <w:tc>
          <w:tcPr>
            <w:tcW w:w="714" w:type="pct"/>
            <w:tcBorders>
              <w:top w:val="nil"/>
              <w:left w:val="nil"/>
              <w:bottom w:val="single" w:color="auto" w:sz="4" w:space="0"/>
              <w:right w:val="single" w:color="auto" w:sz="4" w:space="0"/>
            </w:tcBorders>
            <w:shd w:val="clear" w:color="auto" w:fill="auto"/>
            <w:noWrap/>
            <w:tcMar/>
            <w:vAlign w:val="center"/>
            <w:hideMark/>
          </w:tcPr>
          <w:p w:rsidRPr="00451E14" w:rsidR="00451E14" w:rsidP="3A5FC3B6" w:rsidRDefault="00451E14" w14:paraId="2129BA20" w14:textId="77777777" w14:noSpellErr="1">
            <w:pPr>
              <w:spacing w:after="0" w:line="240" w:lineRule="auto"/>
              <w:jc w:val="center"/>
              <w:rPr>
                <w:rFonts w:eastAsia="Times New Roman" w:cs="Calibri" w:cstheme="minorAscii"/>
                <w:color w:val="auto"/>
                <w:sz w:val="16"/>
                <w:szCs w:val="16"/>
                <w:lang w:eastAsia="en-GB"/>
              </w:rPr>
            </w:pPr>
            <w:r w:rsidRPr="3A5FC3B6" w:rsidR="3A5FC3B6">
              <w:rPr>
                <w:rFonts w:eastAsia="Times New Roman" w:cs="Calibri" w:cstheme="minorAscii"/>
                <w:color w:val="auto"/>
                <w:sz w:val="16"/>
                <w:szCs w:val="16"/>
                <w:lang w:eastAsia="en-GB"/>
              </w:rPr>
              <w:t>*</w:t>
            </w:r>
          </w:p>
        </w:tc>
        <w:tc>
          <w:tcPr>
            <w:tcW w:w="561" w:type="pct"/>
            <w:tcBorders>
              <w:top w:val="nil"/>
              <w:left w:val="nil"/>
              <w:bottom w:val="single" w:color="auto" w:sz="4" w:space="0"/>
              <w:right w:val="single" w:color="auto" w:sz="4" w:space="0"/>
            </w:tcBorders>
            <w:shd w:val="clear" w:color="auto" w:fill="auto"/>
            <w:noWrap/>
            <w:tcMar/>
            <w:vAlign w:val="center"/>
            <w:hideMark/>
          </w:tcPr>
          <w:p w:rsidRPr="00451E14" w:rsidR="00451E14" w:rsidP="3A5FC3B6" w:rsidRDefault="00451E14" w14:paraId="58D6167F" w14:textId="77777777" w14:noSpellErr="1">
            <w:pPr>
              <w:spacing w:after="0" w:line="240" w:lineRule="auto"/>
              <w:jc w:val="center"/>
              <w:rPr>
                <w:rFonts w:eastAsia="Times New Roman" w:cs="Calibri" w:cstheme="minorAscii"/>
                <w:color w:val="auto"/>
                <w:sz w:val="16"/>
                <w:szCs w:val="16"/>
                <w:lang w:eastAsia="en-GB"/>
              </w:rPr>
            </w:pPr>
            <w:r w:rsidRPr="3A5FC3B6" w:rsidR="3A5FC3B6">
              <w:rPr>
                <w:rFonts w:eastAsia="Times New Roman" w:cs="Calibri" w:cstheme="minorAscii"/>
                <w:color w:val="auto"/>
                <w:sz w:val="16"/>
                <w:szCs w:val="16"/>
                <w:lang w:eastAsia="en-GB"/>
              </w:rPr>
              <w:t>*</w:t>
            </w:r>
          </w:p>
        </w:tc>
        <w:tc>
          <w:tcPr>
            <w:tcW w:w="574" w:type="pct"/>
            <w:tcBorders>
              <w:top w:val="nil"/>
              <w:left w:val="nil"/>
              <w:bottom w:val="single" w:color="auto" w:sz="4" w:space="0"/>
              <w:right w:val="single" w:color="auto" w:sz="4" w:space="0"/>
            </w:tcBorders>
            <w:shd w:val="clear" w:color="auto" w:fill="auto"/>
            <w:noWrap/>
            <w:tcMar/>
            <w:vAlign w:val="center"/>
            <w:hideMark/>
          </w:tcPr>
          <w:p w:rsidRPr="00451E14" w:rsidR="00451E14" w:rsidP="3A5FC3B6" w:rsidRDefault="00451E14" w14:paraId="2829DACF" w14:textId="77777777" w14:noSpellErr="1">
            <w:pPr>
              <w:spacing w:after="0" w:line="240" w:lineRule="auto"/>
              <w:jc w:val="center"/>
              <w:rPr>
                <w:rFonts w:eastAsia="Times New Roman" w:cs="Calibri" w:cstheme="minorAscii"/>
                <w:color w:val="auto"/>
                <w:sz w:val="16"/>
                <w:szCs w:val="16"/>
                <w:lang w:eastAsia="en-GB"/>
              </w:rPr>
            </w:pPr>
            <w:r w:rsidRPr="3A5FC3B6" w:rsidR="3A5FC3B6">
              <w:rPr>
                <w:rFonts w:eastAsia="Times New Roman" w:cs="Calibri" w:cstheme="minorAscii"/>
                <w:color w:val="auto"/>
                <w:sz w:val="16"/>
                <w:szCs w:val="16"/>
                <w:lang w:eastAsia="en-GB"/>
              </w:rPr>
              <w:t>*</w:t>
            </w:r>
          </w:p>
        </w:tc>
        <w:tc>
          <w:tcPr>
            <w:tcW w:w="552" w:type="pct"/>
            <w:tcBorders>
              <w:top w:val="nil"/>
              <w:left w:val="nil"/>
              <w:bottom w:val="single" w:color="auto" w:sz="4" w:space="0"/>
              <w:right w:val="single" w:color="auto" w:sz="4" w:space="0"/>
            </w:tcBorders>
            <w:shd w:val="clear" w:color="auto" w:fill="auto"/>
            <w:noWrap/>
            <w:tcMar/>
            <w:vAlign w:val="center"/>
            <w:hideMark/>
          </w:tcPr>
          <w:p w:rsidRPr="00451E14" w:rsidR="00451E14" w:rsidP="3A5FC3B6" w:rsidRDefault="00451E14" w14:paraId="68BBF46A" w14:textId="77777777" w14:noSpellErr="1">
            <w:pPr>
              <w:spacing w:after="0" w:line="240" w:lineRule="auto"/>
              <w:jc w:val="center"/>
              <w:rPr>
                <w:rFonts w:eastAsia="Times New Roman" w:cs="Calibri" w:cstheme="minorAscii"/>
                <w:color w:val="auto"/>
                <w:sz w:val="16"/>
                <w:szCs w:val="16"/>
                <w:lang w:eastAsia="en-GB"/>
              </w:rPr>
            </w:pPr>
            <w:r w:rsidRPr="3A5FC3B6" w:rsidR="3A5FC3B6">
              <w:rPr>
                <w:rFonts w:eastAsia="Times New Roman" w:cs="Calibri" w:cstheme="minorAscii"/>
                <w:color w:val="auto"/>
                <w:sz w:val="16"/>
                <w:szCs w:val="16"/>
                <w:lang w:eastAsia="en-GB"/>
              </w:rPr>
              <w:t>**</w:t>
            </w:r>
          </w:p>
        </w:tc>
        <w:tc>
          <w:tcPr>
            <w:tcW w:w="471" w:type="pct"/>
            <w:tcBorders>
              <w:top w:val="nil"/>
              <w:left w:val="nil"/>
              <w:bottom w:val="single" w:color="auto" w:sz="4" w:space="0"/>
              <w:right w:val="single" w:color="auto" w:sz="4" w:space="0"/>
            </w:tcBorders>
            <w:shd w:val="clear" w:color="auto" w:fill="auto"/>
            <w:noWrap/>
            <w:tcMar/>
            <w:vAlign w:val="center"/>
            <w:hideMark/>
          </w:tcPr>
          <w:p w:rsidRPr="00451E14" w:rsidR="00451E14" w:rsidP="3A5FC3B6" w:rsidRDefault="00451E14" w14:paraId="0D9C6FB6" w14:textId="77777777" w14:noSpellErr="1">
            <w:pPr>
              <w:spacing w:after="0" w:line="240" w:lineRule="auto"/>
              <w:jc w:val="center"/>
              <w:rPr>
                <w:rFonts w:eastAsia="Times New Roman" w:cs="Calibri" w:cstheme="minorAscii"/>
                <w:color w:val="auto"/>
                <w:sz w:val="16"/>
                <w:szCs w:val="16"/>
                <w:lang w:eastAsia="en-GB"/>
              </w:rPr>
            </w:pPr>
            <w:r w:rsidRPr="3A5FC3B6" w:rsidR="3A5FC3B6">
              <w:rPr>
                <w:rFonts w:eastAsia="Times New Roman" w:cs="Calibri" w:cstheme="minorAscii"/>
                <w:color w:val="auto"/>
                <w:sz w:val="16"/>
                <w:szCs w:val="16"/>
                <w:lang w:eastAsia="en-GB"/>
              </w:rPr>
              <w:t>/</w:t>
            </w:r>
          </w:p>
        </w:tc>
        <w:tc>
          <w:tcPr>
            <w:tcW w:w="481" w:type="pct"/>
            <w:tcBorders>
              <w:top w:val="nil"/>
              <w:left w:val="nil"/>
              <w:bottom w:val="single" w:color="auto" w:sz="4" w:space="0"/>
              <w:right w:val="single" w:color="auto" w:sz="4" w:space="0"/>
            </w:tcBorders>
            <w:shd w:val="clear" w:color="auto" w:fill="auto"/>
            <w:noWrap/>
            <w:tcMar/>
            <w:vAlign w:val="center"/>
            <w:hideMark/>
          </w:tcPr>
          <w:p w:rsidRPr="00451E14" w:rsidR="00451E14" w:rsidP="3A5FC3B6" w:rsidRDefault="00451E14" w14:paraId="45764D7E" w14:textId="77777777" w14:noSpellErr="1">
            <w:pPr>
              <w:spacing w:after="0" w:line="240" w:lineRule="auto"/>
              <w:jc w:val="center"/>
              <w:rPr>
                <w:rFonts w:eastAsia="Times New Roman" w:cs="Calibri" w:cstheme="minorAscii"/>
                <w:color w:val="auto"/>
                <w:sz w:val="16"/>
                <w:szCs w:val="16"/>
                <w:lang w:eastAsia="en-GB"/>
              </w:rPr>
            </w:pPr>
            <w:r w:rsidRPr="3A5FC3B6" w:rsidR="3A5FC3B6">
              <w:rPr>
                <w:rFonts w:eastAsia="Times New Roman" w:cs="Calibri" w:cstheme="minorAscii"/>
                <w:color w:val="auto"/>
                <w:sz w:val="16"/>
                <w:szCs w:val="16"/>
                <w:lang w:eastAsia="en-GB"/>
              </w:rPr>
              <w:t>*</w:t>
            </w:r>
          </w:p>
        </w:tc>
        <w:tc>
          <w:tcPr>
            <w:tcW w:w="410" w:type="pct"/>
            <w:tcBorders>
              <w:top w:val="nil"/>
              <w:left w:val="nil"/>
              <w:bottom w:val="single" w:color="auto" w:sz="4" w:space="0"/>
              <w:right w:val="single" w:color="auto" w:sz="4" w:space="0"/>
            </w:tcBorders>
            <w:shd w:val="clear" w:color="auto" w:fill="auto"/>
            <w:noWrap/>
            <w:tcMar/>
            <w:vAlign w:val="center"/>
            <w:hideMark/>
          </w:tcPr>
          <w:p w:rsidRPr="00451E14" w:rsidR="00451E14" w:rsidP="3A5FC3B6" w:rsidRDefault="00451E14" w14:paraId="6687B356" w14:textId="77777777" w14:noSpellErr="1">
            <w:pPr>
              <w:spacing w:after="0" w:line="240" w:lineRule="auto"/>
              <w:jc w:val="center"/>
              <w:rPr>
                <w:rFonts w:eastAsia="Times New Roman" w:cs="Calibri" w:cstheme="minorAscii"/>
                <w:color w:val="auto"/>
                <w:sz w:val="16"/>
                <w:szCs w:val="16"/>
                <w:lang w:eastAsia="en-GB"/>
              </w:rPr>
            </w:pPr>
            <w:r w:rsidRPr="3A5FC3B6" w:rsidR="3A5FC3B6">
              <w:rPr>
                <w:rFonts w:eastAsia="Times New Roman" w:cs="Calibri" w:cstheme="minorAscii"/>
                <w:color w:val="auto"/>
                <w:sz w:val="16"/>
                <w:szCs w:val="16"/>
                <w:lang w:eastAsia="en-GB"/>
              </w:rPr>
              <w:t>*</w:t>
            </w:r>
          </w:p>
        </w:tc>
      </w:tr>
      <w:tr w:rsidRPr="008B1C26" w:rsidR="00451E14" w:rsidTr="3A5FC3B6" w14:paraId="60A91EA6" w14:textId="77777777">
        <w:trPr>
          <w:trHeight w:val="290"/>
        </w:trPr>
        <w:tc>
          <w:tcPr>
            <w:tcW w:w="523" w:type="pct"/>
            <w:tcBorders>
              <w:top w:val="nil"/>
              <w:left w:val="single" w:color="auto" w:sz="4" w:space="0"/>
              <w:bottom w:val="single" w:color="auto" w:sz="4" w:space="0"/>
              <w:right w:val="single" w:color="auto" w:sz="4" w:space="0"/>
            </w:tcBorders>
            <w:shd w:val="clear" w:color="auto" w:fill="auto"/>
            <w:noWrap/>
            <w:tcMar/>
            <w:vAlign w:val="center"/>
            <w:hideMark/>
          </w:tcPr>
          <w:p w:rsidRPr="00451E14" w:rsidR="00451E14" w:rsidP="3A5FC3B6" w:rsidRDefault="00451E14" w14:paraId="062F3D02" w14:textId="77777777">
            <w:pPr>
              <w:spacing w:after="0" w:line="240" w:lineRule="auto"/>
              <w:jc w:val="center"/>
              <w:rPr>
                <w:rFonts w:eastAsia="Times New Roman" w:cs="Calibri" w:cstheme="minorAscii"/>
                <w:b w:val="1"/>
                <w:bCs w:val="1"/>
                <w:color w:val="auto"/>
                <w:sz w:val="16"/>
                <w:szCs w:val="16"/>
                <w:lang w:eastAsia="en-GB"/>
              </w:rPr>
            </w:pPr>
            <w:r w:rsidRPr="3A5FC3B6" w:rsidR="3A5FC3B6">
              <w:rPr>
                <w:rFonts w:eastAsia="Times New Roman" w:cs="Calibri" w:cstheme="minorAscii"/>
                <w:b w:val="1"/>
                <w:bCs w:val="1"/>
                <w:color w:val="auto"/>
                <w:sz w:val="16"/>
                <w:szCs w:val="16"/>
                <w:lang w:eastAsia="en-GB"/>
              </w:rPr>
              <w:t>Tatsuishi</w:t>
            </w:r>
            <w:r w:rsidRPr="3A5FC3B6" w:rsidR="3A5FC3B6">
              <w:rPr>
                <w:rFonts w:eastAsia="Times New Roman" w:cs="Calibri" w:cstheme="minorAscii"/>
                <w:b w:val="1"/>
                <w:bCs w:val="1"/>
                <w:color w:val="auto"/>
                <w:sz w:val="16"/>
                <w:szCs w:val="16"/>
                <w:lang w:eastAsia="en-GB"/>
              </w:rPr>
              <w:t> </w:t>
            </w:r>
          </w:p>
        </w:tc>
        <w:tc>
          <w:tcPr>
            <w:tcW w:w="714" w:type="pct"/>
            <w:tcBorders>
              <w:top w:val="nil"/>
              <w:left w:val="nil"/>
              <w:bottom w:val="single" w:color="auto" w:sz="4" w:space="0"/>
              <w:right w:val="single" w:color="auto" w:sz="4" w:space="0"/>
            </w:tcBorders>
            <w:shd w:val="clear" w:color="auto" w:fill="auto"/>
            <w:noWrap/>
            <w:tcMar/>
            <w:vAlign w:val="center"/>
            <w:hideMark/>
          </w:tcPr>
          <w:p w:rsidRPr="00451E14" w:rsidR="00451E14" w:rsidP="3A5FC3B6" w:rsidRDefault="00451E14" w14:paraId="5D441738" w14:textId="77777777" w14:noSpellErr="1">
            <w:pPr>
              <w:spacing w:after="0" w:line="240" w:lineRule="auto"/>
              <w:jc w:val="center"/>
              <w:rPr>
                <w:rFonts w:eastAsia="Times New Roman" w:cs="Calibri" w:cstheme="minorAscii"/>
                <w:color w:val="auto"/>
                <w:sz w:val="16"/>
                <w:szCs w:val="16"/>
                <w:lang w:eastAsia="en-GB"/>
              </w:rPr>
            </w:pPr>
            <w:r w:rsidRPr="3A5FC3B6" w:rsidR="3A5FC3B6">
              <w:rPr>
                <w:rFonts w:eastAsia="Times New Roman" w:cs="Calibri" w:cstheme="minorAscii"/>
                <w:color w:val="auto"/>
                <w:sz w:val="16"/>
                <w:szCs w:val="16"/>
                <w:lang w:eastAsia="en-GB"/>
              </w:rPr>
              <w:t>*</w:t>
            </w:r>
          </w:p>
        </w:tc>
        <w:tc>
          <w:tcPr>
            <w:tcW w:w="714" w:type="pct"/>
            <w:tcBorders>
              <w:top w:val="nil"/>
              <w:left w:val="nil"/>
              <w:bottom w:val="single" w:color="auto" w:sz="4" w:space="0"/>
              <w:right w:val="single" w:color="auto" w:sz="4" w:space="0"/>
            </w:tcBorders>
            <w:shd w:val="clear" w:color="auto" w:fill="auto"/>
            <w:noWrap/>
            <w:tcMar/>
            <w:vAlign w:val="center"/>
            <w:hideMark/>
          </w:tcPr>
          <w:p w:rsidRPr="00451E14" w:rsidR="00451E14" w:rsidP="3A5FC3B6" w:rsidRDefault="00451E14" w14:paraId="183BA09A" w14:textId="77777777" w14:noSpellErr="1">
            <w:pPr>
              <w:spacing w:after="0" w:line="240" w:lineRule="auto"/>
              <w:jc w:val="center"/>
              <w:rPr>
                <w:rFonts w:eastAsia="Times New Roman" w:cs="Calibri" w:cstheme="minorAscii"/>
                <w:color w:val="auto"/>
                <w:sz w:val="16"/>
                <w:szCs w:val="16"/>
                <w:lang w:eastAsia="en-GB"/>
              </w:rPr>
            </w:pPr>
            <w:r w:rsidRPr="3A5FC3B6" w:rsidR="3A5FC3B6">
              <w:rPr>
                <w:rFonts w:eastAsia="Times New Roman" w:cs="Calibri" w:cstheme="minorAscii"/>
                <w:color w:val="auto"/>
                <w:sz w:val="16"/>
                <w:szCs w:val="16"/>
                <w:lang w:eastAsia="en-GB"/>
              </w:rPr>
              <w:t>*</w:t>
            </w:r>
          </w:p>
        </w:tc>
        <w:tc>
          <w:tcPr>
            <w:tcW w:w="561" w:type="pct"/>
            <w:tcBorders>
              <w:top w:val="nil"/>
              <w:left w:val="nil"/>
              <w:bottom w:val="single" w:color="auto" w:sz="4" w:space="0"/>
              <w:right w:val="single" w:color="auto" w:sz="4" w:space="0"/>
            </w:tcBorders>
            <w:shd w:val="clear" w:color="auto" w:fill="auto"/>
            <w:noWrap/>
            <w:tcMar/>
            <w:vAlign w:val="center"/>
            <w:hideMark/>
          </w:tcPr>
          <w:p w:rsidRPr="00451E14" w:rsidR="00451E14" w:rsidP="3A5FC3B6" w:rsidRDefault="00451E14" w14:paraId="428D04F1" w14:textId="77777777" w14:noSpellErr="1">
            <w:pPr>
              <w:spacing w:after="0" w:line="240" w:lineRule="auto"/>
              <w:jc w:val="center"/>
              <w:rPr>
                <w:rFonts w:eastAsia="Times New Roman" w:cs="Calibri" w:cstheme="minorAscii"/>
                <w:color w:val="auto"/>
                <w:sz w:val="16"/>
                <w:szCs w:val="16"/>
                <w:lang w:eastAsia="en-GB"/>
              </w:rPr>
            </w:pPr>
            <w:r w:rsidRPr="3A5FC3B6" w:rsidR="3A5FC3B6">
              <w:rPr>
                <w:rFonts w:eastAsia="Times New Roman" w:cs="Calibri" w:cstheme="minorAscii"/>
                <w:color w:val="auto"/>
                <w:sz w:val="16"/>
                <w:szCs w:val="16"/>
                <w:lang w:eastAsia="en-GB"/>
              </w:rPr>
              <w:t>*</w:t>
            </w:r>
          </w:p>
        </w:tc>
        <w:tc>
          <w:tcPr>
            <w:tcW w:w="574" w:type="pct"/>
            <w:tcBorders>
              <w:top w:val="nil"/>
              <w:left w:val="nil"/>
              <w:bottom w:val="single" w:color="auto" w:sz="4" w:space="0"/>
              <w:right w:val="single" w:color="auto" w:sz="4" w:space="0"/>
            </w:tcBorders>
            <w:shd w:val="clear" w:color="auto" w:fill="auto"/>
            <w:noWrap/>
            <w:tcMar/>
            <w:vAlign w:val="center"/>
            <w:hideMark/>
          </w:tcPr>
          <w:p w:rsidRPr="00451E14" w:rsidR="00451E14" w:rsidP="3A5FC3B6" w:rsidRDefault="00451E14" w14:paraId="370378F4" w14:textId="77777777" w14:noSpellErr="1">
            <w:pPr>
              <w:spacing w:after="0" w:line="240" w:lineRule="auto"/>
              <w:jc w:val="center"/>
              <w:rPr>
                <w:rFonts w:eastAsia="Times New Roman" w:cs="Calibri" w:cstheme="minorAscii"/>
                <w:color w:val="auto"/>
                <w:sz w:val="16"/>
                <w:szCs w:val="16"/>
                <w:lang w:eastAsia="en-GB"/>
              </w:rPr>
            </w:pPr>
            <w:r w:rsidRPr="3A5FC3B6" w:rsidR="3A5FC3B6">
              <w:rPr>
                <w:rFonts w:eastAsia="Times New Roman" w:cs="Calibri" w:cstheme="minorAscii"/>
                <w:color w:val="auto"/>
                <w:sz w:val="16"/>
                <w:szCs w:val="16"/>
                <w:lang w:eastAsia="en-GB"/>
              </w:rPr>
              <w:t>*</w:t>
            </w:r>
          </w:p>
        </w:tc>
        <w:tc>
          <w:tcPr>
            <w:tcW w:w="552" w:type="pct"/>
            <w:tcBorders>
              <w:top w:val="nil"/>
              <w:left w:val="nil"/>
              <w:bottom w:val="single" w:color="auto" w:sz="4" w:space="0"/>
              <w:right w:val="single" w:color="auto" w:sz="4" w:space="0"/>
            </w:tcBorders>
            <w:shd w:val="clear" w:color="auto" w:fill="auto"/>
            <w:noWrap/>
            <w:tcMar/>
            <w:vAlign w:val="center"/>
            <w:hideMark/>
          </w:tcPr>
          <w:p w:rsidRPr="00451E14" w:rsidR="00451E14" w:rsidP="3A5FC3B6" w:rsidRDefault="00451E14" w14:paraId="1B43F598" w14:textId="77777777" w14:noSpellErr="1">
            <w:pPr>
              <w:spacing w:after="0" w:line="240" w:lineRule="auto"/>
              <w:jc w:val="center"/>
              <w:rPr>
                <w:rFonts w:eastAsia="Times New Roman" w:cs="Calibri" w:cstheme="minorAscii"/>
                <w:color w:val="auto"/>
                <w:sz w:val="16"/>
                <w:szCs w:val="16"/>
                <w:lang w:eastAsia="en-GB"/>
              </w:rPr>
            </w:pPr>
            <w:r w:rsidRPr="3A5FC3B6" w:rsidR="3A5FC3B6">
              <w:rPr>
                <w:rFonts w:eastAsia="Times New Roman" w:cs="Calibri" w:cstheme="minorAscii"/>
                <w:color w:val="auto"/>
                <w:sz w:val="16"/>
                <w:szCs w:val="16"/>
                <w:lang w:eastAsia="en-GB"/>
              </w:rPr>
              <w:t>**</w:t>
            </w:r>
          </w:p>
        </w:tc>
        <w:tc>
          <w:tcPr>
            <w:tcW w:w="471" w:type="pct"/>
            <w:tcBorders>
              <w:top w:val="nil"/>
              <w:left w:val="nil"/>
              <w:bottom w:val="single" w:color="auto" w:sz="4" w:space="0"/>
              <w:right w:val="single" w:color="auto" w:sz="4" w:space="0"/>
            </w:tcBorders>
            <w:shd w:val="clear" w:color="auto" w:fill="auto"/>
            <w:noWrap/>
            <w:tcMar/>
            <w:vAlign w:val="center"/>
            <w:hideMark/>
          </w:tcPr>
          <w:p w:rsidRPr="00451E14" w:rsidR="00451E14" w:rsidP="3A5FC3B6" w:rsidRDefault="00451E14" w14:paraId="1931909A" w14:textId="77777777" w14:noSpellErr="1">
            <w:pPr>
              <w:spacing w:after="0" w:line="240" w:lineRule="auto"/>
              <w:jc w:val="center"/>
              <w:rPr>
                <w:rFonts w:eastAsia="Times New Roman" w:cs="Calibri" w:cstheme="minorAscii"/>
                <w:color w:val="auto"/>
                <w:sz w:val="16"/>
                <w:szCs w:val="16"/>
                <w:lang w:eastAsia="en-GB"/>
              </w:rPr>
            </w:pPr>
            <w:r w:rsidRPr="3A5FC3B6" w:rsidR="3A5FC3B6">
              <w:rPr>
                <w:rFonts w:eastAsia="Times New Roman" w:cs="Calibri" w:cstheme="minorAscii"/>
                <w:color w:val="auto"/>
                <w:sz w:val="16"/>
                <w:szCs w:val="16"/>
                <w:lang w:eastAsia="en-GB"/>
              </w:rPr>
              <w:t>/</w:t>
            </w:r>
          </w:p>
        </w:tc>
        <w:tc>
          <w:tcPr>
            <w:tcW w:w="481" w:type="pct"/>
            <w:tcBorders>
              <w:top w:val="nil"/>
              <w:left w:val="nil"/>
              <w:bottom w:val="single" w:color="auto" w:sz="4" w:space="0"/>
              <w:right w:val="single" w:color="auto" w:sz="4" w:space="0"/>
            </w:tcBorders>
            <w:shd w:val="clear" w:color="auto" w:fill="auto"/>
            <w:noWrap/>
            <w:tcMar/>
            <w:vAlign w:val="center"/>
            <w:hideMark/>
          </w:tcPr>
          <w:p w:rsidRPr="00451E14" w:rsidR="00451E14" w:rsidP="3A5FC3B6" w:rsidRDefault="00451E14" w14:paraId="1D852942" w14:textId="77777777" w14:noSpellErr="1">
            <w:pPr>
              <w:spacing w:after="0" w:line="240" w:lineRule="auto"/>
              <w:jc w:val="center"/>
              <w:rPr>
                <w:rFonts w:eastAsia="Times New Roman" w:cs="Calibri" w:cstheme="minorAscii"/>
                <w:color w:val="auto"/>
                <w:sz w:val="16"/>
                <w:szCs w:val="16"/>
                <w:lang w:eastAsia="en-GB"/>
              </w:rPr>
            </w:pPr>
            <w:r w:rsidRPr="3A5FC3B6" w:rsidR="3A5FC3B6">
              <w:rPr>
                <w:rFonts w:eastAsia="Times New Roman" w:cs="Calibri" w:cstheme="minorAscii"/>
                <w:color w:val="auto"/>
                <w:sz w:val="16"/>
                <w:szCs w:val="16"/>
                <w:lang w:eastAsia="en-GB"/>
              </w:rPr>
              <w:t>*</w:t>
            </w:r>
          </w:p>
        </w:tc>
        <w:tc>
          <w:tcPr>
            <w:tcW w:w="410" w:type="pct"/>
            <w:tcBorders>
              <w:top w:val="nil"/>
              <w:left w:val="nil"/>
              <w:bottom w:val="single" w:color="auto" w:sz="4" w:space="0"/>
              <w:right w:val="single" w:color="auto" w:sz="4" w:space="0"/>
            </w:tcBorders>
            <w:shd w:val="clear" w:color="auto" w:fill="auto"/>
            <w:noWrap/>
            <w:tcMar/>
            <w:vAlign w:val="center"/>
            <w:hideMark/>
          </w:tcPr>
          <w:p w:rsidRPr="00451E14" w:rsidR="00451E14" w:rsidP="3A5FC3B6" w:rsidRDefault="00451E14" w14:paraId="188C7D21" w14:textId="77777777" w14:noSpellErr="1">
            <w:pPr>
              <w:spacing w:after="0" w:line="240" w:lineRule="auto"/>
              <w:jc w:val="center"/>
              <w:rPr>
                <w:rFonts w:eastAsia="Times New Roman" w:cs="Calibri" w:cstheme="minorAscii"/>
                <w:color w:val="auto"/>
                <w:sz w:val="16"/>
                <w:szCs w:val="16"/>
                <w:lang w:eastAsia="en-GB"/>
              </w:rPr>
            </w:pPr>
            <w:r w:rsidRPr="3A5FC3B6" w:rsidR="3A5FC3B6">
              <w:rPr>
                <w:rFonts w:eastAsia="Times New Roman" w:cs="Calibri" w:cstheme="minorAscii"/>
                <w:color w:val="auto"/>
                <w:sz w:val="16"/>
                <w:szCs w:val="16"/>
                <w:lang w:eastAsia="en-GB"/>
              </w:rPr>
              <w:t>*</w:t>
            </w:r>
          </w:p>
        </w:tc>
      </w:tr>
    </w:tbl>
    <w:p w:rsidRPr="008B1C26" w:rsidR="00451E14" w:rsidP="3A5FC3B6" w:rsidRDefault="00451E14" w14:paraId="0D067D04" w14:textId="77777777" w14:noSpellErr="1">
      <w:pPr>
        <w:rPr>
          <w:color w:val="auto"/>
          <w:sz w:val="16"/>
          <w:szCs w:val="16"/>
        </w:rPr>
      </w:pPr>
    </w:p>
    <w:p w:rsidRPr="00192449" w:rsidR="00451E14" w:rsidP="3A5FC3B6" w:rsidRDefault="00451E14" w14:paraId="2F779F97" w14:textId="77777777" w14:noSpellErr="1">
      <w:pPr>
        <w:rPr>
          <w:color w:val="auto"/>
        </w:rPr>
      </w:pPr>
    </w:p>
    <w:p w:rsidRPr="00192449" w:rsidR="00846A3B" w:rsidP="3A5FC3B6" w:rsidRDefault="00846A3B" w14:paraId="2BCCEFD4" w14:textId="52D8E3ED" w14:noSpellErr="1">
      <w:pPr>
        <w:rPr>
          <w:b w:val="1"/>
          <w:bCs w:val="1"/>
          <w:color w:val="auto"/>
        </w:rPr>
      </w:pPr>
      <w:r w:rsidRPr="3A5FC3B6" w:rsidR="3A5FC3B6">
        <w:rPr>
          <w:b w:val="1"/>
          <w:bCs w:val="1"/>
          <w:color w:val="auto"/>
        </w:rPr>
        <w:t xml:space="preserve">Table 4: </w:t>
      </w:r>
      <w:r w:rsidRPr="3A5FC3B6" w:rsidR="3A5FC3B6">
        <w:rPr>
          <w:b w:val="1"/>
          <w:bCs w:val="1"/>
          <w:color w:val="auto"/>
        </w:rPr>
        <w:t xml:space="preserve">Reported complication rates </w:t>
      </w:r>
    </w:p>
    <w:tbl>
      <w:tblPr>
        <w:tblW w:w="5000" w:type="pct"/>
        <w:tblLook w:val="04A0" w:firstRow="1" w:lastRow="0" w:firstColumn="1" w:lastColumn="0" w:noHBand="0" w:noVBand="1"/>
      </w:tblPr>
      <w:tblGrid>
        <w:gridCol w:w="1152"/>
        <w:gridCol w:w="900"/>
        <w:gridCol w:w="1021"/>
        <w:gridCol w:w="927"/>
        <w:gridCol w:w="772"/>
        <w:gridCol w:w="1224"/>
        <w:gridCol w:w="1036"/>
        <w:gridCol w:w="904"/>
        <w:gridCol w:w="981"/>
        <w:gridCol w:w="772"/>
        <w:gridCol w:w="772"/>
      </w:tblGrid>
      <w:tr w:rsidRPr="00F84F19" w:rsidR="00192449" w:rsidTr="3A5FC3B6" w14:paraId="72B23CB7" w14:textId="77777777">
        <w:trPr>
          <w:trHeight w:val="310"/>
        </w:trPr>
        <w:tc>
          <w:tcPr>
            <w:tcW w:w="551" w:type="pct"/>
            <w:tcBorders>
              <w:top w:val="nil"/>
              <w:left w:val="nil"/>
              <w:bottom w:val="nil"/>
              <w:right w:val="nil"/>
            </w:tcBorders>
            <w:shd w:val="clear" w:color="auto" w:fill="auto"/>
            <w:tcMar/>
            <w:vAlign w:val="center"/>
            <w:hideMark/>
          </w:tcPr>
          <w:p w:rsidRPr="00F84F19" w:rsidR="00F84F19" w:rsidP="3A5FC3B6" w:rsidRDefault="00F84F19" w14:paraId="697E9E3F" w14:textId="77777777" w14:noSpellErr="1">
            <w:pPr>
              <w:spacing w:after="0" w:line="240" w:lineRule="auto"/>
              <w:rPr>
                <w:rFonts w:eastAsia="Times New Roman" w:cs="Calibri" w:cstheme="minorAscii"/>
                <w:color w:val="auto"/>
                <w:sz w:val="11"/>
                <w:szCs w:val="11"/>
                <w:lang w:eastAsia="en-GB"/>
              </w:rPr>
            </w:pPr>
          </w:p>
        </w:tc>
        <w:tc>
          <w:tcPr>
            <w:tcW w:w="4449" w:type="pct"/>
            <w:gridSpan w:val="10"/>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F84F19" w:rsidR="00F84F19" w:rsidP="3A5FC3B6" w:rsidRDefault="00F84F19" w14:paraId="3989B359" w14:textId="77777777" w14:noSpellErr="1">
            <w:pPr>
              <w:spacing w:after="0" w:line="240" w:lineRule="auto"/>
              <w:jc w:val="center"/>
              <w:rPr>
                <w:rFonts w:eastAsia="Times New Roman" w:cs="Calibri" w:cstheme="minorAscii"/>
                <w:b w:val="1"/>
                <w:bCs w:val="1"/>
                <w:color w:val="auto"/>
                <w:sz w:val="11"/>
                <w:szCs w:val="11"/>
                <w:lang w:eastAsia="en-GB"/>
              </w:rPr>
            </w:pPr>
            <w:r w:rsidRPr="3A5FC3B6" w:rsidR="3A5FC3B6">
              <w:rPr>
                <w:rFonts w:eastAsia="Times New Roman" w:cs="Calibri" w:cstheme="minorAscii"/>
                <w:b w:val="1"/>
                <w:bCs w:val="1"/>
                <w:color w:val="auto"/>
                <w:sz w:val="11"/>
                <w:szCs w:val="11"/>
                <w:lang w:eastAsia="en-GB"/>
              </w:rPr>
              <w:t>Complication</w:t>
            </w:r>
          </w:p>
        </w:tc>
      </w:tr>
      <w:tr w:rsidRPr="00192449" w:rsidR="00192449" w:rsidTr="3A5FC3B6" w14:paraId="33DA5BFE" w14:textId="77777777">
        <w:trPr>
          <w:trHeight w:val="580"/>
        </w:trPr>
        <w:tc>
          <w:tcPr>
            <w:tcW w:w="551" w:type="pct"/>
            <w:tcBorders>
              <w:top w:val="nil"/>
              <w:left w:val="nil"/>
              <w:bottom w:val="nil"/>
              <w:right w:val="nil"/>
            </w:tcBorders>
            <w:shd w:val="clear" w:color="auto" w:fill="auto"/>
            <w:tcMar/>
            <w:vAlign w:val="center"/>
            <w:hideMark/>
          </w:tcPr>
          <w:p w:rsidRPr="00F84F19" w:rsidR="00F84F19" w:rsidP="3A5FC3B6" w:rsidRDefault="00F84F19" w14:paraId="3AD01B16" w14:textId="77777777" w14:noSpellErr="1">
            <w:pPr>
              <w:spacing w:after="0" w:line="240" w:lineRule="auto"/>
              <w:jc w:val="center"/>
              <w:rPr>
                <w:rFonts w:eastAsia="Times New Roman" w:cs="Calibri" w:cstheme="minorAscii"/>
                <w:b w:val="1"/>
                <w:bCs w:val="1"/>
                <w:color w:val="auto"/>
                <w:sz w:val="11"/>
                <w:szCs w:val="11"/>
                <w:lang w:eastAsia="en-GB"/>
              </w:rPr>
            </w:pPr>
          </w:p>
        </w:tc>
        <w:tc>
          <w:tcPr>
            <w:tcW w:w="430" w:type="pct"/>
            <w:tcBorders>
              <w:top w:val="nil"/>
              <w:left w:val="single" w:color="auto" w:sz="4" w:space="0"/>
              <w:bottom w:val="single" w:color="auto" w:sz="4" w:space="0"/>
              <w:right w:val="single" w:color="auto" w:sz="4" w:space="0"/>
            </w:tcBorders>
            <w:shd w:val="clear" w:color="auto" w:fill="auto"/>
            <w:tcMar/>
            <w:vAlign w:val="center"/>
            <w:hideMark/>
          </w:tcPr>
          <w:p w:rsidRPr="00F84F19" w:rsidR="00F84F19" w:rsidP="3A5FC3B6" w:rsidRDefault="00F84F19" w14:paraId="5CABF654" w14:textId="77777777" w14:noSpellErr="1">
            <w:pPr>
              <w:spacing w:after="0" w:line="240" w:lineRule="auto"/>
              <w:jc w:val="center"/>
              <w:rPr>
                <w:rFonts w:eastAsia="Times New Roman" w:cs="Calibri" w:cstheme="minorAscii"/>
                <w:b w:val="1"/>
                <w:bCs w:val="1"/>
                <w:color w:val="auto"/>
                <w:sz w:val="11"/>
                <w:szCs w:val="11"/>
                <w:lang w:eastAsia="en-GB"/>
              </w:rPr>
            </w:pPr>
            <w:r w:rsidRPr="3A5FC3B6" w:rsidR="3A5FC3B6">
              <w:rPr>
                <w:rFonts w:eastAsia="Times New Roman" w:cs="Calibri" w:cstheme="minorAscii"/>
                <w:b w:val="1"/>
                <w:bCs w:val="1"/>
                <w:color w:val="auto"/>
                <w:sz w:val="11"/>
                <w:szCs w:val="11"/>
                <w:lang w:eastAsia="en-GB"/>
              </w:rPr>
              <w:t>Pulmonary</w:t>
            </w:r>
          </w:p>
        </w:tc>
        <w:tc>
          <w:tcPr>
            <w:tcW w:w="488" w:type="pct"/>
            <w:tcBorders>
              <w:top w:val="nil"/>
              <w:left w:val="nil"/>
              <w:bottom w:val="single" w:color="auto" w:sz="4" w:space="0"/>
              <w:right w:val="single" w:color="auto" w:sz="4" w:space="0"/>
            </w:tcBorders>
            <w:shd w:val="clear" w:color="auto" w:fill="auto"/>
            <w:tcMar/>
            <w:vAlign w:val="center"/>
            <w:hideMark/>
          </w:tcPr>
          <w:p w:rsidRPr="00F84F19" w:rsidR="00F84F19" w:rsidP="3A5FC3B6" w:rsidRDefault="00F84F19" w14:paraId="4C15DE77" w14:textId="77777777" w14:noSpellErr="1">
            <w:pPr>
              <w:spacing w:after="0" w:line="240" w:lineRule="auto"/>
              <w:jc w:val="center"/>
              <w:rPr>
                <w:rFonts w:eastAsia="Times New Roman" w:cs="Calibri" w:cstheme="minorAscii"/>
                <w:b w:val="1"/>
                <w:bCs w:val="1"/>
                <w:color w:val="auto"/>
                <w:sz w:val="11"/>
                <w:szCs w:val="11"/>
                <w:lang w:eastAsia="en-GB"/>
              </w:rPr>
            </w:pPr>
            <w:r w:rsidRPr="3A5FC3B6" w:rsidR="3A5FC3B6">
              <w:rPr>
                <w:rFonts w:eastAsia="Times New Roman" w:cs="Calibri" w:cstheme="minorAscii"/>
                <w:b w:val="1"/>
                <w:bCs w:val="1"/>
                <w:color w:val="auto"/>
                <w:sz w:val="11"/>
                <w:szCs w:val="11"/>
                <w:lang w:eastAsia="en-GB"/>
              </w:rPr>
              <w:t>Cardiac (Arrhythmia, ACS)</w:t>
            </w:r>
          </w:p>
        </w:tc>
        <w:tc>
          <w:tcPr>
            <w:tcW w:w="443" w:type="pct"/>
            <w:tcBorders>
              <w:top w:val="nil"/>
              <w:left w:val="nil"/>
              <w:bottom w:val="single" w:color="auto" w:sz="4" w:space="0"/>
              <w:right w:val="single" w:color="auto" w:sz="4" w:space="0"/>
            </w:tcBorders>
            <w:shd w:val="clear" w:color="auto" w:fill="auto"/>
            <w:tcMar/>
            <w:vAlign w:val="center"/>
            <w:hideMark/>
          </w:tcPr>
          <w:p w:rsidRPr="00F84F19" w:rsidR="00F84F19" w:rsidP="3A5FC3B6" w:rsidRDefault="00F84F19" w14:paraId="7E044EEC" w14:textId="77777777" w14:noSpellErr="1">
            <w:pPr>
              <w:spacing w:after="0" w:line="240" w:lineRule="auto"/>
              <w:jc w:val="center"/>
              <w:rPr>
                <w:rFonts w:eastAsia="Times New Roman" w:cs="Calibri" w:cstheme="minorAscii"/>
                <w:b w:val="1"/>
                <w:bCs w:val="1"/>
                <w:color w:val="auto"/>
                <w:sz w:val="11"/>
                <w:szCs w:val="11"/>
                <w:lang w:eastAsia="en-GB"/>
              </w:rPr>
            </w:pPr>
            <w:r w:rsidRPr="3A5FC3B6" w:rsidR="3A5FC3B6">
              <w:rPr>
                <w:rFonts w:eastAsia="Times New Roman" w:cs="Calibri" w:cstheme="minorAscii"/>
                <w:b w:val="1"/>
                <w:bCs w:val="1"/>
                <w:color w:val="auto"/>
                <w:sz w:val="11"/>
                <w:szCs w:val="11"/>
                <w:lang w:eastAsia="en-GB"/>
              </w:rPr>
              <w:t>Anaemia requiring blood transfusion</w:t>
            </w:r>
          </w:p>
        </w:tc>
        <w:tc>
          <w:tcPr>
            <w:tcW w:w="369" w:type="pct"/>
            <w:tcBorders>
              <w:top w:val="nil"/>
              <w:left w:val="nil"/>
              <w:bottom w:val="single" w:color="auto" w:sz="4" w:space="0"/>
              <w:right w:val="single" w:color="auto" w:sz="4" w:space="0"/>
            </w:tcBorders>
            <w:shd w:val="clear" w:color="auto" w:fill="auto"/>
            <w:tcMar/>
            <w:vAlign w:val="center"/>
            <w:hideMark/>
          </w:tcPr>
          <w:p w:rsidRPr="00F84F19" w:rsidR="00F84F19" w:rsidP="3A5FC3B6" w:rsidRDefault="00F84F19" w14:paraId="0654AFD2" w14:textId="77777777" w14:noSpellErr="1">
            <w:pPr>
              <w:spacing w:after="0" w:line="240" w:lineRule="auto"/>
              <w:jc w:val="center"/>
              <w:rPr>
                <w:rFonts w:eastAsia="Times New Roman" w:cs="Calibri" w:cstheme="minorAscii"/>
                <w:b w:val="1"/>
                <w:bCs w:val="1"/>
                <w:color w:val="auto"/>
                <w:sz w:val="11"/>
                <w:szCs w:val="11"/>
                <w:lang w:eastAsia="en-GB"/>
              </w:rPr>
            </w:pPr>
            <w:r w:rsidRPr="3A5FC3B6" w:rsidR="3A5FC3B6">
              <w:rPr>
                <w:rFonts w:eastAsia="Times New Roman" w:cs="Calibri" w:cstheme="minorAscii"/>
                <w:b w:val="1"/>
                <w:bCs w:val="1"/>
                <w:color w:val="auto"/>
                <w:sz w:val="11"/>
                <w:szCs w:val="11"/>
                <w:lang w:eastAsia="en-GB"/>
              </w:rPr>
              <w:t>Renal</w:t>
            </w:r>
          </w:p>
        </w:tc>
        <w:tc>
          <w:tcPr>
            <w:tcW w:w="585" w:type="pct"/>
            <w:tcBorders>
              <w:top w:val="nil"/>
              <w:left w:val="nil"/>
              <w:bottom w:val="single" w:color="auto" w:sz="4" w:space="0"/>
              <w:right w:val="single" w:color="auto" w:sz="4" w:space="0"/>
            </w:tcBorders>
            <w:shd w:val="clear" w:color="auto" w:fill="auto"/>
            <w:tcMar/>
            <w:vAlign w:val="center"/>
            <w:hideMark/>
          </w:tcPr>
          <w:p w:rsidRPr="00F84F19" w:rsidR="00F84F19" w:rsidP="3A5FC3B6" w:rsidRDefault="00F84F19" w14:paraId="79E9B6F8" w14:textId="77777777" w14:noSpellErr="1">
            <w:pPr>
              <w:spacing w:after="0" w:line="240" w:lineRule="auto"/>
              <w:jc w:val="center"/>
              <w:rPr>
                <w:rFonts w:eastAsia="Times New Roman" w:cs="Calibri" w:cstheme="minorAscii"/>
                <w:b w:val="1"/>
                <w:bCs w:val="1"/>
                <w:color w:val="auto"/>
                <w:sz w:val="11"/>
                <w:szCs w:val="11"/>
                <w:lang w:eastAsia="en-GB"/>
              </w:rPr>
            </w:pPr>
            <w:r w:rsidRPr="3A5FC3B6" w:rsidR="3A5FC3B6">
              <w:rPr>
                <w:rFonts w:eastAsia="Times New Roman" w:cs="Calibri" w:cstheme="minorAscii"/>
                <w:b w:val="1"/>
                <w:bCs w:val="1"/>
                <w:color w:val="auto"/>
                <w:sz w:val="11"/>
                <w:szCs w:val="11"/>
                <w:lang w:eastAsia="en-GB"/>
              </w:rPr>
              <w:t>Gastrointestinal</w:t>
            </w:r>
          </w:p>
        </w:tc>
        <w:tc>
          <w:tcPr>
            <w:tcW w:w="495" w:type="pct"/>
            <w:tcBorders>
              <w:top w:val="nil"/>
              <w:left w:val="nil"/>
              <w:bottom w:val="single" w:color="auto" w:sz="4" w:space="0"/>
              <w:right w:val="single" w:color="auto" w:sz="4" w:space="0"/>
            </w:tcBorders>
            <w:shd w:val="clear" w:color="auto" w:fill="auto"/>
            <w:tcMar/>
            <w:vAlign w:val="center"/>
            <w:hideMark/>
          </w:tcPr>
          <w:p w:rsidRPr="00F84F19" w:rsidR="00F84F19" w:rsidP="3A5FC3B6" w:rsidRDefault="00F84F19" w14:paraId="161D4454" w14:textId="77777777">
            <w:pPr>
              <w:spacing w:after="0" w:line="240" w:lineRule="auto"/>
              <w:jc w:val="center"/>
              <w:rPr>
                <w:rFonts w:eastAsia="Times New Roman" w:cs="Calibri" w:cstheme="minorAscii"/>
                <w:b w:val="1"/>
                <w:bCs w:val="1"/>
                <w:color w:val="auto"/>
                <w:sz w:val="11"/>
                <w:szCs w:val="11"/>
                <w:lang w:eastAsia="en-GB"/>
              </w:rPr>
            </w:pPr>
            <w:r w:rsidRPr="3A5FC3B6" w:rsidR="3A5FC3B6">
              <w:rPr>
                <w:rFonts w:eastAsia="Times New Roman" w:cs="Calibri" w:cstheme="minorAscii"/>
                <w:b w:val="1"/>
                <w:bCs w:val="1"/>
                <w:color w:val="auto"/>
                <w:sz w:val="11"/>
                <w:szCs w:val="11"/>
                <w:lang w:eastAsia="en-GB"/>
              </w:rPr>
              <w:t xml:space="preserve">Peripheral </w:t>
            </w:r>
            <w:r w:rsidRPr="3A5FC3B6" w:rsidR="3A5FC3B6">
              <w:rPr>
                <w:rFonts w:eastAsia="Times New Roman" w:cs="Calibri" w:cstheme="minorAscii"/>
                <w:b w:val="1"/>
                <w:bCs w:val="1"/>
                <w:color w:val="auto"/>
                <w:sz w:val="11"/>
                <w:szCs w:val="11"/>
                <w:lang w:eastAsia="en-GB"/>
              </w:rPr>
              <w:t>Embolisation</w:t>
            </w:r>
          </w:p>
        </w:tc>
        <w:tc>
          <w:tcPr>
            <w:tcW w:w="432" w:type="pct"/>
            <w:tcBorders>
              <w:top w:val="nil"/>
              <w:left w:val="nil"/>
              <w:bottom w:val="single" w:color="auto" w:sz="4" w:space="0"/>
              <w:right w:val="nil"/>
            </w:tcBorders>
            <w:shd w:val="clear" w:color="auto" w:fill="auto"/>
            <w:tcMar/>
            <w:vAlign w:val="center"/>
            <w:hideMark/>
          </w:tcPr>
          <w:p w:rsidRPr="00F84F19" w:rsidR="00F84F19" w:rsidP="3A5FC3B6" w:rsidRDefault="00F84F19" w14:paraId="7BD30448" w14:textId="77777777" w14:noSpellErr="1">
            <w:pPr>
              <w:spacing w:after="0" w:line="240" w:lineRule="auto"/>
              <w:jc w:val="center"/>
              <w:rPr>
                <w:rFonts w:eastAsia="Times New Roman" w:cs="Calibri" w:cstheme="minorAscii"/>
                <w:b w:val="1"/>
                <w:bCs w:val="1"/>
                <w:color w:val="auto"/>
                <w:sz w:val="11"/>
                <w:szCs w:val="11"/>
                <w:lang w:eastAsia="en-GB"/>
              </w:rPr>
            </w:pPr>
            <w:r w:rsidRPr="3A5FC3B6" w:rsidR="3A5FC3B6">
              <w:rPr>
                <w:rFonts w:eastAsia="Times New Roman" w:cs="Calibri" w:cstheme="minorAscii"/>
                <w:b w:val="1"/>
                <w:bCs w:val="1"/>
                <w:color w:val="auto"/>
                <w:sz w:val="11"/>
                <w:szCs w:val="11"/>
                <w:lang w:eastAsia="en-GB"/>
              </w:rPr>
              <w:t>Return to theatre</w:t>
            </w:r>
          </w:p>
        </w:tc>
        <w:tc>
          <w:tcPr>
            <w:tcW w:w="469" w:type="pct"/>
            <w:tcBorders>
              <w:top w:val="nil"/>
              <w:left w:val="single" w:color="auto" w:sz="4" w:space="0"/>
              <w:bottom w:val="single" w:color="auto" w:sz="4" w:space="0"/>
              <w:right w:val="nil"/>
            </w:tcBorders>
            <w:shd w:val="clear" w:color="auto" w:fill="auto"/>
            <w:tcMar/>
            <w:vAlign w:val="center"/>
            <w:hideMark/>
          </w:tcPr>
          <w:p w:rsidRPr="00F84F19" w:rsidR="00F84F19" w:rsidP="3A5FC3B6" w:rsidRDefault="00F84F19" w14:paraId="69584014" w14:textId="77777777" w14:noSpellErr="1">
            <w:pPr>
              <w:spacing w:after="0" w:line="240" w:lineRule="auto"/>
              <w:jc w:val="center"/>
              <w:rPr>
                <w:rFonts w:eastAsia="Times New Roman" w:cs="Calibri" w:cstheme="minorAscii"/>
                <w:b w:val="1"/>
                <w:bCs w:val="1"/>
                <w:color w:val="auto"/>
                <w:sz w:val="11"/>
                <w:szCs w:val="11"/>
                <w:lang w:eastAsia="en-GB"/>
              </w:rPr>
            </w:pPr>
            <w:r w:rsidRPr="3A5FC3B6" w:rsidR="3A5FC3B6">
              <w:rPr>
                <w:rFonts w:eastAsia="Times New Roman" w:cs="Calibri" w:cstheme="minorAscii"/>
                <w:b w:val="1"/>
                <w:bCs w:val="1"/>
                <w:color w:val="auto"/>
                <w:sz w:val="11"/>
                <w:szCs w:val="11"/>
                <w:lang w:eastAsia="en-GB"/>
              </w:rPr>
              <w:t>Early readmission (30 days)</w:t>
            </w:r>
          </w:p>
        </w:tc>
        <w:tc>
          <w:tcPr>
            <w:tcW w:w="369" w:type="pct"/>
            <w:tcBorders>
              <w:top w:val="nil"/>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F84F19" w:rsidR="00F84F19" w:rsidP="3A5FC3B6" w:rsidRDefault="00F84F19" w14:paraId="799F3E44" w14:textId="77777777">
            <w:pPr>
              <w:spacing w:after="0" w:line="240" w:lineRule="auto"/>
              <w:jc w:val="center"/>
              <w:rPr>
                <w:rFonts w:eastAsia="Times New Roman" w:cs="Calibri" w:cstheme="minorAscii"/>
                <w:b w:val="1"/>
                <w:bCs w:val="1"/>
                <w:color w:val="auto"/>
                <w:sz w:val="11"/>
                <w:szCs w:val="11"/>
                <w:lang w:eastAsia="en-GB"/>
              </w:rPr>
            </w:pPr>
            <w:r w:rsidRPr="3A5FC3B6" w:rsidR="3A5FC3B6">
              <w:rPr>
                <w:rFonts w:eastAsia="Times New Roman" w:cs="Calibri" w:cstheme="minorAscii"/>
                <w:b w:val="1"/>
                <w:bCs w:val="1"/>
                <w:color w:val="auto"/>
                <w:sz w:val="11"/>
                <w:szCs w:val="11"/>
                <w:lang w:eastAsia="en-GB"/>
              </w:rPr>
              <w:t>Clavien</w:t>
            </w:r>
            <w:r w:rsidRPr="3A5FC3B6" w:rsidR="3A5FC3B6">
              <w:rPr>
                <w:rFonts w:eastAsia="Times New Roman" w:cs="Calibri" w:cstheme="minorAscii"/>
                <w:b w:val="1"/>
                <w:bCs w:val="1"/>
                <w:color w:val="auto"/>
                <w:sz w:val="11"/>
                <w:szCs w:val="11"/>
                <w:lang w:eastAsia="en-GB"/>
              </w:rPr>
              <w:t>-Dindo</w:t>
            </w:r>
            <w:r w:rsidRPr="3A5FC3B6" w:rsidR="3A5FC3B6">
              <w:rPr>
                <w:rFonts w:eastAsia="Times New Roman" w:cs="Calibri" w:cstheme="minorAscii"/>
                <w:b w:val="1"/>
                <w:bCs w:val="1"/>
                <w:color w:val="auto"/>
                <w:sz w:val="11"/>
                <w:szCs w:val="11"/>
                <w:lang w:eastAsia="en-GB"/>
              </w:rPr>
              <w:t xml:space="preserve"> Grade I - II (Minor)</w:t>
            </w:r>
          </w:p>
        </w:tc>
        <w:tc>
          <w:tcPr>
            <w:tcW w:w="369" w:type="pct"/>
            <w:tcBorders>
              <w:top w:val="nil"/>
              <w:left w:val="nil"/>
              <w:bottom w:val="single" w:color="000000" w:themeColor="text1" w:sz="4" w:space="0"/>
              <w:right w:val="single" w:color="000000" w:themeColor="text1" w:sz="4" w:space="0"/>
            </w:tcBorders>
            <w:shd w:val="clear" w:color="auto" w:fill="auto"/>
            <w:tcMar/>
            <w:vAlign w:val="center"/>
            <w:hideMark/>
          </w:tcPr>
          <w:p w:rsidRPr="00F84F19" w:rsidR="00F84F19" w:rsidP="3A5FC3B6" w:rsidRDefault="00F84F19" w14:paraId="6D24B255" w14:textId="77777777">
            <w:pPr>
              <w:spacing w:after="0" w:line="240" w:lineRule="auto"/>
              <w:jc w:val="center"/>
              <w:rPr>
                <w:rFonts w:eastAsia="Times New Roman" w:cs="Calibri" w:cstheme="minorAscii"/>
                <w:b w:val="1"/>
                <w:bCs w:val="1"/>
                <w:color w:val="auto"/>
                <w:sz w:val="11"/>
                <w:szCs w:val="11"/>
                <w:lang w:eastAsia="en-GB"/>
              </w:rPr>
            </w:pPr>
            <w:r w:rsidRPr="3A5FC3B6" w:rsidR="3A5FC3B6">
              <w:rPr>
                <w:rFonts w:eastAsia="Times New Roman" w:cs="Calibri" w:cstheme="minorAscii"/>
                <w:b w:val="1"/>
                <w:bCs w:val="1"/>
                <w:color w:val="auto"/>
                <w:sz w:val="11"/>
                <w:szCs w:val="11"/>
                <w:lang w:eastAsia="en-GB"/>
              </w:rPr>
              <w:t>Clavien</w:t>
            </w:r>
            <w:r w:rsidRPr="3A5FC3B6" w:rsidR="3A5FC3B6">
              <w:rPr>
                <w:rFonts w:eastAsia="Times New Roman" w:cs="Calibri" w:cstheme="minorAscii"/>
                <w:b w:val="1"/>
                <w:bCs w:val="1"/>
                <w:color w:val="auto"/>
                <w:sz w:val="11"/>
                <w:szCs w:val="11"/>
                <w:lang w:eastAsia="en-GB"/>
              </w:rPr>
              <w:t>-Dindo</w:t>
            </w:r>
            <w:r w:rsidRPr="3A5FC3B6" w:rsidR="3A5FC3B6">
              <w:rPr>
                <w:rFonts w:eastAsia="Times New Roman" w:cs="Calibri" w:cstheme="minorAscii"/>
                <w:b w:val="1"/>
                <w:bCs w:val="1"/>
                <w:color w:val="auto"/>
                <w:sz w:val="11"/>
                <w:szCs w:val="11"/>
                <w:lang w:eastAsia="en-GB"/>
              </w:rPr>
              <w:t xml:space="preserve"> Grade III - IV (Major)</w:t>
            </w:r>
          </w:p>
        </w:tc>
      </w:tr>
      <w:tr w:rsidRPr="00192449" w:rsidR="00192449" w:rsidTr="3A5FC3B6" w14:paraId="1A31AC0F" w14:textId="77777777">
        <w:trPr>
          <w:trHeight w:val="580"/>
        </w:trPr>
        <w:tc>
          <w:tcPr>
            <w:tcW w:w="551" w:type="pct"/>
            <w:tcBorders>
              <w:top w:val="single" w:color="auto" w:sz="4" w:space="0"/>
              <w:left w:val="single" w:color="auto" w:sz="4" w:space="0"/>
              <w:bottom w:val="single" w:color="auto" w:sz="4" w:space="0"/>
              <w:right w:val="single" w:color="auto" w:sz="4" w:space="0"/>
            </w:tcBorders>
            <w:shd w:val="clear" w:color="auto" w:fill="auto"/>
            <w:tcMar/>
            <w:vAlign w:val="center"/>
            <w:hideMark/>
          </w:tcPr>
          <w:p w:rsidRPr="00F84F19" w:rsidR="00F84F19" w:rsidP="3A5FC3B6" w:rsidRDefault="00F84F19" w14:paraId="5B07F584" w14:textId="77777777">
            <w:pPr>
              <w:spacing w:after="0" w:line="240" w:lineRule="auto"/>
              <w:jc w:val="center"/>
              <w:rPr>
                <w:rFonts w:eastAsia="Times New Roman" w:cs="Calibri" w:cstheme="minorAscii"/>
                <w:b w:val="1"/>
                <w:bCs w:val="1"/>
                <w:color w:val="auto"/>
                <w:sz w:val="11"/>
                <w:szCs w:val="11"/>
                <w:lang w:eastAsia="en-GB"/>
              </w:rPr>
            </w:pPr>
            <w:r w:rsidRPr="3A5FC3B6" w:rsidR="3A5FC3B6">
              <w:rPr>
                <w:rFonts w:eastAsia="Times New Roman" w:cs="Calibri" w:cstheme="minorAscii"/>
                <w:b w:val="1"/>
                <w:bCs w:val="1"/>
                <w:color w:val="auto"/>
                <w:sz w:val="11"/>
                <w:szCs w:val="11"/>
                <w:lang w:eastAsia="en-GB"/>
              </w:rPr>
              <w:t>Brustia</w:t>
            </w:r>
            <w:r w:rsidRPr="3A5FC3B6" w:rsidR="3A5FC3B6">
              <w:rPr>
                <w:rFonts w:eastAsia="Times New Roman" w:cs="Calibri" w:cstheme="minorAscii"/>
                <w:b w:val="1"/>
                <w:bCs w:val="1"/>
                <w:color w:val="auto"/>
                <w:sz w:val="11"/>
                <w:szCs w:val="11"/>
                <w:lang w:eastAsia="en-GB"/>
              </w:rPr>
              <w:t> </w:t>
            </w:r>
          </w:p>
        </w:tc>
        <w:tc>
          <w:tcPr>
            <w:tcW w:w="430" w:type="pct"/>
            <w:tcBorders>
              <w:top w:val="nil"/>
              <w:left w:val="nil"/>
              <w:bottom w:val="single" w:color="auto" w:sz="4" w:space="0"/>
              <w:right w:val="single" w:color="auto" w:sz="4" w:space="0"/>
            </w:tcBorders>
            <w:shd w:val="clear" w:color="auto" w:fill="auto"/>
            <w:tcMar/>
            <w:vAlign w:val="center"/>
            <w:hideMark/>
          </w:tcPr>
          <w:p w:rsidRPr="00F84F19" w:rsidR="00F84F19" w:rsidP="3A5FC3B6" w:rsidRDefault="00F84F19" w14:paraId="5B62A56A" w14:textId="77777777" w14:noSpellErr="1">
            <w:pPr>
              <w:spacing w:after="0" w:line="240" w:lineRule="auto"/>
              <w:jc w:val="center"/>
              <w:rPr>
                <w:rFonts w:eastAsia="Times New Roman" w:cs="Calibri" w:cstheme="minorAscii"/>
                <w:color w:val="auto"/>
                <w:sz w:val="11"/>
                <w:szCs w:val="11"/>
                <w:lang w:eastAsia="en-GB"/>
              </w:rPr>
            </w:pPr>
            <w:r w:rsidRPr="3A5FC3B6" w:rsidR="3A5FC3B6">
              <w:rPr>
                <w:rFonts w:eastAsia="Times New Roman" w:cs="Calibri" w:cstheme="minorAscii"/>
                <w:color w:val="auto"/>
                <w:sz w:val="11"/>
                <w:szCs w:val="11"/>
                <w:lang w:eastAsia="en-GB"/>
              </w:rPr>
              <w:t xml:space="preserve">ERAS 0% (0/82) </w:t>
            </w:r>
            <w:r>
              <w:br/>
            </w:r>
            <w:r w:rsidRPr="3A5FC3B6" w:rsidR="3A5FC3B6">
              <w:rPr>
                <w:rFonts w:eastAsia="Times New Roman" w:cs="Calibri" w:cstheme="minorAscii"/>
                <w:color w:val="auto"/>
                <w:sz w:val="11"/>
                <w:szCs w:val="11"/>
                <w:lang w:eastAsia="en-GB"/>
              </w:rPr>
              <w:t>Standard 14.0% (9/64)</w:t>
            </w:r>
          </w:p>
        </w:tc>
        <w:tc>
          <w:tcPr>
            <w:tcW w:w="488" w:type="pct"/>
            <w:tcBorders>
              <w:top w:val="nil"/>
              <w:left w:val="nil"/>
              <w:bottom w:val="single" w:color="auto" w:sz="4" w:space="0"/>
              <w:right w:val="single" w:color="auto" w:sz="4" w:space="0"/>
            </w:tcBorders>
            <w:shd w:val="clear" w:color="auto" w:fill="auto"/>
            <w:tcMar/>
            <w:vAlign w:val="center"/>
            <w:hideMark/>
          </w:tcPr>
          <w:p w:rsidRPr="00F84F19" w:rsidR="00F84F19" w:rsidP="3A5FC3B6" w:rsidRDefault="00F84F19" w14:paraId="7270B2E4" w14:textId="77777777" w14:noSpellErr="1">
            <w:pPr>
              <w:spacing w:after="0" w:line="240" w:lineRule="auto"/>
              <w:jc w:val="center"/>
              <w:rPr>
                <w:rFonts w:eastAsia="Times New Roman" w:cs="Calibri" w:cstheme="minorAscii"/>
                <w:color w:val="auto"/>
                <w:sz w:val="11"/>
                <w:szCs w:val="11"/>
                <w:lang w:eastAsia="en-GB"/>
              </w:rPr>
            </w:pPr>
            <w:r w:rsidRPr="3A5FC3B6" w:rsidR="3A5FC3B6">
              <w:rPr>
                <w:rFonts w:eastAsia="Times New Roman" w:cs="Calibri" w:cstheme="minorAscii"/>
                <w:color w:val="auto"/>
                <w:sz w:val="11"/>
                <w:szCs w:val="11"/>
                <w:lang w:eastAsia="en-GB"/>
              </w:rPr>
              <w:t>ERAS 2.4% (2/82)</w:t>
            </w:r>
            <w:r>
              <w:br/>
            </w:r>
            <w:r w:rsidRPr="3A5FC3B6" w:rsidR="3A5FC3B6">
              <w:rPr>
                <w:rFonts w:eastAsia="Times New Roman" w:cs="Calibri" w:cstheme="minorAscii"/>
                <w:color w:val="auto"/>
                <w:sz w:val="11"/>
                <w:szCs w:val="11"/>
                <w:lang w:eastAsia="en-GB"/>
              </w:rPr>
              <w:t>Standard 9.3% (6/64)</w:t>
            </w:r>
          </w:p>
        </w:tc>
        <w:tc>
          <w:tcPr>
            <w:tcW w:w="443" w:type="pct"/>
            <w:tcBorders>
              <w:top w:val="nil"/>
              <w:left w:val="nil"/>
              <w:bottom w:val="single" w:color="auto" w:sz="4" w:space="0"/>
              <w:right w:val="single" w:color="auto" w:sz="4" w:space="0"/>
            </w:tcBorders>
            <w:shd w:val="clear" w:color="auto" w:fill="auto"/>
            <w:tcMar/>
            <w:vAlign w:val="center"/>
            <w:hideMark/>
          </w:tcPr>
          <w:p w:rsidRPr="00F84F19" w:rsidR="00F84F19" w:rsidP="3A5FC3B6" w:rsidRDefault="00F84F19" w14:paraId="688BB76E" w14:textId="77777777" w14:noSpellErr="1">
            <w:pPr>
              <w:spacing w:after="0" w:line="240" w:lineRule="auto"/>
              <w:jc w:val="center"/>
              <w:rPr>
                <w:rFonts w:eastAsia="Times New Roman" w:cs="Calibri" w:cstheme="minorAscii"/>
                <w:color w:val="auto"/>
                <w:sz w:val="11"/>
                <w:szCs w:val="11"/>
                <w:lang w:eastAsia="en-GB"/>
              </w:rPr>
            </w:pPr>
            <w:r w:rsidRPr="3A5FC3B6" w:rsidR="3A5FC3B6">
              <w:rPr>
                <w:rFonts w:eastAsia="Times New Roman" w:cs="Calibri" w:cstheme="minorAscii"/>
                <w:color w:val="auto"/>
                <w:sz w:val="11"/>
                <w:szCs w:val="11"/>
                <w:lang w:eastAsia="en-GB"/>
              </w:rPr>
              <w:t>ERAS 7.2% (6/82)</w:t>
            </w:r>
            <w:r>
              <w:br/>
            </w:r>
            <w:r w:rsidRPr="3A5FC3B6" w:rsidR="3A5FC3B6">
              <w:rPr>
                <w:rFonts w:eastAsia="Times New Roman" w:cs="Calibri" w:cstheme="minorAscii"/>
                <w:color w:val="auto"/>
                <w:sz w:val="11"/>
                <w:szCs w:val="11"/>
                <w:lang w:eastAsia="en-GB"/>
              </w:rPr>
              <w:t>Standard 7.8% (5/64)</w:t>
            </w:r>
          </w:p>
        </w:tc>
        <w:tc>
          <w:tcPr>
            <w:tcW w:w="369" w:type="pct"/>
            <w:tcBorders>
              <w:top w:val="nil"/>
              <w:left w:val="nil"/>
              <w:bottom w:val="single" w:color="auto" w:sz="4" w:space="0"/>
              <w:right w:val="single" w:color="auto" w:sz="4" w:space="0"/>
            </w:tcBorders>
            <w:shd w:val="clear" w:color="auto" w:fill="auto"/>
            <w:tcMar/>
            <w:vAlign w:val="center"/>
            <w:hideMark/>
          </w:tcPr>
          <w:p w:rsidRPr="00F84F19" w:rsidR="00F84F19" w:rsidP="3A5FC3B6" w:rsidRDefault="00F84F19" w14:paraId="5308F8A9" w14:textId="77777777" w14:noSpellErr="1">
            <w:pPr>
              <w:spacing w:after="0" w:line="240" w:lineRule="auto"/>
              <w:jc w:val="center"/>
              <w:rPr>
                <w:rFonts w:eastAsia="Times New Roman" w:cs="Calibri" w:cstheme="minorAscii"/>
                <w:color w:val="auto"/>
                <w:sz w:val="11"/>
                <w:szCs w:val="11"/>
                <w:lang w:eastAsia="en-GB"/>
              </w:rPr>
            </w:pPr>
            <w:r w:rsidRPr="3A5FC3B6" w:rsidR="3A5FC3B6">
              <w:rPr>
                <w:rFonts w:eastAsia="Times New Roman" w:cs="Calibri" w:cstheme="minorAscii"/>
                <w:color w:val="auto"/>
                <w:sz w:val="11"/>
                <w:szCs w:val="11"/>
                <w:lang w:eastAsia="en-GB"/>
              </w:rPr>
              <w:t>ERAS 1.2% (1/82)</w:t>
            </w:r>
            <w:r>
              <w:br/>
            </w:r>
            <w:r w:rsidRPr="3A5FC3B6" w:rsidR="3A5FC3B6">
              <w:rPr>
                <w:rFonts w:eastAsia="Times New Roman" w:cs="Calibri" w:cstheme="minorAscii"/>
                <w:color w:val="auto"/>
                <w:sz w:val="11"/>
                <w:szCs w:val="11"/>
                <w:lang w:eastAsia="en-GB"/>
              </w:rPr>
              <w:t>Standard 3.1% (2/64)</w:t>
            </w:r>
          </w:p>
        </w:tc>
        <w:tc>
          <w:tcPr>
            <w:tcW w:w="585" w:type="pct"/>
            <w:tcBorders>
              <w:top w:val="nil"/>
              <w:left w:val="nil"/>
              <w:bottom w:val="single" w:color="auto" w:sz="4" w:space="0"/>
              <w:right w:val="single" w:color="auto" w:sz="4" w:space="0"/>
            </w:tcBorders>
            <w:shd w:val="clear" w:color="auto" w:fill="auto"/>
            <w:tcMar/>
            <w:vAlign w:val="center"/>
            <w:hideMark/>
          </w:tcPr>
          <w:p w:rsidRPr="00F84F19" w:rsidR="00F84F19" w:rsidP="3A5FC3B6" w:rsidRDefault="00F84F19" w14:paraId="1A385559" w14:textId="77777777" w14:noSpellErr="1">
            <w:pPr>
              <w:spacing w:after="0" w:line="240" w:lineRule="auto"/>
              <w:jc w:val="center"/>
              <w:rPr>
                <w:rFonts w:eastAsia="Times New Roman" w:cs="Calibri" w:cstheme="minorAscii"/>
                <w:color w:val="auto"/>
                <w:sz w:val="11"/>
                <w:szCs w:val="11"/>
                <w:lang w:eastAsia="en-GB"/>
              </w:rPr>
            </w:pPr>
            <w:r w:rsidRPr="3A5FC3B6" w:rsidR="3A5FC3B6">
              <w:rPr>
                <w:rFonts w:eastAsia="Times New Roman" w:cs="Calibri" w:cstheme="minorAscii"/>
                <w:color w:val="auto"/>
                <w:sz w:val="11"/>
                <w:szCs w:val="11"/>
                <w:lang w:eastAsia="en-GB"/>
              </w:rPr>
              <w:t>ERAS 0% (0/82)</w:t>
            </w:r>
            <w:r>
              <w:br/>
            </w:r>
            <w:r w:rsidRPr="3A5FC3B6" w:rsidR="3A5FC3B6">
              <w:rPr>
                <w:rFonts w:eastAsia="Times New Roman" w:cs="Calibri" w:cstheme="minorAscii"/>
                <w:color w:val="auto"/>
                <w:sz w:val="11"/>
                <w:szCs w:val="11"/>
                <w:lang w:eastAsia="en-GB"/>
              </w:rPr>
              <w:t>Standard 10.9% (7/64)</w:t>
            </w:r>
          </w:p>
        </w:tc>
        <w:tc>
          <w:tcPr>
            <w:tcW w:w="495" w:type="pct"/>
            <w:tcBorders>
              <w:top w:val="nil"/>
              <w:left w:val="nil"/>
              <w:bottom w:val="single" w:color="auto" w:sz="4" w:space="0"/>
              <w:right w:val="single" w:color="auto" w:sz="4" w:space="0"/>
            </w:tcBorders>
            <w:shd w:val="clear" w:color="auto" w:fill="auto"/>
            <w:tcMar/>
            <w:vAlign w:val="center"/>
            <w:hideMark/>
          </w:tcPr>
          <w:p w:rsidRPr="00F84F19" w:rsidR="00F84F19" w:rsidP="3A5FC3B6" w:rsidRDefault="00F84F19" w14:paraId="7E2EE4A9" w14:textId="77777777" w14:noSpellErr="1">
            <w:pPr>
              <w:spacing w:after="0" w:line="240" w:lineRule="auto"/>
              <w:jc w:val="center"/>
              <w:rPr>
                <w:rFonts w:eastAsia="Times New Roman" w:cs="Calibri" w:cstheme="minorAscii"/>
                <w:color w:val="auto"/>
                <w:sz w:val="11"/>
                <w:szCs w:val="11"/>
                <w:lang w:eastAsia="en-GB"/>
              </w:rPr>
            </w:pPr>
            <w:r w:rsidRPr="3A5FC3B6" w:rsidR="3A5FC3B6">
              <w:rPr>
                <w:rFonts w:eastAsia="Times New Roman" w:cs="Calibri" w:cstheme="minorAscii"/>
                <w:color w:val="auto"/>
                <w:sz w:val="11"/>
                <w:szCs w:val="11"/>
                <w:lang w:eastAsia="en-GB"/>
              </w:rPr>
              <w:t>ERAS 1.2% (1/82)</w:t>
            </w:r>
            <w:r>
              <w:br/>
            </w:r>
            <w:r w:rsidRPr="3A5FC3B6" w:rsidR="3A5FC3B6">
              <w:rPr>
                <w:rFonts w:eastAsia="Times New Roman" w:cs="Calibri" w:cstheme="minorAscii"/>
                <w:color w:val="auto"/>
                <w:sz w:val="11"/>
                <w:szCs w:val="11"/>
                <w:lang w:eastAsia="en-GB"/>
              </w:rPr>
              <w:t>Standard 0% (0/64)</w:t>
            </w:r>
          </w:p>
        </w:tc>
        <w:tc>
          <w:tcPr>
            <w:tcW w:w="432" w:type="pct"/>
            <w:tcBorders>
              <w:top w:val="nil"/>
              <w:left w:val="nil"/>
              <w:bottom w:val="single" w:color="auto" w:sz="4" w:space="0"/>
              <w:right w:val="nil"/>
            </w:tcBorders>
            <w:shd w:val="clear" w:color="auto" w:fill="auto"/>
            <w:tcMar/>
            <w:vAlign w:val="center"/>
            <w:hideMark/>
          </w:tcPr>
          <w:p w:rsidRPr="00F84F19" w:rsidR="00F84F19" w:rsidP="3A5FC3B6" w:rsidRDefault="00F84F19" w14:paraId="68072379" w14:textId="77777777" w14:noSpellErr="1">
            <w:pPr>
              <w:spacing w:after="0" w:line="240" w:lineRule="auto"/>
              <w:jc w:val="center"/>
              <w:rPr>
                <w:rFonts w:eastAsia="Times New Roman" w:cs="Calibri" w:cstheme="minorAscii"/>
                <w:color w:val="auto"/>
                <w:sz w:val="11"/>
                <w:szCs w:val="11"/>
                <w:lang w:eastAsia="en-GB"/>
              </w:rPr>
            </w:pPr>
            <w:r w:rsidRPr="3A5FC3B6" w:rsidR="3A5FC3B6">
              <w:rPr>
                <w:rFonts w:eastAsia="Times New Roman" w:cs="Calibri" w:cstheme="minorAscii"/>
                <w:color w:val="auto"/>
                <w:sz w:val="11"/>
                <w:szCs w:val="11"/>
                <w:lang w:eastAsia="en-GB"/>
              </w:rPr>
              <w:t>/</w:t>
            </w:r>
          </w:p>
        </w:tc>
        <w:tc>
          <w:tcPr>
            <w:tcW w:w="469" w:type="pct"/>
            <w:tcBorders>
              <w:top w:val="nil"/>
              <w:left w:val="single" w:color="auto" w:sz="4" w:space="0"/>
              <w:bottom w:val="single" w:color="auto" w:sz="4" w:space="0"/>
              <w:right w:val="nil"/>
            </w:tcBorders>
            <w:shd w:val="clear" w:color="auto" w:fill="auto"/>
            <w:tcMar/>
            <w:vAlign w:val="center"/>
            <w:hideMark/>
          </w:tcPr>
          <w:p w:rsidRPr="00F84F19" w:rsidR="00F84F19" w:rsidP="3A5FC3B6" w:rsidRDefault="00F84F19" w14:paraId="74E8D15D" w14:textId="77777777" w14:noSpellErr="1">
            <w:pPr>
              <w:spacing w:after="0" w:line="240" w:lineRule="auto"/>
              <w:jc w:val="center"/>
              <w:rPr>
                <w:rFonts w:eastAsia="Times New Roman" w:cs="Calibri" w:cstheme="minorAscii"/>
                <w:color w:val="auto"/>
                <w:sz w:val="11"/>
                <w:szCs w:val="11"/>
                <w:lang w:eastAsia="en-GB"/>
              </w:rPr>
            </w:pPr>
            <w:r w:rsidRPr="3A5FC3B6" w:rsidR="3A5FC3B6">
              <w:rPr>
                <w:rFonts w:eastAsia="Times New Roman" w:cs="Calibri" w:cstheme="minorAscii"/>
                <w:color w:val="auto"/>
                <w:sz w:val="11"/>
                <w:szCs w:val="11"/>
                <w:lang w:eastAsia="en-GB"/>
              </w:rPr>
              <w:t>ERAS 1.2% (1/82)</w:t>
            </w:r>
            <w:r>
              <w:br/>
            </w:r>
            <w:r w:rsidRPr="3A5FC3B6" w:rsidR="3A5FC3B6">
              <w:rPr>
                <w:rFonts w:eastAsia="Times New Roman" w:cs="Calibri" w:cstheme="minorAscii"/>
                <w:color w:val="auto"/>
                <w:sz w:val="11"/>
                <w:szCs w:val="11"/>
                <w:lang w:eastAsia="en-GB"/>
              </w:rPr>
              <w:t>Standard 4.7% (3/64)</w:t>
            </w:r>
          </w:p>
        </w:tc>
        <w:tc>
          <w:tcPr>
            <w:tcW w:w="369" w:type="pct"/>
            <w:tcBorders>
              <w:top w:val="nil"/>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F84F19" w:rsidR="00F84F19" w:rsidP="3A5FC3B6" w:rsidRDefault="00F84F19" w14:paraId="22B4D905" w14:textId="77777777" w14:noSpellErr="1">
            <w:pPr>
              <w:spacing w:after="0" w:line="240" w:lineRule="auto"/>
              <w:jc w:val="center"/>
              <w:rPr>
                <w:rFonts w:eastAsia="Times New Roman" w:cs="Calibri" w:cstheme="minorAscii"/>
                <w:color w:val="auto"/>
                <w:sz w:val="11"/>
                <w:szCs w:val="11"/>
                <w:lang w:eastAsia="en-GB"/>
              </w:rPr>
            </w:pPr>
            <w:r w:rsidRPr="3A5FC3B6" w:rsidR="3A5FC3B6">
              <w:rPr>
                <w:rFonts w:eastAsia="Times New Roman" w:cs="Calibri" w:cstheme="minorAscii"/>
                <w:color w:val="auto"/>
                <w:sz w:val="11"/>
                <w:szCs w:val="11"/>
                <w:lang w:eastAsia="en-GB"/>
              </w:rPr>
              <w:t>/</w:t>
            </w:r>
          </w:p>
        </w:tc>
        <w:tc>
          <w:tcPr>
            <w:tcW w:w="369" w:type="pct"/>
            <w:tcBorders>
              <w:top w:val="nil"/>
              <w:left w:val="nil"/>
              <w:bottom w:val="single" w:color="000000" w:themeColor="text1" w:sz="4" w:space="0"/>
              <w:right w:val="single" w:color="000000" w:themeColor="text1" w:sz="4" w:space="0"/>
            </w:tcBorders>
            <w:shd w:val="clear" w:color="auto" w:fill="auto"/>
            <w:tcMar/>
            <w:vAlign w:val="center"/>
            <w:hideMark/>
          </w:tcPr>
          <w:p w:rsidRPr="00F84F19" w:rsidR="00F84F19" w:rsidP="3A5FC3B6" w:rsidRDefault="00F84F19" w14:paraId="0EF64E97" w14:textId="77777777" w14:noSpellErr="1">
            <w:pPr>
              <w:spacing w:after="0" w:line="240" w:lineRule="auto"/>
              <w:jc w:val="center"/>
              <w:rPr>
                <w:rFonts w:eastAsia="Times New Roman" w:cs="Calibri" w:cstheme="minorAscii"/>
                <w:color w:val="auto"/>
                <w:sz w:val="11"/>
                <w:szCs w:val="11"/>
                <w:lang w:eastAsia="en-GB"/>
              </w:rPr>
            </w:pPr>
            <w:r w:rsidRPr="3A5FC3B6" w:rsidR="3A5FC3B6">
              <w:rPr>
                <w:rFonts w:eastAsia="Times New Roman" w:cs="Calibri" w:cstheme="minorAscii"/>
                <w:color w:val="auto"/>
                <w:sz w:val="11"/>
                <w:szCs w:val="11"/>
                <w:lang w:eastAsia="en-GB"/>
              </w:rPr>
              <w:t>/</w:t>
            </w:r>
          </w:p>
        </w:tc>
      </w:tr>
      <w:tr w:rsidRPr="00192449" w:rsidR="00192449" w:rsidTr="3A5FC3B6" w14:paraId="3EE9E331" w14:textId="77777777">
        <w:trPr>
          <w:trHeight w:val="580"/>
        </w:trPr>
        <w:tc>
          <w:tcPr>
            <w:tcW w:w="551" w:type="pct"/>
            <w:tcBorders>
              <w:top w:val="nil"/>
              <w:left w:val="single" w:color="auto" w:sz="4" w:space="0"/>
              <w:bottom w:val="single" w:color="auto" w:sz="4" w:space="0"/>
              <w:right w:val="single" w:color="auto" w:sz="4" w:space="0"/>
            </w:tcBorders>
            <w:shd w:val="clear" w:color="auto" w:fill="auto"/>
            <w:tcMar/>
            <w:vAlign w:val="center"/>
            <w:hideMark/>
          </w:tcPr>
          <w:p w:rsidRPr="00F84F19" w:rsidR="00F84F19" w:rsidP="3A5FC3B6" w:rsidRDefault="00F84F19" w14:paraId="7EA26D93" w14:textId="77777777">
            <w:pPr>
              <w:spacing w:after="0" w:line="240" w:lineRule="auto"/>
              <w:jc w:val="center"/>
              <w:rPr>
                <w:rFonts w:eastAsia="Times New Roman" w:cs="Calibri" w:cstheme="minorAscii"/>
                <w:b w:val="1"/>
                <w:bCs w:val="1"/>
                <w:color w:val="auto"/>
                <w:sz w:val="11"/>
                <w:szCs w:val="11"/>
                <w:lang w:eastAsia="en-GB"/>
              </w:rPr>
            </w:pPr>
            <w:r w:rsidRPr="3A5FC3B6" w:rsidR="3A5FC3B6">
              <w:rPr>
                <w:rFonts w:eastAsia="Times New Roman" w:cs="Calibri" w:cstheme="minorAscii"/>
                <w:b w:val="1"/>
                <w:bCs w:val="1"/>
                <w:color w:val="auto"/>
                <w:sz w:val="11"/>
                <w:szCs w:val="11"/>
                <w:lang w:eastAsia="en-GB"/>
              </w:rPr>
              <w:t>Feo</w:t>
            </w:r>
            <w:r w:rsidRPr="3A5FC3B6" w:rsidR="3A5FC3B6">
              <w:rPr>
                <w:rFonts w:eastAsia="Times New Roman" w:cs="Calibri" w:cstheme="minorAscii"/>
                <w:b w:val="1"/>
                <w:bCs w:val="1"/>
                <w:color w:val="auto"/>
                <w:sz w:val="11"/>
                <w:szCs w:val="11"/>
                <w:lang w:eastAsia="en-GB"/>
              </w:rPr>
              <w:t> </w:t>
            </w:r>
          </w:p>
        </w:tc>
        <w:tc>
          <w:tcPr>
            <w:tcW w:w="430" w:type="pct"/>
            <w:tcBorders>
              <w:top w:val="nil"/>
              <w:left w:val="nil"/>
              <w:bottom w:val="single" w:color="auto" w:sz="4" w:space="0"/>
              <w:right w:val="single" w:color="auto" w:sz="4" w:space="0"/>
            </w:tcBorders>
            <w:shd w:val="clear" w:color="auto" w:fill="auto"/>
            <w:tcMar/>
            <w:vAlign w:val="center"/>
            <w:hideMark/>
          </w:tcPr>
          <w:p w:rsidRPr="00F84F19" w:rsidR="00F84F19" w:rsidP="3A5FC3B6" w:rsidRDefault="00F84F19" w14:paraId="38528E19" w14:textId="77777777" w14:noSpellErr="1">
            <w:pPr>
              <w:spacing w:after="0" w:line="240" w:lineRule="auto"/>
              <w:jc w:val="center"/>
              <w:rPr>
                <w:rFonts w:eastAsia="Times New Roman" w:cs="Calibri" w:cstheme="minorAscii"/>
                <w:color w:val="auto"/>
                <w:sz w:val="11"/>
                <w:szCs w:val="11"/>
                <w:lang w:eastAsia="en-GB"/>
              </w:rPr>
            </w:pPr>
            <w:r w:rsidRPr="3A5FC3B6" w:rsidR="3A5FC3B6">
              <w:rPr>
                <w:rFonts w:eastAsia="Times New Roman" w:cs="Calibri" w:cstheme="minorAscii"/>
                <w:color w:val="auto"/>
                <w:sz w:val="11"/>
                <w:szCs w:val="11"/>
                <w:lang w:eastAsia="en-GB"/>
              </w:rPr>
              <w:t>/</w:t>
            </w:r>
          </w:p>
        </w:tc>
        <w:tc>
          <w:tcPr>
            <w:tcW w:w="488" w:type="pct"/>
            <w:tcBorders>
              <w:top w:val="nil"/>
              <w:left w:val="nil"/>
              <w:bottom w:val="single" w:color="auto" w:sz="4" w:space="0"/>
              <w:right w:val="single" w:color="auto" w:sz="4" w:space="0"/>
            </w:tcBorders>
            <w:shd w:val="clear" w:color="auto" w:fill="auto"/>
            <w:tcMar/>
            <w:vAlign w:val="center"/>
            <w:hideMark/>
          </w:tcPr>
          <w:p w:rsidRPr="00F84F19" w:rsidR="00F84F19" w:rsidP="3A5FC3B6" w:rsidRDefault="00F84F19" w14:paraId="52222BEC" w14:textId="77777777" w14:noSpellErr="1">
            <w:pPr>
              <w:spacing w:after="0" w:line="240" w:lineRule="auto"/>
              <w:jc w:val="center"/>
              <w:rPr>
                <w:rFonts w:eastAsia="Times New Roman" w:cs="Calibri" w:cstheme="minorAscii"/>
                <w:color w:val="auto"/>
                <w:sz w:val="11"/>
                <w:szCs w:val="11"/>
                <w:lang w:eastAsia="en-GB"/>
              </w:rPr>
            </w:pPr>
            <w:r w:rsidRPr="3A5FC3B6" w:rsidR="3A5FC3B6">
              <w:rPr>
                <w:rFonts w:eastAsia="Times New Roman" w:cs="Calibri" w:cstheme="minorAscii"/>
                <w:color w:val="auto"/>
                <w:sz w:val="11"/>
                <w:szCs w:val="11"/>
                <w:lang w:eastAsia="en-GB"/>
              </w:rPr>
              <w:t>/</w:t>
            </w:r>
          </w:p>
        </w:tc>
        <w:tc>
          <w:tcPr>
            <w:tcW w:w="443" w:type="pct"/>
            <w:tcBorders>
              <w:top w:val="nil"/>
              <w:left w:val="nil"/>
              <w:bottom w:val="single" w:color="auto" w:sz="4" w:space="0"/>
              <w:right w:val="single" w:color="auto" w:sz="4" w:space="0"/>
            </w:tcBorders>
            <w:shd w:val="clear" w:color="auto" w:fill="auto"/>
            <w:tcMar/>
            <w:vAlign w:val="center"/>
            <w:hideMark/>
          </w:tcPr>
          <w:p w:rsidRPr="00F84F19" w:rsidR="00F84F19" w:rsidP="3A5FC3B6" w:rsidRDefault="00F84F19" w14:paraId="03FBEA95" w14:textId="77777777" w14:noSpellErr="1">
            <w:pPr>
              <w:spacing w:after="0" w:line="240" w:lineRule="auto"/>
              <w:jc w:val="center"/>
              <w:rPr>
                <w:rFonts w:eastAsia="Times New Roman" w:cs="Calibri" w:cstheme="minorAscii"/>
                <w:color w:val="auto"/>
                <w:sz w:val="11"/>
                <w:szCs w:val="11"/>
                <w:lang w:eastAsia="en-GB"/>
              </w:rPr>
            </w:pPr>
            <w:r w:rsidRPr="3A5FC3B6" w:rsidR="3A5FC3B6">
              <w:rPr>
                <w:rFonts w:eastAsia="Times New Roman" w:cs="Calibri" w:cstheme="minorAscii"/>
                <w:color w:val="auto"/>
                <w:sz w:val="11"/>
                <w:szCs w:val="11"/>
                <w:lang w:eastAsia="en-GB"/>
              </w:rPr>
              <w:t>/</w:t>
            </w:r>
          </w:p>
        </w:tc>
        <w:tc>
          <w:tcPr>
            <w:tcW w:w="369" w:type="pct"/>
            <w:tcBorders>
              <w:top w:val="nil"/>
              <w:left w:val="nil"/>
              <w:bottom w:val="single" w:color="auto" w:sz="4" w:space="0"/>
              <w:right w:val="single" w:color="auto" w:sz="4" w:space="0"/>
            </w:tcBorders>
            <w:shd w:val="clear" w:color="auto" w:fill="auto"/>
            <w:tcMar/>
            <w:vAlign w:val="center"/>
            <w:hideMark/>
          </w:tcPr>
          <w:p w:rsidRPr="00F84F19" w:rsidR="00F84F19" w:rsidP="3A5FC3B6" w:rsidRDefault="00F84F19" w14:paraId="7263148B" w14:textId="77777777" w14:noSpellErr="1">
            <w:pPr>
              <w:spacing w:after="0" w:line="240" w:lineRule="auto"/>
              <w:jc w:val="center"/>
              <w:rPr>
                <w:rFonts w:eastAsia="Times New Roman" w:cs="Calibri" w:cstheme="minorAscii"/>
                <w:color w:val="auto"/>
                <w:sz w:val="11"/>
                <w:szCs w:val="11"/>
                <w:lang w:eastAsia="en-GB"/>
              </w:rPr>
            </w:pPr>
            <w:r w:rsidRPr="3A5FC3B6" w:rsidR="3A5FC3B6">
              <w:rPr>
                <w:rFonts w:eastAsia="Times New Roman" w:cs="Calibri" w:cstheme="minorAscii"/>
                <w:color w:val="auto"/>
                <w:sz w:val="11"/>
                <w:szCs w:val="11"/>
                <w:lang w:eastAsia="en-GB"/>
              </w:rPr>
              <w:t>/</w:t>
            </w:r>
          </w:p>
        </w:tc>
        <w:tc>
          <w:tcPr>
            <w:tcW w:w="585" w:type="pct"/>
            <w:tcBorders>
              <w:top w:val="nil"/>
              <w:left w:val="nil"/>
              <w:bottom w:val="single" w:color="auto" w:sz="4" w:space="0"/>
              <w:right w:val="single" w:color="auto" w:sz="4" w:space="0"/>
            </w:tcBorders>
            <w:shd w:val="clear" w:color="auto" w:fill="auto"/>
            <w:tcMar/>
            <w:vAlign w:val="center"/>
            <w:hideMark/>
          </w:tcPr>
          <w:p w:rsidRPr="00F84F19" w:rsidR="00F84F19" w:rsidP="3A5FC3B6" w:rsidRDefault="00F84F19" w14:paraId="5E17FE19" w14:textId="77777777" w14:noSpellErr="1">
            <w:pPr>
              <w:spacing w:after="0" w:line="240" w:lineRule="auto"/>
              <w:jc w:val="center"/>
              <w:rPr>
                <w:rFonts w:eastAsia="Times New Roman" w:cs="Calibri" w:cstheme="minorAscii"/>
                <w:color w:val="auto"/>
                <w:sz w:val="11"/>
                <w:szCs w:val="11"/>
                <w:lang w:eastAsia="en-GB"/>
              </w:rPr>
            </w:pPr>
            <w:r w:rsidRPr="3A5FC3B6" w:rsidR="3A5FC3B6">
              <w:rPr>
                <w:rFonts w:eastAsia="Times New Roman" w:cs="Calibri" w:cstheme="minorAscii"/>
                <w:color w:val="auto"/>
                <w:sz w:val="11"/>
                <w:szCs w:val="11"/>
                <w:lang w:eastAsia="en-GB"/>
              </w:rPr>
              <w:t>/</w:t>
            </w:r>
          </w:p>
        </w:tc>
        <w:tc>
          <w:tcPr>
            <w:tcW w:w="495" w:type="pct"/>
            <w:tcBorders>
              <w:top w:val="nil"/>
              <w:left w:val="nil"/>
              <w:bottom w:val="single" w:color="auto" w:sz="4" w:space="0"/>
              <w:right w:val="single" w:color="auto" w:sz="4" w:space="0"/>
            </w:tcBorders>
            <w:shd w:val="clear" w:color="auto" w:fill="auto"/>
            <w:tcMar/>
            <w:vAlign w:val="center"/>
            <w:hideMark/>
          </w:tcPr>
          <w:p w:rsidRPr="00F84F19" w:rsidR="00F84F19" w:rsidP="3A5FC3B6" w:rsidRDefault="00F84F19" w14:paraId="597BEA9C" w14:textId="77777777" w14:noSpellErr="1">
            <w:pPr>
              <w:spacing w:after="0" w:line="240" w:lineRule="auto"/>
              <w:jc w:val="center"/>
              <w:rPr>
                <w:rFonts w:eastAsia="Times New Roman" w:cs="Calibri" w:cstheme="minorAscii"/>
                <w:color w:val="auto"/>
                <w:sz w:val="11"/>
                <w:szCs w:val="11"/>
                <w:lang w:eastAsia="en-GB"/>
              </w:rPr>
            </w:pPr>
            <w:r w:rsidRPr="3A5FC3B6" w:rsidR="3A5FC3B6">
              <w:rPr>
                <w:rFonts w:eastAsia="Times New Roman" w:cs="Calibri" w:cstheme="minorAscii"/>
                <w:color w:val="auto"/>
                <w:sz w:val="11"/>
                <w:szCs w:val="11"/>
                <w:lang w:eastAsia="en-GB"/>
              </w:rPr>
              <w:t>/</w:t>
            </w:r>
          </w:p>
        </w:tc>
        <w:tc>
          <w:tcPr>
            <w:tcW w:w="432" w:type="pct"/>
            <w:tcBorders>
              <w:top w:val="nil"/>
              <w:left w:val="nil"/>
              <w:bottom w:val="single" w:color="auto" w:sz="4" w:space="0"/>
              <w:right w:val="nil"/>
            </w:tcBorders>
            <w:shd w:val="clear" w:color="auto" w:fill="auto"/>
            <w:tcMar/>
            <w:vAlign w:val="center"/>
            <w:hideMark/>
          </w:tcPr>
          <w:p w:rsidRPr="00F84F19" w:rsidR="00F84F19" w:rsidP="3A5FC3B6" w:rsidRDefault="00F84F19" w14:paraId="01E4413C" w14:textId="77777777" w14:noSpellErr="1">
            <w:pPr>
              <w:spacing w:after="0" w:line="240" w:lineRule="auto"/>
              <w:jc w:val="center"/>
              <w:rPr>
                <w:rFonts w:eastAsia="Times New Roman" w:cs="Calibri" w:cstheme="minorAscii"/>
                <w:color w:val="auto"/>
                <w:sz w:val="11"/>
                <w:szCs w:val="11"/>
                <w:lang w:eastAsia="en-GB"/>
              </w:rPr>
            </w:pPr>
            <w:r w:rsidRPr="3A5FC3B6" w:rsidR="3A5FC3B6">
              <w:rPr>
                <w:rFonts w:eastAsia="Times New Roman" w:cs="Calibri" w:cstheme="minorAscii"/>
                <w:color w:val="auto"/>
                <w:sz w:val="11"/>
                <w:szCs w:val="11"/>
                <w:lang w:eastAsia="en-GB"/>
              </w:rPr>
              <w:t>/</w:t>
            </w:r>
          </w:p>
        </w:tc>
        <w:tc>
          <w:tcPr>
            <w:tcW w:w="469" w:type="pct"/>
            <w:tcBorders>
              <w:top w:val="nil"/>
              <w:left w:val="single" w:color="auto" w:sz="4" w:space="0"/>
              <w:bottom w:val="single" w:color="auto" w:sz="4" w:space="0"/>
              <w:right w:val="nil"/>
            </w:tcBorders>
            <w:shd w:val="clear" w:color="auto" w:fill="auto"/>
            <w:tcMar/>
            <w:vAlign w:val="center"/>
            <w:hideMark/>
          </w:tcPr>
          <w:p w:rsidRPr="00F84F19" w:rsidR="00F84F19" w:rsidP="3A5FC3B6" w:rsidRDefault="00F84F19" w14:paraId="2CA7571E" w14:textId="77777777" w14:noSpellErr="1">
            <w:pPr>
              <w:spacing w:after="0" w:line="240" w:lineRule="auto"/>
              <w:jc w:val="center"/>
              <w:rPr>
                <w:rFonts w:eastAsia="Times New Roman" w:cs="Calibri" w:cstheme="minorAscii"/>
                <w:color w:val="auto"/>
                <w:sz w:val="11"/>
                <w:szCs w:val="11"/>
                <w:lang w:eastAsia="en-GB"/>
              </w:rPr>
            </w:pPr>
            <w:r w:rsidRPr="3A5FC3B6" w:rsidR="3A5FC3B6">
              <w:rPr>
                <w:rFonts w:eastAsia="Times New Roman" w:cs="Calibri" w:cstheme="minorAscii"/>
                <w:color w:val="auto"/>
                <w:sz w:val="11"/>
                <w:szCs w:val="11"/>
                <w:lang w:eastAsia="en-GB"/>
              </w:rPr>
              <w:t>/</w:t>
            </w:r>
          </w:p>
        </w:tc>
        <w:tc>
          <w:tcPr>
            <w:tcW w:w="369" w:type="pct"/>
            <w:tcBorders>
              <w:top w:val="nil"/>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F84F19" w:rsidR="00F84F19" w:rsidP="3A5FC3B6" w:rsidRDefault="00F84F19" w14:paraId="2AC5D5D8" w14:textId="77777777" w14:noSpellErr="1">
            <w:pPr>
              <w:spacing w:after="0" w:line="240" w:lineRule="auto"/>
              <w:jc w:val="center"/>
              <w:rPr>
                <w:rFonts w:eastAsia="Times New Roman" w:cs="Calibri" w:cstheme="minorAscii"/>
                <w:color w:val="auto"/>
                <w:sz w:val="11"/>
                <w:szCs w:val="11"/>
                <w:lang w:eastAsia="en-GB"/>
              </w:rPr>
            </w:pPr>
            <w:r w:rsidRPr="3A5FC3B6" w:rsidR="3A5FC3B6">
              <w:rPr>
                <w:rFonts w:eastAsia="Times New Roman" w:cs="Calibri" w:cstheme="minorAscii"/>
                <w:color w:val="auto"/>
                <w:sz w:val="11"/>
                <w:szCs w:val="11"/>
                <w:lang w:eastAsia="en-GB"/>
              </w:rPr>
              <w:t>ERAS 15.4% (20/130)</w:t>
            </w:r>
            <w:r>
              <w:br/>
            </w:r>
            <w:r w:rsidRPr="3A5FC3B6" w:rsidR="3A5FC3B6">
              <w:rPr>
                <w:rFonts w:eastAsia="Times New Roman" w:cs="Calibri" w:cstheme="minorAscii"/>
                <w:color w:val="auto"/>
                <w:sz w:val="11"/>
                <w:szCs w:val="11"/>
                <w:lang w:eastAsia="en-GB"/>
              </w:rPr>
              <w:t>Standard 57.1% (52/91)</w:t>
            </w:r>
          </w:p>
        </w:tc>
        <w:tc>
          <w:tcPr>
            <w:tcW w:w="369" w:type="pct"/>
            <w:tcBorders>
              <w:top w:val="nil"/>
              <w:left w:val="nil"/>
              <w:bottom w:val="single" w:color="000000" w:themeColor="text1" w:sz="4" w:space="0"/>
              <w:right w:val="single" w:color="000000" w:themeColor="text1" w:sz="4" w:space="0"/>
            </w:tcBorders>
            <w:shd w:val="clear" w:color="auto" w:fill="auto"/>
            <w:tcMar/>
            <w:vAlign w:val="center"/>
            <w:hideMark/>
          </w:tcPr>
          <w:p w:rsidRPr="00F84F19" w:rsidR="00F84F19" w:rsidP="3A5FC3B6" w:rsidRDefault="00F84F19" w14:paraId="02A995F1" w14:textId="77777777" w14:noSpellErr="1">
            <w:pPr>
              <w:spacing w:after="0" w:line="240" w:lineRule="auto"/>
              <w:jc w:val="center"/>
              <w:rPr>
                <w:rFonts w:eastAsia="Times New Roman" w:cs="Calibri" w:cstheme="minorAscii"/>
                <w:color w:val="auto"/>
                <w:sz w:val="11"/>
                <w:szCs w:val="11"/>
                <w:lang w:eastAsia="en-GB"/>
              </w:rPr>
            </w:pPr>
            <w:r w:rsidRPr="3A5FC3B6" w:rsidR="3A5FC3B6">
              <w:rPr>
                <w:rFonts w:eastAsia="Times New Roman" w:cs="Calibri" w:cstheme="minorAscii"/>
                <w:color w:val="auto"/>
                <w:sz w:val="11"/>
                <w:szCs w:val="11"/>
                <w:lang w:eastAsia="en-GB"/>
              </w:rPr>
              <w:t>ERAS 3.1 % (4/130)</w:t>
            </w:r>
            <w:r>
              <w:br/>
            </w:r>
            <w:r w:rsidRPr="3A5FC3B6" w:rsidR="3A5FC3B6">
              <w:rPr>
                <w:rFonts w:eastAsia="Times New Roman" w:cs="Calibri" w:cstheme="minorAscii"/>
                <w:color w:val="auto"/>
                <w:sz w:val="11"/>
                <w:szCs w:val="11"/>
                <w:lang w:eastAsia="en-GB"/>
              </w:rPr>
              <w:t>Standard 11.0% (10/91)</w:t>
            </w:r>
          </w:p>
        </w:tc>
      </w:tr>
      <w:tr w:rsidRPr="00192449" w:rsidR="00192449" w:rsidTr="3A5FC3B6" w14:paraId="75580B6F" w14:textId="77777777">
        <w:trPr>
          <w:trHeight w:val="580"/>
        </w:trPr>
        <w:tc>
          <w:tcPr>
            <w:tcW w:w="551" w:type="pct"/>
            <w:tcBorders>
              <w:top w:val="nil"/>
              <w:left w:val="single" w:color="auto" w:sz="4" w:space="0"/>
              <w:bottom w:val="single" w:color="auto" w:sz="4" w:space="0"/>
              <w:right w:val="single" w:color="auto" w:sz="4" w:space="0"/>
            </w:tcBorders>
            <w:shd w:val="clear" w:color="auto" w:fill="auto"/>
            <w:tcMar/>
            <w:vAlign w:val="center"/>
            <w:hideMark/>
          </w:tcPr>
          <w:p w:rsidRPr="00F84F19" w:rsidR="00F84F19" w:rsidP="3A5FC3B6" w:rsidRDefault="00F84F19" w14:paraId="2DBDA1D3" w14:textId="77777777">
            <w:pPr>
              <w:spacing w:after="0" w:line="240" w:lineRule="auto"/>
              <w:jc w:val="center"/>
              <w:rPr>
                <w:rFonts w:eastAsia="Times New Roman" w:cs="Calibri" w:cstheme="minorAscii"/>
                <w:b w:val="1"/>
                <w:bCs w:val="1"/>
                <w:color w:val="auto"/>
                <w:sz w:val="11"/>
                <w:szCs w:val="11"/>
                <w:lang w:eastAsia="en-GB"/>
              </w:rPr>
            </w:pPr>
            <w:r w:rsidRPr="3A5FC3B6" w:rsidR="3A5FC3B6">
              <w:rPr>
                <w:rFonts w:eastAsia="Times New Roman" w:cs="Calibri" w:cstheme="minorAscii"/>
                <w:b w:val="1"/>
                <w:bCs w:val="1"/>
                <w:color w:val="auto"/>
                <w:sz w:val="11"/>
                <w:szCs w:val="11"/>
                <w:lang w:eastAsia="en-GB"/>
              </w:rPr>
              <w:t>Giacomelli</w:t>
            </w:r>
            <w:r w:rsidRPr="3A5FC3B6" w:rsidR="3A5FC3B6">
              <w:rPr>
                <w:rFonts w:eastAsia="Times New Roman" w:cs="Calibri" w:cstheme="minorAscii"/>
                <w:b w:val="1"/>
                <w:bCs w:val="1"/>
                <w:color w:val="auto"/>
                <w:sz w:val="11"/>
                <w:szCs w:val="11"/>
                <w:lang w:eastAsia="en-GB"/>
              </w:rPr>
              <w:t> </w:t>
            </w:r>
          </w:p>
        </w:tc>
        <w:tc>
          <w:tcPr>
            <w:tcW w:w="430" w:type="pct"/>
            <w:tcBorders>
              <w:top w:val="nil"/>
              <w:left w:val="nil"/>
              <w:bottom w:val="single" w:color="auto" w:sz="4" w:space="0"/>
              <w:right w:val="single" w:color="auto" w:sz="4" w:space="0"/>
            </w:tcBorders>
            <w:shd w:val="clear" w:color="auto" w:fill="auto"/>
            <w:tcMar/>
            <w:vAlign w:val="center"/>
            <w:hideMark/>
          </w:tcPr>
          <w:p w:rsidRPr="00F84F19" w:rsidR="00F84F19" w:rsidP="3A5FC3B6" w:rsidRDefault="00F84F19" w14:paraId="5EF5F005" w14:textId="77777777" w14:noSpellErr="1">
            <w:pPr>
              <w:spacing w:after="0" w:line="240" w:lineRule="auto"/>
              <w:jc w:val="center"/>
              <w:rPr>
                <w:rFonts w:eastAsia="Times New Roman" w:cs="Calibri" w:cstheme="minorAscii"/>
                <w:color w:val="auto"/>
                <w:sz w:val="11"/>
                <w:szCs w:val="11"/>
                <w:lang w:eastAsia="en-GB"/>
              </w:rPr>
            </w:pPr>
            <w:r w:rsidRPr="3A5FC3B6" w:rsidR="3A5FC3B6">
              <w:rPr>
                <w:rFonts w:eastAsia="Times New Roman" w:cs="Calibri" w:cstheme="minorAscii"/>
                <w:color w:val="auto"/>
                <w:sz w:val="11"/>
                <w:szCs w:val="11"/>
                <w:lang w:eastAsia="en-GB"/>
              </w:rPr>
              <w:t>ERAS 5.9% (1/17)</w:t>
            </w:r>
            <w:r>
              <w:br/>
            </w:r>
            <w:r w:rsidRPr="3A5FC3B6" w:rsidR="3A5FC3B6">
              <w:rPr>
                <w:rFonts w:eastAsia="Times New Roman" w:cs="Calibri" w:cstheme="minorAscii"/>
                <w:color w:val="auto"/>
                <w:sz w:val="11"/>
                <w:szCs w:val="11"/>
                <w:lang w:eastAsia="en-GB"/>
              </w:rPr>
              <w:t>Standard 12.5% (4/32)</w:t>
            </w:r>
          </w:p>
        </w:tc>
        <w:tc>
          <w:tcPr>
            <w:tcW w:w="488" w:type="pct"/>
            <w:tcBorders>
              <w:top w:val="nil"/>
              <w:left w:val="nil"/>
              <w:bottom w:val="single" w:color="auto" w:sz="4" w:space="0"/>
              <w:right w:val="single" w:color="auto" w:sz="4" w:space="0"/>
            </w:tcBorders>
            <w:shd w:val="clear" w:color="auto" w:fill="auto"/>
            <w:tcMar/>
            <w:vAlign w:val="center"/>
            <w:hideMark/>
          </w:tcPr>
          <w:p w:rsidRPr="00F84F19" w:rsidR="00F84F19" w:rsidP="3A5FC3B6" w:rsidRDefault="00F84F19" w14:paraId="1C05DDE3" w14:textId="77777777" w14:noSpellErr="1">
            <w:pPr>
              <w:spacing w:after="0" w:line="240" w:lineRule="auto"/>
              <w:jc w:val="center"/>
              <w:rPr>
                <w:rFonts w:eastAsia="Times New Roman" w:cs="Calibri" w:cstheme="minorAscii"/>
                <w:color w:val="auto"/>
                <w:sz w:val="11"/>
                <w:szCs w:val="11"/>
                <w:lang w:eastAsia="en-GB"/>
              </w:rPr>
            </w:pPr>
            <w:r w:rsidRPr="3A5FC3B6" w:rsidR="3A5FC3B6">
              <w:rPr>
                <w:rFonts w:eastAsia="Times New Roman" w:cs="Calibri" w:cstheme="minorAscii"/>
                <w:color w:val="auto"/>
                <w:sz w:val="11"/>
                <w:szCs w:val="11"/>
                <w:lang w:eastAsia="en-GB"/>
              </w:rPr>
              <w:t>ERAS 11.8% (2/17)</w:t>
            </w:r>
            <w:r>
              <w:br/>
            </w:r>
            <w:r w:rsidRPr="3A5FC3B6" w:rsidR="3A5FC3B6">
              <w:rPr>
                <w:rFonts w:eastAsia="Times New Roman" w:cs="Calibri" w:cstheme="minorAscii"/>
                <w:color w:val="auto"/>
                <w:sz w:val="11"/>
                <w:szCs w:val="11"/>
                <w:lang w:eastAsia="en-GB"/>
              </w:rPr>
              <w:t>Standard 0% (0/32)</w:t>
            </w:r>
          </w:p>
        </w:tc>
        <w:tc>
          <w:tcPr>
            <w:tcW w:w="443" w:type="pct"/>
            <w:tcBorders>
              <w:top w:val="nil"/>
              <w:left w:val="nil"/>
              <w:bottom w:val="single" w:color="auto" w:sz="4" w:space="0"/>
              <w:right w:val="single" w:color="auto" w:sz="4" w:space="0"/>
            </w:tcBorders>
            <w:shd w:val="clear" w:color="auto" w:fill="auto"/>
            <w:tcMar/>
            <w:vAlign w:val="center"/>
            <w:hideMark/>
          </w:tcPr>
          <w:p w:rsidRPr="00F84F19" w:rsidR="00F84F19" w:rsidP="3A5FC3B6" w:rsidRDefault="00F84F19" w14:paraId="281E20C9" w14:textId="77777777" w14:noSpellErr="1">
            <w:pPr>
              <w:spacing w:after="0" w:line="240" w:lineRule="auto"/>
              <w:jc w:val="center"/>
              <w:rPr>
                <w:rFonts w:eastAsia="Times New Roman" w:cs="Calibri" w:cstheme="minorAscii"/>
                <w:color w:val="auto"/>
                <w:sz w:val="11"/>
                <w:szCs w:val="11"/>
                <w:lang w:eastAsia="en-GB"/>
              </w:rPr>
            </w:pPr>
            <w:r w:rsidRPr="3A5FC3B6" w:rsidR="3A5FC3B6">
              <w:rPr>
                <w:rFonts w:eastAsia="Times New Roman" w:cs="Calibri" w:cstheme="minorAscii"/>
                <w:color w:val="auto"/>
                <w:sz w:val="11"/>
                <w:szCs w:val="11"/>
                <w:lang w:eastAsia="en-GB"/>
              </w:rPr>
              <w:t>/</w:t>
            </w:r>
          </w:p>
        </w:tc>
        <w:tc>
          <w:tcPr>
            <w:tcW w:w="369" w:type="pct"/>
            <w:tcBorders>
              <w:top w:val="nil"/>
              <w:left w:val="nil"/>
              <w:bottom w:val="single" w:color="auto" w:sz="4" w:space="0"/>
              <w:right w:val="single" w:color="auto" w:sz="4" w:space="0"/>
            </w:tcBorders>
            <w:shd w:val="clear" w:color="auto" w:fill="auto"/>
            <w:tcMar/>
            <w:vAlign w:val="center"/>
            <w:hideMark/>
          </w:tcPr>
          <w:p w:rsidRPr="00F84F19" w:rsidR="00F84F19" w:rsidP="3A5FC3B6" w:rsidRDefault="00F84F19" w14:paraId="26DC9843" w14:textId="77777777" w14:noSpellErr="1">
            <w:pPr>
              <w:spacing w:after="0" w:line="240" w:lineRule="auto"/>
              <w:jc w:val="center"/>
              <w:rPr>
                <w:rFonts w:eastAsia="Times New Roman" w:cs="Calibri" w:cstheme="minorAscii"/>
                <w:color w:val="auto"/>
                <w:sz w:val="11"/>
                <w:szCs w:val="11"/>
                <w:lang w:eastAsia="en-GB"/>
              </w:rPr>
            </w:pPr>
            <w:r w:rsidRPr="3A5FC3B6" w:rsidR="3A5FC3B6">
              <w:rPr>
                <w:rFonts w:eastAsia="Times New Roman" w:cs="Calibri" w:cstheme="minorAscii"/>
                <w:color w:val="auto"/>
                <w:sz w:val="11"/>
                <w:szCs w:val="11"/>
                <w:lang w:eastAsia="en-GB"/>
              </w:rPr>
              <w:t>ERAS 0% (0/17)</w:t>
            </w:r>
            <w:r>
              <w:br/>
            </w:r>
            <w:r w:rsidRPr="3A5FC3B6" w:rsidR="3A5FC3B6">
              <w:rPr>
                <w:rFonts w:eastAsia="Times New Roman" w:cs="Calibri" w:cstheme="minorAscii"/>
                <w:color w:val="auto"/>
                <w:sz w:val="11"/>
                <w:szCs w:val="11"/>
                <w:lang w:eastAsia="en-GB"/>
              </w:rPr>
              <w:t>Standard 15.6% (5/32)</w:t>
            </w:r>
          </w:p>
        </w:tc>
        <w:tc>
          <w:tcPr>
            <w:tcW w:w="585" w:type="pct"/>
            <w:tcBorders>
              <w:top w:val="nil"/>
              <w:left w:val="nil"/>
              <w:bottom w:val="single" w:color="auto" w:sz="4" w:space="0"/>
              <w:right w:val="single" w:color="auto" w:sz="4" w:space="0"/>
            </w:tcBorders>
            <w:shd w:val="clear" w:color="auto" w:fill="auto"/>
            <w:tcMar/>
            <w:vAlign w:val="center"/>
            <w:hideMark/>
          </w:tcPr>
          <w:p w:rsidRPr="00F84F19" w:rsidR="00F84F19" w:rsidP="3A5FC3B6" w:rsidRDefault="00F84F19" w14:paraId="77CA02A0" w14:textId="77777777" w14:noSpellErr="1">
            <w:pPr>
              <w:spacing w:after="0" w:line="240" w:lineRule="auto"/>
              <w:jc w:val="center"/>
              <w:rPr>
                <w:rFonts w:eastAsia="Times New Roman" w:cs="Calibri" w:cstheme="minorAscii"/>
                <w:color w:val="auto"/>
                <w:sz w:val="11"/>
                <w:szCs w:val="11"/>
                <w:lang w:eastAsia="en-GB"/>
              </w:rPr>
            </w:pPr>
            <w:r w:rsidRPr="3A5FC3B6" w:rsidR="3A5FC3B6">
              <w:rPr>
                <w:rFonts w:eastAsia="Times New Roman" w:cs="Calibri" w:cstheme="minorAscii"/>
                <w:color w:val="auto"/>
                <w:sz w:val="11"/>
                <w:szCs w:val="11"/>
                <w:lang w:eastAsia="en-GB"/>
              </w:rPr>
              <w:t>ERAS 5.9% (1/17)</w:t>
            </w:r>
            <w:r>
              <w:br/>
            </w:r>
            <w:r w:rsidRPr="3A5FC3B6" w:rsidR="3A5FC3B6">
              <w:rPr>
                <w:rFonts w:eastAsia="Times New Roman" w:cs="Calibri" w:cstheme="minorAscii"/>
                <w:color w:val="auto"/>
                <w:sz w:val="11"/>
                <w:szCs w:val="11"/>
                <w:lang w:eastAsia="en-GB"/>
              </w:rPr>
              <w:t>Standard 6.3% (2/32)</w:t>
            </w:r>
          </w:p>
        </w:tc>
        <w:tc>
          <w:tcPr>
            <w:tcW w:w="495" w:type="pct"/>
            <w:tcBorders>
              <w:top w:val="nil"/>
              <w:left w:val="nil"/>
              <w:bottom w:val="single" w:color="auto" w:sz="4" w:space="0"/>
              <w:right w:val="single" w:color="auto" w:sz="4" w:space="0"/>
            </w:tcBorders>
            <w:shd w:val="clear" w:color="auto" w:fill="auto"/>
            <w:tcMar/>
            <w:vAlign w:val="center"/>
            <w:hideMark/>
          </w:tcPr>
          <w:p w:rsidRPr="00F84F19" w:rsidR="00F84F19" w:rsidP="3A5FC3B6" w:rsidRDefault="00F84F19" w14:paraId="1BD3AE7C" w14:textId="77777777" w14:noSpellErr="1">
            <w:pPr>
              <w:spacing w:after="0" w:line="240" w:lineRule="auto"/>
              <w:jc w:val="center"/>
              <w:rPr>
                <w:rFonts w:eastAsia="Times New Roman" w:cs="Calibri" w:cstheme="minorAscii"/>
                <w:color w:val="auto"/>
                <w:sz w:val="11"/>
                <w:szCs w:val="11"/>
                <w:lang w:eastAsia="en-GB"/>
              </w:rPr>
            </w:pPr>
            <w:r w:rsidRPr="3A5FC3B6" w:rsidR="3A5FC3B6">
              <w:rPr>
                <w:rFonts w:eastAsia="Times New Roman" w:cs="Calibri" w:cstheme="minorAscii"/>
                <w:color w:val="auto"/>
                <w:sz w:val="11"/>
                <w:szCs w:val="11"/>
                <w:lang w:eastAsia="en-GB"/>
              </w:rPr>
              <w:t>/</w:t>
            </w:r>
          </w:p>
        </w:tc>
        <w:tc>
          <w:tcPr>
            <w:tcW w:w="432" w:type="pct"/>
            <w:tcBorders>
              <w:top w:val="nil"/>
              <w:left w:val="nil"/>
              <w:bottom w:val="single" w:color="auto" w:sz="4" w:space="0"/>
              <w:right w:val="nil"/>
            </w:tcBorders>
            <w:shd w:val="clear" w:color="auto" w:fill="auto"/>
            <w:tcMar/>
            <w:vAlign w:val="center"/>
            <w:hideMark/>
          </w:tcPr>
          <w:p w:rsidRPr="00F84F19" w:rsidR="00F84F19" w:rsidP="3A5FC3B6" w:rsidRDefault="00F84F19" w14:paraId="22D9965A" w14:textId="77777777" w14:noSpellErr="1">
            <w:pPr>
              <w:spacing w:after="0" w:line="240" w:lineRule="auto"/>
              <w:jc w:val="center"/>
              <w:rPr>
                <w:rFonts w:eastAsia="Times New Roman" w:cs="Calibri" w:cstheme="minorAscii"/>
                <w:color w:val="auto"/>
                <w:sz w:val="11"/>
                <w:szCs w:val="11"/>
                <w:lang w:eastAsia="en-GB"/>
              </w:rPr>
            </w:pPr>
            <w:r w:rsidRPr="3A5FC3B6" w:rsidR="3A5FC3B6">
              <w:rPr>
                <w:rFonts w:eastAsia="Times New Roman" w:cs="Calibri" w:cstheme="minorAscii"/>
                <w:color w:val="auto"/>
                <w:sz w:val="11"/>
                <w:szCs w:val="11"/>
                <w:lang w:eastAsia="en-GB"/>
              </w:rPr>
              <w:t>/</w:t>
            </w:r>
          </w:p>
        </w:tc>
        <w:tc>
          <w:tcPr>
            <w:tcW w:w="469" w:type="pct"/>
            <w:tcBorders>
              <w:top w:val="nil"/>
              <w:left w:val="single" w:color="auto" w:sz="4" w:space="0"/>
              <w:bottom w:val="single" w:color="auto" w:sz="4" w:space="0"/>
              <w:right w:val="nil"/>
            </w:tcBorders>
            <w:shd w:val="clear" w:color="auto" w:fill="auto"/>
            <w:tcMar/>
            <w:vAlign w:val="center"/>
            <w:hideMark/>
          </w:tcPr>
          <w:p w:rsidRPr="00F84F19" w:rsidR="00F84F19" w:rsidP="3A5FC3B6" w:rsidRDefault="00F84F19" w14:paraId="1069C33B" w14:textId="77777777" w14:noSpellErr="1">
            <w:pPr>
              <w:spacing w:after="0" w:line="240" w:lineRule="auto"/>
              <w:jc w:val="center"/>
              <w:rPr>
                <w:rFonts w:eastAsia="Times New Roman" w:cs="Calibri" w:cstheme="minorAscii"/>
                <w:color w:val="auto"/>
                <w:sz w:val="11"/>
                <w:szCs w:val="11"/>
                <w:lang w:eastAsia="en-GB"/>
              </w:rPr>
            </w:pPr>
            <w:r w:rsidRPr="3A5FC3B6" w:rsidR="3A5FC3B6">
              <w:rPr>
                <w:rFonts w:eastAsia="Times New Roman" w:cs="Calibri" w:cstheme="minorAscii"/>
                <w:color w:val="auto"/>
                <w:sz w:val="11"/>
                <w:szCs w:val="11"/>
                <w:lang w:eastAsia="en-GB"/>
              </w:rPr>
              <w:t>ERAS 0% (0/17)</w:t>
            </w:r>
            <w:r>
              <w:br/>
            </w:r>
            <w:r w:rsidRPr="3A5FC3B6" w:rsidR="3A5FC3B6">
              <w:rPr>
                <w:rFonts w:eastAsia="Times New Roman" w:cs="Calibri" w:cstheme="minorAscii"/>
                <w:color w:val="auto"/>
                <w:sz w:val="11"/>
                <w:szCs w:val="11"/>
                <w:lang w:eastAsia="en-GB"/>
              </w:rPr>
              <w:t>Standard 0% (0/32)</w:t>
            </w:r>
          </w:p>
        </w:tc>
        <w:tc>
          <w:tcPr>
            <w:tcW w:w="369" w:type="pct"/>
            <w:tcBorders>
              <w:top w:val="nil"/>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F84F19" w:rsidR="00F84F19" w:rsidP="3A5FC3B6" w:rsidRDefault="00F84F19" w14:paraId="44735B51" w14:textId="77777777" w14:noSpellErr="1">
            <w:pPr>
              <w:spacing w:after="0" w:line="240" w:lineRule="auto"/>
              <w:jc w:val="center"/>
              <w:rPr>
                <w:rFonts w:eastAsia="Times New Roman" w:cs="Calibri" w:cstheme="minorAscii"/>
                <w:color w:val="auto"/>
                <w:sz w:val="11"/>
                <w:szCs w:val="11"/>
                <w:lang w:eastAsia="en-GB"/>
              </w:rPr>
            </w:pPr>
            <w:r w:rsidRPr="3A5FC3B6" w:rsidR="3A5FC3B6">
              <w:rPr>
                <w:rFonts w:eastAsia="Times New Roman" w:cs="Calibri" w:cstheme="minorAscii"/>
                <w:color w:val="auto"/>
                <w:sz w:val="11"/>
                <w:szCs w:val="11"/>
                <w:lang w:eastAsia="en-GB"/>
              </w:rPr>
              <w:t>/</w:t>
            </w:r>
          </w:p>
        </w:tc>
        <w:tc>
          <w:tcPr>
            <w:tcW w:w="369" w:type="pct"/>
            <w:tcBorders>
              <w:top w:val="nil"/>
              <w:left w:val="nil"/>
              <w:bottom w:val="single" w:color="000000" w:themeColor="text1" w:sz="4" w:space="0"/>
              <w:right w:val="single" w:color="000000" w:themeColor="text1" w:sz="4" w:space="0"/>
            </w:tcBorders>
            <w:shd w:val="clear" w:color="auto" w:fill="auto"/>
            <w:tcMar/>
            <w:vAlign w:val="center"/>
            <w:hideMark/>
          </w:tcPr>
          <w:p w:rsidRPr="00F84F19" w:rsidR="00F84F19" w:rsidP="3A5FC3B6" w:rsidRDefault="00F84F19" w14:paraId="188304B3" w14:textId="77777777" w14:noSpellErr="1">
            <w:pPr>
              <w:spacing w:after="0" w:line="240" w:lineRule="auto"/>
              <w:jc w:val="center"/>
              <w:rPr>
                <w:rFonts w:eastAsia="Times New Roman" w:cs="Calibri" w:cstheme="minorAscii"/>
                <w:color w:val="auto"/>
                <w:sz w:val="11"/>
                <w:szCs w:val="11"/>
                <w:lang w:eastAsia="en-GB"/>
              </w:rPr>
            </w:pPr>
            <w:r w:rsidRPr="3A5FC3B6" w:rsidR="3A5FC3B6">
              <w:rPr>
                <w:rFonts w:eastAsia="Times New Roman" w:cs="Calibri" w:cstheme="minorAscii"/>
                <w:color w:val="auto"/>
                <w:sz w:val="11"/>
                <w:szCs w:val="11"/>
                <w:lang w:eastAsia="en-GB"/>
              </w:rPr>
              <w:t>/</w:t>
            </w:r>
          </w:p>
        </w:tc>
      </w:tr>
      <w:tr w:rsidRPr="00192449" w:rsidR="00192449" w:rsidTr="3A5FC3B6" w14:paraId="6C85A387" w14:textId="77777777">
        <w:trPr>
          <w:trHeight w:val="290"/>
        </w:trPr>
        <w:tc>
          <w:tcPr>
            <w:tcW w:w="551" w:type="pct"/>
            <w:tcBorders>
              <w:top w:val="nil"/>
              <w:left w:val="single" w:color="auto" w:sz="4" w:space="0"/>
              <w:bottom w:val="single" w:color="auto" w:sz="4" w:space="0"/>
              <w:right w:val="single" w:color="auto" w:sz="4" w:space="0"/>
            </w:tcBorders>
            <w:shd w:val="clear" w:color="auto" w:fill="auto"/>
            <w:tcMar/>
            <w:vAlign w:val="center"/>
            <w:hideMark/>
          </w:tcPr>
          <w:p w:rsidRPr="00F84F19" w:rsidR="00F84F19" w:rsidP="3A5FC3B6" w:rsidRDefault="00F84F19" w14:paraId="4DBB9B4F" w14:textId="77777777" w14:noSpellErr="1">
            <w:pPr>
              <w:spacing w:after="0" w:line="240" w:lineRule="auto"/>
              <w:jc w:val="center"/>
              <w:rPr>
                <w:rFonts w:eastAsia="Times New Roman" w:cs="Calibri" w:cstheme="minorAscii"/>
                <w:b w:val="1"/>
                <w:bCs w:val="1"/>
                <w:color w:val="auto"/>
                <w:sz w:val="11"/>
                <w:szCs w:val="11"/>
                <w:lang w:eastAsia="en-GB"/>
              </w:rPr>
            </w:pPr>
            <w:r w:rsidRPr="3A5FC3B6" w:rsidR="3A5FC3B6">
              <w:rPr>
                <w:rFonts w:eastAsia="Times New Roman" w:cs="Calibri" w:cstheme="minorAscii"/>
                <w:b w:val="1"/>
                <w:bCs w:val="1"/>
                <w:color w:val="auto"/>
                <w:sz w:val="11"/>
                <w:szCs w:val="11"/>
                <w:lang w:eastAsia="en-GB"/>
              </w:rPr>
              <w:t>Hayashi </w:t>
            </w:r>
          </w:p>
        </w:tc>
        <w:tc>
          <w:tcPr>
            <w:tcW w:w="430" w:type="pct"/>
            <w:tcBorders>
              <w:top w:val="nil"/>
              <w:left w:val="nil"/>
              <w:bottom w:val="nil"/>
              <w:right w:val="single" w:color="auto" w:sz="4" w:space="0"/>
            </w:tcBorders>
            <w:shd w:val="clear" w:color="auto" w:fill="auto"/>
            <w:tcMar/>
            <w:vAlign w:val="center"/>
            <w:hideMark/>
          </w:tcPr>
          <w:p w:rsidRPr="00F84F19" w:rsidR="00F84F19" w:rsidP="3A5FC3B6" w:rsidRDefault="00F84F19" w14:paraId="3141F473" w14:textId="77777777" w14:noSpellErr="1">
            <w:pPr>
              <w:spacing w:after="0" w:line="240" w:lineRule="auto"/>
              <w:jc w:val="center"/>
              <w:rPr>
                <w:rFonts w:eastAsia="Times New Roman" w:cs="Calibri" w:cstheme="minorAscii"/>
                <w:color w:val="auto"/>
                <w:sz w:val="11"/>
                <w:szCs w:val="11"/>
                <w:lang w:eastAsia="en-GB"/>
              </w:rPr>
            </w:pPr>
            <w:r w:rsidRPr="3A5FC3B6" w:rsidR="3A5FC3B6">
              <w:rPr>
                <w:rFonts w:eastAsia="Times New Roman" w:cs="Calibri" w:cstheme="minorAscii"/>
                <w:color w:val="auto"/>
                <w:sz w:val="11"/>
                <w:szCs w:val="11"/>
                <w:lang w:eastAsia="en-GB"/>
              </w:rPr>
              <w:t>/</w:t>
            </w:r>
          </w:p>
        </w:tc>
        <w:tc>
          <w:tcPr>
            <w:tcW w:w="488" w:type="pct"/>
            <w:tcBorders>
              <w:top w:val="nil"/>
              <w:left w:val="nil"/>
              <w:bottom w:val="nil"/>
              <w:right w:val="single" w:color="auto" w:sz="4" w:space="0"/>
            </w:tcBorders>
            <w:shd w:val="clear" w:color="auto" w:fill="auto"/>
            <w:tcMar/>
            <w:vAlign w:val="center"/>
            <w:hideMark/>
          </w:tcPr>
          <w:p w:rsidRPr="00F84F19" w:rsidR="00F84F19" w:rsidP="3A5FC3B6" w:rsidRDefault="00F84F19" w14:paraId="4A4BB5F2" w14:textId="77777777" w14:noSpellErr="1">
            <w:pPr>
              <w:spacing w:after="0" w:line="240" w:lineRule="auto"/>
              <w:jc w:val="center"/>
              <w:rPr>
                <w:rFonts w:eastAsia="Times New Roman" w:cs="Calibri" w:cstheme="minorAscii"/>
                <w:color w:val="auto"/>
                <w:sz w:val="11"/>
                <w:szCs w:val="11"/>
                <w:lang w:eastAsia="en-GB"/>
              </w:rPr>
            </w:pPr>
            <w:r w:rsidRPr="3A5FC3B6" w:rsidR="3A5FC3B6">
              <w:rPr>
                <w:rFonts w:eastAsia="Times New Roman" w:cs="Calibri" w:cstheme="minorAscii"/>
                <w:color w:val="auto"/>
                <w:sz w:val="11"/>
                <w:szCs w:val="11"/>
                <w:lang w:eastAsia="en-GB"/>
              </w:rPr>
              <w:t>/</w:t>
            </w:r>
          </w:p>
        </w:tc>
        <w:tc>
          <w:tcPr>
            <w:tcW w:w="443" w:type="pct"/>
            <w:tcBorders>
              <w:top w:val="nil"/>
              <w:left w:val="nil"/>
              <w:bottom w:val="single" w:color="auto" w:sz="4" w:space="0"/>
              <w:right w:val="single" w:color="auto" w:sz="4" w:space="0"/>
            </w:tcBorders>
            <w:shd w:val="clear" w:color="auto" w:fill="auto"/>
            <w:tcMar/>
            <w:vAlign w:val="center"/>
            <w:hideMark/>
          </w:tcPr>
          <w:p w:rsidRPr="00F84F19" w:rsidR="00F84F19" w:rsidP="3A5FC3B6" w:rsidRDefault="00F84F19" w14:paraId="558FDA68" w14:textId="77777777" w14:noSpellErr="1">
            <w:pPr>
              <w:spacing w:after="0" w:line="240" w:lineRule="auto"/>
              <w:jc w:val="center"/>
              <w:rPr>
                <w:rFonts w:eastAsia="Times New Roman" w:cs="Calibri" w:cstheme="minorAscii"/>
                <w:color w:val="auto"/>
                <w:sz w:val="11"/>
                <w:szCs w:val="11"/>
                <w:lang w:eastAsia="en-GB"/>
              </w:rPr>
            </w:pPr>
            <w:r w:rsidRPr="3A5FC3B6" w:rsidR="3A5FC3B6">
              <w:rPr>
                <w:rFonts w:eastAsia="Times New Roman" w:cs="Calibri" w:cstheme="minorAscii"/>
                <w:color w:val="auto"/>
                <w:sz w:val="11"/>
                <w:szCs w:val="11"/>
                <w:lang w:eastAsia="en-GB"/>
              </w:rPr>
              <w:t>/</w:t>
            </w:r>
          </w:p>
        </w:tc>
        <w:tc>
          <w:tcPr>
            <w:tcW w:w="369" w:type="pct"/>
            <w:tcBorders>
              <w:top w:val="nil"/>
              <w:left w:val="nil"/>
              <w:bottom w:val="single" w:color="auto" w:sz="4" w:space="0"/>
              <w:right w:val="single" w:color="auto" w:sz="4" w:space="0"/>
            </w:tcBorders>
            <w:shd w:val="clear" w:color="auto" w:fill="auto"/>
            <w:tcMar/>
            <w:vAlign w:val="center"/>
            <w:hideMark/>
          </w:tcPr>
          <w:p w:rsidRPr="00F84F19" w:rsidR="00F84F19" w:rsidP="3A5FC3B6" w:rsidRDefault="00F84F19" w14:paraId="0ABAAB4A" w14:textId="77777777" w14:noSpellErr="1">
            <w:pPr>
              <w:spacing w:after="0" w:line="240" w:lineRule="auto"/>
              <w:jc w:val="center"/>
              <w:rPr>
                <w:rFonts w:eastAsia="Times New Roman" w:cs="Calibri" w:cstheme="minorAscii"/>
                <w:color w:val="auto"/>
                <w:sz w:val="11"/>
                <w:szCs w:val="11"/>
                <w:lang w:eastAsia="en-GB"/>
              </w:rPr>
            </w:pPr>
            <w:r w:rsidRPr="3A5FC3B6" w:rsidR="3A5FC3B6">
              <w:rPr>
                <w:rFonts w:eastAsia="Times New Roman" w:cs="Calibri" w:cstheme="minorAscii"/>
                <w:color w:val="auto"/>
                <w:sz w:val="11"/>
                <w:szCs w:val="11"/>
                <w:lang w:eastAsia="en-GB"/>
              </w:rPr>
              <w:t>/</w:t>
            </w:r>
          </w:p>
        </w:tc>
        <w:tc>
          <w:tcPr>
            <w:tcW w:w="585" w:type="pct"/>
            <w:tcBorders>
              <w:top w:val="nil"/>
              <w:left w:val="nil"/>
              <w:bottom w:val="single" w:color="auto" w:sz="4" w:space="0"/>
              <w:right w:val="single" w:color="auto" w:sz="4" w:space="0"/>
            </w:tcBorders>
            <w:shd w:val="clear" w:color="auto" w:fill="auto"/>
            <w:tcMar/>
            <w:vAlign w:val="center"/>
            <w:hideMark/>
          </w:tcPr>
          <w:p w:rsidRPr="00F84F19" w:rsidR="00F84F19" w:rsidP="3A5FC3B6" w:rsidRDefault="00F84F19" w14:paraId="3649F1C0" w14:textId="77777777" w14:noSpellErr="1">
            <w:pPr>
              <w:spacing w:after="0" w:line="240" w:lineRule="auto"/>
              <w:jc w:val="center"/>
              <w:rPr>
                <w:rFonts w:eastAsia="Times New Roman" w:cs="Calibri" w:cstheme="minorAscii"/>
                <w:color w:val="auto"/>
                <w:sz w:val="11"/>
                <w:szCs w:val="11"/>
                <w:lang w:eastAsia="en-GB"/>
              </w:rPr>
            </w:pPr>
            <w:r w:rsidRPr="3A5FC3B6" w:rsidR="3A5FC3B6">
              <w:rPr>
                <w:rFonts w:eastAsia="Times New Roman" w:cs="Calibri" w:cstheme="minorAscii"/>
                <w:color w:val="auto"/>
                <w:sz w:val="11"/>
                <w:szCs w:val="11"/>
                <w:lang w:eastAsia="en-GB"/>
              </w:rPr>
              <w:t>/</w:t>
            </w:r>
          </w:p>
        </w:tc>
        <w:tc>
          <w:tcPr>
            <w:tcW w:w="495" w:type="pct"/>
            <w:tcBorders>
              <w:top w:val="nil"/>
              <w:left w:val="nil"/>
              <w:bottom w:val="single" w:color="auto" w:sz="4" w:space="0"/>
              <w:right w:val="single" w:color="auto" w:sz="4" w:space="0"/>
            </w:tcBorders>
            <w:shd w:val="clear" w:color="auto" w:fill="auto"/>
            <w:tcMar/>
            <w:vAlign w:val="center"/>
            <w:hideMark/>
          </w:tcPr>
          <w:p w:rsidRPr="00F84F19" w:rsidR="00F84F19" w:rsidP="3A5FC3B6" w:rsidRDefault="00F84F19" w14:paraId="4DCC319C" w14:textId="77777777" w14:noSpellErr="1">
            <w:pPr>
              <w:spacing w:after="0" w:line="240" w:lineRule="auto"/>
              <w:jc w:val="center"/>
              <w:rPr>
                <w:rFonts w:eastAsia="Times New Roman" w:cs="Calibri" w:cstheme="minorAscii"/>
                <w:color w:val="auto"/>
                <w:sz w:val="11"/>
                <w:szCs w:val="11"/>
                <w:lang w:eastAsia="en-GB"/>
              </w:rPr>
            </w:pPr>
            <w:r w:rsidRPr="3A5FC3B6" w:rsidR="3A5FC3B6">
              <w:rPr>
                <w:rFonts w:eastAsia="Times New Roman" w:cs="Calibri" w:cstheme="minorAscii"/>
                <w:color w:val="auto"/>
                <w:sz w:val="11"/>
                <w:szCs w:val="11"/>
                <w:lang w:eastAsia="en-GB"/>
              </w:rPr>
              <w:t>/</w:t>
            </w:r>
          </w:p>
        </w:tc>
        <w:tc>
          <w:tcPr>
            <w:tcW w:w="432" w:type="pct"/>
            <w:tcBorders>
              <w:top w:val="nil"/>
              <w:left w:val="nil"/>
              <w:bottom w:val="single" w:color="auto" w:sz="4" w:space="0"/>
              <w:right w:val="nil"/>
            </w:tcBorders>
            <w:shd w:val="clear" w:color="auto" w:fill="auto"/>
            <w:tcMar/>
            <w:vAlign w:val="center"/>
            <w:hideMark/>
          </w:tcPr>
          <w:p w:rsidRPr="00F84F19" w:rsidR="00F84F19" w:rsidP="3A5FC3B6" w:rsidRDefault="00F84F19" w14:paraId="2D9805DD" w14:textId="77777777" w14:noSpellErr="1">
            <w:pPr>
              <w:spacing w:after="0" w:line="240" w:lineRule="auto"/>
              <w:jc w:val="center"/>
              <w:rPr>
                <w:rFonts w:eastAsia="Times New Roman" w:cs="Calibri" w:cstheme="minorAscii"/>
                <w:color w:val="auto"/>
                <w:sz w:val="11"/>
                <w:szCs w:val="11"/>
                <w:lang w:eastAsia="en-GB"/>
              </w:rPr>
            </w:pPr>
            <w:r w:rsidRPr="3A5FC3B6" w:rsidR="3A5FC3B6">
              <w:rPr>
                <w:rFonts w:eastAsia="Times New Roman" w:cs="Calibri" w:cstheme="minorAscii"/>
                <w:color w:val="auto"/>
                <w:sz w:val="11"/>
                <w:szCs w:val="11"/>
                <w:lang w:eastAsia="en-GB"/>
              </w:rPr>
              <w:t>/</w:t>
            </w:r>
          </w:p>
        </w:tc>
        <w:tc>
          <w:tcPr>
            <w:tcW w:w="469" w:type="pct"/>
            <w:tcBorders>
              <w:top w:val="nil"/>
              <w:left w:val="single" w:color="auto" w:sz="4" w:space="0"/>
              <w:bottom w:val="single" w:color="auto" w:sz="4" w:space="0"/>
              <w:right w:val="nil"/>
            </w:tcBorders>
            <w:shd w:val="clear" w:color="auto" w:fill="auto"/>
            <w:tcMar/>
            <w:vAlign w:val="center"/>
            <w:hideMark/>
          </w:tcPr>
          <w:p w:rsidRPr="00F84F19" w:rsidR="00F84F19" w:rsidP="3A5FC3B6" w:rsidRDefault="00F84F19" w14:paraId="3C25C11B" w14:textId="77777777" w14:noSpellErr="1">
            <w:pPr>
              <w:spacing w:after="0" w:line="240" w:lineRule="auto"/>
              <w:jc w:val="center"/>
              <w:rPr>
                <w:rFonts w:eastAsia="Times New Roman" w:cs="Calibri" w:cstheme="minorAscii"/>
                <w:color w:val="auto"/>
                <w:sz w:val="11"/>
                <w:szCs w:val="11"/>
                <w:lang w:eastAsia="en-GB"/>
              </w:rPr>
            </w:pPr>
            <w:r w:rsidRPr="3A5FC3B6" w:rsidR="3A5FC3B6">
              <w:rPr>
                <w:rFonts w:eastAsia="Times New Roman" w:cs="Calibri" w:cstheme="minorAscii"/>
                <w:color w:val="auto"/>
                <w:sz w:val="11"/>
                <w:szCs w:val="11"/>
                <w:lang w:eastAsia="en-GB"/>
              </w:rPr>
              <w:t>/</w:t>
            </w:r>
          </w:p>
        </w:tc>
        <w:tc>
          <w:tcPr>
            <w:tcW w:w="369" w:type="pct"/>
            <w:tcBorders>
              <w:top w:val="nil"/>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F84F19" w:rsidR="00F84F19" w:rsidP="3A5FC3B6" w:rsidRDefault="00F84F19" w14:paraId="0F6E1023" w14:textId="77777777" w14:noSpellErr="1">
            <w:pPr>
              <w:spacing w:after="0" w:line="240" w:lineRule="auto"/>
              <w:jc w:val="center"/>
              <w:rPr>
                <w:rFonts w:eastAsia="Times New Roman" w:cs="Calibri" w:cstheme="minorAscii"/>
                <w:color w:val="auto"/>
                <w:sz w:val="11"/>
                <w:szCs w:val="11"/>
                <w:lang w:eastAsia="en-GB"/>
              </w:rPr>
            </w:pPr>
            <w:r w:rsidRPr="3A5FC3B6" w:rsidR="3A5FC3B6">
              <w:rPr>
                <w:rFonts w:eastAsia="Times New Roman" w:cs="Calibri" w:cstheme="minorAscii"/>
                <w:color w:val="auto"/>
                <w:sz w:val="11"/>
                <w:szCs w:val="11"/>
                <w:lang w:eastAsia="en-GB"/>
              </w:rPr>
              <w:t>/</w:t>
            </w:r>
          </w:p>
        </w:tc>
        <w:tc>
          <w:tcPr>
            <w:tcW w:w="369" w:type="pct"/>
            <w:tcBorders>
              <w:top w:val="nil"/>
              <w:left w:val="nil"/>
              <w:bottom w:val="single" w:color="000000" w:themeColor="text1" w:sz="4" w:space="0"/>
              <w:right w:val="single" w:color="000000" w:themeColor="text1" w:sz="4" w:space="0"/>
            </w:tcBorders>
            <w:shd w:val="clear" w:color="auto" w:fill="auto"/>
            <w:tcMar/>
            <w:vAlign w:val="center"/>
            <w:hideMark/>
          </w:tcPr>
          <w:p w:rsidRPr="00F84F19" w:rsidR="00F84F19" w:rsidP="3A5FC3B6" w:rsidRDefault="00F84F19" w14:paraId="0C6DD4B4" w14:textId="77777777" w14:noSpellErr="1">
            <w:pPr>
              <w:spacing w:after="0" w:line="240" w:lineRule="auto"/>
              <w:jc w:val="center"/>
              <w:rPr>
                <w:rFonts w:eastAsia="Times New Roman" w:cs="Calibri" w:cstheme="minorAscii"/>
                <w:color w:val="auto"/>
                <w:sz w:val="11"/>
                <w:szCs w:val="11"/>
                <w:lang w:eastAsia="en-GB"/>
              </w:rPr>
            </w:pPr>
            <w:r w:rsidRPr="3A5FC3B6" w:rsidR="3A5FC3B6">
              <w:rPr>
                <w:rFonts w:eastAsia="Times New Roman" w:cs="Calibri" w:cstheme="minorAscii"/>
                <w:color w:val="auto"/>
                <w:sz w:val="11"/>
                <w:szCs w:val="11"/>
                <w:lang w:eastAsia="en-GB"/>
              </w:rPr>
              <w:t>/</w:t>
            </w:r>
          </w:p>
        </w:tc>
      </w:tr>
      <w:tr w:rsidRPr="00192449" w:rsidR="00192449" w:rsidTr="3A5FC3B6" w14:paraId="0371B3F1" w14:textId="77777777">
        <w:trPr>
          <w:trHeight w:val="1160"/>
        </w:trPr>
        <w:tc>
          <w:tcPr>
            <w:tcW w:w="551" w:type="pct"/>
            <w:tcBorders>
              <w:top w:val="nil"/>
              <w:left w:val="single" w:color="auto" w:sz="4" w:space="0"/>
              <w:bottom w:val="single" w:color="auto" w:sz="4" w:space="0"/>
              <w:right w:val="nil"/>
            </w:tcBorders>
            <w:shd w:val="clear" w:color="auto" w:fill="auto"/>
            <w:tcMar/>
            <w:vAlign w:val="center"/>
            <w:hideMark/>
          </w:tcPr>
          <w:p w:rsidRPr="00F84F19" w:rsidR="00F84F19" w:rsidP="3A5FC3B6" w:rsidRDefault="00F84F19" w14:paraId="5DDF5D57" w14:textId="77777777" w14:noSpellErr="1">
            <w:pPr>
              <w:spacing w:after="0" w:line="240" w:lineRule="auto"/>
              <w:jc w:val="center"/>
              <w:rPr>
                <w:rFonts w:eastAsia="Times New Roman" w:cs="Calibri" w:cstheme="minorAscii"/>
                <w:b w:val="1"/>
                <w:bCs w:val="1"/>
                <w:color w:val="auto"/>
                <w:sz w:val="11"/>
                <w:szCs w:val="11"/>
                <w:lang w:eastAsia="en-GB"/>
              </w:rPr>
            </w:pPr>
            <w:r w:rsidRPr="3A5FC3B6" w:rsidR="3A5FC3B6">
              <w:rPr>
                <w:rFonts w:eastAsia="Times New Roman" w:cs="Calibri" w:cstheme="minorAscii"/>
                <w:b w:val="1"/>
                <w:bCs w:val="1"/>
                <w:color w:val="auto"/>
                <w:sz w:val="11"/>
                <w:szCs w:val="11"/>
                <w:lang w:eastAsia="en-GB"/>
              </w:rPr>
              <w:t>Malik</w:t>
            </w:r>
          </w:p>
        </w:tc>
        <w:tc>
          <w:tcPr>
            <w:tcW w:w="430"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vAlign w:val="center"/>
            <w:hideMark/>
          </w:tcPr>
          <w:p w:rsidRPr="00F84F19" w:rsidR="00F84F19" w:rsidP="3A5FC3B6" w:rsidRDefault="00F84F19" w14:paraId="5D0CB0A4" w14:textId="77777777" w14:noSpellErr="1">
            <w:pPr>
              <w:spacing w:after="0" w:line="240" w:lineRule="auto"/>
              <w:jc w:val="center"/>
              <w:rPr>
                <w:rFonts w:eastAsia="Times New Roman" w:cs="Calibri" w:cstheme="minorAscii"/>
                <w:color w:val="auto"/>
                <w:sz w:val="11"/>
                <w:szCs w:val="11"/>
                <w:lang w:eastAsia="en-GB"/>
              </w:rPr>
            </w:pPr>
            <w:r w:rsidRPr="3A5FC3B6" w:rsidR="3A5FC3B6">
              <w:rPr>
                <w:rFonts w:eastAsia="Times New Roman" w:cs="Calibri" w:cstheme="minorAscii"/>
                <w:color w:val="auto"/>
                <w:sz w:val="11"/>
                <w:szCs w:val="11"/>
                <w:lang w:eastAsia="en-GB"/>
              </w:rPr>
              <w:t>Standard 1.5% (1/66)</w:t>
            </w:r>
            <w:r>
              <w:br/>
            </w:r>
            <w:r w:rsidRPr="3A5FC3B6" w:rsidR="3A5FC3B6">
              <w:rPr>
                <w:rFonts w:eastAsia="Times New Roman" w:cs="Calibri" w:cstheme="minorAscii"/>
                <w:color w:val="auto"/>
                <w:sz w:val="11"/>
                <w:szCs w:val="11"/>
                <w:lang w:eastAsia="en-GB"/>
              </w:rPr>
              <w:t>Partial ERAS 1.8% (4/225)</w:t>
            </w:r>
            <w:r>
              <w:br/>
            </w:r>
            <w:r w:rsidRPr="3A5FC3B6" w:rsidR="3A5FC3B6">
              <w:rPr>
                <w:rFonts w:eastAsia="Times New Roman" w:cs="Calibri" w:cstheme="minorAscii"/>
                <w:color w:val="auto"/>
                <w:sz w:val="11"/>
                <w:szCs w:val="11"/>
                <w:lang w:eastAsia="en-GB"/>
              </w:rPr>
              <w:t>Full ERAS 1.9% (2/103)</w:t>
            </w:r>
          </w:p>
        </w:tc>
        <w:tc>
          <w:tcPr>
            <w:tcW w:w="488" w:type="pct"/>
            <w:tcBorders>
              <w:top w:val="single" w:color="000000" w:themeColor="text1" w:sz="4" w:space="0"/>
              <w:left w:val="nil"/>
              <w:bottom w:val="single" w:color="000000" w:themeColor="text1" w:sz="4" w:space="0"/>
              <w:right w:val="single" w:color="000000" w:themeColor="text1" w:sz="4" w:space="0"/>
            </w:tcBorders>
            <w:shd w:val="clear" w:color="auto" w:fill="FFFFFF" w:themeFill="background1"/>
            <w:tcMar/>
            <w:vAlign w:val="center"/>
            <w:hideMark/>
          </w:tcPr>
          <w:p w:rsidRPr="00F84F19" w:rsidR="00F84F19" w:rsidP="3A5FC3B6" w:rsidRDefault="00F84F19" w14:paraId="4AE15BD8" w14:textId="77777777" w14:noSpellErr="1">
            <w:pPr>
              <w:spacing w:after="0" w:line="240" w:lineRule="auto"/>
              <w:jc w:val="center"/>
              <w:rPr>
                <w:rFonts w:eastAsia="Times New Roman" w:cs="Calibri" w:cstheme="minorAscii"/>
                <w:color w:val="auto"/>
                <w:sz w:val="11"/>
                <w:szCs w:val="11"/>
                <w:lang w:eastAsia="en-GB"/>
              </w:rPr>
            </w:pPr>
            <w:r w:rsidRPr="3A5FC3B6" w:rsidR="3A5FC3B6">
              <w:rPr>
                <w:rFonts w:eastAsia="Times New Roman" w:cs="Calibri" w:cstheme="minorAscii"/>
                <w:color w:val="auto"/>
                <w:sz w:val="11"/>
                <w:szCs w:val="11"/>
                <w:lang w:eastAsia="en-GB"/>
              </w:rPr>
              <w:t>Standard 1.5% (1/66)</w:t>
            </w:r>
            <w:r>
              <w:br/>
            </w:r>
            <w:r w:rsidRPr="3A5FC3B6" w:rsidR="3A5FC3B6">
              <w:rPr>
                <w:rFonts w:eastAsia="Times New Roman" w:cs="Calibri" w:cstheme="minorAscii"/>
                <w:color w:val="auto"/>
                <w:sz w:val="11"/>
                <w:szCs w:val="11"/>
                <w:lang w:eastAsia="en-GB"/>
              </w:rPr>
              <w:t>Partial ERAS 4% (9/225)</w:t>
            </w:r>
            <w:r>
              <w:br/>
            </w:r>
            <w:r w:rsidRPr="3A5FC3B6" w:rsidR="3A5FC3B6">
              <w:rPr>
                <w:rFonts w:eastAsia="Times New Roman" w:cs="Calibri" w:cstheme="minorAscii"/>
                <w:color w:val="auto"/>
                <w:sz w:val="11"/>
                <w:szCs w:val="11"/>
                <w:lang w:eastAsia="en-GB"/>
              </w:rPr>
              <w:t>Full ERAS 1.9% (2/103)</w:t>
            </w:r>
          </w:p>
        </w:tc>
        <w:tc>
          <w:tcPr>
            <w:tcW w:w="443" w:type="pct"/>
            <w:tcBorders>
              <w:top w:val="nil"/>
              <w:left w:val="nil"/>
              <w:bottom w:val="single" w:color="auto" w:sz="4" w:space="0"/>
              <w:right w:val="single" w:color="auto" w:sz="4" w:space="0"/>
            </w:tcBorders>
            <w:shd w:val="clear" w:color="auto" w:fill="auto"/>
            <w:tcMar/>
            <w:vAlign w:val="center"/>
            <w:hideMark/>
          </w:tcPr>
          <w:p w:rsidRPr="00F84F19" w:rsidR="00F84F19" w:rsidP="3A5FC3B6" w:rsidRDefault="00F84F19" w14:paraId="428D4642" w14:textId="77777777" w14:noSpellErr="1">
            <w:pPr>
              <w:spacing w:after="0" w:line="240" w:lineRule="auto"/>
              <w:jc w:val="center"/>
              <w:rPr>
                <w:rFonts w:eastAsia="Times New Roman" w:cs="Calibri" w:cstheme="minorAscii"/>
                <w:color w:val="auto"/>
                <w:sz w:val="11"/>
                <w:szCs w:val="11"/>
                <w:lang w:eastAsia="en-GB"/>
              </w:rPr>
            </w:pPr>
            <w:r w:rsidRPr="3A5FC3B6" w:rsidR="3A5FC3B6">
              <w:rPr>
                <w:rFonts w:eastAsia="Times New Roman" w:cs="Calibri" w:cstheme="minorAscii"/>
                <w:color w:val="auto"/>
                <w:sz w:val="11"/>
                <w:szCs w:val="11"/>
                <w:lang w:eastAsia="en-GB"/>
              </w:rPr>
              <w:t>Standard 18% (12/66)</w:t>
            </w:r>
            <w:r>
              <w:br/>
            </w:r>
            <w:r w:rsidRPr="3A5FC3B6" w:rsidR="3A5FC3B6">
              <w:rPr>
                <w:rFonts w:eastAsia="Times New Roman" w:cs="Calibri" w:cstheme="minorAscii"/>
                <w:color w:val="auto"/>
                <w:sz w:val="11"/>
                <w:szCs w:val="11"/>
                <w:lang w:eastAsia="en-GB"/>
              </w:rPr>
              <w:t>Partial ERAS 18% (14/225)</w:t>
            </w:r>
            <w:r>
              <w:br/>
            </w:r>
            <w:r w:rsidRPr="3A5FC3B6" w:rsidR="3A5FC3B6">
              <w:rPr>
                <w:rFonts w:eastAsia="Times New Roman" w:cs="Calibri" w:cstheme="minorAscii"/>
                <w:color w:val="auto"/>
                <w:sz w:val="11"/>
                <w:szCs w:val="11"/>
                <w:lang w:eastAsia="en-GB"/>
              </w:rPr>
              <w:t>Full ERAS 11% (11/103)</w:t>
            </w:r>
          </w:p>
        </w:tc>
        <w:tc>
          <w:tcPr>
            <w:tcW w:w="369" w:type="pct"/>
            <w:tcBorders>
              <w:top w:val="nil"/>
              <w:left w:val="nil"/>
              <w:bottom w:val="single" w:color="auto" w:sz="4" w:space="0"/>
              <w:right w:val="single" w:color="auto" w:sz="4" w:space="0"/>
            </w:tcBorders>
            <w:shd w:val="clear" w:color="auto" w:fill="auto"/>
            <w:tcMar/>
            <w:vAlign w:val="center"/>
            <w:hideMark/>
          </w:tcPr>
          <w:p w:rsidRPr="00F84F19" w:rsidR="00F84F19" w:rsidP="3A5FC3B6" w:rsidRDefault="00F84F19" w14:paraId="40CD352F" w14:textId="77777777" w14:noSpellErr="1">
            <w:pPr>
              <w:spacing w:after="0" w:line="240" w:lineRule="auto"/>
              <w:jc w:val="center"/>
              <w:rPr>
                <w:rFonts w:eastAsia="Times New Roman" w:cs="Calibri" w:cstheme="minorAscii"/>
                <w:color w:val="auto"/>
                <w:sz w:val="11"/>
                <w:szCs w:val="11"/>
                <w:lang w:eastAsia="en-GB"/>
              </w:rPr>
            </w:pPr>
            <w:r w:rsidRPr="3A5FC3B6" w:rsidR="3A5FC3B6">
              <w:rPr>
                <w:rFonts w:eastAsia="Times New Roman" w:cs="Calibri" w:cstheme="minorAscii"/>
                <w:color w:val="auto"/>
                <w:sz w:val="11"/>
                <w:szCs w:val="11"/>
                <w:lang w:eastAsia="en-GB"/>
              </w:rPr>
              <w:t>Standard 3.0% (2/66)</w:t>
            </w:r>
            <w:r>
              <w:br/>
            </w:r>
            <w:r w:rsidRPr="3A5FC3B6" w:rsidR="3A5FC3B6">
              <w:rPr>
                <w:rFonts w:eastAsia="Times New Roman" w:cs="Calibri" w:cstheme="minorAscii"/>
                <w:color w:val="auto"/>
                <w:sz w:val="11"/>
                <w:szCs w:val="11"/>
                <w:lang w:eastAsia="en-GB"/>
              </w:rPr>
              <w:t>Partial ERAS 0.5% (1/225)</w:t>
            </w:r>
            <w:r>
              <w:br/>
            </w:r>
            <w:r w:rsidRPr="3A5FC3B6" w:rsidR="3A5FC3B6">
              <w:rPr>
                <w:rFonts w:eastAsia="Times New Roman" w:cs="Calibri" w:cstheme="minorAscii"/>
                <w:color w:val="auto"/>
                <w:sz w:val="11"/>
                <w:szCs w:val="11"/>
                <w:lang w:eastAsia="en-GB"/>
              </w:rPr>
              <w:t>Full ERAS 0% (0/103)</w:t>
            </w:r>
          </w:p>
        </w:tc>
        <w:tc>
          <w:tcPr>
            <w:tcW w:w="585" w:type="pct"/>
            <w:tcBorders>
              <w:top w:val="nil"/>
              <w:left w:val="nil"/>
              <w:bottom w:val="single" w:color="auto" w:sz="4" w:space="0"/>
              <w:right w:val="single" w:color="auto" w:sz="4" w:space="0"/>
            </w:tcBorders>
            <w:shd w:val="clear" w:color="auto" w:fill="auto"/>
            <w:tcMar/>
            <w:vAlign w:val="center"/>
            <w:hideMark/>
          </w:tcPr>
          <w:p w:rsidRPr="00F84F19" w:rsidR="00F84F19" w:rsidP="3A5FC3B6" w:rsidRDefault="00F84F19" w14:paraId="1B7E126F" w14:textId="77777777" w14:noSpellErr="1">
            <w:pPr>
              <w:spacing w:after="0" w:line="240" w:lineRule="auto"/>
              <w:jc w:val="center"/>
              <w:rPr>
                <w:rFonts w:eastAsia="Times New Roman" w:cs="Calibri" w:cstheme="minorAscii"/>
                <w:color w:val="auto"/>
                <w:sz w:val="11"/>
                <w:szCs w:val="11"/>
                <w:lang w:eastAsia="en-GB"/>
              </w:rPr>
            </w:pPr>
            <w:r w:rsidRPr="3A5FC3B6" w:rsidR="3A5FC3B6">
              <w:rPr>
                <w:rFonts w:eastAsia="Times New Roman" w:cs="Calibri" w:cstheme="minorAscii"/>
                <w:color w:val="auto"/>
                <w:sz w:val="11"/>
                <w:szCs w:val="11"/>
                <w:lang w:eastAsia="en-GB"/>
              </w:rPr>
              <w:t>Standard 4.5% (3/66)</w:t>
            </w:r>
            <w:r>
              <w:br/>
            </w:r>
            <w:r w:rsidRPr="3A5FC3B6" w:rsidR="3A5FC3B6">
              <w:rPr>
                <w:rFonts w:eastAsia="Times New Roman" w:cs="Calibri" w:cstheme="minorAscii"/>
                <w:color w:val="auto"/>
                <w:sz w:val="11"/>
                <w:szCs w:val="11"/>
                <w:lang w:eastAsia="en-GB"/>
              </w:rPr>
              <w:t>Partial ERAS 1.3% (3/225)</w:t>
            </w:r>
            <w:r>
              <w:br/>
            </w:r>
            <w:r w:rsidRPr="3A5FC3B6" w:rsidR="3A5FC3B6">
              <w:rPr>
                <w:rFonts w:eastAsia="Times New Roman" w:cs="Calibri" w:cstheme="minorAscii"/>
                <w:color w:val="auto"/>
                <w:sz w:val="11"/>
                <w:szCs w:val="11"/>
                <w:lang w:eastAsia="en-GB"/>
              </w:rPr>
              <w:t>Full ERAS 1.9% (2/103)</w:t>
            </w:r>
          </w:p>
        </w:tc>
        <w:tc>
          <w:tcPr>
            <w:tcW w:w="495" w:type="pct"/>
            <w:tcBorders>
              <w:top w:val="nil"/>
              <w:left w:val="nil"/>
              <w:bottom w:val="single" w:color="auto" w:sz="4" w:space="0"/>
              <w:right w:val="single" w:color="auto" w:sz="4" w:space="0"/>
            </w:tcBorders>
            <w:shd w:val="clear" w:color="auto" w:fill="auto"/>
            <w:tcMar/>
            <w:vAlign w:val="center"/>
            <w:hideMark/>
          </w:tcPr>
          <w:p w:rsidRPr="00F84F19" w:rsidR="00F84F19" w:rsidP="3A5FC3B6" w:rsidRDefault="00F84F19" w14:paraId="4E95F54E" w14:textId="77777777" w14:noSpellErr="1">
            <w:pPr>
              <w:spacing w:after="0" w:line="240" w:lineRule="auto"/>
              <w:jc w:val="center"/>
              <w:rPr>
                <w:rFonts w:eastAsia="Times New Roman" w:cs="Calibri" w:cstheme="minorAscii"/>
                <w:color w:val="auto"/>
                <w:sz w:val="11"/>
                <w:szCs w:val="11"/>
                <w:lang w:eastAsia="en-GB"/>
              </w:rPr>
            </w:pPr>
            <w:r w:rsidRPr="3A5FC3B6" w:rsidR="3A5FC3B6">
              <w:rPr>
                <w:rFonts w:eastAsia="Times New Roman" w:cs="Calibri" w:cstheme="minorAscii"/>
                <w:color w:val="auto"/>
                <w:sz w:val="11"/>
                <w:szCs w:val="11"/>
                <w:lang w:eastAsia="en-GB"/>
              </w:rPr>
              <w:t>/</w:t>
            </w:r>
          </w:p>
        </w:tc>
        <w:tc>
          <w:tcPr>
            <w:tcW w:w="432" w:type="pct"/>
            <w:tcBorders>
              <w:top w:val="nil"/>
              <w:left w:val="nil"/>
              <w:bottom w:val="single" w:color="auto" w:sz="4" w:space="0"/>
              <w:right w:val="nil"/>
            </w:tcBorders>
            <w:shd w:val="clear" w:color="auto" w:fill="auto"/>
            <w:tcMar/>
            <w:vAlign w:val="center"/>
            <w:hideMark/>
          </w:tcPr>
          <w:p w:rsidRPr="00F84F19" w:rsidR="00F84F19" w:rsidP="3A5FC3B6" w:rsidRDefault="00F84F19" w14:paraId="69F08807" w14:textId="77777777" w14:noSpellErr="1">
            <w:pPr>
              <w:spacing w:after="0" w:line="240" w:lineRule="auto"/>
              <w:jc w:val="center"/>
              <w:rPr>
                <w:rFonts w:eastAsia="Times New Roman" w:cs="Calibri" w:cstheme="minorAscii"/>
                <w:color w:val="auto"/>
                <w:sz w:val="11"/>
                <w:szCs w:val="11"/>
                <w:lang w:eastAsia="en-GB"/>
              </w:rPr>
            </w:pPr>
            <w:r w:rsidRPr="3A5FC3B6" w:rsidR="3A5FC3B6">
              <w:rPr>
                <w:rFonts w:eastAsia="Times New Roman" w:cs="Calibri" w:cstheme="minorAscii"/>
                <w:color w:val="auto"/>
                <w:sz w:val="11"/>
                <w:szCs w:val="11"/>
                <w:lang w:eastAsia="en-GB"/>
              </w:rPr>
              <w:t>/</w:t>
            </w:r>
          </w:p>
        </w:tc>
        <w:tc>
          <w:tcPr>
            <w:tcW w:w="469" w:type="pct"/>
            <w:tcBorders>
              <w:top w:val="nil"/>
              <w:left w:val="single" w:color="auto" w:sz="4" w:space="0"/>
              <w:bottom w:val="single" w:color="auto" w:sz="4" w:space="0"/>
              <w:right w:val="nil"/>
            </w:tcBorders>
            <w:shd w:val="clear" w:color="auto" w:fill="auto"/>
            <w:tcMar/>
            <w:vAlign w:val="center"/>
            <w:hideMark/>
          </w:tcPr>
          <w:p w:rsidRPr="00F84F19" w:rsidR="00F84F19" w:rsidP="3A5FC3B6" w:rsidRDefault="00F84F19" w14:paraId="4B9F5473" w14:textId="77777777" w14:noSpellErr="1">
            <w:pPr>
              <w:spacing w:after="0" w:line="240" w:lineRule="auto"/>
              <w:jc w:val="center"/>
              <w:rPr>
                <w:rFonts w:eastAsia="Times New Roman" w:cs="Calibri" w:cstheme="minorAscii"/>
                <w:color w:val="auto"/>
                <w:sz w:val="11"/>
                <w:szCs w:val="11"/>
                <w:lang w:eastAsia="en-GB"/>
              </w:rPr>
            </w:pPr>
            <w:r w:rsidRPr="3A5FC3B6" w:rsidR="3A5FC3B6">
              <w:rPr>
                <w:rFonts w:eastAsia="Times New Roman" w:cs="Calibri" w:cstheme="minorAscii"/>
                <w:color w:val="auto"/>
                <w:sz w:val="11"/>
                <w:szCs w:val="11"/>
                <w:lang w:eastAsia="en-GB"/>
              </w:rPr>
              <w:t>Standard -/66</w:t>
            </w:r>
            <w:r>
              <w:br/>
            </w:r>
            <w:r w:rsidRPr="3A5FC3B6" w:rsidR="3A5FC3B6">
              <w:rPr>
                <w:rFonts w:eastAsia="Times New Roman" w:cs="Calibri" w:cstheme="minorAscii"/>
                <w:color w:val="auto"/>
                <w:sz w:val="11"/>
                <w:szCs w:val="11"/>
                <w:lang w:eastAsia="en-GB"/>
              </w:rPr>
              <w:t>Partial ERAS -/225</w:t>
            </w:r>
            <w:r>
              <w:br/>
            </w:r>
            <w:r w:rsidRPr="3A5FC3B6" w:rsidR="3A5FC3B6">
              <w:rPr>
                <w:rFonts w:eastAsia="Times New Roman" w:cs="Calibri" w:cstheme="minorAscii"/>
                <w:color w:val="auto"/>
                <w:sz w:val="11"/>
                <w:szCs w:val="11"/>
                <w:lang w:eastAsia="en-GB"/>
              </w:rPr>
              <w:t>Full ERAS 0% (0/103)</w:t>
            </w:r>
          </w:p>
        </w:tc>
        <w:tc>
          <w:tcPr>
            <w:tcW w:w="369" w:type="pct"/>
            <w:tcBorders>
              <w:top w:val="nil"/>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F84F19" w:rsidR="00F84F19" w:rsidP="3A5FC3B6" w:rsidRDefault="00F84F19" w14:paraId="3A77ACCC" w14:textId="77777777" w14:noSpellErr="1">
            <w:pPr>
              <w:spacing w:after="0" w:line="240" w:lineRule="auto"/>
              <w:jc w:val="center"/>
              <w:rPr>
                <w:rFonts w:eastAsia="Times New Roman" w:cs="Calibri" w:cstheme="minorAscii"/>
                <w:color w:val="auto"/>
                <w:sz w:val="11"/>
                <w:szCs w:val="11"/>
                <w:lang w:eastAsia="en-GB"/>
              </w:rPr>
            </w:pPr>
            <w:r w:rsidRPr="3A5FC3B6" w:rsidR="3A5FC3B6">
              <w:rPr>
                <w:rFonts w:eastAsia="Times New Roman" w:cs="Calibri" w:cstheme="minorAscii"/>
                <w:color w:val="auto"/>
                <w:sz w:val="11"/>
                <w:szCs w:val="11"/>
                <w:lang w:eastAsia="en-GB"/>
              </w:rPr>
              <w:t xml:space="preserve">Standard 3.0% (2/66) </w:t>
            </w:r>
            <w:r>
              <w:br/>
            </w:r>
            <w:r w:rsidRPr="3A5FC3B6" w:rsidR="3A5FC3B6">
              <w:rPr>
                <w:rFonts w:eastAsia="Times New Roman" w:cs="Calibri" w:cstheme="minorAscii"/>
                <w:color w:val="auto"/>
                <w:sz w:val="11"/>
                <w:szCs w:val="11"/>
                <w:lang w:eastAsia="en-GB"/>
              </w:rPr>
              <w:t>Partial ERAS 4.4% (10/225)</w:t>
            </w:r>
            <w:r>
              <w:br/>
            </w:r>
            <w:r w:rsidRPr="3A5FC3B6" w:rsidR="3A5FC3B6">
              <w:rPr>
                <w:rFonts w:eastAsia="Times New Roman" w:cs="Calibri" w:cstheme="minorAscii"/>
                <w:color w:val="auto"/>
                <w:sz w:val="11"/>
                <w:szCs w:val="11"/>
                <w:lang w:eastAsia="en-GB"/>
              </w:rPr>
              <w:t>Full ERAS 2.9% (3/103)</w:t>
            </w:r>
          </w:p>
        </w:tc>
        <w:tc>
          <w:tcPr>
            <w:tcW w:w="369" w:type="pct"/>
            <w:tcBorders>
              <w:top w:val="nil"/>
              <w:left w:val="nil"/>
              <w:bottom w:val="single" w:color="000000" w:themeColor="text1" w:sz="4" w:space="0"/>
              <w:right w:val="single" w:color="000000" w:themeColor="text1" w:sz="4" w:space="0"/>
            </w:tcBorders>
            <w:shd w:val="clear" w:color="auto" w:fill="auto"/>
            <w:tcMar/>
            <w:vAlign w:val="center"/>
            <w:hideMark/>
          </w:tcPr>
          <w:p w:rsidRPr="00F84F19" w:rsidR="00F84F19" w:rsidP="3A5FC3B6" w:rsidRDefault="00F84F19" w14:paraId="1C2CF2F7" w14:textId="77777777" w14:noSpellErr="1">
            <w:pPr>
              <w:spacing w:after="0" w:line="240" w:lineRule="auto"/>
              <w:jc w:val="center"/>
              <w:rPr>
                <w:rFonts w:eastAsia="Times New Roman" w:cs="Calibri" w:cstheme="minorAscii"/>
                <w:color w:val="auto"/>
                <w:sz w:val="11"/>
                <w:szCs w:val="11"/>
                <w:lang w:eastAsia="en-GB"/>
              </w:rPr>
            </w:pPr>
            <w:r w:rsidRPr="3A5FC3B6" w:rsidR="3A5FC3B6">
              <w:rPr>
                <w:rFonts w:eastAsia="Times New Roman" w:cs="Calibri" w:cstheme="minorAscii"/>
                <w:color w:val="auto"/>
                <w:sz w:val="11"/>
                <w:szCs w:val="11"/>
                <w:lang w:eastAsia="en-GB"/>
              </w:rPr>
              <w:t>Standard 18.0% (12/66)</w:t>
            </w:r>
            <w:r>
              <w:br/>
            </w:r>
            <w:r w:rsidRPr="3A5FC3B6" w:rsidR="3A5FC3B6">
              <w:rPr>
                <w:rFonts w:eastAsia="Times New Roman" w:cs="Calibri" w:cstheme="minorAscii"/>
                <w:color w:val="auto"/>
                <w:sz w:val="11"/>
                <w:szCs w:val="11"/>
                <w:lang w:eastAsia="en-GB"/>
              </w:rPr>
              <w:t>Partial ERAS 5.8% (13/225)</w:t>
            </w:r>
            <w:r>
              <w:br/>
            </w:r>
            <w:r w:rsidRPr="3A5FC3B6" w:rsidR="3A5FC3B6">
              <w:rPr>
                <w:rFonts w:eastAsia="Times New Roman" w:cs="Calibri" w:cstheme="minorAscii"/>
                <w:color w:val="auto"/>
                <w:sz w:val="11"/>
                <w:szCs w:val="11"/>
                <w:lang w:eastAsia="en-GB"/>
              </w:rPr>
              <w:t>Full ERAS 4.8% (5/103)</w:t>
            </w:r>
          </w:p>
        </w:tc>
      </w:tr>
      <w:tr w:rsidRPr="00192449" w:rsidR="00192449" w:rsidTr="3A5FC3B6" w14:paraId="33744201" w14:textId="77777777">
        <w:trPr>
          <w:trHeight w:val="580"/>
        </w:trPr>
        <w:tc>
          <w:tcPr>
            <w:tcW w:w="551" w:type="pct"/>
            <w:tcBorders>
              <w:top w:val="nil"/>
              <w:left w:val="single" w:color="auto" w:sz="4" w:space="0"/>
              <w:bottom w:val="single" w:color="auto" w:sz="4" w:space="0"/>
              <w:right w:val="nil"/>
            </w:tcBorders>
            <w:shd w:val="clear" w:color="auto" w:fill="auto"/>
            <w:tcMar/>
            <w:vAlign w:val="center"/>
            <w:hideMark/>
          </w:tcPr>
          <w:p w:rsidRPr="00F84F19" w:rsidR="00F84F19" w:rsidP="3A5FC3B6" w:rsidRDefault="00F84F19" w14:paraId="3C10DF98" w14:textId="77777777">
            <w:pPr>
              <w:spacing w:after="0" w:line="240" w:lineRule="auto"/>
              <w:jc w:val="center"/>
              <w:rPr>
                <w:rFonts w:eastAsia="Times New Roman" w:cs="Calibri" w:cstheme="minorAscii"/>
                <w:b w:val="1"/>
                <w:bCs w:val="1"/>
                <w:color w:val="auto"/>
                <w:sz w:val="11"/>
                <w:szCs w:val="11"/>
                <w:lang w:eastAsia="en-GB"/>
              </w:rPr>
            </w:pPr>
            <w:r w:rsidRPr="3A5FC3B6" w:rsidR="3A5FC3B6">
              <w:rPr>
                <w:rFonts w:eastAsia="Times New Roman" w:cs="Calibri" w:cstheme="minorAscii"/>
                <w:b w:val="1"/>
                <w:bCs w:val="1"/>
                <w:color w:val="auto"/>
                <w:sz w:val="11"/>
                <w:szCs w:val="11"/>
                <w:lang w:eastAsia="en-GB"/>
              </w:rPr>
              <w:t>Muehling</w:t>
            </w:r>
            <w:r w:rsidRPr="3A5FC3B6" w:rsidR="3A5FC3B6">
              <w:rPr>
                <w:rFonts w:eastAsia="Times New Roman" w:cs="Calibri" w:cstheme="minorAscii"/>
                <w:b w:val="1"/>
                <w:bCs w:val="1"/>
                <w:color w:val="auto"/>
                <w:sz w:val="11"/>
                <w:szCs w:val="11"/>
                <w:lang w:eastAsia="en-GB"/>
              </w:rPr>
              <w:t> 2009</w:t>
            </w:r>
          </w:p>
        </w:tc>
        <w:tc>
          <w:tcPr>
            <w:tcW w:w="430" w:type="pct"/>
            <w:tcBorders>
              <w:top w:val="nil"/>
              <w:left w:val="single" w:color="000000" w:themeColor="text1" w:sz="4" w:space="0"/>
              <w:bottom w:val="single" w:color="000000" w:themeColor="text1" w:sz="4" w:space="0"/>
              <w:right w:val="single" w:color="000000" w:themeColor="text1" w:sz="4" w:space="0"/>
            </w:tcBorders>
            <w:shd w:val="clear" w:color="auto" w:fill="FFFFFF" w:themeFill="background1"/>
            <w:tcMar/>
            <w:vAlign w:val="center"/>
            <w:hideMark/>
          </w:tcPr>
          <w:p w:rsidRPr="00F84F19" w:rsidR="00F84F19" w:rsidP="3A5FC3B6" w:rsidRDefault="00F84F19" w14:paraId="6E5EA927" w14:textId="77777777" w14:noSpellErr="1">
            <w:pPr>
              <w:spacing w:after="0" w:line="240" w:lineRule="auto"/>
              <w:jc w:val="center"/>
              <w:rPr>
                <w:rFonts w:eastAsia="Times New Roman" w:cs="Calibri" w:cstheme="minorAscii"/>
                <w:color w:val="auto"/>
                <w:sz w:val="11"/>
                <w:szCs w:val="11"/>
                <w:lang w:eastAsia="en-GB"/>
              </w:rPr>
            </w:pPr>
            <w:r w:rsidRPr="3A5FC3B6" w:rsidR="3A5FC3B6">
              <w:rPr>
                <w:rFonts w:eastAsia="Times New Roman" w:cs="Calibri" w:cstheme="minorAscii"/>
                <w:color w:val="auto"/>
                <w:sz w:val="11"/>
                <w:szCs w:val="11"/>
                <w:lang w:eastAsia="en-GB"/>
              </w:rPr>
              <w:t>ERAS (0/49)</w:t>
            </w:r>
            <w:r>
              <w:br/>
            </w:r>
            <w:r w:rsidRPr="3A5FC3B6" w:rsidR="3A5FC3B6">
              <w:rPr>
                <w:rFonts w:eastAsia="Times New Roman" w:cs="Calibri" w:cstheme="minorAscii"/>
                <w:color w:val="auto"/>
                <w:sz w:val="11"/>
                <w:szCs w:val="11"/>
                <w:lang w:eastAsia="en-GB"/>
              </w:rPr>
              <w:t>Standard 2% (1/50)</w:t>
            </w:r>
          </w:p>
        </w:tc>
        <w:tc>
          <w:tcPr>
            <w:tcW w:w="488" w:type="pct"/>
            <w:tcBorders>
              <w:top w:val="nil"/>
              <w:left w:val="nil"/>
              <w:bottom w:val="single" w:color="000000" w:themeColor="text1" w:sz="4" w:space="0"/>
              <w:right w:val="single" w:color="000000" w:themeColor="text1" w:sz="4" w:space="0"/>
            </w:tcBorders>
            <w:shd w:val="clear" w:color="auto" w:fill="FFFFFF" w:themeFill="background1"/>
            <w:tcMar/>
            <w:vAlign w:val="center"/>
            <w:hideMark/>
          </w:tcPr>
          <w:p w:rsidRPr="00F84F19" w:rsidR="00F84F19" w:rsidP="3A5FC3B6" w:rsidRDefault="00F84F19" w14:paraId="408C1C54" w14:textId="77777777" w14:noSpellErr="1">
            <w:pPr>
              <w:spacing w:after="0" w:line="240" w:lineRule="auto"/>
              <w:jc w:val="center"/>
              <w:rPr>
                <w:rFonts w:eastAsia="Times New Roman" w:cs="Calibri" w:cstheme="minorAscii"/>
                <w:color w:val="auto"/>
                <w:sz w:val="11"/>
                <w:szCs w:val="11"/>
                <w:lang w:eastAsia="en-GB"/>
              </w:rPr>
            </w:pPr>
            <w:r w:rsidRPr="3A5FC3B6" w:rsidR="3A5FC3B6">
              <w:rPr>
                <w:rFonts w:eastAsia="Times New Roman" w:cs="Calibri" w:cstheme="minorAscii"/>
                <w:color w:val="auto"/>
                <w:sz w:val="11"/>
                <w:szCs w:val="11"/>
                <w:lang w:eastAsia="en-GB"/>
              </w:rPr>
              <w:t>ERAS 6.1% (3/49)</w:t>
            </w:r>
            <w:r>
              <w:br/>
            </w:r>
            <w:r w:rsidRPr="3A5FC3B6" w:rsidR="3A5FC3B6">
              <w:rPr>
                <w:rFonts w:eastAsia="Times New Roman" w:cs="Calibri" w:cstheme="minorAscii"/>
                <w:color w:val="auto"/>
                <w:sz w:val="11"/>
                <w:szCs w:val="11"/>
                <w:lang w:eastAsia="en-GB"/>
              </w:rPr>
              <w:t>Standard 8% (4/50)</w:t>
            </w:r>
          </w:p>
        </w:tc>
        <w:tc>
          <w:tcPr>
            <w:tcW w:w="443" w:type="pct"/>
            <w:tcBorders>
              <w:top w:val="nil"/>
              <w:left w:val="nil"/>
              <w:bottom w:val="single" w:color="auto" w:sz="4" w:space="0"/>
              <w:right w:val="single" w:color="auto" w:sz="4" w:space="0"/>
            </w:tcBorders>
            <w:shd w:val="clear" w:color="auto" w:fill="auto"/>
            <w:tcMar/>
            <w:vAlign w:val="center"/>
            <w:hideMark/>
          </w:tcPr>
          <w:p w:rsidRPr="00F84F19" w:rsidR="00F84F19" w:rsidP="3A5FC3B6" w:rsidRDefault="00F84F19" w14:paraId="5A27905D" w14:textId="77777777" w14:noSpellErr="1">
            <w:pPr>
              <w:spacing w:after="0" w:line="240" w:lineRule="auto"/>
              <w:jc w:val="center"/>
              <w:rPr>
                <w:rFonts w:eastAsia="Times New Roman" w:cs="Calibri" w:cstheme="minorAscii"/>
                <w:color w:val="auto"/>
                <w:sz w:val="11"/>
                <w:szCs w:val="11"/>
                <w:lang w:eastAsia="en-GB"/>
              </w:rPr>
            </w:pPr>
            <w:r w:rsidRPr="3A5FC3B6" w:rsidR="3A5FC3B6">
              <w:rPr>
                <w:rFonts w:eastAsia="Times New Roman" w:cs="Calibri" w:cstheme="minorAscii"/>
                <w:color w:val="auto"/>
                <w:sz w:val="11"/>
                <w:szCs w:val="11"/>
                <w:lang w:eastAsia="en-GB"/>
              </w:rPr>
              <w:t>ERAS 0% (0/49)</w:t>
            </w:r>
            <w:r>
              <w:br/>
            </w:r>
            <w:r w:rsidRPr="3A5FC3B6" w:rsidR="3A5FC3B6">
              <w:rPr>
                <w:rFonts w:eastAsia="Times New Roman" w:cs="Calibri" w:cstheme="minorAscii"/>
                <w:color w:val="auto"/>
                <w:sz w:val="11"/>
                <w:szCs w:val="11"/>
                <w:lang w:eastAsia="en-GB"/>
              </w:rPr>
              <w:t>Standard 0% (0/50)</w:t>
            </w:r>
          </w:p>
        </w:tc>
        <w:tc>
          <w:tcPr>
            <w:tcW w:w="369" w:type="pct"/>
            <w:tcBorders>
              <w:top w:val="nil"/>
              <w:left w:val="nil"/>
              <w:bottom w:val="single" w:color="auto" w:sz="4" w:space="0"/>
              <w:right w:val="single" w:color="auto" w:sz="4" w:space="0"/>
            </w:tcBorders>
            <w:shd w:val="clear" w:color="auto" w:fill="auto"/>
            <w:tcMar/>
            <w:vAlign w:val="center"/>
            <w:hideMark/>
          </w:tcPr>
          <w:p w:rsidRPr="00F84F19" w:rsidR="00F84F19" w:rsidP="3A5FC3B6" w:rsidRDefault="00F84F19" w14:paraId="3ADA356C" w14:textId="77777777" w14:noSpellErr="1">
            <w:pPr>
              <w:spacing w:after="0" w:line="240" w:lineRule="auto"/>
              <w:jc w:val="center"/>
              <w:rPr>
                <w:rFonts w:eastAsia="Times New Roman" w:cs="Calibri" w:cstheme="minorAscii"/>
                <w:color w:val="auto"/>
                <w:sz w:val="11"/>
                <w:szCs w:val="11"/>
                <w:lang w:eastAsia="en-GB"/>
              </w:rPr>
            </w:pPr>
            <w:r w:rsidRPr="3A5FC3B6" w:rsidR="3A5FC3B6">
              <w:rPr>
                <w:rFonts w:eastAsia="Times New Roman" w:cs="Calibri" w:cstheme="minorAscii"/>
                <w:color w:val="auto"/>
                <w:sz w:val="11"/>
                <w:szCs w:val="11"/>
                <w:lang w:eastAsia="en-GB"/>
              </w:rPr>
              <w:t>ERAS 6.1% (3/49)</w:t>
            </w:r>
            <w:r>
              <w:br/>
            </w:r>
            <w:r w:rsidRPr="3A5FC3B6" w:rsidR="3A5FC3B6">
              <w:rPr>
                <w:rFonts w:eastAsia="Times New Roman" w:cs="Calibri" w:cstheme="minorAscii"/>
                <w:color w:val="auto"/>
                <w:sz w:val="11"/>
                <w:szCs w:val="11"/>
                <w:lang w:eastAsia="en-GB"/>
              </w:rPr>
              <w:t>Standard 8% (4/50)</w:t>
            </w:r>
          </w:p>
        </w:tc>
        <w:tc>
          <w:tcPr>
            <w:tcW w:w="585" w:type="pct"/>
            <w:tcBorders>
              <w:top w:val="nil"/>
              <w:left w:val="nil"/>
              <w:bottom w:val="single" w:color="auto" w:sz="4" w:space="0"/>
              <w:right w:val="single" w:color="auto" w:sz="4" w:space="0"/>
            </w:tcBorders>
            <w:shd w:val="clear" w:color="auto" w:fill="auto"/>
            <w:tcMar/>
            <w:vAlign w:val="center"/>
            <w:hideMark/>
          </w:tcPr>
          <w:p w:rsidRPr="00F84F19" w:rsidR="00F84F19" w:rsidP="3A5FC3B6" w:rsidRDefault="00F84F19" w14:paraId="604050D1" w14:textId="77777777" w14:noSpellErr="1">
            <w:pPr>
              <w:spacing w:after="0" w:line="240" w:lineRule="auto"/>
              <w:jc w:val="center"/>
              <w:rPr>
                <w:rFonts w:eastAsia="Times New Roman" w:cs="Calibri" w:cstheme="minorAscii"/>
                <w:color w:val="auto"/>
                <w:sz w:val="11"/>
                <w:szCs w:val="11"/>
                <w:lang w:eastAsia="en-GB"/>
              </w:rPr>
            </w:pPr>
            <w:r w:rsidRPr="3A5FC3B6" w:rsidR="3A5FC3B6">
              <w:rPr>
                <w:rFonts w:eastAsia="Times New Roman" w:cs="Calibri" w:cstheme="minorAscii"/>
                <w:color w:val="auto"/>
                <w:sz w:val="11"/>
                <w:szCs w:val="11"/>
                <w:lang w:eastAsia="en-GB"/>
              </w:rPr>
              <w:t>ERAS 8.2% (4/49)</w:t>
            </w:r>
            <w:r>
              <w:br/>
            </w:r>
            <w:r w:rsidRPr="3A5FC3B6" w:rsidR="3A5FC3B6">
              <w:rPr>
                <w:rFonts w:eastAsia="Times New Roman" w:cs="Calibri" w:cstheme="minorAscii"/>
                <w:color w:val="auto"/>
                <w:sz w:val="11"/>
                <w:szCs w:val="11"/>
                <w:lang w:eastAsia="en-GB"/>
              </w:rPr>
              <w:t>Standard 20% (10/50)</w:t>
            </w:r>
          </w:p>
        </w:tc>
        <w:tc>
          <w:tcPr>
            <w:tcW w:w="495" w:type="pct"/>
            <w:tcBorders>
              <w:top w:val="nil"/>
              <w:left w:val="nil"/>
              <w:bottom w:val="single" w:color="000000" w:themeColor="text1" w:sz="4" w:space="0"/>
              <w:right w:val="single" w:color="000000" w:themeColor="text1" w:sz="4" w:space="0"/>
            </w:tcBorders>
            <w:shd w:val="clear" w:color="auto" w:fill="FFFFFF" w:themeFill="background1"/>
            <w:tcMar/>
            <w:vAlign w:val="center"/>
            <w:hideMark/>
          </w:tcPr>
          <w:p w:rsidRPr="00F84F19" w:rsidR="00F84F19" w:rsidP="3A5FC3B6" w:rsidRDefault="00F84F19" w14:paraId="1E6940F0" w14:textId="77777777" w14:noSpellErr="1">
            <w:pPr>
              <w:spacing w:after="0" w:line="240" w:lineRule="auto"/>
              <w:jc w:val="center"/>
              <w:rPr>
                <w:rFonts w:eastAsia="Times New Roman" w:cs="Calibri" w:cstheme="minorAscii"/>
                <w:color w:val="auto"/>
                <w:sz w:val="11"/>
                <w:szCs w:val="11"/>
                <w:lang w:eastAsia="en-GB"/>
              </w:rPr>
            </w:pPr>
            <w:r w:rsidRPr="3A5FC3B6" w:rsidR="3A5FC3B6">
              <w:rPr>
                <w:rFonts w:eastAsia="Times New Roman" w:cs="Calibri" w:cstheme="minorAscii"/>
                <w:color w:val="auto"/>
                <w:sz w:val="11"/>
                <w:szCs w:val="11"/>
                <w:lang w:eastAsia="en-GB"/>
              </w:rPr>
              <w:t>ERAS 8.2% (4/49)</w:t>
            </w:r>
            <w:r>
              <w:br/>
            </w:r>
            <w:r w:rsidRPr="3A5FC3B6" w:rsidR="3A5FC3B6">
              <w:rPr>
                <w:rFonts w:eastAsia="Times New Roman" w:cs="Calibri" w:cstheme="minorAscii"/>
                <w:color w:val="auto"/>
                <w:sz w:val="11"/>
                <w:szCs w:val="11"/>
                <w:lang w:eastAsia="en-GB"/>
              </w:rPr>
              <w:t>Standard 2% (1/50)</w:t>
            </w:r>
          </w:p>
        </w:tc>
        <w:tc>
          <w:tcPr>
            <w:tcW w:w="432" w:type="pct"/>
            <w:tcBorders>
              <w:top w:val="nil"/>
              <w:left w:val="nil"/>
              <w:bottom w:val="single" w:color="000000" w:themeColor="text1" w:sz="4" w:space="0"/>
              <w:right w:val="single" w:color="000000" w:themeColor="text1" w:sz="4" w:space="0"/>
            </w:tcBorders>
            <w:shd w:val="clear" w:color="auto" w:fill="FFFFFF" w:themeFill="background1"/>
            <w:tcMar/>
            <w:vAlign w:val="center"/>
            <w:hideMark/>
          </w:tcPr>
          <w:p w:rsidRPr="00F84F19" w:rsidR="00F84F19" w:rsidP="3A5FC3B6" w:rsidRDefault="00F84F19" w14:paraId="46ECF6F4" w14:textId="77777777" w14:noSpellErr="1">
            <w:pPr>
              <w:spacing w:after="0" w:line="240" w:lineRule="auto"/>
              <w:jc w:val="center"/>
              <w:rPr>
                <w:rFonts w:eastAsia="Times New Roman" w:cs="Calibri" w:cstheme="minorAscii"/>
                <w:color w:val="auto"/>
                <w:sz w:val="11"/>
                <w:szCs w:val="11"/>
                <w:lang w:eastAsia="en-GB"/>
              </w:rPr>
            </w:pPr>
            <w:r w:rsidRPr="3A5FC3B6" w:rsidR="3A5FC3B6">
              <w:rPr>
                <w:rFonts w:eastAsia="Times New Roman" w:cs="Calibri" w:cstheme="minorAscii"/>
                <w:color w:val="auto"/>
                <w:sz w:val="11"/>
                <w:szCs w:val="11"/>
                <w:lang w:eastAsia="en-GB"/>
              </w:rPr>
              <w:t>ERAS 10% (5/49)</w:t>
            </w:r>
            <w:r>
              <w:br/>
            </w:r>
            <w:r w:rsidRPr="3A5FC3B6" w:rsidR="3A5FC3B6">
              <w:rPr>
                <w:rFonts w:eastAsia="Times New Roman" w:cs="Calibri" w:cstheme="minorAscii"/>
                <w:color w:val="auto"/>
                <w:sz w:val="11"/>
                <w:szCs w:val="11"/>
                <w:lang w:eastAsia="en-GB"/>
              </w:rPr>
              <w:t>Standard 8% (4/50)</w:t>
            </w:r>
          </w:p>
        </w:tc>
        <w:tc>
          <w:tcPr>
            <w:tcW w:w="469" w:type="pct"/>
            <w:tcBorders>
              <w:top w:val="nil"/>
              <w:left w:val="nil"/>
              <w:bottom w:val="single" w:color="000000" w:themeColor="text1" w:sz="4" w:space="0"/>
              <w:right w:val="single" w:color="000000" w:themeColor="text1" w:sz="4" w:space="0"/>
            </w:tcBorders>
            <w:shd w:val="clear" w:color="auto" w:fill="FFFFFF" w:themeFill="background1"/>
            <w:tcMar/>
            <w:vAlign w:val="center"/>
            <w:hideMark/>
          </w:tcPr>
          <w:p w:rsidRPr="00F84F19" w:rsidR="00F84F19" w:rsidP="3A5FC3B6" w:rsidRDefault="00F84F19" w14:paraId="0BCAB839" w14:textId="77777777" w14:noSpellErr="1">
            <w:pPr>
              <w:spacing w:after="0" w:line="240" w:lineRule="auto"/>
              <w:jc w:val="center"/>
              <w:rPr>
                <w:rFonts w:eastAsia="Times New Roman" w:cs="Calibri" w:cstheme="minorAscii"/>
                <w:color w:val="auto"/>
                <w:sz w:val="11"/>
                <w:szCs w:val="11"/>
                <w:lang w:eastAsia="en-GB"/>
              </w:rPr>
            </w:pPr>
            <w:r w:rsidRPr="3A5FC3B6" w:rsidR="3A5FC3B6">
              <w:rPr>
                <w:rFonts w:eastAsia="Times New Roman" w:cs="Calibri" w:cstheme="minorAscii"/>
                <w:color w:val="auto"/>
                <w:sz w:val="11"/>
                <w:szCs w:val="11"/>
                <w:lang w:eastAsia="en-GB"/>
              </w:rPr>
              <w:t>ERAS 0% (0/49)</w:t>
            </w:r>
            <w:r>
              <w:br/>
            </w:r>
            <w:r w:rsidRPr="3A5FC3B6" w:rsidR="3A5FC3B6">
              <w:rPr>
                <w:rFonts w:eastAsia="Times New Roman" w:cs="Calibri" w:cstheme="minorAscii"/>
                <w:color w:val="auto"/>
                <w:sz w:val="11"/>
                <w:szCs w:val="11"/>
                <w:lang w:eastAsia="en-GB"/>
              </w:rPr>
              <w:t>Standard 0% (0/50)</w:t>
            </w:r>
          </w:p>
        </w:tc>
        <w:tc>
          <w:tcPr>
            <w:tcW w:w="369" w:type="pct"/>
            <w:tcBorders>
              <w:top w:val="nil"/>
              <w:left w:val="nil"/>
              <w:bottom w:val="single" w:color="000000" w:themeColor="text1" w:sz="4" w:space="0"/>
              <w:right w:val="single" w:color="000000" w:themeColor="text1" w:sz="4" w:space="0"/>
            </w:tcBorders>
            <w:shd w:val="clear" w:color="auto" w:fill="FFFFFF" w:themeFill="background1"/>
            <w:tcMar/>
            <w:vAlign w:val="center"/>
            <w:hideMark/>
          </w:tcPr>
          <w:p w:rsidRPr="00F84F19" w:rsidR="00F84F19" w:rsidP="3A5FC3B6" w:rsidRDefault="00F84F19" w14:paraId="7B0A246A" w14:textId="77777777" w14:noSpellErr="1">
            <w:pPr>
              <w:spacing w:after="0" w:line="240" w:lineRule="auto"/>
              <w:jc w:val="center"/>
              <w:rPr>
                <w:rFonts w:eastAsia="Times New Roman" w:cs="Calibri" w:cstheme="minorAscii"/>
                <w:color w:val="auto"/>
                <w:sz w:val="11"/>
                <w:szCs w:val="11"/>
                <w:lang w:eastAsia="en-GB"/>
              </w:rPr>
            </w:pPr>
            <w:r w:rsidRPr="3A5FC3B6" w:rsidR="3A5FC3B6">
              <w:rPr>
                <w:rFonts w:eastAsia="Times New Roman" w:cs="Calibri" w:cstheme="minorAscii"/>
                <w:color w:val="auto"/>
                <w:sz w:val="11"/>
                <w:szCs w:val="11"/>
                <w:lang w:eastAsia="en-GB"/>
              </w:rPr>
              <w:t>/</w:t>
            </w:r>
          </w:p>
        </w:tc>
        <w:tc>
          <w:tcPr>
            <w:tcW w:w="369" w:type="pct"/>
            <w:tcBorders>
              <w:top w:val="nil"/>
              <w:left w:val="nil"/>
              <w:bottom w:val="single" w:color="000000" w:themeColor="text1" w:sz="4" w:space="0"/>
              <w:right w:val="single" w:color="000000" w:themeColor="text1" w:sz="4" w:space="0"/>
            </w:tcBorders>
            <w:shd w:val="clear" w:color="auto" w:fill="FFFFFF" w:themeFill="background1"/>
            <w:tcMar/>
            <w:vAlign w:val="center"/>
            <w:hideMark/>
          </w:tcPr>
          <w:p w:rsidRPr="00F84F19" w:rsidR="00F84F19" w:rsidP="3A5FC3B6" w:rsidRDefault="00F84F19" w14:paraId="4F24022C" w14:textId="77777777" w14:noSpellErr="1">
            <w:pPr>
              <w:spacing w:after="0" w:line="240" w:lineRule="auto"/>
              <w:jc w:val="center"/>
              <w:rPr>
                <w:rFonts w:eastAsia="Times New Roman" w:cs="Calibri" w:cstheme="minorAscii"/>
                <w:color w:val="auto"/>
                <w:sz w:val="11"/>
                <w:szCs w:val="11"/>
                <w:lang w:eastAsia="en-GB"/>
              </w:rPr>
            </w:pPr>
            <w:r w:rsidRPr="3A5FC3B6" w:rsidR="3A5FC3B6">
              <w:rPr>
                <w:rFonts w:eastAsia="Times New Roman" w:cs="Calibri" w:cstheme="minorAscii"/>
                <w:color w:val="auto"/>
                <w:sz w:val="11"/>
                <w:szCs w:val="11"/>
                <w:lang w:eastAsia="en-GB"/>
              </w:rPr>
              <w:t>/</w:t>
            </w:r>
          </w:p>
        </w:tc>
      </w:tr>
      <w:tr w:rsidRPr="00192449" w:rsidR="00192449" w:rsidTr="3A5FC3B6" w14:paraId="307C07E1" w14:textId="77777777">
        <w:trPr>
          <w:trHeight w:val="580"/>
        </w:trPr>
        <w:tc>
          <w:tcPr>
            <w:tcW w:w="551" w:type="pct"/>
            <w:tcBorders>
              <w:top w:val="nil"/>
              <w:left w:val="single" w:color="auto" w:sz="4" w:space="0"/>
              <w:bottom w:val="single" w:color="auto" w:sz="4" w:space="0"/>
              <w:right w:val="nil"/>
            </w:tcBorders>
            <w:shd w:val="clear" w:color="auto" w:fill="auto"/>
            <w:tcMar/>
            <w:vAlign w:val="center"/>
            <w:hideMark/>
          </w:tcPr>
          <w:p w:rsidRPr="00F84F19" w:rsidR="00F84F19" w:rsidP="3A5FC3B6" w:rsidRDefault="00F84F19" w14:paraId="0E14E90C" w14:textId="77777777">
            <w:pPr>
              <w:spacing w:after="0" w:line="240" w:lineRule="auto"/>
              <w:jc w:val="center"/>
              <w:rPr>
                <w:rFonts w:eastAsia="Times New Roman" w:cs="Calibri" w:cstheme="minorAscii"/>
                <w:b w:val="1"/>
                <w:bCs w:val="1"/>
                <w:color w:val="auto"/>
                <w:sz w:val="11"/>
                <w:szCs w:val="11"/>
                <w:lang w:eastAsia="en-GB"/>
              </w:rPr>
            </w:pPr>
            <w:r w:rsidRPr="3A5FC3B6" w:rsidR="3A5FC3B6">
              <w:rPr>
                <w:rFonts w:eastAsia="Times New Roman" w:cs="Calibri" w:cstheme="minorAscii"/>
                <w:b w:val="1"/>
                <w:bCs w:val="1"/>
                <w:color w:val="auto"/>
                <w:sz w:val="11"/>
                <w:szCs w:val="11"/>
                <w:lang w:eastAsia="en-GB"/>
              </w:rPr>
              <w:t>Muehling</w:t>
            </w:r>
            <w:r w:rsidRPr="3A5FC3B6" w:rsidR="3A5FC3B6">
              <w:rPr>
                <w:rFonts w:eastAsia="Times New Roman" w:cs="Calibri" w:cstheme="minorAscii"/>
                <w:b w:val="1"/>
                <w:bCs w:val="1"/>
                <w:color w:val="auto"/>
                <w:sz w:val="11"/>
                <w:szCs w:val="11"/>
                <w:lang w:eastAsia="en-GB"/>
              </w:rPr>
              <w:t xml:space="preserve"> 2011</w:t>
            </w:r>
          </w:p>
        </w:tc>
        <w:tc>
          <w:tcPr>
            <w:tcW w:w="430" w:type="pct"/>
            <w:tcBorders>
              <w:top w:val="nil"/>
              <w:left w:val="single" w:color="000000" w:themeColor="text1" w:sz="4" w:space="0"/>
              <w:bottom w:val="single" w:color="000000" w:themeColor="text1" w:sz="4" w:space="0"/>
              <w:right w:val="single" w:color="000000" w:themeColor="text1" w:sz="4" w:space="0"/>
            </w:tcBorders>
            <w:shd w:val="clear" w:color="auto" w:fill="FFFFFF" w:themeFill="background1"/>
            <w:tcMar/>
            <w:vAlign w:val="center"/>
            <w:hideMark/>
          </w:tcPr>
          <w:p w:rsidRPr="00F84F19" w:rsidR="00F84F19" w:rsidP="3A5FC3B6" w:rsidRDefault="00F84F19" w14:paraId="533D2C2D" w14:textId="77777777" w14:noSpellErr="1">
            <w:pPr>
              <w:spacing w:after="0" w:line="240" w:lineRule="auto"/>
              <w:jc w:val="center"/>
              <w:rPr>
                <w:rFonts w:eastAsia="Times New Roman" w:cs="Calibri" w:cstheme="minorAscii"/>
                <w:color w:val="auto"/>
                <w:sz w:val="11"/>
                <w:szCs w:val="11"/>
                <w:lang w:eastAsia="en-GB"/>
              </w:rPr>
            </w:pPr>
            <w:r w:rsidRPr="3A5FC3B6" w:rsidR="3A5FC3B6">
              <w:rPr>
                <w:rFonts w:eastAsia="Times New Roman" w:cs="Calibri" w:cstheme="minorAscii"/>
                <w:color w:val="auto"/>
                <w:sz w:val="11"/>
                <w:szCs w:val="11"/>
                <w:lang w:eastAsia="en-GB"/>
              </w:rPr>
              <w:t>ERAS 6.1% (3/49)</w:t>
            </w:r>
            <w:r>
              <w:br/>
            </w:r>
            <w:r w:rsidRPr="3A5FC3B6" w:rsidR="3A5FC3B6">
              <w:rPr>
                <w:rFonts w:eastAsia="Times New Roman" w:cs="Calibri" w:cstheme="minorAscii"/>
                <w:color w:val="auto"/>
                <w:sz w:val="11"/>
                <w:szCs w:val="11"/>
                <w:lang w:eastAsia="en-GB"/>
              </w:rPr>
              <w:t>Standard 34% (17/50)</w:t>
            </w:r>
          </w:p>
        </w:tc>
        <w:tc>
          <w:tcPr>
            <w:tcW w:w="488" w:type="pct"/>
            <w:tcBorders>
              <w:top w:val="nil"/>
              <w:left w:val="nil"/>
              <w:bottom w:val="single" w:color="000000" w:themeColor="text1" w:sz="4" w:space="0"/>
              <w:right w:val="single" w:color="000000" w:themeColor="text1" w:sz="4" w:space="0"/>
            </w:tcBorders>
            <w:shd w:val="clear" w:color="auto" w:fill="FFFFFF" w:themeFill="background1"/>
            <w:tcMar/>
            <w:vAlign w:val="center"/>
            <w:hideMark/>
          </w:tcPr>
          <w:p w:rsidRPr="00F84F19" w:rsidR="00F84F19" w:rsidP="3A5FC3B6" w:rsidRDefault="00F84F19" w14:paraId="6CD4AABD" w14:textId="77777777" w14:noSpellErr="1">
            <w:pPr>
              <w:spacing w:after="0" w:line="240" w:lineRule="auto"/>
              <w:jc w:val="center"/>
              <w:rPr>
                <w:rFonts w:eastAsia="Times New Roman" w:cs="Calibri" w:cstheme="minorAscii"/>
                <w:color w:val="auto"/>
                <w:sz w:val="11"/>
                <w:szCs w:val="11"/>
                <w:lang w:eastAsia="en-GB"/>
              </w:rPr>
            </w:pPr>
            <w:r w:rsidRPr="3A5FC3B6" w:rsidR="3A5FC3B6">
              <w:rPr>
                <w:rFonts w:eastAsia="Times New Roman" w:cs="Calibri" w:cstheme="minorAscii"/>
                <w:color w:val="auto"/>
                <w:sz w:val="11"/>
                <w:szCs w:val="11"/>
                <w:lang w:eastAsia="en-GB"/>
              </w:rPr>
              <w:t>ERAS 6.1% (3/49)</w:t>
            </w:r>
            <w:r>
              <w:br/>
            </w:r>
            <w:r w:rsidRPr="3A5FC3B6" w:rsidR="3A5FC3B6">
              <w:rPr>
                <w:rFonts w:eastAsia="Times New Roman" w:cs="Calibri" w:cstheme="minorAscii"/>
                <w:color w:val="auto"/>
                <w:sz w:val="11"/>
                <w:szCs w:val="11"/>
                <w:lang w:eastAsia="en-GB"/>
              </w:rPr>
              <w:t>Standard 8% (4/50)</w:t>
            </w:r>
          </w:p>
        </w:tc>
        <w:tc>
          <w:tcPr>
            <w:tcW w:w="443" w:type="pct"/>
            <w:tcBorders>
              <w:top w:val="nil"/>
              <w:left w:val="nil"/>
              <w:bottom w:val="single" w:color="auto" w:sz="4" w:space="0"/>
              <w:right w:val="single" w:color="auto" w:sz="4" w:space="0"/>
            </w:tcBorders>
            <w:shd w:val="clear" w:color="auto" w:fill="auto"/>
            <w:tcMar/>
            <w:vAlign w:val="center"/>
            <w:hideMark/>
          </w:tcPr>
          <w:p w:rsidRPr="00F84F19" w:rsidR="00F84F19" w:rsidP="3A5FC3B6" w:rsidRDefault="00F84F19" w14:paraId="35A7002F" w14:textId="77777777" w14:noSpellErr="1">
            <w:pPr>
              <w:spacing w:after="0" w:line="240" w:lineRule="auto"/>
              <w:jc w:val="center"/>
              <w:rPr>
                <w:rFonts w:eastAsia="Times New Roman" w:cs="Calibri" w:cstheme="minorAscii"/>
                <w:color w:val="auto"/>
                <w:sz w:val="11"/>
                <w:szCs w:val="11"/>
                <w:lang w:eastAsia="en-GB"/>
              </w:rPr>
            </w:pPr>
            <w:r w:rsidRPr="3A5FC3B6" w:rsidR="3A5FC3B6">
              <w:rPr>
                <w:rFonts w:eastAsia="Times New Roman" w:cs="Calibri" w:cstheme="minorAscii"/>
                <w:color w:val="auto"/>
                <w:sz w:val="11"/>
                <w:szCs w:val="11"/>
                <w:lang w:eastAsia="en-GB"/>
              </w:rPr>
              <w:t>ERAS 0% (0/49)</w:t>
            </w:r>
            <w:r>
              <w:br/>
            </w:r>
            <w:r w:rsidRPr="3A5FC3B6" w:rsidR="3A5FC3B6">
              <w:rPr>
                <w:rFonts w:eastAsia="Times New Roman" w:cs="Calibri" w:cstheme="minorAscii"/>
                <w:color w:val="auto"/>
                <w:sz w:val="11"/>
                <w:szCs w:val="11"/>
                <w:lang w:eastAsia="en-GB"/>
              </w:rPr>
              <w:t>Standard 0% (0/50)</w:t>
            </w:r>
          </w:p>
        </w:tc>
        <w:tc>
          <w:tcPr>
            <w:tcW w:w="369" w:type="pct"/>
            <w:tcBorders>
              <w:top w:val="nil"/>
              <w:left w:val="nil"/>
              <w:bottom w:val="single" w:color="auto" w:sz="4" w:space="0"/>
              <w:right w:val="single" w:color="auto" w:sz="4" w:space="0"/>
            </w:tcBorders>
            <w:shd w:val="clear" w:color="auto" w:fill="auto"/>
            <w:tcMar/>
            <w:vAlign w:val="center"/>
            <w:hideMark/>
          </w:tcPr>
          <w:p w:rsidRPr="00F84F19" w:rsidR="00F84F19" w:rsidP="3A5FC3B6" w:rsidRDefault="00F84F19" w14:paraId="62BED7B9" w14:textId="77777777" w14:noSpellErr="1">
            <w:pPr>
              <w:spacing w:after="0" w:line="240" w:lineRule="auto"/>
              <w:jc w:val="center"/>
              <w:rPr>
                <w:rFonts w:eastAsia="Times New Roman" w:cs="Calibri" w:cstheme="minorAscii"/>
                <w:color w:val="auto"/>
                <w:sz w:val="11"/>
                <w:szCs w:val="11"/>
                <w:lang w:eastAsia="en-GB"/>
              </w:rPr>
            </w:pPr>
            <w:r w:rsidRPr="3A5FC3B6" w:rsidR="3A5FC3B6">
              <w:rPr>
                <w:rFonts w:eastAsia="Times New Roman" w:cs="Calibri" w:cstheme="minorAscii"/>
                <w:color w:val="auto"/>
                <w:sz w:val="11"/>
                <w:szCs w:val="11"/>
                <w:lang w:eastAsia="en-GB"/>
              </w:rPr>
              <w:t>ERAS 6.1% (3/49)</w:t>
            </w:r>
            <w:r>
              <w:br/>
            </w:r>
            <w:r w:rsidRPr="3A5FC3B6" w:rsidR="3A5FC3B6">
              <w:rPr>
                <w:rFonts w:eastAsia="Times New Roman" w:cs="Calibri" w:cstheme="minorAscii"/>
                <w:color w:val="auto"/>
                <w:sz w:val="11"/>
                <w:szCs w:val="11"/>
                <w:lang w:eastAsia="en-GB"/>
              </w:rPr>
              <w:t>Standard 8% (4/50)</w:t>
            </w:r>
          </w:p>
        </w:tc>
        <w:tc>
          <w:tcPr>
            <w:tcW w:w="585" w:type="pct"/>
            <w:tcBorders>
              <w:top w:val="nil"/>
              <w:left w:val="nil"/>
              <w:bottom w:val="single" w:color="auto" w:sz="4" w:space="0"/>
              <w:right w:val="single" w:color="auto" w:sz="4" w:space="0"/>
            </w:tcBorders>
            <w:shd w:val="clear" w:color="auto" w:fill="auto"/>
            <w:tcMar/>
            <w:vAlign w:val="center"/>
            <w:hideMark/>
          </w:tcPr>
          <w:p w:rsidRPr="00F84F19" w:rsidR="00F84F19" w:rsidP="3A5FC3B6" w:rsidRDefault="00F84F19" w14:paraId="4E66CD71" w14:textId="77777777" w14:noSpellErr="1">
            <w:pPr>
              <w:spacing w:after="0" w:line="240" w:lineRule="auto"/>
              <w:jc w:val="center"/>
              <w:rPr>
                <w:rFonts w:eastAsia="Times New Roman" w:cs="Calibri" w:cstheme="minorAscii"/>
                <w:color w:val="auto"/>
                <w:sz w:val="11"/>
                <w:szCs w:val="11"/>
                <w:lang w:eastAsia="en-GB"/>
              </w:rPr>
            </w:pPr>
            <w:r w:rsidRPr="3A5FC3B6" w:rsidR="3A5FC3B6">
              <w:rPr>
                <w:rFonts w:eastAsia="Times New Roman" w:cs="Calibri" w:cstheme="minorAscii"/>
                <w:color w:val="auto"/>
                <w:sz w:val="11"/>
                <w:szCs w:val="11"/>
                <w:lang w:eastAsia="en-GB"/>
              </w:rPr>
              <w:t>ERAS 6.1% (3/49)</w:t>
            </w:r>
            <w:r>
              <w:br/>
            </w:r>
            <w:r w:rsidRPr="3A5FC3B6" w:rsidR="3A5FC3B6">
              <w:rPr>
                <w:rFonts w:eastAsia="Times New Roman" w:cs="Calibri" w:cstheme="minorAscii"/>
                <w:color w:val="auto"/>
                <w:sz w:val="11"/>
                <w:szCs w:val="11"/>
                <w:lang w:eastAsia="en-GB"/>
              </w:rPr>
              <w:t>Standard 18% (9/50)</w:t>
            </w:r>
          </w:p>
        </w:tc>
        <w:tc>
          <w:tcPr>
            <w:tcW w:w="495" w:type="pct"/>
            <w:tcBorders>
              <w:top w:val="nil"/>
              <w:left w:val="nil"/>
              <w:bottom w:val="single" w:color="auto" w:sz="4" w:space="0"/>
              <w:right w:val="single" w:color="auto" w:sz="4" w:space="0"/>
            </w:tcBorders>
            <w:shd w:val="clear" w:color="auto" w:fill="auto"/>
            <w:tcMar/>
            <w:vAlign w:val="center"/>
            <w:hideMark/>
          </w:tcPr>
          <w:p w:rsidRPr="00F84F19" w:rsidR="00F84F19" w:rsidP="3A5FC3B6" w:rsidRDefault="00F84F19" w14:paraId="58E43DD8" w14:textId="77777777" w14:noSpellErr="1">
            <w:pPr>
              <w:spacing w:after="0" w:line="240" w:lineRule="auto"/>
              <w:jc w:val="center"/>
              <w:rPr>
                <w:rFonts w:eastAsia="Times New Roman" w:cs="Calibri" w:cstheme="minorAscii"/>
                <w:color w:val="auto"/>
                <w:sz w:val="11"/>
                <w:szCs w:val="11"/>
                <w:lang w:eastAsia="en-GB"/>
              </w:rPr>
            </w:pPr>
            <w:r w:rsidRPr="3A5FC3B6" w:rsidR="3A5FC3B6">
              <w:rPr>
                <w:rFonts w:eastAsia="Times New Roman" w:cs="Calibri" w:cstheme="minorAscii"/>
                <w:color w:val="auto"/>
                <w:sz w:val="11"/>
                <w:szCs w:val="11"/>
                <w:lang w:eastAsia="en-GB"/>
              </w:rPr>
              <w:t>/</w:t>
            </w:r>
          </w:p>
        </w:tc>
        <w:tc>
          <w:tcPr>
            <w:tcW w:w="432" w:type="pct"/>
            <w:tcBorders>
              <w:top w:val="nil"/>
              <w:left w:val="nil"/>
              <w:bottom w:val="single" w:color="auto" w:sz="4" w:space="0"/>
              <w:right w:val="nil"/>
            </w:tcBorders>
            <w:shd w:val="clear" w:color="auto" w:fill="auto"/>
            <w:tcMar/>
            <w:vAlign w:val="center"/>
            <w:hideMark/>
          </w:tcPr>
          <w:p w:rsidRPr="00F84F19" w:rsidR="00F84F19" w:rsidP="3A5FC3B6" w:rsidRDefault="00F84F19" w14:paraId="4725607C" w14:textId="77777777" w14:noSpellErr="1">
            <w:pPr>
              <w:spacing w:after="0" w:line="240" w:lineRule="auto"/>
              <w:jc w:val="center"/>
              <w:rPr>
                <w:rFonts w:eastAsia="Times New Roman" w:cs="Calibri" w:cstheme="minorAscii"/>
                <w:color w:val="auto"/>
                <w:sz w:val="11"/>
                <w:szCs w:val="11"/>
                <w:lang w:eastAsia="en-GB"/>
              </w:rPr>
            </w:pPr>
            <w:r w:rsidRPr="3A5FC3B6" w:rsidR="3A5FC3B6">
              <w:rPr>
                <w:rFonts w:eastAsia="Times New Roman" w:cs="Calibri" w:cstheme="minorAscii"/>
                <w:color w:val="auto"/>
                <w:sz w:val="11"/>
                <w:szCs w:val="11"/>
                <w:lang w:eastAsia="en-GB"/>
              </w:rPr>
              <w:t>/</w:t>
            </w:r>
          </w:p>
        </w:tc>
        <w:tc>
          <w:tcPr>
            <w:tcW w:w="469" w:type="pct"/>
            <w:tcBorders>
              <w:top w:val="nil"/>
              <w:left w:val="single" w:color="auto" w:sz="4" w:space="0"/>
              <w:bottom w:val="single" w:color="auto" w:sz="4" w:space="0"/>
              <w:right w:val="nil"/>
            </w:tcBorders>
            <w:shd w:val="clear" w:color="auto" w:fill="auto"/>
            <w:tcMar/>
            <w:vAlign w:val="center"/>
            <w:hideMark/>
          </w:tcPr>
          <w:p w:rsidRPr="00F84F19" w:rsidR="00F84F19" w:rsidP="3A5FC3B6" w:rsidRDefault="00F84F19" w14:paraId="7FF346CA" w14:textId="77777777" w14:noSpellErr="1">
            <w:pPr>
              <w:spacing w:after="0" w:line="240" w:lineRule="auto"/>
              <w:jc w:val="center"/>
              <w:rPr>
                <w:rFonts w:eastAsia="Times New Roman" w:cs="Calibri" w:cstheme="minorAscii"/>
                <w:color w:val="auto"/>
                <w:sz w:val="11"/>
                <w:szCs w:val="11"/>
                <w:lang w:eastAsia="en-GB"/>
              </w:rPr>
            </w:pPr>
            <w:r w:rsidRPr="3A5FC3B6" w:rsidR="3A5FC3B6">
              <w:rPr>
                <w:rFonts w:eastAsia="Times New Roman" w:cs="Calibri" w:cstheme="minorAscii"/>
                <w:color w:val="auto"/>
                <w:sz w:val="11"/>
                <w:szCs w:val="11"/>
                <w:lang w:eastAsia="en-GB"/>
              </w:rPr>
              <w:t>ERAS 0% (0/49)</w:t>
            </w:r>
            <w:r>
              <w:br/>
            </w:r>
            <w:r w:rsidRPr="3A5FC3B6" w:rsidR="3A5FC3B6">
              <w:rPr>
                <w:rFonts w:eastAsia="Times New Roman" w:cs="Calibri" w:cstheme="minorAscii"/>
                <w:color w:val="auto"/>
                <w:sz w:val="11"/>
                <w:szCs w:val="11"/>
                <w:lang w:eastAsia="en-GB"/>
              </w:rPr>
              <w:t>Standard 0% (0/50)</w:t>
            </w:r>
          </w:p>
        </w:tc>
        <w:tc>
          <w:tcPr>
            <w:tcW w:w="369" w:type="pct"/>
            <w:tcBorders>
              <w:top w:val="nil"/>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F84F19" w:rsidR="00F84F19" w:rsidP="3A5FC3B6" w:rsidRDefault="00F84F19" w14:paraId="32EFBA1B" w14:textId="77777777" w14:noSpellErr="1">
            <w:pPr>
              <w:spacing w:after="0" w:line="240" w:lineRule="auto"/>
              <w:jc w:val="center"/>
              <w:rPr>
                <w:rFonts w:eastAsia="Times New Roman" w:cs="Calibri" w:cstheme="minorAscii"/>
                <w:color w:val="auto"/>
                <w:sz w:val="11"/>
                <w:szCs w:val="11"/>
                <w:lang w:eastAsia="en-GB"/>
              </w:rPr>
            </w:pPr>
            <w:r w:rsidRPr="3A5FC3B6" w:rsidR="3A5FC3B6">
              <w:rPr>
                <w:rFonts w:eastAsia="Times New Roman" w:cs="Calibri" w:cstheme="minorAscii"/>
                <w:color w:val="auto"/>
                <w:sz w:val="11"/>
                <w:szCs w:val="11"/>
                <w:lang w:eastAsia="en-GB"/>
              </w:rPr>
              <w:t>/</w:t>
            </w:r>
          </w:p>
        </w:tc>
        <w:tc>
          <w:tcPr>
            <w:tcW w:w="369" w:type="pct"/>
            <w:tcBorders>
              <w:top w:val="nil"/>
              <w:left w:val="nil"/>
              <w:bottom w:val="single" w:color="000000" w:themeColor="text1" w:sz="4" w:space="0"/>
              <w:right w:val="single" w:color="000000" w:themeColor="text1" w:sz="4" w:space="0"/>
            </w:tcBorders>
            <w:shd w:val="clear" w:color="auto" w:fill="auto"/>
            <w:tcMar/>
            <w:vAlign w:val="center"/>
            <w:hideMark/>
          </w:tcPr>
          <w:p w:rsidRPr="00F84F19" w:rsidR="00F84F19" w:rsidP="3A5FC3B6" w:rsidRDefault="00F84F19" w14:paraId="31C36810" w14:textId="77777777" w14:noSpellErr="1">
            <w:pPr>
              <w:spacing w:after="0" w:line="240" w:lineRule="auto"/>
              <w:jc w:val="center"/>
              <w:rPr>
                <w:rFonts w:eastAsia="Times New Roman" w:cs="Calibri" w:cstheme="minorAscii"/>
                <w:color w:val="auto"/>
                <w:sz w:val="11"/>
                <w:szCs w:val="11"/>
                <w:lang w:eastAsia="en-GB"/>
              </w:rPr>
            </w:pPr>
            <w:r w:rsidRPr="3A5FC3B6" w:rsidR="3A5FC3B6">
              <w:rPr>
                <w:rFonts w:eastAsia="Times New Roman" w:cs="Calibri" w:cstheme="minorAscii"/>
                <w:color w:val="auto"/>
                <w:sz w:val="11"/>
                <w:szCs w:val="11"/>
                <w:lang w:eastAsia="en-GB"/>
              </w:rPr>
              <w:t>/</w:t>
            </w:r>
          </w:p>
        </w:tc>
      </w:tr>
      <w:tr w:rsidRPr="00192449" w:rsidR="00192449" w:rsidTr="3A5FC3B6" w14:paraId="68359770" w14:textId="77777777">
        <w:trPr>
          <w:trHeight w:val="580"/>
        </w:trPr>
        <w:tc>
          <w:tcPr>
            <w:tcW w:w="551" w:type="pct"/>
            <w:tcBorders>
              <w:top w:val="nil"/>
              <w:left w:val="single" w:color="auto" w:sz="4" w:space="0"/>
              <w:bottom w:val="single" w:color="auto" w:sz="4" w:space="0"/>
              <w:right w:val="single" w:color="auto" w:sz="4" w:space="0"/>
            </w:tcBorders>
            <w:shd w:val="clear" w:color="auto" w:fill="auto"/>
            <w:tcMar/>
            <w:vAlign w:val="center"/>
            <w:hideMark/>
          </w:tcPr>
          <w:p w:rsidRPr="00F84F19" w:rsidR="00F84F19" w:rsidP="3A5FC3B6" w:rsidRDefault="00F84F19" w14:paraId="214702F4" w14:textId="77777777" w14:noSpellErr="1">
            <w:pPr>
              <w:spacing w:after="0" w:line="240" w:lineRule="auto"/>
              <w:jc w:val="center"/>
              <w:rPr>
                <w:rFonts w:eastAsia="Times New Roman" w:cs="Calibri" w:cstheme="minorAscii"/>
                <w:b w:val="1"/>
                <w:bCs w:val="1"/>
                <w:color w:val="auto"/>
                <w:sz w:val="11"/>
                <w:szCs w:val="11"/>
                <w:lang w:eastAsia="en-GB"/>
              </w:rPr>
            </w:pPr>
            <w:r w:rsidRPr="3A5FC3B6" w:rsidR="3A5FC3B6">
              <w:rPr>
                <w:rFonts w:eastAsia="Times New Roman" w:cs="Calibri" w:cstheme="minorAscii"/>
                <w:b w:val="1"/>
                <w:bCs w:val="1"/>
                <w:color w:val="auto"/>
                <w:sz w:val="11"/>
                <w:szCs w:val="11"/>
                <w:lang w:eastAsia="en-GB"/>
              </w:rPr>
              <w:t>Murphy </w:t>
            </w:r>
          </w:p>
        </w:tc>
        <w:tc>
          <w:tcPr>
            <w:tcW w:w="430" w:type="pct"/>
            <w:tcBorders>
              <w:top w:val="nil"/>
              <w:left w:val="nil"/>
              <w:bottom w:val="single" w:color="auto" w:sz="4" w:space="0"/>
              <w:right w:val="single" w:color="auto" w:sz="4" w:space="0"/>
            </w:tcBorders>
            <w:shd w:val="clear" w:color="auto" w:fill="auto"/>
            <w:tcMar/>
            <w:vAlign w:val="center"/>
            <w:hideMark/>
          </w:tcPr>
          <w:p w:rsidRPr="00F84F19" w:rsidR="00F84F19" w:rsidP="3A5FC3B6" w:rsidRDefault="00F84F19" w14:paraId="3C4917AB" w14:textId="77777777" w14:noSpellErr="1">
            <w:pPr>
              <w:spacing w:after="0" w:line="240" w:lineRule="auto"/>
              <w:jc w:val="center"/>
              <w:rPr>
                <w:rFonts w:eastAsia="Times New Roman" w:cs="Calibri" w:cstheme="minorAscii"/>
                <w:color w:val="auto"/>
                <w:sz w:val="11"/>
                <w:szCs w:val="11"/>
                <w:lang w:eastAsia="en-GB"/>
              </w:rPr>
            </w:pPr>
            <w:r w:rsidRPr="3A5FC3B6" w:rsidR="3A5FC3B6">
              <w:rPr>
                <w:rFonts w:eastAsia="Times New Roman" w:cs="Calibri" w:cstheme="minorAscii"/>
                <w:color w:val="auto"/>
                <w:sz w:val="11"/>
                <w:szCs w:val="11"/>
                <w:lang w:eastAsia="en-GB"/>
              </w:rPr>
              <w:t>/</w:t>
            </w:r>
          </w:p>
        </w:tc>
        <w:tc>
          <w:tcPr>
            <w:tcW w:w="488" w:type="pct"/>
            <w:tcBorders>
              <w:top w:val="nil"/>
              <w:left w:val="nil"/>
              <w:bottom w:val="single" w:color="auto" w:sz="4" w:space="0"/>
              <w:right w:val="single" w:color="auto" w:sz="4" w:space="0"/>
            </w:tcBorders>
            <w:shd w:val="clear" w:color="auto" w:fill="auto"/>
            <w:tcMar/>
            <w:vAlign w:val="center"/>
            <w:hideMark/>
          </w:tcPr>
          <w:p w:rsidRPr="00F84F19" w:rsidR="00F84F19" w:rsidP="3A5FC3B6" w:rsidRDefault="00F84F19" w14:paraId="5B1DCA78" w14:textId="2C6E5E28" w14:noSpellErr="1">
            <w:pPr>
              <w:spacing w:after="0" w:line="240" w:lineRule="auto"/>
              <w:jc w:val="center"/>
              <w:rPr>
                <w:rFonts w:eastAsia="Times New Roman" w:cs="Calibri" w:cstheme="minorAscii"/>
                <w:color w:val="auto"/>
                <w:sz w:val="11"/>
                <w:szCs w:val="11"/>
                <w:lang w:eastAsia="en-GB"/>
              </w:rPr>
            </w:pPr>
            <w:r w:rsidRPr="3A5FC3B6" w:rsidR="3A5FC3B6">
              <w:rPr>
                <w:rFonts w:eastAsia="Times New Roman" w:cs="Calibri" w:cstheme="minorAscii"/>
                <w:color w:val="auto"/>
                <w:sz w:val="11"/>
                <w:szCs w:val="11"/>
                <w:lang w:eastAsia="en-GB"/>
              </w:rPr>
              <w:t>ERAS 13.3 % (4/30)</w:t>
            </w:r>
          </w:p>
        </w:tc>
        <w:tc>
          <w:tcPr>
            <w:tcW w:w="443" w:type="pct"/>
            <w:tcBorders>
              <w:top w:val="nil"/>
              <w:left w:val="nil"/>
              <w:bottom w:val="single" w:color="auto" w:sz="4" w:space="0"/>
              <w:right w:val="single" w:color="auto" w:sz="4" w:space="0"/>
            </w:tcBorders>
            <w:shd w:val="clear" w:color="auto" w:fill="auto"/>
            <w:tcMar/>
            <w:vAlign w:val="center"/>
            <w:hideMark/>
          </w:tcPr>
          <w:p w:rsidRPr="00F84F19" w:rsidR="00F84F19" w:rsidP="3A5FC3B6" w:rsidRDefault="00F84F19" w14:paraId="20ED4526" w14:textId="77777777" w14:noSpellErr="1">
            <w:pPr>
              <w:spacing w:after="0" w:line="240" w:lineRule="auto"/>
              <w:jc w:val="center"/>
              <w:rPr>
                <w:rFonts w:eastAsia="Times New Roman" w:cs="Calibri" w:cstheme="minorAscii"/>
                <w:color w:val="auto"/>
                <w:sz w:val="11"/>
                <w:szCs w:val="11"/>
                <w:lang w:eastAsia="en-GB"/>
              </w:rPr>
            </w:pPr>
            <w:r w:rsidRPr="3A5FC3B6" w:rsidR="3A5FC3B6">
              <w:rPr>
                <w:rFonts w:eastAsia="Times New Roman" w:cs="Calibri" w:cstheme="minorAscii"/>
                <w:color w:val="auto"/>
                <w:sz w:val="11"/>
                <w:szCs w:val="11"/>
                <w:lang w:eastAsia="en-GB"/>
              </w:rPr>
              <w:t>/</w:t>
            </w:r>
          </w:p>
        </w:tc>
        <w:tc>
          <w:tcPr>
            <w:tcW w:w="369" w:type="pct"/>
            <w:tcBorders>
              <w:top w:val="nil"/>
              <w:left w:val="nil"/>
              <w:bottom w:val="single" w:color="auto" w:sz="4" w:space="0"/>
              <w:right w:val="single" w:color="auto" w:sz="4" w:space="0"/>
            </w:tcBorders>
            <w:shd w:val="clear" w:color="auto" w:fill="auto"/>
            <w:tcMar/>
            <w:vAlign w:val="center"/>
            <w:hideMark/>
          </w:tcPr>
          <w:p w:rsidRPr="00F84F19" w:rsidR="00F84F19" w:rsidP="3A5FC3B6" w:rsidRDefault="00F84F19" w14:paraId="49827754" w14:textId="3A88883D" w14:noSpellErr="1">
            <w:pPr>
              <w:spacing w:after="0" w:line="240" w:lineRule="auto"/>
              <w:jc w:val="center"/>
              <w:rPr>
                <w:rFonts w:eastAsia="Times New Roman" w:cs="Calibri" w:cstheme="minorAscii"/>
                <w:color w:val="auto"/>
                <w:sz w:val="11"/>
                <w:szCs w:val="11"/>
                <w:lang w:eastAsia="en-GB"/>
              </w:rPr>
            </w:pPr>
            <w:r w:rsidRPr="3A5FC3B6" w:rsidR="3A5FC3B6">
              <w:rPr>
                <w:rFonts w:eastAsia="Times New Roman" w:cs="Calibri" w:cstheme="minorAscii"/>
                <w:color w:val="auto"/>
                <w:sz w:val="11"/>
                <w:szCs w:val="11"/>
                <w:lang w:eastAsia="en-GB"/>
              </w:rPr>
              <w:t> </w:t>
            </w:r>
            <w:r w:rsidRPr="3A5FC3B6" w:rsidR="3A5FC3B6">
              <w:rPr>
                <w:rFonts w:eastAsia="Times New Roman" w:cs="Calibri" w:cstheme="minorAscii"/>
                <w:color w:val="auto"/>
                <w:sz w:val="11"/>
                <w:szCs w:val="11"/>
                <w:lang w:eastAsia="en-GB"/>
              </w:rPr>
              <w:t>/</w:t>
            </w:r>
          </w:p>
        </w:tc>
        <w:tc>
          <w:tcPr>
            <w:tcW w:w="585" w:type="pct"/>
            <w:tcBorders>
              <w:top w:val="nil"/>
              <w:left w:val="nil"/>
              <w:bottom w:val="single" w:color="auto" w:sz="4" w:space="0"/>
              <w:right w:val="single" w:color="auto" w:sz="4" w:space="0"/>
            </w:tcBorders>
            <w:shd w:val="clear" w:color="auto" w:fill="auto"/>
            <w:tcMar/>
            <w:vAlign w:val="center"/>
            <w:hideMark/>
          </w:tcPr>
          <w:p w:rsidRPr="00F84F19" w:rsidR="00F84F19" w:rsidP="3A5FC3B6" w:rsidRDefault="00F84F19" w14:paraId="2D28B805" w14:textId="590A9F2F" w14:noSpellErr="1">
            <w:pPr>
              <w:spacing w:after="0" w:line="240" w:lineRule="auto"/>
              <w:jc w:val="center"/>
              <w:rPr>
                <w:rFonts w:eastAsia="Times New Roman" w:cs="Calibri" w:cstheme="minorAscii"/>
                <w:color w:val="auto"/>
                <w:sz w:val="11"/>
                <w:szCs w:val="11"/>
                <w:lang w:eastAsia="en-GB"/>
              </w:rPr>
            </w:pPr>
            <w:r w:rsidRPr="3A5FC3B6" w:rsidR="3A5FC3B6">
              <w:rPr>
                <w:rFonts w:eastAsia="Times New Roman" w:cs="Calibri" w:cstheme="minorAscii"/>
                <w:color w:val="auto"/>
                <w:sz w:val="11"/>
                <w:szCs w:val="11"/>
                <w:lang w:eastAsia="en-GB"/>
              </w:rPr>
              <w:t>ERAS 3.3% (1/30)</w:t>
            </w:r>
          </w:p>
        </w:tc>
        <w:tc>
          <w:tcPr>
            <w:tcW w:w="495" w:type="pct"/>
            <w:tcBorders>
              <w:top w:val="nil"/>
              <w:left w:val="nil"/>
              <w:bottom w:val="single" w:color="auto" w:sz="4" w:space="0"/>
              <w:right w:val="single" w:color="auto" w:sz="4" w:space="0"/>
            </w:tcBorders>
            <w:shd w:val="clear" w:color="auto" w:fill="auto"/>
            <w:tcMar/>
            <w:vAlign w:val="center"/>
            <w:hideMark/>
          </w:tcPr>
          <w:p w:rsidRPr="00F84F19" w:rsidR="00F84F19" w:rsidP="3A5FC3B6" w:rsidRDefault="00F84F19" w14:paraId="0E285DE1" w14:textId="77777777" w14:noSpellErr="1">
            <w:pPr>
              <w:spacing w:after="0" w:line="240" w:lineRule="auto"/>
              <w:jc w:val="center"/>
              <w:rPr>
                <w:rFonts w:eastAsia="Times New Roman" w:cs="Calibri" w:cstheme="minorAscii"/>
                <w:color w:val="auto"/>
                <w:sz w:val="11"/>
                <w:szCs w:val="11"/>
                <w:lang w:eastAsia="en-GB"/>
              </w:rPr>
            </w:pPr>
            <w:r w:rsidRPr="3A5FC3B6" w:rsidR="3A5FC3B6">
              <w:rPr>
                <w:rFonts w:eastAsia="Times New Roman" w:cs="Calibri" w:cstheme="minorAscii"/>
                <w:color w:val="auto"/>
                <w:sz w:val="11"/>
                <w:szCs w:val="11"/>
                <w:lang w:eastAsia="en-GB"/>
              </w:rPr>
              <w:t>/</w:t>
            </w:r>
          </w:p>
        </w:tc>
        <w:tc>
          <w:tcPr>
            <w:tcW w:w="432" w:type="pct"/>
            <w:tcBorders>
              <w:top w:val="nil"/>
              <w:left w:val="nil"/>
              <w:bottom w:val="single" w:color="auto" w:sz="4" w:space="0"/>
              <w:right w:val="single" w:color="auto" w:sz="4" w:space="0"/>
            </w:tcBorders>
            <w:shd w:val="clear" w:color="auto" w:fill="auto"/>
            <w:tcMar/>
            <w:vAlign w:val="center"/>
            <w:hideMark/>
          </w:tcPr>
          <w:p w:rsidRPr="00F84F19" w:rsidR="00F84F19" w:rsidP="3A5FC3B6" w:rsidRDefault="00F84F19" w14:paraId="3DA62DD8" w14:textId="77777777" w14:noSpellErr="1">
            <w:pPr>
              <w:spacing w:after="0" w:line="240" w:lineRule="auto"/>
              <w:jc w:val="center"/>
              <w:rPr>
                <w:rFonts w:eastAsia="Times New Roman" w:cs="Calibri" w:cstheme="minorAscii"/>
                <w:color w:val="auto"/>
                <w:sz w:val="11"/>
                <w:szCs w:val="11"/>
                <w:lang w:eastAsia="en-GB"/>
              </w:rPr>
            </w:pPr>
            <w:r w:rsidRPr="3A5FC3B6" w:rsidR="3A5FC3B6">
              <w:rPr>
                <w:rFonts w:eastAsia="Times New Roman" w:cs="Calibri" w:cstheme="minorAscii"/>
                <w:color w:val="auto"/>
                <w:sz w:val="11"/>
                <w:szCs w:val="11"/>
                <w:lang w:eastAsia="en-GB"/>
              </w:rPr>
              <w:t>/</w:t>
            </w:r>
          </w:p>
        </w:tc>
        <w:tc>
          <w:tcPr>
            <w:tcW w:w="469" w:type="pct"/>
            <w:tcBorders>
              <w:top w:val="nil"/>
              <w:left w:val="nil"/>
              <w:bottom w:val="single" w:color="auto" w:sz="4" w:space="0"/>
              <w:right w:val="single" w:color="auto" w:sz="4" w:space="0"/>
            </w:tcBorders>
            <w:shd w:val="clear" w:color="auto" w:fill="auto"/>
            <w:tcMar/>
            <w:vAlign w:val="center"/>
            <w:hideMark/>
          </w:tcPr>
          <w:p w:rsidRPr="00F84F19" w:rsidR="00F84F19" w:rsidP="3A5FC3B6" w:rsidRDefault="00F84F19" w14:paraId="2B399EA6" w14:textId="667BF287" w14:noSpellErr="1">
            <w:pPr>
              <w:spacing w:after="0" w:line="240" w:lineRule="auto"/>
              <w:jc w:val="center"/>
              <w:rPr>
                <w:rFonts w:eastAsia="Times New Roman" w:cs="Calibri" w:cstheme="minorAscii"/>
                <w:color w:val="auto"/>
                <w:sz w:val="11"/>
                <w:szCs w:val="11"/>
                <w:lang w:eastAsia="en-GB"/>
              </w:rPr>
            </w:pPr>
            <w:r w:rsidRPr="3A5FC3B6" w:rsidR="3A5FC3B6">
              <w:rPr>
                <w:rFonts w:eastAsia="Times New Roman" w:cs="Calibri" w:cstheme="minorAscii"/>
                <w:color w:val="auto"/>
                <w:sz w:val="11"/>
                <w:szCs w:val="11"/>
                <w:lang w:eastAsia="en-GB"/>
              </w:rPr>
              <w:t>ERAS 3.3% (1/30)</w:t>
            </w:r>
          </w:p>
        </w:tc>
        <w:tc>
          <w:tcPr>
            <w:tcW w:w="738" w:type="pct"/>
            <w:gridSpan w:val="2"/>
            <w:tcBorders>
              <w:top w:val="single" w:color="000000" w:themeColor="text1" w:sz="4" w:space="0"/>
              <w:left w:val="nil"/>
              <w:bottom w:val="single" w:color="000000" w:themeColor="text1" w:sz="4" w:space="0"/>
              <w:right w:val="single" w:color="000000" w:themeColor="text1" w:sz="4" w:space="0"/>
            </w:tcBorders>
            <w:shd w:val="clear" w:color="auto" w:fill="auto"/>
            <w:tcMar/>
            <w:vAlign w:val="center"/>
            <w:hideMark/>
          </w:tcPr>
          <w:p w:rsidRPr="00F84F19" w:rsidR="00F84F19" w:rsidP="3A5FC3B6" w:rsidRDefault="00F84F19" w14:paraId="5C87FE5A" w14:textId="4300F537" w14:noSpellErr="1">
            <w:pPr>
              <w:spacing w:after="0" w:line="240" w:lineRule="auto"/>
              <w:jc w:val="center"/>
              <w:rPr>
                <w:rFonts w:eastAsia="Times New Roman" w:cs="Calibri" w:cstheme="minorAscii"/>
                <w:color w:val="auto"/>
                <w:sz w:val="11"/>
                <w:szCs w:val="11"/>
                <w:lang w:eastAsia="en-GB"/>
              </w:rPr>
            </w:pPr>
            <w:r w:rsidRPr="3A5FC3B6" w:rsidR="3A5FC3B6">
              <w:rPr>
                <w:rFonts w:eastAsia="Times New Roman" w:cs="Calibri" w:cstheme="minorAscii"/>
                <w:color w:val="auto"/>
                <w:sz w:val="11"/>
                <w:szCs w:val="11"/>
                <w:lang w:eastAsia="en-GB"/>
              </w:rPr>
              <w:t xml:space="preserve"> Complications reported in 18/30 in ERAS group</w:t>
            </w:r>
            <w:r w:rsidRPr="3A5FC3B6" w:rsidR="3A5FC3B6">
              <w:rPr>
                <w:rFonts w:eastAsia="Times New Roman" w:cs="Calibri" w:cstheme="minorAscii"/>
                <w:color w:val="auto"/>
                <w:sz w:val="11"/>
                <w:szCs w:val="11"/>
                <w:lang w:eastAsia="en-GB"/>
              </w:rPr>
              <w:t xml:space="preserve"> but not specified.</w:t>
            </w:r>
          </w:p>
        </w:tc>
      </w:tr>
      <w:tr w:rsidRPr="00192449" w:rsidR="00192449" w:rsidTr="3A5FC3B6" w14:paraId="0FA1AED5" w14:textId="77777777">
        <w:trPr>
          <w:trHeight w:val="1160"/>
        </w:trPr>
        <w:tc>
          <w:tcPr>
            <w:tcW w:w="551" w:type="pct"/>
            <w:tcBorders>
              <w:top w:val="nil"/>
              <w:left w:val="single" w:color="auto" w:sz="4" w:space="0"/>
              <w:bottom w:val="single" w:color="auto" w:sz="4" w:space="0"/>
              <w:right w:val="single" w:color="auto" w:sz="4" w:space="0"/>
            </w:tcBorders>
            <w:shd w:val="clear" w:color="auto" w:fill="auto"/>
            <w:tcMar/>
            <w:vAlign w:val="center"/>
            <w:hideMark/>
          </w:tcPr>
          <w:p w:rsidRPr="00F84F19" w:rsidR="00F84F19" w:rsidP="3A5FC3B6" w:rsidRDefault="00F84F19" w14:paraId="6AFF8E3C" w14:textId="77777777">
            <w:pPr>
              <w:spacing w:after="0" w:line="240" w:lineRule="auto"/>
              <w:jc w:val="center"/>
              <w:rPr>
                <w:rFonts w:eastAsia="Times New Roman" w:cs="Calibri" w:cstheme="minorAscii"/>
                <w:b w:val="1"/>
                <w:bCs w:val="1"/>
                <w:color w:val="auto"/>
                <w:sz w:val="11"/>
                <w:szCs w:val="11"/>
                <w:lang w:eastAsia="en-GB"/>
              </w:rPr>
            </w:pPr>
            <w:r w:rsidRPr="3A5FC3B6" w:rsidR="3A5FC3B6">
              <w:rPr>
                <w:rFonts w:eastAsia="Times New Roman" w:cs="Calibri" w:cstheme="minorAscii"/>
                <w:b w:val="1"/>
                <w:bCs w:val="1"/>
                <w:color w:val="auto"/>
                <w:sz w:val="11"/>
                <w:szCs w:val="11"/>
                <w:lang w:eastAsia="en-GB"/>
              </w:rPr>
              <w:t>Pasin</w:t>
            </w:r>
            <w:r w:rsidRPr="3A5FC3B6" w:rsidR="3A5FC3B6">
              <w:rPr>
                <w:rFonts w:eastAsia="Times New Roman" w:cs="Calibri" w:cstheme="minorAscii"/>
                <w:b w:val="1"/>
                <w:bCs w:val="1"/>
                <w:color w:val="auto"/>
                <w:sz w:val="11"/>
                <w:szCs w:val="11"/>
                <w:lang w:eastAsia="en-GB"/>
              </w:rPr>
              <w:t> </w:t>
            </w:r>
          </w:p>
        </w:tc>
        <w:tc>
          <w:tcPr>
            <w:tcW w:w="430" w:type="pct"/>
            <w:tcBorders>
              <w:top w:val="nil"/>
              <w:left w:val="nil"/>
              <w:bottom w:val="single" w:color="auto" w:sz="4" w:space="0"/>
              <w:right w:val="single" w:color="auto" w:sz="4" w:space="0"/>
            </w:tcBorders>
            <w:shd w:val="clear" w:color="auto" w:fill="auto"/>
            <w:tcMar/>
            <w:vAlign w:val="center"/>
            <w:hideMark/>
          </w:tcPr>
          <w:p w:rsidRPr="00F84F19" w:rsidR="00F84F19" w:rsidP="3A5FC3B6" w:rsidRDefault="00F84F19" w14:paraId="690078DF" w14:textId="77777777" w14:noSpellErr="1">
            <w:pPr>
              <w:spacing w:after="0" w:line="240" w:lineRule="auto"/>
              <w:jc w:val="center"/>
              <w:rPr>
                <w:rFonts w:eastAsia="Times New Roman" w:cs="Calibri" w:cstheme="minorAscii"/>
                <w:color w:val="auto"/>
                <w:sz w:val="11"/>
                <w:szCs w:val="11"/>
                <w:lang w:eastAsia="en-GB"/>
              </w:rPr>
            </w:pPr>
            <w:r w:rsidRPr="3A5FC3B6" w:rsidR="3A5FC3B6">
              <w:rPr>
                <w:rFonts w:eastAsia="Times New Roman" w:cs="Calibri" w:cstheme="minorAscii"/>
                <w:color w:val="auto"/>
                <w:sz w:val="11"/>
                <w:szCs w:val="11"/>
                <w:lang w:eastAsia="en-GB"/>
              </w:rPr>
              <w:t>ERAS 4.7% (13/276)</w:t>
            </w:r>
            <w:r>
              <w:br/>
            </w:r>
            <w:r w:rsidRPr="3A5FC3B6" w:rsidR="3A5FC3B6">
              <w:rPr>
                <w:rFonts w:eastAsia="Times New Roman" w:cs="Calibri" w:cstheme="minorAscii"/>
                <w:color w:val="auto"/>
                <w:sz w:val="11"/>
                <w:szCs w:val="11"/>
                <w:lang w:eastAsia="en-GB"/>
              </w:rPr>
              <w:t>Standard 9.6% (53/552)</w:t>
            </w:r>
          </w:p>
        </w:tc>
        <w:tc>
          <w:tcPr>
            <w:tcW w:w="488" w:type="pct"/>
            <w:tcBorders>
              <w:top w:val="nil"/>
              <w:left w:val="nil"/>
              <w:bottom w:val="single" w:color="auto" w:sz="4" w:space="0"/>
              <w:right w:val="single" w:color="auto" w:sz="4" w:space="0"/>
            </w:tcBorders>
            <w:shd w:val="clear" w:color="auto" w:fill="auto"/>
            <w:tcMar/>
            <w:vAlign w:val="center"/>
            <w:hideMark/>
          </w:tcPr>
          <w:p w:rsidRPr="00F84F19" w:rsidR="00F84F19" w:rsidP="3A5FC3B6" w:rsidRDefault="00F84F19" w14:paraId="522A0490" w14:textId="77777777" w14:noSpellErr="1">
            <w:pPr>
              <w:spacing w:after="0" w:line="240" w:lineRule="auto"/>
              <w:jc w:val="center"/>
              <w:rPr>
                <w:rFonts w:eastAsia="Times New Roman" w:cs="Calibri" w:cstheme="minorAscii"/>
                <w:color w:val="auto"/>
                <w:sz w:val="11"/>
                <w:szCs w:val="11"/>
                <w:lang w:eastAsia="en-GB"/>
              </w:rPr>
            </w:pPr>
            <w:r w:rsidRPr="3A5FC3B6" w:rsidR="3A5FC3B6">
              <w:rPr>
                <w:rFonts w:eastAsia="Times New Roman" w:cs="Calibri" w:cstheme="minorAscii"/>
                <w:color w:val="auto"/>
                <w:sz w:val="11"/>
                <w:szCs w:val="11"/>
                <w:lang w:eastAsia="en-GB"/>
              </w:rPr>
              <w:t>ERAS 5.1% (14/276)</w:t>
            </w:r>
            <w:r>
              <w:br/>
            </w:r>
            <w:r w:rsidRPr="3A5FC3B6" w:rsidR="3A5FC3B6">
              <w:rPr>
                <w:rFonts w:eastAsia="Times New Roman" w:cs="Calibri" w:cstheme="minorAscii"/>
                <w:color w:val="auto"/>
                <w:sz w:val="11"/>
                <w:szCs w:val="11"/>
                <w:lang w:eastAsia="en-GB"/>
              </w:rPr>
              <w:t>Standard 4.9% (27/552)</w:t>
            </w:r>
          </w:p>
        </w:tc>
        <w:tc>
          <w:tcPr>
            <w:tcW w:w="443" w:type="pct"/>
            <w:tcBorders>
              <w:top w:val="nil"/>
              <w:left w:val="nil"/>
              <w:bottom w:val="single" w:color="auto" w:sz="4" w:space="0"/>
              <w:right w:val="single" w:color="auto" w:sz="4" w:space="0"/>
            </w:tcBorders>
            <w:shd w:val="clear" w:color="auto" w:fill="auto"/>
            <w:tcMar/>
            <w:vAlign w:val="center"/>
            <w:hideMark/>
          </w:tcPr>
          <w:p w:rsidRPr="00F84F19" w:rsidR="00F84F19" w:rsidP="3A5FC3B6" w:rsidRDefault="00F84F19" w14:paraId="30FDE453" w14:textId="77777777" w14:noSpellErr="1">
            <w:pPr>
              <w:spacing w:after="0" w:line="240" w:lineRule="auto"/>
              <w:jc w:val="center"/>
              <w:rPr>
                <w:rFonts w:eastAsia="Times New Roman" w:cs="Calibri" w:cstheme="minorAscii"/>
                <w:color w:val="auto"/>
                <w:sz w:val="11"/>
                <w:szCs w:val="11"/>
                <w:lang w:eastAsia="en-GB"/>
              </w:rPr>
            </w:pPr>
            <w:r w:rsidRPr="3A5FC3B6" w:rsidR="3A5FC3B6">
              <w:rPr>
                <w:rFonts w:eastAsia="Times New Roman" w:cs="Calibri" w:cstheme="minorAscii"/>
                <w:color w:val="auto"/>
                <w:sz w:val="11"/>
                <w:szCs w:val="11"/>
                <w:lang w:eastAsia="en-GB"/>
              </w:rPr>
              <w:t>/</w:t>
            </w:r>
          </w:p>
        </w:tc>
        <w:tc>
          <w:tcPr>
            <w:tcW w:w="369" w:type="pct"/>
            <w:tcBorders>
              <w:top w:val="nil"/>
              <w:left w:val="nil"/>
              <w:bottom w:val="single" w:color="auto" w:sz="4" w:space="0"/>
              <w:right w:val="single" w:color="auto" w:sz="4" w:space="0"/>
            </w:tcBorders>
            <w:shd w:val="clear" w:color="auto" w:fill="auto"/>
            <w:tcMar/>
            <w:vAlign w:val="center"/>
            <w:hideMark/>
          </w:tcPr>
          <w:p w:rsidRPr="00F84F19" w:rsidR="00F84F19" w:rsidP="3A5FC3B6" w:rsidRDefault="00F84F19" w14:paraId="172D2018" w14:textId="77777777" w14:noSpellErr="1">
            <w:pPr>
              <w:spacing w:after="0" w:line="240" w:lineRule="auto"/>
              <w:jc w:val="center"/>
              <w:rPr>
                <w:rFonts w:eastAsia="Times New Roman" w:cs="Calibri" w:cstheme="minorAscii"/>
                <w:color w:val="auto"/>
                <w:sz w:val="11"/>
                <w:szCs w:val="11"/>
                <w:lang w:eastAsia="en-GB"/>
              </w:rPr>
            </w:pPr>
            <w:r w:rsidRPr="3A5FC3B6" w:rsidR="3A5FC3B6">
              <w:rPr>
                <w:rFonts w:eastAsia="Times New Roman" w:cs="Calibri" w:cstheme="minorAscii"/>
                <w:color w:val="auto"/>
                <w:sz w:val="11"/>
                <w:szCs w:val="11"/>
                <w:lang w:eastAsia="en-GB"/>
              </w:rPr>
              <w:t>ERAS 6.9% (19/276)</w:t>
            </w:r>
            <w:r>
              <w:br/>
            </w:r>
            <w:r w:rsidRPr="3A5FC3B6" w:rsidR="3A5FC3B6">
              <w:rPr>
                <w:rFonts w:eastAsia="Times New Roman" w:cs="Calibri" w:cstheme="minorAscii"/>
                <w:color w:val="auto"/>
                <w:sz w:val="11"/>
                <w:szCs w:val="11"/>
                <w:lang w:eastAsia="en-GB"/>
              </w:rPr>
              <w:t>Standard 8.2% (45/552)</w:t>
            </w:r>
          </w:p>
        </w:tc>
        <w:tc>
          <w:tcPr>
            <w:tcW w:w="585" w:type="pct"/>
            <w:tcBorders>
              <w:top w:val="nil"/>
              <w:left w:val="nil"/>
              <w:bottom w:val="single" w:color="auto" w:sz="4" w:space="0"/>
              <w:right w:val="single" w:color="auto" w:sz="4" w:space="0"/>
            </w:tcBorders>
            <w:shd w:val="clear" w:color="auto" w:fill="auto"/>
            <w:tcMar/>
            <w:vAlign w:val="center"/>
            <w:hideMark/>
          </w:tcPr>
          <w:p w:rsidRPr="00F84F19" w:rsidR="00F84F19" w:rsidP="3A5FC3B6" w:rsidRDefault="00F84F19" w14:paraId="3934E753" w14:textId="77777777" w14:noSpellErr="1">
            <w:pPr>
              <w:spacing w:after="0" w:line="240" w:lineRule="auto"/>
              <w:jc w:val="center"/>
              <w:rPr>
                <w:rFonts w:eastAsia="Times New Roman" w:cs="Calibri" w:cstheme="minorAscii"/>
                <w:color w:val="auto"/>
                <w:sz w:val="11"/>
                <w:szCs w:val="11"/>
                <w:lang w:eastAsia="en-GB"/>
              </w:rPr>
            </w:pPr>
            <w:r w:rsidRPr="3A5FC3B6" w:rsidR="3A5FC3B6">
              <w:rPr>
                <w:rFonts w:eastAsia="Times New Roman" w:cs="Calibri" w:cstheme="minorAscii"/>
                <w:color w:val="auto"/>
                <w:sz w:val="11"/>
                <w:szCs w:val="11"/>
                <w:lang w:eastAsia="en-GB"/>
              </w:rPr>
              <w:t>ERAS 2.2% (6/276)</w:t>
            </w:r>
            <w:r>
              <w:br/>
            </w:r>
            <w:r w:rsidRPr="3A5FC3B6" w:rsidR="3A5FC3B6">
              <w:rPr>
                <w:rFonts w:eastAsia="Times New Roman" w:cs="Calibri" w:cstheme="minorAscii"/>
                <w:color w:val="auto"/>
                <w:sz w:val="11"/>
                <w:szCs w:val="11"/>
                <w:lang w:eastAsia="en-GB"/>
              </w:rPr>
              <w:t>Standard 1.1% (6/552)</w:t>
            </w:r>
          </w:p>
        </w:tc>
        <w:tc>
          <w:tcPr>
            <w:tcW w:w="495" w:type="pct"/>
            <w:tcBorders>
              <w:top w:val="nil"/>
              <w:left w:val="nil"/>
              <w:bottom w:val="single" w:color="auto" w:sz="4" w:space="0"/>
              <w:right w:val="single" w:color="auto" w:sz="4" w:space="0"/>
            </w:tcBorders>
            <w:shd w:val="clear" w:color="auto" w:fill="auto"/>
            <w:tcMar/>
            <w:vAlign w:val="center"/>
            <w:hideMark/>
          </w:tcPr>
          <w:p w:rsidRPr="00F84F19" w:rsidR="00F84F19" w:rsidP="3A5FC3B6" w:rsidRDefault="00F84F19" w14:paraId="3D9B343E" w14:textId="77777777" w14:noSpellErr="1">
            <w:pPr>
              <w:spacing w:after="0" w:line="240" w:lineRule="auto"/>
              <w:jc w:val="center"/>
              <w:rPr>
                <w:rFonts w:eastAsia="Times New Roman" w:cs="Calibri" w:cstheme="minorAscii"/>
                <w:color w:val="auto"/>
                <w:sz w:val="11"/>
                <w:szCs w:val="11"/>
                <w:lang w:eastAsia="en-GB"/>
              </w:rPr>
            </w:pPr>
            <w:r w:rsidRPr="3A5FC3B6" w:rsidR="3A5FC3B6">
              <w:rPr>
                <w:rFonts w:eastAsia="Times New Roman" w:cs="Calibri" w:cstheme="minorAscii"/>
                <w:color w:val="auto"/>
                <w:sz w:val="11"/>
                <w:szCs w:val="11"/>
                <w:lang w:eastAsia="en-GB"/>
              </w:rPr>
              <w:t>/</w:t>
            </w:r>
          </w:p>
        </w:tc>
        <w:tc>
          <w:tcPr>
            <w:tcW w:w="432" w:type="pct"/>
            <w:tcBorders>
              <w:top w:val="nil"/>
              <w:left w:val="nil"/>
              <w:bottom w:val="single" w:color="auto" w:sz="4" w:space="0"/>
              <w:right w:val="single" w:color="auto" w:sz="4" w:space="0"/>
            </w:tcBorders>
            <w:shd w:val="clear" w:color="auto" w:fill="auto"/>
            <w:tcMar/>
            <w:vAlign w:val="center"/>
            <w:hideMark/>
          </w:tcPr>
          <w:p w:rsidRPr="00F84F19" w:rsidR="00F84F19" w:rsidP="3A5FC3B6" w:rsidRDefault="00F84F19" w14:paraId="0630073E" w14:textId="77777777" w14:noSpellErr="1">
            <w:pPr>
              <w:spacing w:after="0" w:line="240" w:lineRule="auto"/>
              <w:jc w:val="center"/>
              <w:rPr>
                <w:rFonts w:eastAsia="Times New Roman" w:cs="Calibri" w:cstheme="minorAscii"/>
                <w:color w:val="auto"/>
                <w:sz w:val="11"/>
                <w:szCs w:val="11"/>
                <w:lang w:eastAsia="en-GB"/>
              </w:rPr>
            </w:pPr>
            <w:r w:rsidRPr="3A5FC3B6" w:rsidR="3A5FC3B6">
              <w:rPr>
                <w:rFonts w:eastAsia="Times New Roman" w:cs="Calibri" w:cstheme="minorAscii"/>
                <w:color w:val="auto"/>
                <w:sz w:val="11"/>
                <w:szCs w:val="11"/>
                <w:lang w:eastAsia="en-GB"/>
              </w:rPr>
              <w:t>"No differences reported between groups"- not specified further</w:t>
            </w:r>
          </w:p>
        </w:tc>
        <w:tc>
          <w:tcPr>
            <w:tcW w:w="469" w:type="pct"/>
            <w:tcBorders>
              <w:top w:val="nil"/>
              <w:left w:val="nil"/>
              <w:bottom w:val="single" w:color="auto" w:sz="4" w:space="0"/>
              <w:right w:val="single" w:color="auto" w:sz="4" w:space="0"/>
            </w:tcBorders>
            <w:shd w:val="clear" w:color="auto" w:fill="auto"/>
            <w:tcMar/>
            <w:vAlign w:val="center"/>
            <w:hideMark/>
          </w:tcPr>
          <w:p w:rsidRPr="00F84F19" w:rsidR="00F84F19" w:rsidP="3A5FC3B6" w:rsidRDefault="00F84F19" w14:paraId="7B928B65" w14:textId="77777777" w14:noSpellErr="1">
            <w:pPr>
              <w:spacing w:after="0" w:line="240" w:lineRule="auto"/>
              <w:jc w:val="center"/>
              <w:rPr>
                <w:rFonts w:eastAsia="Times New Roman" w:cs="Calibri" w:cstheme="minorAscii"/>
                <w:color w:val="auto"/>
                <w:sz w:val="11"/>
                <w:szCs w:val="11"/>
                <w:lang w:eastAsia="en-GB"/>
              </w:rPr>
            </w:pPr>
            <w:r w:rsidRPr="3A5FC3B6" w:rsidR="3A5FC3B6">
              <w:rPr>
                <w:rFonts w:eastAsia="Times New Roman" w:cs="Calibri" w:cstheme="minorAscii"/>
                <w:color w:val="auto"/>
                <w:sz w:val="11"/>
                <w:szCs w:val="11"/>
                <w:lang w:eastAsia="en-GB"/>
              </w:rPr>
              <w:t>/</w:t>
            </w:r>
          </w:p>
        </w:tc>
        <w:tc>
          <w:tcPr>
            <w:tcW w:w="369" w:type="pct"/>
            <w:tcBorders>
              <w:top w:val="nil"/>
              <w:left w:val="nil"/>
              <w:bottom w:val="single" w:color="auto" w:sz="4" w:space="0"/>
              <w:right w:val="single" w:color="auto" w:sz="4" w:space="0"/>
            </w:tcBorders>
            <w:shd w:val="clear" w:color="auto" w:fill="auto"/>
            <w:tcMar/>
            <w:vAlign w:val="center"/>
            <w:hideMark/>
          </w:tcPr>
          <w:p w:rsidRPr="00F84F19" w:rsidR="00F84F19" w:rsidP="3A5FC3B6" w:rsidRDefault="00F84F19" w14:paraId="3FFA9289" w14:textId="77777777" w14:noSpellErr="1">
            <w:pPr>
              <w:spacing w:after="0" w:line="240" w:lineRule="auto"/>
              <w:jc w:val="center"/>
              <w:rPr>
                <w:rFonts w:eastAsia="Times New Roman" w:cs="Calibri" w:cstheme="minorAscii"/>
                <w:color w:val="auto"/>
                <w:sz w:val="11"/>
                <w:szCs w:val="11"/>
                <w:lang w:eastAsia="en-GB"/>
              </w:rPr>
            </w:pPr>
            <w:r w:rsidRPr="3A5FC3B6" w:rsidR="3A5FC3B6">
              <w:rPr>
                <w:rFonts w:eastAsia="Times New Roman" w:cs="Calibri" w:cstheme="minorAscii"/>
                <w:color w:val="auto"/>
                <w:sz w:val="11"/>
                <w:szCs w:val="11"/>
                <w:lang w:eastAsia="en-GB"/>
              </w:rPr>
              <w:t>/</w:t>
            </w:r>
          </w:p>
        </w:tc>
        <w:tc>
          <w:tcPr>
            <w:tcW w:w="369" w:type="pct"/>
            <w:tcBorders>
              <w:top w:val="nil"/>
              <w:left w:val="nil"/>
              <w:bottom w:val="single" w:color="auto" w:sz="4" w:space="0"/>
              <w:right w:val="single" w:color="auto" w:sz="4" w:space="0"/>
            </w:tcBorders>
            <w:shd w:val="clear" w:color="auto" w:fill="auto"/>
            <w:tcMar/>
            <w:vAlign w:val="center"/>
            <w:hideMark/>
          </w:tcPr>
          <w:p w:rsidRPr="00F84F19" w:rsidR="00F84F19" w:rsidP="3A5FC3B6" w:rsidRDefault="00F84F19" w14:paraId="0AD45A87" w14:textId="77777777" w14:noSpellErr="1">
            <w:pPr>
              <w:spacing w:after="0" w:line="240" w:lineRule="auto"/>
              <w:jc w:val="center"/>
              <w:rPr>
                <w:rFonts w:eastAsia="Times New Roman" w:cs="Calibri" w:cstheme="minorAscii"/>
                <w:color w:val="auto"/>
                <w:sz w:val="11"/>
                <w:szCs w:val="11"/>
                <w:lang w:eastAsia="en-GB"/>
              </w:rPr>
            </w:pPr>
            <w:r w:rsidRPr="3A5FC3B6" w:rsidR="3A5FC3B6">
              <w:rPr>
                <w:rFonts w:eastAsia="Times New Roman" w:cs="Calibri" w:cstheme="minorAscii"/>
                <w:color w:val="auto"/>
                <w:sz w:val="11"/>
                <w:szCs w:val="11"/>
                <w:lang w:eastAsia="en-GB"/>
              </w:rPr>
              <w:t>/</w:t>
            </w:r>
          </w:p>
        </w:tc>
      </w:tr>
      <w:tr w:rsidRPr="00192449" w:rsidR="00192449" w:rsidTr="3A5FC3B6" w14:paraId="3873CC0D" w14:textId="77777777">
        <w:trPr>
          <w:trHeight w:val="290"/>
        </w:trPr>
        <w:tc>
          <w:tcPr>
            <w:tcW w:w="551" w:type="pct"/>
            <w:tcBorders>
              <w:top w:val="nil"/>
              <w:left w:val="single" w:color="auto" w:sz="4" w:space="0"/>
              <w:bottom w:val="single" w:color="auto" w:sz="4" w:space="0"/>
              <w:right w:val="single" w:color="auto" w:sz="4" w:space="0"/>
            </w:tcBorders>
            <w:shd w:val="clear" w:color="auto" w:fill="auto"/>
            <w:tcMar/>
            <w:vAlign w:val="center"/>
            <w:hideMark/>
          </w:tcPr>
          <w:p w:rsidR="00F84F19" w:rsidP="3A5FC3B6" w:rsidRDefault="00F84F19" w14:paraId="2C61D0D9" w14:textId="77777777">
            <w:pPr>
              <w:spacing w:after="0" w:line="240" w:lineRule="auto"/>
              <w:jc w:val="center"/>
              <w:rPr>
                <w:rFonts w:eastAsia="Times New Roman" w:cs="Calibri" w:cstheme="minorAscii"/>
                <w:b w:val="1"/>
                <w:bCs w:val="1"/>
                <w:color w:val="auto"/>
                <w:sz w:val="11"/>
                <w:szCs w:val="11"/>
                <w:lang w:eastAsia="en-GB"/>
              </w:rPr>
            </w:pPr>
            <w:r w:rsidRPr="3A5FC3B6" w:rsidR="3A5FC3B6">
              <w:rPr>
                <w:rFonts w:eastAsia="Times New Roman" w:cs="Calibri" w:cstheme="minorAscii"/>
                <w:b w:val="1"/>
                <w:bCs w:val="1"/>
                <w:color w:val="auto"/>
                <w:sz w:val="11"/>
                <w:szCs w:val="11"/>
                <w:lang w:eastAsia="en-GB"/>
              </w:rPr>
              <w:t>Tatsuishi</w:t>
            </w:r>
            <w:r w:rsidRPr="3A5FC3B6" w:rsidR="3A5FC3B6">
              <w:rPr>
                <w:rFonts w:eastAsia="Times New Roman" w:cs="Calibri" w:cstheme="minorAscii"/>
                <w:b w:val="1"/>
                <w:bCs w:val="1"/>
                <w:color w:val="auto"/>
                <w:sz w:val="11"/>
                <w:szCs w:val="11"/>
                <w:lang w:eastAsia="en-GB"/>
              </w:rPr>
              <w:t> </w:t>
            </w:r>
          </w:p>
          <w:p w:rsidRPr="00F84F19" w:rsidR="00E33CB8" w:rsidP="3A5FC3B6" w:rsidRDefault="00E33CB8" w14:paraId="48BCE749" w14:textId="2A557B24" w14:noSpellErr="1">
            <w:pPr>
              <w:rPr>
                <w:rFonts w:eastAsia="Times New Roman" w:cs="Calibri" w:cstheme="minorAscii"/>
                <w:color w:val="auto"/>
                <w:sz w:val="11"/>
                <w:szCs w:val="11"/>
                <w:lang w:eastAsia="en-GB"/>
              </w:rPr>
            </w:pPr>
          </w:p>
        </w:tc>
        <w:tc>
          <w:tcPr>
            <w:tcW w:w="430" w:type="pct"/>
            <w:tcBorders>
              <w:top w:val="nil"/>
              <w:left w:val="nil"/>
              <w:bottom w:val="single" w:color="auto" w:sz="4" w:space="0"/>
              <w:right w:val="single" w:color="auto" w:sz="4" w:space="0"/>
            </w:tcBorders>
            <w:shd w:val="clear" w:color="auto" w:fill="auto"/>
            <w:tcMar/>
            <w:vAlign w:val="center"/>
            <w:hideMark/>
          </w:tcPr>
          <w:p w:rsidRPr="00F84F19" w:rsidR="00F84F19" w:rsidP="3A5FC3B6" w:rsidRDefault="00F84F19" w14:paraId="1201C76B" w14:textId="77777777" w14:noSpellErr="1">
            <w:pPr>
              <w:spacing w:after="0" w:line="240" w:lineRule="auto"/>
              <w:jc w:val="center"/>
              <w:rPr>
                <w:rFonts w:eastAsia="Times New Roman" w:cs="Calibri" w:cstheme="minorAscii"/>
                <w:color w:val="auto"/>
                <w:sz w:val="11"/>
                <w:szCs w:val="11"/>
                <w:lang w:eastAsia="en-GB"/>
              </w:rPr>
            </w:pPr>
            <w:r w:rsidRPr="3A5FC3B6" w:rsidR="3A5FC3B6">
              <w:rPr>
                <w:rFonts w:eastAsia="Times New Roman" w:cs="Calibri" w:cstheme="minorAscii"/>
                <w:color w:val="auto"/>
                <w:sz w:val="11"/>
                <w:szCs w:val="11"/>
                <w:lang w:eastAsia="en-GB"/>
              </w:rPr>
              <w:t>/</w:t>
            </w:r>
          </w:p>
        </w:tc>
        <w:tc>
          <w:tcPr>
            <w:tcW w:w="488" w:type="pct"/>
            <w:tcBorders>
              <w:top w:val="nil"/>
              <w:left w:val="nil"/>
              <w:bottom w:val="single" w:color="auto" w:sz="4" w:space="0"/>
              <w:right w:val="single" w:color="auto" w:sz="4" w:space="0"/>
            </w:tcBorders>
            <w:shd w:val="clear" w:color="auto" w:fill="auto"/>
            <w:tcMar/>
            <w:vAlign w:val="center"/>
            <w:hideMark/>
          </w:tcPr>
          <w:p w:rsidRPr="00F84F19" w:rsidR="00F84F19" w:rsidP="3A5FC3B6" w:rsidRDefault="00F84F19" w14:paraId="694C1CED" w14:textId="77777777" w14:noSpellErr="1">
            <w:pPr>
              <w:spacing w:after="0" w:line="240" w:lineRule="auto"/>
              <w:jc w:val="center"/>
              <w:rPr>
                <w:rFonts w:eastAsia="Times New Roman" w:cs="Calibri" w:cstheme="minorAscii"/>
                <w:color w:val="auto"/>
                <w:sz w:val="11"/>
                <w:szCs w:val="11"/>
                <w:lang w:eastAsia="en-GB"/>
              </w:rPr>
            </w:pPr>
            <w:r w:rsidRPr="3A5FC3B6" w:rsidR="3A5FC3B6">
              <w:rPr>
                <w:rFonts w:eastAsia="Times New Roman" w:cs="Calibri" w:cstheme="minorAscii"/>
                <w:color w:val="auto"/>
                <w:sz w:val="11"/>
                <w:szCs w:val="11"/>
                <w:lang w:eastAsia="en-GB"/>
              </w:rPr>
              <w:t>/</w:t>
            </w:r>
          </w:p>
        </w:tc>
        <w:tc>
          <w:tcPr>
            <w:tcW w:w="443" w:type="pct"/>
            <w:tcBorders>
              <w:top w:val="nil"/>
              <w:left w:val="nil"/>
              <w:bottom w:val="single" w:color="auto" w:sz="4" w:space="0"/>
              <w:right w:val="single" w:color="auto" w:sz="4" w:space="0"/>
            </w:tcBorders>
            <w:shd w:val="clear" w:color="auto" w:fill="auto"/>
            <w:tcMar/>
            <w:vAlign w:val="center"/>
            <w:hideMark/>
          </w:tcPr>
          <w:p w:rsidRPr="00F84F19" w:rsidR="00F84F19" w:rsidP="3A5FC3B6" w:rsidRDefault="00F84F19" w14:paraId="27FE8DC3" w14:textId="77777777" w14:noSpellErr="1">
            <w:pPr>
              <w:spacing w:after="0" w:line="240" w:lineRule="auto"/>
              <w:jc w:val="center"/>
              <w:rPr>
                <w:rFonts w:eastAsia="Times New Roman" w:cs="Calibri" w:cstheme="minorAscii"/>
                <w:color w:val="auto"/>
                <w:sz w:val="11"/>
                <w:szCs w:val="11"/>
                <w:lang w:eastAsia="en-GB"/>
              </w:rPr>
            </w:pPr>
            <w:r w:rsidRPr="3A5FC3B6" w:rsidR="3A5FC3B6">
              <w:rPr>
                <w:rFonts w:eastAsia="Times New Roman" w:cs="Calibri" w:cstheme="minorAscii"/>
                <w:color w:val="auto"/>
                <w:sz w:val="11"/>
                <w:szCs w:val="11"/>
                <w:lang w:eastAsia="en-GB"/>
              </w:rPr>
              <w:t>/</w:t>
            </w:r>
          </w:p>
        </w:tc>
        <w:tc>
          <w:tcPr>
            <w:tcW w:w="369" w:type="pct"/>
            <w:tcBorders>
              <w:top w:val="nil"/>
              <w:left w:val="nil"/>
              <w:bottom w:val="single" w:color="auto" w:sz="4" w:space="0"/>
              <w:right w:val="single" w:color="auto" w:sz="4" w:space="0"/>
            </w:tcBorders>
            <w:shd w:val="clear" w:color="auto" w:fill="auto"/>
            <w:tcMar/>
            <w:vAlign w:val="center"/>
            <w:hideMark/>
          </w:tcPr>
          <w:p w:rsidRPr="00F84F19" w:rsidR="00F84F19" w:rsidP="3A5FC3B6" w:rsidRDefault="00F84F19" w14:paraId="6B912743" w14:textId="77777777" w14:noSpellErr="1">
            <w:pPr>
              <w:spacing w:after="0" w:line="240" w:lineRule="auto"/>
              <w:jc w:val="center"/>
              <w:rPr>
                <w:rFonts w:eastAsia="Times New Roman" w:cs="Calibri" w:cstheme="minorAscii"/>
                <w:color w:val="auto"/>
                <w:sz w:val="11"/>
                <w:szCs w:val="11"/>
                <w:lang w:eastAsia="en-GB"/>
              </w:rPr>
            </w:pPr>
            <w:r w:rsidRPr="3A5FC3B6" w:rsidR="3A5FC3B6">
              <w:rPr>
                <w:rFonts w:eastAsia="Times New Roman" w:cs="Calibri" w:cstheme="minorAscii"/>
                <w:color w:val="auto"/>
                <w:sz w:val="11"/>
                <w:szCs w:val="11"/>
                <w:lang w:eastAsia="en-GB"/>
              </w:rPr>
              <w:t>/</w:t>
            </w:r>
          </w:p>
        </w:tc>
        <w:tc>
          <w:tcPr>
            <w:tcW w:w="585" w:type="pct"/>
            <w:tcBorders>
              <w:top w:val="nil"/>
              <w:left w:val="nil"/>
              <w:bottom w:val="single" w:color="auto" w:sz="4" w:space="0"/>
              <w:right w:val="single" w:color="auto" w:sz="4" w:space="0"/>
            </w:tcBorders>
            <w:shd w:val="clear" w:color="auto" w:fill="auto"/>
            <w:tcMar/>
            <w:vAlign w:val="center"/>
            <w:hideMark/>
          </w:tcPr>
          <w:p w:rsidRPr="00F84F19" w:rsidR="00F84F19" w:rsidP="3A5FC3B6" w:rsidRDefault="00F84F19" w14:paraId="3A9C22BC" w14:textId="77777777" w14:noSpellErr="1">
            <w:pPr>
              <w:spacing w:after="0" w:line="240" w:lineRule="auto"/>
              <w:jc w:val="center"/>
              <w:rPr>
                <w:rFonts w:eastAsia="Times New Roman" w:cs="Calibri" w:cstheme="minorAscii"/>
                <w:color w:val="auto"/>
                <w:sz w:val="11"/>
                <w:szCs w:val="11"/>
                <w:lang w:eastAsia="en-GB"/>
              </w:rPr>
            </w:pPr>
            <w:r w:rsidRPr="3A5FC3B6" w:rsidR="3A5FC3B6">
              <w:rPr>
                <w:rFonts w:eastAsia="Times New Roman" w:cs="Calibri" w:cstheme="minorAscii"/>
                <w:color w:val="auto"/>
                <w:sz w:val="11"/>
                <w:szCs w:val="11"/>
                <w:lang w:eastAsia="en-GB"/>
              </w:rPr>
              <w:t>/</w:t>
            </w:r>
          </w:p>
        </w:tc>
        <w:tc>
          <w:tcPr>
            <w:tcW w:w="495" w:type="pct"/>
            <w:tcBorders>
              <w:top w:val="nil"/>
              <w:left w:val="nil"/>
              <w:bottom w:val="single" w:color="auto" w:sz="4" w:space="0"/>
              <w:right w:val="single" w:color="auto" w:sz="4" w:space="0"/>
            </w:tcBorders>
            <w:shd w:val="clear" w:color="auto" w:fill="auto"/>
            <w:tcMar/>
            <w:vAlign w:val="center"/>
            <w:hideMark/>
          </w:tcPr>
          <w:p w:rsidRPr="00F84F19" w:rsidR="00F84F19" w:rsidP="3A5FC3B6" w:rsidRDefault="00F84F19" w14:paraId="12ED67A2" w14:textId="77777777" w14:noSpellErr="1">
            <w:pPr>
              <w:spacing w:after="0" w:line="240" w:lineRule="auto"/>
              <w:jc w:val="center"/>
              <w:rPr>
                <w:rFonts w:eastAsia="Times New Roman" w:cs="Calibri" w:cstheme="minorAscii"/>
                <w:color w:val="auto"/>
                <w:sz w:val="11"/>
                <w:szCs w:val="11"/>
                <w:lang w:eastAsia="en-GB"/>
              </w:rPr>
            </w:pPr>
            <w:r w:rsidRPr="3A5FC3B6" w:rsidR="3A5FC3B6">
              <w:rPr>
                <w:rFonts w:eastAsia="Times New Roman" w:cs="Calibri" w:cstheme="minorAscii"/>
                <w:color w:val="auto"/>
                <w:sz w:val="11"/>
                <w:szCs w:val="11"/>
                <w:lang w:eastAsia="en-GB"/>
              </w:rPr>
              <w:t>/</w:t>
            </w:r>
          </w:p>
        </w:tc>
        <w:tc>
          <w:tcPr>
            <w:tcW w:w="432" w:type="pct"/>
            <w:tcBorders>
              <w:top w:val="nil"/>
              <w:left w:val="nil"/>
              <w:bottom w:val="single" w:color="auto" w:sz="4" w:space="0"/>
              <w:right w:val="nil"/>
            </w:tcBorders>
            <w:shd w:val="clear" w:color="auto" w:fill="auto"/>
            <w:tcMar/>
            <w:vAlign w:val="center"/>
            <w:hideMark/>
          </w:tcPr>
          <w:p w:rsidRPr="00F84F19" w:rsidR="00F84F19" w:rsidP="3A5FC3B6" w:rsidRDefault="00F84F19" w14:paraId="38AD6374" w14:textId="77777777" w14:noSpellErr="1">
            <w:pPr>
              <w:spacing w:after="0" w:line="240" w:lineRule="auto"/>
              <w:jc w:val="center"/>
              <w:rPr>
                <w:rFonts w:eastAsia="Times New Roman" w:cs="Calibri" w:cstheme="minorAscii"/>
                <w:color w:val="auto"/>
                <w:sz w:val="11"/>
                <w:szCs w:val="11"/>
                <w:lang w:eastAsia="en-GB"/>
              </w:rPr>
            </w:pPr>
            <w:r w:rsidRPr="3A5FC3B6" w:rsidR="3A5FC3B6">
              <w:rPr>
                <w:rFonts w:eastAsia="Times New Roman" w:cs="Calibri" w:cstheme="minorAscii"/>
                <w:color w:val="auto"/>
                <w:sz w:val="11"/>
                <w:szCs w:val="11"/>
                <w:lang w:eastAsia="en-GB"/>
              </w:rPr>
              <w:t>/</w:t>
            </w:r>
          </w:p>
        </w:tc>
        <w:tc>
          <w:tcPr>
            <w:tcW w:w="469" w:type="pct"/>
            <w:tcBorders>
              <w:top w:val="nil"/>
              <w:left w:val="single" w:color="auto" w:sz="4" w:space="0"/>
              <w:bottom w:val="single" w:color="auto" w:sz="4" w:space="0"/>
              <w:right w:val="nil"/>
            </w:tcBorders>
            <w:shd w:val="clear" w:color="auto" w:fill="auto"/>
            <w:tcMar/>
            <w:vAlign w:val="center"/>
            <w:hideMark/>
          </w:tcPr>
          <w:p w:rsidRPr="00F84F19" w:rsidR="00F84F19" w:rsidP="3A5FC3B6" w:rsidRDefault="00F84F19" w14:paraId="6ECD3C6B" w14:textId="77777777" w14:noSpellErr="1">
            <w:pPr>
              <w:spacing w:after="0" w:line="240" w:lineRule="auto"/>
              <w:jc w:val="center"/>
              <w:rPr>
                <w:rFonts w:eastAsia="Times New Roman" w:cs="Calibri" w:cstheme="minorAscii"/>
                <w:color w:val="auto"/>
                <w:sz w:val="11"/>
                <w:szCs w:val="11"/>
                <w:lang w:eastAsia="en-GB"/>
              </w:rPr>
            </w:pPr>
            <w:r w:rsidRPr="3A5FC3B6" w:rsidR="3A5FC3B6">
              <w:rPr>
                <w:rFonts w:eastAsia="Times New Roman" w:cs="Calibri" w:cstheme="minorAscii"/>
                <w:color w:val="auto"/>
                <w:sz w:val="11"/>
                <w:szCs w:val="11"/>
                <w:lang w:eastAsia="en-GB"/>
              </w:rPr>
              <w:t>/</w:t>
            </w:r>
          </w:p>
        </w:tc>
        <w:tc>
          <w:tcPr>
            <w:tcW w:w="369" w:type="pct"/>
            <w:tcBorders>
              <w:top w:val="nil"/>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F84F19" w:rsidR="00F84F19" w:rsidP="3A5FC3B6" w:rsidRDefault="00F84F19" w14:paraId="5293C88F" w14:textId="77777777" w14:noSpellErr="1">
            <w:pPr>
              <w:spacing w:after="0" w:line="240" w:lineRule="auto"/>
              <w:jc w:val="center"/>
              <w:rPr>
                <w:rFonts w:eastAsia="Times New Roman" w:cs="Calibri" w:cstheme="minorAscii"/>
                <w:color w:val="auto"/>
                <w:sz w:val="11"/>
                <w:szCs w:val="11"/>
                <w:lang w:eastAsia="en-GB"/>
              </w:rPr>
            </w:pPr>
            <w:r w:rsidRPr="3A5FC3B6" w:rsidR="3A5FC3B6">
              <w:rPr>
                <w:rFonts w:eastAsia="Times New Roman" w:cs="Calibri" w:cstheme="minorAscii"/>
                <w:color w:val="auto"/>
                <w:sz w:val="11"/>
                <w:szCs w:val="11"/>
                <w:lang w:eastAsia="en-GB"/>
              </w:rPr>
              <w:t>/</w:t>
            </w:r>
          </w:p>
        </w:tc>
        <w:tc>
          <w:tcPr>
            <w:tcW w:w="369" w:type="pct"/>
            <w:tcBorders>
              <w:top w:val="nil"/>
              <w:left w:val="nil"/>
              <w:bottom w:val="single" w:color="000000" w:themeColor="text1" w:sz="4" w:space="0"/>
              <w:right w:val="single" w:color="000000" w:themeColor="text1" w:sz="4" w:space="0"/>
            </w:tcBorders>
            <w:shd w:val="clear" w:color="auto" w:fill="auto"/>
            <w:tcMar/>
            <w:vAlign w:val="center"/>
            <w:hideMark/>
          </w:tcPr>
          <w:p w:rsidRPr="00F84F19" w:rsidR="00F84F19" w:rsidP="3A5FC3B6" w:rsidRDefault="00F84F19" w14:paraId="0A82012D" w14:textId="77777777" w14:noSpellErr="1">
            <w:pPr>
              <w:spacing w:after="0" w:line="240" w:lineRule="auto"/>
              <w:jc w:val="center"/>
              <w:rPr>
                <w:rFonts w:eastAsia="Times New Roman" w:cs="Calibri" w:cstheme="minorAscii"/>
                <w:color w:val="auto"/>
                <w:sz w:val="11"/>
                <w:szCs w:val="11"/>
                <w:lang w:eastAsia="en-GB"/>
              </w:rPr>
            </w:pPr>
            <w:r w:rsidRPr="3A5FC3B6" w:rsidR="3A5FC3B6">
              <w:rPr>
                <w:rFonts w:eastAsia="Times New Roman" w:cs="Calibri" w:cstheme="minorAscii"/>
                <w:color w:val="auto"/>
                <w:sz w:val="11"/>
                <w:szCs w:val="11"/>
                <w:lang w:eastAsia="en-GB"/>
              </w:rPr>
              <w:t>/</w:t>
            </w:r>
          </w:p>
        </w:tc>
      </w:tr>
    </w:tbl>
    <w:p w:rsidR="00B34C8A" w:rsidP="3A5FC3B6" w:rsidRDefault="00E33CB8" w14:paraId="1DB370CC" w14:textId="4A0F8C3E" w14:noSpellErr="1">
      <w:pPr>
        <w:rPr>
          <w:color w:val="auto"/>
        </w:rPr>
      </w:pPr>
      <w:r w:rsidRPr="3A5FC3B6" w:rsidR="3A5FC3B6">
        <w:rPr>
          <w:color w:val="auto"/>
        </w:rPr>
        <w:t xml:space="preserve">ERAS, Enhanced Recovery After Surgery. </w:t>
      </w:r>
      <w:r w:rsidRPr="3A5FC3B6" w:rsidR="3A5FC3B6">
        <w:rPr>
          <w:color w:val="auto"/>
        </w:rPr>
        <w:t>ACS, Acute Coronary Syndrome.</w:t>
      </w:r>
    </w:p>
    <w:p w:rsidRPr="00E33CB8" w:rsidR="008910A6" w:rsidP="3A5FC3B6" w:rsidRDefault="008910A6" w14:paraId="377E6C62" w14:textId="77777777" w14:noSpellErr="1">
      <w:pPr>
        <w:rPr>
          <w:color w:val="auto"/>
        </w:rPr>
      </w:pPr>
    </w:p>
    <w:p w:rsidR="00CE2E57" w:rsidP="3A5FC3B6" w:rsidRDefault="00CE2E57" w14:paraId="405DE1E5" w14:textId="77777777" w14:noSpellErr="1">
      <w:pPr>
        <w:rPr>
          <w:color w:val="auto"/>
        </w:rPr>
      </w:pPr>
    </w:p>
    <w:p w:rsidR="00DB09D7" w:rsidP="3A5FC3B6" w:rsidRDefault="00DB09D7" w14:paraId="30EA0319" w14:textId="48B5A268" w14:noSpellErr="1">
      <w:pPr>
        <w:rPr>
          <w:b w:val="1"/>
          <w:bCs w:val="1"/>
          <w:color w:val="auto"/>
        </w:rPr>
      </w:pPr>
      <w:r w:rsidRPr="00102FB5">
        <w:rPr>
          <w:b/>
          <w:noProof/>
          <w:color w:val="FF0000"/>
          <w:u w:val="single"/>
          <w:lang w:eastAsia="en-GB"/>
        </w:rPr>
        <w:lastRenderedPageBreak/>
        <w:drawing>
          <wp:anchor distT="0" distB="0" distL="114300" distR="114300" simplePos="0" relativeHeight="251666432" behindDoc="1" locked="0" layoutInCell="1" allowOverlap="1" wp14:anchorId="4BCCAFAB" wp14:editId="28745D13">
            <wp:simplePos x="0" y="0"/>
            <wp:positionH relativeFrom="margin">
              <wp:posOffset>250273</wp:posOffset>
            </wp:positionH>
            <wp:positionV relativeFrom="paragraph">
              <wp:posOffset>631301</wp:posOffset>
            </wp:positionV>
            <wp:extent cx="6065258" cy="3951798"/>
            <wp:effectExtent l="0" t="0" r="0" b="0"/>
            <wp:wrapNone/>
            <wp:docPr id="8" name="Picture 8"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medium confidenc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065258" cy="3951798"/>
                    </a:xfrm>
                    <a:prstGeom prst="rect">
                      <a:avLst/>
                    </a:prstGeom>
                    <a:noFill/>
                  </pic:spPr>
                </pic:pic>
              </a:graphicData>
            </a:graphic>
            <wp14:sizeRelH relativeFrom="margin">
              <wp14:pctWidth>0</wp14:pctWidth>
            </wp14:sizeRelH>
            <wp14:sizeRelV relativeFrom="margin">
              <wp14:pctHeight>0</wp14:pctHeight>
            </wp14:sizeRelV>
          </wp:anchor>
        </w:drawing>
      </w:r>
      <w:r w:rsidRPr="3A5FC3B6">
        <w:rPr>
          <w:b w:val="1"/>
          <w:bCs w:val="1"/>
          <w:color w:val="auto"/>
          <w:u w:val="single"/>
        </w:rPr>
        <w:t>FIGURE 1: Preferred Reporting Items for Systematic reviews and Meta-Analyses diagr</w:t>
      </w:r>
      <w:r w:rsidRPr="3A5FC3B6">
        <w:rPr>
          <w:b w:val="1"/>
          <w:bCs w:val="1"/>
          <w:color w:val="auto"/>
          <w:u w:val="single"/>
        </w:rPr>
        <w:t>am</w:t>
      </w:r>
    </w:p>
    <w:p w:rsidR="00DB09D7" w:rsidP="3A5FC3B6" w:rsidRDefault="00DB09D7" w14:paraId="0A2282AD" w14:textId="77777777" w14:noSpellErr="1">
      <w:pPr>
        <w:rPr>
          <w:color w:val="auto"/>
        </w:rPr>
      </w:pPr>
    </w:p>
    <w:p w:rsidR="00DB09D7" w:rsidP="3A5FC3B6" w:rsidRDefault="00DB09D7" w14:paraId="68FBCB30" w14:textId="77777777" w14:noSpellErr="1">
      <w:pPr>
        <w:rPr>
          <w:color w:val="auto"/>
        </w:rPr>
      </w:pPr>
    </w:p>
    <w:p w:rsidR="00DB09D7" w:rsidP="3A5FC3B6" w:rsidRDefault="00DB09D7" w14:paraId="1EAECDF3" w14:textId="77777777" w14:noSpellErr="1">
      <w:pPr>
        <w:rPr>
          <w:color w:val="auto"/>
        </w:rPr>
      </w:pPr>
    </w:p>
    <w:p w:rsidR="00DB09D7" w:rsidP="3A5FC3B6" w:rsidRDefault="00DB09D7" w14:paraId="331FB121" w14:textId="77777777" w14:noSpellErr="1">
      <w:pPr>
        <w:rPr>
          <w:color w:val="auto"/>
        </w:rPr>
      </w:pPr>
    </w:p>
    <w:p w:rsidR="00DB09D7" w:rsidP="3A5FC3B6" w:rsidRDefault="00DB09D7" w14:paraId="61DB0E43" w14:textId="77777777" w14:noSpellErr="1">
      <w:pPr>
        <w:rPr>
          <w:color w:val="auto"/>
        </w:rPr>
      </w:pPr>
    </w:p>
    <w:p w:rsidR="00DB09D7" w:rsidP="3A5FC3B6" w:rsidRDefault="00DB09D7" w14:paraId="2BBF00ED" w14:textId="77777777" w14:noSpellErr="1">
      <w:pPr>
        <w:rPr>
          <w:color w:val="auto"/>
        </w:rPr>
      </w:pPr>
    </w:p>
    <w:p w:rsidR="00DB09D7" w:rsidP="3A5FC3B6" w:rsidRDefault="00DB09D7" w14:paraId="59933CBE" w14:textId="77777777" w14:noSpellErr="1">
      <w:pPr>
        <w:rPr>
          <w:color w:val="auto"/>
        </w:rPr>
      </w:pPr>
    </w:p>
    <w:p w:rsidR="00DB09D7" w:rsidP="3A5FC3B6" w:rsidRDefault="00DB09D7" w14:paraId="008E2B28" w14:textId="77777777" w14:noSpellErr="1">
      <w:pPr>
        <w:rPr>
          <w:color w:val="auto"/>
        </w:rPr>
      </w:pPr>
    </w:p>
    <w:p w:rsidR="00DB09D7" w:rsidP="3A5FC3B6" w:rsidRDefault="00DB09D7" w14:paraId="691A40BF" w14:textId="77777777" w14:noSpellErr="1">
      <w:pPr>
        <w:rPr>
          <w:color w:val="auto"/>
        </w:rPr>
      </w:pPr>
    </w:p>
    <w:p w:rsidR="00DB09D7" w:rsidP="3A5FC3B6" w:rsidRDefault="00DB09D7" w14:paraId="2F32C777" w14:textId="77777777" w14:noSpellErr="1">
      <w:pPr>
        <w:rPr>
          <w:color w:val="auto"/>
        </w:rPr>
      </w:pPr>
    </w:p>
    <w:p w:rsidR="00DB09D7" w:rsidP="3A5FC3B6" w:rsidRDefault="00DB09D7" w14:paraId="4A1AEAA2" w14:textId="77777777" w14:noSpellErr="1">
      <w:pPr>
        <w:rPr>
          <w:color w:val="auto"/>
        </w:rPr>
      </w:pPr>
    </w:p>
    <w:p w:rsidR="00DB09D7" w:rsidP="3A5FC3B6" w:rsidRDefault="00DB09D7" w14:paraId="05A830DB" w14:textId="77777777" w14:noSpellErr="1">
      <w:pPr>
        <w:rPr>
          <w:color w:val="auto"/>
        </w:rPr>
      </w:pPr>
    </w:p>
    <w:p w:rsidR="00DB09D7" w:rsidP="3A5FC3B6" w:rsidRDefault="00DB09D7" w14:paraId="2066F988" w14:textId="77777777" w14:noSpellErr="1">
      <w:pPr>
        <w:rPr>
          <w:color w:val="auto"/>
        </w:rPr>
      </w:pPr>
    </w:p>
    <w:p w:rsidR="00DB09D7" w:rsidP="3A5FC3B6" w:rsidRDefault="00DB09D7" w14:paraId="297FA42F" w14:textId="77777777" w14:noSpellErr="1">
      <w:pPr>
        <w:rPr>
          <w:color w:val="auto"/>
        </w:rPr>
      </w:pPr>
    </w:p>
    <w:p w:rsidR="00DB09D7" w:rsidP="3A5FC3B6" w:rsidRDefault="00DB09D7" w14:paraId="20CA6762" w14:textId="77777777" w14:noSpellErr="1">
      <w:pPr>
        <w:rPr>
          <w:color w:val="auto"/>
        </w:rPr>
      </w:pPr>
    </w:p>
    <w:p w:rsidR="00DB09D7" w:rsidP="3A5FC3B6" w:rsidRDefault="00DB09D7" w14:paraId="0C4B7430" w14:textId="77777777" w14:noSpellErr="1">
      <w:pPr>
        <w:rPr>
          <w:color w:val="auto"/>
        </w:rPr>
      </w:pPr>
    </w:p>
    <w:p w:rsidR="00C33AF4" w:rsidP="3A5FC3B6" w:rsidRDefault="00C33AF4" w14:paraId="314163CD" w14:textId="77777777" w14:noSpellErr="1">
      <w:pPr>
        <w:pStyle w:val="NoSpacing"/>
        <w:rPr>
          <w:b w:val="1"/>
          <w:bCs w:val="1"/>
          <w:color w:val="auto"/>
          <w:u w:val="single"/>
        </w:rPr>
      </w:pPr>
    </w:p>
    <w:p w:rsidR="00E36A8B" w:rsidP="3A5FC3B6" w:rsidRDefault="00E36A8B" w14:paraId="1D9A0AB9" w14:textId="77777777" w14:noSpellErr="1">
      <w:pPr>
        <w:pStyle w:val="NoSpacing"/>
        <w:rPr>
          <w:b w:val="1"/>
          <w:bCs w:val="1"/>
          <w:color w:val="auto"/>
          <w:u w:val="single"/>
        </w:rPr>
      </w:pPr>
    </w:p>
    <w:p w:rsidRPr="0078129B" w:rsidR="00DB09D7" w:rsidP="3A5FC3B6" w:rsidRDefault="00DB09D7" w14:paraId="15B711DD" w14:textId="368BEE4A" w14:noSpellErr="1">
      <w:pPr>
        <w:pStyle w:val="NoSpacing"/>
        <w:rPr>
          <w:b w:val="1"/>
          <w:bCs w:val="1"/>
          <w:color w:val="auto"/>
          <w:u w:val="single"/>
        </w:rPr>
      </w:pPr>
      <w:r w:rsidRPr="3A5FC3B6" w:rsidR="3A5FC3B6">
        <w:rPr>
          <w:b w:val="1"/>
          <w:bCs w:val="1"/>
          <w:color w:val="auto"/>
          <w:u w:val="single"/>
        </w:rPr>
        <w:t>FIG</w:t>
      </w:r>
      <w:r w:rsidRPr="3A5FC3B6" w:rsidR="3A5FC3B6">
        <w:rPr>
          <w:b w:val="1"/>
          <w:bCs w:val="1"/>
          <w:color w:val="auto"/>
          <w:u w:val="single"/>
        </w:rPr>
        <w:t>.</w:t>
      </w:r>
      <w:r w:rsidRPr="3A5FC3B6" w:rsidR="3A5FC3B6">
        <w:rPr>
          <w:b w:val="1"/>
          <w:bCs w:val="1"/>
          <w:color w:val="auto"/>
          <w:u w:val="single"/>
        </w:rPr>
        <w:t xml:space="preserve"> 2</w:t>
      </w:r>
      <w:r w:rsidRPr="3A5FC3B6" w:rsidR="3A5FC3B6">
        <w:rPr>
          <w:b w:val="1"/>
          <w:bCs w:val="1"/>
          <w:color w:val="auto"/>
          <w:u w:val="single"/>
        </w:rPr>
        <w:t>: Meta-analysis of Length of stay data</w:t>
      </w:r>
    </w:p>
    <w:p w:rsidR="00DB09D7" w:rsidP="3A5FC3B6" w:rsidRDefault="00DB09D7" w14:paraId="2B35146B" w14:textId="77777777" w14:noSpellErr="1">
      <w:pPr>
        <w:pStyle w:val="NoSpacing"/>
        <w:rPr>
          <w:color w:val="auto"/>
        </w:rPr>
      </w:pPr>
    </w:p>
    <w:p w:rsidR="00DB09D7" w:rsidP="3A5FC3B6" w:rsidRDefault="00DB09D7" w14:paraId="2E5D0B23" w14:textId="77777777" w14:noSpellErr="1">
      <w:pPr>
        <w:pStyle w:val="NoSpacing"/>
        <w:rPr>
          <w:color w:val="auto"/>
        </w:rPr>
      </w:pPr>
      <w:r>
        <w:drawing>
          <wp:inline wp14:editId="4F514629" wp14:anchorId="4CF25C98">
            <wp:extent cx="6440558" cy="1939446"/>
            <wp:effectExtent l="0" t="0" r="0" b="3810"/>
            <wp:docPr id="9" name="Picture 9" descr="Table&#10;&#10;Description automatically generated with medium confidence" title=""/>
            <wp:cNvGraphicFramePr>
              <a:graphicFrameLocks noChangeAspect="1"/>
            </wp:cNvGraphicFramePr>
            <a:graphic>
              <a:graphicData uri="http://schemas.openxmlformats.org/drawingml/2006/picture">
                <pic:pic>
                  <pic:nvPicPr>
                    <pic:cNvPr id="0" name="Picture 9"/>
                    <pic:cNvPicPr/>
                  </pic:nvPicPr>
                  <pic:blipFill>
                    <a:blip r:embed="Rebc7f2e163b64924">
                      <a:extLst>
                        <a:ext xmlns:a="http://schemas.openxmlformats.org/drawingml/2006/main" uri="{28A0092B-C50C-407E-A947-70E740481C1C}">
                          <a14:useLocalDpi val="0"/>
                        </a:ext>
                      </a:extLst>
                    </a:blip>
                    <a:stretch>
                      <a:fillRect/>
                    </a:stretch>
                  </pic:blipFill>
                  <pic:spPr>
                    <a:xfrm rot="0" flipH="0" flipV="0">
                      <a:off x="0" y="0"/>
                      <a:ext cx="6440558" cy="1939446"/>
                    </a:xfrm>
                    <a:prstGeom prst="rect">
                      <a:avLst/>
                    </a:prstGeom>
                  </pic:spPr>
                </pic:pic>
              </a:graphicData>
            </a:graphic>
          </wp:inline>
        </w:drawing>
      </w:r>
    </w:p>
    <w:p w:rsidR="00DB09D7" w:rsidP="3A5FC3B6" w:rsidRDefault="00DB09D7" w14:paraId="42811562" w14:textId="13E0D06F" w14:noSpellErr="1">
      <w:pPr>
        <w:pStyle w:val="NoSpacing"/>
        <w:rPr>
          <w:color w:val="auto"/>
        </w:rPr>
      </w:pPr>
      <w:r w:rsidRPr="3A5FC3B6" w:rsidR="3A5FC3B6">
        <w:rPr>
          <w:color w:val="auto"/>
        </w:rPr>
        <w:t xml:space="preserve">ERAS, enhanced recovery after surgery. </w:t>
      </w:r>
    </w:p>
    <w:p w:rsidR="00DB09D7" w:rsidP="3A5FC3B6" w:rsidRDefault="00DB09D7" w14:paraId="6D1E1801" w14:textId="77777777" w14:noSpellErr="1">
      <w:pPr>
        <w:pStyle w:val="NoSpacing"/>
        <w:rPr>
          <w:color w:val="auto"/>
        </w:rPr>
      </w:pPr>
    </w:p>
    <w:p w:rsidRPr="009863CE" w:rsidR="00DB09D7" w:rsidP="3A5FC3B6" w:rsidRDefault="00DB09D7" w14:paraId="75F2654D" w14:textId="77777777" w14:noSpellErr="1">
      <w:pPr>
        <w:pStyle w:val="NoSpacing"/>
        <w:rPr>
          <w:b w:val="1"/>
          <w:bCs w:val="1"/>
          <w:color w:val="auto"/>
          <w:u w:val="single"/>
        </w:rPr>
      </w:pPr>
    </w:p>
    <w:p w:rsidR="00DB09D7" w:rsidP="3A5FC3B6" w:rsidRDefault="00DB09D7" w14:paraId="0BBCE609" w14:textId="77777777" w14:noSpellErr="1">
      <w:pPr>
        <w:pStyle w:val="NoSpacing"/>
        <w:rPr>
          <w:b w:val="1"/>
          <w:bCs w:val="1"/>
          <w:color w:val="auto"/>
          <w:u w:val="single"/>
        </w:rPr>
      </w:pPr>
      <w:r w:rsidRPr="0082226F">
        <w:rPr>
          <w:noProof/>
          <w:lang w:eastAsia="en-GB"/>
        </w:rPr>
        <w:lastRenderedPageBreak/>
        <w:drawing>
          <wp:anchor distT="0" distB="0" distL="114300" distR="114300" simplePos="0" relativeHeight="251668480" behindDoc="1" locked="0" layoutInCell="1" allowOverlap="1" wp14:anchorId="3C29E516" wp14:editId="2E465CD4">
            <wp:simplePos x="0" y="0"/>
            <wp:positionH relativeFrom="column">
              <wp:posOffset>-127635</wp:posOffset>
            </wp:positionH>
            <wp:positionV relativeFrom="paragraph">
              <wp:posOffset>299085</wp:posOffset>
            </wp:positionV>
            <wp:extent cx="6645910" cy="1915795"/>
            <wp:effectExtent l="0" t="0" r="2540" b="8255"/>
            <wp:wrapTight wrapText="bothSides">
              <wp:wrapPolygon edited="0">
                <wp:start x="0" y="0"/>
                <wp:lineTo x="0" y="21478"/>
                <wp:lineTo x="21546" y="21478"/>
                <wp:lineTo x="21546" y="0"/>
                <wp:lineTo x="0" y="0"/>
              </wp:wrapPolygon>
            </wp:wrapTight>
            <wp:docPr id="10" name="Picture 4" descr="Table&#10;&#10;Description automatically generated">
              <a:extLst xmlns:a="http://schemas.openxmlformats.org/drawingml/2006/main">
                <a:ext uri="{FF2B5EF4-FFF2-40B4-BE49-F238E27FC236}">
                  <a16:creationId xmlns:a16="http://schemas.microsoft.com/office/drawing/2014/main" id="{695ED254-8FEA-4F3E-9CAC-3D711352E170}"/>
                </a:ext>
              </a:extLst>
            </wp:docPr>
            <wp:cNvGraphicFramePr/>
            <a:graphic xmlns:a="http://schemas.openxmlformats.org/drawingml/2006/main">
              <a:graphicData uri="http://schemas.openxmlformats.org/drawingml/2006/picture">
                <pic:pic xmlns:pic="http://schemas.openxmlformats.org/drawingml/2006/picture">
                  <pic:nvPicPr>
                    <pic:cNvPr id="5" name="Picture 4" descr="Table&#10;&#10;Description automatically generated">
                      <a:extLst>
                        <a:ext uri="{FF2B5EF4-FFF2-40B4-BE49-F238E27FC236}">
                          <a16:creationId xmlns:a16="http://schemas.microsoft.com/office/drawing/2014/main" id="{695ED254-8FEA-4F3E-9CAC-3D711352E170}"/>
                        </a:ext>
                      </a:extLst>
                    </pic:cNvPr>
                    <pic:cNvPicPr/>
                  </pic:nvPicPr>
                  <pic:blipFill>
                    <a:blip r:embed="rId15">
                      <a:extLst>
                        <a:ext uri="{28A0092B-C50C-407E-A947-70E740481C1C}">
                          <a14:useLocalDpi xmlns:a14="http://schemas.microsoft.com/office/drawing/2010/main" val="0"/>
                        </a:ext>
                      </a:extLst>
                    </a:blip>
                    <a:stretch>
                      <a:fillRect/>
                    </a:stretch>
                  </pic:blipFill>
                  <pic:spPr>
                    <a:xfrm>
                      <a:off x="0" y="0"/>
                      <a:ext cx="6645910" cy="1915795"/>
                    </a:xfrm>
                    <a:prstGeom prst="rect">
                      <a:avLst/>
                    </a:prstGeom>
                  </pic:spPr>
                </pic:pic>
              </a:graphicData>
            </a:graphic>
          </wp:anchor>
        </w:drawing>
      </w:r>
      <w:r w:rsidRPr="3A5FC3B6">
        <w:rPr>
          <w:b w:val="1"/>
          <w:bCs w:val="1"/>
          <w:color w:val="auto"/>
          <w:u w:val="single"/>
        </w:rPr>
        <w:t>FIG.</w:t>
      </w:r>
      <w:r w:rsidRPr="3A5FC3B6">
        <w:rPr>
          <w:b w:val="1"/>
          <w:bCs w:val="1"/>
          <w:color w:val="auto"/>
          <w:u w:val="single"/>
        </w:rPr>
        <w:t xml:space="preserve"> 3: Meta-analysis of Major complications data</w:t>
      </w:r>
    </w:p>
    <w:p w:rsidRPr="00102FB5" w:rsidR="00DB09D7" w:rsidP="3A5FC3B6" w:rsidRDefault="00DB09D7" w14:paraId="3D2E86EE" w14:textId="68D1A6A8" w14:noSpellErr="1">
      <w:pPr>
        <w:pStyle w:val="NoSpacing"/>
        <w:rPr>
          <w:b w:val="1"/>
          <w:bCs w:val="1"/>
          <w:color w:val="auto"/>
          <w:u w:val="single"/>
        </w:rPr>
      </w:pPr>
      <w:r w:rsidRPr="3A5FC3B6" w:rsidR="3A5FC3B6">
        <w:rPr>
          <w:color w:val="auto"/>
        </w:rPr>
        <w:t xml:space="preserve">ERAS, enhanced recovery after surgery. </w:t>
      </w:r>
    </w:p>
    <w:p w:rsidR="00DB09D7" w:rsidP="3A5FC3B6" w:rsidRDefault="00DB09D7" w14:paraId="6F2535A1" w14:textId="77777777" w14:noSpellErr="1">
      <w:pPr>
        <w:pStyle w:val="NoSpacing"/>
        <w:rPr>
          <w:color w:val="auto"/>
        </w:rPr>
      </w:pPr>
    </w:p>
    <w:p w:rsidR="00DB09D7" w:rsidP="3A5FC3B6" w:rsidRDefault="00DB09D7" w14:paraId="13BD3DB1" w14:textId="77777777" w14:noSpellErr="1">
      <w:pPr>
        <w:pStyle w:val="NoSpacing"/>
        <w:rPr>
          <w:color w:val="auto"/>
        </w:rPr>
      </w:pPr>
    </w:p>
    <w:p w:rsidR="00DB09D7" w:rsidP="3A5FC3B6" w:rsidRDefault="00DB09D7" w14:paraId="040837C3" w14:textId="77777777" w14:noSpellErr="1">
      <w:pPr>
        <w:pStyle w:val="NoSpacing"/>
        <w:rPr>
          <w:color w:val="auto"/>
        </w:rPr>
      </w:pPr>
    </w:p>
    <w:p w:rsidRPr="00D23539" w:rsidR="00DB09D7" w:rsidP="3A5FC3B6" w:rsidRDefault="00DB09D7" w14:paraId="1919772E" w14:textId="52514B87" w14:noSpellErr="1">
      <w:pPr>
        <w:pStyle w:val="NoSpacing"/>
        <w:rPr>
          <w:b w:val="1"/>
          <w:bCs w:val="1"/>
          <w:color w:val="auto"/>
          <w:u w:val="single"/>
        </w:rPr>
      </w:pPr>
      <w:r w:rsidRPr="3A5FC3B6" w:rsidR="3A5FC3B6">
        <w:rPr>
          <w:b w:val="1"/>
          <w:bCs w:val="1"/>
          <w:color w:val="auto"/>
          <w:u w:val="single"/>
        </w:rPr>
        <w:t>FIG.</w:t>
      </w:r>
      <w:r w:rsidRPr="3A5FC3B6" w:rsidR="3A5FC3B6">
        <w:rPr>
          <w:b w:val="1"/>
          <w:bCs w:val="1"/>
          <w:color w:val="auto"/>
          <w:u w:val="single"/>
        </w:rPr>
        <w:t xml:space="preserve"> 4</w:t>
      </w:r>
      <w:r w:rsidRPr="3A5FC3B6" w:rsidR="3A5FC3B6">
        <w:rPr>
          <w:b w:val="1"/>
          <w:bCs w:val="1"/>
          <w:color w:val="auto"/>
          <w:u w:val="single"/>
        </w:rPr>
        <w:t xml:space="preserve">: </w:t>
      </w:r>
      <w:r w:rsidRPr="3A5FC3B6" w:rsidR="3A5FC3B6">
        <w:rPr>
          <w:b w:val="1"/>
          <w:bCs w:val="1"/>
          <w:color w:val="auto"/>
          <w:u w:val="single"/>
        </w:rPr>
        <w:t>Meta-analysis of 30-day mortality data</w:t>
      </w:r>
    </w:p>
    <w:p w:rsidR="00DB09D7" w:rsidP="3A5FC3B6" w:rsidRDefault="00DB09D7" w14:paraId="00FDF0A3" w14:textId="77777777" w14:noSpellErr="1">
      <w:pPr>
        <w:pStyle w:val="NoSpacing"/>
        <w:rPr>
          <w:color w:val="auto"/>
        </w:rPr>
      </w:pPr>
    </w:p>
    <w:p w:rsidR="00DB09D7" w:rsidP="3A5FC3B6" w:rsidRDefault="00DB09D7" w14:paraId="29055749" w14:textId="77777777" w14:noSpellErr="1">
      <w:pPr>
        <w:pStyle w:val="NoSpacing"/>
        <w:rPr>
          <w:color w:val="auto"/>
        </w:rPr>
      </w:pPr>
      <w:r>
        <w:drawing>
          <wp:inline wp14:editId="4EAC4CE6" wp14:anchorId="5C63F0B4">
            <wp:extent cx="6645910" cy="1844675"/>
            <wp:effectExtent l="0" t="0" r="2540" b="3175"/>
            <wp:docPr id="11" name="Picture 11" descr="Table&#10;&#10;Description automatically generated" title=""/>
            <wp:cNvGraphicFramePr>
              <a:graphicFrameLocks/>
            </wp:cNvGraphicFramePr>
            <a:graphic>
              <a:graphicData uri="http://schemas.openxmlformats.org/drawingml/2006/picture">
                <pic:pic>
                  <pic:nvPicPr>
                    <pic:cNvPr id="0" name="Picture 11"/>
                    <pic:cNvPicPr/>
                  </pic:nvPicPr>
                  <pic:blipFill>
                    <a:blip r:embed="R4a2ac65df47448e8">
                      <a:extLst xmlns:a="http://schemas.openxmlformats.org/drawingml/2006/main">
                        <a:ext uri="{FF2B5EF4-FFF2-40B4-BE49-F238E27FC236}">
                          <a16:creationId xmlns:a16="http://schemas.microsoft.com/office/drawing/2014/main" id="{0E179D60-239B-4522-8E1B-A5371F7BA54B}"/>
                        </a:ext>
                      </a:extLst>
                    </a:blip>
                    <a:stretch>
                      <a:fillRect/>
                    </a:stretch>
                  </pic:blipFill>
                  <pic:spPr>
                    <a:xfrm rot="0" flipH="0" flipV="0">
                      <a:off x="0" y="0"/>
                      <a:ext cx="6645910" cy="1844675"/>
                    </a:xfrm>
                    <a:prstGeom prst="rect">
                      <a:avLst/>
                    </a:prstGeom>
                  </pic:spPr>
                </pic:pic>
              </a:graphicData>
            </a:graphic>
          </wp:inline>
        </w:drawing>
      </w:r>
    </w:p>
    <w:p w:rsidRPr="0010290A" w:rsidR="00DB09D7" w:rsidP="3A5FC3B6" w:rsidRDefault="00DB09D7" w14:paraId="2A7152F5" w14:textId="13CB5828" w14:noSpellErr="1">
      <w:pPr>
        <w:pStyle w:val="NoSpacing"/>
        <w:rPr>
          <w:color w:val="auto"/>
        </w:rPr>
      </w:pPr>
      <w:r w:rsidRPr="3A5FC3B6" w:rsidR="3A5FC3B6">
        <w:rPr>
          <w:color w:val="auto"/>
        </w:rPr>
        <w:t xml:space="preserve">ERAS, enhanced recovery after surgery. </w:t>
      </w:r>
    </w:p>
    <w:sectPr w:rsidRPr="0010290A" w:rsidR="00DB09D7" w:rsidSect="00D01124">
      <w:pgSz w:w="11906" w:h="16838" w:orient="portrait"/>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33CB8" w:rsidP="00E33CB8" w:rsidRDefault="00E33CB8" w14:paraId="4F5F6D92" w14:textId="77777777">
      <w:pPr>
        <w:spacing w:after="0" w:line="240" w:lineRule="auto"/>
      </w:pPr>
      <w:r>
        <w:separator/>
      </w:r>
    </w:p>
  </w:endnote>
  <w:endnote w:type="continuationSeparator" w:id="0">
    <w:p w:rsidR="00E33CB8" w:rsidP="00E33CB8" w:rsidRDefault="00E33CB8" w14:paraId="51E6FDA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Times Roman"/>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33CB8" w:rsidP="00E33CB8" w:rsidRDefault="00E33CB8" w14:paraId="047A63DE" w14:textId="77777777">
      <w:pPr>
        <w:spacing w:after="0" w:line="240" w:lineRule="auto"/>
      </w:pPr>
      <w:r>
        <w:separator/>
      </w:r>
    </w:p>
  </w:footnote>
  <w:footnote w:type="continuationSeparator" w:id="0">
    <w:p w:rsidR="00E33CB8" w:rsidP="00E33CB8" w:rsidRDefault="00E33CB8" w14:paraId="2902C05F"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4C5E58"/>
    <w:multiLevelType w:val="hybridMultilevel"/>
    <w:tmpl w:val="4620A8E2"/>
    <w:lvl w:ilvl="0" w:tplc="0809000F">
      <w:start w:val="1"/>
      <w:numFmt w:val="decimal"/>
      <w:lvlText w:val="%1."/>
      <w:lvlJc w:val="left"/>
      <w:pPr>
        <w:ind w:left="502"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94C72AE"/>
    <w:multiLevelType w:val="hybridMultilevel"/>
    <w:tmpl w:val="DED40B9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3C12EB2"/>
    <w:multiLevelType w:val="hybridMultilevel"/>
    <w:tmpl w:val="F4EA6D1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A406BE9"/>
    <w:multiLevelType w:val="hybridMultilevel"/>
    <w:tmpl w:val="31DC24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124"/>
    <w:rsid w:val="00005A76"/>
    <w:rsid w:val="00021960"/>
    <w:rsid w:val="0002249F"/>
    <w:rsid w:val="000227B6"/>
    <w:rsid w:val="00027F22"/>
    <w:rsid w:val="0003672C"/>
    <w:rsid w:val="000455C2"/>
    <w:rsid w:val="00045D4D"/>
    <w:rsid w:val="000460B9"/>
    <w:rsid w:val="00050123"/>
    <w:rsid w:val="000510E8"/>
    <w:rsid w:val="00051ABD"/>
    <w:rsid w:val="0006446A"/>
    <w:rsid w:val="00070582"/>
    <w:rsid w:val="00071AF5"/>
    <w:rsid w:val="00081573"/>
    <w:rsid w:val="00084C56"/>
    <w:rsid w:val="00087929"/>
    <w:rsid w:val="00091B81"/>
    <w:rsid w:val="00095A40"/>
    <w:rsid w:val="00096FF2"/>
    <w:rsid w:val="00097998"/>
    <w:rsid w:val="00097CCF"/>
    <w:rsid w:val="000A27A3"/>
    <w:rsid w:val="000B319B"/>
    <w:rsid w:val="000B42B0"/>
    <w:rsid w:val="000C2A19"/>
    <w:rsid w:val="000D08E0"/>
    <w:rsid w:val="000D1589"/>
    <w:rsid w:val="000D4FAF"/>
    <w:rsid w:val="000E51CD"/>
    <w:rsid w:val="000F420F"/>
    <w:rsid w:val="000F781B"/>
    <w:rsid w:val="001022E8"/>
    <w:rsid w:val="0010290A"/>
    <w:rsid w:val="00102FB5"/>
    <w:rsid w:val="001169C1"/>
    <w:rsid w:val="001177E7"/>
    <w:rsid w:val="001269BA"/>
    <w:rsid w:val="0014286C"/>
    <w:rsid w:val="001457FD"/>
    <w:rsid w:val="00146182"/>
    <w:rsid w:val="0015639E"/>
    <w:rsid w:val="00170DA9"/>
    <w:rsid w:val="00172DE2"/>
    <w:rsid w:val="0017773A"/>
    <w:rsid w:val="00177B21"/>
    <w:rsid w:val="00192449"/>
    <w:rsid w:val="00197688"/>
    <w:rsid w:val="001A1CF5"/>
    <w:rsid w:val="001B2F1E"/>
    <w:rsid w:val="001B55D5"/>
    <w:rsid w:val="001C72F2"/>
    <w:rsid w:val="001E0DAD"/>
    <w:rsid w:val="001E36CE"/>
    <w:rsid w:val="001E47D8"/>
    <w:rsid w:val="001F4913"/>
    <w:rsid w:val="001F6A7F"/>
    <w:rsid w:val="00206524"/>
    <w:rsid w:val="00213D72"/>
    <w:rsid w:val="0021439F"/>
    <w:rsid w:val="002179EA"/>
    <w:rsid w:val="00226C58"/>
    <w:rsid w:val="00230DBA"/>
    <w:rsid w:val="00237C25"/>
    <w:rsid w:val="00240B44"/>
    <w:rsid w:val="00240DFF"/>
    <w:rsid w:val="00240EF2"/>
    <w:rsid w:val="00250645"/>
    <w:rsid w:val="002605E7"/>
    <w:rsid w:val="00274470"/>
    <w:rsid w:val="002821DD"/>
    <w:rsid w:val="002919F7"/>
    <w:rsid w:val="002A4A4F"/>
    <w:rsid w:val="002B32AD"/>
    <w:rsid w:val="002C2184"/>
    <w:rsid w:val="002C22D9"/>
    <w:rsid w:val="002C3511"/>
    <w:rsid w:val="002C5CDE"/>
    <w:rsid w:val="002C5D64"/>
    <w:rsid w:val="002C7902"/>
    <w:rsid w:val="002D025D"/>
    <w:rsid w:val="002D30A3"/>
    <w:rsid w:val="002E1DB4"/>
    <w:rsid w:val="002E3B83"/>
    <w:rsid w:val="002E66AD"/>
    <w:rsid w:val="002E7774"/>
    <w:rsid w:val="00311489"/>
    <w:rsid w:val="00312EA6"/>
    <w:rsid w:val="003179F6"/>
    <w:rsid w:val="0032569C"/>
    <w:rsid w:val="003333DE"/>
    <w:rsid w:val="003451AC"/>
    <w:rsid w:val="00346DD6"/>
    <w:rsid w:val="00350A99"/>
    <w:rsid w:val="00391423"/>
    <w:rsid w:val="0039358C"/>
    <w:rsid w:val="003939EC"/>
    <w:rsid w:val="003C1B70"/>
    <w:rsid w:val="003C369B"/>
    <w:rsid w:val="003C46E3"/>
    <w:rsid w:val="003C6CD6"/>
    <w:rsid w:val="003E26AF"/>
    <w:rsid w:val="003F2827"/>
    <w:rsid w:val="003F2B4F"/>
    <w:rsid w:val="003F568C"/>
    <w:rsid w:val="003F7931"/>
    <w:rsid w:val="00400044"/>
    <w:rsid w:val="004050A9"/>
    <w:rsid w:val="004069BE"/>
    <w:rsid w:val="0042082F"/>
    <w:rsid w:val="0042457E"/>
    <w:rsid w:val="00432BD3"/>
    <w:rsid w:val="00434707"/>
    <w:rsid w:val="00444731"/>
    <w:rsid w:val="0044562E"/>
    <w:rsid w:val="00446117"/>
    <w:rsid w:val="00451294"/>
    <w:rsid w:val="00451E14"/>
    <w:rsid w:val="00453F2E"/>
    <w:rsid w:val="004550DB"/>
    <w:rsid w:val="004611BC"/>
    <w:rsid w:val="00463A1F"/>
    <w:rsid w:val="004733E4"/>
    <w:rsid w:val="00474201"/>
    <w:rsid w:val="004800D3"/>
    <w:rsid w:val="0048335D"/>
    <w:rsid w:val="004B2A9B"/>
    <w:rsid w:val="004B4F7E"/>
    <w:rsid w:val="004B66D3"/>
    <w:rsid w:val="004C6B11"/>
    <w:rsid w:val="004D015D"/>
    <w:rsid w:val="004D1C66"/>
    <w:rsid w:val="004D3ACE"/>
    <w:rsid w:val="004D6D6F"/>
    <w:rsid w:val="004E67A8"/>
    <w:rsid w:val="004F1667"/>
    <w:rsid w:val="004F571A"/>
    <w:rsid w:val="004F58BA"/>
    <w:rsid w:val="004F7185"/>
    <w:rsid w:val="005031D1"/>
    <w:rsid w:val="00512A5A"/>
    <w:rsid w:val="00523FCB"/>
    <w:rsid w:val="00526F87"/>
    <w:rsid w:val="00537DC0"/>
    <w:rsid w:val="00543358"/>
    <w:rsid w:val="00552101"/>
    <w:rsid w:val="00553C56"/>
    <w:rsid w:val="00565907"/>
    <w:rsid w:val="005666A9"/>
    <w:rsid w:val="00577B4D"/>
    <w:rsid w:val="005804D4"/>
    <w:rsid w:val="005904B3"/>
    <w:rsid w:val="005A3DC2"/>
    <w:rsid w:val="005A62A5"/>
    <w:rsid w:val="005D089B"/>
    <w:rsid w:val="005D17D7"/>
    <w:rsid w:val="005D603F"/>
    <w:rsid w:val="005E2F6E"/>
    <w:rsid w:val="005E3EEF"/>
    <w:rsid w:val="005F78DD"/>
    <w:rsid w:val="006050D5"/>
    <w:rsid w:val="006206D1"/>
    <w:rsid w:val="0062077F"/>
    <w:rsid w:val="0062138D"/>
    <w:rsid w:val="00623F4B"/>
    <w:rsid w:val="00631319"/>
    <w:rsid w:val="00636F19"/>
    <w:rsid w:val="006462E6"/>
    <w:rsid w:val="006615DD"/>
    <w:rsid w:val="00675F5C"/>
    <w:rsid w:val="00681D08"/>
    <w:rsid w:val="00690358"/>
    <w:rsid w:val="00690D6C"/>
    <w:rsid w:val="00696125"/>
    <w:rsid w:val="006A1A9E"/>
    <w:rsid w:val="006A733A"/>
    <w:rsid w:val="006B6E19"/>
    <w:rsid w:val="006C15E6"/>
    <w:rsid w:val="006D04CD"/>
    <w:rsid w:val="006D14A6"/>
    <w:rsid w:val="006D1830"/>
    <w:rsid w:val="006D58A1"/>
    <w:rsid w:val="006F160A"/>
    <w:rsid w:val="006F3C4A"/>
    <w:rsid w:val="006F716D"/>
    <w:rsid w:val="007216B3"/>
    <w:rsid w:val="00723E5B"/>
    <w:rsid w:val="00724CF3"/>
    <w:rsid w:val="007269B3"/>
    <w:rsid w:val="0073677B"/>
    <w:rsid w:val="00755357"/>
    <w:rsid w:val="00761500"/>
    <w:rsid w:val="0076300E"/>
    <w:rsid w:val="0077215C"/>
    <w:rsid w:val="00772CC3"/>
    <w:rsid w:val="00777161"/>
    <w:rsid w:val="00780B7C"/>
    <w:rsid w:val="0078260C"/>
    <w:rsid w:val="00782C6D"/>
    <w:rsid w:val="00786E76"/>
    <w:rsid w:val="00787242"/>
    <w:rsid w:val="00790524"/>
    <w:rsid w:val="007926C7"/>
    <w:rsid w:val="00797EC9"/>
    <w:rsid w:val="007A6718"/>
    <w:rsid w:val="007A70F9"/>
    <w:rsid w:val="007A7A2F"/>
    <w:rsid w:val="007B20B1"/>
    <w:rsid w:val="007B3D07"/>
    <w:rsid w:val="007C5B4F"/>
    <w:rsid w:val="007D3DF6"/>
    <w:rsid w:val="007D62A4"/>
    <w:rsid w:val="007E1DAC"/>
    <w:rsid w:val="007E399E"/>
    <w:rsid w:val="007F4E5F"/>
    <w:rsid w:val="007F7440"/>
    <w:rsid w:val="0083007F"/>
    <w:rsid w:val="00833790"/>
    <w:rsid w:val="00842526"/>
    <w:rsid w:val="00846A3B"/>
    <w:rsid w:val="008519F2"/>
    <w:rsid w:val="00853B7C"/>
    <w:rsid w:val="00862A55"/>
    <w:rsid w:val="00864536"/>
    <w:rsid w:val="00865180"/>
    <w:rsid w:val="008734F2"/>
    <w:rsid w:val="008769BD"/>
    <w:rsid w:val="00877BD8"/>
    <w:rsid w:val="00881572"/>
    <w:rsid w:val="008910A6"/>
    <w:rsid w:val="008932A8"/>
    <w:rsid w:val="0089756F"/>
    <w:rsid w:val="008A3E84"/>
    <w:rsid w:val="008B1C26"/>
    <w:rsid w:val="008C7211"/>
    <w:rsid w:val="008E0647"/>
    <w:rsid w:val="008E1BB1"/>
    <w:rsid w:val="008E2748"/>
    <w:rsid w:val="008E60EE"/>
    <w:rsid w:val="008E6FA8"/>
    <w:rsid w:val="008F4DD0"/>
    <w:rsid w:val="009014B0"/>
    <w:rsid w:val="00901D40"/>
    <w:rsid w:val="009028F7"/>
    <w:rsid w:val="00902D17"/>
    <w:rsid w:val="0091772F"/>
    <w:rsid w:val="009245FA"/>
    <w:rsid w:val="00924D98"/>
    <w:rsid w:val="00926B73"/>
    <w:rsid w:val="0093388C"/>
    <w:rsid w:val="009371FB"/>
    <w:rsid w:val="00944709"/>
    <w:rsid w:val="00945004"/>
    <w:rsid w:val="00950C73"/>
    <w:rsid w:val="0095234F"/>
    <w:rsid w:val="00953D6E"/>
    <w:rsid w:val="00954B7A"/>
    <w:rsid w:val="0096528B"/>
    <w:rsid w:val="00965980"/>
    <w:rsid w:val="0096706D"/>
    <w:rsid w:val="00971D52"/>
    <w:rsid w:val="00972EFA"/>
    <w:rsid w:val="00980C35"/>
    <w:rsid w:val="00984519"/>
    <w:rsid w:val="00991C57"/>
    <w:rsid w:val="009977B6"/>
    <w:rsid w:val="009B4454"/>
    <w:rsid w:val="009B4E04"/>
    <w:rsid w:val="009E5F95"/>
    <w:rsid w:val="009F6C71"/>
    <w:rsid w:val="009F727C"/>
    <w:rsid w:val="00A03D43"/>
    <w:rsid w:val="00A07EBA"/>
    <w:rsid w:val="00A15CC3"/>
    <w:rsid w:val="00A17163"/>
    <w:rsid w:val="00A242FB"/>
    <w:rsid w:val="00A2582F"/>
    <w:rsid w:val="00A40DC8"/>
    <w:rsid w:val="00A5000E"/>
    <w:rsid w:val="00A524CF"/>
    <w:rsid w:val="00A56964"/>
    <w:rsid w:val="00A57F00"/>
    <w:rsid w:val="00A8044D"/>
    <w:rsid w:val="00A866A4"/>
    <w:rsid w:val="00A95314"/>
    <w:rsid w:val="00AA17A5"/>
    <w:rsid w:val="00AC0D7B"/>
    <w:rsid w:val="00AC310C"/>
    <w:rsid w:val="00AD0C10"/>
    <w:rsid w:val="00AD1CA6"/>
    <w:rsid w:val="00AD3375"/>
    <w:rsid w:val="00AD73BF"/>
    <w:rsid w:val="00AE0E94"/>
    <w:rsid w:val="00AE1819"/>
    <w:rsid w:val="00AF1E35"/>
    <w:rsid w:val="00AF2138"/>
    <w:rsid w:val="00B02E3F"/>
    <w:rsid w:val="00B0471B"/>
    <w:rsid w:val="00B068B0"/>
    <w:rsid w:val="00B14E5A"/>
    <w:rsid w:val="00B15732"/>
    <w:rsid w:val="00B200FE"/>
    <w:rsid w:val="00B27B73"/>
    <w:rsid w:val="00B307B0"/>
    <w:rsid w:val="00B312EA"/>
    <w:rsid w:val="00B314C0"/>
    <w:rsid w:val="00B324A3"/>
    <w:rsid w:val="00B3278C"/>
    <w:rsid w:val="00B34C8A"/>
    <w:rsid w:val="00B37AD9"/>
    <w:rsid w:val="00B478AC"/>
    <w:rsid w:val="00B52911"/>
    <w:rsid w:val="00B57459"/>
    <w:rsid w:val="00B62869"/>
    <w:rsid w:val="00B62AF7"/>
    <w:rsid w:val="00B633AE"/>
    <w:rsid w:val="00B641A3"/>
    <w:rsid w:val="00B67EC8"/>
    <w:rsid w:val="00B703DC"/>
    <w:rsid w:val="00B71213"/>
    <w:rsid w:val="00B803B7"/>
    <w:rsid w:val="00B87E40"/>
    <w:rsid w:val="00B90F4C"/>
    <w:rsid w:val="00B92A42"/>
    <w:rsid w:val="00BB0875"/>
    <w:rsid w:val="00BB2F5B"/>
    <w:rsid w:val="00BB3878"/>
    <w:rsid w:val="00BB5B6A"/>
    <w:rsid w:val="00BC1255"/>
    <w:rsid w:val="00BC168E"/>
    <w:rsid w:val="00BD169A"/>
    <w:rsid w:val="00BD20A3"/>
    <w:rsid w:val="00BD39E9"/>
    <w:rsid w:val="00BD5263"/>
    <w:rsid w:val="00BE367D"/>
    <w:rsid w:val="00BE39E5"/>
    <w:rsid w:val="00BE7846"/>
    <w:rsid w:val="00C1135F"/>
    <w:rsid w:val="00C1654A"/>
    <w:rsid w:val="00C16ACD"/>
    <w:rsid w:val="00C24BB1"/>
    <w:rsid w:val="00C24CAB"/>
    <w:rsid w:val="00C33AF4"/>
    <w:rsid w:val="00C352D6"/>
    <w:rsid w:val="00C4039F"/>
    <w:rsid w:val="00C41467"/>
    <w:rsid w:val="00C52FE4"/>
    <w:rsid w:val="00C54C64"/>
    <w:rsid w:val="00C54F37"/>
    <w:rsid w:val="00C62333"/>
    <w:rsid w:val="00C6711B"/>
    <w:rsid w:val="00C769BE"/>
    <w:rsid w:val="00C83F55"/>
    <w:rsid w:val="00C94F77"/>
    <w:rsid w:val="00CA70B5"/>
    <w:rsid w:val="00CB24E4"/>
    <w:rsid w:val="00CB78AC"/>
    <w:rsid w:val="00CD0E7F"/>
    <w:rsid w:val="00CD1E44"/>
    <w:rsid w:val="00CD213C"/>
    <w:rsid w:val="00CD454C"/>
    <w:rsid w:val="00CE1390"/>
    <w:rsid w:val="00CE1B75"/>
    <w:rsid w:val="00CE2E57"/>
    <w:rsid w:val="00CE38F6"/>
    <w:rsid w:val="00CF2A42"/>
    <w:rsid w:val="00CF2CAF"/>
    <w:rsid w:val="00CF5EA0"/>
    <w:rsid w:val="00CF6776"/>
    <w:rsid w:val="00D01124"/>
    <w:rsid w:val="00D05195"/>
    <w:rsid w:val="00D06908"/>
    <w:rsid w:val="00D13528"/>
    <w:rsid w:val="00D159DF"/>
    <w:rsid w:val="00D24ADC"/>
    <w:rsid w:val="00D26445"/>
    <w:rsid w:val="00D2653F"/>
    <w:rsid w:val="00D31DB1"/>
    <w:rsid w:val="00D3469F"/>
    <w:rsid w:val="00D354B3"/>
    <w:rsid w:val="00D42592"/>
    <w:rsid w:val="00D5493F"/>
    <w:rsid w:val="00D574EA"/>
    <w:rsid w:val="00D60300"/>
    <w:rsid w:val="00D60FDD"/>
    <w:rsid w:val="00D667AA"/>
    <w:rsid w:val="00D73CF0"/>
    <w:rsid w:val="00D87933"/>
    <w:rsid w:val="00D92DA4"/>
    <w:rsid w:val="00D94FEC"/>
    <w:rsid w:val="00DB09D7"/>
    <w:rsid w:val="00DB17CD"/>
    <w:rsid w:val="00DB3024"/>
    <w:rsid w:val="00DB6F86"/>
    <w:rsid w:val="00DC0B55"/>
    <w:rsid w:val="00DC3E75"/>
    <w:rsid w:val="00DD00B9"/>
    <w:rsid w:val="00DD1250"/>
    <w:rsid w:val="00DD23CD"/>
    <w:rsid w:val="00E016BB"/>
    <w:rsid w:val="00E12081"/>
    <w:rsid w:val="00E23711"/>
    <w:rsid w:val="00E254D7"/>
    <w:rsid w:val="00E25EC5"/>
    <w:rsid w:val="00E33CB8"/>
    <w:rsid w:val="00E36A8B"/>
    <w:rsid w:val="00E37941"/>
    <w:rsid w:val="00E43C8B"/>
    <w:rsid w:val="00E44692"/>
    <w:rsid w:val="00E51465"/>
    <w:rsid w:val="00E5157F"/>
    <w:rsid w:val="00E57C39"/>
    <w:rsid w:val="00E614C3"/>
    <w:rsid w:val="00E837B9"/>
    <w:rsid w:val="00E9366D"/>
    <w:rsid w:val="00EA0020"/>
    <w:rsid w:val="00EA095E"/>
    <w:rsid w:val="00EA3102"/>
    <w:rsid w:val="00EA38C4"/>
    <w:rsid w:val="00EB114F"/>
    <w:rsid w:val="00EB71A4"/>
    <w:rsid w:val="00EC5B34"/>
    <w:rsid w:val="00EC73BC"/>
    <w:rsid w:val="00ED33E5"/>
    <w:rsid w:val="00EE07F1"/>
    <w:rsid w:val="00EE17E5"/>
    <w:rsid w:val="00EE4B85"/>
    <w:rsid w:val="00EE73E2"/>
    <w:rsid w:val="00EF1B88"/>
    <w:rsid w:val="00F14D01"/>
    <w:rsid w:val="00F15D89"/>
    <w:rsid w:val="00F171A0"/>
    <w:rsid w:val="00F2312C"/>
    <w:rsid w:val="00F24E57"/>
    <w:rsid w:val="00F2785C"/>
    <w:rsid w:val="00F31681"/>
    <w:rsid w:val="00F43E56"/>
    <w:rsid w:val="00F45E5C"/>
    <w:rsid w:val="00F4715A"/>
    <w:rsid w:val="00F52E5F"/>
    <w:rsid w:val="00F63B34"/>
    <w:rsid w:val="00F84F19"/>
    <w:rsid w:val="00F94861"/>
    <w:rsid w:val="00FA1AC6"/>
    <w:rsid w:val="00FB0D9A"/>
    <w:rsid w:val="00FC4393"/>
    <w:rsid w:val="00FE0195"/>
    <w:rsid w:val="00FE28D0"/>
    <w:rsid w:val="3A5FC3B6"/>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6A7EA"/>
  <w15:docId w15:val="{04968C62-E299-4966-AAE1-10ADD7C87CD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7215C"/>
  </w:style>
  <w:style w:type="paragraph" w:styleId="Heading1">
    <w:name w:val="heading 1"/>
    <w:basedOn w:val="Normal"/>
    <w:link w:val="Heading1Char"/>
    <w:uiPriority w:val="9"/>
    <w:rsid w:val="002C22D9"/>
    <w:pPr>
      <w:spacing w:beforeLines="1" w:afterLines="1" w:line="240" w:lineRule="auto"/>
      <w:outlineLvl w:val="0"/>
    </w:pPr>
    <w:rPr>
      <w:rFonts w:ascii="Times" w:hAnsi="Times"/>
      <w:b/>
      <w:kern w:val="36"/>
      <w:sz w:val="48"/>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1"/>
    <w:qFormat/>
    <w:rsid w:val="00D01124"/>
    <w:pPr>
      <w:spacing w:after="0" w:line="240" w:lineRule="auto"/>
    </w:pPr>
  </w:style>
  <w:style w:type="paragraph" w:styleId="ListParagraph">
    <w:name w:val="List Paragraph"/>
    <w:basedOn w:val="Normal"/>
    <w:uiPriority w:val="34"/>
    <w:qFormat/>
    <w:rsid w:val="00391423"/>
    <w:pPr>
      <w:ind w:left="720"/>
      <w:contextualSpacing/>
    </w:pPr>
  </w:style>
  <w:style w:type="character" w:styleId="Hyperlink">
    <w:name w:val="Hyperlink"/>
    <w:basedOn w:val="DefaultParagraphFont"/>
    <w:uiPriority w:val="99"/>
    <w:unhideWhenUsed/>
    <w:rsid w:val="004D015D"/>
    <w:rPr>
      <w:color w:val="0563C1" w:themeColor="hyperlink"/>
      <w:u w:val="single"/>
    </w:rPr>
  </w:style>
  <w:style w:type="character" w:styleId="UnresolvedMention1" w:customStyle="1">
    <w:name w:val="Unresolved Mention1"/>
    <w:basedOn w:val="DefaultParagraphFont"/>
    <w:uiPriority w:val="99"/>
    <w:semiHidden/>
    <w:unhideWhenUsed/>
    <w:rsid w:val="004D015D"/>
    <w:rPr>
      <w:color w:val="605E5C"/>
      <w:shd w:val="clear" w:color="auto" w:fill="E1DFDD"/>
    </w:rPr>
  </w:style>
  <w:style w:type="character" w:styleId="CommentReference">
    <w:name w:val="annotation reference"/>
    <w:basedOn w:val="DefaultParagraphFont"/>
    <w:uiPriority w:val="99"/>
    <w:semiHidden/>
    <w:unhideWhenUsed/>
    <w:rsid w:val="00696125"/>
    <w:rPr>
      <w:sz w:val="16"/>
      <w:szCs w:val="16"/>
    </w:rPr>
  </w:style>
  <w:style w:type="paragraph" w:styleId="CommentText">
    <w:name w:val="annotation text"/>
    <w:basedOn w:val="Normal"/>
    <w:link w:val="CommentTextChar"/>
    <w:uiPriority w:val="99"/>
    <w:semiHidden/>
    <w:unhideWhenUsed/>
    <w:rsid w:val="00696125"/>
    <w:pPr>
      <w:spacing w:line="240" w:lineRule="auto"/>
    </w:pPr>
    <w:rPr>
      <w:sz w:val="20"/>
      <w:szCs w:val="20"/>
    </w:rPr>
  </w:style>
  <w:style w:type="character" w:styleId="CommentTextChar" w:customStyle="1">
    <w:name w:val="Comment Text Char"/>
    <w:basedOn w:val="DefaultParagraphFont"/>
    <w:link w:val="CommentText"/>
    <w:uiPriority w:val="99"/>
    <w:semiHidden/>
    <w:rsid w:val="00696125"/>
    <w:rPr>
      <w:sz w:val="20"/>
      <w:szCs w:val="20"/>
    </w:rPr>
  </w:style>
  <w:style w:type="paragraph" w:styleId="CommentSubject">
    <w:name w:val="annotation subject"/>
    <w:basedOn w:val="CommentText"/>
    <w:next w:val="CommentText"/>
    <w:link w:val="CommentSubjectChar"/>
    <w:uiPriority w:val="99"/>
    <w:semiHidden/>
    <w:unhideWhenUsed/>
    <w:rsid w:val="00696125"/>
    <w:rPr>
      <w:b/>
      <w:bCs/>
    </w:rPr>
  </w:style>
  <w:style w:type="character" w:styleId="CommentSubjectChar" w:customStyle="1">
    <w:name w:val="Comment Subject Char"/>
    <w:basedOn w:val="CommentTextChar"/>
    <w:link w:val="CommentSubject"/>
    <w:uiPriority w:val="99"/>
    <w:semiHidden/>
    <w:rsid w:val="00696125"/>
    <w:rPr>
      <w:b/>
      <w:bCs/>
      <w:sz w:val="20"/>
      <w:szCs w:val="20"/>
    </w:rPr>
  </w:style>
  <w:style w:type="paragraph" w:styleId="BalloonText">
    <w:name w:val="Balloon Text"/>
    <w:basedOn w:val="Normal"/>
    <w:link w:val="BalloonTextChar"/>
    <w:uiPriority w:val="99"/>
    <w:semiHidden/>
    <w:unhideWhenUsed/>
    <w:rsid w:val="00696125"/>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696125"/>
    <w:rPr>
      <w:rFonts w:ascii="Tahoma" w:hAnsi="Tahoma" w:cs="Tahoma"/>
      <w:sz w:val="16"/>
      <w:szCs w:val="16"/>
    </w:rPr>
  </w:style>
  <w:style w:type="character" w:styleId="apple-converted-space" w:customStyle="1">
    <w:name w:val="apple-converted-space"/>
    <w:basedOn w:val="DefaultParagraphFont"/>
    <w:rsid w:val="002C22D9"/>
  </w:style>
  <w:style w:type="character" w:styleId="Emphasis">
    <w:name w:val="Emphasis"/>
    <w:basedOn w:val="DefaultParagraphFont"/>
    <w:uiPriority w:val="20"/>
    <w:rsid w:val="002C22D9"/>
    <w:rPr>
      <w:i/>
    </w:rPr>
  </w:style>
  <w:style w:type="character" w:styleId="Heading1Char" w:customStyle="1">
    <w:name w:val="Heading 1 Char"/>
    <w:basedOn w:val="DefaultParagraphFont"/>
    <w:link w:val="Heading1"/>
    <w:uiPriority w:val="9"/>
    <w:rsid w:val="002C22D9"/>
    <w:rPr>
      <w:rFonts w:ascii="Times" w:hAnsi="Times"/>
      <w:b/>
      <w:kern w:val="36"/>
      <w:sz w:val="48"/>
      <w:szCs w:val="20"/>
    </w:rPr>
  </w:style>
  <w:style w:type="character" w:styleId="FollowedHyperlink">
    <w:name w:val="FollowedHyperlink"/>
    <w:basedOn w:val="DefaultParagraphFont"/>
    <w:uiPriority w:val="99"/>
    <w:semiHidden/>
    <w:unhideWhenUsed/>
    <w:rsid w:val="002C22D9"/>
    <w:rPr>
      <w:color w:val="954F72" w:themeColor="followedHyperlink"/>
      <w:u w:val="single"/>
    </w:rPr>
  </w:style>
  <w:style w:type="character" w:styleId="UnresolvedMention2" w:customStyle="1">
    <w:name w:val="Unresolved Mention2"/>
    <w:basedOn w:val="DefaultParagraphFont"/>
    <w:uiPriority w:val="99"/>
    <w:semiHidden/>
    <w:unhideWhenUsed/>
    <w:rsid w:val="002A4A4F"/>
    <w:rPr>
      <w:color w:val="605E5C"/>
      <w:shd w:val="clear" w:color="auto" w:fill="E1DFDD"/>
    </w:rPr>
  </w:style>
  <w:style w:type="paragraph" w:styleId="Revision">
    <w:name w:val="Revision"/>
    <w:hidden/>
    <w:uiPriority w:val="99"/>
    <w:semiHidden/>
    <w:rsid w:val="0010290A"/>
    <w:pPr>
      <w:spacing w:after="0" w:line="240" w:lineRule="auto"/>
    </w:pPr>
  </w:style>
  <w:style w:type="paragraph" w:styleId="Header">
    <w:name w:val="header"/>
    <w:basedOn w:val="Normal"/>
    <w:link w:val="HeaderChar"/>
    <w:uiPriority w:val="99"/>
    <w:unhideWhenUsed/>
    <w:rsid w:val="00E33CB8"/>
    <w:pPr>
      <w:tabs>
        <w:tab w:val="center" w:pos="4513"/>
        <w:tab w:val="right" w:pos="9026"/>
      </w:tabs>
      <w:spacing w:after="0" w:line="240" w:lineRule="auto"/>
    </w:pPr>
  </w:style>
  <w:style w:type="character" w:styleId="HeaderChar" w:customStyle="1">
    <w:name w:val="Header Char"/>
    <w:basedOn w:val="DefaultParagraphFont"/>
    <w:link w:val="Header"/>
    <w:uiPriority w:val="99"/>
    <w:rsid w:val="00E33CB8"/>
  </w:style>
  <w:style w:type="paragraph" w:styleId="Footer">
    <w:name w:val="footer"/>
    <w:basedOn w:val="Normal"/>
    <w:link w:val="FooterChar"/>
    <w:uiPriority w:val="99"/>
    <w:unhideWhenUsed/>
    <w:rsid w:val="00E33CB8"/>
    <w:pPr>
      <w:tabs>
        <w:tab w:val="center" w:pos="4513"/>
        <w:tab w:val="right" w:pos="9026"/>
      </w:tabs>
      <w:spacing w:after="0" w:line="240" w:lineRule="auto"/>
    </w:pPr>
  </w:style>
  <w:style w:type="character" w:styleId="FooterChar" w:customStyle="1">
    <w:name w:val="Footer Char"/>
    <w:basedOn w:val="DefaultParagraphFont"/>
    <w:link w:val="Footer"/>
    <w:uiPriority w:val="99"/>
    <w:rsid w:val="00E33CB8"/>
  </w:style>
  <w:style w:type="character" w:styleId="UnresolvedMention">
    <w:name w:val="Unresolved Mention"/>
    <w:basedOn w:val="DefaultParagraphFont"/>
    <w:uiPriority w:val="99"/>
    <w:semiHidden/>
    <w:unhideWhenUsed/>
    <w:rsid w:val="002C21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027600">
      <w:bodyDiv w:val="1"/>
      <w:marLeft w:val="0"/>
      <w:marRight w:val="0"/>
      <w:marTop w:val="0"/>
      <w:marBottom w:val="0"/>
      <w:divBdr>
        <w:top w:val="none" w:sz="0" w:space="0" w:color="auto"/>
        <w:left w:val="none" w:sz="0" w:space="0" w:color="auto"/>
        <w:bottom w:val="none" w:sz="0" w:space="0" w:color="auto"/>
        <w:right w:val="none" w:sz="0" w:space="0" w:color="auto"/>
      </w:divBdr>
    </w:div>
    <w:div w:id="260187134">
      <w:bodyDiv w:val="1"/>
      <w:marLeft w:val="0"/>
      <w:marRight w:val="0"/>
      <w:marTop w:val="0"/>
      <w:marBottom w:val="0"/>
      <w:divBdr>
        <w:top w:val="none" w:sz="0" w:space="0" w:color="auto"/>
        <w:left w:val="none" w:sz="0" w:space="0" w:color="auto"/>
        <w:bottom w:val="none" w:sz="0" w:space="0" w:color="auto"/>
        <w:right w:val="none" w:sz="0" w:space="0" w:color="auto"/>
      </w:divBdr>
    </w:div>
    <w:div w:id="971207933">
      <w:bodyDiv w:val="1"/>
      <w:marLeft w:val="0"/>
      <w:marRight w:val="0"/>
      <w:marTop w:val="0"/>
      <w:marBottom w:val="0"/>
      <w:divBdr>
        <w:top w:val="none" w:sz="0" w:space="0" w:color="auto"/>
        <w:left w:val="none" w:sz="0" w:space="0" w:color="auto"/>
        <w:bottom w:val="none" w:sz="0" w:space="0" w:color="auto"/>
        <w:right w:val="none" w:sz="0" w:space="0" w:color="auto"/>
      </w:divBdr>
    </w:div>
    <w:div w:id="1196163401">
      <w:bodyDiv w:val="1"/>
      <w:marLeft w:val="0"/>
      <w:marRight w:val="0"/>
      <w:marTop w:val="0"/>
      <w:marBottom w:val="0"/>
      <w:divBdr>
        <w:top w:val="none" w:sz="0" w:space="0" w:color="auto"/>
        <w:left w:val="none" w:sz="0" w:space="0" w:color="auto"/>
        <w:bottom w:val="none" w:sz="0" w:space="0" w:color="auto"/>
        <w:right w:val="none" w:sz="0" w:space="0" w:color="auto"/>
      </w:divBdr>
    </w:div>
    <w:div w:id="1404139649">
      <w:bodyDiv w:val="1"/>
      <w:marLeft w:val="0"/>
      <w:marRight w:val="0"/>
      <w:marTop w:val="0"/>
      <w:marBottom w:val="0"/>
      <w:divBdr>
        <w:top w:val="none" w:sz="0" w:space="0" w:color="auto"/>
        <w:left w:val="none" w:sz="0" w:space="0" w:color="auto"/>
        <w:bottom w:val="none" w:sz="0" w:space="0" w:color="auto"/>
        <w:right w:val="none" w:sz="0" w:space="0" w:color="auto"/>
      </w:divBdr>
    </w:div>
    <w:div w:id="1652250143">
      <w:bodyDiv w:val="1"/>
      <w:marLeft w:val="0"/>
      <w:marRight w:val="0"/>
      <w:marTop w:val="0"/>
      <w:marBottom w:val="0"/>
      <w:divBdr>
        <w:top w:val="none" w:sz="0" w:space="0" w:color="auto"/>
        <w:left w:val="none" w:sz="0" w:space="0" w:color="auto"/>
        <w:bottom w:val="none" w:sz="0" w:space="0" w:color="auto"/>
        <w:right w:val="none" w:sz="0" w:space="0" w:color="auto"/>
      </w:divBdr>
    </w:div>
    <w:div w:id="1672836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13" /><Relationship Type="http://schemas.openxmlformats.org/officeDocument/2006/relationships/theme" Target="theme/theme1.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image" Target="media/image3.png" Id="rId15" /><Relationship Type="http://schemas.openxmlformats.org/officeDocument/2006/relationships/settings" Target="settings.xml" Id="rId4" /><Relationship Type="http://schemas.openxmlformats.org/officeDocument/2006/relationships/hyperlink" Target="mailto:jack.docherty@doctors.org.uk" TargetMode="External" Id="R17da0cc9333f4071" /><Relationship Type="http://schemas.openxmlformats.org/officeDocument/2006/relationships/hyperlink" Target="https://erassociety.org/guidelines/" TargetMode="External" Id="R9ed017431ac343db" /><Relationship Type="http://schemas.openxmlformats.org/officeDocument/2006/relationships/hyperlink" Target="http://www.ohri.ca/programs/clinical_epidemiology/oxford.asp" TargetMode="External" Id="Rb80904c700c148d0" /><Relationship Type="http://schemas.openxmlformats.org/officeDocument/2006/relationships/hyperlink" Target="http://www.training.cochrane.org/handbook" TargetMode="External" Id="R96e14759787349f9" /><Relationship Type="http://schemas.openxmlformats.org/officeDocument/2006/relationships/hyperlink" Target="https://www.nice.org.uk/guidance/ng156" TargetMode="External" Id="R51af0f0989f445bf" /><Relationship Type="http://schemas.openxmlformats.org/officeDocument/2006/relationships/image" Target="/media/image5.png" Id="Rebc7f2e163b64924" /><Relationship Type="http://schemas.openxmlformats.org/officeDocument/2006/relationships/image" Target="/media/image6.png" Id="R4a2ac65df47448e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A414C0-D0A4-4D68-88C0-70D07026838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NNUHFT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Jack Docherty</dc:creator>
  <keywords/>
  <lastModifiedBy>Jack Docherty</lastModifiedBy>
  <revision>213</revision>
  <dcterms:created xsi:type="dcterms:W3CDTF">2022-03-31T18:13:00.0000000Z</dcterms:created>
  <dcterms:modified xsi:type="dcterms:W3CDTF">2023-05-19T10:33:41.5091903Z</dcterms:modified>
</coreProperties>
</file>