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2252" w14:textId="57A94F7D" w:rsidR="00092779" w:rsidRPr="00133C85" w:rsidRDefault="002D6860" w:rsidP="00BB0FD7">
      <w:pPr>
        <w:pStyle w:val="Heading1"/>
        <w:spacing w:line="360" w:lineRule="auto"/>
        <w:jc w:val="both"/>
        <w:rPr>
          <w:rFonts w:asciiTheme="majorBidi" w:hAnsiTheme="majorBidi"/>
          <w:sz w:val="24"/>
          <w:szCs w:val="24"/>
        </w:rPr>
      </w:pPr>
      <w:r w:rsidRPr="00133C85">
        <w:rPr>
          <w:rFonts w:asciiTheme="majorBidi" w:hAnsiTheme="majorBidi"/>
          <w:sz w:val="24"/>
          <w:szCs w:val="24"/>
        </w:rPr>
        <w:t>S</w:t>
      </w:r>
      <w:r w:rsidR="002C319A" w:rsidRPr="00133C85">
        <w:rPr>
          <w:rFonts w:asciiTheme="majorBidi" w:hAnsiTheme="majorBidi"/>
          <w:sz w:val="24"/>
          <w:szCs w:val="24"/>
        </w:rPr>
        <w:t>trategic climate litigation and its impact on the governance of climate migration</w:t>
      </w:r>
      <w:r w:rsidRPr="00133C85">
        <w:rPr>
          <w:rFonts w:asciiTheme="majorBidi" w:hAnsiTheme="majorBidi"/>
          <w:sz w:val="24"/>
          <w:szCs w:val="24"/>
        </w:rPr>
        <w:t xml:space="preserve"> /</w:t>
      </w:r>
      <w:r w:rsidR="002C319A" w:rsidRPr="00133C85">
        <w:rPr>
          <w:rFonts w:asciiTheme="majorBidi" w:hAnsiTheme="majorBidi"/>
          <w:sz w:val="24"/>
          <w:szCs w:val="24"/>
        </w:rPr>
        <w:t xml:space="preserve"> </w:t>
      </w:r>
      <w:r w:rsidRPr="00133C85">
        <w:rPr>
          <w:rFonts w:asciiTheme="majorBidi" w:hAnsiTheme="majorBidi"/>
          <w:sz w:val="24"/>
          <w:szCs w:val="24"/>
        </w:rPr>
        <w:t xml:space="preserve">Avidan Kent &amp; Simon Behrman </w:t>
      </w:r>
    </w:p>
    <w:p w14:paraId="1C395F6D" w14:textId="039DBF55" w:rsidR="002C319A" w:rsidRPr="00133C85" w:rsidRDefault="002C319A" w:rsidP="00BB0FD7">
      <w:pPr>
        <w:pStyle w:val="Heading2"/>
        <w:numPr>
          <w:ilvl w:val="0"/>
          <w:numId w:val="2"/>
        </w:numPr>
        <w:spacing w:line="360" w:lineRule="auto"/>
        <w:jc w:val="both"/>
        <w:rPr>
          <w:rFonts w:asciiTheme="majorBidi" w:hAnsiTheme="majorBidi"/>
          <w:sz w:val="24"/>
          <w:szCs w:val="24"/>
        </w:rPr>
      </w:pPr>
      <w:r w:rsidRPr="00133C85">
        <w:rPr>
          <w:rFonts w:asciiTheme="majorBidi" w:hAnsiTheme="majorBidi"/>
          <w:sz w:val="24"/>
          <w:szCs w:val="24"/>
        </w:rPr>
        <w:t>Introduction</w:t>
      </w:r>
    </w:p>
    <w:p w14:paraId="7B3951E6" w14:textId="355E7640" w:rsidR="00FA519F" w:rsidRDefault="00FA519F" w:rsidP="00BB0FD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International climate negotiations have </w:t>
      </w:r>
      <w:r w:rsidR="00FA43B9">
        <w:rPr>
          <w:rFonts w:asciiTheme="majorBidi" w:hAnsiTheme="majorBidi" w:cstheme="majorBidi"/>
          <w:sz w:val="24"/>
          <w:szCs w:val="24"/>
        </w:rPr>
        <w:t xml:space="preserve">had very limited </w:t>
      </w:r>
      <w:r w:rsidR="00E31FF3">
        <w:rPr>
          <w:rFonts w:asciiTheme="majorBidi" w:hAnsiTheme="majorBidi" w:cstheme="majorBidi"/>
          <w:sz w:val="24"/>
          <w:szCs w:val="24"/>
        </w:rPr>
        <w:t>success in</w:t>
      </w:r>
      <w:r>
        <w:rPr>
          <w:rFonts w:asciiTheme="majorBidi" w:hAnsiTheme="majorBidi" w:cstheme="majorBidi"/>
          <w:sz w:val="24"/>
          <w:szCs w:val="24"/>
        </w:rPr>
        <w:t xml:space="preserve"> delivering legal answers </w:t>
      </w:r>
      <w:r w:rsidR="00FA43B9">
        <w:rPr>
          <w:rFonts w:asciiTheme="majorBidi" w:hAnsiTheme="majorBidi" w:cstheme="majorBidi"/>
          <w:sz w:val="24"/>
          <w:szCs w:val="24"/>
        </w:rPr>
        <w:t>to</w:t>
      </w:r>
      <w:r>
        <w:rPr>
          <w:rFonts w:asciiTheme="majorBidi" w:hAnsiTheme="majorBidi" w:cstheme="majorBidi"/>
          <w:sz w:val="24"/>
          <w:szCs w:val="24"/>
        </w:rPr>
        <w:t xml:space="preserve"> prevent significant global warming. </w:t>
      </w:r>
      <w:r w:rsidR="00FA43B9">
        <w:rPr>
          <w:rFonts w:asciiTheme="majorBidi" w:hAnsiTheme="majorBidi" w:cstheme="majorBidi"/>
          <w:sz w:val="24"/>
          <w:szCs w:val="24"/>
        </w:rPr>
        <w:t xml:space="preserve">In response, many </w:t>
      </w:r>
      <w:r>
        <w:rPr>
          <w:rFonts w:asciiTheme="majorBidi" w:hAnsiTheme="majorBidi" w:cstheme="majorBidi"/>
          <w:sz w:val="24"/>
          <w:szCs w:val="24"/>
        </w:rPr>
        <w:t>individuals and groups</w:t>
      </w:r>
      <w:r w:rsidR="00FA43B9">
        <w:rPr>
          <w:rFonts w:asciiTheme="majorBidi" w:hAnsiTheme="majorBidi" w:cstheme="majorBidi"/>
          <w:sz w:val="24"/>
          <w:szCs w:val="24"/>
        </w:rPr>
        <w:t xml:space="preserve"> have attempted to use</w:t>
      </w:r>
      <w:r>
        <w:rPr>
          <w:rFonts w:asciiTheme="majorBidi" w:hAnsiTheme="majorBidi" w:cstheme="majorBidi"/>
          <w:sz w:val="24"/>
          <w:szCs w:val="24"/>
        </w:rPr>
        <w:t xml:space="preserve"> strategic litigation to overcome this failure and compel states to act. This </w:t>
      </w:r>
      <w:r w:rsidR="00FA43B9">
        <w:rPr>
          <w:rFonts w:asciiTheme="majorBidi" w:hAnsiTheme="majorBidi" w:cstheme="majorBidi"/>
          <w:sz w:val="24"/>
          <w:szCs w:val="24"/>
        </w:rPr>
        <w:t>article</w:t>
      </w:r>
      <w:r>
        <w:rPr>
          <w:rFonts w:asciiTheme="majorBidi" w:hAnsiTheme="majorBidi" w:cstheme="majorBidi"/>
          <w:sz w:val="24"/>
          <w:szCs w:val="24"/>
        </w:rPr>
        <w:t xml:space="preserve"> will </w:t>
      </w:r>
      <w:r w:rsidR="00EB5AFA">
        <w:rPr>
          <w:rFonts w:asciiTheme="majorBidi" w:hAnsiTheme="majorBidi" w:cstheme="majorBidi"/>
          <w:sz w:val="24"/>
          <w:szCs w:val="24"/>
        </w:rPr>
        <w:t>zoom in</w:t>
      </w:r>
      <w:r>
        <w:rPr>
          <w:rFonts w:asciiTheme="majorBidi" w:hAnsiTheme="majorBidi" w:cstheme="majorBidi"/>
          <w:sz w:val="24"/>
          <w:szCs w:val="24"/>
        </w:rPr>
        <w:t xml:space="preserve"> on this wave of strategic climate </w:t>
      </w:r>
      <w:proofErr w:type="gramStart"/>
      <w:r>
        <w:rPr>
          <w:rFonts w:asciiTheme="majorBidi" w:hAnsiTheme="majorBidi" w:cstheme="majorBidi"/>
          <w:sz w:val="24"/>
          <w:szCs w:val="24"/>
        </w:rPr>
        <w:t xml:space="preserve">litigation, </w:t>
      </w:r>
      <w:r w:rsidR="00EB5AFA">
        <w:rPr>
          <w:rFonts w:asciiTheme="majorBidi" w:hAnsiTheme="majorBidi" w:cstheme="majorBidi"/>
          <w:sz w:val="24"/>
          <w:szCs w:val="24"/>
        </w:rPr>
        <w:t>and</w:t>
      </w:r>
      <w:proofErr w:type="gramEnd"/>
      <w:r w:rsidR="00EB5AFA">
        <w:rPr>
          <w:rFonts w:asciiTheme="majorBidi" w:hAnsiTheme="majorBidi" w:cstheme="majorBidi"/>
          <w:sz w:val="24"/>
          <w:szCs w:val="24"/>
        </w:rPr>
        <w:t xml:space="preserve"> evaluate its impact on</w:t>
      </w:r>
      <w:r>
        <w:rPr>
          <w:rFonts w:asciiTheme="majorBidi" w:hAnsiTheme="majorBidi" w:cstheme="majorBidi"/>
          <w:sz w:val="24"/>
          <w:szCs w:val="24"/>
        </w:rPr>
        <w:t xml:space="preserve"> the more distinct topic of climate migration. </w:t>
      </w:r>
    </w:p>
    <w:p w14:paraId="430D0032" w14:textId="60DC6BBA" w:rsidR="006D4451" w:rsidRDefault="00827089" w:rsidP="00BB0FD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legal framework governing the climate migration phenomenon has been defined as a </w:t>
      </w:r>
      <w:r w:rsidR="00960E46">
        <w:rPr>
          <w:rFonts w:asciiTheme="majorBidi" w:hAnsiTheme="majorBidi" w:cstheme="majorBidi"/>
          <w:sz w:val="24"/>
          <w:szCs w:val="24"/>
        </w:rPr>
        <w:t>‘</w:t>
      </w:r>
      <w:r>
        <w:rPr>
          <w:rFonts w:asciiTheme="majorBidi" w:hAnsiTheme="majorBidi" w:cstheme="majorBidi"/>
          <w:sz w:val="24"/>
          <w:szCs w:val="24"/>
        </w:rPr>
        <w:t>gaping legal hole</w:t>
      </w:r>
      <w:r w:rsidR="00960E46">
        <w:rPr>
          <w:rFonts w:asciiTheme="majorBidi" w:hAnsiTheme="majorBidi" w:cstheme="majorBidi"/>
          <w:sz w:val="24"/>
          <w:szCs w:val="24"/>
        </w:rPr>
        <w:t>’</w:t>
      </w:r>
      <w:r>
        <w:rPr>
          <w:rFonts w:asciiTheme="majorBidi" w:hAnsiTheme="majorBidi" w:cstheme="majorBidi"/>
          <w:sz w:val="24"/>
          <w:szCs w:val="24"/>
        </w:rPr>
        <w:t>.</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Years of international negotiations have resulted </w:t>
      </w:r>
      <w:r w:rsidR="00FA43B9">
        <w:rPr>
          <w:rFonts w:asciiTheme="majorBidi" w:hAnsiTheme="majorBidi" w:cstheme="majorBidi"/>
          <w:sz w:val="24"/>
          <w:szCs w:val="24"/>
        </w:rPr>
        <w:t xml:space="preserve">in very little, mainly </w:t>
      </w:r>
      <w:r>
        <w:rPr>
          <w:rFonts w:asciiTheme="majorBidi" w:hAnsiTheme="majorBidi" w:cstheme="majorBidi"/>
          <w:sz w:val="24"/>
          <w:szCs w:val="24"/>
        </w:rPr>
        <w:t>non-binding</w:t>
      </w:r>
      <w:r w:rsidR="00FA43B9">
        <w:rPr>
          <w:rFonts w:asciiTheme="majorBidi" w:hAnsiTheme="majorBidi" w:cstheme="majorBidi"/>
          <w:sz w:val="24"/>
          <w:szCs w:val="24"/>
        </w:rPr>
        <w:t xml:space="preserve"> and</w:t>
      </w:r>
      <w:r>
        <w:rPr>
          <w:rFonts w:asciiTheme="majorBidi" w:hAnsiTheme="majorBidi" w:cstheme="majorBidi"/>
          <w:sz w:val="24"/>
          <w:szCs w:val="24"/>
        </w:rPr>
        <w:t xml:space="preserve"> vague statements </w:t>
      </w:r>
      <w:r w:rsidR="00FA43B9">
        <w:rPr>
          <w:rFonts w:asciiTheme="majorBidi" w:hAnsiTheme="majorBidi" w:cstheme="majorBidi"/>
          <w:sz w:val="24"/>
          <w:szCs w:val="24"/>
        </w:rPr>
        <w:t>or</w:t>
      </w:r>
      <w:r>
        <w:rPr>
          <w:rFonts w:asciiTheme="majorBidi" w:hAnsiTheme="majorBidi" w:cstheme="majorBidi"/>
          <w:sz w:val="24"/>
          <w:szCs w:val="24"/>
        </w:rPr>
        <w:t xml:space="preserve"> recommendations. </w:t>
      </w:r>
      <w:r w:rsidR="00FA43B9">
        <w:rPr>
          <w:rFonts w:asciiTheme="majorBidi" w:hAnsiTheme="majorBidi" w:cstheme="majorBidi"/>
          <w:sz w:val="24"/>
          <w:szCs w:val="24"/>
        </w:rPr>
        <w:t xml:space="preserve">We </w:t>
      </w:r>
      <w:r w:rsidR="00FA519F">
        <w:rPr>
          <w:rFonts w:asciiTheme="majorBidi" w:hAnsiTheme="majorBidi" w:cstheme="majorBidi"/>
          <w:sz w:val="24"/>
          <w:szCs w:val="24"/>
        </w:rPr>
        <w:t xml:space="preserve">argue that while </w:t>
      </w:r>
      <w:r w:rsidR="00960E46">
        <w:rPr>
          <w:rFonts w:asciiTheme="majorBidi" w:hAnsiTheme="majorBidi" w:cstheme="majorBidi"/>
          <w:sz w:val="24"/>
          <w:szCs w:val="24"/>
        </w:rPr>
        <w:t xml:space="preserve">international </w:t>
      </w:r>
      <w:r w:rsidR="00FA519F">
        <w:rPr>
          <w:rFonts w:asciiTheme="majorBidi" w:hAnsiTheme="majorBidi" w:cstheme="majorBidi"/>
          <w:sz w:val="24"/>
          <w:szCs w:val="24"/>
        </w:rPr>
        <w:t xml:space="preserve">negotiations </w:t>
      </w:r>
      <w:r w:rsidR="00960E46">
        <w:rPr>
          <w:rFonts w:asciiTheme="majorBidi" w:hAnsiTheme="majorBidi" w:cstheme="majorBidi"/>
          <w:sz w:val="24"/>
          <w:szCs w:val="24"/>
        </w:rPr>
        <w:t>on climate</w:t>
      </w:r>
      <w:r w:rsidR="00E31FF3">
        <w:rPr>
          <w:rFonts w:asciiTheme="majorBidi" w:hAnsiTheme="majorBidi" w:cstheme="majorBidi"/>
          <w:sz w:val="24"/>
          <w:szCs w:val="24"/>
        </w:rPr>
        <w:t xml:space="preserve"> </w:t>
      </w:r>
      <w:r w:rsidR="00960E46">
        <w:rPr>
          <w:rFonts w:asciiTheme="majorBidi" w:hAnsiTheme="majorBidi" w:cstheme="majorBidi"/>
          <w:sz w:val="24"/>
          <w:szCs w:val="24"/>
        </w:rPr>
        <w:t>migration</w:t>
      </w:r>
      <w:r w:rsidR="00FA519F">
        <w:rPr>
          <w:rFonts w:asciiTheme="majorBidi" w:hAnsiTheme="majorBidi" w:cstheme="majorBidi"/>
          <w:sz w:val="24"/>
          <w:szCs w:val="24"/>
        </w:rPr>
        <w:t xml:space="preserve"> </w:t>
      </w:r>
      <w:r w:rsidR="00D90139">
        <w:rPr>
          <w:rFonts w:asciiTheme="majorBidi" w:hAnsiTheme="majorBidi" w:cstheme="majorBidi"/>
          <w:sz w:val="24"/>
          <w:szCs w:val="24"/>
        </w:rPr>
        <w:t xml:space="preserve">have been largely ineffective, </w:t>
      </w:r>
      <w:r w:rsidR="00FA43B9">
        <w:rPr>
          <w:rFonts w:asciiTheme="majorBidi" w:hAnsiTheme="majorBidi" w:cstheme="majorBidi"/>
          <w:sz w:val="24"/>
          <w:szCs w:val="24"/>
        </w:rPr>
        <w:t xml:space="preserve">some significant </w:t>
      </w:r>
      <w:r w:rsidR="00FA519F">
        <w:rPr>
          <w:rFonts w:asciiTheme="majorBidi" w:hAnsiTheme="majorBidi" w:cstheme="majorBidi"/>
          <w:sz w:val="24"/>
          <w:szCs w:val="24"/>
        </w:rPr>
        <w:t>develo</w:t>
      </w:r>
      <w:r w:rsidR="00FA43B9">
        <w:rPr>
          <w:rFonts w:asciiTheme="majorBidi" w:hAnsiTheme="majorBidi" w:cstheme="majorBidi"/>
          <w:sz w:val="24"/>
          <w:szCs w:val="24"/>
        </w:rPr>
        <w:t>pments</w:t>
      </w:r>
      <w:r w:rsidR="00D90139">
        <w:rPr>
          <w:rFonts w:asciiTheme="majorBidi" w:hAnsiTheme="majorBidi" w:cstheme="majorBidi"/>
          <w:sz w:val="24"/>
          <w:szCs w:val="24"/>
        </w:rPr>
        <w:t xml:space="preserve"> have been achieved through strategic climate litigation</w:t>
      </w:r>
      <w:r w:rsidR="00FA519F">
        <w:rPr>
          <w:rFonts w:asciiTheme="majorBidi" w:hAnsiTheme="majorBidi" w:cstheme="majorBidi"/>
          <w:sz w:val="24"/>
          <w:szCs w:val="24"/>
        </w:rPr>
        <w:t xml:space="preserve"> </w:t>
      </w:r>
      <w:r w:rsidR="00EB5AFA">
        <w:rPr>
          <w:rFonts w:asciiTheme="majorBidi" w:hAnsiTheme="majorBidi" w:cstheme="majorBidi"/>
          <w:sz w:val="24"/>
          <w:szCs w:val="24"/>
        </w:rPr>
        <w:t>and the ‘gaping legal hole’ has been narrowed, at least to a certain extent</w:t>
      </w:r>
      <w:r w:rsidR="00FA43B9">
        <w:rPr>
          <w:rFonts w:asciiTheme="majorBidi" w:hAnsiTheme="majorBidi" w:cstheme="majorBidi"/>
          <w:sz w:val="24"/>
          <w:szCs w:val="24"/>
        </w:rPr>
        <w:t>.</w:t>
      </w:r>
      <w:r w:rsidR="00960E46">
        <w:rPr>
          <w:rFonts w:asciiTheme="majorBidi" w:hAnsiTheme="majorBidi" w:cstheme="majorBidi"/>
          <w:sz w:val="24"/>
          <w:szCs w:val="24"/>
        </w:rPr>
        <w:t xml:space="preserve"> </w:t>
      </w:r>
    </w:p>
    <w:p w14:paraId="3422620F" w14:textId="20657613" w:rsidR="00285E74" w:rsidRDefault="00D90139" w:rsidP="00BB0FD7">
      <w:pPr>
        <w:spacing w:line="360" w:lineRule="auto"/>
        <w:jc w:val="both"/>
        <w:rPr>
          <w:rFonts w:asciiTheme="majorBidi" w:hAnsiTheme="majorBidi" w:cstheme="majorBidi"/>
          <w:sz w:val="24"/>
          <w:szCs w:val="24"/>
        </w:rPr>
      </w:pPr>
      <w:r>
        <w:rPr>
          <w:rFonts w:asciiTheme="majorBidi" w:hAnsiTheme="majorBidi" w:cstheme="majorBidi"/>
          <w:sz w:val="24"/>
          <w:szCs w:val="24"/>
        </w:rPr>
        <w:t>We</w:t>
      </w:r>
      <w:r w:rsidR="006D4451">
        <w:rPr>
          <w:rFonts w:asciiTheme="majorBidi" w:hAnsiTheme="majorBidi" w:cstheme="majorBidi"/>
          <w:sz w:val="24"/>
          <w:szCs w:val="24"/>
        </w:rPr>
        <w:t xml:space="preserve"> </w:t>
      </w:r>
      <w:r>
        <w:rPr>
          <w:rFonts w:asciiTheme="majorBidi" w:hAnsiTheme="majorBidi" w:cstheme="majorBidi"/>
          <w:sz w:val="24"/>
          <w:szCs w:val="24"/>
        </w:rPr>
        <w:t>begin</w:t>
      </w:r>
      <w:r w:rsidR="006D4451">
        <w:rPr>
          <w:rFonts w:asciiTheme="majorBidi" w:hAnsiTheme="majorBidi" w:cstheme="majorBidi"/>
          <w:sz w:val="24"/>
          <w:szCs w:val="24"/>
        </w:rPr>
        <w:t xml:space="preserve"> with an overview of the legal framework governing climate migration. It will identify the legal gaps that currently exist,</w:t>
      </w:r>
      <w:r>
        <w:rPr>
          <w:rFonts w:asciiTheme="majorBidi" w:hAnsiTheme="majorBidi" w:cstheme="majorBidi"/>
          <w:sz w:val="24"/>
          <w:szCs w:val="24"/>
        </w:rPr>
        <w:t xml:space="preserve"> </w:t>
      </w:r>
      <w:r w:rsidR="006D4451">
        <w:rPr>
          <w:rFonts w:asciiTheme="majorBidi" w:hAnsiTheme="majorBidi" w:cstheme="majorBidi"/>
          <w:sz w:val="24"/>
          <w:szCs w:val="24"/>
        </w:rPr>
        <w:t xml:space="preserve">which international negotiations were unable to overcome. </w:t>
      </w:r>
      <w:r>
        <w:rPr>
          <w:rFonts w:asciiTheme="majorBidi" w:hAnsiTheme="majorBidi" w:cstheme="majorBidi"/>
          <w:sz w:val="24"/>
          <w:szCs w:val="24"/>
        </w:rPr>
        <w:t>We</w:t>
      </w:r>
      <w:r w:rsidR="00A503D3">
        <w:rPr>
          <w:rFonts w:asciiTheme="majorBidi" w:hAnsiTheme="majorBidi" w:cstheme="majorBidi"/>
          <w:sz w:val="24"/>
          <w:szCs w:val="24"/>
        </w:rPr>
        <w:t xml:space="preserve"> evaluat</w:t>
      </w:r>
      <w:r>
        <w:rPr>
          <w:rFonts w:asciiTheme="majorBidi" w:hAnsiTheme="majorBidi" w:cstheme="majorBidi"/>
          <w:sz w:val="24"/>
          <w:szCs w:val="24"/>
        </w:rPr>
        <w:t>e</w:t>
      </w:r>
      <w:r w:rsidR="006D4451">
        <w:rPr>
          <w:rFonts w:asciiTheme="majorBidi" w:hAnsiTheme="majorBidi" w:cstheme="majorBidi"/>
          <w:sz w:val="24"/>
          <w:szCs w:val="24"/>
        </w:rPr>
        <w:t xml:space="preserve"> </w:t>
      </w:r>
      <w:r w:rsidR="00A503D3">
        <w:rPr>
          <w:rFonts w:asciiTheme="majorBidi" w:hAnsiTheme="majorBidi" w:cstheme="majorBidi"/>
          <w:sz w:val="24"/>
          <w:szCs w:val="24"/>
        </w:rPr>
        <w:t>several</w:t>
      </w:r>
      <w:r w:rsidR="006D4451">
        <w:rPr>
          <w:rFonts w:asciiTheme="majorBidi" w:hAnsiTheme="majorBidi" w:cstheme="majorBidi"/>
          <w:sz w:val="24"/>
          <w:szCs w:val="24"/>
        </w:rPr>
        <w:t xml:space="preserve"> </w:t>
      </w:r>
      <w:r w:rsidR="00A503D3">
        <w:rPr>
          <w:rFonts w:asciiTheme="majorBidi" w:hAnsiTheme="majorBidi" w:cstheme="majorBidi"/>
          <w:sz w:val="24"/>
          <w:szCs w:val="24"/>
        </w:rPr>
        <w:t xml:space="preserve">key </w:t>
      </w:r>
      <w:r w:rsidR="006D4451">
        <w:rPr>
          <w:rFonts w:asciiTheme="majorBidi" w:hAnsiTheme="majorBidi" w:cstheme="majorBidi"/>
          <w:sz w:val="24"/>
          <w:szCs w:val="24"/>
        </w:rPr>
        <w:t>cases that</w:t>
      </w:r>
      <w:r>
        <w:rPr>
          <w:rFonts w:asciiTheme="majorBidi" w:hAnsiTheme="majorBidi" w:cstheme="majorBidi"/>
          <w:sz w:val="24"/>
          <w:szCs w:val="24"/>
        </w:rPr>
        <w:t>,</w:t>
      </w:r>
      <w:r w:rsidR="006D4451">
        <w:rPr>
          <w:rFonts w:asciiTheme="majorBidi" w:hAnsiTheme="majorBidi" w:cstheme="majorBidi"/>
          <w:sz w:val="24"/>
          <w:szCs w:val="24"/>
        </w:rPr>
        <w:t xml:space="preserve"> in our view</w:t>
      </w:r>
      <w:r>
        <w:rPr>
          <w:rFonts w:asciiTheme="majorBidi" w:hAnsiTheme="majorBidi" w:cstheme="majorBidi"/>
          <w:sz w:val="24"/>
          <w:szCs w:val="24"/>
        </w:rPr>
        <w:t>,</w:t>
      </w:r>
      <w:r w:rsidR="006D4451">
        <w:rPr>
          <w:rFonts w:asciiTheme="majorBidi" w:hAnsiTheme="majorBidi" w:cstheme="majorBidi"/>
          <w:sz w:val="24"/>
          <w:szCs w:val="24"/>
        </w:rPr>
        <w:t xml:space="preserve"> have provided (or are expected to provide) further clarifications and developments</w:t>
      </w:r>
      <w:r w:rsidR="00A503D3">
        <w:rPr>
          <w:rFonts w:asciiTheme="majorBidi" w:hAnsiTheme="majorBidi" w:cstheme="majorBidi"/>
          <w:sz w:val="24"/>
          <w:szCs w:val="24"/>
        </w:rPr>
        <w:t xml:space="preserve"> </w:t>
      </w:r>
      <w:r>
        <w:rPr>
          <w:rFonts w:asciiTheme="majorBidi" w:hAnsiTheme="majorBidi" w:cstheme="majorBidi"/>
          <w:sz w:val="24"/>
          <w:szCs w:val="24"/>
        </w:rPr>
        <w:t>on</w:t>
      </w:r>
      <w:r w:rsidR="00A503D3">
        <w:rPr>
          <w:rFonts w:asciiTheme="majorBidi" w:hAnsiTheme="majorBidi" w:cstheme="majorBidi"/>
          <w:sz w:val="24"/>
          <w:szCs w:val="24"/>
        </w:rPr>
        <w:t xml:space="preserve"> the</w:t>
      </w:r>
      <w:r w:rsidR="006D4451">
        <w:rPr>
          <w:rFonts w:asciiTheme="majorBidi" w:hAnsiTheme="majorBidi" w:cstheme="majorBidi"/>
          <w:sz w:val="24"/>
          <w:szCs w:val="24"/>
        </w:rPr>
        <w:t xml:space="preserve"> legal framework </w:t>
      </w:r>
      <w:r>
        <w:rPr>
          <w:rFonts w:asciiTheme="majorBidi" w:hAnsiTheme="majorBidi" w:cstheme="majorBidi"/>
          <w:sz w:val="24"/>
          <w:szCs w:val="24"/>
        </w:rPr>
        <w:t>for</w:t>
      </w:r>
      <w:r w:rsidR="006D4451">
        <w:rPr>
          <w:rFonts w:asciiTheme="majorBidi" w:hAnsiTheme="majorBidi" w:cstheme="majorBidi"/>
          <w:sz w:val="24"/>
          <w:szCs w:val="24"/>
        </w:rPr>
        <w:t xml:space="preserve"> climate migration.</w:t>
      </w:r>
      <w:r w:rsidR="001B08F2">
        <w:rPr>
          <w:rFonts w:asciiTheme="majorBidi" w:hAnsiTheme="majorBidi" w:cstheme="majorBidi"/>
          <w:sz w:val="24"/>
          <w:szCs w:val="24"/>
        </w:rPr>
        <w:t xml:space="preserve"> </w:t>
      </w:r>
      <w:r w:rsidR="00D03509">
        <w:rPr>
          <w:rFonts w:asciiTheme="majorBidi" w:hAnsiTheme="majorBidi" w:cstheme="majorBidi"/>
          <w:sz w:val="24"/>
          <w:szCs w:val="24"/>
        </w:rPr>
        <w:t xml:space="preserve">We identify unique legal difficulties, notably with respect to causality, which is </w:t>
      </w:r>
      <w:r w:rsidR="00285E74">
        <w:rPr>
          <w:rFonts w:asciiTheme="majorBidi" w:hAnsiTheme="majorBidi" w:cstheme="majorBidi"/>
          <w:sz w:val="24"/>
          <w:szCs w:val="24"/>
        </w:rPr>
        <w:t xml:space="preserve">a </w:t>
      </w:r>
      <w:r w:rsidR="00D03509">
        <w:rPr>
          <w:rFonts w:asciiTheme="majorBidi" w:hAnsiTheme="majorBidi" w:cstheme="majorBidi"/>
          <w:sz w:val="24"/>
          <w:szCs w:val="24"/>
        </w:rPr>
        <w:t xml:space="preserve">complex </w:t>
      </w:r>
      <w:r w:rsidR="00285E74">
        <w:rPr>
          <w:rFonts w:asciiTheme="majorBidi" w:hAnsiTheme="majorBidi" w:cstheme="majorBidi"/>
          <w:sz w:val="24"/>
          <w:szCs w:val="24"/>
        </w:rPr>
        <w:t xml:space="preserve">barrier to overcome </w:t>
      </w:r>
      <w:r w:rsidR="00D03509">
        <w:rPr>
          <w:rFonts w:asciiTheme="majorBidi" w:hAnsiTheme="majorBidi" w:cstheme="majorBidi"/>
          <w:sz w:val="24"/>
          <w:szCs w:val="24"/>
        </w:rPr>
        <w:t xml:space="preserve">in the context of climate litigation, and even more so in the unique case of climate migration. </w:t>
      </w:r>
    </w:p>
    <w:p w14:paraId="1A30CB1E" w14:textId="203F9DB0" w:rsidR="00285E74" w:rsidRDefault="00285E74" w:rsidP="00BB0FD7">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With the exception of</w:t>
      </w:r>
      <w:proofErr w:type="gramEnd"/>
      <w:r>
        <w:rPr>
          <w:rFonts w:asciiTheme="majorBidi" w:hAnsiTheme="majorBidi" w:cstheme="majorBidi"/>
          <w:sz w:val="24"/>
          <w:szCs w:val="24"/>
        </w:rPr>
        <w:t xml:space="preserve"> one case (the HRC decision in </w:t>
      </w:r>
      <w:proofErr w:type="spellStart"/>
      <w:r>
        <w:rPr>
          <w:rFonts w:asciiTheme="majorBidi" w:hAnsiTheme="majorBidi" w:cstheme="majorBidi"/>
          <w:i/>
          <w:iCs/>
          <w:sz w:val="24"/>
          <w:szCs w:val="24"/>
        </w:rPr>
        <w:t>Teitiota</w:t>
      </w:r>
      <w:proofErr w:type="spellEnd"/>
      <w:r>
        <w:rPr>
          <w:rFonts w:asciiTheme="majorBidi" w:hAnsiTheme="majorBidi" w:cstheme="majorBidi"/>
          <w:i/>
          <w:iCs/>
          <w:sz w:val="24"/>
          <w:szCs w:val="24"/>
        </w:rPr>
        <w:t xml:space="preserve"> v New Zealand</w:t>
      </w:r>
      <w:r>
        <w:rPr>
          <w:rFonts w:asciiTheme="majorBidi" w:hAnsiTheme="majorBidi" w:cstheme="majorBidi"/>
          <w:sz w:val="24"/>
          <w:szCs w:val="24"/>
        </w:rPr>
        <w:t xml:space="preserve">), authors and policy makers </w:t>
      </w:r>
      <w:r w:rsidR="00062298">
        <w:rPr>
          <w:rFonts w:asciiTheme="majorBidi" w:hAnsiTheme="majorBidi" w:cstheme="majorBidi"/>
          <w:sz w:val="24"/>
          <w:szCs w:val="24"/>
        </w:rPr>
        <w:t>have not addressed</w:t>
      </w:r>
      <w:r>
        <w:rPr>
          <w:rFonts w:asciiTheme="majorBidi" w:hAnsiTheme="majorBidi" w:cstheme="majorBidi"/>
          <w:sz w:val="24"/>
          <w:szCs w:val="24"/>
        </w:rPr>
        <w:t xml:space="preserve"> climate litigation as a significant source for the development of the law on climate migration. </w:t>
      </w:r>
      <w:r w:rsidR="00A503D3">
        <w:rPr>
          <w:rFonts w:asciiTheme="majorBidi" w:hAnsiTheme="majorBidi" w:cstheme="majorBidi"/>
          <w:sz w:val="24"/>
          <w:szCs w:val="24"/>
        </w:rPr>
        <w:t xml:space="preserve">This paper will contribute to existing literature and policy efforts by shedding light on this angle: it will evaluate the usefulness of litigation, and the limits of its advancements. </w:t>
      </w:r>
    </w:p>
    <w:p w14:paraId="75C19B54" w14:textId="1ACF34FF" w:rsidR="00285E74" w:rsidRPr="00285E74" w:rsidRDefault="00285E74" w:rsidP="00BB0FD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6CBAC210" w14:textId="3A914E37" w:rsidR="00B827AB" w:rsidRPr="00133C85" w:rsidRDefault="00B827AB" w:rsidP="00BB0FD7">
      <w:pPr>
        <w:spacing w:line="360" w:lineRule="auto"/>
        <w:jc w:val="both"/>
        <w:rPr>
          <w:rFonts w:asciiTheme="majorBidi" w:hAnsiTheme="majorBidi" w:cstheme="majorBidi"/>
          <w:sz w:val="24"/>
          <w:szCs w:val="24"/>
        </w:rPr>
      </w:pPr>
    </w:p>
    <w:p w14:paraId="78C93175" w14:textId="6239AF95" w:rsidR="006E16A3" w:rsidRPr="00133C85" w:rsidRDefault="006E16A3" w:rsidP="00BB0FD7">
      <w:pPr>
        <w:pStyle w:val="Heading2"/>
        <w:numPr>
          <w:ilvl w:val="0"/>
          <w:numId w:val="2"/>
        </w:numPr>
        <w:spacing w:line="360" w:lineRule="auto"/>
        <w:jc w:val="both"/>
        <w:rPr>
          <w:rFonts w:asciiTheme="majorBidi" w:hAnsiTheme="majorBidi"/>
          <w:sz w:val="24"/>
          <w:szCs w:val="24"/>
        </w:rPr>
      </w:pPr>
      <w:r w:rsidRPr="00133C85">
        <w:rPr>
          <w:rFonts w:asciiTheme="majorBidi" w:hAnsiTheme="majorBidi"/>
          <w:sz w:val="24"/>
          <w:szCs w:val="24"/>
        </w:rPr>
        <w:lastRenderedPageBreak/>
        <w:t>Climate litigation and climate migration:</w:t>
      </w:r>
    </w:p>
    <w:p w14:paraId="523701E0" w14:textId="7F120F45" w:rsidR="00643EB5" w:rsidRPr="00133C85" w:rsidRDefault="002C319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Recent years have seen a wave of cases against states and other entities, addressing the impacts of climate change.</w:t>
      </w:r>
      <w:r w:rsidR="0011547E">
        <w:rPr>
          <w:rStyle w:val="FootnoteReference"/>
          <w:rFonts w:asciiTheme="majorBidi" w:hAnsiTheme="majorBidi" w:cstheme="majorBidi"/>
          <w:sz w:val="24"/>
          <w:szCs w:val="24"/>
        </w:rPr>
        <w:footnoteReference w:id="2"/>
      </w:r>
      <w:r w:rsidRPr="00133C85">
        <w:rPr>
          <w:rFonts w:asciiTheme="majorBidi" w:hAnsiTheme="majorBidi" w:cstheme="majorBidi"/>
          <w:sz w:val="24"/>
          <w:szCs w:val="24"/>
        </w:rPr>
        <w:t xml:space="preserve"> Claimants in these cases </w:t>
      </w:r>
      <w:r w:rsidR="00062298">
        <w:rPr>
          <w:rFonts w:asciiTheme="majorBidi" w:hAnsiTheme="majorBidi" w:cstheme="majorBidi"/>
          <w:sz w:val="24"/>
          <w:szCs w:val="24"/>
        </w:rPr>
        <w:t>have</w:t>
      </w:r>
      <w:r w:rsidRPr="00133C85">
        <w:rPr>
          <w:rFonts w:asciiTheme="majorBidi" w:hAnsiTheme="majorBidi" w:cstheme="majorBidi"/>
          <w:sz w:val="24"/>
          <w:szCs w:val="24"/>
        </w:rPr>
        <w:t xml:space="preserve"> mostly</w:t>
      </w:r>
      <w:r w:rsidR="00062298">
        <w:rPr>
          <w:rFonts w:asciiTheme="majorBidi" w:hAnsiTheme="majorBidi" w:cstheme="majorBidi"/>
          <w:sz w:val="24"/>
          <w:szCs w:val="24"/>
        </w:rPr>
        <w:t xml:space="preserve"> been</w:t>
      </w:r>
      <w:r w:rsidRPr="00133C85">
        <w:rPr>
          <w:rFonts w:asciiTheme="majorBidi" w:hAnsiTheme="majorBidi" w:cstheme="majorBidi"/>
          <w:sz w:val="24"/>
          <w:szCs w:val="24"/>
        </w:rPr>
        <w:t xml:space="preserve"> communities or groups of individuals, organised by </w:t>
      </w:r>
      <w:r w:rsidR="007907F7" w:rsidRPr="00133C85">
        <w:rPr>
          <w:rFonts w:asciiTheme="majorBidi" w:hAnsiTheme="majorBidi" w:cstheme="majorBidi"/>
          <w:sz w:val="24"/>
          <w:szCs w:val="24"/>
        </w:rPr>
        <w:t>non-governmental organisations (NGOs)</w:t>
      </w:r>
      <w:r w:rsidRPr="00133C85">
        <w:rPr>
          <w:rFonts w:asciiTheme="majorBidi" w:hAnsiTheme="majorBidi" w:cstheme="majorBidi"/>
          <w:sz w:val="24"/>
          <w:szCs w:val="24"/>
        </w:rPr>
        <w:t xml:space="preserve">. In other cases, </w:t>
      </w:r>
      <w:r w:rsidR="007907F7" w:rsidRPr="00133C85">
        <w:rPr>
          <w:rFonts w:asciiTheme="majorBidi" w:hAnsiTheme="majorBidi" w:cstheme="majorBidi"/>
          <w:sz w:val="24"/>
          <w:szCs w:val="24"/>
        </w:rPr>
        <w:t>NGOs</w:t>
      </w:r>
      <w:r w:rsidRPr="00133C85">
        <w:rPr>
          <w:rFonts w:asciiTheme="majorBidi" w:hAnsiTheme="majorBidi" w:cstheme="majorBidi"/>
          <w:sz w:val="24"/>
          <w:szCs w:val="24"/>
        </w:rPr>
        <w:t xml:space="preserve"> </w:t>
      </w:r>
      <w:r w:rsidR="00062298">
        <w:rPr>
          <w:rFonts w:asciiTheme="majorBidi" w:hAnsiTheme="majorBidi" w:cstheme="majorBidi"/>
          <w:sz w:val="24"/>
          <w:szCs w:val="24"/>
        </w:rPr>
        <w:t>sued</w:t>
      </w:r>
      <w:r w:rsidRPr="00133C85">
        <w:rPr>
          <w:rFonts w:asciiTheme="majorBidi" w:hAnsiTheme="majorBidi" w:cstheme="majorBidi"/>
          <w:sz w:val="24"/>
          <w:szCs w:val="24"/>
        </w:rPr>
        <w:t xml:space="preserve"> on behalf of the </w:t>
      </w:r>
      <w:proofErr w:type="gramStart"/>
      <w:r w:rsidR="009156F6" w:rsidRPr="00133C85">
        <w:rPr>
          <w:rFonts w:asciiTheme="majorBidi" w:hAnsiTheme="majorBidi" w:cstheme="majorBidi"/>
          <w:sz w:val="24"/>
          <w:szCs w:val="24"/>
        </w:rPr>
        <w:t>general public</w:t>
      </w:r>
      <w:proofErr w:type="gramEnd"/>
      <w:r w:rsidRPr="00133C85">
        <w:rPr>
          <w:rFonts w:asciiTheme="majorBidi" w:hAnsiTheme="majorBidi" w:cstheme="majorBidi"/>
          <w:sz w:val="24"/>
          <w:szCs w:val="24"/>
        </w:rPr>
        <w:t xml:space="preserve">, aiming to represent the public’s </w:t>
      </w:r>
      <w:r w:rsidR="002D6860" w:rsidRPr="00133C85">
        <w:rPr>
          <w:rFonts w:asciiTheme="majorBidi" w:hAnsiTheme="majorBidi" w:cstheme="majorBidi"/>
          <w:sz w:val="24"/>
          <w:szCs w:val="24"/>
        </w:rPr>
        <w:t>interest</w:t>
      </w:r>
      <w:r w:rsidRPr="00133C85">
        <w:rPr>
          <w:rFonts w:asciiTheme="majorBidi" w:hAnsiTheme="majorBidi" w:cstheme="majorBidi"/>
          <w:sz w:val="24"/>
          <w:szCs w:val="24"/>
        </w:rPr>
        <w:t xml:space="preserve">. The fact that these cases are driven by </w:t>
      </w:r>
      <w:r w:rsidR="007907F7" w:rsidRPr="00133C85">
        <w:rPr>
          <w:rFonts w:asciiTheme="majorBidi" w:hAnsiTheme="majorBidi" w:cstheme="majorBidi"/>
          <w:sz w:val="24"/>
          <w:szCs w:val="24"/>
        </w:rPr>
        <w:t>NGOs</w:t>
      </w:r>
      <w:r w:rsidRPr="00133C85">
        <w:rPr>
          <w:rFonts w:asciiTheme="majorBidi" w:hAnsiTheme="majorBidi" w:cstheme="majorBidi"/>
          <w:sz w:val="24"/>
          <w:szCs w:val="24"/>
        </w:rPr>
        <w:t xml:space="preserve"> is important. Civil society organisation </w:t>
      </w:r>
      <w:proofErr w:type="gramStart"/>
      <w:r w:rsidRPr="00133C85">
        <w:rPr>
          <w:rFonts w:asciiTheme="majorBidi" w:hAnsiTheme="majorBidi" w:cstheme="majorBidi"/>
          <w:sz w:val="24"/>
          <w:szCs w:val="24"/>
        </w:rPr>
        <w:t>have</w:t>
      </w:r>
      <w:proofErr w:type="gramEnd"/>
      <w:r w:rsidRPr="00133C85">
        <w:rPr>
          <w:rFonts w:asciiTheme="majorBidi" w:hAnsiTheme="majorBidi" w:cstheme="majorBidi"/>
          <w:sz w:val="24"/>
          <w:szCs w:val="24"/>
        </w:rPr>
        <w:t xml:space="preserve"> been attempting to address climate change in a variety of fronts, including lobbying and campaigning, and their utilisation of the litigation front can be seen as a part of their overall strategy to combat climate change and save the planet. </w:t>
      </w:r>
    </w:p>
    <w:p w14:paraId="32A89CAF" w14:textId="7CE91776" w:rsidR="006E16A3" w:rsidRPr="00133C85" w:rsidRDefault="002C319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The use of courts strategically, as an instrument for promoting the public good, is far from being a recent phenomenon. </w:t>
      </w:r>
      <w:r w:rsidR="00680F7F">
        <w:rPr>
          <w:rFonts w:asciiTheme="majorBidi" w:hAnsiTheme="majorBidi" w:cstheme="majorBidi"/>
          <w:sz w:val="24"/>
          <w:szCs w:val="24"/>
        </w:rPr>
        <w:t>The l</w:t>
      </w:r>
      <w:r w:rsidRPr="00133C85">
        <w:rPr>
          <w:rFonts w:asciiTheme="majorBidi" w:hAnsiTheme="majorBidi" w:cstheme="majorBidi"/>
          <w:sz w:val="24"/>
          <w:szCs w:val="24"/>
        </w:rPr>
        <w:t xml:space="preserve">iterature on ‘strategic litigation’ is well-established, </w:t>
      </w:r>
      <w:r w:rsidR="00667D41" w:rsidRPr="00133C85">
        <w:rPr>
          <w:rFonts w:asciiTheme="majorBidi" w:hAnsiTheme="majorBidi" w:cstheme="majorBidi"/>
          <w:sz w:val="24"/>
          <w:szCs w:val="24"/>
        </w:rPr>
        <w:t xml:space="preserve">addressing </w:t>
      </w:r>
      <w:r w:rsidR="008B041D">
        <w:rPr>
          <w:rFonts w:asciiTheme="majorBidi" w:hAnsiTheme="majorBidi" w:cstheme="majorBidi"/>
          <w:sz w:val="24"/>
          <w:szCs w:val="24"/>
        </w:rPr>
        <w:t>issues such as</w:t>
      </w:r>
      <w:r w:rsidR="00AF63FD" w:rsidRPr="00133C85">
        <w:rPr>
          <w:rFonts w:asciiTheme="majorBidi" w:hAnsiTheme="majorBidi" w:cstheme="majorBidi"/>
          <w:sz w:val="24"/>
          <w:szCs w:val="24"/>
        </w:rPr>
        <w:t xml:space="preserve"> human rights</w:t>
      </w:r>
      <w:r w:rsidR="00667D41" w:rsidRPr="00133C85">
        <w:rPr>
          <w:rFonts w:asciiTheme="majorBidi" w:hAnsiTheme="majorBidi" w:cstheme="majorBidi"/>
          <w:sz w:val="24"/>
          <w:szCs w:val="24"/>
        </w:rPr>
        <w:t>,</w:t>
      </w:r>
      <w:r w:rsidR="00AF63FD" w:rsidRPr="00133C85">
        <w:rPr>
          <w:rStyle w:val="FootnoteReference"/>
          <w:rFonts w:asciiTheme="majorBidi" w:hAnsiTheme="majorBidi" w:cstheme="majorBidi"/>
          <w:sz w:val="24"/>
          <w:szCs w:val="24"/>
        </w:rPr>
        <w:footnoteReference w:id="3"/>
      </w:r>
      <w:r w:rsidR="00667D41" w:rsidRPr="00133C85">
        <w:rPr>
          <w:rFonts w:asciiTheme="majorBidi" w:hAnsiTheme="majorBidi" w:cstheme="majorBidi"/>
          <w:sz w:val="24"/>
          <w:szCs w:val="24"/>
        </w:rPr>
        <w:t xml:space="preserve"> </w:t>
      </w:r>
      <w:r w:rsidR="00762976" w:rsidRPr="00133C85">
        <w:rPr>
          <w:rFonts w:asciiTheme="majorBidi" w:hAnsiTheme="majorBidi" w:cstheme="majorBidi"/>
          <w:sz w:val="24"/>
          <w:szCs w:val="24"/>
        </w:rPr>
        <w:t>public health</w:t>
      </w:r>
      <w:r w:rsidR="00667D41" w:rsidRPr="00133C85">
        <w:rPr>
          <w:rFonts w:asciiTheme="majorBidi" w:hAnsiTheme="majorBidi" w:cstheme="majorBidi"/>
          <w:sz w:val="24"/>
          <w:szCs w:val="24"/>
        </w:rPr>
        <w:t>,</w:t>
      </w:r>
      <w:r w:rsidR="00762976" w:rsidRPr="00133C85">
        <w:rPr>
          <w:rStyle w:val="FootnoteReference"/>
          <w:rFonts w:asciiTheme="majorBidi" w:hAnsiTheme="majorBidi" w:cstheme="majorBidi"/>
          <w:sz w:val="24"/>
          <w:szCs w:val="24"/>
        </w:rPr>
        <w:footnoteReference w:id="4"/>
      </w:r>
      <w:r w:rsidR="00667D41" w:rsidRPr="00133C85">
        <w:rPr>
          <w:rFonts w:asciiTheme="majorBidi" w:hAnsiTheme="majorBidi" w:cstheme="majorBidi"/>
          <w:sz w:val="24"/>
          <w:szCs w:val="24"/>
        </w:rPr>
        <w:t xml:space="preserve"> and more</w:t>
      </w:r>
      <w:r w:rsidR="00643EB5" w:rsidRPr="00133C85">
        <w:rPr>
          <w:rFonts w:asciiTheme="majorBidi" w:hAnsiTheme="majorBidi" w:cstheme="majorBidi"/>
          <w:sz w:val="24"/>
          <w:szCs w:val="24"/>
        </w:rPr>
        <w:t xml:space="preserve"> recently also climate change</w:t>
      </w:r>
      <w:r w:rsidR="00667D41" w:rsidRPr="00133C85">
        <w:rPr>
          <w:rFonts w:asciiTheme="majorBidi" w:hAnsiTheme="majorBidi" w:cstheme="majorBidi"/>
          <w:sz w:val="24"/>
          <w:szCs w:val="24"/>
        </w:rPr>
        <w:t>.</w:t>
      </w:r>
      <w:bookmarkStart w:id="0" w:name="_Ref132633544"/>
      <w:r w:rsidR="00643EB5" w:rsidRPr="00133C85">
        <w:rPr>
          <w:rStyle w:val="FootnoteReference"/>
          <w:rFonts w:asciiTheme="majorBidi" w:hAnsiTheme="majorBidi" w:cstheme="majorBidi"/>
          <w:sz w:val="24"/>
          <w:szCs w:val="24"/>
        </w:rPr>
        <w:footnoteReference w:id="5"/>
      </w:r>
      <w:bookmarkEnd w:id="0"/>
      <w:r w:rsidR="00643EB5" w:rsidRPr="00133C85">
        <w:rPr>
          <w:rFonts w:asciiTheme="majorBidi" w:hAnsiTheme="majorBidi" w:cstheme="majorBidi"/>
          <w:sz w:val="24"/>
          <w:szCs w:val="24"/>
        </w:rPr>
        <w:t xml:space="preserve"> The fact that litigation is regarded as part of a wider effort to bring about change allows </w:t>
      </w:r>
      <w:r w:rsidR="009D4FC3" w:rsidRPr="00133C85">
        <w:rPr>
          <w:rFonts w:asciiTheme="majorBidi" w:hAnsiTheme="majorBidi" w:cstheme="majorBidi"/>
          <w:sz w:val="24"/>
          <w:szCs w:val="24"/>
        </w:rPr>
        <w:t xml:space="preserve">for </w:t>
      </w:r>
      <w:r w:rsidR="00643EB5" w:rsidRPr="00133C85">
        <w:rPr>
          <w:rFonts w:asciiTheme="majorBidi" w:hAnsiTheme="majorBidi" w:cstheme="majorBidi"/>
          <w:sz w:val="24"/>
          <w:szCs w:val="24"/>
        </w:rPr>
        <w:t>a more ‘adventurous’ approach. Unlike ‘normal’ cases, which will be launched only if the chances to win</w:t>
      </w:r>
      <w:r w:rsidR="009156F6" w:rsidRPr="00133C85">
        <w:rPr>
          <w:rFonts w:asciiTheme="majorBidi" w:hAnsiTheme="majorBidi" w:cstheme="majorBidi"/>
          <w:sz w:val="24"/>
          <w:szCs w:val="24"/>
        </w:rPr>
        <w:t xml:space="preserve"> </w:t>
      </w:r>
      <w:r w:rsidR="00643EB5" w:rsidRPr="00133C85">
        <w:rPr>
          <w:rFonts w:asciiTheme="majorBidi" w:hAnsiTheme="majorBidi" w:cstheme="majorBidi"/>
          <w:sz w:val="24"/>
          <w:szCs w:val="24"/>
        </w:rPr>
        <w:t xml:space="preserve">justify the cost, in </w:t>
      </w:r>
      <w:r w:rsidR="009D4FC3" w:rsidRPr="00133C85">
        <w:rPr>
          <w:rFonts w:asciiTheme="majorBidi" w:hAnsiTheme="majorBidi" w:cstheme="majorBidi"/>
          <w:sz w:val="24"/>
          <w:szCs w:val="24"/>
        </w:rPr>
        <w:t xml:space="preserve">strategic </w:t>
      </w:r>
      <w:r w:rsidR="00643EB5" w:rsidRPr="00133C85">
        <w:rPr>
          <w:rFonts w:asciiTheme="majorBidi" w:hAnsiTheme="majorBidi" w:cstheme="majorBidi"/>
          <w:sz w:val="24"/>
          <w:szCs w:val="24"/>
        </w:rPr>
        <w:t xml:space="preserve">climate </w:t>
      </w:r>
      <w:r w:rsidR="009D4FC3" w:rsidRPr="00133C85">
        <w:rPr>
          <w:rFonts w:asciiTheme="majorBidi" w:hAnsiTheme="majorBidi" w:cstheme="majorBidi"/>
          <w:sz w:val="24"/>
          <w:szCs w:val="24"/>
        </w:rPr>
        <w:t>litigation</w:t>
      </w:r>
      <w:r w:rsidR="00643EB5" w:rsidRPr="00133C85">
        <w:rPr>
          <w:rFonts w:asciiTheme="majorBidi" w:hAnsiTheme="majorBidi" w:cstheme="majorBidi"/>
          <w:sz w:val="24"/>
          <w:szCs w:val="24"/>
        </w:rPr>
        <w:t xml:space="preserve">, the fact that a case is heard by the court – </w:t>
      </w:r>
      <w:r w:rsidR="009D4FC3" w:rsidRPr="00133C85">
        <w:rPr>
          <w:rFonts w:asciiTheme="majorBidi" w:hAnsiTheme="majorBidi" w:cstheme="majorBidi"/>
          <w:sz w:val="24"/>
          <w:szCs w:val="24"/>
        </w:rPr>
        <w:t xml:space="preserve">with </w:t>
      </w:r>
      <w:r w:rsidR="00643EB5" w:rsidRPr="00133C85">
        <w:rPr>
          <w:rFonts w:asciiTheme="majorBidi" w:hAnsiTheme="majorBidi" w:cstheme="majorBidi"/>
          <w:sz w:val="24"/>
          <w:szCs w:val="24"/>
        </w:rPr>
        <w:t xml:space="preserve">all the media’s attention that accompanies such </w:t>
      </w:r>
      <w:r w:rsidR="008B041D">
        <w:rPr>
          <w:rFonts w:asciiTheme="majorBidi" w:hAnsiTheme="majorBidi" w:cstheme="majorBidi"/>
          <w:sz w:val="24"/>
          <w:szCs w:val="24"/>
        </w:rPr>
        <w:t>a case</w:t>
      </w:r>
      <w:r w:rsidR="008B041D" w:rsidRPr="00133C85">
        <w:rPr>
          <w:rFonts w:asciiTheme="majorBidi" w:hAnsiTheme="majorBidi" w:cstheme="majorBidi"/>
          <w:sz w:val="24"/>
          <w:szCs w:val="24"/>
        </w:rPr>
        <w:t xml:space="preserve"> </w:t>
      </w:r>
      <w:r w:rsidR="00643EB5" w:rsidRPr="00133C85">
        <w:rPr>
          <w:rFonts w:asciiTheme="majorBidi" w:hAnsiTheme="majorBidi" w:cstheme="majorBidi"/>
          <w:sz w:val="24"/>
          <w:szCs w:val="24"/>
        </w:rPr>
        <w:t xml:space="preserve">– is a win on its own. Indeed, despite several, well celebrated success stories, most </w:t>
      </w:r>
      <w:r w:rsidR="009D4FC3" w:rsidRPr="00133C85">
        <w:rPr>
          <w:rFonts w:asciiTheme="majorBidi" w:hAnsiTheme="majorBidi" w:cstheme="majorBidi"/>
          <w:sz w:val="24"/>
          <w:szCs w:val="24"/>
        </w:rPr>
        <w:t xml:space="preserve">strategic </w:t>
      </w:r>
      <w:r w:rsidR="00643EB5" w:rsidRPr="00133C85">
        <w:rPr>
          <w:rFonts w:asciiTheme="majorBidi" w:hAnsiTheme="majorBidi" w:cstheme="majorBidi"/>
          <w:sz w:val="24"/>
          <w:szCs w:val="24"/>
        </w:rPr>
        <w:t xml:space="preserve">climate litigation </w:t>
      </w:r>
      <w:r w:rsidR="008B041D">
        <w:rPr>
          <w:rFonts w:asciiTheme="majorBidi" w:hAnsiTheme="majorBidi" w:cstheme="majorBidi"/>
          <w:sz w:val="24"/>
          <w:szCs w:val="24"/>
        </w:rPr>
        <w:t>has so far resulted</w:t>
      </w:r>
      <w:r w:rsidR="008B041D" w:rsidRPr="00133C85">
        <w:rPr>
          <w:rFonts w:asciiTheme="majorBidi" w:hAnsiTheme="majorBidi" w:cstheme="majorBidi"/>
          <w:sz w:val="24"/>
          <w:szCs w:val="24"/>
        </w:rPr>
        <w:t xml:space="preserve"> </w:t>
      </w:r>
      <w:r w:rsidR="008B041D">
        <w:rPr>
          <w:rFonts w:asciiTheme="majorBidi" w:hAnsiTheme="majorBidi" w:cstheme="majorBidi"/>
          <w:sz w:val="24"/>
          <w:szCs w:val="24"/>
        </w:rPr>
        <w:t>in</w:t>
      </w:r>
      <w:r w:rsidR="00643EB5" w:rsidRPr="00133C85">
        <w:rPr>
          <w:rFonts w:asciiTheme="majorBidi" w:hAnsiTheme="majorBidi" w:cstheme="majorBidi"/>
          <w:sz w:val="24"/>
          <w:szCs w:val="24"/>
        </w:rPr>
        <w:t xml:space="preserve"> </w:t>
      </w:r>
      <w:r w:rsidR="007907F7" w:rsidRPr="00133C85">
        <w:rPr>
          <w:rFonts w:asciiTheme="majorBidi" w:hAnsiTheme="majorBidi" w:cstheme="majorBidi"/>
          <w:sz w:val="24"/>
          <w:szCs w:val="24"/>
        </w:rPr>
        <w:t>the court’s</w:t>
      </w:r>
      <w:r w:rsidR="00643EB5" w:rsidRPr="00133C85">
        <w:rPr>
          <w:rFonts w:asciiTheme="majorBidi" w:hAnsiTheme="majorBidi" w:cstheme="majorBidi"/>
          <w:sz w:val="24"/>
          <w:szCs w:val="24"/>
        </w:rPr>
        <w:t xml:space="preserve"> rejection</w:t>
      </w:r>
      <w:r w:rsidR="009D4FC3" w:rsidRPr="00133C85">
        <w:rPr>
          <w:rFonts w:asciiTheme="majorBidi" w:hAnsiTheme="majorBidi" w:cstheme="majorBidi"/>
          <w:sz w:val="24"/>
          <w:szCs w:val="24"/>
        </w:rPr>
        <w:t xml:space="preserve">, or </w:t>
      </w:r>
      <w:r w:rsidR="008B041D">
        <w:rPr>
          <w:rFonts w:asciiTheme="majorBidi" w:hAnsiTheme="majorBidi" w:cstheme="majorBidi"/>
          <w:sz w:val="24"/>
          <w:szCs w:val="24"/>
        </w:rPr>
        <w:t xml:space="preserve">at </w:t>
      </w:r>
      <w:r w:rsidR="009D4FC3" w:rsidRPr="00133C85">
        <w:rPr>
          <w:rFonts w:asciiTheme="majorBidi" w:hAnsiTheme="majorBidi" w:cstheme="majorBidi"/>
          <w:sz w:val="24"/>
          <w:szCs w:val="24"/>
        </w:rPr>
        <w:t>the least</w:t>
      </w:r>
      <w:r w:rsidR="007907F7" w:rsidRPr="00133C85">
        <w:rPr>
          <w:rFonts w:asciiTheme="majorBidi" w:hAnsiTheme="majorBidi" w:cstheme="majorBidi"/>
          <w:sz w:val="24"/>
          <w:szCs w:val="24"/>
        </w:rPr>
        <w:t>,</w:t>
      </w:r>
      <w:r w:rsidR="009D4FC3" w:rsidRPr="00133C85">
        <w:rPr>
          <w:rFonts w:asciiTheme="majorBidi" w:hAnsiTheme="majorBidi" w:cstheme="majorBidi"/>
          <w:sz w:val="24"/>
          <w:szCs w:val="24"/>
        </w:rPr>
        <w:t xml:space="preserve"> with </w:t>
      </w:r>
      <w:r w:rsidR="006E16A3" w:rsidRPr="00133C85">
        <w:rPr>
          <w:rFonts w:asciiTheme="majorBidi" w:hAnsiTheme="majorBidi" w:cstheme="majorBidi"/>
          <w:sz w:val="24"/>
          <w:szCs w:val="24"/>
        </w:rPr>
        <w:t>very few gains.</w:t>
      </w:r>
      <w:r w:rsidR="00667D41" w:rsidRPr="00133C85">
        <w:rPr>
          <w:rFonts w:asciiTheme="majorBidi" w:hAnsiTheme="majorBidi" w:cstheme="majorBidi"/>
          <w:sz w:val="24"/>
          <w:szCs w:val="24"/>
        </w:rPr>
        <w:t xml:space="preserve"> </w:t>
      </w:r>
    </w:p>
    <w:p w14:paraId="4FB5FF73" w14:textId="3B688C96" w:rsidR="002C319A" w:rsidRPr="00133C85" w:rsidRDefault="006E16A3"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This is not to say that the climate litigation strategy is futile</w:t>
      </w:r>
      <w:r w:rsidR="00345240" w:rsidRPr="00133C85">
        <w:rPr>
          <w:rFonts w:asciiTheme="majorBidi" w:hAnsiTheme="majorBidi" w:cstheme="majorBidi"/>
          <w:sz w:val="24"/>
          <w:szCs w:val="24"/>
        </w:rPr>
        <w:t>;</w:t>
      </w:r>
      <w:r w:rsidRPr="00133C85">
        <w:rPr>
          <w:rFonts w:asciiTheme="majorBidi" w:hAnsiTheme="majorBidi" w:cstheme="majorBidi"/>
          <w:sz w:val="24"/>
          <w:szCs w:val="24"/>
        </w:rPr>
        <w:t xml:space="preserve"> the opposite is true. As stated above, the </w:t>
      </w:r>
      <w:r w:rsidR="008B041D">
        <w:rPr>
          <w:rFonts w:asciiTheme="majorBidi" w:hAnsiTheme="majorBidi" w:cstheme="majorBidi"/>
          <w:sz w:val="24"/>
          <w:szCs w:val="24"/>
        </w:rPr>
        <w:t>publicity surrounding</w:t>
      </w:r>
      <w:r w:rsidRPr="00133C85">
        <w:rPr>
          <w:rFonts w:asciiTheme="majorBidi" w:hAnsiTheme="majorBidi" w:cstheme="majorBidi"/>
          <w:sz w:val="24"/>
          <w:szCs w:val="24"/>
        </w:rPr>
        <w:t xml:space="preserve"> these cases is significant on its own</w:t>
      </w:r>
      <w:r w:rsidR="008B041D">
        <w:rPr>
          <w:rFonts w:asciiTheme="majorBidi" w:hAnsiTheme="majorBidi" w:cstheme="majorBidi"/>
          <w:sz w:val="24"/>
          <w:szCs w:val="24"/>
        </w:rPr>
        <w:t xml:space="preserve"> terms</w:t>
      </w:r>
      <w:r w:rsidRPr="00133C85">
        <w:rPr>
          <w:rFonts w:asciiTheme="majorBidi" w:hAnsiTheme="majorBidi" w:cstheme="majorBidi"/>
          <w:sz w:val="24"/>
          <w:szCs w:val="24"/>
        </w:rPr>
        <w:t>. Furthermore, in</w:t>
      </w:r>
      <w:r w:rsidR="00345240" w:rsidRPr="00133C85">
        <w:rPr>
          <w:rFonts w:asciiTheme="majorBidi" w:hAnsiTheme="majorBidi" w:cstheme="majorBidi"/>
          <w:sz w:val="24"/>
          <w:szCs w:val="24"/>
        </w:rPr>
        <w:t xml:space="preserve"> </w:t>
      </w:r>
      <w:r w:rsidR="00345240" w:rsidRPr="00133C85">
        <w:rPr>
          <w:rFonts w:asciiTheme="majorBidi" w:hAnsiTheme="majorBidi" w:cstheme="majorBidi"/>
          <w:sz w:val="24"/>
          <w:szCs w:val="24"/>
        </w:rPr>
        <w:lastRenderedPageBreak/>
        <w:t>some</w:t>
      </w:r>
      <w:r w:rsidRPr="00133C85">
        <w:rPr>
          <w:rFonts w:asciiTheme="majorBidi" w:hAnsiTheme="majorBidi" w:cstheme="majorBidi"/>
          <w:sz w:val="24"/>
          <w:szCs w:val="24"/>
        </w:rPr>
        <w:t xml:space="preserve"> recent cases (</w:t>
      </w:r>
      <w:proofErr w:type="gramStart"/>
      <w:r w:rsidRPr="00133C85">
        <w:rPr>
          <w:rFonts w:asciiTheme="majorBidi" w:hAnsiTheme="majorBidi" w:cstheme="majorBidi"/>
          <w:sz w:val="24"/>
          <w:szCs w:val="24"/>
        </w:rPr>
        <w:t>e.g.</w:t>
      </w:r>
      <w:proofErr w:type="gramEnd"/>
      <w:r w:rsidRPr="00133C85">
        <w:rPr>
          <w:rFonts w:asciiTheme="majorBidi" w:hAnsiTheme="majorBidi" w:cstheme="majorBidi"/>
          <w:sz w:val="24"/>
          <w:szCs w:val="24"/>
        </w:rPr>
        <w:t xml:space="preserve"> </w:t>
      </w:r>
      <w:proofErr w:type="spellStart"/>
      <w:r w:rsidRPr="00133C85">
        <w:rPr>
          <w:rFonts w:asciiTheme="majorBidi" w:hAnsiTheme="majorBidi" w:cstheme="majorBidi"/>
          <w:i/>
          <w:iCs/>
          <w:sz w:val="24"/>
          <w:szCs w:val="24"/>
        </w:rPr>
        <w:t>Sacchi</w:t>
      </w:r>
      <w:proofErr w:type="spellEnd"/>
      <w:r w:rsidRPr="00133C85">
        <w:rPr>
          <w:rFonts w:asciiTheme="majorBidi" w:hAnsiTheme="majorBidi" w:cstheme="majorBidi"/>
          <w:sz w:val="24"/>
          <w:szCs w:val="24"/>
        </w:rPr>
        <w:t>,</w:t>
      </w:r>
      <w:r w:rsidRPr="00133C85">
        <w:rPr>
          <w:rStyle w:val="FootnoteReference"/>
          <w:rFonts w:asciiTheme="majorBidi" w:hAnsiTheme="majorBidi" w:cstheme="majorBidi"/>
          <w:sz w:val="24"/>
          <w:szCs w:val="24"/>
        </w:rPr>
        <w:footnoteReference w:id="6"/>
      </w:r>
      <w:r w:rsidRPr="00133C85">
        <w:rPr>
          <w:rFonts w:asciiTheme="majorBidi" w:hAnsiTheme="majorBidi" w:cstheme="majorBidi"/>
          <w:sz w:val="24"/>
          <w:szCs w:val="24"/>
        </w:rPr>
        <w:t xml:space="preserve"> or </w:t>
      </w:r>
      <w:proofErr w:type="spellStart"/>
      <w:r w:rsidRPr="00133C85">
        <w:rPr>
          <w:rFonts w:asciiTheme="majorBidi" w:hAnsiTheme="majorBidi" w:cstheme="majorBidi"/>
          <w:i/>
          <w:iCs/>
          <w:sz w:val="24"/>
          <w:szCs w:val="24"/>
        </w:rPr>
        <w:t>Teitiota</w:t>
      </w:r>
      <w:proofErr w:type="spellEnd"/>
      <w:r w:rsidRPr="00133C85">
        <w:rPr>
          <w:rStyle w:val="FootnoteReference"/>
          <w:rFonts w:asciiTheme="majorBidi" w:hAnsiTheme="majorBidi" w:cstheme="majorBidi"/>
          <w:sz w:val="24"/>
          <w:szCs w:val="24"/>
        </w:rPr>
        <w:footnoteReference w:id="7"/>
      </w:r>
      <w:r w:rsidRPr="00133C85">
        <w:rPr>
          <w:rFonts w:asciiTheme="majorBidi" w:hAnsiTheme="majorBidi" w:cstheme="majorBidi"/>
          <w:sz w:val="24"/>
          <w:szCs w:val="24"/>
        </w:rPr>
        <w:t>) we</w:t>
      </w:r>
      <w:r w:rsidR="00F405F8" w:rsidRPr="00133C85">
        <w:rPr>
          <w:rFonts w:asciiTheme="majorBidi" w:hAnsiTheme="majorBidi" w:cstheme="majorBidi"/>
          <w:sz w:val="24"/>
          <w:szCs w:val="24"/>
        </w:rPr>
        <w:t xml:space="preserve"> have</w:t>
      </w:r>
      <w:r w:rsidRPr="00133C85">
        <w:rPr>
          <w:rFonts w:asciiTheme="majorBidi" w:hAnsiTheme="majorBidi" w:cstheme="majorBidi"/>
          <w:sz w:val="24"/>
          <w:szCs w:val="24"/>
        </w:rPr>
        <w:t xml:space="preserve"> seen what could be regarded as</w:t>
      </w:r>
      <w:r w:rsidR="004C1198" w:rsidRPr="00133C85">
        <w:rPr>
          <w:rFonts w:asciiTheme="majorBidi" w:hAnsiTheme="majorBidi" w:cstheme="majorBidi"/>
          <w:sz w:val="24"/>
          <w:szCs w:val="24"/>
        </w:rPr>
        <w:t xml:space="preserve"> a process of</w:t>
      </w:r>
      <w:r w:rsidRPr="00133C85">
        <w:rPr>
          <w:rFonts w:asciiTheme="majorBidi" w:hAnsiTheme="majorBidi" w:cstheme="majorBidi"/>
          <w:sz w:val="24"/>
          <w:szCs w:val="24"/>
        </w:rPr>
        <w:t xml:space="preserve"> ‘foundations placing’: the case </w:t>
      </w:r>
      <w:r w:rsidR="004C1198" w:rsidRPr="00133C85">
        <w:rPr>
          <w:rFonts w:asciiTheme="majorBidi" w:hAnsiTheme="majorBidi" w:cstheme="majorBidi"/>
          <w:sz w:val="24"/>
          <w:szCs w:val="24"/>
        </w:rPr>
        <w:t>i</w:t>
      </w:r>
      <w:r w:rsidRPr="00133C85">
        <w:rPr>
          <w:rFonts w:asciiTheme="majorBidi" w:hAnsiTheme="majorBidi" w:cstheme="majorBidi"/>
          <w:sz w:val="24"/>
          <w:szCs w:val="24"/>
        </w:rPr>
        <w:t>s rejected, but</w:t>
      </w:r>
      <w:r w:rsidR="00963A4E" w:rsidRPr="00133C85">
        <w:rPr>
          <w:rFonts w:asciiTheme="majorBidi" w:hAnsiTheme="majorBidi" w:cstheme="majorBidi"/>
          <w:sz w:val="24"/>
          <w:szCs w:val="24"/>
        </w:rPr>
        <w:t xml:space="preserve"> </w:t>
      </w:r>
      <w:r w:rsidRPr="00133C85">
        <w:rPr>
          <w:rFonts w:asciiTheme="majorBidi" w:hAnsiTheme="majorBidi" w:cstheme="majorBidi"/>
          <w:sz w:val="24"/>
          <w:szCs w:val="24"/>
        </w:rPr>
        <w:t xml:space="preserve">important comments </w:t>
      </w:r>
      <w:r w:rsidR="004C1198" w:rsidRPr="00133C85">
        <w:rPr>
          <w:rFonts w:asciiTheme="majorBidi" w:hAnsiTheme="majorBidi" w:cstheme="majorBidi"/>
          <w:sz w:val="24"/>
          <w:szCs w:val="24"/>
        </w:rPr>
        <w:t>a</w:t>
      </w:r>
      <w:r w:rsidR="00345240" w:rsidRPr="00133C85">
        <w:rPr>
          <w:rFonts w:asciiTheme="majorBidi" w:hAnsiTheme="majorBidi" w:cstheme="majorBidi"/>
          <w:sz w:val="24"/>
          <w:szCs w:val="24"/>
        </w:rPr>
        <w:t>re</w:t>
      </w:r>
      <w:r w:rsidR="004C1198" w:rsidRPr="00133C85">
        <w:rPr>
          <w:rFonts w:asciiTheme="majorBidi" w:hAnsiTheme="majorBidi" w:cstheme="majorBidi"/>
          <w:sz w:val="24"/>
          <w:szCs w:val="24"/>
        </w:rPr>
        <w:t xml:space="preserve"> nevertheless</w:t>
      </w:r>
      <w:r w:rsidR="007907F7" w:rsidRPr="00133C85">
        <w:rPr>
          <w:rFonts w:asciiTheme="majorBidi" w:hAnsiTheme="majorBidi" w:cstheme="majorBidi"/>
          <w:sz w:val="24"/>
          <w:szCs w:val="24"/>
        </w:rPr>
        <w:t xml:space="preserve"> </w:t>
      </w:r>
      <w:r w:rsidRPr="00133C85">
        <w:rPr>
          <w:rFonts w:asciiTheme="majorBidi" w:hAnsiTheme="majorBidi" w:cstheme="majorBidi"/>
          <w:sz w:val="24"/>
          <w:szCs w:val="24"/>
        </w:rPr>
        <w:t>made by tribunals</w:t>
      </w:r>
      <w:r w:rsidR="008B041D">
        <w:rPr>
          <w:rFonts w:asciiTheme="majorBidi" w:hAnsiTheme="majorBidi" w:cstheme="majorBidi"/>
          <w:sz w:val="24"/>
          <w:szCs w:val="24"/>
        </w:rPr>
        <w:t>,</w:t>
      </w:r>
      <w:r w:rsidR="00345240" w:rsidRPr="00133C85">
        <w:rPr>
          <w:rFonts w:asciiTheme="majorBidi" w:hAnsiTheme="majorBidi" w:cstheme="majorBidi"/>
          <w:sz w:val="24"/>
          <w:szCs w:val="24"/>
        </w:rPr>
        <w:t xml:space="preserve"> comments that</w:t>
      </w:r>
      <w:r w:rsidR="00F405F8" w:rsidRPr="00133C85">
        <w:rPr>
          <w:rFonts w:asciiTheme="majorBidi" w:hAnsiTheme="majorBidi" w:cstheme="majorBidi"/>
          <w:sz w:val="24"/>
          <w:szCs w:val="24"/>
        </w:rPr>
        <w:t xml:space="preserve"> </w:t>
      </w:r>
      <w:r w:rsidR="008B041D">
        <w:rPr>
          <w:rFonts w:asciiTheme="majorBidi" w:hAnsiTheme="majorBidi" w:cstheme="majorBidi"/>
          <w:sz w:val="24"/>
          <w:szCs w:val="24"/>
        </w:rPr>
        <w:t>may</w:t>
      </w:r>
      <w:r w:rsidR="008B041D" w:rsidRPr="00133C85">
        <w:rPr>
          <w:rFonts w:asciiTheme="majorBidi" w:hAnsiTheme="majorBidi" w:cstheme="majorBidi"/>
          <w:sz w:val="24"/>
          <w:szCs w:val="24"/>
        </w:rPr>
        <w:t xml:space="preserve"> </w:t>
      </w:r>
      <w:r w:rsidR="00F405F8" w:rsidRPr="00133C85">
        <w:rPr>
          <w:rFonts w:asciiTheme="majorBidi" w:hAnsiTheme="majorBidi" w:cstheme="majorBidi"/>
          <w:sz w:val="24"/>
          <w:szCs w:val="24"/>
        </w:rPr>
        <w:t xml:space="preserve">facilitate the </w:t>
      </w:r>
      <w:r w:rsidR="008B22F7" w:rsidRPr="00133C85">
        <w:rPr>
          <w:rFonts w:asciiTheme="majorBidi" w:hAnsiTheme="majorBidi" w:cstheme="majorBidi"/>
          <w:sz w:val="24"/>
          <w:szCs w:val="24"/>
        </w:rPr>
        <w:t>success of future cases</w:t>
      </w:r>
      <w:r w:rsidR="00963A4E" w:rsidRPr="00133C85">
        <w:rPr>
          <w:rFonts w:asciiTheme="majorBidi" w:hAnsiTheme="majorBidi" w:cstheme="majorBidi"/>
          <w:sz w:val="24"/>
          <w:szCs w:val="24"/>
        </w:rPr>
        <w:t xml:space="preserve">. </w:t>
      </w:r>
      <w:r w:rsidR="00F405F8" w:rsidRPr="00133C85">
        <w:rPr>
          <w:rFonts w:asciiTheme="majorBidi" w:hAnsiTheme="majorBidi" w:cstheme="majorBidi"/>
          <w:sz w:val="24"/>
          <w:szCs w:val="24"/>
        </w:rPr>
        <w:t xml:space="preserve">This </w:t>
      </w:r>
      <w:r w:rsidR="003C2CA0">
        <w:rPr>
          <w:rFonts w:asciiTheme="majorBidi" w:hAnsiTheme="majorBidi" w:cstheme="majorBidi"/>
          <w:sz w:val="24"/>
          <w:szCs w:val="24"/>
        </w:rPr>
        <w:t>may be a conscious strategic choice by courts concerned that in challenging government policies on climate change they</w:t>
      </w:r>
      <w:r w:rsidR="00007EFB">
        <w:rPr>
          <w:rFonts w:asciiTheme="majorBidi" w:hAnsiTheme="majorBidi" w:cstheme="majorBidi"/>
          <w:sz w:val="24"/>
          <w:szCs w:val="24"/>
        </w:rPr>
        <w:t xml:space="preserve"> are</w:t>
      </w:r>
      <w:r w:rsidR="003C2CA0">
        <w:rPr>
          <w:rFonts w:asciiTheme="majorBidi" w:hAnsiTheme="majorBidi" w:cstheme="majorBidi"/>
          <w:sz w:val="24"/>
          <w:szCs w:val="24"/>
        </w:rPr>
        <w:t xml:space="preserve"> transgressing too far into the political sphere, and </w:t>
      </w:r>
      <w:proofErr w:type="gramStart"/>
      <w:r w:rsidR="003C2CA0">
        <w:rPr>
          <w:rFonts w:asciiTheme="majorBidi" w:hAnsiTheme="majorBidi" w:cstheme="majorBidi"/>
          <w:sz w:val="24"/>
          <w:szCs w:val="24"/>
        </w:rPr>
        <w:t>as a consequence</w:t>
      </w:r>
      <w:proofErr w:type="gramEnd"/>
      <w:r w:rsidR="003C2CA0">
        <w:rPr>
          <w:rFonts w:asciiTheme="majorBidi" w:hAnsiTheme="majorBidi" w:cstheme="majorBidi"/>
          <w:sz w:val="24"/>
          <w:szCs w:val="24"/>
        </w:rPr>
        <w:t xml:space="preserve"> jeopardising public legitimacy of what might be considered a form of legal activism. </w:t>
      </w:r>
      <w:r w:rsidR="00007EFB">
        <w:rPr>
          <w:rFonts w:asciiTheme="majorBidi" w:hAnsiTheme="majorBidi" w:cstheme="majorBidi"/>
          <w:sz w:val="24"/>
          <w:szCs w:val="24"/>
        </w:rPr>
        <w:t xml:space="preserve"> </w:t>
      </w:r>
      <w:r w:rsidR="008B041D">
        <w:rPr>
          <w:rFonts w:asciiTheme="majorBidi" w:hAnsiTheme="majorBidi" w:cstheme="majorBidi"/>
          <w:sz w:val="24"/>
          <w:szCs w:val="24"/>
        </w:rPr>
        <w:t>At</w:t>
      </w:r>
      <w:r w:rsidR="00F405F8" w:rsidRPr="00133C85">
        <w:rPr>
          <w:rFonts w:asciiTheme="majorBidi" w:hAnsiTheme="majorBidi" w:cstheme="majorBidi"/>
          <w:sz w:val="24"/>
          <w:szCs w:val="24"/>
        </w:rPr>
        <w:t xml:space="preserve"> the national level, climate policies are </w:t>
      </w:r>
      <w:r w:rsidR="008B041D">
        <w:rPr>
          <w:rFonts w:asciiTheme="majorBidi" w:hAnsiTheme="majorBidi" w:cstheme="majorBidi"/>
          <w:sz w:val="24"/>
          <w:szCs w:val="24"/>
        </w:rPr>
        <w:t xml:space="preserve">clearly </w:t>
      </w:r>
      <w:r w:rsidR="008B22F7" w:rsidRPr="00133C85">
        <w:rPr>
          <w:rFonts w:asciiTheme="majorBidi" w:hAnsiTheme="majorBidi" w:cstheme="majorBidi"/>
          <w:sz w:val="24"/>
          <w:szCs w:val="24"/>
        </w:rPr>
        <w:t xml:space="preserve">political </w:t>
      </w:r>
      <w:r w:rsidR="007907F7" w:rsidRPr="00133C85">
        <w:rPr>
          <w:rFonts w:asciiTheme="majorBidi" w:hAnsiTheme="majorBidi" w:cstheme="majorBidi"/>
          <w:sz w:val="24"/>
          <w:szCs w:val="24"/>
        </w:rPr>
        <w:t>in nature;</w:t>
      </w:r>
      <w:r w:rsidR="008B22F7" w:rsidRPr="00133C85">
        <w:rPr>
          <w:rFonts w:asciiTheme="majorBidi" w:hAnsiTheme="majorBidi" w:cstheme="majorBidi"/>
          <w:sz w:val="24"/>
          <w:szCs w:val="24"/>
        </w:rPr>
        <w:t xml:space="preserve"> they are set </w:t>
      </w:r>
      <w:proofErr w:type="gramStart"/>
      <w:r w:rsidR="008B041D">
        <w:rPr>
          <w:rFonts w:asciiTheme="majorBidi" w:hAnsiTheme="majorBidi" w:cstheme="majorBidi"/>
          <w:sz w:val="24"/>
          <w:szCs w:val="24"/>
        </w:rPr>
        <w:t>on the basis of</w:t>
      </w:r>
      <w:proofErr w:type="gramEnd"/>
      <w:r w:rsidR="00364E19">
        <w:rPr>
          <w:rFonts w:asciiTheme="majorBidi" w:hAnsiTheme="majorBidi" w:cstheme="majorBidi"/>
          <w:sz w:val="24"/>
          <w:szCs w:val="24"/>
        </w:rPr>
        <w:t xml:space="preserve"> the </w:t>
      </w:r>
      <w:r w:rsidR="008B041D">
        <w:rPr>
          <w:rFonts w:asciiTheme="majorBidi" w:hAnsiTheme="majorBidi" w:cstheme="majorBidi"/>
          <w:sz w:val="24"/>
          <w:szCs w:val="24"/>
        </w:rPr>
        <w:t>political agendas of the government of the day;</w:t>
      </w:r>
      <w:r w:rsidR="008B22F7" w:rsidRPr="00133C85">
        <w:rPr>
          <w:rFonts w:asciiTheme="majorBidi" w:hAnsiTheme="majorBidi" w:cstheme="majorBidi"/>
          <w:sz w:val="24"/>
          <w:szCs w:val="24"/>
        </w:rPr>
        <w:t xml:space="preserve"> courts deciding against the ‘will of the people’ could be seen as transgressing into the realm of </w:t>
      </w:r>
      <w:r w:rsidR="008B041D">
        <w:rPr>
          <w:rFonts w:asciiTheme="majorBidi" w:hAnsiTheme="majorBidi" w:cstheme="majorBidi"/>
          <w:sz w:val="24"/>
          <w:szCs w:val="24"/>
        </w:rPr>
        <w:t>legislators</w:t>
      </w:r>
      <w:r w:rsidR="008B22F7" w:rsidRPr="00133C85">
        <w:rPr>
          <w:rFonts w:asciiTheme="majorBidi" w:hAnsiTheme="majorBidi" w:cstheme="majorBidi"/>
          <w:sz w:val="24"/>
          <w:szCs w:val="24"/>
        </w:rPr>
        <w:t xml:space="preserve"> and</w:t>
      </w:r>
      <w:r w:rsidR="003C2CA0">
        <w:rPr>
          <w:rFonts w:asciiTheme="majorBidi" w:hAnsiTheme="majorBidi" w:cstheme="majorBidi"/>
          <w:sz w:val="24"/>
          <w:szCs w:val="24"/>
        </w:rPr>
        <w:t>/or</w:t>
      </w:r>
      <w:r w:rsidR="008B22F7" w:rsidRPr="00133C85">
        <w:rPr>
          <w:rFonts w:asciiTheme="majorBidi" w:hAnsiTheme="majorBidi" w:cstheme="majorBidi"/>
          <w:sz w:val="24"/>
          <w:szCs w:val="24"/>
        </w:rPr>
        <w:t xml:space="preserve"> the executive branch</w:t>
      </w:r>
      <w:r w:rsidR="00F405F8" w:rsidRPr="00133C85">
        <w:rPr>
          <w:rFonts w:asciiTheme="majorBidi" w:hAnsiTheme="majorBidi" w:cstheme="majorBidi"/>
          <w:sz w:val="24"/>
          <w:szCs w:val="24"/>
        </w:rPr>
        <w:t>.</w:t>
      </w:r>
      <w:r w:rsidR="005A78D4" w:rsidRPr="00133C85">
        <w:rPr>
          <w:rStyle w:val="FootnoteReference"/>
          <w:rFonts w:asciiTheme="majorBidi" w:hAnsiTheme="majorBidi" w:cstheme="majorBidi"/>
          <w:sz w:val="24"/>
          <w:szCs w:val="24"/>
        </w:rPr>
        <w:footnoteReference w:id="8"/>
      </w:r>
      <w:r w:rsidR="00F405F8" w:rsidRPr="00133C85">
        <w:rPr>
          <w:rFonts w:asciiTheme="majorBidi" w:hAnsiTheme="majorBidi" w:cstheme="majorBidi"/>
          <w:sz w:val="24"/>
          <w:szCs w:val="24"/>
        </w:rPr>
        <w:t xml:space="preserve"> On the international level, climate action is </w:t>
      </w:r>
      <w:r w:rsidR="007907F7" w:rsidRPr="00133C85">
        <w:rPr>
          <w:rFonts w:asciiTheme="majorBidi" w:hAnsiTheme="majorBidi" w:cstheme="majorBidi"/>
          <w:sz w:val="24"/>
          <w:szCs w:val="24"/>
        </w:rPr>
        <w:t>designed and decided on</w:t>
      </w:r>
      <w:r w:rsidR="00F405F8" w:rsidRPr="00133C85">
        <w:rPr>
          <w:rFonts w:asciiTheme="majorBidi" w:hAnsiTheme="majorBidi" w:cstheme="majorBidi"/>
          <w:sz w:val="24"/>
          <w:szCs w:val="24"/>
        </w:rPr>
        <w:t xml:space="preserve"> by a </w:t>
      </w:r>
      <w:r w:rsidR="008B22F7" w:rsidRPr="00133C85">
        <w:rPr>
          <w:rFonts w:asciiTheme="majorBidi" w:hAnsiTheme="majorBidi" w:cstheme="majorBidi"/>
          <w:sz w:val="24"/>
          <w:szCs w:val="24"/>
        </w:rPr>
        <w:t xml:space="preserve">highly </w:t>
      </w:r>
      <w:r w:rsidR="00F405F8" w:rsidRPr="00133C85">
        <w:rPr>
          <w:rFonts w:asciiTheme="majorBidi" w:hAnsiTheme="majorBidi" w:cstheme="majorBidi"/>
          <w:sz w:val="24"/>
          <w:szCs w:val="24"/>
        </w:rPr>
        <w:t>sensitive process of negotiations</w:t>
      </w:r>
      <w:r w:rsidR="00007EFB">
        <w:rPr>
          <w:rFonts w:asciiTheme="majorBidi" w:hAnsiTheme="majorBidi" w:cstheme="majorBidi"/>
          <w:sz w:val="24"/>
          <w:szCs w:val="24"/>
        </w:rPr>
        <w:t xml:space="preserve"> between states</w:t>
      </w:r>
      <w:r w:rsidR="00F405F8" w:rsidRPr="00133C85">
        <w:rPr>
          <w:rFonts w:asciiTheme="majorBidi" w:hAnsiTheme="majorBidi" w:cstheme="majorBidi"/>
          <w:sz w:val="24"/>
          <w:szCs w:val="24"/>
        </w:rPr>
        <w:t>.</w:t>
      </w:r>
      <w:r w:rsidR="008B22F7" w:rsidRPr="00133C85">
        <w:rPr>
          <w:rFonts w:asciiTheme="majorBidi" w:hAnsiTheme="majorBidi" w:cstheme="majorBidi"/>
          <w:sz w:val="24"/>
          <w:szCs w:val="24"/>
        </w:rPr>
        <w:t xml:space="preserve"> This process is shaped by longstanding tensions between </w:t>
      </w:r>
      <w:r w:rsidR="007907F7" w:rsidRPr="00133C85">
        <w:rPr>
          <w:rFonts w:asciiTheme="majorBidi" w:hAnsiTheme="majorBidi" w:cstheme="majorBidi"/>
          <w:sz w:val="24"/>
          <w:szCs w:val="24"/>
        </w:rPr>
        <w:t>N</w:t>
      </w:r>
      <w:r w:rsidR="008B22F7" w:rsidRPr="00133C85">
        <w:rPr>
          <w:rFonts w:asciiTheme="majorBidi" w:hAnsiTheme="majorBidi" w:cstheme="majorBidi"/>
          <w:sz w:val="24"/>
          <w:szCs w:val="24"/>
        </w:rPr>
        <w:t xml:space="preserve">orth and </w:t>
      </w:r>
      <w:r w:rsidR="007907F7" w:rsidRPr="00133C85">
        <w:rPr>
          <w:rFonts w:asciiTheme="majorBidi" w:hAnsiTheme="majorBidi" w:cstheme="majorBidi"/>
          <w:sz w:val="24"/>
          <w:szCs w:val="24"/>
        </w:rPr>
        <w:t>S</w:t>
      </w:r>
      <w:r w:rsidR="008B22F7" w:rsidRPr="00133C85">
        <w:rPr>
          <w:rFonts w:asciiTheme="majorBidi" w:hAnsiTheme="majorBidi" w:cstheme="majorBidi"/>
          <w:sz w:val="24"/>
          <w:szCs w:val="24"/>
        </w:rPr>
        <w:t>outh, and</w:t>
      </w:r>
      <w:r w:rsidR="00170202" w:rsidRPr="00133C85">
        <w:rPr>
          <w:rFonts w:asciiTheme="majorBidi" w:hAnsiTheme="majorBidi" w:cstheme="majorBidi"/>
          <w:sz w:val="24"/>
          <w:szCs w:val="24"/>
        </w:rPr>
        <w:t xml:space="preserve"> is</w:t>
      </w:r>
      <w:r w:rsidR="008B22F7" w:rsidRPr="00133C85">
        <w:rPr>
          <w:rFonts w:asciiTheme="majorBidi" w:hAnsiTheme="majorBidi" w:cstheme="majorBidi"/>
          <w:sz w:val="24"/>
          <w:szCs w:val="24"/>
        </w:rPr>
        <w:t xml:space="preserve"> guided, above all, by the leading notion</w:t>
      </w:r>
      <w:r w:rsidR="00170202" w:rsidRPr="00133C85">
        <w:rPr>
          <w:rFonts w:asciiTheme="majorBidi" w:hAnsiTheme="majorBidi" w:cstheme="majorBidi"/>
          <w:sz w:val="24"/>
          <w:szCs w:val="24"/>
        </w:rPr>
        <w:t>s</w:t>
      </w:r>
      <w:r w:rsidR="008B22F7" w:rsidRPr="00133C85">
        <w:rPr>
          <w:rFonts w:asciiTheme="majorBidi" w:hAnsiTheme="majorBidi" w:cstheme="majorBidi"/>
          <w:sz w:val="24"/>
          <w:szCs w:val="24"/>
        </w:rPr>
        <w:t xml:space="preserve"> of consensus-making and states’ sovereignty.</w:t>
      </w:r>
      <w:r w:rsidR="00F405F8" w:rsidRPr="00133C85">
        <w:rPr>
          <w:rFonts w:asciiTheme="majorBidi" w:hAnsiTheme="majorBidi" w:cstheme="majorBidi"/>
          <w:sz w:val="24"/>
          <w:szCs w:val="24"/>
        </w:rPr>
        <w:t xml:space="preserve"> </w:t>
      </w:r>
      <w:r w:rsidR="00007EFB">
        <w:rPr>
          <w:rFonts w:asciiTheme="majorBidi" w:hAnsiTheme="majorBidi" w:cstheme="majorBidi"/>
          <w:sz w:val="24"/>
          <w:szCs w:val="24"/>
        </w:rPr>
        <w:t>The reluctance of c</w:t>
      </w:r>
      <w:r w:rsidR="00F405F8" w:rsidRPr="00133C85">
        <w:rPr>
          <w:rFonts w:asciiTheme="majorBidi" w:hAnsiTheme="majorBidi" w:cstheme="majorBidi"/>
          <w:sz w:val="24"/>
          <w:szCs w:val="24"/>
        </w:rPr>
        <w:t>ourts</w:t>
      </w:r>
      <w:r w:rsidR="00007EFB">
        <w:rPr>
          <w:rFonts w:asciiTheme="majorBidi" w:hAnsiTheme="majorBidi" w:cstheme="majorBidi"/>
          <w:sz w:val="24"/>
          <w:szCs w:val="24"/>
        </w:rPr>
        <w:t xml:space="preserve"> to </w:t>
      </w:r>
      <w:r w:rsidR="00F405F8" w:rsidRPr="00133C85">
        <w:rPr>
          <w:rFonts w:asciiTheme="majorBidi" w:hAnsiTheme="majorBidi" w:cstheme="majorBidi"/>
          <w:sz w:val="24"/>
          <w:szCs w:val="24"/>
        </w:rPr>
        <w:t xml:space="preserve">intervene </w:t>
      </w:r>
      <w:r w:rsidR="00007EFB">
        <w:rPr>
          <w:rFonts w:asciiTheme="majorBidi" w:hAnsiTheme="majorBidi" w:cstheme="majorBidi"/>
          <w:sz w:val="24"/>
          <w:szCs w:val="24"/>
        </w:rPr>
        <w:t>directly in</w:t>
      </w:r>
      <w:r w:rsidR="00F405F8" w:rsidRPr="00133C85">
        <w:rPr>
          <w:rFonts w:asciiTheme="majorBidi" w:hAnsiTheme="majorBidi" w:cstheme="majorBidi"/>
          <w:sz w:val="24"/>
          <w:szCs w:val="24"/>
        </w:rPr>
        <w:t xml:space="preserve"> these</w:t>
      </w:r>
      <w:r w:rsidR="008B22F7" w:rsidRPr="00133C85">
        <w:rPr>
          <w:rFonts w:asciiTheme="majorBidi" w:hAnsiTheme="majorBidi" w:cstheme="majorBidi"/>
          <w:sz w:val="24"/>
          <w:szCs w:val="24"/>
        </w:rPr>
        <w:t xml:space="preserve"> </w:t>
      </w:r>
      <w:r w:rsidR="007907F7" w:rsidRPr="00133C85">
        <w:rPr>
          <w:rFonts w:asciiTheme="majorBidi" w:hAnsiTheme="majorBidi" w:cstheme="majorBidi"/>
          <w:sz w:val="24"/>
          <w:szCs w:val="24"/>
        </w:rPr>
        <w:t>processes</w:t>
      </w:r>
      <w:r w:rsidR="008B22F7" w:rsidRPr="00133C85">
        <w:rPr>
          <w:rFonts w:asciiTheme="majorBidi" w:hAnsiTheme="majorBidi" w:cstheme="majorBidi"/>
          <w:sz w:val="24"/>
          <w:szCs w:val="24"/>
        </w:rPr>
        <w:t xml:space="preserve"> is </w:t>
      </w:r>
      <w:r w:rsidR="00170202" w:rsidRPr="00133C85">
        <w:rPr>
          <w:rFonts w:asciiTheme="majorBidi" w:hAnsiTheme="majorBidi" w:cstheme="majorBidi"/>
          <w:sz w:val="24"/>
          <w:szCs w:val="24"/>
        </w:rPr>
        <w:t xml:space="preserve">therefore </w:t>
      </w:r>
      <w:r w:rsidR="008B22F7" w:rsidRPr="00133C85">
        <w:rPr>
          <w:rFonts w:asciiTheme="majorBidi" w:hAnsiTheme="majorBidi" w:cstheme="majorBidi"/>
          <w:sz w:val="24"/>
          <w:szCs w:val="24"/>
        </w:rPr>
        <w:t xml:space="preserve">understandable. </w:t>
      </w:r>
      <w:r w:rsidR="00007EFB">
        <w:rPr>
          <w:rFonts w:asciiTheme="majorBidi" w:hAnsiTheme="majorBidi" w:cstheme="majorBidi"/>
          <w:sz w:val="24"/>
          <w:szCs w:val="24"/>
        </w:rPr>
        <w:t>So, b</w:t>
      </w:r>
      <w:r w:rsidR="008B22F7" w:rsidRPr="00133C85">
        <w:rPr>
          <w:rFonts w:asciiTheme="majorBidi" w:hAnsiTheme="majorBidi" w:cstheme="majorBidi"/>
          <w:sz w:val="24"/>
          <w:szCs w:val="24"/>
        </w:rPr>
        <w:t>y making bold statements</w:t>
      </w:r>
      <w:r w:rsidR="007907F7" w:rsidRPr="00133C85">
        <w:rPr>
          <w:rFonts w:asciiTheme="majorBidi" w:hAnsiTheme="majorBidi" w:cstheme="majorBidi"/>
          <w:sz w:val="24"/>
          <w:szCs w:val="24"/>
        </w:rPr>
        <w:t xml:space="preserve"> on the one hand</w:t>
      </w:r>
      <w:r w:rsidR="008B22F7" w:rsidRPr="00133C85">
        <w:rPr>
          <w:rFonts w:asciiTheme="majorBidi" w:hAnsiTheme="majorBidi" w:cstheme="majorBidi"/>
          <w:sz w:val="24"/>
          <w:szCs w:val="24"/>
        </w:rPr>
        <w:t xml:space="preserve">, while rejecting the </w:t>
      </w:r>
      <w:r w:rsidR="00364E19">
        <w:rPr>
          <w:rFonts w:asciiTheme="majorBidi" w:hAnsiTheme="majorBidi" w:cstheme="majorBidi"/>
          <w:sz w:val="24"/>
          <w:szCs w:val="24"/>
        </w:rPr>
        <w:t>claims</w:t>
      </w:r>
      <w:r w:rsidR="007907F7" w:rsidRPr="00133C85">
        <w:rPr>
          <w:rFonts w:asciiTheme="majorBidi" w:hAnsiTheme="majorBidi" w:cstheme="majorBidi"/>
          <w:sz w:val="24"/>
          <w:szCs w:val="24"/>
        </w:rPr>
        <w:t xml:space="preserve"> on the other</w:t>
      </w:r>
      <w:r w:rsidR="008B22F7" w:rsidRPr="00133C85">
        <w:rPr>
          <w:rFonts w:asciiTheme="majorBidi" w:hAnsiTheme="majorBidi" w:cstheme="majorBidi"/>
          <w:sz w:val="24"/>
          <w:szCs w:val="24"/>
        </w:rPr>
        <w:t xml:space="preserve">, tribunals </w:t>
      </w:r>
      <w:r w:rsidR="00364E19">
        <w:rPr>
          <w:rFonts w:asciiTheme="majorBidi" w:hAnsiTheme="majorBidi" w:cstheme="majorBidi"/>
          <w:sz w:val="24"/>
          <w:szCs w:val="24"/>
        </w:rPr>
        <w:t>may be</w:t>
      </w:r>
      <w:r w:rsidR="008B22F7" w:rsidRPr="00133C85">
        <w:rPr>
          <w:rFonts w:asciiTheme="majorBidi" w:hAnsiTheme="majorBidi" w:cstheme="majorBidi"/>
          <w:sz w:val="24"/>
          <w:szCs w:val="24"/>
        </w:rPr>
        <w:t xml:space="preserve"> sensitively and gradually preparing their audience</w:t>
      </w:r>
      <w:r w:rsidR="00170202" w:rsidRPr="00133C85">
        <w:rPr>
          <w:rFonts w:asciiTheme="majorBidi" w:hAnsiTheme="majorBidi" w:cstheme="majorBidi"/>
          <w:sz w:val="24"/>
          <w:szCs w:val="24"/>
        </w:rPr>
        <w:t>s</w:t>
      </w:r>
      <w:r w:rsidR="008B22F7" w:rsidRPr="00133C85">
        <w:rPr>
          <w:rFonts w:asciiTheme="majorBidi" w:hAnsiTheme="majorBidi" w:cstheme="majorBidi"/>
          <w:sz w:val="24"/>
          <w:szCs w:val="24"/>
        </w:rPr>
        <w:t xml:space="preserve"> (be </w:t>
      </w:r>
      <w:r w:rsidR="00364E19">
        <w:rPr>
          <w:rFonts w:asciiTheme="majorBidi" w:hAnsiTheme="majorBidi" w:cstheme="majorBidi"/>
          <w:sz w:val="24"/>
          <w:szCs w:val="24"/>
        </w:rPr>
        <w:t xml:space="preserve">they </w:t>
      </w:r>
      <w:r w:rsidR="008B22F7" w:rsidRPr="00133C85">
        <w:rPr>
          <w:rFonts w:asciiTheme="majorBidi" w:hAnsiTheme="majorBidi" w:cstheme="majorBidi"/>
          <w:sz w:val="24"/>
          <w:szCs w:val="24"/>
        </w:rPr>
        <w:t>governments</w:t>
      </w:r>
      <w:r w:rsidR="00170202" w:rsidRPr="00133C85">
        <w:rPr>
          <w:rFonts w:asciiTheme="majorBidi" w:hAnsiTheme="majorBidi" w:cstheme="majorBidi"/>
          <w:sz w:val="24"/>
          <w:szCs w:val="24"/>
        </w:rPr>
        <w:t xml:space="preserve"> or the </w:t>
      </w:r>
      <w:proofErr w:type="gramStart"/>
      <w:r w:rsidR="00170202" w:rsidRPr="00133C85">
        <w:rPr>
          <w:rFonts w:asciiTheme="majorBidi" w:hAnsiTheme="majorBidi" w:cstheme="majorBidi"/>
          <w:sz w:val="24"/>
          <w:szCs w:val="24"/>
        </w:rPr>
        <w:t>general public</w:t>
      </w:r>
      <w:proofErr w:type="gramEnd"/>
      <w:r w:rsidR="00170202" w:rsidRPr="00133C85">
        <w:rPr>
          <w:rFonts w:asciiTheme="majorBidi" w:hAnsiTheme="majorBidi" w:cstheme="majorBidi"/>
          <w:sz w:val="24"/>
          <w:szCs w:val="24"/>
        </w:rPr>
        <w:t xml:space="preserve">) by sending a message: there are legal difficulties with the lack of climate action, and a future court decision against it is a genuine possibility.  </w:t>
      </w:r>
      <w:r w:rsidR="00F405F8" w:rsidRPr="00133C85">
        <w:rPr>
          <w:rFonts w:asciiTheme="majorBidi" w:hAnsiTheme="majorBidi" w:cstheme="majorBidi"/>
          <w:sz w:val="24"/>
          <w:szCs w:val="24"/>
        </w:rPr>
        <w:t xml:space="preserve">   </w:t>
      </w:r>
    </w:p>
    <w:p w14:paraId="6C3716AB" w14:textId="2F592EA8" w:rsidR="002D6860" w:rsidRPr="00133C85" w:rsidRDefault="002D6860"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lastRenderedPageBreak/>
        <w:t xml:space="preserve">The recent </w:t>
      </w:r>
      <w:r w:rsidR="006E16A3" w:rsidRPr="00133C85">
        <w:rPr>
          <w:rFonts w:asciiTheme="majorBidi" w:hAnsiTheme="majorBidi" w:cstheme="majorBidi"/>
          <w:sz w:val="24"/>
          <w:szCs w:val="24"/>
        </w:rPr>
        <w:t xml:space="preserve">wave of </w:t>
      </w:r>
      <w:r w:rsidRPr="00133C85">
        <w:rPr>
          <w:rFonts w:asciiTheme="majorBidi" w:hAnsiTheme="majorBidi" w:cstheme="majorBidi"/>
          <w:sz w:val="24"/>
          <w:szCs w:val="24"/>
        </w:rPr>
        <w:t>climate litigation</w:t>
      </w:r>
      <w:r w:rsidR="00CD3B70">
        <w:rPr>
          <w:rStyle w:val="FootnoteReference"/>
          <w:rFonts w:asciiTheme="majorBidi" w:hAnsiTheme="majorBidi" w:cstheme="majorBidi"/>
          <w:sz w:val="24"/>
          <w:szCs w:val="24"/>
        </w:rPr>
        <w:footnoteReference w:id="9"/>
      </w:r>
      <w:r w:rsidRPr="00133C85">
        <w:rPr>
          <w:rFonts w:asciiTheme="majorBidi" w:hAnsiTheme="majorBidi" w:cstheme="majorBidi"/>
          <w:sz w:val="24"/>
          <w:szCs w:val="24"/>
        </w:rPr>
        <w:t xml:space="preserve"> is of relevance to the more discrete issue of climate migration,</w:t>
      </w:r>
      <w:r w:rsidR="00CD3B70">
        <w:rPr>
          <w:rStyle w:val="FootnoteReference"/>
          <w:rFonts w:asciiTheme="majorBidi" w:hAnsiTheme="majorBidi" w:cstheme="majorBidi"/>
          <w:sz w:val="24"/>
          <w:szCs w:val="24"/>
        </w:rPr>
        <w:footnoteReference w:id="10"/>
      </w:r>
      <w:r w:rsidRPr="00133C85">
        <w:rPr>
          <w:rFonts w:asciiTheme="majorBidi" w:hAnsiTheme="majorBidi" w:cstheme="majorBidi"/>
          <w:sz w:val="24"/>
          <w:szCs w:val="24"/>
        </w:rPr>
        <w:t xml:space="preserve"> whether directly or indirectly. </w:t>
      </w:r>
      <w:r w:rsidR="00345240" w:rsidRPr="00133C85">
        <w:rPr>
          <w:rFonts w:asciiTheme="majorBidi" w:hAnsiTheme="majorBidi" w:cstheme="majorBidi"/>
          <w:sz w:val="24"/>
          <w:szCs w:val="24"/>
        </w:rPr>
        <w:t xml:space="preserve">Indirectly, it could be argued that any litigation that calls for states or other polluters to mitigate climate change by reducing emissions is relevant for </w:t>
      </w:r>
      <w:r w:rsidR="00364E19">
        <w:rPr>
          <w:rFonts w:asciiTheme="majorBidi" w:hAnsiTheme="majorBidi" w:cstheme="majorBidi"/>
          <w:sz w:val="24"/>
          <w:szCs w:val="24"/>
        </w:rPr>
        <w:t>reducing</w:t>
      </w:r>
      <w:r w:rsidR="00345240" w:rsidRPr="00133C85">
        <w:rPr>
          <w:rFonts w:asciiTheme="majorBidi" w:hAnsiTheme="majorBidi" w:cstheme="majorBidi"/>
          <w:sz w:val="24"/>
          <w:szCs w:val="24"/>
        </w:rPr>
        <w:t xml:space="preserve"> push factors</w:t>
      </w:r>
      <w:r w:rsidR="00364E19">
        <w:rPr>
          <w:rFonts w:asciiTheme="majorBidi" w:hAnsiTheme="majorBidi" w:cstheme="majorBidi"/>
          <w:sz w:val="24"/>
          <w:szCs w:val="24"/>
        </w:rPr>
        <w:t xml:space="preserve"> of migration</w:t>
      </w:r>
      <w:r w:rsidR="00345240" w:rsidRPr="00133C85">
        <w:rPr>
          <w:rFonts w:asciiTheme="majorBidi" w:hAnsiTheme="majorBidi" w:cstheme="majorBidi"/>
          <w:sz w:val="24"/>
          <w:szCs w:val="24"/>
        </w:rPr>
        <w:t xml:space="preserve">. If climate change is averted, its impact on migration will </w:t>
      </w:r>
      <w:r w:rsidR="00364E19">
        <w:rPr>
          <w:rFonts w:asciiTheme="majorBidi" w:hAnsiTheme="majorBidi" w:cstheme="majorBidi"/>
          <w:sz w:val="24"/>
          <w:szCs w:val="24"/>
        </w:rPr>
        <w:t xml:space="preserve">also </w:t>
      </w:r>
      <w:r w:rsidR="00345240" w:rsidRPr="00133C85">
        <w:rPr>
          <w:rFonts w:asciiTheme="majorBidi" w:hAnsiTheme="majorBidi" w:cstheme="majorBidi"/>
          <w:sz w:val="24"/>
          <w:szCs w:val="24"/>
        </w:rPr>
        <w:t xml:space="preserve">be eased. </w:t>
      </w:r>
      <w:r w:rsidR="00F87A04" w:rsidRPr="00133C85">
        <w:rPr>
          <w:rFonts w:asciiTheme="majorBidi" w:hAnsiTheme="majorBidi" w:cstheme="majorBidi"/>
          <w:sz w:val="24"/>
          <w:szCs w:val="24"/>
        </w:rPr>
        <w:t xml:space="preserve">Equally, legal claims for financial remedies, </w:t>
      </w:r>
      <w:r w:rsidR="00F87A04" w:rsidRPr="00133C85">
        <w:rPr>
          <w:rFonts w:asciiTheme="majorBidi" w:hAnsiTheme="majorBidi" w:cstheme="majorBidi"/>
          <w:i/>
          <w:iCs/>
          <w:sz w:val="24"/>
          <w:szCs w:val="24"/>
        </w:rPr>
        <w:t xml:space="preserve">inter alia </w:t>
      </w:r>
      <w:r w:rsidR="00F87A04" w:rsidRPr="00133C85">
        <w:rPr>
          <w:rFonts w:asciiTheme="majorBidi" w:hAnsiTheme="majorBidi" w:cstheme="majorBidi"/>
          <w:sz w:val="24"/>
          <w:szCs w:val="24"/>
        </w:rPr>
        <w:t>in the shape of investment that will support communities’ adaptation effort, are relevant</w:t>
      </w:r>
      <w:r w:rsidR="007907F7" w:rsidRPr="00133C85">
        <w:rPr>
          <w:rFonts w:asciiTheme="majorBidi" w:hAnsiTheme="majorBidi" w:cstheme="majorBidi"/>
          <w:sz w:val="24"/>
          <w:szCs w:val="24"/>
        </w:rPr>
        <w:t xml:space="preserve"> for climate migration. </w:t>
      </w:r>
      <w:r w:rsidR="0099533A" w:rsidRPr="00133C85">
        <w:rPr>
          <w:rFonts w:asciiTheme="majorBidi" w:hAnsiTheme="majorBidi" w:cstheme="majorBidi"/>
          <w:sz w:val="24"/>
          <w:szCs w:val="24"/>
        </w:rPr>
        <w:t>This type of financial support</w:t>
      </w:r>
      <w:r w:rsidR="00F87A04" w:rsidRPr="00133C85">
        <w:rPr>
          <w:rFonts w:asciiTheme="majorBidi" w:hAnsiTheme="majorBidi" w:cstheme="majorBidi"/>
          <w:sz w:val="24"/>
          <w:szCs w:val="24"/>
        </w:rPr>
        <w:t xml:space="preserve"> will ease communities’ life conditions in their current location</w:t>
      </w:r>
      <w:r w:rsidR="0099533A" w:rsidRPr="00133C85">
        <w:rPr>
          <w:rFonts w:asciiTheme="majorBidi" w:hAnsiTheme="majorBidi" w:cstheme="majorBidi"/>
          <w:sz w:val="24"/>
          <w:szCs w:val="24"/>
        </w:rPr>
        <w:t>,</w:t>
      </w:r>
      <w:r w:rsidR="00F87A04" w:rsidRPr="00133C85">
        <w:rPr>
          <w:rFonts w:asciiTheme="majorBidi" w:hAnsiTheme="majorBidi" w:cstheme="majorBidi"/>
          <w:sz w:val="24"/>
          <w:szCs w:val="24"/>
        </w:rPr>
        <w:t xml:space="preserve"> allowing them to </w:t>
      </w:r>
      <w:r w:rsidR="0099533A" w:rsidRPr="00133C85">
        <w:rPr>
          <w:rFonts w:asciiTheme="majorBidi" w:hAnsiTheme="majorBidi" w:cstheme="majorBidi"/>
          <w:sz w:val="24"/>
          <w:szCs w:val="24"/>
        </w:rPr>
        <w:t xml:space="preserve">adapt and </w:t>
      </w:r>
      <w:r w:rsidR="00F87A04" w:rsidRPr="00133C85">
        <w:rPr>
          <w:rFonts w:asciiTheme="majorBidi" w:hAnsiTheme="majorBidi" w:cstheme="majorBidi"/>
          <w:sz w:val="24"/>
          <w:szCs w:val="24"/>
        </w:rPr>
        <w:t xml:space="preserve">avoid </w:t>
      </w:r>
      <w:r w:rsidR="00364E19">
        <w:rPr>
          <w:rFonts w:asciiTheme="majorBidi" w:hAnsiTheme="majorBidi" w:cstheme="majorBidi"/>
          <w:sz w:val="24"/>
          <w:szCs w:val="24"/>
        </w:rPr>
        <w:t xml:space="preserve">having to </w:t>
      </w:r>
      <w:r w:rsidR="00F87A04" w:rsidRPr="00133C85">
        <w:rPr>
          <w:rFonts w:asciiTheme="majorBidi" w:hAnsiTheme="majorBidi" w:cstheme="majorBidi"/>
          <w:sz w:val="24"/>
          <w:szCs w:val="24"/>
        </w:rPr>
        <w:t>migrat</w:t>
      </w:r>
      <w:r w:rsidR="00364E19">
        <w:rPr>
          <w:rFonts w:asciiTheme="majorBidi" w:hAnsiTheme="majorBidi" w:cstheme="majorBidi"/>
          <w:sz w:val="24"/>
          <w:szCs w:val="24"/>
        </w:rPr>
        <w:t>e</w:t>
      </w:r>
      <w:r w:rsidR="00F87A04" w:rsidRPr="00133C85">
        <w:rPr>
          <w:rFonts w:asciiTheme="majorBidi" w:hAnsiTheme="majorBidi" w:cstheme="majorBidi"/>
          <w:sz w:val="24"/>
          <w:szCs w:val="24"/>
        </w:rPr>
        <w:t xml:space="preserve">. </w:t>
      </w:r>
    </w:p>
    <w:p w14:paraId="46A62066" w14:textId="19A3583F" w:rsidR="00F87A04" w:rsidRPr="00133C85" w:rsidRDefault="00F87A04"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More directly, in some climate litigation cases, claimants have </w:t>
      </w:r>
      <w:r w:rsidR="0099533A" w:rsidRPr="00133C85">
        <w:rPr>
          <w:rFonts w:asciiTheme="majorBidi" w:hAnsiTheme="majorBidi" w:cstheme="majorBidi"/>
          <w:sz w:val="24"/>
          <w:szCs w:val="24"/>
        </w:rPr>
        <w:t xml:space="preserve">explicitly </w:t>
      </w:r>
      <w:r w:rsidRPr="00133C85">
        <w:rPr>
          <w:rFonts w:asciiTheme="majorBidi" w:hAnsiTheme="majorBidi" w:cstheme="majorBidi"/>
          <w:sz w:val="24"/>
          <w:szCs w:val="24"/>
        </w:rPr>
        <w:t>addressed climate migration</w:t>
      </w:r>
      <w:r w:rsidR="0099533A" w:rsidRPr="00133C85">
        <w:rPr>
          <w:rFonts w:asciiTheme="majorBidi" w:hAnsiTheme="majorBidi" w:cstheme="majorBidi"/>
          <w:sz w:val="24"/>
          <w:szCs w:val="24"/>
        </w:rPr>
        <w:t>; the legal rights that will be breached because of it,</w:t>
      </w:r>
      <w:r w:rsidRPr="00133C85">
        <w:rPr>
          <w:rFonts w:asciiTheme="majorBidi" w:hAnsiTheme="majorBidi" w:cstheme="majorBidi"/>
          <w:sz w:val="24"/>
          <w:szCs w:val="24"/>
        </w:rPr>
        <w:t xml:space="preserve"> and the possible damage that it may cause them. </w:t>
      </w:r>
      <w:r w:rsidR="008A5475" w:rsidRPr="00133C85">
        <w:rPr>
          <w:rFonts w:asciiTheme="majorBidi" w:hAnsiTheme="majorBidi" w:cstheme="majorBidi"/>
          <w:sz w:val="24"/>
          <w:szCs w:val="24"/>
        </w:rPr>
        <w:t>In these cases, claimants have</w:t>
      </w:r>
      <w:r w:rsidR="00364E19">
        <w:rPr>
          <w:rFonts w:asciiTheme="majorBidi" w:hAnsiTheme="majorBidi" w:cstheme="majorBidi"/>
          <w:sz w:val="24"/>
          <w:szCs w:val="24"/>
        </w:rPr>
        <w:t xml:space="preserve"> raised</w:t>
      </w:r>
      <w:r w:rsidR="008A5475" w:rsidRPr="00133C85">
        <w:rPr>
          <w:rFonts w:asciiTheme="majorBidi" w:hAnsiTheme="majorBidi" w:cstheme="majorBidi"/>
          <w:sz w:val="24"/>
          <w:szCs w:val="24"/>
        </w:rPr>
        <w:t xml:space="preserve"> a variety of </w:t>
      </w:r>
      <w:r w:rsidR="008C5642" w:rsidRPr="00133C85">
        <w:rPr>
          <w:rFonts w:asciiTheme="majorBidi" w:hAnsiTheme="majorBidi" w:cstheme="majorBidi"/>
          <w:sz w:val="24"/>
          <w:szCs w:val="24"/>
        </w:rPr>
        <w:t xml:space="preserve">impacts, including loss of </w:t>
      </w:r>
      <w:r w:rsidR="0099533A" w:rsidRPr="00133C85">
        <w:rPr>
          <w:rFonts w:asciiTheme="majorBidi" w:hAnsiTheme="majorBidi" w:cstheme="majorBidi"/>
          <w:sz w:val="24"/>
          <w:szCs w:val="24"/>
        </w:rPr>
        <w:t xml:space="preserve">life, </w:t>
      </w:r>
      <w:r w:rsidR="008C5642" w:rsidRPr="00133C85">
        <w:rPr>
          <w:rFonts w:asciiTheme="majorBidi" w:hAnsiTheme="majorBidi" w:cstheme="majorBidi"/>
          <w:sz w:val="24"/>
          <w:szCs w:val="24"/>
        </w:rPr>
        <w:t>culture, identity</w:t>
      </w:r>
      <w:r w:rsidR="0099533A" w:rsidRPr="00133C85">
        <w:rPr>
          <w:rFonts w:asciiTheme="majorBidi" w:hAnsiTheme="majorBidi" w:cstheme="majorBidi"/>
          <w:sz w:val="24"/>
          <w:szCs w:val="24"/>
        </w:rPr>
        <w:t>,</w:t>
      </w:r>
      <w:r w:rsidR="008C5642" w:rsidRPr="00133C85">
        <w:rPr>
          <w:rFonts w:asciiTheme="majorBidi" w:hAnsiTheme="majorBidi" w:cstheme="majorBidi"/>
          <w:sz w:val="24"/>
          <w:szCs w:val="24"/>
        </w:rPr>
        <w:t xml:space="preserve"> and </w:t>
      </w:r>
      <w:r w:rsidR="0099533A" w:rsidRPr="00133C85">
        <w:rPr>
          <w:rFonts w:asciiTheme="majorBidi" w:hAnsiTheme="majorBidi" w:cstheme="majorBidi"/>
          <w:sz w:val="24"/>
          <w:szCs w:val="24"/>
        </w:rPr>
        <w:t xml:space="preserve">traditional </w:t>
      </w:r>
      <w:r w:rsidR="008C5642" w:rsidRPr="00133C85">
        <w:rPr>
          <w:rFonts w:asciiTheme="majorBidi" w:hAnsiTheme="majorBidi" w:cstheme="majorBidi"/>
          <w:sz w:val="24"/>
          <w:szCs w:val="24"/>
        </w:rPr>
        <w:t>way</w:t>
      </w:r>
      <w:r w:rsidR="0099533A" w:rsidRPr="00133C85">
        <w:rPr>
          <w:rFonts w:asciiTheme="majorBidi" w:hAnsiTheme="majorBidi" w:cstheme="majorBidi"/>
          <w:sz w:val="24"/>
          <w:szCs w:val="24"/>
        </w:rPr>
        <w:t>s</w:t>
      </w:r>
      <w:r w:rsidR="008C5642" w:rsidRPr="00133C85">
        <w:rPr>
          <w:rFonts w:asciiTheme="majorBidi" w:hAnsiTheme="majorBidi" w:cstheme="majorBidi"/>
          <w:sz w:val="24"/>
          <w:szCs w:val="24"/>
        </w:rPr>
        <w:t xml:space="preserve"> of life. </w:t>
      </w:r>
    </w:p>
    <w:p w14:paraId="3EBA4039" w14:textId="787712CC" w:rsidR="008C5642" w:rsidRPr="00133C85" w:rsidRDefault="008C5642" w:rsidP="00BB0FD7">
      <w:pPr>
        <w:pStyle w:val="Heading2"/>
        <w:numPr>
          <w:ilvl w:val="0"/>
          <w:numId w:val="2"/>
        </w:numPr>
        <w:spacing w:line="360" w:lineRule="auto"/>
        <w:jc w:val="both"/>
        <w:rPr>
          <w:rFonts w:asciiTheme="majorBidi" w:hAnsiTheme="majorBidi"/>
          <w:sz w:val="24"/>
          <w:szCs w:val="24"/>
        </w:rPr>
      </w:pPr>
      <w:r w:rsidRPr="00133C85">
        <w:rPr>
          <w:rFonts w:asciiTheme="majorBidi" w:hAnsiTheme="majorBidi"/>
          <w:sz w:val="24"/>
          <w:szCs w:val="24"/>
        </w:rPr>
        <w:t xml:space="preserve">The role of climate litigation in shaping the </w:t>
      </w:r>
      <w:r w:rsidR="00B0555A" w:rsidRPr="00133C85">
        <w:rPr>
          <w:rFonts w:asciiTheme="majorBidi" w:hAnsiTheme="majorBidi"/>
          <w:sz w:val="24"/>
          <w:szCs w:val="24"/>
        </w:rPr>
        <w:t xml:space="preserve">international </w:t>
      </w:r>
      <w:r w:rsidRPr="00133C85">
        <w:rPr>
          <w:rFonts w:asciiTheme="majorBidi" w:hAnsiTheme="majorBidi"/>
          <w:sz w:val="24"/>
          <w:szCs w:val="24"/>
        </w:rPr>
        <w:t>law on climate-induced migration</w:t>
      </w:r>
    </w:p>
    <w:p w14:paraId="3582174A" w14:textId="7539BE42" w:rsidR="00A976E0" w:rsidRPr="00133C85" w:rsidRDefault="00A976E0" w:rsidP="00BB0FD7">
      <w:pPr>
        <w:pStyle w:val="Heading3"/>
        <w:numPr>
          <w:ilvl w:val="0"/>
          <w:numId w:val="3"/>
        </w:numPr>
        <w:spacing w:line="360" w:lineRule="auto"/>
        <w:jc w:val="both"/>
        <w:rPr>
          <w:rFonts w:asciiTheme="majorBidi" w:hAnsiTheme="majorBidi"/>
        </w:rPr>
      </w:pPr>
      <w:r w:rsidRPr="00133C85">
        <w:rPr>
          <w:rFonts w:asciiTheme="majorBidi" w:hAnsiTheme="majorBidi"/>
        </w:rPr>
        <w:t xml:space="preserve">Current international law and its deficiencies  </w:t>
      </w:r>
    </w:p>
    <w:p w14:paraId="65F265E5" w14:textId="1C1214D5" w:rsidR="00167137" w:rsidRPr="00133C85" w:rsidRDefault="0099533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Before addressing key issues that are related to climate litigation in the context of climate migration, it is important to stress the potential space that this type of litigation could fill in the international legal framework governing climate migration. </w:t>
      </w:r>
      <w:r w:rsidR="0014030A">
        <w:rPr>
          <w:rFonts w:asciiTheme="majorBidi" w:hAnsiTheme="majorBidi" w:cstheme="majorBidi"/>
          <w:sz w:val="24"/>
          <w:szCs w:val="24"/>
        </w:rPr>
        <w:t>I</w:t>
      </w:r>
      <w:r w:rsidR="008C5642" w:rsidRPr="00133C85">
        <w:rPr>
          <w:rFonts w:asciiTheme="majorBidi" w:hAnsiTheme="majorBidi" w:cstheme="majorBidi"/>
          <w:sz w:val="24"/>
          <w:szCs w:val="24"/>
        </w:rPr>
        <w:t>nternational law on climate migration has been defined as a ‘legal hole’.</w:t>
      </w:r>
      <w:r w:rsidR="008C5642" w:rsidRPr="00133C85">
        <w:rPr>
          <w:rStyle w:val="FootnoteReference"/>
          <w:rFonts w:asciiTheme="majorBidi" w:hAnsiTheme="majorBidi" w:cstheme="majorBidi"/>
          <w:sz w:val="24"/>
          <w:szCs w:val="24"/>
        </w:rPr>
        <w:footnoteReference w:id="11"/>
      </w:r>
      <w:r w:rsidR="0092737A" w:rsidRPr="00133C85">
        <w:rPr>
          <w:rFonts w:asciiTheme="majorBidi" w:hAnsiTheme="majorBidi" w:cstheme="majorBidi"/>
          <w:sz w:val="24"/>
          <w:szCs w:val="24"/>
        </w:rPr>
        <w:t xml:space="preserve"> In a nutshell, the two</w:t>
      </w:r>
      <w:r w:rsidR="0014030A">
        <w:rPr>
          <w:rFonts w:asciiTheme="majorBidi" w:hAnsiTheme="majorBidi" w:cstheme="majorBidi"/>
          <w:sz w:val="24"/>
          <w:szCs w:val="24"/>
        </w:rPr>
        <w:t xml:space="preserve"> main</w:t>
      </w:r>
      <w:r w:rsidR="0092737A" w:rsidRPr="00133C85">
        <w:rPr>
          <w:rFonts w:asciiTheme="majorBidi" w:hAnsiTheme="majorBidi" w:cstheme="majorBidi"/>
          <w:sz w:val="24"/>
          <w:szCs w:val="24"/>
        </w:rPr>
        <w:t xml:space="preserve"> legal frameworks that one </w:t>
      </w:r>
      <w:r w:rsidR="0092737A" w:rsidRPr="00133C85">
        <w:rPr>
          <w:rFonts w:asciiTheme="majorBidi" w:hAnsiTheme="majorBidi" w:cstheme="majorBidi"/>
          <w:i/>
          <w:iCs/>
          <w:sz w:val="24"/>
          <w:szCs w:val="24"/>
        </w:rPr>
        <w:t>would expect</w:t>
      </w:r>
      <w:r w:rsidR="0092737A" w:rsidRPr="00133C85">
        <w:rPr>
          <w:rFonts w:asciiTheme="majorBidi" w:hAnsiTheme="majorBidi" w:cstheme="majorBidi"/>
          <w:sz w:val="24"/>
          <w:szCs w:val="24"/>
        </w:rPr>
        <w:t xml:space="preserve"> to address this phenomenon – the </w:t>
      </w:r>
      <w:r w:rsidR="0014030A">
        <w:rPr>
          <w:rFonts w:asciiTheme="majorBidi" w:hAnsiTheme="majorBidi" w:cstheme="majorBidi"/>
          <w:sz w:val="24"/>
          <w:szCs w:val="24"/>
        </w:rPr>
        <w:t xml:space="preserve">1951 </w:t>
      </w:r>
      <w:r w:rsidR="0092737A" w:rsidRPr="00133C85">
        <w:rPr>
          <w:rFonts w:asciiTheme="majorBidi" w:hAnsiTheme="majorBidi" w:cstheme="majorBidi"/>
          <w:sz w:val="24"/>
          <w:szCs w:val="24"/>
        </w:rPr>
        <w:t>Refugee Convention</w:t>
      </w:r>
      <w:r w:rsidR="00167137" w:rsidRPr="00133C85">
        <w:rPr>
          <w:rFonts w:asciiTheme="majorBidi" w:hAnsiTheme="majorBidi" w:cstheme="majorBidi"/>
          <w:sz w:val="24"/>
          <w:szCs w:val="24"/>
        </w:rPr>
        <w:t xml:space="preserve"> and the UNFCCC</w:t>
      </w:r>
      <w:r w:rsidR="0092737A" w:rsidRPr="00133C85">
        <w:rPr>
          <w:rFonts w:asciiTheme="majorBidi" w:hAnsiTheme="majorBidi" w:cstheme="majorBidi"/>
          <w:sz w:val="24"/>
          <w:szCs w:val="24"/>
        </w:rPr>
        <w:t xml:space="preserve"> - do not provide clear and unequivocal legal solutions.</w:t>
      </w:r>
      <w:r w:rsidR="00ED4BBA" w:rsidRPr="00133C85">
        <w:rPr>
          <w:rFonts w:asciiTheme="majorBidi" w:hAnsiTheme="majorBidi" w:cstheme="majorBidi"/>
          <w:sz w:val="24"/>
          <w:szCs w:val="24"/>
        </w:rPr>
        <w:t xml:space="preserve"> </w:t>
      </w:r>
    </w:p>
    <w:p w14:paraId="01E69A93" w14:textId="7ECD538E" w:rsidR="0092737A" w:rsidRPr="007A0BCD" w:rsidRDefault="00167137"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lastRenderedPageBreak/>
        <w:t>The 1951 Refugee Convention’s</w:t>
      </w:r>
      <w:r w:rsidRPr="00133C85">
        <w:rPr>
          <w:rFonts w:asciiTheme="majorBidi" w:hAnsiTheme="majorBidi" w:cstheme="majorBidi"/>
          <w:color w:val="000000" w:themeColor="text1"/>
          <w:sz w:val="24"/>
          <w:szCs w:val="24"/>
          <w:lang w:val="en-US"/>
        </w:rPr>
        <w:t>’</w:t>
      </w:r>
      <w:r w:rsidR="000D2B9A" w:rsidRPr="00133C85">
        <w:rPr>
          <w:rStyle w:val="FootnoteReference"/>
          <w:rFonts w:asciiTheme="majorBidi" w:hAnsiTheme="majorBidi" w:cstheme="majorBidi"/>
          <w:color w:val="000000" w:themeColor="text1"/>
          <w:sz w:val="24"/>
          <w:szCs w:val="24"/>
          <w:lang w:val="en-US"/>
        </w:rPr>
        <w:footnoteReference w:id="12"/>
      </w:r>
      <w:r w:rsidR="000D2B9A" w:rsidRPr="00133C85">
        <w:rPr>
          <w:rFonts w:asciiTheme="majorBidi" w:hAnsiTheme="majorBidi" w:cstheme="majorBidi"/>
          <w:color w:val="000000" w:themeColor="text1"/>
          <w:sz w:val="24"/>
          <w:szCs w:val="24"/>
        </w:rPr>
        <w:t xml:space="preserve"> </w:t>
      </w:r>
      <w:r w:rsidRPr="00133C85">
        <w:rPr>
          <w:rFonts w:asciiTheme="majorBidi" w:hAnsiTheme="majorBidi" w:cstheme="majorBidi"/>
          <w:sz w:val="24"/>
          <w:szCs w:val="24"/>
        </w:rPr>
        <w:t>approach to ‘climate refugees’ is clear</w:t>
      </w:r>
      <w:r w:rsidR="00BB085A" w:rsidRPr="00133C85">
        <w:rPr>
          <w:rFonts w:asciiTheme="majorBidi" w:hAnsiTheme="majorBidi" w:cstheme="majorBidi"/>
          <w:sz w:val="24"/>
          <w:szCs w:val="24"/>
        </w:rPr>
        <w:t>.</w:t>
      </w:r>
      <w:r w:rsidRPr="00133C85">
        <w:rPr>
          <w:rFonts w:asciiTheme="majorBidi" w:hAnsiTheme="majorBidi" w:cstheme="majorBidi"/>
          <w:sz w:val="24"/>
          <w:szCs w:val="24"/>
        </w:rPr>
        <w:t xml:space="preserve"> </w:t>
      </w:r>
      <w:r w:rsidR="00BB085A" w:rsidRPr="00133C85">
        <w:rPr>
          <w:rFonts w:asciiTheme="majorBidi" w:hAnsiTheme="majorBidi" w:cstheme="majorBidi"/>
          <w:sz w:val="24"/>
          <w:szCs w:val="24"/>
        </w:rPr>
        <w:t>A</w:t>
      </w:r>
      <w:r w:rsidRPr="00133C85">
        <w:rPr>
          <w:rFonts w:asciiTheme="majorBidi" w:hAnsiTheme="majorBidi" w:cstheme="majorBidi"/>
          <w:sz w:val="24"/>
          <w:szCs w:val="24"/>
        </w:rPr>
        <w:t xml:space="preserve">ccording to the provisions of this convention, those who </w:t>
      </w:r>
      <w:proofErr w:type="gramStart"/>
      <w:r w:rsidRPr="00133C85">
        <w:rPr>
          <w:rFonts w:asciiTheme="majorBidi" w:hAnsiTheme="majorBidi" w:cstheme="majorBidi"/>
          <w:sz w:val="24"/>
          <w:szCs w:val="24"/>
        </w:rPr>
        <w:t>ha</w:t>
      </w:r>
      <w:r w:rsidR="0014030A">
        <w:rPr>
          <w:rFonts w:asciiTheme="majorBidi" w:hAnsiTheme="majorBidi" w:cstheme="majorBidi"/>
          <w:sz w:val="24"/>
          <w:szCs w:val="24"/>
        </w:rPr>
        <w:t>ve</w:t>
      </w:r>
      <w:r w:rsidRPr="00133C85">
        <w:rPr>
          <w:rFonts w:asciiTheme="majorBidi" w:hAnsiTheme="majorBidi" w:cstheme="majorBidi"/>
          <w:sz w:val="24"/>
          <w:szCs w:val="24"/>
        </w:rPr>
        <w:t xml:space="preserve"> to</w:t>
      </w:r>
      <w:proofErr w:type="gramEnd"/>
      <w:r w:rsidRPr="00133C85">
        <w:rPr>
          <w:rFonts w:asciiTheme="majorBidi" w:hAnsiTheme="majorBidi" w:cstheme="majorBidi"/>
          <w:sz w:val="24"/>
          <w:szCs w:val="24"/>
        </w:rPr>
        <w:t xml:space="preserve"> leave their homes and seek protection due to the impacts of climate change are not ‘refugees’ and therefore will not enjoy the protection and rights granted by this Convention. </w:t>
      </w:r>
      <w:r w:rsidR="0014030A">
        <w:rPr>
          <w:rFonts w:asciiTheme="majorBidi" w:hAnsiTheme="majorBidi" w:cstheme="majorBidi"/>
          <w:sz w:val="24"/>
          <w:szCs w:val="24"/>
        </w:rPr>
        <w:t>T</w:t>
      </w:r>
      <w:r w:rsidRPr="00133C85">
        <w:rPr>
          <w:rFonts w:asciiTheme="majorBidi" w:hAnsiTheme="majorBidi" w:cstheme="majorBidi"/>
          <w:sz w:val="24"/>
          <w:szCs w:val="24"/>
        </w:rPr>
        <w:t xml:space="preserve">he Convention </w:t>
      </w:r>
      <w:r w:rsidR="0014030A">
        <w:rPr>
          <w:rFonts w:asciiTheme="majorBidi" w:hAnsiTheme="majorBidi" w:cstheme="majorBidi"/>
          <w:sz w:val="24"/>
          <w:szCs w:val="24"/>
        </w:rPr>
        <w:t xml:space="preserve">only </w:t>
      </w:r>
      <w:r w:rsidRPr="00133C85">
        <w:rPr>
          <w:rFonts w:asciiTheme="majorBidi" w:hAnsiTheme="majorBidi" w:cstheme="majorBidi"/>
          <w:sz w:val="24"/>
          <w:szCs w:val="24"/>
        </w:rPr>
        <w:t>recognise</w:t>
      </w:r>
      <w:r w:rsidR="0099533A" w:rsidRPr="00133C85">
        <w:rPr>
          <w:rFonts w:asciiTheme="majorBidi" w:hAnsiTheme="majorBidi" w:cstheme="majorBidi"/>
          <w:sz w:val="24"/>
          <w:szCs w:val="24"/>
        </w:rPr>
        <w:t>s</w:t>
      </w:r>
      <w:r w:rsidRPr="00133C85">
        <w:rPr>
          <w:rFonts w:asciiTheme="majorBidi" w:hAnsiTheme="majorBidi" w:cstheme="majorBidi"/>
          <w:sz w:val="24"/>
          <w:szCs w:val="24"/>
        </w:rPr>
        <w:t xml:space="preserve"> as ‘refugees’</w:t>
      </w:r>
      <w:r w:rsidR="0014030A">
        <w:rPr>
          <w:rFonts w:asciiTheme="majorBidi" w:hAnsiTheme="majorBidi" w:cstheme="majorBidi"/>
          <w:sz w:val="24"/>
          <w:szCs w:val="24"/>
        </w:rPr>
        <w:t xml:space="preserve"> </w:t>
      </w:r>
      <w:r w:rsidR="00BB085A" w:rsidRPr="00133C85">
        <w:rPr>
          <w:rFonts w:asciiTheme="majorBidi" w:hAnsiTheme="majorBidi" w:cstheme="majorBidi"/>
          <w:sz w:val="24"/>
          <w:szCs w:val="24"/>
        </w:rPr>
        <w:t>those who are ‘unable or unwilling to return to their country of origin owing to a well-founded fear of being persecuted for reasons of race, religion, nationality, membership of a particular social group, or political opinion.’</w:t>
      </w:r>
      <w:r w:rsidR="0014030A">
        <w:rPr>
          <w:rStyle w:val="FootnoteReference"/>
          <w:rFonts w:asciiTheme="majorBidi" w:hAnsiTheme="majorBidi" w:cstheme="majorBidi"/>
          <w:sz w:val="24"/>
          <w:szCs w:val="24"/>
        </w:rPr>
        <w:footnoteReference w:id="13"/>
      </w:r>
      <w:r w:rsidR="00BB085A" w:rsidRPr="00133C85">
        <w:rPr>
          <w:rFonts w:asciiTheme="majorBidi" w:hAnsiTheme="majorBidi" w:cstheme="majorBidi"/>
          <w:sz w:val="24"/>
          <w:szCs w:val="24"/>
        </w:rPr>
        <w:t xml:space="preserve"> </w:t>
      </w:r>
      <w:r w:rsidR="0014030A">
        <w:rPr>
          <w:rFonts w:asciiTheme="majorBidi" w:hAnsiTheme="majorBidi" w:cstheme="majorBidi"/>
          <w:sz w:val="24"/>
          <w:szCs w:val="24"/>
        </w:rPr>
        <w:t>On the basis solely of climate change impacts it is very difficult to see how i</w:t>
      </w:r>
      <w:r w:rsidR="0099533A" w:rsidRPr="00133C85">
        <w:rPr>
          <w:rFonts w:asciiTheme="majorBidi" w:hAnsiTheme="majorBidi" w:cstheme="majorBidi"/>
          <w:sz w:val="24"/>
          <w:szCs w:val="24"/>
        </w:rPr>
        <w:t>ndividuals</w:t>
      </w:r>
      <w:r w:rsidR="00BB085A" w:rsidRPr="00133C85">
        <w:rPr>
          <w:rFonts w:asciiTheme="majorBidi" w:hAnsiTheme="majorBidi" w:cstheme="majorBidi"/>
          <w:sz w:val="24"/>
          <w:szCs w:val="24"/>
        </w:rPr>
        <w:t xml:space="preserve"> </w:t>
      </w:r>
      <w:r w:rsidR="0014030A">
        <w:rPr>
          <w:rFonts w:asciiTheme="majorBidi" w:hAnsiTheme="majorBidi" w:cstheme="majorBidi"/>
          <w:sz w:val="24"/>
          <w:szCs w:val="24"/>
        </w:rPr>
        <w:t>could</w:t>
      </w:r>
      <w:r w:rsidR="00BB085A" w:rsidRPr="00133C85">
        <w:rPr>
          <w:rFonts w:asciiTheme="majorBidi" w:hAnsiTheme="majorBidi" w:cstheme="majorBidi"/>
          <w:sz w:val="24"/>
          <w:szCs w:val="24"/>
        </w:rPr>
        <w:t xml:space="preserve"> fall under this definition</w:t>
      </w:r>
      <w:r w:rsidR="0014030A">
        <w:rPr>
          <w:rFonts w:asciiTheme="majorBidi" w:hAnsiTheme="majorBidi" w:cstheme="majorBidi"/>
          <w:sz w:val="24"/>
          <w:szCs w:val="24"/>
        </w:rPr>
        <w:t>.</w:t>
      </w:r>
      <w:r w:rsidR="00BB085A" w:rsidRPr="00133C85">
        <w:rPr>
          <w:rFonts w:asciiTheme="majorBidi" w:hAnsiTheme="majorBidi" w:cstheme="majorBidi"/>
          <w:sz w:val="24"/>
          <w:szCs w:val="24"/>
        </w:rPr>
        <w:t xml:space="preserve"> </w:t>
      </w:r>
      <w:r w:rsidR="0014030A">
        <w:rPr>
          <w:rFonts w:asciiTheme="majorBidi" w:hAnsiTheme="majorBidi" w:cstheme="majorBidi"/>
          <w:sz w:val="24"/>
          <w:szCs w:val="24"/>
        </w:rPr>
        <w:t>As such they</w:t>
      </w:r>
      <w:r w:rsidR="00BB085A" w:rsidRPr="00133C85">
        <w:rPr>
          <w:rFonts w:asciiTheme="majorBidi" w:hAnsiTheme="majorBidi" w:cstheme="majorBidi"/>
          <w:sz w:val="24"/>
          <w:szCs w:val="24"/>
        </w:rPr>
        <w:t xml:space="preserve"> will not enjoy the rights granted to Convention refugees: </w:t>
      </w:r>
      <w:r w:rsidR="000B5332" w:rsidRPr="00133C85">
        <w:rPr>
          <w:rFonts w:asciiTheme="majorBidi" w:hAnsiTheme="majorBidi" w:cstheme="majorBidi"/>
          <w:sz w:val="24"/>
          <w:szCs w:val="24"/>
        </w:rPr>
        <w:t xml:space="preserve">notably </w:t>
      </w:r>
      <w:r w:rsidR="00BB085A" w:rsidRPr="00133C85">
        <w:rPr>
          <w:rFonts w:asciiTheme="majorBidi" w:hAnsiTheme="majorBidi" w:cstheme="majorBidi"/>
          <w:sz w:val="24"/>
          <w:szCs w:val="24"/>
        </w:rPr>
        <w:t xml:space="preserve">the right to enter other </w:t>
      </w:r>
      <w:proofErr w:type="gramStart"/>
      <w:r w:rsidR="00BB085A" w:rsidRPr="00133C85">
        <w:rPr>
          <w:rFonts w:asciiTheme="majorBidi" w:hAnsiTheme="majorBidi" w:cstheme="majorBidi"/>
          <w:sz w:val="24"/>
          <w:szCs w:val="24"/>
        </w:rPr>
        <w:t>states</w:t>
      </w:r>
      <w:r w:rsidR="000B5332" w:rsidRPr="00133C85">
        <w:rPr>
          <w:rFonts w:asciiTheme="majorBidi" w:hAnsiTheme="majorBidi" w:cstheme="majorBidi"/>
          <w:sz w:val="24"/>
          <w:szCs w:val="24"/>
        </w:rPr>
        <w:t>,</w:t>
      </w:r>
      <w:r w:rsidR="00BB085A" w:rsidRPr="00133C85">
        <w:rPr>
          <w:rFonts w:asciiTheme="majorBidi" w:hAnsiTheme="majorBidi" w:cstheme="majorBidi"/>
          <w:sz w:val="24"/>
          <w:szCs w:val="24"/>
        </w:rPr>
        <w:t xml:space="preserve"> and</w:t>
      </w:r>
      <w:proofErr w:type="gramEnd"/>
      <w:r w:rsidR="00BB085A" w:rsidRPr="00133C85">
        <w:rPr>
          <w:rFonts w:asciiTheme="majorBidi" w:hAnsiTheme="majorBidi" w:cstheme="majorBidi"/>
          <w:sz w:val="24"/>
          <w:szCs w:val="24"/>
        </w:rPr>
        <w:t xml:space="preserve"> </w:t>
      </w:r>
      <w:r w:rsidR="0014030A">
        <w:rPr>
          <w:rFonts w:asciiTheme="majorBidi" w:hAnsiTheme="majorBidi" w:cstheme="majorBidi"/>
          <w:sz w:val="24"/>
          <w:szCs w:val="24"/>
        </w:rPr>
        <w:t xml:space="preserve">enjoy all the subsidiary </w:t>
      </w:r>
      <w:r w:rsidR="007A0BCD">
        <w:rPr>
          <w:rFonts w:asciiTheme="majorBidi" w:hAnsiTheme="majorBidi" w:cstheme="majorBidi"/>
          <w:sz w:val="24"/>
          <w:szCs w:val="24"/>
        </w:rPr>
        <w:t>social and economic rights contained in the Convention</w:t>
      </w:r>
      <w:r w:rsidR="00BB085A" w:rsidRPr="00133C85">
        <w:rPr>
          <w:rFonts w:asciiTheme="majorBidi" w:hAnsiTheme="majorBidi" w:cstheme="majorBidi"/>
          <w:sz w:val="24"/>
          <w:szCs w:val="24"/>
        </w:rPr>
        <w:t xml:space="preserve">. </w:t>
      </w:r>
      <w:r w:rsidR="007A0BCD">
        <w:rPr>
          <w:rFonts w:asciiTheme="majorBidi" w:hAnsiTheme="majorBidi" w:cstheme="majorBidi"/>
          <w:sz w:val="24"/>
          <w:szCs w:val="24"/>
        </w:rPr>
        <w:t xml:space="preserve">However, it should be noted that it is widely recognised that the impacts of climate change </w:t>
      </w:r>
      <w:r w:rsidR="007A0BCD">
        <w:rPr>
          <w:rFonts w:asciiTheme="majorBidi" w:hAnsiTheme="majorBidi" w:cstheme="majorBidi"/>
          <w:i/>
          <w:iCs/>
          <w:sz w:val="24"/>
          <w:szCs w:val="24"/>
        </w:rPr>
        <w:t xml:space="preserve">in conjunction with </w:t>
      </w:r>
      <w:r w:rsidR="00746BB2">
        <w:rPr>
          <w:rFonts w:asciiTheme="majorBidi" w:hAnsiTheme="majorBidi" w:cstheme="majorBidi"/>
          <w:sz w:val="24"/>
          <w:szCs w:val="24"/>
        </w:rPr>
        <w:t>forms of persecution might result in a successful claim for refugee status.</w:t>
      </w:r>
      <w:r w:rsidR="00746BB2">
        <w:rPr>
          <w:rStyle w:val="FootnoteReference"/>
          <w:rFonts w:asciiTheme="majorBidi" w:hAnsiTheme="majorBidi" w:cstheme="majorBidi"/>
          <w:sz w:val="24"/>
          <w:szCs w:val="24"/>
        </w:rPr>
        <w:footnoteReference w:id="14"/>
      </w:r>
    </w:p>
    <w:p w14:paraId="3D94D1D0" w14:textId="30C07ECA" w:rsidR="00ED4BBA" w:rsidRPr="00133C85" w:rsidRDefault="00ED4BB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The very precise </w:t>
      </w:r>
      <w:r w:rsidR="0014593C">
        <w:rPr>
          <w:rFonts w:asciiTheme="majorBidi" w:hAnsiTheme="majorBidi" w:cstheme="majorBidi"/>
          <w:sz w:val="24"/>
          <w:szCs w:val="24"/>
        </w:rPr>
        <w:t xml:space="preserve">delineation </w:t>
      </w:r>
      <w:r w:rsidRPr="00133C85">
        <w:rPr>
          <w:rFonts w:asciiTheme="majorBidi" w:hAnsiTheme="majorBidi" w:cstheme="majorBidi"/>
          <w:sz w:val="24"/>
          <w:szCs w:val="24"/>
        </w:rPr>
        <w:t>of the term ‘refugee’ w</w:t>
      </w:r>
      <w:r w:rsidR="0014593C">
        <w:rPr>
          <w:rFonts w:asciiTheme="majorBidi" w:hAnsiTheme="majorBidi" w:cstheme="majorBidi"/>
          <w:sz w:val="24"/>
          <w:szCs w:val="24"/>
        </w:rPr>
        <w:t>as</w:t>
      </w:r>
      <w:r w:rsidRPr="00133C85">
        <w:rPr>
          <w:rFonts w:asciiTheme="majorBidi" w:hAnsiTheme="majorBidi" w:cstheme="majorBidi"/>
          <w:sz w:val="24"/>
          <w:szCs w:val="24"/>
        </w:rPr>
        <w:t xml:space="preserve"> determined </w:t>
      </w:r>
      <w:r w:rsidR="0014593C">
        <w:rPr>
          <w:rFonts w:asciiTheme="majorBidi" w:hAnsiTheme="majorBidi" w:cstheme="majorBidi"/>
          <w:sz w:val="24"/>
          <w:szCs w:val="24"/>
        </w:rPr>
        <w:t>within a</w:t>
      </w:r>
      <w:r w:rsidRPr="00133C85">
        <w:rPr>
          <w:rFonts w:asciiTheme="majorBidi" w:hAnsiTheme="majorBidi" w:cstheme="majorBidi"/>
          <w:sz w:val="24"/>
          <w:szCs w:val="24"/>
        </w:rPr>
        <w:t xml:space="preserve"> specific post-World War II </w:t>
      </w:r>
      <w:r w:rsidR="0014593C">
        <w:rPr>
          <w:rFonts w:asciiTheme="majorBidi" w:hAnsiTheme="majorBidi" w:cstheme="majorBidi"/>
          <w:sz w:val="24"/>
          <w:szCs w:val="24"/>
        </w:rPr>
        <w:t>context</w:t>
      </w:r>
      <w:r w:rsidRPr="00133C85">
        <w:rPr>
          <w:rFonts w:asciiTheme="majorBidi" w:hAnsiTheme="majorBidi" w:cstheme="majorBidi"/>
          <w:sz w:val="24"/>
          <w:szCs w:val="24"/>
        </w:rPr>
        <w:t xml:space="preserve">. Naturally, more recent phenomena such as climate change were not considered at the time. </w:t>
      </w:r>
      <w:r w:rsidR="0014593C">
        <w:rPr>
          <w:rFonts w:asciiTheme="majorBidi" w:hAnsiTheme="majorBidi" w:cstheme="majorBidi"/>
          <w:sz w:val="24"/>
          <w:szCs w:val="24"/>
        </w:rPr>
        <w:t>The Convention has evolved in response to certain changes over time. For example, the 1967 Protocol expanded the scope of the Convention beyond the initial context of events in Europe prior to 1951.</w:t>
      </w:r>
      <w:r w:rsidR="0014593C">
        <w:rPr>
          <w:rStyle w:val="FootnoteReference"/>
          <w:rFonts w:asciiTheme="majorBidi" w:hAnsiTheme="majorBidi" w:cstheme="majorBidi"/>
          <w:sz w:val="24"/>
          <w:szCs w:val="24"/>
        </w:rPr>
        <w:footnoteReference w:id="15"/>
      </w:r>
      <w:r w:rsidR="0014593C">
        <w:rPr>
          <w:rFonts w:asciiTheme="majorBidi" w:hAnsiTheme="majorBidi" w:cstheme="majorBidi"/>
          <w:sz w:val="24"/>
          <w:szCs w:val="24"/>
        </w:rPr>
        <w:t xml:space="preserve"> This was a recognition that new refugee-producing situations were occurring throughout the world. Also, jurisprudence has developed the category of persecution on grounds of ‘membership of a social group’ to encompass categories not mentioned in the Convention such as LGBT people and women.</w:t>
      </w:r>
      <w:r w:rsidR="00412D35">
        <w:rPr>
          <w:rStyle w:val="FootnoteReference"/>
          <w:rFonts w:asciiTheme="majorBidi" w:hAnsiTheme="majorBidi" w:cstheme="majorBidi"/>
          <w:sz w:val="24"/>
          <w:szCs w:val="24"/>
        </w:rPr>
        <w:footnoteReference w:id="16"/>
      </w:r>
      <w:r w:rsidR="0014593C">
        <w:rPr>
          <w:rFonts w:asciiTheme="majorBidi" w:hAnsiTheme="majorBidi" w:cstheme="majorBidi"/>
          <w:sz w:val="24"/>
          <w:szCs w:val="24"/>
        </w:rPr>
        <w:t xml:space="preserve"> </w:t>
      </w:r>
      <w:r w:rsidR="00264C42">
        <w:rPr>
          <w:rFonts w:asciiTheme="majorBidi" w:hAnsiTheme="majorBidi" w:cstheme="majorBidi"/>
          <w:sz w:val="24"/>
          <w:szCs w:val="24"/>
        </w:rPr>
        <w:t xml:space="preserve">However, given the current and widespread hostility towards refugees in general, and the likely rapid expansion in the numbers of people who could access refugee status if the definition were to be expanded to cover people solely on the basis of the impacts of climate change, we believe that </w:t>
      </w:r>
      <w:r w:rsidR="00FF52C2">
        <w:rPr>
          <w:rFonts w:asciiTheme="majorBidi" w:hAnsiTheme="majorBidi" w:cstheme="majorBidi"/>
          <w:sz w:val="24"/>
          <w:szCs w:val="24"/>
        </w:rPr>
        <w:t>further developments and expansions are</w:t>
      </w:r>
      <w:r w:rsidR="00264C42">
        <w:rPr>
          <w:rFonts w:asciiTheme="majorBidi" w:hAnsiTheme="majorBidi" w:cstheme="majorBidi"/>
          <w:sz w:val="24"/>
          <w:szCs w:val="24"/>
        </w:rPr>
        <w:t xml:space="preserve"> not likely to happen for the foreseeable future</w:t>
      </w:r>
      <w:r w:rsidR="000D2B9A" w:rsidRPr="00133C85">
        <w:rPr>
          <w:rFonts w:asciiTheme="majorBidi" w:hAnsiTheme="majorBidi" w:cstheme="majorBidi"/>
          <w:sz w:val="24"/>
          <w:szCs w:val="24"/>
        </w:rPr>
        <w:t>.</w:t>
      </w:r>
      <w:bookmarkStart w:id="1" w:name="_Ref132298201"/>
      <w:r w:rsidR="000D2B9A" w:rsidRPr="00133C85">
        <w:rPr>
          <w:rStyle w:val="FootnoteReference"/>
          <w:rFonts w:asciiTheme="majorBidi" w:hAnsiTheme="majorBidi" w:cstheme="majorBidi"/>
          <w:sz w:val="24"/>
          <w:szCs w:val="24"/>
        </w:rPr>
        <w:footnoteReference w:id="17"/>
      </w:r>
      <w:bookmarkEnd w:id="1"/>
      <w:r w:rsidR="000D2B9A" w:rsidRPr="00133C85">
        <w:rPr>
          <w:rFonts w:asciiTheme="majorBidi" w:hAnsiTheme="majorBidi" w:cstheme="majorBidi"/>
          <w:sz w:val="24"/>
          <w:szCs w:val="24"/>
        </w:rPr>
        <w:t xml:space="preserve"> </w:t>
      </w:r>
      <w:r w:rsidRPr="00133C85">
        <w:rPr>
          <w:rFonts w:asciiTheme="majorBidi" w:hAnsiTheme="majorBidi" w:cstheme="majorBidi"/>
          <w:sz w:val="24"/>
          <w:szCs w:val="24"/>
        </w:rPr>
        <w:t xml:space="preserve"> </w:t>
      </w:r>
    </w:p>
    <w:p w14:paraId="5A7B67DF" w14:textId="450CDE31" w:rsidR="009564C1" w:rsidRPr="00133C85" w:rsidRDefault="009564C1"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lastRenderedPageBreak/>
        <w:t>More flexibility regarding the right to cross borders is found in</w:t>
      </w:r>
      <w:r w:rsidR="00FB4B40" w:rsidRPr="00133C85">
        <w:rPr>
          <w:rFonts w:asciiTheme="majorBidi" w:hAnsiTheme="majorBidi" w:cstheme="majorBidi"/>
          <w:sz w:val="24"/>
          <w:szCs w:val="24"/>
        </w:rPr>
        <w:t xml:space="preserve"> </w:t>
      </w:r>
      <w:proofErr w:type="gramStart"/>
      <w:r w:rsidR="00FB4B40" w:rsidRPr="00133C85">
        <w:rPr>
          <w:rFonts w:asciiTheme="majorBidi" w:hAnsiTheme="majorBidi" w:cstheme="majorBidi"/>
          <w:sz w:val="24"/>
          <w:szCs w:val="24"/>
        </w:rPr>
        <w:t>fairly uncommon</w:t>
      </w:r>
      <w:proofErr w:type="gramEnd"/>
      <w:r w:rsidR="00FB4B40" w:rsidRPr="00133C85">
        <w:rPr>
          <w:rFonts w:asciiTheme="majorBidi" w:hAnsiTheme="majorBidi" w:cstheme="majorBidi"/>
          <w:sz w:val="24"/>
          <w:szCs w:val="24"/>
        </w:rPr>
        <w:t xml:space="preserve"> and</w:t>
      </w:r>
      <w:r w:rsidRPr="00133C85">
        <w:rPr>
          <w:rFonts w:asciiTheme="majorBidi" w:hAnsiTheme="majorBidi" w:cstheme="majorBidi"/>
          <w:sz w:val="24"/>
          <w:szCs w:val="24"/>
        </w:rPr>
        <w:t xml:space="preserve"> specific regional or bilateral agreements. For example, the Compacts of Free Association between the United States and Micronesia, </w:t>
      </w:r>
      <w:r w:rsidR="00205259" w:rsidRPr="00133C85">
        <w:rPr>
          <w:rFonts w:asciiTheme="majorBidi" w:hAnsiTheme="majorBidi" w:cstheme="majorBidi"/>
          <w:sz w:val="24"/>
          <w:szCs w:val="24"/>
        </w:rPr>
        <w:t xml:space="preserve">the </w:t>
      </w:r>
      <w:r w:rsidRPr="00133C85">
        <w:rPr>
          <w:rFonts w:asciiTheme="majorBidi" w:hAnsiTheme="majorBidi" w:cstheme="majorBidi"/>
          <w:sz w:val="24"/>
          <w:szCs w:val="24"/>
        </w:rPr>
        <w:t>Marshall Islands and Palau allow the citizens of these island nations to live and work at the US.</w:t>
      </w:r>
      <w:r w:rsidRPr="00133C85">
        <w:rPr>
          <w:rStyle w:val="FootnoteReference"/>
          <w:rFonts w:asciiTheme="majorBidi" w:hAnsiTheme="majorBidi" w:cstheme="majorBidi"/>
          <w:sz w:val="24"/>
          <w:szCs w:val="24"/>
        </w:rPr>
        <w:footnoteReference w:id="18"/>
      </w:r>
      <w:r w:rsidR="009953AD" w:rsidRPr="00133C85">
        <w:rPr>
          <w:rFonts w:asciiTheme="majorBidi" w:hAnsiTheme="majorBidi" w:cstheme="majorBidi"/>
          <w:sz w:val="24"/>
          <w:szCs w:val="24"/>
        </w:rPr>
        <w:t xml:space="preserve"> </w:t>
      </w:r>
      <w:r w:rsidR="00F4496D" w:rsidRPr="00133C85">
        <w:rPr>
          <w:rFonts w:asciiTheme="majorBidi" w:hAnsiTheme="majorBidi" w:cstheme="majorBidi"/>
          <w:sz w:val="24"/>
          <w:szCs w:val="24"/>
        </w:rPr>
        <w:t>Another interesting example is the IGAD Protocol on Free Movement of Persons in the IGAD Region, which allows the free movement of persons in the case of disasters within this block of eastern African countries.</w:t>
      </w:r>
      <w:bookmarkStart w:id="2" w:name="_Ref132464988"/>
      <w:r w:rsidR="00F4496D" w:rsidRPr="00133C85">
        <w:rPr>
          <w:rStyle w:val="FootnoteReference"/>
          <w:rFonts w:asciiTheme="majorBidi" w:hAnsiTheme="majorBidi" w:cstheme="majorBidi"/>
          <w:sz w:val="24"/>
          <w:szCs w:val="24"/>
        </w:rPr>
        <w:footnoteReference w:id="19"/>
      </w:r>
      <w:bookmarkEnd w:id="2"/>
      <w:r w:rsidR="00F4496D" w:rsidRPr="00133C85">
        <w:rPr>
          <w:rFonts w:asciiTheme="majorBidi" w:hAnsiTheme="majorBidi" w:cstheme="majorBidi"/>
          <w:sz w:val="24"/>
          <w:szCs w:val="24"/>
        </w:rPr>
        <w:t xml:space="preserve"> </w:t>
      </w:r>
      <w:r w:rsidR="00205259" w:rsidRPr="00133C85">
        <w:rPr>
          <w:rFonts w:asciiTheme="majorBidi" w:hAnsiTheme="majorBidi" w:cstheme="majorBidi"/>
          <w:sz w:val="24"/>
          <w:szCs w:val="24"/>
        </w:rPr>
        <w:t xml:space="preserve">These </w:t>
      </w:r>
      <w:proofErr w:type="gramStart"/>
      <w:r w:rsidR="00205259" w:rsidRPr="00133C85">
        <w:rPr>
          <w:rFonts w:asciiTheme="majorBidi" w:hAnsiTheme="majorBidi" w:cstheme="majorBidi"/>
          <w:sz w:val="24"/>
          <w:szCs w:val="24"/>
        </w:rPr>
        <w:t>examples</w:t>
      </w:r>
      <w:proofErr w:type="gramEnd"/>
      <w:r w:rsidR="00205259" w:rsidRPr="00133C85">
        <w:rPr>
          <w:rFonts w:asciiTheme="majorBidi" w:hAnsiTheme="majorBidi" w:cstheme="majorBidi"/>
          <w:sz w:val="24"/>
          <w:szCs w:val="24"/>
        </w:rPr>
        <w:t xml:space="preserve"> however, are rare and unrepresentative. </w:t>
      </w:r>
    </w:p>
    <w:p w14:paraId="1163B294" w14:textId="68674A70" w:rsidR="000F781C" w:rsidRPr="00133C85" w:rsidRDefault="009216F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The approach towards climate migration under the United Nations Framework Convention of Climate Change (UNFCCC) is slightly more dynamic. The </w:t>
      </w:r>
      <w:r w:rsidR="0092737A" w:rsidRPr="00133C85">
        <w:rPr>
          <w:rFonts w:asciiTheme="majorBidi" w:hAnsiTheme="majorBidi" w:cstheme="majorBidi"/>
          <w:sz w:val="24"/>
          <w:szCs w:val="24"/>
        </w:rPr>
        <w:t>UNFCCC did not address climate migration until the 2011 Cancun Agreements, in which COP Decision 1/CP.16 briefly recognised the need ‘to enhance action on adaptation[…] by undertaking, inter alia[…] [m]</w:t>
      </w:r>
      <w:proofErr w:type="spellStart"/>
      <w:r w:rsidR="0092737A" w:rsidRPr="00133C85">
        <w:rPr>
          <w:rFonts w:asciiTheme="majorBidi" w:hAnsiTheme="majorBidi" w:cstheme="majorBidi"/>
          <w:sz w:val="24"/>
          <w:szCs w:val="24"/>
        </w:rPr>
        <w:t>easures</w:t>
      </w:r>
      <w:proofErr w:type="spellEnd"/>
      <w:r w:rsidR="0092737A" w:rsidRPr="00133C85">
        <w:rPr>
          <w:rFonts w:asciiTheme="majorBidi" w:hAnsiTheme="majorBidi" w:cstheme="majorBidi"/>
          <w:sz w:val="24"/>
          <w:szCs w:val="24"/>
        </w:rPr>
        <w:t xml:space="preserve"> to enhance understanding, coordination and cooperation with regard to climate change induced displacement, migration and planned relocation, where appropriate, at the national, regional and international levels’.</w:t>
      </w:r>
      <w:r w:rsidR="0092737A" w:rsidRPr="00133C85">
        <w:rPr>
          <w:rStyle w:val="FootnoteReference"/>
          <w:rFonts w:asciiTheme="majorBidi" w:hAnsiTheme="majorBidi" w:cstheme="majorBidi"/>
          <w:sz w:val="24"/>
          <w:szCs w:val="24"/>
        </w:rPr>
        <w:footnoteReference w:id="20"/>
      </w:r>
      <w:r w:rsidR="0092737A" w:rsidRPr="00133C85">
        <w:rPr>
          <w:rFonts w:asciiTheme="majorBidi" w:hAnsiTheme="majorBidi" w:cstheme="majorBidi"/>
          <w:sz w:val="24"/>
          <w:szCs w:val="24"/>
        </w:rPr>
        <w:t xml:space="preserve"> On its own, this paragraph did </w:t>
      </w:r>
      <w:r w:rsidR="00CE46DA" w:rsidRPr="00133C85">
        <w:rPr>
          <w:rFonts w:asciiTheme="majorBidi" w:hAnsiTheme="majorBidi" w:cstheme="majorBidi"/>
          <w:sz w:val="24"/>
          <w:szCs w:val="24"/>
        </w:rPr>
        <w:t xml:space="preserve">not </w:t>
      </w:r>
      <w:r w:rsidR="0092737A" w:rsidRPr="00133C85">
        <w:rPr>
          <w:rFonts w:asciiTheme="majorBidi" w:hAnsiTheme="majorBidi" w:cstheme="majorBidi"/>
          <w:sz w:val="24"/>
          <w:szCs w:val="24"/>
        </w:rPr>
        <w:t>add much in terms of legal obligations. This unassuming paragraph is nevertheless one of the main, and most referred to legal provisions in the context of</w:t>
      </w:r>
      <w:r w:rsidR="00205259" w:rsidRPr="00133C85">
        <w:rPr>
          <w:rFonts w:asciiTheme="majorBidi" w:hAnsiTheme="majorBidi" w:cstheme="majorBidi"/>
          <w:sz w:val="24"/>
          <w:szCs w:val="24"/>
        </w:rPr>
        <w:t xml:space="preserve"> the</w:t>
      </w:r>
      <w:r w:rsidR="0092737A" w:rsidRPr="00133C85">
        <w:rPr>
          <w:rFonts w:asciiTheme="majorBidi" w:hAnsiTheme="majorBidi" w:cstheme="majorBidi"/>
          <w:sz w:val="24"/>
          <w:szCs w:val="24"/>
        </w:rPr>
        <w:t xml:space="preserve"> international law on climate migration</w:t>
      </w:r>
      <w:r w:rsidR="00CE46DA" w:rsidRPr="00133C85">
        <w:rPr>
          <w:rFonts w:asciiTheme="majorBidi" w:hAnsiTheme="majorBidi" w:cstheme="majorBidi"/>
          <w:sz w:val="24"/>
          <w:szCs w:val="24"/>
        </w:rPr>
        <w:t xml:space="preserve">. To begin with, </w:t>
      </w:r>
      <w:r w:rsidR="0092737A" w:rsidRPr="00133C85">
        <w:rPr>
          <w:rFonts w:asciiTheme="majorBidi" w:hAnsiTheme="majorBidi" w:cstheme="majorBidi"/>
          <w:sz w:val="24"/>
          <w:szCs w:val="24"/>
        </w:rPr>
        <w:t xml:space="preserve">it </w:t>
      </w:r>
      <w:r w:rsidR="003679F0">
        <w:rPr>
          <w:rFonts w:asciiTheme="majorBidi" w:hAnsiTheme="majorBidi" w:cstheme="majorBidi"/>
          <w:sz w:val="24"/>
          <w:szCs w:val="24"/>
        </w:rPr>
        <w:t>initiated</w:t>
      </w:r>
      <w:r w:rsidR="00CE46DA" w:rsidRPr="00133C85">
        <w:rPr>
          <w:rFonts w:asciiTheme="majorBidi" w:hAnsiTheme="majorBidi" w:cstheme="majorBidi"/>
          <w:sz w:val="24"/>
          <w:szCs w:val="24"/>
        </w:rPr>
        <w:t xml:space="preserve"> a </w:t>
      </w:r>
      <w:r w:rsidR="003679F0">
        <w:rPr>
          <w:rFonts w:asciiTheme="majorBidi" w:hAnsiTheme="majorBidi" w:cstheme="majorBidi"/>
          <w:sz w:val="24"/>
          <w:szCs w:val="24"/>
        </w:rPr>
        <w:t>series</w:t>
      </w:r>
      <w:r w:rsidR="00CE46DA" w:rsidRPr="00133C85">
        <w:rPr>
          <w:rFonts w:asciiTheme="majorBidi" w:hAnsiTheme="majorBidi" w:cstheme="majorBidi"/>
          <w:sz w:val="24"/>
          <w:szCs w:val="24"/>
        </w:rPr>
        <w:t xml:space="preserve"> of declarations and </w:t>
      </w:r>
      <w:r w:rsidR="003679F0">
        <w:rPr>
          <w:rFonts w:asciiTheme="majorBidi" w:hAnsiTheme="majorBidi" w:cstheme="majorBidi"/>
          <w:sz w:val="24"/>
          <w:szCs w:val="24"/>
        </w:rPr>
        <w:t>legal provisions</w:t>
      </w:r>
      <w:r w:rsidR="003679F0" w:rsidRPr="00133C85">
        <w:rPr>
          <w:rFonts w:asciiTheme="majorBidi" w:hAnsiTheme="majorBidi" w:cstheme="majorBidi"/>
          <w:sz w:val="24"/>
          <w:szCs w:val="24"/>
        </w:rPr>
        <w:t xml:space="preserve"> </w:t>
      </w:r>
      <w:r w:rsidR="00CE46DA" w:rsidRPr="00133C85">
        <w:rPr>
          <w:rFonts w:asciiTheme="majorBidi" w:hAnsiTheme="majorBidi" w:cstheme="majorBidi"/>
          <w:sz w:val="24"/>
          <w:szCs w:val="24"/>
        </w:rPr>
        <w:t>to address climate migration, within the UNFCCC framework and beyond. Also</w:t>
      </w:r>
      <w:r w:rsidR="003679F0">
        <w:rPr>
          <w:rFonts w:asciiTheme="majorBidi" w:hAnsiTheme="majorBidi" w:cstheme="majorBidi"/>
          <w:sz w:val="24"/>
          <w:szCs w:val="24"/>
        </w:rPr>
        <w:t>,</w:t>
      </w:r>
      <w:r w:rsidR="00CE46DA" w:rsidRPr="00133C85">
        <w:rPr>
          <w:rFonts w:asciiTheme="majorBidi" w:hAnsiTheme="majorBidi" w:cstheme="majorBidi"/>
          <w:sz w:val="24"/>
          <w:szCs w:val="24"/>
        </w:rPr>
        <w:t xml:space="preserve"> importantly, the recognition of climate migration in a COP decision solved a longstanding problem: the lack of an institutional home. Until this decision, it was not clear at all under which international framework states</w:t>
      </w:r>
      <w:r w:rsidR="00205259" w:rsidRPr="00133C85">
        <w:rPr>
          <w:rFonts w:asciiTheme="majorBidi" w:hAnsiTheme="majorBidi" w:cstheme="majorBidi"/>
          <w:sz w:val="24"/>
          <w:szCs w:val="24"/>
        </w:rPr>
        <w:t xml:space="preserve"> </w:t>
      </w:r>
      <w:r w:rsidR="003679F0">
        <w:rPr>
          <w:rFonts w:asciiTheme="majorBidi" w:hAnsiTheme="majorBidi" w:cstheme="majorBidi"/>
          <w:sz w:val="24"/>
          <w:szCs w:val="24"/>
        </w:rPr>
        <w:t>would</w:t>
      </w:r>
      <w:r w:rsidR="00CE46DA" w:rsidRPr="00133C85">
        <w:rPr>
          <w:rFonts w:asciiTheme="majorBidi" w:hAnsiTheme="majorBidi" w:cstheme="majorBidi"/>
          <w:sz w:val="24"/>
          <w:szCs w:val="24"/>
        </w:rPr>
        <w:t xml:space="preserve"> address the phenomenon of climate migration.</w:t>
      </w:r>
      <w:r w:rsidR="00CE46DA" w:rsidRPr="00133C85">
        <w:rPr>
          <w:rStyle w:val="FootnoteReference"/>
          <w:rFonts w:asciiTheme="majorBidi" w:hAnsiTheme="majorBidi" w:cstheme="majorBidi"/>
          <w:sz w:val="24"/>
          <w:szCs w:val="24"/>
        </w:rPr>
        <w:footnoteReference w:id="21"/>
      </w:r>
      <w:r w:rsidR="00CE46DA" w:rsidRPr="00133C85">
        <w:rPr>
          <w:rFonts w:asciiTheme="majorBidi" w:hAnsiTheme="majorBidi" w:cstheme="majorBidi"/>
          <w:sz w:val="24"/>
          <w:szCs w:val="24"/>
        </w:rPr>
        <w:t xml:space="preserve"> While COP Decision 1/CP.16 did not explicitly instruct the UNFCCC’s mandate </w:t>
      </w:r>
      <w:r w:rsidR="003679F0">
        <w:rPr>
          <w:rFonts w:asciiTheme="majorBidi" w:hAnsiTheme="majorBidi" w:cstheme="majorBidi"/>
          <w:sz w:val="24"/>
          <w:szCs w:val="24"/>
        </w:rPr>
        <w:t>to be expanded to</w:t>
      </w:r>
      <w:r w:rsidR="00205259" w:rsidRPr="00133C85">
        <w:rPr>
          <w:rFonts w:asciiTheme="majorBidi" w:hAnsiTheme="majorBidi" w:cstheme="majorBidi"/>
          <w:sz w:val="24"/>
          <w:szCs w:val="24"/>
        </w:rPr>
        <w:t xml:space="preserve"> </w:t>
      </w:r>
      <w:r w:rsidR="00CE46DA" w:rsidRPr="00133C85">
        <w:rPr>
          <w:rFonts w:asciiTheme="majorBidi" w:hAnsiTheme="majorBidi" w:cstheme="majorBidi"/>
          <w:sz w:val="24"/>
          <w:szCs w:val="24"/>
        </w:rPr>
        <w:t>cover climate migration (in fact, it instructed very little), from this moment on this topic has found its way into this framework.</w:t>
      </w:r>
      <w:r w:rsidR="000F781C" w:rsidRPr="00133C85">
        <w:rPr>
          <w:rFonts w:asciiTheme="majorBidi" w:hAnsiTheme="majorBidi" w:cstheme="majorBidi"/>
          <w:sz w:val="24"/>
          <w:szCs w:val="24"/>
        </w:rPr>
        <w:t xml:space="preserve"> </w:t>
      </w:r>
    </w:p>
    <w:p w14:paraId="0DB42F2F" w14:textId="0B968F3C" w:rsidR="007211C8" w:rsidRPr="00133C85" w:rsidRDefault="000F781C"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Since 2011, the UNFCCC</w:t>
      </w:r>
      <w:r w:rsidR="003679F0">
        <w:rPr>
          <w:rFonts w:asciiTheme="majorBidi" w:hAnsiTheme="majorBidi" w:cstheme="majorBidi"/>
          <w:sz w:val="24"/>
          <w:szCs w:val="24"/>
        </w:rPr>
        <w:t xml:space="preserve"> process</w:t>
      </w:r>
      <w:r w:rsidRPr="00133C85">
        <w:rPr>
          <w:rFonts w:asciiTheme="majorBidi" w:hAnsiTheme="majorBidi" w:cstheme="majorBidi"/>
          <w:sz w:val="24"/>
          <w:szCs w:val="24"/>
        </w:rPr>
        <w:t xml:space="preserve"> has issued a number of references with respect to climate migration, most notably under Decision 1/CP.21 (‘Adoption of the Paris Agreement’) in which a cross-institutional Task Force on Displacement was established</w:t>
      </w:r>
      <w:r w:rsidR="00D1620D" w:rsidRPr="00133C85">
        <w:rPr>
          <w:rFonts w:asciiTheme="majorBidi" w:hAnsiTheme="majorBidi" w:cstheme="majorBidi"/>
          <w:sz w:val="24"/>
          <w:szCs w:val="24"/>
        </w:rPr>
        <w:t xml:space="preserve"> (this time under the title of </w:t>
      </w:r>
      <w:r w:rsidR="00D1620D" w:rsidRPr="00133C85">
        <w:rPr>
          <w:rFonts w:asciiTheme="majorBidi" w:hAnsiTheme="majorBidi" w:cstheme="majorBidi"/>
          <w:sz w:val="24"/>
          <w:szCs w:val="24"/>
        </w:rPr>
        <w:lastRenderedPageBreak/>
        <w:t>‘loss and damage’</w:t>
      </w:r>
      <w:r w:rsidR="00205259" w:rsidRPr="00133C85">
        <w:rPr>
          <w:rFonts w:asciiTheme="majorBidi" w:hAnsiTheme="majorBidi" w:cstheme="majorBidi"/>
          <w:sz w:val="24"/>
          <w:szCs w:val="24"/>
        </w:rPr>
        <w:t>)</w:t>
      </w:r>
      <w:r w:rsidRPr="00133C85">
        <w:rPr>
          <w:rFonts w:asciiTheme="majorBidi" w:hAnsiTheme="majorBidi" w:cstheme="majorBidi"/>
          <w:sz w:val="24"/>
          <w:szCs w:val="24"/>
        </w:rPr>
        <w:t xml:space="preserve">, with </w:t>
      </w:r>
      <w:r w:rsidR="003679F0">
        <w:rPr>
          <w:rFonts w:asciiTheme="majorBidi" w:hAnsiTheme="majorBidi" w:cstheme="majorBidi"/>
          <w:sz w:val="24"/>
          <w:szCs w:val="24"/>
        </w:rPr>
        <w:t>a</w:t>
      </w:r>
      <w:r w:rsidRPr="00133C85">
        <w:rPr>
          <w:rFonts w:asciiTheme="majorBidi" w:hAnsiTheme="majorBidi" w:cstheme="majorBidi"/>
          <w:sz w:val="24"/>
          <w:szCs w:val="24"/>
        </w:rPr>
        <w:t xml:space="preserve"> mandate ‘to develop recommendations for integrated approaches to avert, minimize and address displacement related to the adverse impacts of climate change’.</w:t>
      </w:r>
      <w:r w:rsidRPr="00133C85">
        <w:rPr>
          <w:rStyle w:val="FootnoteReference"/>
          <w:rFonts w:asciiTheme="majorBidi" w:hAnsiTheme="majorBidi" w:cstheme="majorBidi"/>
          <w:sz w:val="24"/>
          <w:szCs w:val="24"/>
        </w:rPr>
        <w:footnoteReference w:id="22"/>
      </w:r>
      <w:r w:rsidR="007211C8" w:rsidRPr="00133C85">
        <w:rPr>
          <w:rFonts w:asciiTheme="majorBidi" w:hAnsiTheme="majorBidi" w:cstheme="majorBidi"/>
          <w:sz w:val="24"/>
          <w:szCs w:val="24"/>
        </w:rPr>
        <w:t xml:space="preserve"> The most recent reference</w:t>
      </w:r>
      <w:r w:rsidR="003679F0">
        <w:rPr>
          <w:rFonts w:asciiTheme="majorBidi" w:hAnsiTheme="majorBidi" w:cstheme="majorBidi"/>
          <w:sz w:val="24"/>
          <w:szCs w:val="24"/>
        </w:rPr>
        <w:t xml:space="preserve"> </w:t>
      </w:r>
      <w:r w:rsidR="003679F0" w:rsidRPr="00133C85">
        <w:rPr>
          <w:rFonts w:asciiTheme="majorBidi" w:hAnsiTheme="majorBidi" w:cstheme="majorBidi"/>
          <w:sz w:val="24"/>
          <w:szCs w:val="24"/>
        </w:rPr>
        <w:t>(at the time of writing)</w:t>
      </w:r>
      <w:r w:rsidR="003679F0">
        <w:rPr>
          <w:rFonts w:asciiTheme="majorBidi" w:hAnsiTheme="majorBidi" w:cstheme="majorBidi"/>
          <w:sz w:val="24"/>
          <w:szCs w:val="24"/>
        </w:rPr>
        <w:t xml:space="preserve"> </w:t>
      </w:r>
      <w:r w:rsidR="003679F0" w:rsidRPr="00133C85">
        <w:rPr>
          <w:rFonts w:asciiTheme="majorBidi" w:hAnsiTheme="majorBidi" w:cstheme="majorBidi"/>
          <w:sz w:val="24"/>
          <w:szCs w:val="24"/>
        </w:rPr>
        <w:t>to climate migration</w:t>
      </w:r>
      <w:r w:rsidR="007211C8" w:rsidRPr="00133C85">
        <w:rPr>
          <w:rFonts w:asciiTheme="majorBidi" w:hAnsiTheme="majorBidi" w:cstheme="majorBidi"/>
          <w:sz w:val="24"/>
          <w:szCs w:val="24"/>
        </w:rPr>
        <w:t xml:space="preserve"> under the UNFCCC framework</w:t>
      </w:r>
      <w:r w:rsidR="003679F0">
        <w:rPr>
          <w:rFonts w:asciiTheme="majorBidi" w:hAnsiTheme="majorBidi" w:cstheme="majorBidi"/>
          <w:sz w:val="24"/>
          <w:szCs w:val="24"/>
        </w:rPr>
        <w:t xml:space="preserve"> </w:t>
      </w:r>
      <w:r w:rsidR="007211C8" w:rsidRPr="00133C85">
        <w:rPr>
          <w:rFonts w:asciiTheme="majorBidi" w:hAnsiTheme="majorBidi" w:cstheme="majorBidi"/>
          <w:sz w:val="24"/>
          <w:szCs w:val="24"/>
        </w:rPr>
        <w:t xml:space="preserve"> was made in the </w:t>
      </w:r>
      <w:r w:rsidR="00205259" w:rsidRPr="00133C85">
        <w:rPr>
          <w:rFonts w:asciiTheme="majorBidi" w:hAnsiTheme="majorBidi" w:cstheme="majorBidi"/>
          <w:sz w:val="24"/>
          <w:szCs w:val="24"/>
        </w:rPr>
        <w:t xml:space="preserve">2022 </w:t>
      </w:r>
      <w:r w:rsidR="007211C8" w:rsidRPr="00133C85">
        <w:rPr>
          <w:rFonts w:asciiTheme="majorBidi" w:hAnsiTheme="majorBidi" w:cstheme="majorBidi"/>
          <w:sz w:val="24"/>
          <w:szCs w:val="24"/>
        </w:rPr>
        <w:t xml:space="preserve">COP 27 Cover Decision (Sharm el-Sheikh Implementation Plan). </w:t>
      </w:r>
      <w:r w:rsidR="003679F0">
        <w:rPr>
          <w:rFonts w:asciiTheme="majorBidi" w:hAnsiTheme="majorBidi" w:cstheme="majorBidi"/>
          <w:sz w:val="24"/>
          <w:szCs w:val="24"/>
        </w:rPr>
        <w:t>Again, u</w:t>
      </w:r>
      <w:r w:rsidR="007211C8" w:rsidRPr="00133C85">
        <w:rPr>
          <w:rFonts w:asciiTheme="majorBidi" w:hAnsiTheme="majorBidi" w:cstheme="majorBidi"/>
          <w:sz w:val="24"/>
          <w:szCs w:val="24"/>
        </w:rPr>
        <w:t>nder the title of ‘loss and damage’ it was stated that the Parties:</w:t>
      </w:r>
    </w:p>
    <w:p w14:paraId="7AE33E69" w14:textId="16B0E0AC" w:rsidR="007211C8" w:rsidRPr="00133C85" w:rsidRDefault="007211C8"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‘Notes with grave concern, according to information in the contributions of Working Groups II and III to the Sixth Assessment Report of the Intergovernmental Panel on Climate Change, the growing gravity, scope and frequency in all regions of loss and damage associated with the adverse effects of climate change, resulting in devastating economic and non-economic losses, including forced displacement and impacts on cultural heritage, human mobility and the lives and livelihoods of local communities, and underlines the importance of an adequate and effective response to loss and damage;’</w:t>
      </w:r>
    </w:p>
    <w:p w14:paraId="1AA7EB6C" w14:textId="0EF55C34" w:rsidR="007211C8" w:rsidRPr="00133C85" w:rsidRDefault="007211C8"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On the one hand, this reference demonstrate</w:t>
      </w:r>
      <w:r w:rsidR="005E4C4E" w:rsidRPr="00133C85">
        <w:rPr>
          <w:rFonts w:asciiTheme="majorBidi" w:hAnsiTheme="majorBidi" w:cstheme="majorBidi"/>
          <w:sz w:val="24"/>
          <w:szCs w:val="24"/>
        </w:rPr>
        <w:t>s</w:t>
      </w:r>
      <w:r w:rsidRPr="00133C85">
        <w:rPr>
          <w:rFonts w:asciiTheme="majorBidi" w:hAnsiTheme="majorBidi" w:cstheme="majorBidi"/>
          <w:sz w:val="24"/>
          <w:szCs w:val="24"/>
        </w:rPr>
        <w:t xml:space="preserve"> the main problem with the UNFCCC’s approach towards climate-induced migration: Since </w:t>
      </w:r>
      <w:r w:rsidR="005E4C4E" w:rsidRPr="00133C85">
        <w:rPr>
          <w:rFonts w:asciiTheme="majorBidi" w:hAnsiTheme="majorBidi" w:cstheme="majorBidi"/>
          <w:sz w:val="24"/>
          <w:szCs w:val="24"/>
        </w:rPr>
        <w:t>the first 2011</w:t>
      </w:r>
      <w:r w:rsidR="00F7155E" w:rsidRPr="00133C85">
        <w:rPr>
          <w:rFonts w:asciiTheme="majorBidi" w:hAnsiTheme="majorBidi" w:cstheme="majorBidi"/>
          <w:sz w:val="24"/>
          <w:szCs w:val="24"/>
        </w:rPr>
        <w:t xml:space="preserve"> reference in the Cancun Agreements,</w:t>
      </w:r>
      <w:r w:rsidR="005E4C4E" w:rsidRPr="00133C85">
        <w:rPr>
          <w:rFonts w:asciiTheme="majorBidi" w:hAnsiTheme="majorBidi" w:cstheme="majorBidi"/>
          <w:sz w:val="24"/>
          <w:szCs w:val="24"/>
        </w:rPr>
        <w:t xml:space="preserve"> the parties </w:t>
      </w:r>
      <w:r w:rsidR="003679F0">
        <w:rPr>
          <w:rFonts w:asciiTheme="majorBidi" w:hAnsiTheme="majorBidi" w:cstheme="majorBidi"/>
          <w:sz w:val="24"/>
          <w:szCs w:val="24"/>
        </w:rPr>
        <w:t>have</w:t>
      </w:r>
      <w:r w:rsidR="005E4C4E" w:rsidRPr="00133C85">
        <w:rPr>
          <w:rFonts w:asciiTheme="majorBidi" w:hAnsiTheme="majorBidi" w:cstheme="majorBidi"/>
          <w:sz w:val="24"/>
          <w:szCs w:val="24"/>
        </w:rPr>
        <w:t xml:space="preserve"> never</w:t>
      </w:r>
      <w:r w:rsidR="003679F0">
        <w:rPr>
          <w:rFonts w:asciiTheme="majorBidi" w:hAnsiTheme="majorBidi" w:cstheme="majorBidi"/>
          <w:sz w:val="24"/>
          <w:szCs w:val="24"/>
        </w:rPr>
        <w:t xml:space="preserve"> been</w:t>
      </w:r>
      <w:r w:rsidR="005E4C4E" w:rsidRPr="00133C85">
        <w:rPr>
          <w:rFonts w:asciiTheme="majorBidi" w:hAnsiTheme="majorBidi" w:cstheme="majorBidi"/>
          <w:sz w:val="24"/>
          <w:szCs w:val="24"/>
        </w:rPr>
        <w:t xml:space="preserve"> able to rise above mere declarative and non-legally </w:t>
      </w:r>
      <w:r w:rsidR="00F7155E" w:rsidRPr="00133C85">
        <w:rPr>
          <w:rFonts w:asciiTheme="majorBidi" w:hAnsiTheme="majorBidi" w:cstheme="majorBidi"/>
          <w:sz w:val="24"/>
          <w:szCs w:val="24"/>
        </w:rPr>
        <w:t>binding</w:t>
      </w:r>
      <w:r w:rsidR="005E4C4E" w:rsidRPr="00133C85">
        <w:rPr>
          <w:rFonts w:asciiTheme="majorBidi" w:hAnsiTheme="majorBidi" w:cstheme="majorBidi"/>
          <w:sz w:val="24"/>
          <w:szCs w:val="24"/>
        </w:rPr>
        <w:t xml:space="preserve"> language. </w:t>
      </w:r>
      <w:r w:rsidR="00167137" w:rsidRPr="00133C85">
        <w:rPr>
          <w:rFonts w:asciiTheme="majorBidi" w:hAnsiTheme="majorBidi" w:cstheme="majorBidi"/>
          <w:sz w:val="24"/>
          <w:szCs w:val="24"/>
        </w:rPr>
        <w:t xml:space="preserve">The legal hole, in this respect, did not get any </w:t>
      </w:r>
      <w:r w:rsidR="003679F0">
        <w:rPr>
          <w:rFonts w:asciiTheme="majorBidi" w:hAnsiTheme="majorBidi" w:cstheme="majorBidi"/>
          <w:sz w:val="24"/>
          <w:szCs w:val="24"/>
        </w:rPr>
        <w:t>smaller</w:t>
      </w:r>
      <w:r w:rsidR="00167137" w:rsidRPr="00133C85">
        <w:rPr>
          <w:rFonts w:asciiTheme="majorBidi" w:hAnsiTheme="majorBidi" w:cstheme="majorBidi"/>
          <w:sz w:val="24"/>
          <w:szCs w:val="24"/>
        </w:rPr>
        <w:t xml:space="preserve">, despite years of increased attention and discussions. </w:t>
      </w:r>
    </w:p>
    <w:p w14:paraId="2D3061ED" w14:textId="045BE39E" w:rsidR="00557D3C" w:rsidRPr="00133C85" w:rsidRDefault="00F7155E"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At the same time</w:t>
      </w:r>
      <w:r w:rsidR="0088667C" w:rsidRPr="00133C85">
        <w:rPr>
          <w:rFonts w:asciiTheme="majorBidi" w:hAnsiTheme="majorBidi" w:cstheme="majorBidi"/>
          <w:sz w:val="24"/>
          <w:szCs w:val="24"/>
        </w:rPr>
        <w:t>, the reference to climate migration within the Sharm el-Sheikh Implementation Plan shows some promise. As stated, this reference was made in paragraph 22 of the decision, under the title of ‘loss and damage’. The following paragraph</w:t>
      </w:r>
      <w:r w:rsidR="00FB4B40" w:rsidRPr="00133C85">
        <w:rPr>
          <w:rFonts w:asciiTheme="majorBidi" w:hAnsiTheme="majorBidi" w:cstheme="majorBidi"/>
          <w:sz w:val="24"/>
          <w:szCs w:val="24"/>
        </w:rPr>
        <w:t>s of this decision provide some context: paragraph</w:t>
      </w:r>
      <w:r w:rsidR="0088667C" w:rsidRPr="00133C85">
        <w:rPr>
          <w:rFonts w:asciiTheme="majorBidi" w:hAnsiTheme="majorBidi" w:cstheme="majorBidi"/>
          <w:sz w:val="24"/>
          <w:szCs w:val="24"/>
        </w:rPr>
        <w:t xml:space="preserve"> 23 express</w:t>
      </w:r>
      <w:r w:rsidR="003679F0">
        <w:rPr>
          <w:rFonts w:asciiTheme="majorBidi" w:hAnsiTheme="majorBidi" w:cstheme="majorBidi"/>
          <w:sz w:val="24"/>
          <w:szCs w:val="24"/>
        </w:rPr>
        <w:t>es</w:t>
      </w:r>
      <w:r w:rsidR="0088667C" w:rsidRPr="00133C85">
        <w:rPr>
          <w:rFonts w:asciiTheme="majorBidi" w:hAnsiTheme="majorBidi" w:cstheme="majorBidi"/>
          <w:sz w:val="24"/>
          <w:szCs w:val="24"/>
        </w:rPr>
        <w:t xml:space="preserve"> ‘deep concern regarding the significant financial costs associated with loss and damage for developing countries, resulting in a growing debt burden and impairing the realization of the Sustainable Development Goals’, and paragraph 24 goes on by welcoming ‘the consideration, for the first time, of matters relating to funding arrangements responding to loss and damage associated with the adverse effects of climate change’. Indeed COP 27’s main achievement was the decision to establish a loss and damage fund, and the clear linking of climate migration to this fund in the Implementation Plan is promising. </w:t>
      </w:r>
    </w:p>
    <w:p w14:paraId="7A29AD8B" w14:textId="7112ACEE" w:rsidR="007211C8" w:rsidRPr="00133C85" w:rsidRDefault="0088667C"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lastRenderedPageBreak/>
        <w:t xml:space="preserve">The details of the new </w:t>
      </w:r>
      <w:r w:rsidR="00557D3C" w:rsidRPr="00133C85">
        <w:rPr>
          <w:rFonts w:asciiTheme="majorBidi" w:hAnsiTheme="majorBidi" w:cstheme="majorBidi"/>
          <w:sz w:val="24"/>
          <w:szCs w:val="24"/>
        </w:rPr>
        <w:t xml:space="preserve">loss and damage </w:t>
      </w:r>
      <w:r w:rsidRPr="00133C85">
        <w:rPr>
          <w:rFonts w:asciiTheme="majorBidi" w:hAnsiTheme="majorBidi" w:cstheme="majorBidi"/>
          <w:sz w:val="24"/>
          <w:szCs w:val="24"/>
        </w:rPr>
        <w:t xml:space="preserve">fund’s operation have not been </w:t>
      </w:r>
      <w:r w:rsidR="00F7155E" w:rsidRPr="00133C85">
        <w:rPr>
          <w:rFonts w:asciiTheme="majorBidi" w:hAnsiTheme="majorBidi" w:cstheme="majorBidi"/>
          <w:sz w:val="24"/>
          <w:szCs w:val="24"/>
        </w:rPr>
        <w:t>set</w:t>
      </w:r>
      <w:r w:rsidRPr="00133C85">
        <w:rPr>
          <w:rFonts w:asciiTheme="majorBidi" w:hAnsiTheme="majorBidi" w:cstheme="majorBidi"/>
          <w:sz w:val="24"/>
          <w:szCs w:val="24"/>
        </w:rPr>
        <w:t xml:space="preserve"> at the time of writing</w:t>
      </w:r>
      <w:r w:rsidR="00557D3C" w:rsidRPr="00133C85">
        <w:rPr>
          <w:rFonts w:asciiTheme="majorBidi" w:hAnsiTheme="majorBidi" w:cstheme="majorBidi"/>
          <w:sz w:val="24"/>
          <w:szCs w:val="24"/>
        </w:rPr>
        <w:t xml:space="preserve">, and as established below, certain difficulties (notably regarding establishing a causal link between climate change and the act of migration) are yet to be resolved. </w:t>
      </w:r>
      <w:r w:rsidR="00917874" w:rsidRPr="00133C85">
        <w:rPr>
          <w:rFonts w:asciiTheme="majorBidi" w:hAnsiTheme="majorBidi" w:cstheme="majorBidi"/>
          <w:sz w:val="24"/>
          <w:szCs w:val="24"/>
        </w:rPr>
        <w:t>It also remains to be seen how ambitious states</w:t>
      </w:r>
      <w:r w:rsidR="003679F0">
        <w:rPr>
          <w:rFonts w:asciiTheme="majorBidi" w:hAnsiTheme="majorBidi" w:cstheme="majorBidi"/>
          <w:sz w:val="24"/>
          <w:szCs w:val="24"/>
        </w:rPr>
        <w:t>’</w:t>
      </w:r>
      <w:r w:rsidR="00917874" w:rsidRPr="00133C85">
        <w:rPr>
          <w:rFonts w:asciiTheme="majorBidi" w:hAnsiTheme="majorBidi" w:cstheme="majorBidi"/>
          <w:sz w:val="24"/>
          <w:szCs w:val="24"/>
        </w:rPr>
        <w:t xml:space="preserve"> contributions will be – a question that will determine its impact - and whether the framing of ‘loss and damage’ will be useful for </w:t>
      </w:r>
      <w:r w:rsidR="00F7155E" w:rsidRPr="00133C85">
        <w:rPr>
          <w:rFonts w:asciiTheme="majorBidi" w:hAnsiTheme="majorBidi" w:cstheme="majorBidi"/>
          <w:sz w:val="24"/>
          <w:szCs w:val="24"/>
        </w:rPr>
        <w:t xml:space="preserve">host </w:t>
      </w:r>
      <w:r w:rsidR="00917874" w:rsidRPr="00133C85">
        <w:rPr>
          <w:rFonts w:asciiTheme="majorBidi" w:hAnsiTheme="majorBidi" w:cstheme="majorBidi"/>
          <w:sz w:val="24"/>
          <w:szCs w:val="24"/>
        </w:rPr>
        <w:t>states requiring funds to protect migrants</w:t>
      </w:r>
      <w:r w:rsidR="00F7155E" w:rsidRPr="00133C85">
        <w:rPr>
          <w:rFonts w:asciiTheme="majorBidi" w:hAnsiTheme="majorBidi" w:cstheme="majorBidi"/>
          <w:sz w:val="24"/>
          <w:szCs w:val="24"/>
        </w:rPr>
        <w:t>’</w:t>
      </w:r>
      <w:r w:rsidR="00917874" w:rsidRPr="00133C85">
        <w:rPr>
          <w:rFonts w:asciiTheme="majorBidi" w:hAnsiTheme="majorBidi" w:cstheme="majorBidi"/>
          <w:sz w:val="24"/>
          <w:szCs w:val="24"/>
        </w:rPr>
        <w:t xml:space="preserve"> rights once migration has occurred (</w:t>
      </w:r>
      <w:proofErr w:type="gramStart"/>
      <w:r w:rsidR="00917874" w:rsidRPr="00133C85">
        <w:rPr>
          <w:rFonts w:asciiTheme="majorBidi" w:hAnsiTheme="majorBidi" w:cstheme="majorBidi"/>
          <w:sz w:val="24"/>
          <w:szCs w:val="24"/>
        </w:rPr>
        <w:t>i.e.</w:t>
      </w:r>
      <w:proofErr w:type="gramEnd"/>
      <w:r w:rsidR="00917874" w:rsidRPr="00133C85">
        <w:rPr>
          <w:rFonts w:asciiTheme="majorBidi" w:hAnsiTheme="majorBidi" w:cstheme="majorBidi"/>
          <w:sz w:val="24"/>
          <w:szCs w:val="24"/>
        </w:rPr>
        <w:t xml:space="preserve"> adaptation, rather than loss and damage). </w:t>
      </w:r>
      <w:r w:rsidR="00557D3C" w:rsidRPr="00133C85">
        <w:rPr>
          <w:rFonts w:asciiTheme="majorBidi" w:hAnsiTheme="majorBidi" w:cstheme="majorBidi"/>
          <w:sz w:val="24"/>
          <w:szCs w:val="24"/>
        </w:rPr>
        <w:t xml:space="preserve">Nevertheless, as </w:t>
      </w:r>
      <w:r w:rsidR="003679F0">
        <w:rPr>
          <w:rFonts w:asciiTheme="majorBidi" w:hAnsiTheme="majorBidi" w:cstheme="majorBidi"/>
          <w:sz w:val="24"/>
          <w:szCs w:val="24"/>
        </w:rPr>
        <w:t>we</w:t>
      </w:r>
      <w:r w:rsidR="00557D3C" w:rsidRPr="00133C85">
        <w:rPr>
          <w:rFonts w:asciiTheme="majorBidi" w:hAnsiTheme="majorBidi" w:cstheme="majorBidi"/>
          <w:sz w:val="24"/>
          <w:szCs w:val="24"/>
        </w:rPr>
        <w:t xml:space="preserve"> have identified in the past</w:t>
      </w:r>
      <w:r w:rsidR="003679F0">
        <w:rPr>
          <w:rFonts w:asciiTheme="majorBidi" w:hAnsiTheme="majorBidi" w:cstheme="majorBidi"/>
          <w:sz w:val="24"/>
          <w:szCs w:val="24"/>
        </w:rPr>
        <w:t>,</w:t>
      </w:r>
      <w:r w:rsidR="00557D3C" w:rsidRPr="00133C85">
        <w:rPr>
          <w:rFonts w:asciiTheme="majorBidi" w:hAnsiTheme="majorBidi" w:cstheme="majorBidi"/>
          <w:sz w:val="24"/>
          <w:szCs w:val="24"/>
        </w:rPr>
        <w:t xml:space="preserve"> finance </w:t>
      </w:r>
      <w:r w:rsidR="003679F0">
        <w:rPr>
          <w:rFonts w:asciiTheme="majorBidi" w:hAnsiTheme="majorBidi" w:cstheme="majorBidi"/>
          <w:sz w:val="24"/>
          <w:szCs w:val="24"/>
        </w:rPr>
        <w:t>is</w:t>
      </w:r>
      <w:r w:rsidR="00557D3C" w:rsidRPr="00133C85">
        <w:rPr>
          <w:rFonts w:asciiTheme="majorBidi" w:hAnsiTheme="majorBidi" w:cstheme="majorBidi"/>
          <w:sz w:val="24"/>
          <w:szCs w:val="24"/>
        </w:rPr>
        <w:t xml:space="preserve"> one of the main missing parts in the regulation of climate migration,</w:t>
      </w:r>
      <w:r w:rsidR="00557D3C" w:rsidRPr="00133C85">
        <w:rPr>
          <w:rStyle w:val="FootnoteReference"/>
          <w:rFonts w:asciiTheme="majorBidi" w:hAnsiTheme="majorBidi" w:cstheme="majorBidi"/>
          <w:sz w:val="24"/>
          <w:szCs w:val="24"/>
        </w:rPr>
        <w:footnoteReference w:id="23"/>
      </w:r>
      <w:r w:rsidR="00557D3C" w:rsidRPr="00133C85">
        <w:rPr>
          <w:rFonts w:asciiTheme="majorBidi" w:hAnsiTheme="majorBidi" w:cstheme="majorBidi"/>
          <w:sz w:val="24"/>
          <w:szCs w:val="24"/>
        </w:rPr>
        <w:t xml:space="preserve"> </w:t>
      </w:r>
      <w:r w:rsidR="003679F0">
        <w:rPr>
          <w:rFonts w:asciiTheme="majorBidi" w:hAnsiTheme="majorBidi" w:cstheme="majorBidi"/>
          <w:sz w:val="24"/>
          <w:szCs w:val="24"/>
        </w:rPr>
        <w:t xml:space="preserve">and so </w:t>
      </w:r>
      <w:r w:rsidR="00557D3C" w:rsidRPr="00133C85">
        <w:rPr>
          <w:rFonts w:asciiTheme="majorBidi" w:hAnsiTheme="majorBidi" w:cstheme="majorBidi"/>
          <w:sz w:val="24"/>
          <w:szCs w:val="24"/>
        </w:rPr>
        <w:t xml:space="preserve">there is no question that this development should be seen as a positive step forward. </w:t>
      </w:r>
    </w:p>
    <w:p w14:paraId="1B423179" w14:textId="2531D6B4" w:rsidR="000C3751" w:rsidRPr="00133C85" w:rsidRDefault="00A976E0"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Beyond </w:t>
      </w:r>
      <w:r w:rsidR="00662B7F" w:rsidRPr="00133C85">
        <w:rPr>
          <w:rFonts w:asciiTheme="majorBidi" w:hAnsiTheme="majorBidi" w:cstheme="majorBidi"/>
          <w:sz w:val="24"/>
          <w:szCs w:val="24"/>
        </w:rPr>
        <w:t xml:space="preserve">international climate change and refugee laws, the phenomenon of climate migration </w:t>
      </w:r>
      <w:r w:rsidR="00C03B3F">
        <w:rPr>
          <w:rFonts w:asciiTheme="majorBidi" w:hAnsiTheme="majorBidi" w:cstheme="majorBidi"/>
          <w:sz w:val="24"/>
          <w:szCs w:val="24"/>
        </w:rPr>
        <w:t>has been</w:t>
      </w:r>
      <w:r w:rsidR="00662B7F" w:rsidRPr="00133C85">
        <w:rPr>
          <w:rFonts w:asciiTheme="majorBidi" w:hAnsiTheme="majorBidi" w:cstheme="majorBidi"/>
          <w:sz w:val="24"/>
          <w:szCs w:val="24"/>
        </w:rPr>
        <w:t xml:space="preserve"> mentioned</w:t>
      </w:r>
      <w:r w:rsidR="000C3751" w:rsidRPr="00133C85">
        <w:rPr>
          <w:rFonts w:asciiTheme="majorBidi" w:hAnsiTheme="majorBidi" w:cstheme="majorBidi"/>
          <w:sz w:val="24"/>
          <w:szCs w:val="24"/>
        </w:rPr>
        <w:t>,</w:t>
      </w:r>
      <w:r w:rsidR="00662B7F" w:rsidRPr="00133C85">
        <w:rPr>
          <w:rFonts w:asciiTheme="majorBidi" w:hAnsiTheme="majorBidi" w:cstheme="majorBidi"/>
          <w:sz w:val="24"/>
          <w:szCs w:val="24"/>
        </w:rPr>
        <w:t xml:space="preserve"> to varying degrees</w:t>
      </w:r>
      <w:r w:rsidR="000C3751" w:rsidRPr="00133C85">
        <w:rPr>
          <w:rFonts w:asciiTheme="majorBidi" w:hAnsiTheme="majorBidi" w:cstheme="majorBidi"/>
          <w:sz w:val="24"/>
          <w:szCs w:val="24"/>
        </w:rPr>
        <w:t>,</w:t>
      </w:r>
      <w:r w:rsidR="00662B7F" w:rsidRPr="00133C85">
        <w:rPr>
          <w:rFonts w:asciiTheme="majorBidi" w:hAnsiTheme="majorBidi" w:cstheme="majorBidi"/>
          <w:sz w:val="24"/>
          <w:szCs w:val="24"/>
        </w:rPr>
        <w:t xml:space="preserve"> under other international law regimes. Most prominently, non-binding legal instruments such as the Nansen Protection Agenda (2015), the New York Declaration for Refugees and Migrants (2016) and the Global Compact for Safe, Orderly and Regular Migration (</w:t>
      </w:r>
      <w:r w:rsidR="000C3751" w:rsidRPr="00133C85">
        <w:rPr>
          <w:rFonts w:asciiTheme="majorBidi" w:hAnsiTheme="majorBidi" w:cstheme="majorBidi"/>
          <w:sz w:val="24"/>
          <w:szCs w:val="24"/>
        </w:rPr>
        <w:t xml:space="preserve">GCM, </w:t>
      </w:r>
      <w:r w:rsidR="00662B7F" w:rsidRPr="00133C85">
        <w:rPr>
          <w:rFonts w:asciiTheme="majorBidi" w:hAnsiTheme="majorBidi" w:cstheme="majorBidi"/>
          <w:sz w:val="24"/>
          <w:szCs w:val="24"/>
        </w:rPr>
        <w:t xml:space="preserve">2018) have </w:t>
      </w:r>
      <w:r w:rsidR="00014E91" w:rsidRPr="00133C85">
        <w:rPr>
          <w:rFonts w:asciiTheme="majorBidi" w:hAnsiTheme="majorBidi" w:cstheme="majorBidi"/>
          <w:sz w:val="24"/>
          <w:szCs w:val="24"/>
        </w:rPr>
        <w:t xml:space="preserve">all </w:t>
      </w:r>
      <w:r w:rsidR="00662B7F" w:rsidRPr="00133C85">
        <w:rPr>
          <w:rFonts w:asciiTheme="majorBidi" w:hAnsiTheme="majorBidi" w:cstheme="majorBidi"/>
          <w:sz w:val="24"/>
          <w:szCs w:val="24"/>
        </w:rPr>
        <w:t xml:space="preserve">recognised the need to </w:t>
      </w:r>
      <w:r w:rsidR="000C3751" w:rsidRPr="00133C85">
        <w:rPr>
          <w:rFonts w:asciiTheme="majorBidi" w:hAnsiTheme="majorBidi" w:cstheme="majorBidi"/>
          <w:sz w:val="24"/>
          <w:szCs w:val="24"/>
        </w:rPr>
        <w:t xml:space="preserve">legally </w:t>
      </w:r>
      <w:r w:rsidR="00662B7F" w:rsidRPr="00133C85">
        <w:rPr>
          <w:rFonts w:asciiTheme="majorBidi" w:hAnsiTheme="majorBidi" w:cstheme="majorBidi"/>
          <w:sz w:val="24"/>
          <w:szCs w:val="24"/>
        </w:rPr>
        <w:t>address climate induced migration.</w:t>
      </w:r>
      <w:r w:rsidR="000C3751" w:rsidRPr="00133C85">
        <w:rPr>
          <w:rStyle w:val="FootnoteReference"/>
          <w:rFonts w:asciiTheme="majorBidi" w:hAnsiTheme="majorBidi" w:cstheme="majorBidi"/>
          <w:sz w:val="24"/>
          <w:szCs w:val="24"/>
        </w:rPr>
        <w:footnoteReference w:id="24"/>
      </w:r>
      <w:r w:rsidR="00662B7F" w:rsidRPr="00133C85">
        <w:rPr>
          <w:rFonts w:asciiTheme="majorBidi" w:hAnsiTheme="majorBidi" w:cstheme="majorBidi"/>
          <w:sz w:val="24"/>
          <w:szCs w:val="24"/>
        </w:rPr>
        <w:t xml:space="preserve"> </w:t>
      </w:r>
    </w:p>
    <w:p w14:paraId="078E9194" w14:textId="260B6952" w:rsidR="00A976E0" w:rsidRPr="00133C85" w:rsidRDefault="000C3751"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While the Nansen Protection Agenda could be regarded as a ‘best practices’ document, and the New York Declaration as entirely declaratory, the GCM shows some promise in becoming a game-changer.</w:t>
      </w:r>
      <w:r w:rsidR="00B860FA" w:rsidRPr="00133C85">
        <w:rPr>
          <w:rFonts w:asciiTheme="majorBidi" w:hAnsiTheme="majorBidi" w:cstheme="majorBidi"/>
          <w:sz w:val="24"/>
          <w:szCs w:val="24"/>
        </w:rPr>
        <w:t xml:space="preserve"> The GC</w:t>
      </w:r>
      <w:r w:rsidR="00917874" w:rsidRPr="00133C85">
        <w:rPr>
          <w:rFonts w:asciiTheme="majorBidi" w:hAnsiTheme="majorBidi" w:cstheme="majorBidi"/>
          <w:sz w:val="24"/>
          <w:szCs w:val="24"/>
        </w:rPr>
        <w:t>M itself is a declaratory and non-binding instrument and</w:t>
      </w:r>
      <w:r w:rsidR="00D60DF6">
        <w:rPr>
          <w:rFonts w:asciiTheme="majorBidi" w:hAnsiTheme="majorBidi" w:cstheme="majorBidi"/>
          <w:sz w:val="24"/>
          <w:szCs w:val="24"/>
        </w:rPr>
        <w:t>,</w:t>
      </w:r>
      <w:r w:rsidR="00917874" w:rsidRPr="00133C85">
        <w:rPr>
          <w:rFonts w:asciiTheme="majorBidi" w:hAnsiTheme="majorBidi" w:cstheme="majorBidi"/>
          <w:sz w:val="24"/>
          <w:szCs w:val="24"/>
        </w:rPr>
        <w:t xml:space="preserve"> as such</w:t>
      </w:r>
      <w:r w:rsidR="00D60DF6">
        <w:rPr>
          <w:rFonts w:asciiTheme="majorBidi" w:hAnsiTheme="majorBidi" w:cstheme="majorBidi"/>
          <w:sz w:val="24"/>
          <w:szCs w:val="24"/>
        </w:rPr>
        <w:t>,</w:t>
      </w:r>
      <w:r w:rsidR="00917874" w:rsidRPr="00133C85">
        <w:rPr>
          <w:rFonts w:asciiTheme="majorBidi" w:hAnsiTheme="majorBidi" w:cstheme="majorBidi"/>
          <w:sz w:val="24"/>
          <w:szCs w:val="24"/>
        </w:rPr>
        <w:t xml:space="preserve"> it did not add any legal rights </w:t>
      </w:r>
      <w:r w:rsidR="00D60DF6">
        <w:rPr>
          <w:rFonts w:asciiTheme="majorBidi" w:hAnsiTheme="majorBidi" w:cstheme="majorBidi"/>
          <w:sz w:val="24"/>
          <w:szCs w:val="24"/>
        </w:rPr>
        <w:t>or</w:t>
      </w:r>
      <w:r w:rsidR="00917874" w:rsidRPr="00133C85">
        <w:rPr>
          <w:rFonts w:asciiTheme="majorBidi" w:hAnsiTheme="majorBidi" w:cstheme="majorBidi"/>
          <w:sz w:val="24"/>
          <w:szCs w:val="24"/>
        </w:rPr>
        <w:t xml:space="preserve"> obligations in the context of climate migration. The GCM’s main contribution </w:t>
      </w:r>
      <w:r w:rsidR="00D60DF6">
        <w:rPr>
          <w:rFonts w:asciiTheme="majorBidi" w:hAnsiTheme="majorBidi" w:cstheme="majorBidi"/>
          <w:sz w:val="24"/>
          <w:szCs w:val="24"/>
        </w:rPr>
        <w:t>so far has been</w:t>
      </w:r>
      <w:r w:rsidR="005A2D86" w:rsidRPr="00133C85">
        <w:rPr>
          <w:rFonts w:asciiTheme="majorBidi" w:hAnsiTheme="majorBidi" w:cstheme="majorBidi"/>
          <w:sz w:val="24"/>
          <w:szCs w:val="24"/>
        </w:rPr>
        <w:t xml:space="preserve"> that it created a process – the International Migration Review Forum</w:t>
      </w:r>
      <w:r w:rsidR="00014E91" w:rsidRPr="00133C85">
        <w:rPr>
          <w:rFonts w:asciiTheme="majorBidi" w:hAnsiTheme="majorBidi" w:cstheme="majorBidi"/>
          <w:sz w:val="24"/>
          <w:szCs w:val="24"/>
        </w:rPr>
        <w:t xml:space="preserve"> (IMRF)</w:t>
      </w:r>
      <w:r w:rsidR="005A2D86" w:rsidRPr="00133C85">
        <w:rPr>
          <w:rFonts w:asciiTheme="majorBidi" w:hAnsiTheme="majorBidi" w:cstheme="majorBidi"/>
          <w:sz w:val="24"/>
          <w:szCs w:val="24"/>
        </w:rPr>
        <w:t xml:space="preserve"> – which requires the world’s nations to meet every four years and discuss and report their progress in implementing the </w:t>
      </w:r>
      <w:proofErr w:type="gramStart"/>
      <w:r w:rsidR="005A2D86" w:rsidRPr="00133C85">
        <w:rPr>
          <w:rFonts w:asciiTheme="majorBidi" w:hAnsiTheme="majorBidi" w:cstheme="majorBidi"/>
          <w:sz w:val="24"/>
          <w:szCs w:val="24"/>
        </w:rPr>
        <w:t>GCM, and</w:t>
      </w:r>
      <w:proofErr w:type="gramEnd"/>
      <w:r w:rsidR="005A2D86" w:rsidRPr="00133C85">
        <w:rPr>
          <w:rFonts w:asciiTheme="majorBidi" w:hAnsiTheme="majorBidi" w:cstheme="majorBidi"/>
          <w:sz w:val="24"/>
          <w:szCs w:val="24"/>
        </w:rPr>
        <w:t xml:space="preserve"> submit their voluntary submissions. On the face of it, encouraging states to devi</w:t>
      </w:r>
      <w:r w:rsidR="008D5AA2">
        <w:rPr>
          <w:rFonts w:asciiTheme="majorBidi" w:hAnsiTheme="majorBidi" w:cstheme="majorBidi"/>
          <w:sz w:val="24"/>
          <w:szCs w:val="24"/>
        </w:rPr>
        <w:t>s</w:t>
      </w:r>
      <w:r w:rsidR="005A2D86" w:rsidRPr="00133C85">
        <w:rPr>
          <w:rFonts w:asciiTheme="majorBidi" w:hAnsiTheme="majorBidi" w:cstheme="majorBidi"/>
          <w:sz w:val="24"/>
          <w:szCs w:val="24"/>
        </w:rPr>
        <w:t xml:space="preserve">e plans and actively think about </w:t>
      </w:r>
      <w:r w:rsidR="00F90FE6" w:rsidRPr="00133C85">
        <w:rPr>
          <w:rFonts w:asciiTheme="majorBidi" w:hAnsiTheme="majorBidi" w:cstheme="majorBidi"/>
          <w:sz w:val="24"/>
          <w:szCs w:val="24"/>
        </w:rPr>
        <w:t>ensuring th</w:t>
      </w:r>
      <w:r w:rsidR="00F7155E" w:rsidRPr="00133C85">
        <w:rPr>
          <w:rFonts w:asciiTheme="majorBidi" w:hAnsiTheme="majorBidi" w:cstheme="majorBidi"/>
          <w:sz w:val="24"/>
          <w:szCs w:val="24"/>
        </w:rPr>
        <w:t>at</w:t>
      </w:r>
      <w:r w:rsidR="00F90FE6" w:rsidRPr="00133C85">
        <w:rPr>
          <w:rFonts w:asciiTheme="majorBidi" w:hAnsiTheme="majorBidi" w:cstheme="majorBidi"/>
          <w:sz w:val="24"/>
          <w:szCs w:val="24"/>
        </w:rPr>
        <w:t xml:space="preserve"> the GCM is implemented sounds promising.</w:t>
      </w:r>
      <w:r w:rsidR="00014E91" w:rsidRPr="00133C85">
        <w:rPr>
          <w:rFonts w:asciiTheme="majorBidi" w:hAnsiTheme="majorBidi" w:cstheme="majorBidi"/>
          <w:sz w:val="24"/>
          <w:szCs w:val="24"/>
        </w:rPr>
        <w:t xml:space="preserve"> The importance of this development is clear when one</w:t>
      </w:r>
      <w:r w:rsidR="008D5AA2">
        <w:rPr>
          <w:rFonts w:asciiTheme="majorBidi" w:hAnsiTheme="majorBidi" w:cstheme="majorBidi"/>
          <w:sz w:val="24"/>
          <w:szCs w:val="24"/>
        </w:rPr>
        <w:t xml:space="preserve"> </w:t>
      </w:r>
      <w:r w:rsidR="00014E91" w:rsidRPr="00133C85">
        <w:rPr>
          <w:rFonts w:asciiTheme="majorBidi" w:hAnsiTheme="majorBidi" w:cstheme="majorBidi"/>
          <w:sz w:val="24"/>
          <w:szCs w:val="24"/>
        </w:rPr>
        <w:t>remember</w:t>
      </w:r>
      <w:r w:rsidR="008D5AA2">
        <w:rPr>
          <w:rFonts w:asciiTheme="majorBidi" w:hAnsiTheme="majorBidi" w:cstheme="majorBidi"/>
          <w:sz w:val="24"/>
          <w:szCs w:val="24"/>
        </w:rPr>
        <w:t>s</w:t>
      </w:r>
      <w:r w:rsidR="00014E91" w:rsidRPr="00133C85">
        <w:rPr>
          <w:rFonts w:asciiTheme="majorBidi" w:hAnsiTheme="majorBidi" w:cstheme="majorBidi"/>
          <w:sz w:val="24"/>
          <w:szCs w:val="24"/>
        </w:rPr>
        <w:t xml:space="preserve"> that only a decade ago (</w:t>
      </w:r>
      <w:proofErr w:type="gramStart"/>
      <w:r w:rsidR="00014E91" w:rsidRPr="00133C85">
        <w:rPr>
          <w:rFonts w:asciiTheme="majorBidi" w:hAnsiTheme="majorBidi" w:cstheme="majorBidi"/>
          <w:sz w:val="24"/>
          <w:szCs w:val="24"/>
        </w:rPr>
        <w:t>i.e.</w:t>
      </w:r>
      <w:proofErr w:type="gramEnd"/>
      <w:r w:rsidR="00014E91" w:rsidRPr="00133C85">
        <w:rPr>
          <w:rFonts w:asciiTheme="majorBidi" w:hAnsiTheme="majorBidi" w:cstheme="majorBidi"/>
          <w:sz w:val="24"/>
          <w:szCs w:val="24"/>
        </w:rPr>
        <w:t xml:space="preserve"> prior to the Cancun Agreements) </w:t>
      </w:r>
      <w:r w:rsidR="00014E91" w:rsidRPr="00133C85">
        <w:rPr>
          <w:rFonts w:asciiTheme="majorBidi" w:hAnsiTheme="majorBidi" w:cstheme="majorBidi"/>
          <w:i/>
          <w:iCs/>
          <w:sz w:val="24"/>
          <w:szCs w:val="24"/>
        </w:rPr>
        <w:t xml:space="preserve">no major institution </w:t>
      </w:r>
      <w:r w:rsidR="00014E91" w:rsidRPr="00133C85">
        <w:rPr>
          <w:rFonts w:asciiTheme="majorBidi" w:hAnsiTheme="majorBidi" w:cstheme="majorBidi"/>
          <w:sz w:val="24"/>
          <w:szCs w:val="24"/>
        </w:rPr>
        <w:t xml:space="preserve">was willing to act as a </w:t>
      </w:r>
      <w:r w:rsidR="008D5AA2">
        <w:rPr>
          <w:rFonts w:asciiTheme="majorBidi" w:hAnsiTheme="majorBidi" w:cstheme="majorBidi"/>
          <w:sz w:val="24"/>
          <w:szCs w:val="24"/>
        </w:rPr>
        <w:t>forum to address</w:t>
      </w:r>
      <w:r w:rsidR="00014E91" w:rsidRPr="00133C85">
        <w:rPr>
          <w:rFonts w:asciiTheme="majorBidi" w:hAnsiTheme="majorBidi" w:cstheme="majorBidi"/>
          <w:sz w:val="24"/>
          <w:szCs w:val="24"/>
        </w:rPr>
        <w:t xml:space="preserve"> the climate migration phenomenon. We are, however, </w:t>
      </w:r>
      <w:r w:rsidR="008D5AA2">
        <w:rPr>
          <w:rFonts w:asciiTheme="majorBidi" w:hAnsiTheme="majorBidi" w:cstheme="majorBidi"/>
          <w:sz w:val="24"/>
          <w:szCs w:val="24"/>
        </w:rPr>
        <w:t>in</w:t>
      </w:r>
      <w:r w:rsidR="00014E91" w:rsidRPr="00133C85">
        <w:rPr>
          <w:rFonts w:asciiTheme="majorBidi" w:hAnsiTheme="majorBidi" w:cstheme="majorBidi"/>
          <w:sz w:val="24"/>
          <w:szCs w:val="24"/>
        </w:rPr>
        <w:t xml:space="preserve"> the early days of the IMRF process (the first meeting took place in 2022)</w:t>
      </w:r>
      <w:r w:rsidR="008D5AA2">
        <w:rPr>
          <w:rFonts w:asciiTheme="majorBidi" w:hAnsiTheme="majorBidi" w:cstheme="majorBidi"/>
          <w:sz w:val="24"/>
          <w:szCs w:val="24"/>
        </w:rPr>
        <w:t>.</w:t>
      </w:r>
      <w:r w:rsidR="00E31FF3">
        <w:rPr>
          <w:rFonts w:asciiTheme="majorBidi" w:hAnsiTheme="majorBidi" w:cstheme="majorBidi"/>
          <w:sz w:val="24"/>
          <w:szCs w:val="24"/>
        </w:rPr>
        <w:t xml:space="preserve"> </w:t>
      </w:r>
      <w:r w:rsidR="008D5AA2">
        <w:rPr>
          <w:rFonts w:asciiTheme="majorBidi" w:hAnsiTheme="majorBidi" w:cstheme="majorBidi"/>
          <w:sz w:val="24"/>
          <w:szCs w:val="24"/>
        </w:rPr>
        <w:t>T</w:t>
      </w:r>
      <w:r w:rsidR="005A2D86" w:rsidRPr="00133C85">
        <w:rPr>
          <w:rFonts w:asciiTheme="majorBidi" w:hAnsiTheme="majorBidi" w:cstheme="majorBidi"/>
          <w:sz w:val="24"/>
          <w:szCs w:val="24"/>
        </w:rPr>
        <w:t xml:space="preserve">he </w:t>
      </w:r>
      <w:r w:rsidR="008D5AA2">
        <w:rPr>
          <w:rFonts w:asciiTheme="majorBidi" w:hAnsiTheme="majorBidi" w:cstheme="majorBidi"/>
          <w:sz w:val="24"/>
          <w:szCs w:val="24"/>
        </w:rPr>
        <w:t xml:space="preserve">question of </w:t>
      </w:r>
      <w:r w:rsidR="008D5AA2">
        <w:rPr>
          <w:rFonts w:asciiTheme="majorBidi" w:hAnsiTheme="majorBidi" w:cstheme="majorBidi"/>
          <w:sz w:val="24"/>
          <w:szCs w:val="24"/>
        </w:rPr>
        <w:lastRenderedPageBreak/>
        <w:t xml:space="preserve">what </w:t>
      </w:r>
      <w:r w:rsidR="005A2D86" w:rsidRPr="00133C85">
        <w:rPr>
          <w:rFonts w:asciiTheme="majorBidi" w:hAnsiTheme="majorBidi" w:cstheme="majorBidi"/>
          <w:sz w:val="24"/>
          <w:szCs w:val="24"/>
        </w:rPr>
        <w:t>impact th</w:t>
      </w:r>
      <w:r w:rsidR="00014E91" w:rsidRPr="00133C85">
        <w:rPr>
          <w:rFonts w:asciiTheme="majorBidi" w:hAnsiTheme="majorBidi" w:cstheme="majorBidi"/>
          <w:sz w:val="24"/>
          <w:szCs w:val="24"/>
        </w:rPr>
        <w:t>is</w:t>
      </w:r>
      <w:r w:rsidR="005A2D86" w:rsidRPr="00133C85">
        <w:rPr>
          <w:rFonts w:asciiTheme="majorBidi" w:hAnsiTheme="majorBidi" w:cstheme="majorBidi"/>
          <w:sz w:val="24"/>
          <w:szCs w:val="24"/>
        </w:rPr>
        <w:t xml:space="preserve"> ‘infrastructural’ development</w:t>
      </w:r>
      <w:r w:rsidR="008D5AA2">
        <w:rPr>
          <w:rFonts w:asciiTheme="majorBidi" w:hAnsiTheme="majorBidi" w:cstheme="majorBidi"/>
          <w:sz w:val="24"/>
          <w:szCs w:val="24"/>
        </w:rPr>
        <w:t xml:space="preserve"> will have,</w:t>
      </w:r>
      <w:r w:rsidR="005A2D86" w:rsidRPr="00133C85">
        <w:rPr>
          <w:rFonts w:asciiTheme="majorBidi" w:hAnsiTheme="majorBidi" w:cstheme="majorBidi"/>
          <w:sz w:val="24"/>
          <w:szCs w:val="24"/>
        </w:rPr>
        <w:t xml:space="preserve"> and </w:t>
      </w:r>
      <w:r w:rsidR="00014E91" w:rsidRPr="00133C85">
        <w:rPr>
          <w:rFonts w:asciiTheme="majorBidi" w:hAnsiTheme="majorBidi" w:cstheme="majorBidi"/>
          <w:sz w:val="24"/>
          <w:szCs w:val="24"/>
        </w:rPr>
        <w:t xml:space="preserve">whether it </w:t>
      </w:r>
      <w:r w:rsidR="00F7155E" w:rsidRPr="00133C85">
        <w:rPr>
          <w:rFonts w:asciiTheme="majorBidi" w:hAnsiTheme="majorBidi" w:cstheme="majorBidi"/>
          <w:sz w:val="24"/>
          <w:szCs w:val="24"/>
        </w:rPr>
        <w:t>will</w:t>
      </w:r>
      <w:r w:rsidR="008D5AA2">
        <w:rPr>
          <w:rFonts w:asciiTheme="majorBidi" w:hAnsiTheme="majorBidi" w:cstheme="majorBidi"/>
          <w:sz w:val="24"/>
          <w:szCs w:val="24"/>
        </w:rPr>
        <w:t xml:space="preserve"> indeed</w:t>
      </w:r>
      <w:r w:rsidR="00F7155E" w:rsidRPr="00133C85">
        <w:rPr>
          <w:rFonts w:asciiTheme="majorBidi" w:hAnsiTheme="majorBidi" w:cstheme="majorBidi"/>
          <w:sz w:val="24"/>
          <w:szCs w:val="24"/>
        </w:rPr>
        <w:t xml:space="preserve"> </w:t>
      </w:r>
      <w:r w:rsidR="00014E91" w:rsidRPr="00133C85">
        <w:rPr>
          <w:rFonts w:asciiTheme="majorBidi" w:hAnsiTheme="majorBidi" w:cstheme="majorBidi"/>
          <w:sz w:val="24"/>
          <w:szCs w:val="24"/>
        </w:rPr>
        <w:t>facilitate</w:t>
      </w:r>
      <w:r w:rsidR="005A2D86" w:rsidRPr="00133C85">
        <w:rPr>
          <w:rFonts w:asciiTheme="majorBidi" w:hAnsiTheme="majorBidi" w:cstheme="majorBidi"/>
          <w:sz w:val="24"/>
          <w:szCs w:val="24"/>
        </w:rPr>
        <w:t xml:space="preserve"> </w:t>
      </w:r>
      <w:r w:rsidR="00014E91" w:rsidRPr="00133C85">
        <w:rPr>
          <w:rFonts w:asciiTheme="majorBidi" w:hAnsiTheme="majorBidi" w:cstheme="majorBidi"/>
          <w:sz w:val="24"/>
          <w:szCs w:val="24"/>
        </w:rPr>
        <w:t xml:space="preserve">useful </w:t>
      </w:r>
      <w:r w:rsidR="005A2D86" w:rsidRPr="00133C85">
        <w:rPr>
          <w:rFonts w:asciiTheme="majorBidi" w:hAnsiTheme="majorBidi" w:cstheme="majorBidi"/>
          <w:sz w:val="24"/>
          <w:szCs w:val="24"/>
        </w:rPr>
        <w:t>leg</w:t>
      </w:r>
      <w:r w:rsidR="008D5AA2">
        <w:rPr>
          <w:rFonts w:asciiTheme="majorBidi" w:hAnsiTheme="majorBidi" w:cstheme="majorBidi"/>
          <w:sz w:val="24"/>
          <w:szCs w:val="24"/>
        </w:rPr>
        <w:t>al provisions</w:t>
      </w:r>
      <w:r w:rsidR="005A2D86" w:rsidRPr="00133C85">
        <w:rPr>
          <w:rFonts w:asciiTheme="majorBidi" w:hAnsiTheme="majorBidi" w:cstheme="majorBidi"/>
          <w:sz w:val="24"/>
          <w:szCs w:val="24"/>
        </w:rPr>
        <w:t>, will be</w:t>
      </w:r>
      <w:r w:rsidR="00014E91" w:rsidRPr="00133C85">
        <w:rPr>
          <w:rFonts w:asciiTheme="majorBidi" w:hAnsiTheme="majorBidi" w:cstheme="majorBidi"/>
          <w:sz w:val="24"/>
          <w:szCs w:val="24"/>
        </w:rPr>
        <w:t>come</w:t>
      </w:r>
      <w:r w:rsidR="005A2D86" w:rsidRPr="00133C85">
        <w:rPr>
          <w:rFonts w:asciiTheme="majorBidi" w:hAnsiTheme="majorBidi" w:cstheme="majorBidi"/>
          <w:sz w:val="24"/>
          <w:szCs w:val="24"/>
        </w:rPr>
        <w:t xml:space="preserve"> clearer in the years to come. </w:t>
      </w:r>
    </w:p>
    <w:p w14:paraId="79525EFC" w14:textId="280490D5" w:rsidR="008C0402" w:rsidRPr="00133C85" w:rsidRDefault="00BB091D"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Finally, any discussion of the regulatory landscape of climate induced migration must include human rights law.</w:t>
      </w:r>
      <w:r w:rsidR="006F0C3F">
        <w:rPr>
          <w:rStyle w:val="FootnoteReference"/>
          <w:rFonts w:asciiTheme="majorBidi" w:hAnsiTheme="majorBidi" w:cstheme="majorBidi"/>
          <w:sz w:val="24"/>
          <w:szCs w:val="24"/>
        </w:rPr>
        <w:footnoteReference w:id="25"/>
      </w:r>
      <w:r w:rsidRPr="00133C85">
        <w:rPr>
          <w:rFonts w:asciiTheme="majorBidi" w:hAnsiTheme="majorBidi" w:cstheme="majorBidi"/>
          <w:sz w:val="24"/>
          <w:szCs w:val="24"/>
        </w:rPr>
        <w:t xml:space="preserve"> </w:t>
      </w:r>
      <w:r w:rsidR="00FB4B40" w:rsidRPr="00133C85">
        <w:rPr>
          <w:rFonts w:asciiTheme="majorBidi" w:hAnsiTheme="majorBidi" w:cstheme="majorBidi"/>
          <w:sz w:val="24"/>
          <w:szCs w:val="24"/>
        </w:rPr>
        <w:t>In the context of human rights</w:t>
      </w:r>
      <w:r w:rsidR="0068141A" w:rsidRPr="00133C85">
        <w:rPr>
          <w:rFonts w:asciiTheme="majorBidi" w:hAnsiTheme="majorBidi" w:cstheme="majorBidi"/>
          <w:sz w:val="24"/>
          <w:szCs w:val="24"/>
        </w:rPr>
        <w:t xml:space="preserve">, the impact of climate migration is varied and depends on each situation. </w:t>
      </w:r>
      <w:r w:rsidR="00FB4B40" w:rsidRPr="00133C85">
        <w:rPr>
          <w:rFonts w:asciiTheme="majorBidi" w:hAnsiTheme="majorBidi" w:cstheme="majorBidi"/>
          <w:sz w:val="24"/>
          <w:szCs w:val="24"/>
        </w:rPr>
        <w:t>Relevant examples in</w:t>
      </w:r>
      <w:r w:rsidR="0068141A" w:rsidRPr="00133C85">
        <w:rPr>
          <w:rFonts w:asciiTheme="majorBidi" w:hAnsiTheme="majorBidi" w:cstheme="majorBidi"/>
          <w:sz w:val="24"/>
          <w:szCs w:val="24"/>
        </w:rPr>
        <w:t>clude basic rights that displaced communities often require, such as the right to shelter, health, education, protection from discrimination and more.</w:t>
      </w:r>
      <w:r w:rsidR="0068141A" w:rsidRPr="00133C85">
        <w:rPr>
          <w:rStyle w:val="FootnoteReference"/>
          <w:rFonts w:asciiTheme="majorBidi" w:hAnsiTheme="majorBidi" w:cstheme="majorBidi"/>
          <w:sz w:val="24"/>
          <w:szCs w:val="24"/>
        </w:rPr>
        <w:footnoteReference w:id="26"/>
      </w:r>
      <w:r w:rsidR="0068141A" w:rsidRPr="00133C85">
        <w:rPr>
          <w:rFonts w:asciiTheme="majorBidi" w:hAnsiTheme="majorBidi" w:cstheme="majorBidi"/>
          <w:sz w:val="24"/>
          <w:szCs w:val="24"/>
        </w:rPr>
        <w:t xml:space="preserve"> In other cases, as discussed below, affected communities fear the </w:t>
      </w:r>
      <w:r w:rsidR="00792FB4">
        <w:rPr>
          <w:rFonts w:asciiTheme="majorBidi" w:hAnsiTheme="majorBidi" w:cstheme="majorBidi"/>
          <w:sz w:val="24"/>
          <w:szCs w:val="24"/>
        </w:rPr>
        <w:t>loss</w:t>
      </w:r>
      <w:r w:rsidR="0068141A" w:rsidRPr="00133C85">
        <w:rPr>
          <w:rFonts w:asciiTheme="majorBidi" w:hAnsiTheme="majorBidi" w:cstheme="majorBidi"/>
          <w:sz w:val="24"/>
          <w:szCs w:val="24"/>
        </w:rPr>
        <w:t xml:space="preserve"> of their culture and traditional ways of life. In the most extreme cases, as discussed in the </w:t>
      </w:r>
      <w:proofErr w:type="spellStart"/>
      <w:r w:rsidR="0068141A" w:rsidRPr="00133C85">
        <w:rPr>
          <w:rFonts w:asciiTheme="majorBidi" w:hAnsiTheme="majorBidi" w:cstheme="majorBidi"/>
          <w:i/>
          <w:iCs/>
          <w:sz w:val="24"/>
          <w:szCs w:val="24"/>
        </w:rPr>
        <w:t>Teitiota</w:t>
      </w:r>
      <w:proofErr w:type="spellEnd"/>
      <w:r w:rsidR="0068141A" w:rsidRPr="00133C85">
        <w:rPr>
          <w:rFonts w:asciiTheme="majorBidi" w:hAnsiTheme="majorBidi" w:cstheme="majorBidi"/>
          <w:i/>
          <w:iCs/>
          <w:sz w:val="24"/>
          <w:szCs w:val="24"/>
        </w:rPr>
        <w:t xml:space="preserve"> </w:t>
      </w:r>
      <w:r w:rsidR="0068141A" w:rsidRPr="00133C85">
        <w:rPr>
          <w:rFonts w:asciiTheme="majorBidi" w:hAnsiTheme="majorBidi" w:cstheme="majorBidi"/>
          <w:sz w:val="24"/>
          <w:szCs w:val="24"/>
        </w:rPr>
        <w:t xml:space="preserve">case, </w:t>
      </w:r>
      <w:r w:rsidR="00171DC2" w:rsidRPr="00133C85">
        <w:rPr>
          <w:rFonts w:asciiTheme="majorBidi" w:hAnsiTheme="majorBidi" w:cstheme="majorBidi"/>
          <w:sz w:val="24"/>
          <w:szCs w:val="24"/>
        </w:rPr>
        <w:t xml:space="preserve">affected individuals will require protection of their right to life. </w:t>
      </w:r>
      <w:r w:rsidR="008C0402" w:rsidRPr="00133C85">
        <w:rPr>
          <w:rFonts w:asciiTheme="majorBidi" w:hAnsiTheme="majorBidi" w:cstheme="majorBidi"/>
          <w:sz w:val="24"/>
          <w:szCs w:val="24"/>
        </w:rPr>
        <w:t xml:space="preserve">The effectiveness of these rights and their suitability for the situation of climate migration is also very much </w:t>
      </w:r>
      <w:proofErr w:type="gramStart"/>
      <w:r w:rsidR="008C0402" w:rsidRPr="00133C85">
        <w:rPr>
          <w:rFonts w:asciiTheme="majorBidi" w:hAnsiTheme="majorBidi" w:cstheme="majorBidi"/>
          <w:sz w:val="24"/>
          <w:szCs w:val="24"/>
        </w:rPr>
        <w:t>case-dependant</w:t>
      </w:r>
      <w:proofErr w:type="gramEnd"/>
      <w:r w:rsidR="008C0402" w:rsidRPr="00133C85">
        <w:rPr>
          <w:rFonts w:asciiTheme="majorBidi" w:hAnsiTheme="majorBidi" w:cstheme="majorBidi"/>
          <w:sz w:val="24"/>
          <w:szCs w:val="24"/>
        </w:rPr>
        <w:t xml:space="preserve">. </w:t>
      </w:r>
      <w:proofErr w:type="spellStart"/>
      <w:r w:rsidR="008C0402" w:rsidRPr="00133C85">
        <w:rPr>
          <w:rFonts w:asciiTheme="majorBidi" w:hAnsiTheme="majorBidi" w:cstheme="majorBidi"/>
          <w:i/>
          <w:iCs/>
          <w:sz w:val="24"/>
          <w:szCs w:val="24"/>
        </w:rPr>
        <w:t>Teitiota</w:t>
      </w:r>
      <w:proofErr w:type="spellEnd"/>
      <w:r w:rsidR="008C0402" w:rsidRPr="00133C85">
        <w:rPr>
          <w:rFonts w:asciiTheme="majorBidi" w:hAnsiTheme="majorBidi" w:cstheme="majorBidi"/>
          <w:i/>
          <w:iCs/>
          <w:sz w:val="24"/>
          <w:szCs w:val="24"/>
        </w:rPr>
        <w:t xml:space="preserve"> </w:t>
      </w:r>
      <w:r w:rsidR="00792FB4">
        <w:rPr>
          <w:rFonts w:asciiTheme="majorBidi" w:hAnsiTheme="majorBidi" w:cstheme="majorBidi"/>
          <w:sz w:val="24"/>
          <w:szCs w:val="24"/>
        </w:rPr>
        <w:t>demonstrated that</w:t>
      </w:r>
      <w:r w:rsidR="008C0402" w:rsidRPr="00133C85">
        <w:rPr>
          <w:rFonts w:asciiTheme="majorBidi" w:hAnsiTheme="majorBidi" w:cstheme="majorBidi"/>
          <w:sz w:val="24"/>
          <w:szCs w:val="24"/>
        </w:rPr>
        <w:t xml:space="preserve"> some rights – while relevant – will be difficult to apply.</w:t>
      </w:r>
      <w:bookmarkStart w:id="3" w:name="_Ref132534182"/>
      <w:r w:rsidR="008C0402" w:rsidRPr="00133C85">
        <w:rPr>
          <w:rStyle w:val="FootnoteReference"/>
          <w:rFonts w:asciiTheme="majorBidi" w:hAnsiTheme="majorBidi" w:cstheme="majorBidi"/>
          <w:sz w:val="24"/>
          <w:szCs w:val="24"/>
        </w:rPr>
        <w:footnoteReference w:id="27"/>
      </w:r>
      <w:bookmarkEnd w:id="3"/>
      <w:r w:rsidR="008C0402" w:rsidRPr="00133C85">
        <w:rPr>
          <w:rFonts w:asciiTheme="majorBidi" w:hAnsiTheme="majorBidi" w:cstheme="majorBidi"/>
          <w:sz w:val="24"/>
          <w:szCs w:val="24"/>
        </w:rPr>
        <w:t xml:space="preserve"> </w:t>
      </w:r>
      <w:r w:rsidR="00541DB3" w:rsidRPr="00133C85">
        <w:rPr>
          <w:rFonts w:asciiTheme="majorBidi" w:hAnsiTheme="majorBidi" w:cstheme="majorBidi"/>
          <w:sz w:val="24"/>
          <w:szCs w:val="24"/>
        </w:rPr>
        <w:t xml:space="preserve">Notably, the nature of human rights protection is ‘individualised’ and </w:t>
      </w:r>
      <w:r w:rsidR="00792FB4">
        <w:rPr>
          <w:rFonts w:asciiTheme="majorBidi" w:hAnsiTheme="majorBidi" w:cstheme="majorBidi"/>
          <w:sz w:val="24"/>
          <w:szCs w:val="24"/>
        </w:rPr>
        <w:t>in response to immediate harms</w:t>
      </w:r>
      <w:r w:rsidR="00541DB3" w:rsidRPr="00133C85">
        <w:rPr>
          <w:rFonts w:asciiTheme="majorBidi" w:hAnsiTheme="majorBidi" w:cstheme="majorBidi"/>
          <w:sz w:val="24"/>
          <w:szCs w:val="24"/>
        </w:rPr>
        <w:t xml:space="preserve">, </w:t>
      </w:r>
      <w:proofErr w:type="gramStart"/>
      <w:r w:rsidR="00541DB3" w:rsidRPr="00133C85">
        <w:rPr>
          <w:rFonts w:asciiTheme="majorBidi" w:hAnsiTheme="majorBidi" w:cstheme="majorBidi"/>
          <w:sz w:val="24"/>
          <w:szCs w:val="24"/>
        </w:rPr>
        <w:t>i.e.</w:t>
      </w:r>
      <w:proofErr w:type="gramEnd"/>
      <w:r w:rsidR="00541DB3" w:rsidRPr="00133C85">
        <w:rPr>
          <w:rFonts w:asciiTheme="majorBidi" w:hAnsiTheme="majorBidi" w:cstheme="majorBidi"/>
          <w:sz w:val="24"/>
          <w:szCs w:val="24"/>
        </w:rPr>
        <w:t xml:space="preserve"> it is not designed to address wide</w:t>
      </w:r>
      <w:r w:rsidR="00792FB4">
        <w:rPr>
          <w:rFonts w:asciiTheme="majorBidi" w:hAnsiTheme="majorBidi" w:cstheme="majorBidi"/>
          <w:sz w:val="24"/>
          <w:szCs w:val="24"/>
        </w:rPr>
        <w:t>r</w:t>
      </w:r>
      <w:r w:rsidR="00541DB3" w:rsidRPr="00133C85">
        <w:rPr>
          <w:rFonts w:asciiTheme="majorBidi" w:hAnsiTheme="majorBidi" w:cstheme="majorBidi"/>
          <w:sz w:val="24"/>
          <w:szCs w:val="24"/>
        </w:rPr>
        <w:t xml:space="preserve"> groups, or slow onset events (</w:t>
      </w:r>
      <w:r w:rsidR="00792FB4">
        <w:rPr>
          <w:rFonts w:asciiTheme="majorBidi" w:hAnsiTheme="majorBidi" w:cstheme="majorBidi"/>
          <w:sz w:val="24"/>
          <w:szCs w:val="24"/>
        </w:rPr>
        <w:t>as is</w:t>
      </w:r>
      <w:r w:rsidR="0045697E">
        <w:rPr>
          <w:rFonts w:asciiTheme="majorBidi" w:hAnsiTheme="majorBidi" w:cstheme="majorBidi"/>
          <w:sz w:val="24"/>
          <w:szCs w:val="24"/>
        </w:rPr>
        <w:t xml:space="preserve"> </w:t>
      </w:r>
      <w:r w:rsidR="00541DB3" w:rsidRPr="00133C85">
        <w:rPr>
          <w:rFonts w:asciiTheme="majorBidi" w:hAnsiTheme="majorBidi" w:cstheme="majorBidi"/>
          <w:sz w:val="24"/>
          <w:szCs w:val="24"/>
        </w:rPr>
        <w:t>often the case with the impacts of climate change).</w:t>
      </w:r>
      <w:r w:rsidR="008669E9" w:rsidRPr="00133C85">
        <w:rPr>
          <w:rFonts w:asciiTheme="majorBidi" w:hAnsiTheme="majorBidi" w:cstheme="majorBidi"/>
          <w:sz w:val="24"/>
          <w:szCs w:val="24"/>
        </w:rPr>
        <w:t xml:space="preserve"> While some steps to ‘update’ the law and adjust it to the realities of climate change </w:t>
      </w:r>
      <w:r w:rsidR="00792FB4">
        <w:rPr>
          <w:rFonts w:asciiTheme="majorBidi" w:hAnsiTheme="majorBidi" w:cstheme="majorBidi"/>
          <w:sz w:val="24"/>
          <w:szCs w:val="24"/>
        </w:rPr>
        <w:t>have been</w:t>
      </w:r>
      <w:r w:rsidR="008669E9" w:rsidRPr="00133C85">
        <w:rPr>
          <w:rFonts w:asciiTheme="majorBidi" w:hAnsiTheme="majorBidi" w:cstheme="majorBidi"/>
          <w:sz w:val="24"/>
          <w:szCs w:val="24"/>
        </w:rPr>
        <w:t xml:space="preserve"> taken (</w:t>
      </w:r>
      <w:r w:rsidR="00F7155E" w:rsidRPr="00133C85">
        <w:rPr>
          <w:rFonts w:asciiTheme="majorBidi" w:hAnsiTheme="majorBidi" w:cstheme="majorBidi"/>
          <w:sz w:val="24"/>
          <w:szCs w:val="24"/>
        </w:rPr>
        <w:t xml:space="preserve">see </w:t>
      </w:r>
      <w:r w:rsidR="008669E9" w:rsidRPr="00133C85">
        <w:rPr>
          <w:rFonts w:asciiTheme="majorBidi" w:hAnsiTheme="majorBidi" w:cstheme="majorBidi"/>
          <w:sz w:val="24"/>
          <w:szCs w:val="24"/>
        </w:rPr>
        <w:t>discuss</w:t>
      </w:r>
      <w:r w:rsidR="00F7155E" w:rsidRPr="00133C85">
        <w:rPr>
          <w:rFonts w:asciiTheme="majorBidi" w:hAnsiTheme="majorBidi" w:cstheme="majorBidi"/>
          <w:sz w:val="24"/>
          <w:szCs w:val="24"/>
        </w:rPr>
        <w:t>ion</w:t>
      </w:r>
      <w:r w:rsidR="008669E9" w:rsidRPr="00133C85">
        <w:rPr>
          <w:rFonts w:asciiTheme="majorBidi" w:hAnsiTheme="majorBidi" w:cstheme="majorBidi"/>
          <w:sz w:val="24"/>
          <w:szCs w:val="24"/>
        </w:rPr>
        <w:t xml:space="preserve"> below), these issues have not yet been </w:t>
      </w:r>
      <w:r w:rsidR="008C1FCE" w:rsidRPr="00133C85">
        <w:rPr>
          <w:rFonts w:asciiTheme="majorBidi" w:hAnsiTheme="majorBidi" w:cstheme="majorBidi"/>
          <w:sz w:val="24"/>
          <w:szCs w:val="24"/>
        </w:rPr>
        <w:t xml:space="preserve">entirely </w:t>
      </w:r>
      <w:r w:rsidR="008669E9" w:rsidRPr="00133C85">
        <w:rPr>
          <w:rFonts w:asciiTheme="majorBidi" w:hAnsiTheme="majorBidi" w:cstheme="majorBidi"/>
          <w:sz w:val="24"/>
          <w:szCs w:val="24"/>
        </w:rPr>
        <w:t xml:space="preserve">resolved. </w:t>
      </w:r>
    </w:p>
    <w:p w14:paraId="79E69A11" w14:textId="7BD8071A" w:rsidR="00FB4B40" w:rsidRPr="00133C85" w:rsidRDefault="008C0402"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A second important question mark in this context is related to the enforcement of human rights law. </w:t>
      </w:r>
      <w:r w:rsidR="00792FB4">
        <w:rPr>
          <w:rFonts w:asciiTheme="majorBidi" w:hAnsiTheme="majorBidi" w:cstheme="majorBidi"/>
          <w:sz w:val="24"/>
          <w:szCs w:val="24"/>
        </w:rPr>
        <w:t>T</w:t>
      </w:r>
      <w:r w:rsidR="00927DD5" w:rsidRPr="00133C85">
        <w:rPr>
          <w:rFonts w:asciiTheme="majorBidi" w:hAnsiTheme="majorBidi" w:cstheme="majorBidi"/>
          <w:sz w:val="24"/>
          <w:szCs w:val="24"/>
        </w:rPr>
        <w:t>his issue c</w:t>
      </w:r>
      <w:r w:rsidR="00792FB4">
        <w:rPr>
          <w:rFonts w:asciiTheme="majorBidi" w:hAnsiTheme="majorBidi" w:cstheme="majorBidi"/>
          <w:sz w:val="24"/>
          <w:szCs w:val="24"/>
        </w:rPr>
        <w:t>an</w:t>
      </w:r>
      <w:r w:rsidR="00927DD5" w:rsidRPr="00133C85">
        <w:rPr>
          <w:rFonts w:asciiTheme="majorBidi" w:hAnsiTheme="majorBidi" w:cstheme="majorBidi"/>
          <w:sz w:val="24"/>
          <w:szCs w:val="24"/>
        </w:rPr>
        <w:t xml:space="preserve"> be addressed in two parts: first, it is of no surprise that many states do not respect human rights law</w:t>
      </w:r>
      <w:r w:rsidR="000B5332" w:rsidRPr="00133C85">
        <w:rPr>
          <w:rFonts w:asciiTheme="majorBidi" w:hAnsiTheme="majorBidi" w:cstheme="majorBidi"/>
          <w:sz w:val="24"/>
          <w:szCs w:val="24"/>
        </w:rPr>
        <w:t>s</w:t>
      </w:r>
      <w:r w:rsidR="00927DD5" w:rsidRPr="00133C85">
        <w:rPr>
          <w:rFonts w:asciiTheme="majorBidi" w:hAnsiTheme="majorBidi" w:cstheme="majorBidi"/>
          <w:sz w:val="24"/>
          <w:szCs w:val="24"/>
        </w:rPr>
        <w:t xml:space="preserve"> and do not prioritise their enforcement. Second, there is also the above</w:t>
      </w:r>
      <w:r w:rsidR="00F7155E" w:rsidRPr="00133C85">
        <w:rPr>
          <w:rFonts w:asciiTheme="majorBidi" w:hAnsiTheme="majorBidi" w:cstheme="majorBidi"/>
          <w:sz w:val="24"/>
          <w:szCs w:val="24"/>
        </w:rPr>
        <w:t>-</w:t>
      </w:r>
      <w:r w:rsidR="00927DD5" w:rsidRPr="00133C85">
        <w:rPr>
          <w:rFonts w:asciiTheme="majorBidi" w:hAnsiTheme="majorBidi" w:cstheme="majorBidi"/>
          <w:sz w:val="24"/>
          <w:szCs w:val="24"/>
        </w:rPr>
        <w:t xml:space="preserve">discussed issue of resources and finance. As recognised </w:t>
      </w:r>
      <w:r w:rsidR="00E4745B" w:rsidRPr="00133C85">
        <w:rPr>
          <w:rFonts w:asciiTheme="majorBidi" w:hAnsiTheme="majorBidi" w:cstheme="majorBidi"/>
          <w:sz w:val="24"/>
          <w:szCs w:val="24"/>
        </w:rPr>
        <w:t>throughout</w:t>
      </w:r>
      <w:r w:rsidR="00927DD5" w:rsidRPr="00133C85">
        <w:rPr>
          <w:rFonts w:asciiTheme="majorBidi" w:hAnsiTheme="majorBidi" w:cstheme="majorBidi"/>
          <w:sz w:val="24"/>
          <w:szCs w:val="24"/>
        </w:rPr>
        <w:t xml:space="preserve"> the United Nations Guiding Principles on Internal Displacement, </w:t>
      </w:r>
      <w:r w:rsidR="00E4745B" w:rsidRPr="00133C85">
        <w:rPr>
          <w:rFonts w:asciiTheme="majorBidi" w:hAnsiTheme="majorBidi" w:cstheme="majorBidi"/>
          <w:sz w:val="24"/>
          <w:szCs w:val="24"/>
        </w:rPr>
        <w:t>displaced persons</w:t>
      </w:r>
      <w:r w:rsidR="00927DD5" w:rsidRPr="00133C85">
        <w:rPr>
          <w:rFonts w:asciiTheme="majorBidi" w:hAnsiTheme="majorBidi" w:cstheme="majorBidi"/>
          <w:sz w:val="24"/>
          <w:szCs w:val="24"/>
        </w:rPr>
        <w:t xml:space="preserve"> require the</w:t>
      </w:r>
      <w:r w:rsidR="00E4745B" w:rsidRPr="00133C85">
        <w:rPr>
          <w:rFonts w:asciiTheme="majorBidi" w:hAnsiTheme="majorBidi" w:cstheme="majorBidi"/>
          <w:sz w:val="24"/>
          <w:szCs w:val="24"/>
        </w:rPr>
        <w:t xml:space="preserve"> provision of</w:t>
      </w:r>
      <w:r w:rsidR="00927DD5" w:rsidRPr="00133C85">
        <w:rPr>
          <w:rFonts w:asciiTheme="majorBidi" w:hAnsiTheme="majorBidi" w:cstheme="majorBidi"/>
          <w:sz w:val="24"/>
          <w:szCs w:val="24"/>
        </w:rPr>
        <w:t xml:space="preserve"> shelter, health, education</w:t>
      </w:r>
      <w:r w:rsidR="00E4745B" w:rsidRPr="00133C85">
        <w:rPr>
          <w:rFonts w:asciiTheme="majorBidi" w:hAnsiTheme="majorBidi" w:cstheme="majorBidi"/>
          <w:sz w:val="24"/>
          <w:szCs w:val="24"/>
        </w:rPr>
        <w:t xml:space="preserve"> services</w:t>
      </w:r>
      <w:r w:rsidR="00927DD5" w:rsidRPr="00133C85">
        <w:rPr>
          <w:rFonts w:asciiTheme="majorBidi" w:hAnsiTheme="majorBidi" w:cstheme="majorBidi"/>
          <w:sz w:val="24"/>
          <w:szCs w:val="24"/>
        </w:rPr>
        <w:t xml:space="preserve"> and more. The protection of these rights requires the allocation of significant resources, which are beyond the reach of many host states</w:t>
      </w:r>
      <w:r w:rsidR="00792FB4">
        <w:rPr>
          <w:rFonts w:asciiTheme="majorBidi" w:hAnsiTheme="majorBidi" w:cstheme="majorBidi"/>
          <w:sz w:val="24"/>
          <w:szCs w:val="24"/>
        </w:rPr>
        <w:t>, particularly in the Global South, where most displacement occurs</w:t>
      </w:r>
      <w:r w:rsidR="00927DD5" w:rsidRPr="00133C85">
        <w:rPr>
          <w:rFonts w:asciiTheme="majorBidi" w:hAnsiTheme="majorBidi" w:cstheme="majorBidi"/>
          <w:sz w:val="24"/>
          <w:szCs w:val="24"/>
        </w:rPr>
        <w:t>.</w:t>
      </w:r>
    </w:p>
    <w:p w14:paraId="35E45AA9" w14:textId="39516B0D" w:rsidR="00FB4B40" w:rsidRPr="00133C85" w:rsidRDefault="00792FB4" w:rsidP="00BB0FD7">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The discussion thus far</w:t>
      </w:r>
      <w:r w:rsidR="00FB4B40" w:rsidRPr="00133C85">
        <w:rPr>
          <w:rFonts w:asciiTheme="majorBidi" w:hAnsiTheme="majorBidi" w:cstheme="majorBidi"/>
          <w:sz w:val="24"/>
          <w:szCs w:val="24"/>
        </w:rPr>
        <w:t xml:space="preserve"> is only a partial and limited review</w:t>
      </w:r>
      <w:r w:rsidR="00247B08" w:rsidRPr="00133C85">
        <w:rPr>
          <w:rStyle w:val="FootnoteReference"/>
          <w:rFonts w:asciiTheme="majorBidi" w:hAnsiTheme="majorBidi" w:cstheme="majorBidi"/>
          <w:sz w:val="24"/>
          <w:szCs w:val="24"/>
        </w:rPr>
        <w:footnoteReference w:id="28"/>
      </w:r>
      <w:r w:rsidR="00FB4B40" w:rsidRPr="00133C85">
        <w:rPr>
          <w:rFonts w:asciiTheme="majorBidi" w:hAnsiTheme="majorBidi" w:cstheme="majorBidi"/>
          <w:sz w:val="24"/>
          <w:szCs w:val="24"/>
        </w:rPr>
        <w:t xml:space="preserve"> of the international legal landscape relevant </w:t>
      </w:r>
      <w:r>
        <w:rPr>
          <w:rFonts w:asciiTheme="majorBidi" w:hAnsiTheme="majorBidi" w:cstheme="majorBidi"/>
          <w:sz w:val="24"/>
          <w:szCs w:val="24"/>
        </w:rPr>
        <w:t>to</w:t>
      </w:r>
      <w:r w:rsidR="00FB4B40" w:rsidRPr="00133C85">
        <w:rPr>
          <w:rFonts w:asciiTheme="majorBidi" w:hAnsiTheme="majorBidi" w:cstheme="majorBidi"/>
          <w:sz w:val="24"/>
          <w:szCs w:val="24"/>
        </w:rPr>
        <w:t xml:space="preserve"> the regulation of climate-induced migration. </w:t>
      </w:r>
      <w:r w:rsidR="00E4745B" w:rsidRPr="00133C85">
        <w:rPr>
          <w:rFonts w:asciiTheme="majorBidi" w:hAnsiTheme="majorBidi" w:cstheme="majorBidi"/>
          <w:sz w:val="24"/>
          <w:szCs w:val="24"/>
        </w:rPr>
        <w:t>This</w:t>
      </w:r>
      <w:r w:rsidR="0045143D" w:rsidRPr="00133C85">
        <w:rPr>
          <w:rFonts w:asciiTheme="majorBidi" w:hAnsiTheme="majorBidi" w:cstheme="majorBidi"/>
          <w:sz w:val="24"/>
          <w:szCs w:val="24"/>
        </w:rPr>
        <w:t xml:space="preserve"> shows that while </w:t>
      </w:r>
      <w:r>
        <w:rPr>
          <w:rFonts w:asciiTheme="majorBidi" w:hAnsiTheme="majorBidi" w:cstheme="majorBidi"/>
          <w:sz w:val="24"/>
          <w:szCs w:val="24"/>
        </w:rPr>
        <w:t xml:space="preserve">it </w:t>
      </w:r>
      <w:r w:rsidR="0045143D" w:rsidRPr="00133C85">
        <w:rPr>
          <w:rFonts w:asciiTheme="majorBidi" w:hAnsiTheme="majorBidi" w:cstheme="majorBidi"/>
          <w:sz w:val="24"/>
          <w:szCs w:val="24"/>
        </w:rPr>
        <w:t>provid</w:t>
      </w:r>
      <w:r>
        <w:rPr>
          <w:rFonts w:asciiTheme="majorBidi" w:hAnsiTheme="majorBidi" w:cstheme="majorBidi"/>
          <w:sz w:val="24"/>
          <w:szCs w:val="24"/>
        </w:rPr>
        <w:t>es some limited</w:t>
      </w:r>
      <w:r w:rsidR="0045143D" w:rsidRPr="00133C85">
        <w:rPr>
          <w:rFonts w:asciiTheme="majorBidi" w:hAnsiTheme="majorBidi" w:cstheme="majorBidi"/>
          <w:sz w:val="24"/>
          <w:szCs w:val="24"/>
        </w:rPr>
        <w:t xml:space="preserve"> protection, the current legal frameworks </w:t>
      </w:r>
      <w:r>
        <w:rPr>
          <w:rFonts w:asciiTheme="majorBidi" w:hAnsiTheme="majorBidi" w:cstheme="majorBidi"/>
          <w:sz w:val="24"/>
          <w:szCs w:val="24"/>
        </w:rPr>
        <w:t>have yet to be</w:t>
      </w:r>
      <w:r w:rsidR="0045143D" w:rsidRPr="00133C85">
        <w:rPr>
          <w:rFonts w:asciiTheme="majorBidi" w:hAnsiTheme="majorBidi" w:cstheme="majorBidi"/>
          <w:sz w:val="24"/>
          <w:szCs w:val="24"/>
        </w:rPr>
        <w:t xml:space="preserve"> updated </w:t>
      </w:r>
      <w:proofErr w:type="gramStart"/>
      <w:r w:rsidR="0045143D" w:rsidRPr="00133C85">
        <w:rPr>
          <w:rFonts w:asciiTheme="majorBidi" w:hAnsiTheme="majorBidi" w:cstheme="majorBidi"/>
          <w:sz w:val="24"/>
          <w:szCs w:val="24"/>
        </w:rPr>
        <w:t>in order to</w:t>
      </w:r>
      <w:proofErr w:type="gramEnd"/>
      <w:r w:rsidR="0045143D" w:rsidRPr="00133C85">
        <w:rPr>
          <w:rFonts w:asciiTheme="majorBidi" w:hAnsiTheme="majorBidi" w:cstheme="majorBidi"/>
          <w:sz w:val="24"/>
          <w:szCs w:val="24"/>
        </w:rPr>
        <w:t xml:space="preserve"> address the specific situation of </w:t>
      </w:r>
      <w:r>
        <w:rPr>
          <w:rFonts w:asciiTheme="majorBidi" w:hAnsiTheme="majorBidi" w:cstheme="majorBidi"/>
          <w:sz w:val="24"/>
          <w:szCs w:val="24"/>
        </w:rPr>
        <w:t>people displaced</w:t>
      </w:r>
      <w:r w:rsidR="0045143D" w:rsidRPr="00133C85">
        <w:rPr>
          <w:rFonts w:asciiTheme="majorBidi" w:hAnsiTheme="majorBidi" w:cstheme="majorBidi"/>
          <w:sz w:val="24"/>
          <w:szCs w:val="24"/>
        </w:rPr>
        <w:t xml:space="preserve"> by </w:t>
      </w:r>
      <w:r>
        <w:rPr>
          <w:rFonts w:asciiTheme="majorBidi" w:hAnsiTheme="majorBidi" w:cstheme="majorBidi"/>
          <w:sz w:val="24"/>
          <w:szCs w:val="24"/>
        </w:rPr>
        <w:t xml:space="preserve">the impacts of </w:t>
      </w:r>
      <w:r w:rsidR="0045143D" w:rsidRPr="00133C85">
        <w:rPr>
          <w:rFonts w:asciiTheme="majorBidi" w:hAnsiTheme="majorBidi" w:cstheme="majorBidi"/>
          <w:sz w:val="24"/>
          <w:szCs w:val="24"/>
        </w:rPr>
        <w:t xml:space="preserve">climate </w:t>
      </w:r>
      <w:r>
        <w:rPr>
          <w:rFonts w:asciiTheme="majorBidi" w:hAnsiTheme="majorBidi" w:cstheme="majorBidi"/>
          <w:sz w:val="24"/>
          <w:szCs w:val="24"/>
        </w:rPr>
        <w:t>change</w:t>
      </w:r>
      <w:r w:rsidR="0045143D" w:rsidRPr="00133C85">
        <w:rPr>
          <w:rFonts w:asciiTheme="majorBidi" w:hAnsiTheme="majorBidi" w:cstheme="majorBidi"/>
          <w:sz w:val="24"/>
          <w:szCs w:val="24"/>
        </w:rPr>
        <w:t xml:space="preserve">. As a result, there </w:t>
      </w:r>
      <w:r>
        <w:rPr>
          <w:rFonts w:asciiTheme="majorBidi" w:hAnsiTheme="majorBidi" w:cstheme="majorBidi"/>
          <w:sz w:val="24"/>
          <w:szCs w:val="24"/>
        </w:rPr>
        <w:t>remain significant</w:t>
      </w:r>
      <w:r w:rsidR="0045143D" w:rsidRPr="00133C85">
        <w:rPr>
          <w:rFonts w:asciiTheme="majorBidi" w:hAnsiTheme="majorBidi" w:cstheme="majorBidi"/>
          <w:sz w:val="24"/>
          <w:szCs w:val="24"/>
        </w:rPr>
        <w:t xml:space="preserve"> gaps in the </w:t>
      </w:r>
      <w:r>
        <w:rPr>
          <w:rFonts w:asciiTheme="majorBidi" w:hAnsiTheme="majorBidi" w:cstheme="majorBidi"/>
          <w:sz w:val="24"/>
          <w:szCs w:val="24"/>
        </w:rPr>
        <w:t>legal framework</w:t>
      </w:r>
      <w:r w:rsidR="0045143D" w:rsidRPr="00133C85">
        <w:rPr>
          <w:rFonts w:asciiTheme="majorBidi" w:hAnsiTheme="majorBidi" w:cstheme="majorBidi"/>
          <w:sz w:val="24"/>
          <w:szCs w:val="24"/>
        </w:rPr>
        <w:t xml:space="preserve">: </w:t>
      </w:r>
      <w:r w:rsidR="00E4745B" w:rsidRPr="00133C85">
        <w:rPr>
          <w:rFonts w:asciiTheme="majorBidi" w:hAnsiTheme="majorBidi" w:cstheme="majorBidi"/>
          <w:sz w:val="24"/>
          <w:szCs w:val="24"/>
        </w:rPr>
        <w:t>notably</w:t>
      </w:r>
      <w:r w:rsidR="0045143D" w:rsidRPr="00133C85">
        <w:rPr>
          <w:rFonts w:asciiTheme="majorBidi" w:hAnsiTheme="majorBidi" w:cstheme="majorBidi"/>
          <w:sz w:val="24"/>
          <w:szCs w:val="24"/>
        </w:rPr>
        <w:t xml:space="preserve">, there is no </w:t>
      </w:r>
      <w:r w:rsidR="00402E1E" w:rsidRPr="00133C85">
        <w:rPr>
          <w:rFonts w:asciiTheme="majorBidi" w:hAnsiTheme="majorBidi" w:cstheme="majorBidi"/>
          <w:sz w:val="24"/>
          <w:szCs w:val="24"/>
        </w:rPr>
        <w:t xml:space="preserve">widely </w:t>
      </w:r>
      <w:r w:rsidR="0045143D" w:rsidRPr="00133C85">
        <w:rPr>
          <w:rFonts w:asciiTheme="majorBidi" w:hAnsiTheme="majorBidi" w:cstheme="majorBidi"/>
          <w:sz w:val="24"/>
          <w:szCs w:val="24"/>
        </w:rPr>
        <w:t xml:space="preserve">recognised right </w:t>
      </w:r>
      <w:r w:rsidR="00402E1E" w:rsidRPr="00133C85">
        <w:rPr>
          <w:rFonts w:asciiTheme="majorBidi" w:hAnsiTheme="majorBidi" w:cstheme="majorBidi"/>
          <w:sz w:val="24"/>
          <w:szCs w:val="24"/>
        </w:rPr>
        <w:t xml:space="preserve">under international law </w:t>
      </w:r>
      <w:r w:rsidR="0045143D" w:rsidRPr="00133C85">
        <w:rPr>
          <w:rFonts w:asciiTheme="majorBidi" w:hAnsiTheme="majorBidi" w:cstheme="majorBidi"/>
          <w:sz w:val="24"/>
          <w:szCs w:val="24"/>
        </w:rPr>
        <w:t>to enter other states and stay there legally (where such a right is required).</w:t>
      </w:r>
      <w:r w:rsidR="0045143D" w:rsidRPr="00133C85">
        <w:rPr>
          <w:rStyle w:val="FootnoteReference"/>
          <w:rFonts w:asciiTheme="majorBidi" w:hAnsiTheme="majorBidi" w:cstheme="majorBidi"/>
          <w:sz w:val="24"/>
          <w:szCs w:val="24"/>
        </w:rPr>
        <w:footnoteReference w:id="29"/>
      </w:r>
      <w:r w:rsidR="0045143D" w:rsidRPr="00133C85">
        <w:rPr>
          <w:rFonts w:asciiTheme="majorBidi" w:hAnsiTheme="majorBidi" w:cstheme="majorBidi"/>
          <w:sz w:val="24"/>
          <w:szCs w:val="24"/>
        </w:rPr>
        <w:t xml:space="preserve"> </w:t>
      </w:r>
      <w:r w:rsidR="004D4BCE" w:rsidRPr="00133C85">
        <w:rPr>
          <w:rFonts w:asciiTheme="majorBidi" w:hAnsiTheme="majorBidi" w:cstheme="majorBidi"/>
          <w:sz w:val="24"/>
          <w:szCs w:val="24"/>
        </w:rPr>
        <w:t>Another notable gap involves the lack of adequate finance,</w:t>
      </w:r>
      <w:r w:rsidR="00402E1E" w:rsidRPr="00133C85">
        <w:rPr>
          <w:rFonts w:asciiTheme="majorBidi" w:hAnsiTheme="majorBidi" w:cstheme="majorBidi"/>
          <w:sz w:val="24"/>
          <w:szCs w:val="24"/>
        </w:rPr>
        <w:t xml:space="preserve"> which in fact reflects</w:t>
      </w:r>
      <w:r w:rsidR="004D4BCE" w:rsidRPr="00133C85">
        <w:rPr>
          <w:rFonts w:asciiTheme="majorBidi" w:hAnsiTheme="majorBidi" w:cstheme="majorBidi"/>
          <w:sz w:val="24"/>
          <w:szCs w:val="24"/>
        </w:rPr>
        <w:t xml:space="preserve"> a wider issue of global justice and responsibility: </w:t>
      </w:r>
      <w:r w:rsidR="00402E1E" w:rsidRPr="00133C85">
        <w:rPr>
          <w:rFonts w:asciiTheme="majorBidi" w:hAnsiTheme="majorBidi" w:cstheme="majorBidi"/>
          <w:sz w:val="24"/>
          <w:szCs w:val="24"/>
        </w:rPr>
        <w:t>climate migration takes place mostly in Global South states, who</w:t>
      </w:r>
      <w:r w:rsidR="00541DB3" w:rsidRPr="00133C85">
        <w:rPr>
          <w:rFonts w:asciiTheme="majorBidi" w:hAnsiTheme="majorBidi" w:cstheme="majorBidi"/>
          <w:sz w:val="24"/>
          <w:szCs w:val="24"/>
        </w:rPr>
        <w:t>se contribution to global GHG emissions has been negligible. The responsibility of major polluters, therefore</w:t>
      </w:r>
      <w:r>
        <w:rPr>
          <w:rFonts w:asciiTheme="majorBidi" w:hAnsiTheme="majorBidi" w:cstheme="majorBidi"/>
          <w:sz w:val="24"/>
          <w:szCs w:val="24"/>
        </w:rPr>
        <w:t>,</w:t>
      </w:r>
      <w:r w:rsidR="00541DB3" w:rsidRPr="00133C85">
        <w:rPr>
          <w:rFonts w:asciiTheme="majorBidi" w:hAnsiTheme="majorBidi" w:cstheme="majorBidi"/>
          <w:sz w:val="24"/>
          <w:szCs w:val="24"/>
        </w:rPr>
        <w:t xml:space="preserve"> cannot remain unaddressed. Finally, the human rights framework presents challenges </w:t>
      </w:r>
      <w:r w:rsidR="008C1FCE" w:rsidRPr="00133C85">
        <w:rPr>
          <w:rFonts w:asciiTheme="majorBidi" w:hAnsiTheme="majorBidi" w:cstheme="majorBidi"/>
          <w:sz w:val="24"/>
          <w:szCs w:val="24"/>
        </w:rPr>
        <w:t>in</w:t>
      </w:r>
      <w:r w:rsidR="00541DB3" w:rsidRPr="00133C85">
        <w:rPr>
          <w:rFonts w:asciiTheme="majorBidi" w:hAnsiTheme="majorBidi" w:cstheme="majorBidi"/>
          <w:sz w:val="24"/>
          <w:szCs w:val="24"/>
        </w:rPr>
        <w:t xml:space="preserve"> its concrete application</w:t>
      </w:r>
      <w:r>
        <w:rPr>
          <w:rFonts w:asciiTheme="majorBidi" w:hAnsiTheme="majorBidi" w:cstheme="majorBidi"/>
          <w:sz w:val="24"/>
          <w:szCs w:val="24"/>
        </w:rPr>
        <w:t xml:space="preserve"> to</w:t>
      </w:r>
      <w:r w:rsidR="00541DB3" w:rsidRPr="00133C85">
        <w:rPr>
          <w:rFonts w:asciiTheme="majorBidi" w:hAnsiTheme="majorBidi" w:cstheme="majorBidi"/>
          <w:sz w:val="24"/>
          <w:szCs w:val="24"/>
        </w:rPr>
        <w:t xml:space="preserve"> the context of climate-induced migration</w:t>
      </w:r>
      <w:r w:rsidR="008C1FCE" w:rsidRPr="00133C85">
        <w:rPr>
          <w:rFonts w:asciiTheme="majorBidi" w:hAnsiTheme="majorBidi" w:cstheme="majorBidi"/>
          <w:sz w:val="24"/>
          <w:szCs w:val="24"/>
        </w:rPr>
        <w:t xml:space="preserve">, as well as in terms of effective enforcement. </w:t>
      </w:r>
      <w:r>
        <w:rPr>
          <w:rFonts w:asciiTheme="majorBidi" w:hAnsiTheme="majorBidi" w:cstheme="majorBidi"/>
          <w:sz w:val="24"/>
          <w:szCs w:val="24"/>
        </w:rPr>
        <w:t>We now turn to ask</w:t>
      </w:r>
      <w:r w:rsidR="00E4745B" w:rsidRPr="00133C85">
        <w:rPr>
          <w:rFonts w:asciiTheme="majorBidi" w:hAnsiTheme="majorBidi" w:cstheme="majorBidi"/>
          <w:sz w:val="24"/>
          <w:szCs w:val="24"/>
        </w:rPr>
        <w:t xml:space="preserve"> whether developments in climate litigation have addressed these legal gaps, and to what extent</w:t>
      </w:r>
      <w:r w:rsidR="00B6529D">
        <w:rPr>
          <w:rFonts w:asciiTheme="majorBidi" w:hAnsiTheme="majorBidi" w:cstheme="majorBidi"/>
          <w:sz w:val="24"/>
          <w:szCs w:val="24"/>
        </w:rPr>
        <w:t xml:space="preserve"> they have done so</w:t>
      </w:r>
      <w:r w:rsidR="00E4745B" w:rsidRPr="00133C85">
        <w:rPr>
          <w:rFonts w:asciiTheme="majorBidi" w:hAnsiTheme="majorBidi" w:cstheme="majorBidi"/>
          <w:sz w:val="24"/>
          <w:szCs w:val="24"/>
        </w:rPr>
        <w:t xml:space="preserve">. </w:t>
      </w:r>
    </w:p>
    <w:p w14:paraId="30FCAFD0" w14:textId="4853253A" w:rsidR="000F781C" w:rsidRPr="00133C85" w:rsidRDefault="00A976E0" w:rsidP="00BB0FD7">
      <w:pPr>
        <w:pStyle w:val="Heading3"/>
        <w:numPr>
          <w:ilvl w:val="0"/>
          <w:numId w:val="3"/>
        </w:numPr>
        <w:spacing w:line="360" w:lineRule="auto"/>
        <w:jc w:val="both"/>
        <w:rPr>
          <w:rFonts w:asciiTheme="majorBidi" w:hAnsiTheme="majorBidi"/>
        </w:rPr>
      </w:pPr>
      <w:r w:rsidRPr="00133C85">
        <w:rPr>
          <w:rFonts w:asciiTheme="majorBidi" w:hAnsiTheme="majorBidi"/>
        </w:rPr>
        <w:t>Climate litigation and the missing pieces</w:t>
      </w:r>
    </w:p>
    <w:p w14:paraId="5A005E20" w14:textId="1ED436A6" w:rsidR="009E5DBA" w:rsidRPr="00133C85" w:rsidRDefault="008C1FCE"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As stated in the introduction, the wave of climate litigation </w:t>
      </w:r>
      <w:r w:rsidR="00601920">
        <w:rPr>
          <w:rFonts w:asciiTheme="majorBidi" w:hAnsiTheme="majorBidi" w:cstheme="majorBidi"/>
          <w:sz w:val="24"/>
          <w:szCs w:val="24"/>
        </w:rPr>
        <w:t>aims</w:t>
      </w:r>
      <w:r w:rsidRPr="00133C85">
        <w:rPr>
          <w:rFonts w:asciiTheme="majorBidi" w:hAnsiTheme="majorBidi" w:cstheme="majorBidi"/>
          <w:sz w:val="24"/>
          <w:szCs w:val="24"/>
        </w:rPr>
        <w:t xml:space="preserve"> to develop the law </w:t>
      </w:r>
      <w:proofErr w:type="gramStart"/>
      <w:r w:rsidRPr="00133C85">
        <w:rPr>
          <w:rFonts w:asciiTheme="majorBidi" w:hAnsiTheme="majorBidi" w:cstheme="majorBidi"/>
          <w:sz w:val="24"/>
          <w:szCs w:val="24"/>
        </w:rPr>
        <w:t>in order to</w:t>
      </w:r>
      <w:proofErr w:type="gramEnd"/>
      <w:r w:rsidRPr="00133C85">
        <w:rPr>
          <w:rFonts w:asciiTheme="majorBidi" w:hAnsiTheme="majorBidi" w:cstheme="majorBidi"/>
          <w:sz w:val="24"/>
          <w:szCs w:val="24"/>
        </w:rPr>
        <w:t xml:space="preserve"> adjust it</w:t>
      </w:r>
      <w:r w:rsidR="00CF2F3A" w:rsidRPr="00133C85">
        <w:rPr>
          <w:rFonts w:asciiTheme="majorBidi" w:hAnsiTheme="majorBidi" w:cstheme="majorBidi"/>
          <w:sz w:val="24"/>
          <w:szCs w:val="24"/>
        </w:rPr>
        <w:t xml:space="preserve"> to</w:t>
      </w:r>
      <w:r w:rsidRPr="00133C85">
        <w:rPr>
          <w:rFonts w:asciiTheme="majorBidi" w:hAnsiTheme="majorBidi" w:cstheme="majorBidi"/>
          <w:sz w:val="24"/>
          <w:szCs w:val="24"/>
        </w:rPr>
        <w:t xml:space="preserve"> the realities of climate change. </w:t>
      </w:r>
      <w:r w:rsidR="00601920">
        <w:rPr>
          <w:rFonts w:asciiTheme="majorBidi" w:hAnsiTheme="majorBidi" w:cstheme="majorBidi"/>
          <w:sz w:val="24"/>
          <w:szCs w:val="24"/>
        </w:rPr>
        <w:t>T</w:t>
      </w:r>
      <w:r w:rsidRPr="00133C85">
        <w:rPr>
          <w:rFonts w:asciiTheme="majorBidi" w:hAnsiTheme="majorBidi" w:cstheme="majorBidi"/>
          <w:sz w:val="24"/>
          <w:szCs w:val="24"/>
        </w:rPr>
        <w:t>hese cases could, potentially, change the</w:t>
      </w:r>
      <w:r w:rsidR="00291E53" w:rsidRPr="00133C85">
        <w:rPr>
          <w:rFonts w:asciiTheme="majorBidi" w:hAnsiTheme="majorBidi" w:cstheme="majorBidi"/>
          <w:sz w:val="24"/>
          <w:szCs w:val="24"/>
        </w:rPr>
        <w:t xml:space="preserve"> </w:t>
      </w:r>
      <w:r w:rsidRPr="00133C85">
        <w:rPr>
          <w:rFonts w:asciiTheme="majorBidi" w:hAnsiTheme="majorBidi" w:cstheme="majorBidi"/>
          <w:sz w:val="24"/>
          <w:szCs w:val="24"/>
        </w:rPr>
        <w:t xml:space="preserve">legal landscape </w:t>
      </w:r>
      <w:r w:rsidR="00291E53" w:rsidRPr="00133C85">
        <w:rPr>
          <w:rFonts w:asciiTheme="majorBidi" w:hAnsiTheme="majorBidi" w:cstheme="majorBidi"/>
          <w:sz w:val="24"/>
          <w:szCs w:val="24"/>
        </w:rPr>
        <w:t xml:space="preserve">covering climate-induced migration </w:t>
      </w:r>
      <w:r w:rsidRPr="00133C85">
        <w:rPr>
          <w:rFonts w:asciiTheme="majorBidi" w:hAnsiTheme="majorBidi" w:cstheme="majorBidi"/>
          <w:sz w:val="24"/>
          <w:szCs w:val="24"/>
        </w:rPr>
        <w:t>and</w:t>
      </w:r>
      <w:r w:rsidR="00291E53" w:rsidRPr="00133C85">
        <w:rPr>
          <w:rFonts w:asciiTheme="majorBidi" w:hAnsiTheme="majorBidi" w:cstheme="majorBidi"/>
          <w:sz w:val="24"/>
          <w:szCs w:val="24"/>
        </w:rPr>
        <w:t xml:space="preserve"> fill </w:t>
      </w:r>
      <w:r w:rsidR="00CF2F3A" w:rsidRPr="00133C85">
        <w:rPr>
          <w:rFonts w:asciiTheme="majorBidi" w:hAnsiTheme="majorBidi" w:cstheme="majorBidi"/>
          <w:sz w:val="24"/>
          <w:szCs w:val="24"/>
        </w:rPr>
        <w:t xml:space="preserve">in </w:t>
      </w:r>
      <w:r w:rsidR="00291E53" w:rsidRPr="00133C85">
        <w:rPr>
          <w:rFonts w:asciiTheme="majorBidi" w:hAnsiTheme="majorBidi" w:cstheme="majorBidi"/>
          <w:sz w:val="24"/>
          <w:szCs w:val="24"/>
        </w:rPr>
        <w:t>some of the gaps</w:t>
      </w:r>
      <w:r w:rsidR="00601920">
        <w:rPr>
          <w:rFonts w:asciiTheme="majorBidi" w:hAnsiTheme="majorBidi" w:cstheme="majorBidi"/>
          <w:sz w:val="24"/>
          <w:szCs w:val="24"/>
        </w:rPr>
        <w:t xml:space="preserve"> identified above</w:t>
      </w:r>
      <w:r w:rsidRPr="00133C85">
        <w:rPr>
          <w:rFonts w:asciiTheme="majorBidi" w:hAnsiTheme="majorBidi" w:cstheme="majorBidi"/>
          <w:sz w:val="24"/>
          <w:szCs w:val="24"/>
        </w:rPr>
        <w:t>.</w:t>
      </w:r>
      <w:r w:rsidR="00291E53" w:rsidRPr="00133C85">
        <w:rPr>
          <w:rFonts w:asciiTheme="majorBidi" w:hAnsiTheme="majorBidi" w:cstheme="majorBidi"/>
          <w:sz w:val="24"/>
          <w:szCs w:val="24"/>
        </w:rPr>
        <w:t xml:space="preserve"> </w:t>
      </w:r>
      <w:r w:rsidR="009E5DBA" w:rsidRPr="00133C85">
        <w:rPr>
          <w:rFonts w:asciiTheme="majorBidi" w:hAnsiTheme="majorBidi" w:cstheme="majorBidi"/>
          <w:sz w:val="24"/>
          <w:szCs w:val="24"/>
        </w:rPr>
        <w:t xml:space="preserve">These cases </w:t>
      </w:r>
      <w:r w:rsidR="00EC7A4E">
        <w:rPr>
          <w:rFonts w:asciiTheme="majorBidi" w:hAnsiTheme="majorBidi" w:cstheme="majorBidi"/>
          <w:sz w:val="24"/>
          <w:szCs w:val="24"/>
        </w:rPr>
        <w:t>can</w:t>
      </w:r>
      <w:r w:rsidR="009E5DBA" w:rsidRPr="00133C85">
        <w:rPr>
          <w:rFonts w:asciiTheme="majorBidi" w:hAnsiTheme="majorBidi" w:cstheme="majorBidi"/>
          <w:sz w:val="24"/>
          <w:szCs w:val="24"/>
        </w:rPr>
        <w:t xml:space="preserve"> be divided into two groups: </w:t>
      </w:r>
    </w:p>
    <w:p w14:paraId="20118D47" w14:textId="122F1A0C" w:rsidR="009E5DBA" w:rsidRPr="00133C85" w:rsidRDefault="00CF2F3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F</w:t>
      </w:r>
      <w:r w:rsidR="009E5DBA" w:rsidRPr="00133C85">
        <w:rPr>
          <w:rFonts w:asciiTheme="majorBidi" w:hAnsiTheme="majorBidi" w:cstheme="majorBidi"/>
          <w:sz w:val="24"/>
          <w:szCs w:val="24"/>
        </w:rPr>
        <w:t xml:space="preserve">irst, there are ‘general’ climate litigation cases that demand remedies such as emissions abatement, but do not specifically address climate migration. These cases are of clear relevance to climate migration as they address the </w:t>
      </w:r>
      <w:r w:rsidRPr="00133C85">
        <w:rPr>
          <w:rFonts w:asciiTheme="majorBidi" w:hAnsiTheme="majorBidi" w:cstheme="majorBidi"/>
          <w:sz w:val="24"/>
          <w:szCs w:val="24"/>
        </w:rPr>
        <w:t>root of the issue -</w:t>
      </w:r>
      <w:r w:rsidR="009E5DBA" w:rsidRPr="00133C85">
        <w:rPr>
          <w:rFonts w:asciiTheme="majorBidi" w:hAnsiTheme="majorBidi" w:cstheme="majorBidi"/>
          <w:sz w:val="24"/>
          <w:szCs w:val="24"/>
        </w:rPr>
        <w:t xml:space="preserve"> the push factors that lead to climate migration. However, for reasons of space and scope, we will not address these cases </w:t>
      </w:r>
      <w:r w:rsidR="00EC7A4E">
        <w:rPr>
          <w:rFonts w:asciiTheme="majorBidi" w:hAnsiTheme="majorBidi" w:cstheme="majorBidi"/>
          <w:sz w:val="24"/>
          <w:szCs w:val="24"/>
        </w:rPr>
        <w:t>here</w:t>
      </w:r>
      <w:r w:rsidR="009E5DBA" w:rsidRPr="00133C85">
        <w:rPr>
          <w:rFonts w:asciiTheme="majorBidi" w:hAnsiTheme="majorBidi" w:cstheme="majorBidi"/>
          <w:sz w:val="24"/>
          <w:szCs w:val="24"/>
        </w:rPr>
        <w:t xml:space="preserve">. </w:t>
      </w:r>
    </w:p>
    <w:p w14:paraId="14B8A076" w14:textId="4E413933" w:rsidR="009E5DBA" w:rsidRPr="00133C85" w:rsidRDefault="009E5DBA" w:rsidP="00BB0FD7">
      <w:pPr>
        <w:spacing w:line="360" w:lineRule="auto"/>
        <w:jc w:val="both"/>
        <w:rPr>
          <w:rFonts w:asciiTheme="majorBidi" w:hAnsiTheme="majorBidi" w:cstheme="majorBidi"/>
          <w:sz w:val="24"/>
          <w:szCs w:val="24"/>
          <w:lang w:bidi="he-IL"/>
        </w:rPr>
      </w:pPr>
      <w:r w:rsidRPr="00133C85">
        <w:rPr>
          <w:rFonts w:asciiTheme="majorBidi" w:hAnsiTheme="majorBidi" w:cstheme="majorBidi"/>
          <w:sz w:val="24"/>
          <w:szCs w:val="24"/>
        </w:rPr>
        <w:t xml:space="preserve">Second, there are cases that </w:t>
      </w:r>
      <w:r w:rsidR="00CF2F3A" w:rsidRPr="00133C85">
        <w:rPr>
          <w:rFonts w:asciiTheme="majorBidi" w:hAnsiTheme="majorBidi" w:cstheme="majorBidi"/>
          <w:sz w:val="24"/>
          <w:szCs w:val="24"/>
        </w:rPr>
        <w:t xml:space="preserve">have </w:t>
      </w:r>
      <w:r w:rsidRPr="00133C85">
        <w:rPr>
          <w:rFonts w:asciiTheme="majorBidi" w:hAnsiTheme="majorBidi" w:cstheme="majorBidi"/>
          <w:sz w:val="24"/>
          <w:szCs w:val="24"/>
        </w:rPr>
        <w:t>address</w:t>
      </w:r>
      <w:r w:rsidR="00CF2F3A" w:rsidRPr="00133C85">
        <w:rPr>
          <w:rFonts w:asciiTheme="majorBidi" w:hAnsiTheme="majorBidi" w:cstheme="majorBidi"/>
          <w:sz w:val="24"/>
          <w:szCs w:val="24"/>
        </w:rPr>
        <w:t>ed</w:t>
      </w:r>
      <w:r w:rsidRPr="00133C85">
        <w:rPr>
          <w:rFonts w:asciiTheme="majorBidi" w:hAnsiTheme="majorBidi" w:cstheme="majorBidi"/>
          <w:sz w:val="24"/>
          <w:szCs w:val="24"/>
        </w:rPr>
        <w:t xml:space="preserve"> climate migration directly. </w:t>
      </w:r>
      <w:r w:rsidR="00EC7A4E">
        <w:rPr>
          <w:rFonts w:asciiTheme="majorBidi" w:hAnsiTheme="majorBidi" w:cstheme="majorBidi"/>
          <w:sz w:val="24"/>
          <w:szCs w:val="24"/>
        </w:rPr>
        <w:t>In what follows we</w:t>
      </w:r>
      <w:r w:rsidR="00291E53" w:rsidRPr="00133C85">
        <w:rPr>
          <w:rFonts w:asciiTheme="majorBidi" w:hAnsiTheme="majorBidi" w:cstheme="majorBidi"/>
          <w:sz w:val="24"/>
          <w:szCs w:val="24"/>
        </w:rPr>
        <w:t xml:space="preserve"> will evaluate a </w:t>
      </w:r>
      <w:r w:rsidRPr="00133C85">
        <w:rPr>
          <w:rFonts w:asciiTheme="majorBidi" w:hAnsiTheme="majorBidi" w:cstheme="majorBidi"/>
          <w:sz w:val="24"/>
          <w:szCs w:val="24"/>
        </w:rPr>
        <w:t xml:space="preserve">representative and </w:t>
      </w:r>
      <w:r w:rsidR="00291E53" w:rsidRPr="00133C85">
        <w:rPr>
          <w:rFonts w:asciiTheme="majorBidi" w:hAnsiTheme="majorBidi" w:cstheme="majorBidi"/>
          <w:sz w:val="24"/>
          <w:szCs w:val="24"/>
        </w:rPr>
        <w:t>non-comprehensive list of key</w:t>
      </w:r>
      <w:r w:rsidR="00167777" w:rsidRPr="00133C85">
        <w:rPr>
          <w:rFonts w:asciiTheme="majorBidi" w:hAnsiTheme="majorBidi" w:cstheme="majorBidi"/>
          <w:sz w:val="24"/>
          <w:szCs w:val="24"/>
        </w:rPr>
        <w:t xml:space="preserve"> </w:t>
      </w:r>
      <w:proofErr w:type="gramStart"/>
      <w:r w:rsidR="00291E53" w:rsidRPr="00133C85">
        <w:rPr>
          <w:rFonts w:asciiTheme="majorBidi" w:hAnsiTheme="majorBidi" w:cstheme="majorBidi"/>
          <w:sz w:val="24"/>
          <w:szCs w:val="24"/>
        </w:rPr>
        <w:t>cases</w:t>
      </w:r>
      <w:r w:rsidR="00167777" w:rsidRPr="00133C85">
        <w:rPr>
          <w:rFonts w:asciiTheme="majorBidi" w:hAnsiTheme="majorBidi" w:cstheme="majorBidi"/>
          <w:sz w:val="24"/>
          <w:szCs w:val="24"/>
        </w:rPr>
        <w:t>,</w:t>
      </w:r>
      <w:r w:rsidR="00291E53" w:rsidRPr="00133C85">
        <w:rPr>
          <w:rFonts w:asciiTheme="majorBidi" w:hAnsiTheme="majorBidi" w:cstheme="majorBidi"/>
          <w:sz w:val="24"/>
          <w:szCs w:val="24"/>
        </w:rPr>
        <w:t xml:space="preserve"> and</w:t>
      </w:r>
      <w:proofErr w:type="gramEnd"/>
      <w:r w:rsidR="00291E53" w:rsidRPr="00133C85">
        <w:rPr>
          <w:rFonts w:asciiTheme="majorBidi" w:hAnsiTheme="majorBidi" w:cstheme="majorBidi"/>
          <w:sz w:val="24"/>
          <w:szCs w:val="24"/>
        </w:rPr>
        <w:t xml:space="preserve"> will ask whether and how th</w:t>
      </w:r>
      <w:r w:rsidR="00CF2F3A" w:rsidRPr="00133C85">
        <w:rPr>
          <w:rFonts w:asciiTheme="majorBidi" w:hAnsiTheme="majorBidi" w:cstheme="majorBidi"/>
          <w:sz w:val="24"/>
          <w:szCs w:val="24"/>
        </w:rPr>
        <w:t>is emerging jurisprudence</w:t>
      </w:r>
      <w:r w:rsidR="00291E53" w:rsidRPr="00133C85">
        <w:rPr>
          <w:rFonts w:asciiTheme="majorBidi" w:hAnsiTheme="majorBidi" w:cstheme="majorBidi"/>
          <w:sz w:val="24"/>
          <w:szCs w:val="24"/>
        </w:rPr>
        <w:t xml:space="preserve"> ha</w:t>
      </w:r>
      <w:r w:rsidR="00EC7A4E">
        <w:rPr>
          <w:rFonts w:asciiTheme="majorBidi" w:hAnsiTheme="majorBidi" w:cstheme="majorBidi"/>
          <w:sz w:val="24"/>
          <w:szCs w:val="24"/>
        </w:rPr>
        <w:t>s</w:t>
      </w:r>
      <w:r w:rsidR="00291E53" w:rsidRPr="00133C85">
        <w:rPr>
          <w:rFonts w:asciiTheme="majorBidi" w:hAnsiTheme="majorBidi" w:cstheme="majorBidi"/>
          <w:sz w:val="24"/>
          <w:szCs w:val="24"/>
        </w:rPr>
        <w:t xml:space="preserve"> </w:t>
      </w:r>
      <w:r w:rsidR="00167777" w:rsidRPr="00133C85">
        <w:rPr>
          <w:rFonts w:asciiTheme="majorBidi" w:hAnsiTheme="majorBidi" w:cstheme="majorBidi"/>
          <w:sz w:val="24"/>
          <w:szCs w:val="24"/>
        </w:rPr>
        <w:t>developed</w:t>
      </w:r>
      <w:r w:rsidR="00291E53" w:rsidRPr="00133C85">
        <w:rPr>
          <w:rFonts w:asciiTheme="majorBidi" w:hAnsiTheme="majorBidi" w:cstheme="majorBidi"/>
          <w:sz w:val="24"/>
          <w:szCs w:val="24"/>
        </w:rPr>
        <w:t xml:space="preserve"> the legal situation of climate migrants.</w:t>
      </w:r>
      <w:r w:rsidR="009733CD" w:rsidRPr="00133C85">
        <w:rPr>
          <w:rFonts w:asciiTheme="majorBidi" w:hAnsiTheme="majorBidi" w:cstheme="majorBidi"/>
          <w:sz w:val="24"/>
          <w:szCs w:val="24"/>
        </w:rPr>
        <w:t xml:space="preserve"> Due to</w:t>
      </w:r>
      <w:r w:rsidR="00EC7A4E">
        <w:rPr>
          <w:rFonts w:asciiTheme="majorBidi" w:hAnsiTheme="majorBidi" w:cstheme="majorBidi"/>
          <w:sz w:val="24"/>
          <w:szCs w:val="24"/>
        </w:rPr>
        <w:t xml:space="preserve"> </w:t>
      </w:r>
      <w:r w:rsidR="009733CD" w:rsidRPr="00133C85">
        <w:rPr>
          <w:rFonts w:asciiTheme="majorBidi" w:hAnsiTheme="majorBidi" w:cstheme="majorBidi"/>
          <w:sz w:val="24"/>
          <w:szCs w:val="24"/>
        </w:rPr>
        <w:t>limitations</w:t>
      </w:r>
      <w:r w:rsidR="00EC7A4E">
        <w:rPr>
          <w:rFonts w:asciiTheme="majorBidi" w:hAnsiTheme="majorBidi" w:cstheme="majorBidi"/>
          <w:sz w:val="24"/>
          <w:szCs w:val="24"/>
        </w:rPr>
        <w:t xml:space="preserve"> of space</w:t>
      </w:r>
      <w:r w:rsidR="009733CD" w:rsidRPr="00133C85">
        <w:rPr>
          <w:rFonts w:asciiTheme="majorBidi" w:hAnsiTheme="majorBidi" w:cstheme="majorBidi"/>
          <w:sz w:val="24"/>
          <w:szCs w:val="24"/>
        </w:rPr>
        <w:t xml:space="preserve">, we will </w:t>
      </w:r>
      <w:r w:rsidR="00EC7A4E">
        <w:rPr>
          <w:rFonts w:asciiTheme="majorBidi" w:hAnsiTheme="majorBidi" w:cstheme="majorBidi"/>
          <w:sz w:val="24"/>
          <w:szCs w:val="24"/>
        </w:rPr>
        <w:t xml:space="preserve">only </w:t>
      </w:r>
      <w:r w:rsidR="009733CD" w:rsidRPr="00133C85">
        <w:rPr>
          <w:rFonts w:asciiTheme="majorBidi" w:hAnsiTheme="majorBidi" w:cstheme="majorBidi"/>
          <w:sz w:val="24"/>
          <w:szCs w:val="24"/>
        </w:rPr>
        <w:t xml:space="preserve">address international law, and references to </w:t>
      </w:r>
      <w:r w:rsidR="00EC7A4E">
        <w:rPr>
          <w:rFonts w:asciiTheme="majorBidi" w:hAnsiTheme="majorBidi" w:cstheme="majorBidi"/>
          <w:sz w:val="24"/>
          <w:szCs w:val="24"/>
        </w:rPr>
        <w:t>domestic</w:t>
      </w:r>
      <w:r w:rsidR="009733CD" w:rsidRPr="00133C85">
        <w:rPr>
          <w:rFonts w:asciiTheme="majorBidi" w:hAnsiTheme="majorBidi" w:cstheme="majorBidi"/>
          <w:sz w:val="24"/>
          <w:szCs w:val="24"/>
        </w:rPr>
        <w:t xml:space="preserve"> cases will be made only in passing. </w:t>
      </w:r>
    </w:p>
    <w:p w14:paraId="5C56F8F9" w14:textId="14867ACD" w:rsidR="002E60D2" w:rsidRPr="00133C85" w:rsidRDefault="002E60D2"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lastRenderedPageBreak/>
        <w:t>The most discussed case in th</w:t>
      </w:r>
      <w:r w:rsidR="009E5DBA" w:rsidRPr="00133C85">
        <w:rPr>
          <w:rFonts w:asciiTheme="majorBidi" w:hAnsiTheme="majorBidi" w:cstheme="majorBidi"/>
          <w:sz w:val="24"/>
          <w:szCs w:val="24"/>
        </w:rPr>
        <w:t>e</w:t>
      </w:r>
      <w:r w:rsidRPr="00133C85">
        <w:rPr>
          <w:rFonts w:asciiTheme="majorBidi" w:hAnsiTheme="majorBidi" w:cstheme="majorBidi"/>
          <w:sz w:val="24"/>
          <w:szCs w:val="24"/>
        </w:rPr>
        <w:t xml:space="preserve"> context </w:t>
      </w:r>
      <w:r w:rsidR="009E5DBA" w:rsidRPr="00133C85">
        <w:rPr>
          <w:rFonts w:asciiTheme="majorBidi" w:hAnsiTheme="majorBidi" w:cstheme="majorBidi"/>
          <w:sz w:val="24"/>
          <w:szCs w:val="24"/>
        </w:rPr>
        <w:t xml:space="preserve">of climate migration </w:t>
      </w:r>
      <w:r w:rsidRPr="00133C85">
        <w:rPr>
          <w:rFonts w:asciiTheme="majorBidi" w:hAnsiTheme="majorBidi" w:cstheme="majorBidi"/>
          <w:sz w:val="24"/>
          <w:szCs w:val="24"/>
        </w:rPr>
        <w:t xml:space="preserve">is </w:t>
      </w:r>
      <w:proofErr w:type="spellStart"/>
      <w:r w:rsidRPr="00133C85">
        <w:rPr>
          <w:rFonts w:asciiTheme="majorBidi" w:hAnsiTheme="majorBidi" w:cstheme="majorBidi"/>
          <w:i/>
          <w:iCs/>
          <w:sz w:val="24"/>
          <w:szCs w:val="24"/>
        </w:rPr>
        <w:t>Teitiota</w:t>
      </w:r>
      <w:proofErr w:type="spellEnd"/>
      <w:r w:rsidR="00EC7A4E">
        <w:rPr>
          <w:rFonts w:asciiTheme="majorBidi" w:hAnsiTheme="majorBidi" w:cstheme="majorBidi"/>
          <w:i/>
          <w:iCs/>
          <w:sz w:val="24"/>
          <w:szCs w:val="24"/>
        </w:rPr>
        <w:t xml:space="preserve"> v New Zealand</w:t>
      </w:r>
      <w:r w:rsidRPr="00133C85">
        <w:rPr>
          <w:rFonts w:asciiTheme="majorBidi" w:hAnsiTheme="majorBidi" w:cstheme="majorBidi"/>
          <w:sz w:val="24"/>
          <w:szCs w:val="24"/>
        </w:rPr>
        <w:t xml:space="preserve">, </w:t>
      </w:r>
      <w:r w:rsidR="00CF2F3A" w:rsidRPr="00133C85">
        <w:rPr>
          <w:rFonts w:asciiTheme="majorBidi" w:hAnsiTheme="majorBidi" w:cstheme="majorBidi"/>
          <w:sz w:val="24"/>
          <w:szCs w:val="24"/>
        </w:rPr>
        <w:t xml:space="preserve">which was </w:t>
      </w:r>
      <w:r w:rsidRPr="00133C85">
        <w:rPr>
          <w:rFonts w:asciiTheme="majorBidi" w:hAnsiTheme="majorBidi" w:cstheme="majorBidi"/>
          <w:sz w:val="24"/>
          <w:szCs w:val="24"/>
        </w:rPr>
        <w:t xml:space="preserve">decided by </w:t>
      </w:r>
      <w:r w:rsidR="00EC7A4E">
        <w:rPr>
          <w:rFonts w:asciiTheme="majorBidi" w:hAnsiTheme="majorBidi" w:cstheme="majorBidi"/>
          <w:sz w:val="24"/>
          <w:szCs w:val="24"/>
        </w:rPr>
        <w:t xml:space="preserve">the </w:t>
      </w:r>
      <w:r w:rsidR="00CF2F3A" w:rsidRPr="00133C85">
        <w:rPr>
          <w:rFonts w:asciiTheme="majorBidi" w:hAnsiTheme="majorBidi" w:cstheme="majorBidi"/>
          <w:sz w:val="24"/>
          <w:szCs w:val="24"/>
        </w:rPr>
        <w:t xml:space="preserve">UN </w:t>
      </w:r>
      <w:r w:rsidRPr="00133C85">
        <w:rPr>
          <w:rFonts w:asciiTheme="majorBidi" w:hAnsiTheme="majorBidi" w:cstheme="majorBidi"/>
          <w:sz w:val="24"/>
          <w:szCs w:val="24"/>
        </w:rPr>
        <w:t>Human Rights Committee</w:t>
      </w:r>
      <w:r w:rsidR="0083597C" w:rsidRPr="00133C85">
        <w:rPr>
          <w:rFonts w:asciiTheme="majorBidi" w:hAnsiTheme="majorBidi" w:cstheme="majorBidi"/>
          <w:sz w:val="24"/>
          <w:szCs w:val="24"/>
        </w:rPr>
        <w:t xml:space="preserve"> (HRC)</w:t>
      </w:r>
      <w:r w:rsidRPr="00133C85">
        <w:rPr>
          <w:rFonts w:asciiTheme="majorBidi" w:hAnsiTheme="majorBidi" w:cstheme="majorBidi"/>
          <w:sz w:val="24"/>
          <w:szCs w:val="24"/>
        </w:rPr>
        <w:t>.</w:t>
      </w:r>
      <w:bookmarkStart w:id="4" w:name="_Ref132536407"/>
      <w:r w:rsidRPr="00133C85">
        <w:rPr>
          <w:rStyle w:val="FootnoteReference"/>
          <w:rFonts w:asciiTheme="majorBidi" w:hAnsiTheme="majorBidi" w:cstheme="majorBidi"/>
          <w:sz w:val="24"/>
          <w:szCs w:val="24"/>
        </w:rPr>
        <w:footnoteReference w:id="30"/>
      </w:r>
      <w:bookmarkEnd w:id="4"/>
      <w:r w:rsidR="003F5B5C" w:rsidRPr="00133C85">
        <w:rPr>
          <w:rFonts w:asciiTheme="majorBidi" w:hAnsiTheme="majorBidi" w:cstheme="majorBidi"/>
          <w:sz w:val="24"/>
          <w:szCs w:val="24"/>
        </w:rPr>
        <w:t xml:space="preserve"> This case and its implications </w:t>
      </w:r>
      <w:r w:rsidR="00EC7A4E">
        <w:rPr>
          <w:rFonts w:asciiTheme="majorBidi" w:hAnsiTheme="majorBidi" w:cstheme="majorBidi"/>
          <w:sz w:val="24"/>
          <w:szCs w:val="24"/>
        </w:rPr>
        <w:t>have been widely</w:t>
      </w:r>
      <w:r w:rsidR="003F5B5C" w:rsidRPr="00133C85">
        <w:rPr>
          <w:rFonts w:asciiTheme="majorBidi" w:hAnsiTheme="majorBidi" w:cstheme="majorBidi"/>
          <w:sz w:val="24"/>
          <w:szCs w:val="24"/>
        </w:rPr>
        <w:t xml:space="preserve"> discussed</w:t>
      </w:r>
      <w:bookmarkStart w:id="5" w:name="_Ref132537663"/>
      <w:r w:rsidR="003F5B5C" w:rsidRPr="00133C85">
        <w:rPr>
          <w:rStyle w:val="FootnoteReference"/>
          <w:rFonts w:asciiTheme="majorBidi" w:hAnsiTheme="majorBidi" w:cstheme="majorBidi"/>
          <w:sz w:val="24"/>
          <w:szCs w:val="24"/>
        </w:rPr>
        <w:footnoteReference w:id="31"/>
      </w:r>
      <w:bookmarkEnd w:id="5"/>
      <w:r w:rsidR="003F5B5C" w:rsidRPr="00133C85">
        <w:rPr>
          <w:rFonts w:asciiTheme="majorBidi" w:hAnsiTheme="majorBidi" w:cstheme="majorBidi"/>
          <w:sz w:val="24"/>
          <w:szCs w:val="24"/>
        </w:rPr>
        <w:t xml:space="preserve"> – including </w:t>
      </w:r>
      <w:r w:rsidR="00EC7A4E">
        <w:rPr>
          <w:rFonts w:asciiTheme="majorBidi" w:hAnsiTheme="majorBidi" w:cstheme="majorBidi"/>
          <w:sz w:val="24"/>
          <w:szCs w:val="24"/>
        </w:rPr>
        <w:t>by us</w:t>
      </w:r>
      <w:r w:rsidR="003F5B5C" w:rsidRPr="00133C85">
        <w:rPr>
          <w:rStyle w:val="FootnoteReference"/>
          <w:rFonts w:asciiTheme="majorBidi" w:hAnsiTheme="majorBidi" w:cstheme="majorBidi"/>
          <w:sz w:val="24"/>
          <w:szCs w:val="24"/>
        </w:rPr>
        <w:footnoteReference w:id="32"/>
      </w:r>
      <w:r w:rsidR="003F5B5C" w:rsidRPr="00133C85">
        <w:rPr>
          <w:rFonts w:asciiTheme="majorBidi" w:hAnsiTheme="majorBidi" w:cstheme="majorBidi"/>
          <w:sz w:val="24"/>
          <w:szCs w:val="24"/>
        </w:rPr>
        <w:t xml:space="preserve"> – and therefore we will address it only briefly</w:t>
      </w:r>
      <w:r w:rsidR="00EC7A4E">
        <w:rPr>
          <w:rFonts w:asciiTheme="majorBidi" w:hAnsiTheme="majorBidi" w:cstheme="majorBidi"/>
          <w:sz w:val="24"/>
          <w:szCs w:val="24"/>
        </w:rPr>
        <w:t xml:space="preserve"> here</w:t>
      </w:r>
      <w:r w:rsidR="003F5B5C" w:rsidRPr="00133C85">
        <w:rPr>
          <w:rFonts w:asciiTheme="majorBidi" w:hAnsiTheme="majorBidi" w:cstheme="majorBidi"/>
          <w:sz w:val="24"/>
          <w:szCs w:val="24"/>
        </w:rPr>
        <w:t>.</w:t>
      </w:r>
      <w:r w:rsidR="008A14E1" w:rsidRPr="00133C85">
        <w:rPr>
          <w:rFonts w:asciiTheme="majorBidi" w:hAnsiTheme="majorBidi" w:cstheme="majorBidi"/>
          <w:sz w:val="24"/>
          <w:szCs w:val="24"/>
        </w:rPr>
        <w:t xml:space="preserve"> This case concern</w:t>
      </w:r>
      <w:r w:rsidR="00CF2F3A" w:rsidRPr="00133C85">
        <w:rPr>
          <w:rFonts w:asciiTheme="majorBidi" w:hAnsiTheme="majorBidi" w:cstheme="majorBidi"/>
          <w:sz w:val="24"/>
          <w:szCs w:val="24"/>
        </w:rPr>
        <w:t>ed</w:t>
      </w:r>
      <w:r w:rsidR="008A14E1" w:rsidRPr="00133C85">
        <w:rPr>
          <w:rFonts w:asciiTheme="majorBidi" w:hAnsiTheme="majorBidi" w:cstheme="majorBidi"/>
          <w:sz w:val="24"/>
          <w:szCs w:val="24"/>
        </w:rPr>
        <w:t xml:space="preserve"> </w:t>
      </w:r>
      <w:r w:rsidR="008A14E1" w:rsidRPr="00133C85">
        <w:rPr>
          <w:rFonts w:asciiTheme="majorBidi" w:hAnsiTheme="majorBidi" w:cstheme="majorBidi"/>
          <w:i/>
          <w:iCs/>
          <w:sz w:val="24"/>
          <w:szCs w:val="24"/>
        </w:rPr>
        <w:t xml:space="preserve">inter alia </w:t>
      </w:r>
      <w:r w:rsidR="008A14E1" w:rsidRPr="00133C85">
        <w:rPr>
          <w:rFonts w:asciiTheme="majorBidi" w:hAnsiTheme="majorBidi" w:cstheme="majorBidi"/>
          <w:sz w:val="24"/>
          <w:szCs w:val="24"/>
        </w:rPr>
        <w:t>the question of whether</w:t>
      </w:r>
      <w:r w:rsidR="00EC7A4E">
        <w:rPr>
          <w:rFonts w:asciiTheme="majorBidi" w:hAnsiTheme="majorBidi" w:cstheme="majorBidi"/>
          <w:sz w:val="24"/>
          <w:szCs w:val="24"/>
        </w:rPr>
        <w:t xml:space="preserve"> </w:t>
      </w:r>
      <w:r w:rsidR="00CF2F3A" w:rsidRPr="00133C85">
        <w:rPr>
          <w:rFonts w:asciiTheme="majorBidi" w:hAnsiTheme="majorBidi" w:cstheme="majorBidi"/>
          <w:sz w:val="24"/>
          <w:szCs w:val="24"/>
        </w:rPr>
        <w:t>conditions</w:t>
      </w:r>
      <w:r w:rsidR="00EC7A4E">
        <w:rPr>
          <w:rFonts w:asciiTheme="majorBidi" w:hAnsiTheme="majorBidi" w:cstheme="majorBidi"/>
          <w:sz w:val="24"/>
          <w:szCs w:val="24"/>
        </w:rPr>
        <w:t xml:space="preserve"> of life</w:t>
      </w:r>
      <w:r w:rsidR="008A14E1" w:rsidRPr="00133C85">
        <w:rPr>
          <w:rFonts w:asciiTheme="majorBidi" w:hAnsiTheme="majorBidi" w:cstheme="majorBidi"/>
          <w:sz w:val="24"/>
          <w:szCs w:val="24"/>
        </w:rPr>
        <w:t xml:space="preserve"> in Kiribati – a </w:t>
      </w:r>
      <w:r w:rsidR="00CF2F3A" w:rsidRPr="00133C85">
        <w:rPr>
          <w:rFonts w:asciiTheme="majorBidi" w:hAnsiTheme="majorBidi" w:cstheme="majorBidi"/>
          <w:sz w:val="24"/>
          <w:szCs w:val="24"/>
        </w:rPr>
        <w:t>P</w:t>
      </w:r>
      <w:r w:rsidR="008A14E1" w:rsidRPr="00133C85">
        <w:rPr>
          <w:rFonts w:asciiTheme="majorBidi" w:hAnsiTheme="majorBidi" w:cstheme="majorBidi"/>
          <w:sz w:val="24"/>
          <w:szCs w:val="24"/>
        </w:rPr>
        <w:t xml:space="preserve">acific Island Nation suffering </w:t>
      </w:r>
      <w:r w:rsidR="00CF2F3A" w:rsidRPr="00133C85">
        <w:rPr>
          <w:rFonts w:asciiTheme="majorBidi" w:hAnsiTheme="majorBidi" w:cstheme="majorBidi"/>
          <w:sz w:val="24"/>
          <w:szCs w:val="24"/>
        </w:rPr>
        <w:t xml:space="preserve">from the </w:t>
      </w:r>
      <w:r w:rsidR="008A14E1" w:rsidRPr="00133C85">
        <w:rPr>
          <w:rFonts w:asciiTheme="majorBidi" w:hAnsiTheme="majorBidi" w:cstheme="majorBidi"/>
          <w:sz w:val="24"/>
          <w:szCs w:val="24"/>
        </w:rPr>
        <w:t xml:space="preserve">dramatic impacts of climate change – </w:t>
      </w:r>
      <w:r w:rsidR="00CF2F3A" w:rsidRPr="00133C85">
        <w:rPr>
          <w:rFonts w:asciiTheme="majorBidi" w:hAnsiTheme="majorBidi" w:cstheme="majorBidi"/>
          <w:sz w:val="24"/>
          <w:szCs w:val="24"/>
        </w:rPr>
        <w:t>are so difficult as to threat</w:t>
      </w:r>
      <w:r w:rsidR="00EC7A4E">
        <w:rPr>
          <w:rFonts w:asciiTheme="majorBidi" w:hAnsiTheme="majorBidi" w:cstheme="majorBidi"/>
          <w:sz w:val="24"/>
          <w:szCs w:val="24"/>
        </w:rPr>
        <w:t>en</w:t>
      </w:r>
      <w:r w:rsidR="00CF2F3A" w:rsidRPr="00133C85">
        <w:rPr>
          <w:rFonts w:asciiTheme="majorBidi" w:hAnsiTheme="majorBidi" w:cstheme="majorBidi"/>
          <w:sz w:val="24"/>
          <w:szCs w:val="24"/>
        </w:rPr>
        <w:t xml:space="preserve"> the</w:t>
      </w:r>
      <w:r w:rsidR="008A14E1" w:rsidRPr="00133C85">
        <w:rPr>
          <w:rFonts w:asciiTheme="majorBidi" w:hAnsiTheme="majorBidi" w:cstheme="majorBidi"/>
          <w:sz w:val="24"/>
          <w:szCs w:val="24"/>
        </w:rPr>
        <w:t xml:space="preserve"> petitioner’s right to life </w:t>
      </w:r>
      <w:r w:rsidR="00F34CEC" w:rsidRPr="00133C85">
        <w:rPr>
          <w:rFonts w:asciiTheme="majorBidi" w:hAnsiTheme="majorBidi" w:cstheme="majorBidi"/>
          <w:sz w:val="24"/>
          <w:szCs w:val="24"/>
        </w:rPr>
        <w:t xml:space="preserve">with dignity, </w:t>
      </w:r>
      <w:r w:rsidR="008A14E1" w:rsidRPr="00133C85">
        <w:rPr>
          <w:rFonts w:asciiTheme="majorBidi" w:hAnsiTheme="majorBidi" w:cstheme="majorBidi"/>
          <w:sz w:val="24"/>
          <w:szCs w:val="24"/>
        </w:rPr>
        <w:t>under the International Covenant on Civil and Political Rights (ICCPR). Kiribati</w:t>
      </w:r>
      <w:r w:rsidR="00F34CEC" w:rsidRPr="00133C85">
        <w:rPr>
          <w:rFonts w:asciiTheme="majorBidi" w:hAnsiTheme="majorBidi" w:cstheme="majorBidi"/>
          <w:sz w:val="24"/>
          <w:szCs w:val="24"/>
        </w:rPr>
        <w:t>’s</w:t>
      </w:r>
      <w:r w:rsidR="008A14E1" w:rsidRPr="00133C85">
        <w:rPr>
          <w:rFonts w:asciiTheme="majorBidi" w:hAnsiTheme="majorBidi" w:cstheme="majorBidi"/>
          <w:sz w:val="24"/>
          <w:szCs w:val="24"/>
        </w:rPr>
        <w:t xml:space="preserve"> islands are low lying</w:t>
      </w:r>
      <w:r w:rsidR="00DA132D" w:rsidRPr="00133C85">
        <w:rPr>
          <w:rFonts w:asciiTheme="majorBidi" w:hAnsiTheme="majorBidi" w:cstheme="majorBidi"/>
          <w:sz w:val="24"/>
          <w:szCs w:val="24"/>
        </w:rPr>
        <w:t xml:space="preserve"> (</w:t>
      </w:r>
      <w:proofErr w:type="gramStart"/>
      <w:r w:rsidR="00DA132D" w:rsidRPr="00133C85">
        <w:rPr>
          <w:rFonts w:asciiTheme="majorBidi" w:hAnsiTheme="majorBidi" w:cstheme="majorBidi"/>
          <w:sz w:val="24"/>
          <w:szCs w:val="24"/>
        </w:rPr>
        <w:t>the majority of</w:t>
      </w:r>
      <w:proofErr w:type="gramEnd"/>
      <w:r w:rsidR="00DA132D" w:rsidRPr="00133C85">
        <w:rPr>
          <w:rFonts w:asciiTheme="majorBidi" w:hAnsiTheme="majorBidi" w:cstheme="majorBidi"/>
          <w:sz w:val="24"/>
          <w:szCs w:val="24"/>
        </w:rPr>
        <w:t xml:space="preserve"> </w:t>
      </w:r>
      <w:r w:rsidR="00EC7A4E">
        <w:rPr>
          <w:rFonts w:asciiTheme="majorBidi" w:hAnsiTheme="majorBidi" w:cstheme="majorBidi"/>
          <w:sz w:val="24"/>
          <w:szCs w:val="24"/>
        </w:rPr>
        <w:t>its</w:t>
      </w:r>
      <w:r w:rsidR="00DA132D" w:rsidRPr="00133C85">
        <w:rPr>
          <w:rFonts w:asciiTheme="majorBidi" w:hAnsiTheme="majorBidi" w:cstheme="majorBidi"/>
          <w:sz w:val="24"/>
          <w:szCs w:val="24"/>
        </w:rPr>
        <w:t xml:space="preserve"> territory is less than 4 meters</w:t>
      </w:r>
      <w:r w:rsidR="00EC7A4E">
        <w:rPr>
          <w:rFonts w:asciiTheme="majorBidi" w:hAnsiTheme="majorBidi" w:cstheme="majorBidi"/>
          <w:sz w:val="24"/>
          <w:szCs w:val="24"/>
        </w:rPr>
        <w:t xml:space="preserve"> above sea level</w:t>
      </w:r>
      <w:r w:rsidR="00DA132D" w:rsidRPr="00133C85">
        <w:rPr>
          <w:rFonts w:asciiTheme="majorBidi" w:hAnsiTheme="majorBidi" w:cstheme="majorBidi"/>
          <w:sz w:val="24"/>
          <w:szCs w:val="24"/>
        </w:rPr>
        <w:t>)</w:t>
      </w:r>
      <w:r w:rsidR="008A14E1" w:rsidRPr="00133C85">
        <w:rPr>
          <w:rFonts w:asciiTheme="majorBidi" w:hAnsiTheme="majorBidi" w:cstheme="majorBidi"/>
          <w:sz w:val="24"/>
          <w:szCs w:val="24"/>
        </w:rPr>
        <w:t>, over-crowded</w:t>
      </w:r>
      <w:r w:rsidR="00DA132D" w:rsidRPr="00133C85">
        <w:rPr>
          <w:rFonts w:asciiTheme="majorBidi" w:hAnsiTheme="majorBidi" w:cstheme="majorBidi"/>
          <w:sz w:val="24"/>
          <w:szCs w:val="24"/>
        </w:rPr>
        <w:t xml:space="preserve"> (a population density </w:t>
      </w:r>
      <w:r w:rsidR="00497365">
        <w:rPr>
          <w:rFonts w:asciiTheme="majorBidi" w:hAnsiTheme="majorBidi" w:cstheme="majorBidi"/>
          <w:sz w:val="24"/>
          <w:szCs w:val="24"/>
        </w:rPr>
        <w:t>‘</w:t>
      </w:r>
      <w:r w:rsidR="00DA132D" w:rsidRPr="00133C85">
        <w:rPr>
          <w:rFonts w:asciiTheme="majorBidi" w:hAnsiTheme="majorBidi" w:cstheme="majorBidi"/>
          <w:sz w:val="24"/>
          <w:szCs w:val="24"/>
        </w:rPr>
        <w:t>similar to Tokyo or Hong Kong’</w:t>
      </w:r>
      <w:bookmarkStart w:id="6" w:name="_Ref126836759"/>
      <w:r w:rsidR="00DA132D" w:rsidRPr="00133C85">
        <w:rPr>
          <w:rStyle w:val="FootnoteReference"/>
          <w:rFonts w:asciiTheme="majorBidi" w:hAnsiTheme="majorBidi" w:cstheme="majorBidi"/>
          <w:sz w:val="24"/>
          <w:szCs w:val="24"/>
        </w:rPr>
        <w:footnoteReference w:id="33"/>
      </w:r>
      <w:bookmarkEnd w:id="6"/>
      <w:r w:rsidR="00DA132D" w:rsidRPr="00133C85">
        <w:rPr>
          <w:rFonts w:asciiTheme="majorBidi" w:hAnsiTheme="majorBidi" w:cstheme="majorBidi"/>
          <w:sz w:val="24"/>
          <w:szCs w:val="24"/>
        </w:rPr>
        <w:t>)</w:t>
      </w:r>
      <w:r w:rsidR="008A14E1" w:rsidRPr="00133C85">
        <w:rPr>
          <w:rFonts w:asciiTheme="majorBidi" w:hAnsiTheme="majorBidi" w:cstheme="majorBidi"/>
          <w:sz w:val="24"/>
          <w:szCs w:val="24"/>
        </w:rPr>
        <w:t>, and narrow</w:t>
      </w:r>
      <w:r w:rsidR="00F34CEC" w:rsidRPr="00133C85">
        <w:rPr>
          <w:rFonts w:asciiTheme="majorBidi" w:hAnsiTheme="majorBidi" w:cstheme="majorBidi"/>
          <w:sz w:val="24"/>
          <w:szCs w:val="24"/>
        </w:rPr>
        <w:t xml:space="preserve">. As such, they </w:t>
      </w:r>
      <w:r w:rsidR="008A14E1" w:rsidRPr="00133C85">
        <w:rPr>
          <w:rFonts w:asciiTheme="majorBidi" w:hAnsiTheme="majorBidi" w:cstheme="majorBidi"/>
          <w:sz w:val="24"/>
          <w:szCs w:val="24"/>
        </w:rPr>
        <w:t xml:space="preserve">are highly exposed to impacts such as rising sea levels, salinisation, storms, flooding and more. </w:t>
      </w:r>
      <w:r w:rsidR="00DA132D" w:rsidRPr="00133C85">
        <w:rPr>
          <w:rFonts w:asciiTheme="majorBidi" w:hAnsiTheme="majorBidi" w:cstheme="majorBidi"/>
          <w:sz w:val="24"/>
          <w:szCs w:val="24"/>
        </w:rPr>
        <w:t>The claimant in this case describe</w:t>
      </w:r>
      <w:r w:rsidR="00EC7A4E">
        <w:rPr>
          <w:rFonts w:asciiTheme="majorBidi" w:hAnsiTheme="majorBidi" w:cstheme="majorBidi"/>
          <w:sz w:val="24"/>
          <w:szCs w:val="24"/>
        </w:rPr>
        <w:t>d</w:t>
      </w:r>
      <w:r w:rsidR="00DA132D" w:rsidRPr="00133C85">
        <w:rPr>
          <w:rFonts w:asciiTheme="majorBidi" w:hAnsiTheme="majorBidi" w:cstheme="majorBidi"/>
          <w:sz w:val="24"/>
          <w:szCs w:val="24"/>
        </w:rPr>
        <w:t xml:space="preserve"> </w:t>
      </w:r>
      <w:r w:rsidR="00E020C2" w:rsidRPr="00133C85">
        <w:rPr>
          <w:rFonts w:asciiTheme="majorBidi" w:hAnsiTheme="majorBidi" w:cstheme="majorBidi"/>
          <w:sz w:val="24"/>
          <w:szCs w:val="24"/>
        </w:rPr>
        <w:t xml:space="preserve">severe </w:t>
      </w:r>
      <w:r w:rsidR="00DA132D" w:rsidRPr="00133C85">
        <w:rPr>
          <w:rFonts w:asciiTheme="majorBidi" w:hAnsiTheme="majorBidi" w:cstheme="majorBidi"/>
          <w:sz w:val="24"/>
          <w:szCs w:val="24"/>
        </w:rPr>
        <w:t>health issues</w:t>
      </w:r>
      <w:r w:rsidR="00F34CEC" w:rsidRPr="00133C85">
        <w:rPr>
          <w:rFonts w:asciiTheme="majorBidi" w:hAnsiTheme="majorBidi" w:cstheme="majorBidi"/>
          <w:sz w:val="24"/>
          <w:szCs w:val="24"/>
        </w:rPr>
        <w:t xml:space="preserve"> and violence</w:t>
      </w:r>
      <w:r w:rsidR="00DA132D" w:rsidRPr="00133C85">
        <w:rPr>
          <w:rFonts w:asciiTheme="majorBidi" w:hAnsiTheme="majorBidi" w:cstheme="majorBidi"/>
          <w:sz w:val="24"/>
          <w:szCs w:val="24"/>
        </w:rPr>
        <w:t xml:space="preserve"> that result</w:t>
      </w:r>
      <w:r w:rsidR="00EC7A4E">
        <w:rPr>
          <w:rFonts w:asciiTheme="majorBidi" w:hAnsiTheme="majorBidi" w:cstheme="majorBidi"/>
          <w:sz w:val="24"/>
          <w:szCs w:val="24"/>
        </w:rPr>
        <w:t>ing from these conditions</w:t>
      </w:r>
      <w:r w:rsidR="00DA132D" w:rsidRPr="00133C85">
        <w:rPr>
          <w:rFonts w:asciiTheme="majorBidi" w:hAnsiTheme="majorBidi" w:cstheme="majorBidi"/>
          <w:sz w:val="24"/>
          <w:szCs w:val="24"/>
        </w:rPr>
        <w:t>.</w:t>
      </w:r>
      <w:r w:rsidR="00DA132D" w:rsidRPr="00133C85">
        <w:rPr>
          <w:rStyle w:val="FootnoteReference"/>
          <w:rFonts w:asciiTheme="majorBidi" w:hAnsiTheme="majorBidi" w:cstheme="majorBidi"/>
          <w:sz w:val="24"/>
          <w:szCs w:val="24"/>
        </w:rPr>
        <w:footnoteReference w:id="34"/>
      </w:r>
      <w:r w:rsidR="00277A65" w:rsidRPr="00133C85">
        <w:rPr>
          <w:rFonts w:asciiTheme="majorBidi" w:hAnsiTheme="majorBidi" w:cstheme="majorBidi"/>
          <w:sz w:val="24"/>
          <w:szCs w:val="24"/>
        </w:rPr>
        <w:t xml:space="preserve"> </w:t>
      </w:r>
    </w:p>
    <w:p w14:paraId="6C128867" w14:textId="6CCC42A8" w:rsidR="0083597C" w:rsidRPr="00133C85" w:rsidRDefault="0083597C"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Despite rejecting the case, the HRC</w:t>
      </w:r>
      <w:r w:rsidR="004112D6" w:rsidRPr="00133C85">
        <w:rPr>
          <w:rFonts w:asciiTheme="majorBidi" w:hAnsiTheme="majorBidi" w:cstheme="majorBidi"/>
          <w:sz w:val="24"/>
          <w:szCs w:val="24"/>
        </w:rPr>
        <w:t>’s</w:t>
      </w:r>
      <w:r w:rsidRPr="00133C85">
        <w:rPr>
          <w:rFonts w:asciiTheme="majorBidi" w:hAnsiTheme="majorBidi" w:cstheme="majorBidi"/>
          <w:sz w:val="24"/>
          <w:szCs w:val="24"/>
        </w:rPr>
        <w:t xml:space="preserve"> decision </w:t>
      </w:r>
      <w:r w:rsidR="00305B82">
        <w:rPr>
          <w:rFonts w:asciiTheme="majorBidi" w:hAnsiTheme="majorBidi" w:cstheme="majorBidi"/>
          <w:sz w:val="24"/>
          <w:szCs w:val="24"/>
        </w:rPr>
        <w:t>has been</w:t>
      </w:r>
      <w:r w:rsidRPr="00133C85">
        <w:rPr>
          <w:rFonts w:asciiTheme="majorBidi" w:hAnsiTheme="majorBidi" w:cstheme="majorBidi"/>
          <w:sz w:val="24"/>
          <w:szCs w:val="24"/>
        </w:rPr>
        <w:t xml:space="preserve"> celebrated </w:t>
      </w:r>
      <w:r w:rsidR="00305B82">
        <w:rPr>
          <w:rFonts w:asciiTheme="majorBidi" w:hAnsiTheme="majorBidi" w:cstheme="majorBidi"/>
          <w:sz w:val="24"/>
          <w:szCs w:val="24"/>
        </w:rPr>
        <w:t>for</w:t>
      </w:r>
      <w:r w:rsidRPr="00133C85">
        <w:rPr>
          <w:rFonts w:asciiTheme="majorBidi" w:hAnsiTheme="majorBidi" w:cstheme="majorBidi"/>
          <w:sz w:val="24"/>
          <w:szCs w:val="24"/>
        </w:rPr>
        <w:t xml:space="preserve"> developing the </w:t>
      </w:r>
      <w:r w:rsidR="00313F42" w:rsidRPr="00133C85">
        <w:rPr>
          <w:rFonts w:asciiTheme="majorBidi" w:hAnsiTheme="majorBidi" w:cstheme="majorBidi"/>
          <w:sz w:val="24"/>
          <w:szCs w:val="24"/>
        </w:rPr>
        <w:t xml:space="preserve">human rights framework vis-à-vis climate migration. HRC member Duncan </w:t>
      </w:r>
      <w:proofErr w:type="spellStart"/>
      <w:r w:rsidR="00313F42" w:rsidRPr="00133C85">
        <w:rPr>
          <w:rFonts w:asciiTheme="majorBidi" w:hAnsiTheme="majorBidi" w:cstheme="majorBidi"/>
          <w:sz w:val="24"/>
          <w:szCs w:val="24"/>
        </w:rPr>
        <w:t>Muhumuza</w:t>
      </w:r>
      <w:proofErr w:type="spellEnd"/>
      <w:r w:rsidR="00313F42" w:rsidRPr="00133C85">
        <w:rPr>
          <w:rFonts w:asciiTheme="majorBidi" w:hAnsiTheme="majorBidi" w:cstheme="majorBidi"/>
          <w:sz w:val="24"/>
          <w:szCs w:val="24"/>
        </w:rPr>
        <w:t xml:space="preserve"> </w:t>
      </w:r>
      <w:proofErr w:type="spellStart"/>
      <w:r w:rsidR="00313F42" w:rsidRPr="00133C85">
        <w:rPr>
          <w:rFonts w:asciiTheme="majorBidi" w:hAnsiTheme="majorBidi" w:cstheme="majorBidi"/>
          <w:sz w:val="24"/>
          <w:szCs w:val="24"/>
        </w:rPr>
        <w:t>Laki</w:t>
      </w:r>
      <w:proofErr w:type="spellEnd"/>
      <w:r w:rsidR="00313F42" w:rsidRPr="00133C85">
        <w:rPr>
          <w:rFonts w:asciiTheme="majorBidi" w:hAnsiTheme="majorBidi" w:cstheme="majorBidi"/>
          <w:sz w:val="24"/>
          <w:szCs w:val="24"/>
        </w:rPr>
        <w:t xml:space="preserve"> has summarised the importance of this decision:</w:t>
      </w:r>
      <w:r w:rsidR="00313F42" w:rsidRPr="00133C85">
        <w:rPr>
          <w:rStyle w:val="FootnoteReference"/>
          <w:rFonts w:asciiTheme="majorBidi" w:hAnsiTheme="majorBidi" w:cstheme="majorBidi"/>
          <w:sz w:val="24"/>
          <w:szCs w:val="24"/>
        </w:rPr>
        <w:footnoteReference w:id="35"/>
      </w:r>
    </w:p>
    <w:p w14:paraId="781586A9" w14:textId="40852152" w:rsidR="00313F42" w:rsidRPr="00133C85" w:rsidRDefault="00313F42"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‘The decision affirms that treaty bodies and human rights judicial institutions more broadly, can be effective avenues for litigation on climate change issues and environmental matters. With an expansive approach to the protection of life—the focus on a life with dignity, the Committee presents the possibility that climate change may lead to the displacement of individuals and trigger the obligation of </w:t>
      </w:r>
      <w:r w:rsidRPr="00133C85">
        <w:rPr>
          <w:rFonts w:asciiTheme="majorBidi" w:hAnsiTheme="majorBidi" w:cstheme="majorBidi"/>
          <w:i/>
          <w:iCs/>
          <w:sz w:val="24"/>
          <w:szCs w:val="24"/>
        </w:rPr>
        <w:t>non-refoulement</w:t>
      </w:r>
      <w:r w:rsidRPr="00133C85">
        <w:rPr>
          <w:rFonts w:asciiTheme="majorBidi" w:hAnsiTheme="majorBidi" w:cstheme="majorBidi"/>
          <w:sz w:val="24"/>
          <w:szCs w:val="24"/>
        </w:rPr>
        <w:t>, even where the anticipated extreme risk (like the risk of an entire country becoming submerged under water) has not yet been realized.’</w:t>
      </w:r>
    </w:p>
    <w:p w14:paraId="310ABB7A" w14:textId="73262B6D" w:rsidR="008C1FCE" w:rsidRPr="00133C85" w:rsidRDefault="001C4F07"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Indeed</w:t>
      </w:r>
      <w:r w:rsidR="00837A6E" w:rsidRPr="00133C85">
        <w:rPr>
          <w:rFonts w:asciiTheme="majorBidi" w:hAnsiTheme="majorBidi" w:cstheme="majorBidi"/>
          <w:sz w:val="24"/>
          <w:szCs w:val="24"/>
        </w:rPr>
        <w:t>,</w:t>
      </w:r>
      <w:r w:rsidRPr="00133C85">
        <w:rPr>
          <w:rFonts w:asciiTheme="majorBidi" w:hAnsiTheme="majorBidi" w:cstheme="majorBidi"/>
          <w:sz w:val="24"/>
          <w:szCs w:val="24"/>
        </w:rPr>
        <w:t xml:space="preserve"> the HRC has placed </w:t>
      </w:r>
      <w:r w:rsidR="00837A6E" w:rsidRPr="00133C85">
        <w:rPr>
          <w:rFonts w:asciiTheme="majorBidi" w:hAnsiTheme="majorBidi" w:cstheme="majorBidi"/>
          <w:sz w:val="24"/>
          <w:szCs w:val="24"/>
        </w:rPr>
        <w:t xml:space="preserve">some </w:t>
      </w:r>
      <w:r w:rsidRPr="00133C85">
        <w:rPr>
          <w:rFonts w:asciiTheme="majorBidi" w:hAnsiTheme="majorBidi" w:cstheme="majorBidi"/>
          <w:sz w:val="24"/>
          <w:szCs w:val="24"/>
        </w:rPr>
        <w:t>important foundation</w:t>
      </w:r>
      <w:r w:rsidR="00D51418" w:rsidRPr="00133C85">
        <w:rPr>
          <w:rFonts w:asciiTheme="majorBidi" w:hAnsiTheme="majorBidi" w:cstheme="majorBidi"/>
          <w:sz w:val="24"/>
          <w:szCs w:val="24"/>
        </w:rPr>
        <w:t>s. It</w:t>
      </w:r>
      <w:r w:rsidRPr="00133C85">
        <w:rPr>
          <w:rFonts w:asciiTheme="majorBidi" w:hAnsiTheme="majorBidi" w:cstheme="majorBidi"/>
          <w:sz w:val="24"/>
          <w:szCs w:val="24"/>
        </w:rPr>
        <w:t xml:space="preserve"> recognis</w:t>
      </w:r>
      <w:r w:rsidR="00D51418" w:rsidRPr="00133C85">
        <w:rPr>
          <w:rFonts w:asciiTheme="majorBidi" w:hAnsiTheme="majorBidi" w:cstheme="majorBidi"/>
          <w:sz w:val="24"/>
          <w:szCs w:val="24"/>
        </w:rPr>
        <w:t>ed</w:t>
      </w:r>
      <w:r w:rsidRPr="00133C85">
        <w:rPr>
          <w:rFonts w:asciiTheme="majorBidi" w:hAnsiTheme="majorBidi" w:cstheme="majorBidi"/>
          <w:sz w:val="24"/>
          <w:szCs w:val="24"/>
        </w:rPr>
        <w:t xml:space="preserve"> th</w:t>
      </w:r>
      <w:r w:rsidR="00D51418" w:rsidRPr="00133C85">
        <w:rPr>
          <w:rFonts w:asciiTheme="majorBidi" w:hAnsiTheme="majorBidi" w:cstheme="majorBidi"/>
          <w:sz w:val="24"/>
          <w:szCs w:val="24"/>
        </w:rPr>
        <w:t>at,</w:t>
      </w:r>
      <w:r w:rsidRPr="00133C85">
        <w:rPr>
          <w:rFonts w:asciiTheme="majorBidi" w:hAnsiTheme="majorBidi" w:cstheme="majorBidi"/>
          <w:sz w:val="24"/>
          <w:szCs w:val="24"/>
        </w:rPr>
        <w:t xml:space="preserve"> potential</w:t>
      </w:r>
      <w:r w:rsidR="00D51418" w:rsidRPr="00133C85">
        <w:rPr>
          <w:rFonts w:asciiTheme="majorBidi" w:hAnsiTheme="majorBidi" w:cstheme="majorBidi"/>
          <w:sz w:val="24"/>
          <w:szCs w:val="24"/>
        </w:rPr>
        <w:t>ly,</w:t>
      </w:r>
      <w:r w:rsidRPr="00133C85">
        <w:rPr>
          <w:rFonts w:asciiTheme="majorBidi" w:hAnsiTheme="majorBidi" w:cstheme="majorBidi"/>
          <w:sz w:val="24"/>
          <w:szCs w:val="24"/>
        </w:rPr>
        <w:t xml:space="preserve"> future claims </w:t>
      </w:r>
      <w:r w:rsidR="001E3B06">
        <w:rPr>
          <w:rFonts w:asciiTheme="majorBidi" w:hAnsiTheme="majorBidi" w:cstheme="majorBidi"/>
          <w:sz w:val="24"/>
          <w:szCs w:val="24"/>
        </w:rPr>
        <w:t>by</w:t>
      </w:r>
      <w:r w:rsidRPr="00133C85">
        <w:rPr>
          <w:rFonts w:asciiTheme="majorBidi" w:hAnsiTheme="majorBidi" w:cstheme="majorBidi"/>
          <w:sz w:val="24"/>
          <w:szCs w:val="24"/>
        </w:rPr>
        <w:t xml:space="preserve"> those affected by climate change, in which the threat to life will be more imminent than it was in the current case</w:t>
      </w:r>
      <w:r w:rsidR="00EC39C7" w:rsidRPr="00133C85">
        <w:rPr>
          <w:rFonts w:asciiTheme="majorBidi" w:hAnsiTheme="majorBidi" w:cstheme="majorBidi"/>
          <w:sz w:val="24"/>
          <w:szCs w:val="24"/>
        </w:rPr>
        <w:t xml:space="preserve">, </w:t>
      </w:r>
      <w:r w:rsidR="00D51418" w:rsidRPr="00133C85">
        <w:rPr>
          <w:rFonts w:asciiTheme="majorBidi" w:hAnsiTheme="majorBidi" w:cstheme="majorBidi"/>
          <w:sz w:val="24"/>
          <w:szCs w:val="24"/>
        </w:rPr>
        <w:t>could be accepted</w:t>
      </w:r>
      <w:r w:rsidR="00EC39C7" w:rsidRPr="00133C85">
        <w:rPr>
          <w:rFonts w:asciiTheme="majorBidi" w:hAnsiTheme="majorBidi" w:cstheme="majorBidi"/>
          <w:sz w:val="24"/>
          <w:szCs w:val="24"/>
        </w:rPr>
        <w:t xml:space="preserve">. </w:t>
      </w:r>
      <w:r w:rsidR="006E6DD7" w:rsidRPr="00133C85">
        <w:rPr>
          <w:rFonts w:asciiTheme="majorBidi" w:hAnsiTheme="majorBidi" w:cstheme="majorBidi"/>
          <w:sz w:val="24"/>
          <w:szCs w:val="24"/>
        </w:rPr>
        <w:t xml:space="preserve">Importantly, the HRC focus on the right to life </w:t>
      </w:r>
      <w:r w:rsidR="006E6DD7" w:rsidRPr="00133C85">
        <w:rPr>
          <w:rFonts w:asciiTheme="majorBidi" w:hAnsiTheme="majorBidi" w:cstheme="majorBidi"/>
          <w:i/>
          <w:iCs/>
          <w:sz w:val="24"/>
          <w:szCs w:val="24"/>
        </w:rPr>
        <w:t xml:space="preserve">with dignity </w:t>
      </w:r>
      <w:r w:rsidR="006E6DD7" w:rsidRPr="00133C85">
        <w:rPr>
          <w:rFonts w:asciiTheme="majorBidi" w:hAnsiTheme="majorBidi" w:cstheme="majorBidi"/>
          <w:sz w:val="24"/>
          <w:szCs w:val="24"/>
        </w:rPr>
        <w:t xml:space="preserve">(a lower threshold than life threatening situations) </w:t>
      </w:r>
      <w:r w:rsidR="00837A6E" w:rsidRPr="00133C85">
        <w:rPr>
          <w:rFonts w:asciiTheme="majorBidi" w:hAnsiTheme="majorBidi" w:cstheme="majorBidi"/>
          <w:sz w:val="24"/>
          <w:szCs w:val="24"/>
        </w:rPr>
        <w:t>will facilitate similar</w:t>
      </w:r>
      <w:r w:rsidR="006E6DD7" w:rsidRPr="00133C85">
        <w:rPr>
          <w:rFonts w:asciiTheme="majorBidi" w:hAnsiTheme="majorBidi" w:cstheme="majorBidi"/>
          <w:sz w:val="24"/>
          <w:szCs w:val="24"/>
        </w:rPr>
        <w:t xml:space="preserve"> future </w:t>
      </w:r>
      <w:r w:rsidR="006E6DD7" w:rsidRPr="00133C85">
        <w:rPr>
          <w:rFonts w:asciiTheme="majorBidi" w:hAnsiTheme="majorBidi" w:cstheme="majorBidi"/>
          <w:sz w:val="24"/>
          <w:szCs w:val="24"/>
        </w:rPr>
        <w:lastRenderedPageBreak/>
        <w:t xml:space="preserve">claims as it does not require claimants to wait until their islands are entirely submerged. </w:t>
      </w:r>
      <w:r w:rsidR="00EC39C7" w:rsidRPr="00133C85">
        <w:rPr>
          <w:rFonts w:asciiTheme="majorBidi" w:hAnsiTheme="majorBidi" w:cstheme="majorBidi"/>
          <w:sz w:val="24"/>
          <w:szCs w:val="24"/>
        </w:rPr>
        <w:t xml:space="preserve">The HRC also recognised that while the risk to life must be </w:t>
      </w:r>
      <w:r w:rsidR="00EC39C7" w:rsidRPr="00133C85">
        <w:rPr>
          <w:rFonts w:asciiTheme="majorBidi" w:hAnsiTheme="majorBidi" w:cstheme="majorBidi"/>
          <w:i/>
          <w:iCs/>
          <w:sz w:val="24"/>
          <w:szCs w:val="24"/>
        </w:rPr>
        <w:t>personal</w:t>
      </w:r>
      <w:r w:rsidR="00EC39C7" w:rsidRPr="00133C85">
        <w:rPr>
          <w:rFonts w:asciiTheme="majorBidi" w:hAnsiTheme="majorBidi" w:cstheme="majorBidi"/>
          <w:sz w:val="24"/>
          <w:szCs w:val="24"/>
        </w:rPr>
        <w:t xml:space="preserve"> (a condition that </w:t>
      </w:r>
      <w:r w:rsidR="00A46E4B" w:rsidRPr="00133C85">
        <w:rPr>
          <w:rFonts w:asciiTheme="majorBidi" w:hAnsiTheme="majorBidi" w:cstheme="majorBidi"/>
          <w:sz w:val="24"/>
          <w:szCs w:val="24"/>
        </w:rPr>
        <w:t>on its own</w:t>
      </w:r>
      <w:r w:rsidR="00EC39C7" w:rsidRPr="00133C85">
        <w:rPr>
          <w:rFonts w:asciiTheme="majorBidi" w:hAnsiTheme="majorBidi" w:cstheme="majorBidi"/>
          <w:sz w:val="24"/>
          <w:szCs w:val="24"/>
        </w:rPr>
        <w:t xml:space="preserve"> bar</w:t>
      </w:r>
      <w:r w:rsidR="00A46E4B" w:rsidRPr="00133C85">
        <w:rPr>
          <w:rFonts w:asciiTheme="majorBidi" w:hAnsiTheme="majorBidi" w:cstheme="majorBidi"/>
          <w:sz w:val="24"/>
          <w:szCs w:val="24"/>
        </w:rPr>
        <w:t>s</w:t>
      </w:r>
      <w:r w:rsidR="00EC39C7" w:rsidRPr="00133C85">
        <w:rPr>
          <w:rFonts w:asciiTheme="majorBidi" w:hAnsiTheme="majorBidi" w:cstheme="majorBidi"/>
          <w:sz w:val="24"/>
          <w:szCs w:val="24"/>
        </w:rPr>
        <w:t xml:space="preserve"> almost </w:t>
      </w:r>
      <w:r w:rsidR="00EC39C7" w:rsidRPr="00133C85">
        <w:rPr>
          <w:rFonts w:asciiTheme="majorBidi" w:hAnsiTheme="majorBidi" w:cstheme="majorBidi"/>
          <w:i/>
          <w:iCs/>
          <w:sz w:val="24"/>
          <w:szCs w:val="24"/>
        </w:rPr>
        <w:t xml:space="preserve">any </w:t>
      </w:r>
      <w:r w:rsidR="00EC39C7" w:rsidRPr="00133C85">
        <w:rPr>
          <w:rFonts w:asciiTheme="majorBidi" w:hAnsiTheme="majorBidi" w:cstheme="majorBidi"/>
          <w:sz w:val="24"/>
          <w:szCs w:val="24"/>
        </w:rPr>
        <w:t xml:space="preserve">climate-related claim), it </w:t>
      </w:r>
      <w:r w:rsidR="00837A6E" w:rsidRPr="00133C85">
        <w:rPr>
          <w:rFonts w:asciiTheme="majorBidi" w:hAnsiTheme="majorBidi" w:cstheme="majorBidi"/>
          <w:sz w:val="24"/>
          <w:szCs w:val="24"/>
        </w:rPr>
        <w:t xml:space="preserve">will </w:t>
      </w:r>
      <w:r w:rsidR="00EC39C7" w:rsidRPr="00133C85">
        <w:rPr>
          <w:rFonts w:asciiTheme="majorBidi" w:hAnsiTheme="majorBidi" w:cstheme="majorBidi"/>
          <w:sz w:val="24"/>
          <w:szCs w:val="24"/>
        </w:rPr>
        <w:t>accept that ‘in the most extreme cases’ this condition could be discarded</w:t>
      </w:r>
      <w:r w:rsidR="00A46E4B" w:rsidRPr="00133C85">
        <w:rPr>
          <w:rFonts w:asciiTheme="majorBidi" w:hAnsiTheme="majorBidi" w:cstheme="majorBidi"/>
          <w:sz w:val="24"/>
          <w:szCs w:val="24"/>
        </w:rPr>
        <w:t>, opening a window (albeit a narrow one) for future claims.</w:t>
      </w:r>
      <w:r w:rsidR="001E3B06">
        <w:rPr>
          <w:rFonts w:asciiTheme="majorBidi" w:hAnsiTheme="majorBidi" w:cstheme="majorBidi"/>
          <w:sz w:val="24"/>
          <w:szCs w:val="24"/>
        </w:rPr>
        <w:t xml:space="preserve"> </w:t>
      </w:r>
    </w:p>
    <w:p w14:paraId="1B12C0AE" w14:textId="536A63FA" w:rsidR="001C26DB" w:rsidRPr="00133C85" w:rsidRDefault="001C26DB"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At the same time, the limits of this development are also clear. To begin with, </w:t>
      </w:r>
      <w:r w:rsidR="006E6DD7" w:rsidRPr="00133C85">
        <w:rPr>
          <w:rFonts w:asciiTheme="majorBidi" w:hAnsiTheme="majorBidi" w:cstheme="majorBidi"/>
          <w:sz w:val="24"/>
          <w:szCs w:val="24"/>
        </w:rPr>
        <w:t xml:space="preserve">the threshold of the ‘most extreme conditions’ exception that will allow a non-individualised claim, is still very difficult to meet. As stated by HRC member </w:t>
      </w:r>
      <w:proofErr w:type="spellStart"/>
      <w:r w:rsidR="006E6DD7" w:rsidRPr="00133C85">
        <w:rPr>
          <w:rFonts w:asciiTheme="majorBidi" w:hAnsiTheme="majorBidi" w:cstheme="majorBidi"/>
          <w:sz w:val="24"/>
          <w:szCs w:val="24"/>
        </w:rPr>
        <w:t>Muhumuza</w:t>
      </w:r>
      <w:proofErr w:type="spellEnd"/>
      <w:r w:rsidR="006E6DD7" w:rsidRPr="00133C85">
        <w:rPr>
          <w:rFonts w:asciiTheme="majorBidi" w:hAnsiTheme="majorBidi" w:cstheme="majorBidi"/>
          <w:sz w:val="24"/>
          <w:szCs w:val="24"/>
        </w:rPr>
        <w:t xml:space="preserve"> </w:t>
      </w:r>
      <w:proofErr w:type="spellStart"/>
      <w:r w:rsidR="006E6DD7" w:rsidRPr="00133C85">
        <w:rPr>
          <w:rFonts w:asciiTheme="majorBidi" w:hAnsiTheme="majorBidi" w:cstheme="majorBidi"/>
          <w:sz w:val="24"/>
          <w:szCs w:val="24"/>
        </w:rPr>
        <w:t>Laki</w:t>
      </w:r>
      <w:proofErr w:type="spellEnd"/>
      <w:r w:rsidR="006E6DD7" w:rsidRPr="00133C85">
        <w:rPr>
          <w:rFonts w:asciiTheme="majorBidi" w:hAnsiTheme="majorBidi" w:cstheme="majorBidi"/>
          <w:sz w:val="24"/>
          <w:szCs w:val="24"/>
        </w:rPr>
        <w:t xml:space="preserve"> in his dissenting opinion (and later on also elsewhere</w:t>
      </w:r>
      <w:r w:rsidR="00837A6E" w:rsidRPr="00133C85">
        <w:rPr>
          <w:rStyle w:val="FootnoteReference"/>
          <w:rFonts w:asciiTheme="majorBidi" w:hAnsiTheme="majorBidi" w:cstheme="majorBidi"/>
          <w:sz w:val="24"/>
          <w:szCs w:val="24"/>
        </w:rPr>
        <w:footnoteReference w:id="36"/>
      </w:r>
      <w:r w:rsidR="00837A6E" w:rsidRPr="00133C85">
        <w:rPr>
          <w:rFonts w:asciiTheme="majorBidi" w:hAnsiTheme="majorBidi" w:cstheme="majorBidi"/>
          <w:sz w:val="24"/>
          <w:szCs w:val="24"/>
        </w:rPr>
        <w:t>)</w:t>
      </w:r>
      <w:r w:rsidR="006E6DD7" w:rsidRPr="00133C85">
        <w:rPr>
          <w:rFonts w:asciiTheme="majorBidi" w:hAnsiTheme="majorBidi" w:cstheme="majorBidi"/>
          <w:sz w:val="24"/>
          <w:szCs w:val="24"/>
        </w:rPr>
        <w:t xml:space="preserve">, the </w:t>
      </w:r>
      <w:r w:rsidR="00837A6E" w:rsidRPr="00133C85">
        <w:rPr>
          <w:rFonts w:asciiTheme="majorBidi" w:hAnsiTheme="majorBidi" w:cstheme="majorBidi"/>
          <w:sz w:val="24"/>
          <w:szCs w:val="24"/>
        </w:rPr>
        <w:t xml:space="preserve">HRC’s </w:t>
      </w:r>
      <w:r w:rsidR="006E6DD7" w:rsidRPr="00133C85">
        <w:rPr>
          <w:rFonts w:asciiTheme="majorBidi" w:hAnsiTheme="majorBidi" w:cstheme="majorBidi"/>
          <w:sz w:val="24"/>
          <w:szCs w:val="24"/>
        </w:rPr>
        <w:t xml:space="preserve">understanding of </w:t>
      </w:r>
      <w:r w:rsidR="00837A6E" w:rsidRPr="00133C85">
        <w:rPr>
          <w:rFonts w:asciiTheme="majorBidi" w:hAnsiTheme="majorBidi" w:cstheme="majorBidi"/>
          <w:sz w:val="24"/>
          <w:szCs w:val="24"/>
        </w:rPr>
        <w:t>the type of c</w:t>
      </w:r>
      <w:r w:rsidR="006E6DD7" w:rsidRPr="00133C85">
        <w:rPr>
          <w:rFonts w:asciiTheme="majorBidi" w:hAnsiTheme="majorBidi" w:cstheme="majorBidi"/>
          <w:sz w:val="24"/>
          <w:szCs w:val="24"/>
        </w:rPr>
        <w:t xml:space="preserve">onditions </w:t>
      </w:r>
      <w:r w:rsidR="00837A6E" w:rsidRPr="00133C85">
        <w:rPr>
          <w:rFonts w:asciiTheme="majorBidi" w:hAnsiTheme="majorBidi" w:cstheme="majorBidi"/>
          <w:sz w:val="24"/>
          <w:szCs w:val="24"/>
        </w:rPr>
        <w:t xml:space="preserve">that </w:t>
      </w:r>
      <w:r w:rsidR="006E6DD7" w:rsidRPr="00133C85">
        <w:rPr>
          <w:rFonts w:asciiTheme="majorBidi" w:hAnsiTheme="majorBidi" w:cstheme="majorBidi"/>
          <w:sz w:val="24"/>
          <w:szCs w:val="24"/>
        </w:rPr>
        <w:t>will be regarded as extreme enough was too strict: ‘in the </w:t>
      </w:r>
      <w:proofErr w:type="spellStart"/>
      <w:r w:rsidR="006E6DD7" w:rsidRPr="00133C85">
        <w:rPr>
          <w:rFonts w:asciiTheme="majorBidi" w:hAnsiTheme="majorBidi" w:cstheme="majorBidi"/>
          <w:i/>
          <w:iCs/>
          <w:sz w:val="24"/>
          <w:szCs w:val="24"/>
        </w:rPr>
        <w:t>Teitiota</w:t>
      </w:r>
      <w:proofErr w:type="spellEnd"/>
      <w:r w:rsidR="006E6DD7" w:rsidRPr="00133C85">
        <w:rPr>
          <w:rFonts w:asciiTheme="majorBidi" w:hAnsiTheme="majorBidi" w:cstheme="majorBidi"/>
          <w:sz w:val="24"/>
          <w:szCs w:val="24"/>
        </w:rPr>
        <w:t> case, the considerable difficulty in accessing fresh water because of the environmental conditions should have been sufficient to reach the threshold of risk, without needing to reach the point of a complete lack of fresh water supply.’</w:t>
      </w:r>
      <w:r w:rsidR="006E6DD7" w:rsidRPr="00133C85">
        <w:rPr>
          <w:rStyle w:val="FootnoteReference"/>
          <w:rFonts w:asciiTheme="majorBidi" w:hAnsiTheme="majorBidi" w:cstheme="majorBidi"/>
          <w:sz w:val="24"/>
          <w:szCs w:val="24"/>
        </w:rPr>
        <w:footnoteReference w:id="37"/>
      </w:r>
      <w:r w:rsidR="006E6DD7" w:rsidRPr="00133C85">
        <w:rPr>
          <w:rFonts w:asciiTheme="majorBidi" w:hAnsiTheme="majorBidi" w:cstheme="majorBidi"/>
          <w:sz w:val="24"/>
          <w:szCs w:val="24"/>
        </w:rPr>
        <w:t xml:space="preserve"> </w:t>
      </w:r>
    </w:p>
    <w:p w14:paraId="3F01F99D" w14:textId="34B793D0" w:rsidR="00B045F4" w:rsidRPr="00133C85" w:rsidRDefault="00B045F4" w:rsidP="00BB0FD7">
      <w:pPr>
        <w:spacing w:line="360" w:lineRule="auto"/>
        <w:jc w:val="both"/>
        <w:rPr>
          <w:rFonts w:asciiTheme="majorBidi" w:hAnsiTheme="majorBidi" w:cstheme="majorBidi"/>
          <w:sz w:val="24"/>
          <w:szCs w:val="24"/>
          <w:lang w:val="en-US"/>
        </w:rPr>
      </w:pPr>
      <w:r w:rsidRPr="00133C85">
        <w:rPr>
          <w:rFonts w:asciiTheme="majorBidi" w:hAnsiTheme="majorBidi" w:cstheme="majorBidi"/>
          <w:sz w:val="24"/>
          <w:szCs w:val="24"/>
        </w:rPr>
        <w:t>Furthermore, the HRC decided that the threat posed to those living in Kiribati</w:t>
      </w:r>
      <w:r w:rsidR="00E31ECB">
        <w:rPr>
          <w:rFonts w:asciiTheme="majorBidi" w:hAnsiTheme="majorBidi" w:cstheme="majorBidi"/>
          <w:sz w:val="24"/>
          <w:szCs w:val="24"/>
        </w:rPr>
        <w:t xml:space="preserve"> was not</w:t>
      </w:r>
      <w:r w:rsidRPr="00133C85">
        <w:rPr>
          <w:rFonts w:asciiTheme="majorBidi" w:hAnsiTheme="majorBidi" w:cstheme="majorBidi"/>
          <w:sz w:val="24"/>
          <w:szCs w:val="24"/>
        </w:rPr>
        <w:t xml:space="preserve"> ‘imminent’ enough to meet the threshold of Article 6 ICCPR.</w:t>
      </w:r>
      <w:r w:rsidRPr="00133C85">
        <w:rPr>
          <w:rStyle w:val="FootnoteReference"/>
          <w:rFonts w:asciiTheme="majorBidi" w:hAnsiTheme="majorBidi" w:cstheme="majorBidi"/>
          <w:sz w:val="24"/>
          <w:szCs w:val="24"/>
        </w:rPr>
        <w:footnoteReference w:id="38"/>
      </w:r>
      <w:r w:rsidR="00B87D4B" w:rsidRPr="00133C85">
        <w:rPr>
          <w:rFonts w:asciiTheme="majorBidi" w:hAnsiTheme="majorBidi" w:cstheme="majorBidi"/>
          <w:sz w:val="24"/>
          <w:szCs w:val="24"/>
        </w:rPr>
        <w:t xml:space="preserve"> While accepting the evidence of harm caused to </w:t>
      </w:r>
      <w:r w:rsidR="00497365">
        <w:rPr>
          <w:rFonts w:asciiTheme="majorBidi" w:hAnsiTheme="majorBidi" w:cstheme="majorBidi"/>
          <w:sz w:val="24"/>
          <w:szCs w:val="24"/>
        </w:rPr>
        <w:t xml:space="preserve">Mr </w:t>
      </w:r>
      <w:proofErr w:type="spellStart"/>
      <w:r w:rsidR="004048B4">
        <w:rPr>
          <w:rFonts w:asciiTheme="majorBidi" w:hAnsiTheme="majorBidi" w:cstheme="majorBidi"/>
          <w:sz w:val="24"/>
          <w:szCs w:val="24"/>
        </w:rPr>
        <w:t>Teitiota’s</w:t>
      </w:r>
      <w:proofErr w:type="spellEnd"/>
      <w:r w:rsidR="00B87D4B" w:rsidRPr="00133C85">
        <w:rPr>
          <w:rFonts w:asciiTheme="majorBidi" w:hAnsiTheme="majorBidi" w:cstheme="majorBidi"/>
          <w:sz w:val="24"/>
          <w:szCs w:val="24"/>
        </w:rPr>
        <w:t xml:space="preserve"> family, the HRC stated that </w:t>
      </w:r>
      <w:r w:rsidR="00B87D4B" w:rsidRPr="00133C85">
        <w:rPr>
          <w:rFonts w:asciiTheme="majorBidi" w:hAnsiTheme="majorBidi" w:cstheme="majorBidi"/>
          <w:sz w:val="24"/>
          <w:szCs w:val="24"/>
          <w:lang w:val="en-US"/>
        </w:rPr>
        <w:t xml:space="preserve">‘there was no evidence establishing that </w:t>
      </w:r>
      <w:r w:rsidR="00837A6E" w:rsidRPr="00133C85">
        <w:rPr>
          <w:rFonts w:asciiTheme="majorBidi" w:hAnsiTheme="majorBidi" w:cstheme="majorBidi"/>
          <w:sz w:val="24"/>
          <w:szCs w:val="24"/>
          <w:lang w:val="en-US"/>
        </w:rPr>
        <w:t>t</w:t>
      </w:r>
      <w:r w:rsidR="00B87D4B" w:rsidRPr="00133C85">
        <w:rPr>
          <w:rFonts w:asciiTheme="majorBidi" w:hAnsiTheme="majorBidi" w:cstheme="majorBidi"/>
          <w:sz w:val="24"/>
          <w:szCs w:val="24"/>
          <w:lang w:val="en-US"/>
        </w:rPr>
        <w:t>his situation in the Republic of Kiribati would be so precarious that his or his family’s life would be in danger.’</w:t>
      </w:r>
      <w:r w:rsidR="00B87D4B" w:rsidRPr="00133C85">
        <w:rPr>
          <w:rStyle w:val="FootnoteReference"/>
          <w:rFonts w:asciiTheme="majorBidi" w:hAnsiTheme="majorBidi" w:cstheme="majorBidi"/>
          <w:sz w:val="24"/>
          <w:szCs w:val="24"/>
          <w:lang w:val="en-US"/>
        </w:rPr>
        <w:footnoteReference w:id="39"/>
      </w:r>
      <w:r w:rsidR="00B87D4B" w:rsidRPr="00133C85">
        <w:rPr>
          <w:rFonts w:asciiTheme="majorBidi" w:hAnsiTheme="majorBidi" w:cstheme="majorBidi"/>
          <w:sz w:val="24"/>
          <w:szCs w:val="24"/>
          <w:lang w:val="en-US"/>
        </w:rPr>
        <w:t xml:space="preserve"> This decision demonstrates that even the situation of </w:t>
      </w:r>
      <w:r w:rsidR="004048B4">
        <w:rPr>
          <w:rFonts w:asciiTheme="majorBidi" w:hAnsiTheme="majorBidi" w:cstheme="majorBidi"/>
          <w:sz w:val="24"/>
          <w:szCs w:val="24"/>
          <w:lang w:val="en-US"/>
        </w:rPr>
        <w:t>P</w:t>
      </w:r>
      <w:r w:rsidR="00B87D4B" w:rsidRPr="00133C85">
        <w:rPr>
          <w:rFonts w:asciiTheme="majorBidi" w:hAnsiTheme="majorBidi" w:cstheme="majorBidi"/>
          <w:sz w:val="24"/>
          <w:szCs w:val="24"/>
          <w:lang w:val="en-US"/>
        </w:rPr>
        <w:t xml:space="preserve">acific </w:t>
      </w:r>
      <w:r w:rsidR="004048B4">
        <w:rPr>
          <w:rFonts w:asciiTheme="majorBidi" w:hAnsiTheme="majorBidi" w:cstheme="majorBidi"/>
          <w:sz w:val="24"/>
          <w:szCs w:val="24"/>
          <w:lang w:val="en-US"/>
        </w:rPr>
        <w:t>Small Island States</w:t>
      </w:r>
      <w:r w:rsidR="00B87D4B" w:rsidRPr="00133C85">
        <w:rPr>
          <w:rFonts w:asciiTheme="majorBidi" w:hAnsiTheme="majorBidi" w:cstheme="majorBidi"/>
          <w:sz w:val="24"/>
          <w:szCs w:val="24"/>
          <w:lang w:val="en-US"/>
        </w:rPr>
        <w:t xml:space="preserve"> – ‘the canaries in the </w:t>
      </w:r>
      <w:r w:rsidR="00837A6E" w:rsidRPr="00133C85">
        <w:rPr>
          <w:rFonts w:asciiTheme="majorBidi" w:hAnsiTheme="majorBidi" w:cstheme="majorBidi"/>
          <w:sz w:val="24"/>
          <w:szCs w:val="24"/>
          <w:lang w:val="en-US"/>
        </w:rPr>
        <w:t xml:space="preserve">climate change </w:t>
      </w:r>
      <w:r w:rsidR="00B87D4B" w:rsidRPr="00133C85">
        <w:rPr>
          <w:rFonts w:asciiTheme="majorBidi" w:hAnsiTheme="majorBidi" w:cstheme="majorBidi"/>
          <w:sz w:val="24"/>
          <w:szCs w:val="24"/>
          <w:lang w:val="en-US"/>
        </w:rPr>
        <w:t xml:space="preserve">coal mine’, </w:t>
      </w:r>
      <w:r w:rsidR="00837A6E" w:rsidRPr="00133C85">
        <w:rPr>
          <w:rFonts w:asciiTheme="majorBidi" w:hAnsiTheme="majorBidi" w:cstheme="majorBidi"/>
          <w:sz w:val="24"/>
          <w:szCs w:val="24"/>
          <w:lang w:val="en-US"/>
        </w:rPr>
        <w:t xml:space="preserve">and </w:t>
      </w:r>
      <w:r w:rsidR="00B87D4B" w:rsidRPr="00133C85">
        <w:rPr>
          <w:rFonts w:asciiTheme="majorBidi" w:hAnsiTheme="majorBidi" w:cstheme="majorBidi"/>
          <w:sz w:val="24"/>
          <w:szCs w:val="24"/>
          <w:lang w:val="en-US"/>
        </w:rPr>
        <w:t xml:space="preserve">possibly the most extreme example of those experiencing the threats of climate change – is not </w:t>
      </w:r>
      <w:r w:rsidR="007768BA" w:rsidRPr="00133C85">
        <w:rPr>
          <w:rFonts w:asciiTheme="majorBidi" w:hAnsiTheme="majorBidi" w:cstheme="majorBidi"/>
          <w:sz w:val="24"/>
          <w:szCs w:val="24"/>
          <w:lang w:val="en-US"/>
        </w:rPr>
        <w:t>imminent</w:t>
      </w:r>
      <w:r w:rsidR="00B87D4B" w:rsidRPr="00133C85">
        <w:rPr>
          <w:rFonts w:asciiTheme="majorBidi" w:hAnsiTheme="majorBidi" w:cstheme="majorBidi"/>
          <w:sz w:val="24"/>
          <w:szCs w:val="24"/>
          <w:lang w:val="en-US"/>
        </w:rPr>
        <w:t xml:space="preserve"> enough </w:t>
      </w:r>
      <w:r w:rsidR="004048B4">
        <w:rPr>
          <w:rFonts w:asciiTheme="majorBidi" w:hAnsiTheme="majorBidi" w:cstheme="majorBidi"/>
          <w:sz w:val="24"/>
          <w:szCs w:val="24"/>
          <w:lang w:val="en-US"/>
        </w:rPr>
        <w:t>to</w:t>
      </w:r>
      <w:r w:rsidR="00B87D4B" w:rsidRPr="00133C85">
        <w:rPr>
          <w:rFonts w:asciiTheme="majorBidi" w:hAnsiTheme="majorBidi" w:cstheme="majorBidi"/>
          <w:sz w:val="24"/>
          <w:szCs w:val="24"/>
          <w:lang w:val="en-US"/>
        </w:rPr>
        <w:t xml:space="preserve"> meet this condition. </w:t>
      </w:r>
    </w:p>
    <w:p w14:paraId="3C940048" w14:textId="77777777" w:rsidR="007C6902" w:rsidRPr="00133C85" w:rsidRDefault="007C6902" w:rsidP="00BB0FD7">
      <w:pPr>
        <w:spacing w:line="360" w:lineRule="auto"/>
        <w:jc w:val="both"/>
        <w:rPr>
          <w:rFonts w:asciiTheme="majorBidi" w:hAnsiTheme="majorBidi" w:cstheme="majorBidi"/>
          <w:sz w:val="24"/>
          <w:szCs w:val="24"/>
          <w:lang w:val="en-US"/>
        </w:rPr>
      </w:pPr>
      <w:r w:rsidRPr="00133C85">
        <w:rPr>
          <w:rFonts w:asciiTheme="majorBidi" w:hAnsiTheme="majorBidi" w:cstheme="majorBidi"/>
          <w:sz w:val="24"/>
          <w:szCs w:val="24"/>
          <w:lang w:val="en-US"/>
        </w:rPr>
        <w:t xml:space="preserve">In short, while widely celebrated for its recognition that human rights law </w:t>
      </w:r>
      <w:r w:rsidRPr="00133C85">
        <w:rPr>
          <w:rFonts w:asciiTheme="majorBidi" w:hAnsiTheme="majorBidi" w:cstheme="majorBidi"/>
          <w:i/>
          <w:iCs/>
          <w:sz w:val="24"/>
          <w:szCs w:val="24"/>
          <w:lang w:val="en-US"/>
        </w:rPr>
        <w:t xml:space="preserve">should in principle </w:t>
      </w:r>
      <w:r w:rsidRPr="00133C85">
        <w:rPr>
          <w:rFonts w:asciiTheme="majorBidi" w:hAnsiTheme="majorBidi" w:cstheme="majorBidi"/>
          <w:sz w:val="24"/>
          <w:szCs w:val="24"/>
          <w:lang w:val="en-US"/>
        </w:rPr>
        <w:t xml:space="preserve">apply to the situation of climate migration, it is hard to see which cases, in practice, will benefit from such a recognition, at least in the context of the right to life. </w:t>
      </w:r>
    </w:p>
    <w:p w14:paraId="2E385D5E" w14:textId="01AE607E" w:rsidR="007C6902" w:rsidRPr="00133C85" w:rsidRDefault="007C6902"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lang w:val="en-US"/>
        </w:rPr>
        <w:t xml:space="preserve">The HRC </w:t>
      </w:r>
      <w:r w:rsidR="009B0CDD">
        <w:rPr>
          <w:rFonts w:asciiTheme="majorBidi" w:hAnsiTheme="majorBidi" w:cstheme="majorBidi"/>
          <w:sz w:val="24"/>
          <w:szCs w:val="24"/>
          <w:lang w:val="en-US"/>
        </w:rPr>
        <w:t xml:space="preserve">has even more recently </w:t>
      </w:r>
      <w:r w:rsidRPr="00133C85">
        <w:rPr>
          <w:rFonts w:asciiTheme="majorBidi" w:hAnsiTheme="majorBidi" w:cstheme="majorBidi"/>
          <w:sz w:val="24"/>
          <w:szCs w:val="24"/>
          <w:lang w:val="en-US"/>
        </w:rPr>
        <w:t>dealt with a second case address</w:t>
      </w:r>
      <w:r w:rsidR="00CA01B2" w:rsidRPr="00133C85">
        <w:rPr>
          <w:rFonts w:asciiTheme="majorBidi" w:hAnsiTheme="majorBidi" w:cstheme="majorBidi"/>
          <w:sz w:val="24"/>
          <w:szCs w:val="24"/>
          <w:lang w:val="en-US"/>
        </w:rPr>
        <w:t>ing</w:t>
      </w:r>
      <w:r w:rsidRPr="00133C85">
        <w:rPr>
          <w:rFonts w:asciiTheme="majorBidi" w:hAnsiTheme="majorBidi" w:cstheme="majorBidi"/>
          <w:sz w:val="24"/>
          <w:szCs w:val="24"/>
          <w:lang w:val="en-US"/>
        </w:rPr>
        <w:t xml:space="preserve"> climate migration</w:t>
      </w:r>
      <w:r w:rsidR="000C3E29" w:rsidRPr="00133C85">
        <w:rPr>
          <w:rFonts w:asciiTheme="majorBidi" w:hAnsiTheme="majorBidi" w:cstheme="majorBidi"/>
          <w:sz w:val="24"/>
          <w:szCs w:val="24"/>
          <w:lang w:val="en-US"/>
        </w:rPr>
        <w:t xml:space="preserve">, brought by </w:t>
      </w:r>
      <w:r w:rsidRPr="00133C85">
        <w:rPr>
          <w:rFonts w:asciiTheme="majorBidi" w:hAnsiTheme="majorBidi" w:cstheme="majorBidi"/>
          <w:sz w:val="24"/>
          <w:szCs w:val="24"/>
          <w:lang w:val="en-US"/>
        </w:rPr>
        <w:t xml:space="preserve">communities </w:t>
      </w:r>
      <w:r w:rsidR="003D166A" w:rsidRPr="00133C85">
        <w:rPr>
          <w:rFonts w:asciiTheme="majorBidi" w:hAnsiTheme="majorBidi" w:cstheme="majorBidi"/>
          <w:sz w:val="24"/>
          <w:szCs w:val="24"/>
          <w:lang w:val="en-US"/>
        </w:rPr>
        <w:t>from</w:t>
      </w:r>
      <w:r w:rsidRPr="00133C85">
        <w:rPr>
          <w:rFonts w:asciiTheme="majorBidi" w:hAnsiTheme="majorBidi" w:cstheme="majorBidi"/>
          <w:sz w:val="24"/>
          <w:szCs w:val="24"/>
          <w:lang w:val="en-US"/>
        </w:rPr>
        <w:t xml:space="preserve"> the Torres Strait Islands </w:t>
      </w:r>
      <w:r w:rsidR="00D4490E" w:rsidRPr="00133C85">
        <w:rPr>
          <w:rFonts w:asciiTheme="majorBidi" w:hAnsiTheme="majorBidi" w:cstheme="majorBidi"/>
          <w:sz w:val="24"/>
          <w:szCs w:val="24"/>
          <w:lang w:val="en-US"/>
        </w:rPr>
        <w:t>(</w:t>
      </w:r>
      <w:r w:rsidR="00D4490E" w:rsidRPr="00133C85">
        <w:rPr>
          <w:rFonts w:asciiTheme="majorBidi" w:hAnsiTheme="majorBidi" w:cstheme="majorBidi"/>
          <w:i/>
          <w:iCs/>
          <w:sz w:val="24"/>
          <w:szCs w:val="24"/>
          <w:lang w:val="en-US"/>
        </w:rPr>
        <w:t>Daniel Billy et al</w:t>
      </w:r>
      <w:r w:rsidR="00D4490E" w:rsidRPr="00133C85">
        <w:rPr>
          <w:rFonts w:asciiTheme="majorBidi" w:hAnsiTheme="majorBidi" w:cstheme="majorBidi"/>
          <w:sz w:val="24"/>
          <w:szCs w:val="24"/>
          <w:lang w:val="en-US"/>
        </w:rPr>
        <w:t>)</w:t>
      </w:r>
      <w:r w:rsidRPr="00133C85">
        <w:rPr>
          <w:rFonts w:asciiTheme="majorBidi" w:hAnsiTheme="majorBidi" w:cstheme="majorBidi"/>
          <w:sz w:val="24"/>
          <w:szCs w:val="24"/>
          <w:lang w:val="en-US"/>
        </w:rPr>
        <w:t>.</w:t>
      </w:r>
      <w:bookmarkStart w:id="7" w:name="_Ref132560352"/>
      <w:r w:rsidR="00D4490E" w:rsidRPr="00133C85">
        <w:rPr>
          <w:rStyle w:val="FootnoteReference"/>
          <w:rFonts w:asciiTheme="majorBidi" w:hAnsiTheme="majorBidi" w:cstheme="majorBidi"/>
          <w:sz w:val="24"/>
          <w:szCs w:val="24"/>
          <w:lang w:val="en-US"/>
        </w:rPr>
        <w:footnoteReference w:id="40"/>
      </w:r>
      <w:bookmarkEnd w:id="7"/>
      <w:r w:rsidRPr="00133C85">
        <w:rPr>
          <w:rFonts w:asciiTheme="majorBidi" w:hAnsiTheme="majorBidi" w:cstheme="majorBidi"/>
          <w:sz w:val="24"/>
          <w:szCs w:val="24"/>
          <w:lang w:val="en-US"/>
        </w:rPr>
        <w:t xml:space="preserve"> </w:t>
      </w:r>
      <w:r w:rsidR="00D4490E" w:rsidRPr="00133C85">
        <w:rPr>
          <w:rFonts w:asciiTheme="majorBidi" w:hAnsiTheme="majorBidi" w:cstheme="majorBidi"/>
          <w:sz w:val="24"/>
          <w:szCs w:val="24"/>
          <w:lang w:val="en-US"/>
        </w:rPr>
        <w:t>In this case, the petitioners claimed that the impact of climate change on their home</w:t>
      </w:r>
      <w:r w:rsidR="001F694C" w:rsidRPr="00133C85">
        <w:rPr>
          <w:rFonts w:asciiTheme="majorBidi" w:hAnsiTheme="majorBidi" w:cstheme="majorBidi"/>
          <w:sz w:val="24"/>
          <w:szCs w:val="24"/>
          <w:lang w:val="en-US"/>
        </w:rPr>
        <w:t>s - the</w:t>
      </w:r>
      <w:r w:rsidR="00D4490E" w:rsidRPr="00133C85">
        <w:rPr>
          <w:rFonts w:asciiTheme="majorBidi" w:hAnsiTheme="majorBidi" w:cstheme="majorBidi"/>
          <w:sz w:val="24"/>
          <w:szCs w:val="24"/>
          <w:lang w:val="en-US"/>
        </w:rPr>
        <w:t xml:space="preserve"> </w:t>
      </w:r>
      <w:r w:rsidR="001F694C" w:rsidRPr="00133C85">
        <w:rPr>
          <w:rFonts w:asciiTheme="majorBidi" w:hAnsiTheme="majorBidi" w:cstheme="majorBidi"/>
          <w:sz w:val="24"/>
          <w:szCs w:val="24"/>
        </w:rPr>
        <w:t xml:space="preserve">low-lying island communities of </w:t>
      </w:r>
      <w:proofErr w:type="spellStart"/>
      <w:r w:rsidR="001F694C" w:rsidRPr="00133C85">
        <w:rPr>
          <w:rFonts w:asciiTheme="majorBidi" w:hAnsiTheme="majorBidi" w:cstheme="majorBidi"/>
          <w:sz w:val="24"/>
          <w:szCs w:val="24"/>
        </w:rPr>
        <w:t>Boigu</w:t>
      </w:r>
      <w:proofErr w:type="spellEnd"/>
      <w:r w:rsidR="001F694C" w:rsidRPr="00133C85">
        <w:rPr>
          <w:rFonts w:asciiTheme="majorBidi" w:hAnsiTheme="majorBidi" w:cstheme="majorBidi"/>
          <w:sz w:val="24"/>
          <w:szCs w:val="24"/>
        </w:rPr>
        <w:t xml:space="preserve">, </w:t>
      </w:r>
      <w:proofErr w:type="spellStart"/>
      <w:r w:rsidR="001F694C" w:rsidRPr="00133C85">
        <w:rPr>
          <w:rFonts w:asciiTheme="majorBidi" w:hAnsiTheme="majorBidi" w:cstheme="majorBidi"/>
          <w:sz w:val="24"/>
          <w:szCs w:val="24"/>
        </w:rPr>
        <w:t>Masig</w:t>
      </w:r>
      <w:proofErr w:type="spellEnd"/>
      <w:r w:rsidR="001F694C" w:rsidRPr="00133C85">
        <w:rPr>
          <w:rFonts w:asciiTheme="majorBidi" w:hAnsiTheme="majorBidi" w:cstheme="majorBidi"/>
          <w:sz w:val="24"/>
          <w:szCs w:val="24"/>
        </w:rPr>
        <w:t xml:space="preserve">, </w:t>
      </w:r>
      <w:proofErr w:type="spellStart"/>
      <w:r w:rsidR="001F694C" w:rsidRPr="00133C85">
        <w:rPr>
          <w:rFonts w:asciiTheme="majorBidi" w:hAnsiTheme="majorBidi" w:cstheme="majorBidi"/>
          <w:sz w:val="24"/>
          <w:szCs w:val="24"/>
        </w:rPr>
        <w:t>Warraber</w:t>
      </w:r>
      <w:proofErr w:type="spellEnd"/>
      <w:r w:rsidR="001F694C" w:rsidRPr="00133C85">
        <w:rPr>
          <w:rFonts w:asciiTheme="majorBidi" w:hAnsiTheme="majorBidi" w:cstheme="majorBidi"/>
          <w:sz w:val="24"/>
          <w:szCs w:val="24"/>
        </w:rPr>
        <w:t xml:space="preserve"> and </w:t>
      </w:r>
      <w:proofErr w:type="spellStart"/>
      <w:r w:rsidR="001F694C" w:rsidRPr="00133C85">
        <w:rPr>
          <w:rFonts w:asciiTheme="majorBidi" w:hAnsiTheme="majorBidi" w:cstheme="majorBidi"/>
          <w:sz w:val="24"/>
          <w:szCs w:val="24"/>
        </w:rPr>
        <w:t>Poruma</w:t>
      </w:r>
      <w:proofErr w:type="spellEnd"/>
      <w:r w:rsidR="00D4490E" w:rsidRPr="00133C85">
        <w:rPr>
          <w:rFonts w:asciiTheme="majorBidi" w:hAnsiTheme="majorBidi" w:cstheme="majorBidi"/>
          <w:sz w:val="24"/>
          <w:szCs w:val="24"/>
          <w:lang w:val="en-US"/>
        </w:rPr>
        <w:t xml:space="preserve"> </w:t>
      </w:r>
      <w:r w:rsidR="001F694C" w:rsidRPr="00133C85">
        <w:rPr>
          <w:rFonts w:asciiTheme="majorBidi" w:hAnsiTheme="majorBidi" w:cstheme="majorBidi"/>
          <w:sz w:val="24"/>
          <w:szCs w:val="24"/>
          <w:lang w:val="en-US"/>
        </w:rPr>
        <w:t xml:space="preserve">- </w:t>
      </w:r>
      <w:r w:rsidR="00D4490E" w:rsidRPr="00133C85">
        <w:rPr>
          <w:rFonts w:asciiTheme="majorBidi" w:hAnsiTheme="majorBidi" w:cstheme="majorBidi"/>
          <w:sz w:val="24"/>
          <w:szCs w:val="24"/>
          <w:lang w:val="en-US"/>
        </w:rPr>
        <w:t>will be severe. Notably, they fear</w:t>
      </w:r>
      <w:r w:rsidR="00CA01B2" w:rsidRPr="00133C85">
        <w:rPr>
          <w:rFonts w:asciiTheme="majorBidi" w:hAnsiTheme="majorBidi" w:cstheme="majorBidi"/>
          <w:sz w:val="24"/>
          <w:szCs w:val="24"/>
          <w:lang w:val="en-US"/>
        </w:rPr>
        <w:t xml:space="preserve"> that </w:t>
      </w:r>
      <w:r w:rsidR="00CA01B2" w:rsidRPr="00133C85">
        <w:rPr>
          <w:rFonts w:asciiTheme="majorBidi" w:hAnsiTheme="majorBidi" w:cstheme="majorBidi"/>
          <w:sz w:val="24"/>
          <w:szCs w:val="24"/>
          <w:lang w:val="en-US"/>
        </w:rPr>
        <w:lastRenderedPageBreak/>
        <w:t>climate change will lead to their</w:t>
      </w:r>
      <w:r w:rsidR="00D4490E" w:rsidRPr="00133C85">
        <w:rPr>
          <w:rFonts w:asciiTheme="majorBidi" w:hAnsiTheme="majorBidi" w:cstheme="majorBidi"/>
          <w:sz w:val="24"/>
          <w:szCs w:val="24"/>
          <w:lang w:val="en-US"/>
        </w:rPr>
        <w:t xml:space="preserve"> forced displacement,</w:t>
      </w:r>
      <w:r w:rsidR="00D4490E" w:rsidRPr="00133C85">
        <w:rPr>
          <w:rStyle w:val="FootnoteReference"/>
          <w:rFonts w:asciiTheme="majorBidi" w:hAnsiTheme="majorBidi" w:cstheme="majorBidi"/>
          <w:sz w:val="24"/>
          <w:szCs w:val="24"/>
          <w:lang w:val="en-US"/>
        </w:rPr>
        <w:footnoteReference w:id="41"/>
      </w:r>
      <w:r w:rsidR="00D4490E" w:rsidRPr="00133C85">
        <w:rPr>
          <w:rFonts w:asciiTheme="majorBidi" w:hAnsiTheme="majorBidi" w:cstheme="majorBidi"/>
          <w:sz w:val="24"/>
          <w:szCs w:val="24"/>
          <w:lang w:val="en-US"/>
        </w:rPr>
        <w:t xml:space="preserve"> </w:t>
      </w:r>
      <w:r w:rsidR="001F694C" w:rsidRPr="00133C85">
        <w:rPr>
          <w:rFonts w:asciiTheme="majorBidi" w:hAnsiTheme="majorBidi" w:cstheme="majorBidi"/>
          <w:sz w:val="24"/>
          <w:szCs w:val="24"/>
          <w:lang w:val="en-US"/>
        </w:rPr>
        <w:t xml:space="preserve">causing ‘themselves, </w:t>
      </w:r>
      <w:r w:rsidR="001F694C" w:rsidRPr="00133C85">
        <w:rPr>
          <w:rFonts w:asciiTheme="majorBidi" w:hAnsiTheme="majorBidi" w:cstheme="majorBidi"/>
          <w:sz w:val="24"/>
          <w:szCs w:val="24"/>
        </w:rPr>
        <w:t>their families and their communities to be uprooted, and their ancient culture, deeply and inextricably linked to the islands and the local environment, to risk extinction.’</w:t>
      </w:r>
      <w:r w:rsidR="001F694C" w:rsidRPr="00133C85">
        <w:rPr>
          <w:rStyle w:val="FootnoteReference"/>
          <w:rFonts w:asciiTheme="majorBidi" w:hAnsiTheme="majorBidi" w:cstheme="majorBidi"/>
          <w:sz w:val="24"/>
          <w:szCs w:val="24"/>
        </w:rPr>
        <w:footnoteReference w:id="42"/>
      </w:r>
      <w:r w:rsidR="001F694C" w:rsidRPr="00133C85">
        <w:rPr>
          <w:rFonts w:asciiTheme="majorBidi" w:hAnsiTheme="majorBidi" w:cstheme="majorBidi"/>
          <w:sz w:val="24"/>
          <w:szCs w:val="24"/>
        </w:rPr>
        <w:t xml:space="preserve"> Unlike the </w:t>
      </w:r>
      <w:proofErr w:type="spellStart"/>
      <w:r w:rsidR="001F694C" w:rsidRPr="00133C85">
        <w:rPr>
          <w:rFonts w:asciiTheme="majorBidi" w:hAnsiTheme="majorBidi" w:cstheme="majorBidi"/>
          <w:i/>
          <w:iCs/>
          <w:sz w:val="24"/>
          <w:szCs w:val="24"/>
        </w:rPr>
        <w:t>Teitiota</w:t>
      </w:r>
      <w:proofErr w:type="spellEnd"/>
      <w:r w:rsidR="001F694C" w:rsidRPr="00133C85">
        <w:rPr>
          <w:rFonts w:asciiTheme="majorBidi" w:hAnsiTheme="majorBidi" w:cstheme="majorBidi"/>
          <w:i/>
          <w:iCs/>
          <w:sz w:val="24"/>
          <w:szCs w:val="24"/>
        </w:rPr>
        <w:t xml:space="preserve"> </w:t>
      </w:r>
      <w:r w:rsidR="001F694C" w:rsidRPr="00133C85">
        <w:rPr>
          <w:rFonts w:asciiTheme="majorBidi" w:hAnsiTheme="majorBidi" w:cstheme="majorBidi"/>
          <w:sz w:val="24"/>
          <w:szCs w:val="24"/>
        </w:rPr>
        <w:t xml:space="preserve">case, this petition addressed </w:t>
      </w:r>
      <w:r w:rsidR="003D166A" w:rsidRPr="00133C85">
        <w:rPr>
          <w:rFonts w:asciiTheme="majorBidi" w:hAnsiTheme="majorBidi" w:cstheme="majorBidi"/>
          <w:sz w:val="24"/>
          <w:szCs w:val="24"/>
        </w:rPr>
        <w:t>mostly these indigenous</w:t>
      </w:r>
      <w:r w:rsidR="001F694C" w:rsidRPr="00133C85">
        <w:rPr>
          <w:rFonts w:asciiTheme="majorBidi" w:hAnsiTheme="majorBidi" w:cstheme="majorBidi"/>
          <w:sz w:val="24"/>
          <w:szCs w:val="24"/>
        </w:rPr>
        <w:t xml:space="preserve"> communities</w:t>
      </w:r>
      <w:r w:rsidR="003D166A" w:rsidRPr="00133C85">
        <w:rPr>
          <w:rFonts w:asciiTheme="majorBidi" w:hAnsiTheme="majorBidi" w:cstheme="majorBidi"/>
          <w:sz w:val="24"/>
          <w:szCs w:val="24"/>
        </w:rPr>
        <w:t>’</w:t>
      </w:r>
      <w:r w:rsidR="001F694C" w:rsidRPr="00133C85">
        <w:rPr>
          <w:rFonts w:asciiTheme="majorBidi" w:hAnsiTheme="majorBidi" w:cstheme="majorBidi"/>
          <w:sz w:val="24"/>
          <w:szCs w:val="24"/>
        </w:rPr>
        <w:t xml:space="preserve"> loss of culture, </w:t>
      </w:r>
      <w:proofErr w:type="gramStart"/>
      <w:r w:rsidR="001F694C" w:rsidRPr="00133C85">
        <w:rPr>
          <w:rFonts w:asciiTheme="majorBidi" w:hAnsiTheme="majorBidi" w:cstheme="majorBidi"/>
          <w:sz w:val="24"/>
          <w:szCs w:val="24"/>
        </w:rPr>
        <w:t>tradition</w:t>
      </w:r>
      <w:proofErr w:type="gramEnd"/>
      <w:r w:rsidR="001F694C" w:rsidRPr="00133C85">
        <w:rPr>
          <w:rFonts w:asciiTheme="majorBidi" w:hAnsiTheme="majorBidi" w:cstheme="majorBidi"/>
          <w:sz w:val="24"/>
          <w:szCs w:val="24"/>
        </w:rPr>
        <w:t xml:space="preserve"> and way of life. As one of the petitioners, </w:t>
      </w:r>
      <w:proofErr w:type="spellStart"/>
      <w:r w:rsidR="001F694C" w:rsidRPr="00133C85">
        <w:rPr>
          <w:rFonts w:asciiTheme="majorBidi" w:hAnsiTheme="majorBidi" w:cstheme="majorBidi"/>
          <w:sz w:val="24"/>
          <w:szCs w:val="24"/>
        </w:rPr>
        <w:t>Kabay</w:t>
      </w:r>
      <w:proofErr w:type="spellEnd"/>
      <w:r w:rsidR="001F694C" w:rsidRPr="00133C85">
        <w:rPr>
          <w:rFonts w:asciiTheme="majorBidi" w:hAnsiTheme="majorBidi" w:cstheme="majorBidi"/>
          <w:sz w:val="24"/>
          <w:szCs w:val="24"/>
        </w:rPr>
        <w:t xml:space="preserve"> </w:t>
      </w:r>
      <w:proofErr w:type="spellStart"/>
      <w:r w:rsidR="001F694C" w:rsidRPr="00133C85">
        <w:rPr>
          <w:rFonts w:asciiTheme="majorBidi" w:hAnsiTheme="majorBidi" w:cstheme="majorBidi"/>
          <w:sz w:val="24"/>
          <w:szCs w:val="24"/>
        </w:rPr>
        <w:t>Tamu</w:t>
      </w:r>
      <w:proofErr w:type="spellEnd"/>
      <w:r w:rsidR="001F694C" w:rsidRPr="00133C85">
        <w:rPr>
          <w:rFonts w:asciiTheme="majorBidi" w:hAnsiTheme="majorBidi" w:cstheme="majorBidi"/>
          <w:sz w:val="24"/>
          <w:szCs w:val="24"/>
        </w:rPr>
        <w:t>, stated:</w:t>
      </w:r>
      <w:r w:rsidR="001F694C" w:rsidRPr="00133C85">
        <w:rPr>
          <w:rStyle w:val="FootnoteReference"/>
          <w:rFonts w:asciiTheme="majorBidi" w:hAnsiTheme="majorBidi" w:cstheme="majorBidi"/>
          <w:sz w:val="24"/>
          <w:szCs w:val="24"/>
        </w:rPr>
        <w:footnoteReference w:id="43"/>
      </w:r>
    </w:p>
    <w:p w14:paraId="740141D9" w14:textId="4CB58EE0" w:rsidR="001F694C" w:rsidRPr="00133C85" w:rsidRDefault="001F694C" w:rsidP="00BB0FD7">
      <w:pPr>
        <w:spacing w:line="360" w:lineRule="auto"/>
        <w:ind w:left="720"/>
        <w:jc w:val="both"/>
        <w:rPr>
          <w:rFonts w:asciiTheme="majorBidi" w:hAnsiTheme="majorBidi" w:cstheme="majorBidi"/>
          <w:sz w:val="24"/>
          <w:szCs w:val="24"/>
          <w:lang w:val="en-US"/>
        </w:rPr>
      </w:pPr>
      <w:r w:rsidRPr="00133C85">
        <w:rPr>
          <w:rFonts w:asciiTheme="majorBidi" w:hAnsiTheme="majorBidi" w:cstheme="majorBidi"/>
          <w:sz w:val="24"/>
          <w:szCs w:val="24"/>
        </w:rPr>
        <w:t xml:space="preserve">‘You disconnect the people from their </w:t>
      </w:r>
      <w:proofErr w:type="gramStart"/>
      <w:r w:rsidRPr="00133C85">
        <w:rPr>
          <w:rFonts w:asciiTheme="majorBidi" w:hAnsiTheme="majorBidi" w:cstheme="majorBidi"/>
          <w:sz w:val="24"/>
          <w:szCs w:val="24"/>
        </w:rPr>
        <w:t>land</w:t>
      </w:r>
      <w:proofErr w:type="gramEnd"/>
      <w:r w:rsidRPr="00133C85">
        <w:rPr>
          <w:rFonts w:asciiTheme="majorBidi" w:hAnsiTheme="majorBidi" w:cstheme="majorBidi"/>
          <w:sz w:val="24"/>
          <w:szCs w:val="24"/>
        </w:rPr>
        <w:t xml:space="preserve"> and they don’t practise their traditions anymore. They don’t speak their language. Once we are disconnected from the land, we are disconnected from our culture, </w:t>
      </w:r>
      <w:proofErr w:type="gramStart"/>
      <w:r w:rsidRPr="00133C85">
        <w:rPr>
          <w:rFonts w:asciiTheme="majorBidi" w:hAnsiTheme="majorBidi" w:cstheme="majorBidi"/>
          <w:sz w:val="24"/>
          <w:szCs w:val="24"/>
        </w:rPr>
        <w:t>language</w:t>
      </w:r>
      <w:proofErr w:type="gramEnd"/>
      <w:r w:rsidRPr="00133C85">
        <w:rPr>
          <w:rFonts w:asciiTheme="majorBidi" w:hAnsiTheme="majorBidi" w:cstheme="majorBidi"/>
          <w:sz w:val="24"/>
          <w:szCs w:val="24"/>
        </w:rPr>
        <w:t xml:space="preserve"> and traditions. We will be climate change refugees in our own country. You take us away from our home and you stop us from practising our culture. I fear especially for my son’s future.’</w:t>
      </w:r>
    </w:p>
    <w:p w14:paraId="6A50A74F" w14:textId="43C51860" w:rsidR="006963DC" w:rsidRPr="00133C85" w:rsidRDefault="006963DC"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The claimants made several legal claims. In the context of human rights law, they argued </w:t>
      </w:r>
      <w:r w:rsidR="00ED0D1F" w:rsidRPr="00133C85">
        <w:rPr>
          <w:rFonts w:asciiTheme="majorBidi" w:hAnsiTheme="majorBidi" w:cstheme="majorBidi"/>
          <w:sz w:val="24"/>
          <w:szCs w:val="24"/>
        </w:rPr>
        <w:t>that the</w:t>
      </w:r>
      <w:r w:rsidR="00D46538" w:rsidRPr="00133C85">
        <w:rPr>
          <w:rFonts w:asciiTheme="majorBidi" w:hAnsiTheme="majorBidi" w:cstheme="majorBidi"/>
          <w:sz w:val="24"/>
          <w:szCs w:val="24"/>
        </w:rPr>
        <w:t xml:space="preserve"> </w:t>
      </w:r>
      <w:r w:rsidR="00ED0D1F" w:rsidRPr="00133C85">
        <w:rPr>
          <w:rFonts w:asciiTheme="majorBidi" w:hAnsiTheme="majorBidi" w:cstheme="majorBidi"/>
          <w:sz w:val="24"/>
          <w:szCs w:val="24"/>
        </w:rPr>
        <w:t xml:space="preserve">threat of displacement </w:t>
      </w:r>
      <w:r w:rsidR="003D166A" w:rsidRPr="00133C85">
        <w:rPr>
          <w:rFonts w:asciiTheme="majorBidi" w:hAnsiTheme="majorBidi" w:cstheme="majorBidi"/>
          <w:sz w:val="24"/>
          <w:szCs w:val="24"/>
        </w:rPr>
        <w:t>could</w:t>
      </w:r>
      <w:r w:rsidR="00ED0D1F" w:rsidRPr="00133C85">
        <w:rPr>
          <w:rFonts w:asciiTheme="majorBidi" w:hAnsiTheme="majorBidi" w:cstheme="majorBidi"/>
          <w:sz w:val="24"/>
          <w:szCs w:val="24"/>
        </w:rPr>
        <w:t xml:space="preserve"> lead to the breaching of the </w:t>
      </w:r>
      <w:r w:rsidR="00D46538" w:rsidRPr="00133C85">
        <w:rPr>
          <w:rFonts w:asciiTheme="majorBidi" w:hAnsiTheme="majorBidi" w:cstheme="majorBidi"/>
          <w:sz w:val="24"/>
          <w:szCs w:val="24"/>
        </w:rPr>
        <w:t xml:space="preserve">ICCPR, </w:t>
      </w:r>
      <w:r w:rsidR="00ED0D1F" w:rsidRPr="00133C85">
        <w:rPr>
          <w:rFonts w:asciiTheme="majorBidi" w:hAnsiTheme="majorBidi" w:cstheme="majorBidi"/>
          <w:sz w:val="24"/>
          <w:szCs w:val="24"/>
        </w:rPr>
        <w:t>notably</w:t>
      </w:r>
      <w:r w:rsidR="00D46538" w:rsidRPr="00133C85">
        <w:rPr>
          <w:rFonts w:asciiTheme="majorBidi" w:hAnsiTheme="majorBidi" w:cstheme="majorBidi"/>
          <w:sz w:val="24"/>
          <w:szCs w:val="24"/>
        </w:rPr>
        <w:t xml:space="preserve"> </w:t>
      </w:r>
      <w:r w:rsidRPr="00133C85">
        <w:rPr>
          <w:rFonts w:asciiTheme="majorBidi" w:hAnsiTheme="majorBidi" w:cstheme="majorBidi"/>
          <w:sz w:val="24"/>
          <w:szCs w:val="24"/>
        </w:rPr>
        <w:t>Article</w:t>
      </w:r>
      <w:r w:rsidR="00ED0D1F" w:rsidRPr="00133C85">
        <w:rPr>
          <w:rFonts w:asciiTheme="majorBidi" w:hAnsiTheme="majorBidi" w:cstheme="majorBidi"/>
          <w:sz w:val="24"/>
          <w:szCs w:val="24"/>
        </w:rPr>
        <w:t>s</w:t>
      </w:r>
      <w:r w:rsidRPr="00133C85">
        <w:rPr>
          <w:rFonts w:asciiTheme="majorBidi" w:hAnsiTheme="majorBidi" w:cstheme="majorBidi"/>
          <w:sz w:val="24"/>
          <w:szCs w:val="24"/>
        </w:rPr>
        <w:t xml:space="preserve"> 6 (right to life), 27 (right to culture),</w:t>
      </w:r>
      <w:r w:rsidRPr="00133C85">
        <w:rPr>
          <w:rStyle w:val="FootnoteReference"/>
          <w:rFonts w:asciiTheme="majorBidi" w:hAnsiTheme="majorBidi" w:cstheme="majorBidi"/>
          <w:sz w:val="24"/>
          <w:szCs w:val="24"/>
        </w:rPr>
        <w:footnoteReference w:id="44"/>
      </w:r>
      <w:r w:rsidR="00D46538" w:rsidRPr="00133C85">
        <w:rPr>
          <w:rFonts w:asciiTheme="majorBidi" w:hAnsiTheme="majorBidi" w:cstheme="majorBidi"/>
          <w:sz w:val="24"/>
          <w:szCs w:val="24"/>
        </w:rPr>
        <w:t xml:space="preserve"> and Article 17</w:t>
      </w:r>
      <w:r w:rsidRPr="00133C85">
        <w:rPr>
          <w:rFonts w:asciiTheme="majorBidi" w:hAnsiTheme="majorBidi" w:cstheme="majorBidi"/>
          <w:sz w:val="24"/>
          <w:szCs w:val="24"/>
        </w:rPr>
        <w:t xml:space="preserve"> </w:t>
      </w:r>
      <w:r w:rsidR="00D46538" w:rsidRPr="00133C85">
        <w:rPr>
          <w:rFonts w:asciiTheme="majorBidi" w:hAnsiTheme="majorBidi" w:cstheme="majorBidi"/>
          <w:sz w:val="24"/>
          <w:szCs w:val="24"/>
        </w:rPr>
        <w:t>(</w:t>
      </w:r>
      <w:r w:rsidR="0024250A" w:rsidRPr="00133C85">
        <w:rPr>
          <w:rFonts w:asciiTheme="majorBidi" w:hAnsiTheme="majorBidi" w:cstheme="majorBidi"/>
          <w:sz w:val="24"/>
          <w:szCs w:val="24"/>
        </w:rPr>
        <w:t>protection against unlawful interference with</w:t>
      </w:r>
      <w:r w:rsidRPr="00133C85">
        <w:rPr>
          <w:rFonts w:asciiTheme="majorBidi" w:hAnsiTheme="majorBidi" w:cstheme="majorBidi"/>
          <w:sz w:val="24"/>
          <w:szCs w:val="24"/>
        </w:rPr>
        <w:t xml:space="preserve"> privacy, family and home</w:t>
      </w:r>
      <w:r w:rsidR="00D46538" w:rsidRPr="00133C85">
        <w:rPr>
          <w:rFonts w:asciiTheme="majorBidi" w:hAnsiTheme="majorBidi" w:cstheme="majorBidi"/>
          <w:sz w:val="24"/>
          <w:szCs w:val="24"/>
        </w:rPr>
        <w:t>).</w:t>
      </w:r>
      <w:r w:rsidRPr="00133C85">
        <w:rPr>
          <w:rStyle w:val="FootnoteReference"/>
          <w:rFonts w:asciiTheme="majorBidi" w:hAnsiTheme="majorBidi" w:cstheme="majorBidi"/>
          <w:sz w:val="24"/>
          <w:szCs w:val="24"/>
        </w:rPr>
        <w:footnoteReference w:id="45"/>
      </w:r>
      <w:r w:rsidR="00D46538" w:rsidRPr="00133C85">
        <w:rPr>
          <w:rFonts w:asciiTheme="majorBidi" w:hAnsiTheme="majorBidi" w:cstheme="majorBidi"/>
          <w:sz w:val="24"/>
          <w:szCs w:val="24"/>
        </w:rPr>
        <w:t xml:space="preserve"> The claimants asked for full reparation (‘including restitution, compensation, rehabilitation and measures of satisfaction’</w:t>
      </w:r>
      <w:r w:rsidR="00D46538" w:rsidRPr="00133C85">
        <w:rPr>
          <w:rStyle w:val="FootnoteReference"/>
          <w:rFonts w:asciiTheme="majorBidi" w:hAnsiTheme="majorBidi" w:cstheme="majorBidi"/>
          <w:sz w:val="24"/>
          <w:szCs w:val="24"/>
        </w:rPr>
        <w:footnoteReference w:id="46"/>
      </w:r>
      <w:r w:rsidR="00D46538" w:rsidRPr="00133C85">
        <w:rPr>
          <w:rFonts w:asciiTheme="majorBidi" w:hAnsiTheme="majorBidi" w:cstheme="majorBidi"/>
          <w:sz w:val="24"/>
          <w:szCs w:val="24"/>
        </w:rPr>
        <w:t>)</w:t>
      </w:r>
      <w:r w:rsidR="001469A9" w:rsidRPr="00133C85">
        <w:rPr>
          <w:rFonts w:asciiTheme="majorBidi" w:hAnsiTheme="majorBidi" w:cstheme="majorBidi"/>
          <w:sz w:val="24"/>
          <w:szCs w:val="24"/>
        </w:rPr>
        <w:t xml:space="preserve">, as well as </w:t>
      </w:r>
      <w:r w:rsidR="00ED0D1F" w:rsidRPr="00133C85">
        <w:rPr>
          <w:rFonts w:asciiTheme="majorBidi" w:hAnsiTheme="majorBidi" w:cstheme="majorBidi"/>
          <w:sz w:val="24"/>
          <w:szCs w:val="24"/>
        </w:rPr>
        <w:t>adaptation measures</w:t>
      </w:r>
      <w:r w:rsidR="001469A9" w:rsidRPr="00133C85">
        <w:rPr>
          <w:rFonts w:asciiTheme="majorBidi" w:hAnsiTheme="majorBidi" w:cstheme="majorBidi"/>
          <w:sz w:val="24"/>
          <w:szCs w:val="24"/>
        </w:rPr>
        <w:t xml:space="preserve"> (including measures that will secure the safe existence of the communities)</w:t>
      </w:r>
      <w:r w:rsidR="001469A9" w:rsidRPr="00133C85">
        <w:rPr>
          <w:rStyle w:val="FootnoteReference"/>
          <w:rFonts w:asciiTheme="majorBidi" w:hAnsiTheme="majorBidi" w:cstheme="majorBidi"/>
          <w:sz w:val="24"/>
          <w:szCs w:val="24"/>
        </w:rPr>
        <w:footnoteReference w:id="47"/>
      </w:r>
      <w:r w:rsidR="001469A9" w:rsidRPr="00133C85">
        <w:rPr>
          <w:rFonts w:asciiTheme="majorBidi" w:hAnsiTheme="majorBidi" w:cstheme="majorBidi"/>
          <w:sz w:val="24"/>
          <w:szCs w:val="24"/>
        </w:rPr>
        <w:t xml:space="preserve"> and mitigation measures (</w:t>
      </w:r>
      <w:r w:rsidR="001469A9" w:rsidRPr="00133C85">
        <w:rPr>
          <w:rFonts w:asciiTheme="majorBidi" w:hAnsiTheme="majorBidi" w:cstheme="majorBidi"/>
          <w:i/>
          <w:iCs/>
          <w:sz w:val="24"/>
          <w:szCs w:val="24"/>
        </w:rPr>
        <w:t xml:space="preserve">inter alia </w:t>
      </w:r>
      <w:r w:rsidR="001469A9" w:rsidRPr="00133C85">
        <w:rPr>
          <w:rFonts w:asciiTheme="majorBidi" w:hAnsiTheme="majorBidi" w:cstheme="majorBidi"/>
          <w:sz w:val="24"/>
          <w:szCs w:val="24"/>
        </w:rPr>
        <w:t xml:space="preserve">cutting </w:t>
      </w:r>
      <w:r w:rsidR="00ED0D1F" w:rsidRPr="00133C85">
        <w:rPr>
          <w:rFonts w:asciiTheme="majorBidi" w:hAnsiTheme="majorBidi" w:cstheme="majorBidi"/>
          <w:sz w:val="24"/>
          <w:szCs w:val="24"/>
        </w:rPr>
        <w:t xml:space="preserve">Australia’s </w:t>
      </w:r>
      <w:r w:rsidR="001469A9" w:rsidRPr="00133C85">
        <w:rPr>
          <w:rFonts w:asciiTheme="majorBidi" w:hAnsiTheme="majorBidi" w:cstheme="majorBidi"/>
          <w:sz w:val="24"/>
          <w:szCs w:val="24"/>
        </w:rPr>
        <w:t>emissions by at least 65% by 2030)</w:t>
      </w:r>
      <w:r w:rsidR="003D166A" w:rsidRPr="00133C85">
        <w:rPr>
          <w:rFonts w:asciiTheme="majorBidi" w:hAnsiTheme="majorBidi" w:cstheme="majorBidi"/>
          <w:sz w:val="24"/>
          <w:szCs w:val="24"/>
        </w:rPr>
        <w:t xml:space="preserve"> </w:t>
      </w:r>
      <w:r w:rsidR="00E97362">
        <w:rPr>
          <w:rFonts w:asciiTheme="majorBidi" w:hAnsiTheme="majorBidi" w:cstheme="majorBidi"/>
          <w:sz w:val="24"/>
          <w:szCs w:val="24"/>
        </w:rPr>
        <w:t>in order to</w:t>
      </w:r>
      <w:r w:rsidR="003D166A" w:rsidRPr="00133C85">
        <w:rPr>
          <w:rFonts w:asciiTheme="majorBidi" w:hAnsiTheme="majorBidi" w:cstheme="majorBidi"/>
          <w:sz w:val="24"/>
          <w:szCs w:val="24"/>
        </w:rPr>
        <w:t xml:space="preserve"> prevent their displaceme</w:t>
      </w:r>
      <w:r w:rsidR="00E97362">
        <w:rPr>
          <w:rFonts w:asciiTheme="majorBidi" w:hAnsiTheme="majorBidi" w:cstheme="majorBidi"/>
          <w:sz w:val="24"/>
          <w:szCs w:val="24"/>
        </w:rPr>
        <w:t>n</w:t>
      </w:r>
      <w:r w:rsidR="003D166A" w:rsidRPr="00133C85">
        <w:rPr>
          <w:rFonts w:asciiTheme="majorBidi" w:hAnsiTheme="majorBidi" w:cstheme="majorBidi"/>
          <w:sz w:val="24"/>
          <w:szCs w:val="24"/>
        </w:rPr>
        <w:t>t</w:t>
      </w:r>
      <w:r w:rsidR="001469A9" w:rsidRPr="00133C85">
        <w:rPr>
          <w:rFonts w:asciiTheme="majorBidi" w:hAnsiTheme="majorBidi" w:cstheme="majorBidi"/>
          <w:sz w:val="24"/>
          <w:szCs w:val="24"/>
        </w:rPr>
        <w:t xml:space="preserve">. </w:t>
      </w:r>
    </w:p>
    <w:p w14:paraId="2A2A6475" w14:textId="5E7F2F8E" w:rsidR="001E560D" w:rsidRPr="00133C85" w:rsidRDefault="001E560D"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With respect to the right to life (Article 6), the HRC continued </w:t>
      </w:r>
      <w:r w:rsidR="00AC42C8" w:rsidRPr="00133C85">
        <w:rPr>
          <w:rFonts w:asciiTheme="majorBidi" w:hAnsiTheme="majorBidi" w:cstheme="majorBidi"/>
          <w:sz w:val="24"/>
          <w:szCs w:val="24"/>
        </w:rPr>
        <w:t>the line drawn in</w:t>
      </w:r>
      <w:r w:rsidRPr="00133C85">
        <w:rPr>
          <w:rFonts w:asciiTheme="majorBidi" w:hAnsiTheme="majorBidi" w:cstheme="majorBidi"/>
          <w:sz w:val="24"/>
          <w:szCs w:val="24"/>
        </w:rPr>
        <w:t xml:space="preserve"> </w:t>
      </w:r>
      <w:proofErr w:type="spellStart"/>
      <w:r w:rsidRPr="00133C85">
        <w:rPr>
          <w:rFonts w:asciiTheme="majorBidi" w:hAnsiTheme="majorBidi" w:cstheme="majorBidi"/>
          <w:i/>
          <w:iCs/>
          <w:sz w:val="24"/>
          <w:szCs w:val="24"/>
        </w:rPr>
        <w:t>Teitiota</w:t>
      </w:r>
      <w:proofErr w:type="spellEnd"/>
      <w:r w:rsidRPr="00133C85">
        <w:rPr>
          <w:rFonts w:asciiTheme="majorBidi" w:hAnsiTheme="majorBidi" w:cstheme="majorBidi"/>
          <w:i/>
          <w:iCs/>
          <w:sz w:val="24"/>
          <w:szCs w:val="24"/>
        </w:rPr>
        <w:t xml:space="preserve">, </w:t>
      </w:r>
      <w:r w:rsidRPr="00133C85">
        <w:rPr>
          <w:rFonts w:asciiTheme="majorBidi" w:hAnsiTheme="majorBidi" w:cstheme="majorBidi"/>
          <w:sz w:val="24"/>
          <w:szCs w:val="24"/>
        </w:rPr>
        <w:t xml:space="preserve">explicitly noting that while the impacts of climate change </w:t>
      </w:r>
      <w:r w:rsidRPr="00133C85">
        <w:rPr>
          <w:rFonts w:asciiTheme="majorBidi" w:hAnsiTheme="majorBidi" w:cstheme="majorBidi"/>
          <w:i/>
          <w:iCs/>
          <w:sz w:val="24"/>
          <w:szCs w:val="24"/>
        </w:rPr>
        <w:t xml:space="preserve">could </w:t>
      </w:r>
      <w:r w:rsidRPr="00133C85">
        <w:rPr>
          <w:rFonts w:asciiTheme="majorBidi" w:hAnsiTheme="majorBidi" w:cstheme="majorBidi"/>
          <w:sz w:val="24"/>
          <w:szCs w:val="24"/>
        </w:rPr>
        <w:t xml:space="preserve">result </w:t>
      </w:r>
      <w:r w:rsidR="00830857">
        <w:rPr>
          <w:rFonts w:asciiTheme="majorBidi" w:hAnsiTheme="majorBidi" w:cstheme="majorBidi"/>
          <w:sz w:val="24"/>
          <w:szCs w:val="24"/>
        </w:rPr>
        <w:t>in</w:t>
      </w:r>
      <w:r w:rsidRPr="00133C85">
        <w:rPr>
          <w:rFonts w:asciiTheme="majorBidi" w:hAnsiTheme="majorBidi" w:cstheme="majorBidi"/>
          <w:sz w:val="24"/>
          <w:szCs w:val="24"/>
        </w:rPr>
        <w:t xml:space="preserve"> a breach of </w:t>
      </w:r>
      <w:r w:rsidR="00830857">
        <w:rPr>
          <w:rFonts w:asciiTheme="majorBidi" w:hAnsiTheme="majorBidi" w:cstheme="majorBidi"/>
          <w:sz w:val="24"/>
          <w:szCs w:val="24"/>
        </w:rPr>
        <w:t xml:space="preserve">the </w:t>
      </w:r>
      <w:r w:rsidRPr="00133C85">
        <w:rPr>
          <w:rFonts w:asciiTheme="majorBidi" w:hAnsiTheme="majorBidi" w:cstheme="majorBidi"/>
          <w:sz w:val="24"/>
          <w:szCs w:val="24"/>
        </w:rPr>
        <w:t xml:space="preserve"> right to life,</w:t>
      </w:r>
      <w:r w:rsidRPr="00133C85">
        <w:rPr>
          <w:rStyle w:val="FootnoteReference"/>
          <w:rFonts w:asciiTheme="majorBidi" w:hAnsiTheme="majorBidi" w:cstheme="majorBidi"/>
          <w:sz w:val="24"/>
          <w:szCs w:val="24"/>
        </w:rPr>
        <w:footnoteReference w:id="48"/>
      </w:r>
      <w:r w:rsidRPr="00133C85">
        <w:rPr>
          <w:rFonts w:asciiTheme="majorBidi" w:hAnsiTheme="majorBidi" w:cstheme="majorBidi"/>
          <w:sz w:val="24"/>
          <w:szCs w:val="24"/>
        </w:rPr>
        <w:t xml:space="preserve"> in the case at hand the petitioners did not establish that they are facing adverse impacts </w:t>
      </w:r>
      <w:r w:rsidR="00CD520A" w:rsidRPr="00133C85">
        <w:rPr>
          <w:rFonts w:asciiTheme="majorBidi" w:hAnsiTheme="majorBidi" w:cstheme="majorBidi"/>
          <w:sz w:val="24"/>
          <w:szCs w:val="24"/>
        </w:rPr>
        <w:t>that could threaten their right to life with dignity.</w:t>
      </w:r>
      <w:r w:rsidR="00CD520A" w:rsidRPr="00133C85">
        <w:rPr>
          <w:rStyle w:val="FootnoteReference"/>
          <w:rFonts w:asciiTheme="majorBidi" w:hAnsiTheme="majorBidi" w:cstheme="majorBidi"/>
          <w:sz w:val="24"/>
          <w:szCs w:val="24"/>
        </w:rPr>
        <w:footnoteReference w:id="49"/>
      </w:r>
      <w:r w:rsidR="00CD520A" w:rsidRPr="00133C85">
        <w:rPr>
          <w:rFonts w:asciiTheme="majorBidi" w:hAnsiTheme="majorBidi" w:cstheme="majorBidi"/>
          <w:sz w:val="24"/>
          <w:szCs w:val="24"/>
        </w:rPr>
        <w:t xml:space="preserve"> </w:t>
      </w:r>
      <w:r w:rsidR="00830857">
        <w:rPr>
          <w:rFonts w:asciiTheme="majorBidi" w:hAnsiTheme="majorBidi" w:cstheme="majorBidi"/>
          <w:sz w:val="24"/>
          <w:szCs w:val="24"/>
        </w:rPr>
        <w:t>In this respect t</w:t>
      </w:r>
      <w:r w:rsidR="00CD520A" w:rsidRPr="00133C85">
        <w:rPr>
          <w:rFonts w:asciiTheme="majorBidi" w:hAnsiTheme="majorBidi" w:cstheme="majorBidi"/>
          <w:sz w:val="24"/>
          <w:szCs w:val="24"/>
        </w:rPr>
        <w:t>he HRC mention</w:t>
      </w:r>
      <w:r w:rsidR="00AC42C8" w:rsidRPr="00133C85">
        <w:rPr>
          <w:rFonts w:asciiTheme="majorBidi" w:hAnsiTheme="majorBidi" w:cstheme="majorBidi"/>
          <w:sz w:val="24"/>
          <w:szCs w:val="24"/>
        </w:rPr>
        <w:t>ed</w:t>
      </w:r>
      <w:r w:rsidR="00CD520A" w:rsidRPr="00133C85">
        <w:rPr>
          <w:rFonts w:asciiTheme="majorBidi" w:hAnsiTheme="majorBidi" w:cstheme="majorBidi"/>
          <w:sz w:val="24"/>
          <w:szCs w:val="24"/>
        </w:rPr>
        <w:t xml:space="preserve"> adaptation measures taken by Australia including the Torres Strait Seawalls Program and the millions of dollars invested in these efforts that, hopefully, will mitigate the danger faced by </w:t>
      </w:r>
      <w:r w:rsidR="00CD520A" w:rsidRPr="00133C85">
        <w:rPr>
          <w:rFonts w:asciiTheme="majorBidi" w:hAnsiTheme="majorBidi" w:cstheme="majorBidi"/>
          <w:sz w:val="24"/>
          <w:szCs w:val="24"/>
        </w:rPr>
        <w:lastRenderedPageBreak/>
        <w:t>the petitioners and prevent future dire predictions.</w:t>
      </w:r>
      <w:r w:rsidR="00CD520A" w:rsidRPr="00133C85">
        <w:rPr>
          <w:rStyle w:val="FootnoteReference"/>
          <w:rFonts w:asciiTheme="majorBidi" w:hAnsiTheme="majorBidi" w:cstheme="majorBidi"/>
          <w:sz w:val="24"/>
          <w:szCs w:val="24"/>
        </w:rPr>
        <w:footnoteReference w:id="50"/>
      </w:r>
      <w:r w:rsidR="00CD520A" w:rsidRPr="00133C85">
        <w:rPr>
          <w:rFonts w:asciiTheme="majorBidi" w:hAnsiTheme="majorBidi" w:cstheme="majorBidi"/>
          <w:sz w:val="24"/>
          <w:szCs w:val="24"/>
        </w:rPr>
        <w:t xml:space="preserve"> </w:t>
      </w:r>
      <w:r w:rsidR="00BE07DE">
        <w:rPr>
          <w:rFonts w:asciiTheme="majorBidi" w:hAnsiTheme="majorBidi" w:cstheme="majorBidi"/>
          <w:sz w:val="24"/>
          <w:szCs w:val="24"/>
        </w:rPr>
        <w:t>T</w:t>
      </w:r>
      <w:r w:rsidR="00CD520A" w:rsidRPr="00133C85">
        <w:rPr>
          <w:rFonts w:asciiTheme="majorBidi" w:hAnsiTheme="majorBidi" w:cstheme="majorBidi"/>
          <w:sz w:val="24"/>
          <w:szCs w:val="24"/>
        </w:rPr>
        <w:t>he HRC</w:t>
      </w:r>
      <w:r w:rsidR="00AC42C8" w:rsidRPr="00133C85">
        <w:rPr>
          <w:rFonts w:asciiTheme="majorBidi" w:hAnsiTheme="majorBidi" w:cstheme="majorBidi"/>
          <w:sz w:val="24"/>
          <w:szCs w:val="24"/>
        </w:rPr>
        <w:t>’s</w:t>
      </w:r>
      <w:r w:rsidR="00CD520A" w:rsidRPr="00133C85">
        <w:rPr>
          <w:rFonts w:asciiTheme="majorBidi" w:hAnsiTheme="majorBidi" w:cstheme="majorBidi"/>
          <w:sz w:val="24"/>
          <w:szCs w:val="24"/>
        </w:rPr>
        <w:t xml:space="preserve"> comments </w:t>
      </w:r>
      <w:r w:rsidR="00BE07DE">
        <w:rPr>
          <w:rFonts w:asciiTheme="majorBidi" w:hAnsiTheme="majorBidi" w:cstheme="majorBidi"/>
          <w:sz w:val="24"/>
          <w:szCs w:val="24"/>
        </w:rPr>
        <w:t xml:space="preserve">therefore </w:t>
      </w:r>
      <w:r w:rsidR="00CD520A" w:rsidRPr="00133C85">
        <w:rPr>
          <w:rFonts w:asciiTheme="majorBidi" w:hAnsiTheme="majorBidi" w:cstheme="majorBidi"/>
          <w:sz w:val="24"/>
          <w:szCs w:val="24"/>
        </w:rPr>
        <w:t>did not develop the law in any meaningful way</w:t>
      </w:r>
      <w:r w:rsidR="00BE07DE">
        <w:rPr>
          <w:rFonts w:asciiTheme="majorBidi" w:hAnsiTheme="majorBidi" w:cstheme="majorBidi"/>
          <w:sz w:val="24"/>
          <w:szCs w:val="24"/>
        </w:rPr>
        <w:t xml:space="preserve"> in relation to the right to life</w:t>
      </w:r>
      <w:r w:rsidR="00CD520A" w:rsidRPr="00133C85">
        <w:rPr>
          <w:rFonts w:asciiTheme="majorBidi" w:hAnsiTheme="majorBidi" w:cstheme="majorBidi"/>
          <w:sz w:val="24"/>
          <w:szCs w:val="24"/>
        </w:rPr>
        <w:t>. It did, however, provide an indication for states</w:t>
      </w:r>
      <w:r w:rsidR="00B534C1" w:rsidRPr="00133C85">
        <w:rPr>
          <w:rFonts w:asciiTheme="majorBidi" w:hAnsiTheme="majorBidi" w:cstheme="majorBidi"/>
          <w:sz w:val="24"/>
          <w:szCs w:val="24"/>
        </w:rPr>
        <w:t xml:space="preserve"> according to which investment in preventive adaptation measures could be used as a defence against arguments regarding the right to life. </w:t>
      </w:r>
    </w:p>
    <w:p w14:paraId="7F271850" w14:textId="506F0B78" w:rsidR="00555734" w:rsidRPr="00133C85" w:rsidRDefault="00555734" w:rsidP="00BB0FD7">
      <w:pPr>
        <w:spacing w:line="360" w:lineRule="auto"/>
        <w:jc w:val="both"/>
        <w:rPr>
          <w:rFonts w:asciiTheme="majorBidi" w:hAnsiTheme="majorBidi" w:cstheme="majorBidi"/>
          <w:sz w:val="24"/>
          <w:szCs w:val="24"/>
        </w:rPr>
      </w:pPr>
      <w:r w:rsidRPr="00133C85">
        <w:rPr>
          <w:rFonts w:asciiTheme="majorBidi" w:eastAsia="SimSun" w:hAnsiTheme="majorBidi" w:cstheme="majorBidi"/>
          <w:sz w:val="24"/>
          <w:szCs w:val="24"/>
          <w:lang w:eastAsia="zh-CN"/>
        </w:rPr>
        <w:t xml:space="preserve">Interestingly from the perspective of climate migration, the HRC explicitly noted that the possible internal relocation of the petitioners into mainland Australia (the petitioners are Australian citizens) before the islands </w:t>
      </w:r>
      <w:r w:rsidR="00B94DDC" w:rsidRPr="00133C85">
        <w:rPr>
          <w:rFonts w:asciiTheme="majorBidi" w:eastAsia="SimSun" w:hAnsiTheme="majorBidi" w:cstheme="majorBidi"/>
          <w:sz w:val="24"/>
          <w:szCs w:val="24"/>
          <w:lang w:eastAsia="zh-CN"/>
        </w:rPr>
        <w:t>will become</w:t>
      </w:r>
      <w:r w:rsidRPr="00133C85">
        <w:rPr>
          <w:rFonts w:asciiTheme="majorBidi" w:eastAsia="SimSun" w:hAnsiTheme="majorBidi" w:cstheme="majorBidi"/>
          <w:sz w:val="24"/>
          <w:szCs w:val="24"/>
          <w:lang w:eastAsia="zh-CN"/>
        </w:rPr>
        <w:t xml:space="preserve"> inhabitable, </w:t>
      </w:r>
      <w:r w:rsidR="00B94DDC" w:rsidRPr="00133C85">
        <w:rPr>
          <w:rFonts w:asciiTheme="majorBidi" w:eastAsia="SimSun" w:hAnsiTheme="majorBidi" w:cstheme="majorBidi"/>
          <w:sz w:val="24"/>
          <w:szCs w:val="24"/>
          <w:lang w:eastAsia="zh-CN"/>
        </w:rPr>
        <w:t>is supportive of the fact that their lives are not under direct threat.</w:t>
      </w:r>
      <w:r w:rsidR="00B94DDC" w:rsidRPr="00133C85">
        <w:rPr>
          <w:rStyle w:val="FootnoteReference"/>
          <w:rFonts w:asciiTheme="majorBidi" w:eastAsia="SimSun" w:hAnsiTheme="majorBidi" w:cstheme="majorBidi"/>
          <w:sz w:val="24"/>
          <w:szCs w:val="24"/>
          <w:lang w:eastAsia="zh-CN"/>
        </w:rPr>
        <w:footnoteReference w:id="51"/>
      </w:r>
      <w:r w:rsidR="00B94DDC" w:rsidRPr="00133C85">
        <w:rPr>
          <w:rFonts w:asciiTheme="majorBidi" w:eastAsia="SimSun" w:hAnsiTheme="majorBidi" w:cstheme="majorBidi"/>
          <w:sz w:val="24"/>
          <w:szCs w:val="24"/>
          <w:lang w:eastAsia="zh-CN"/>
        </w:rPr>
        <w:t xml:space="preserve"> </w:t>
      </w:r>
      <w:r w:rsidR="00892338" w:rsidRPr="00133C85">
        <w:rPr>
          <w:rFonts w:asciiTheme="majorBidi" w:eastAsia="SimSun" w:hAnsiTheme="majorBidi" w:cstheme="majorBidi"/>
          <w:sz w:val="24"/>
          <w:szCs w:val="24"/>
          <w:lang w:eastAsia="zh-CN"/>
        </w:rPr>
        <w:t xml:space="preserve">Displacement, so it seems, </w:t>
      </w:r>
      <w:r w:rsidR="00F22B8E">
        <w:rPr>
          <w:rFonts w:asciiTheme="majorBidi" w:eastAsia="SimSun" w:hAnsiTheme="majorBidi" w:cstheme="majorBidi"/>
          <w:sz w:val="24"/>
          <w:szCs w:val="24"/>
          <w:lang w:eastAsia="zh-CN"/>
        </w:rPr>
        <w:t xml:space="preserve">and rather perversely, </w:t>
      </w:r>
      <w:r w:rsidR="00892338" w:rsidRPr="00133C85">
        <w:rPr>
          <w:rFonts w:asciiTheme="majorBidi" w:eastAsia="SimSun" w:hAnsiTheme="majorBidi" w:cstheme="majorBidi"/>
          <w:sz w:val="24"/>
          <w:szCs w:val="24"/>
          <w:lang w:eastAsia="zh-CN"/>
        </w:rPr>
        <w:t>is not only a ‘harm’ but also a possible legal defence</w:t>
      </w:r>
      <w:r w:rsidR="00F22B8E">
        <w:rPr>
          <w:rFonts w:asciiTheme="majorBidi" w:eastAsia="SimSun" w:hAnsiTheme="majorBidi" w:cstheme="majorBidi"/>
          <w:sz w:val="24"/>
          <w:szCs w:val="24"/>
          <w:lang w:eastAsia="zh-CN"/>
        </w:rPr>
        <w:t xml:space="preserve"> against claims made by those who are displaced</w:t>
      </w:r>
      <w:r w:rsidR="00892338" w:rsidRPr="00133C85">
        <w:rPr>
          <w:rFonts w:asciiTheme="majorBidi" w:eastAsia="SimSun" w:hAnsiTheme="majorBidi" w:cstheme="majorBidi"/>
          <w:sz w:val="24"/>
          <w:szCs w:val="24"/>
          <w:lang w:eastAsia="zh-CN"/>
        </w:rPr>
        <w:t>.</w:t>
      </w:r>
      <w:r w:rsidR="00892338" w:rsidRPr="00133C85">
        <w:rPr>
          <w:rStyle w:val="FootnoteReference"/>
          <w:rFonts w:asciiTheme="majorBidi" w:eastAsia="SimSun" w:hAnsiTheme="majorBidi" w:cstheme="majorBidi"/>
          <w:sz w:val="24"/>
          <w:szCs w:val="24"/>
          <w:lang w:eastAsia="zh-CN"/>
        </w:rPr>
        <w:footnoteReference w:id="52"/>
      </w:r>
      <w:r w:rsidR="00892338" w:rsidRPr="00133C85">
        <w:rPr>
          <w:rFonts w:asciiTheme="majorBidi" w:eastAsia="SimSun" w:hAnsiTheme="majorBidi" w:cstheme="majorBidi"/>
          <w:sz w:val="24"/>
          <w:szCs w:val="24"/>
          <w:lang w:eastAsia="zh-CN"/>
        </w:rPr>
        <w:t xml:space="preserve"> </w:t>
      </w:r>
    </w:p>
    <w:p w14:paraId="6F4C0CE6" w14:textId="0179AB60" w:rsidR="00473C62" w:rsidRPr="00133C85" w:rsidRDefault="00CD520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Regarding the </w:t>
      </w:r>
      <w:r w:rsidR="0024250A" w:rsidRPr="00133C85">
        <w:rPr>
          <w:rFonts w:asciiTheme="majorBidi" w:hAnsiTheme="majorBidi" w:cstheme="majorBidi"/>
          <w:sz w:val="24"/>
          <w:szCs w:val="24"/>
        </w:rPr>
        <w:t>protection against unlawful interference with</w:t>
      </w:r>
      <w:r w:rsidR="0022471F" w:rsidRPr="00133C85">
        <w:rPr>
          <w:rFonts w:asciiTheme="majorBidi" w:hAnsiTheme="majorBidi" w:cstheme="majorBidi"/>
          <w:sz w:val="24"/>
          <w:szCs w:val="24"/>
        </w:rPr>
        <w:t xml:space="preserve"> privacy, family and home (Article 17), here</w:t>
      </w:r>
      <w:r w:rsidR="007143C0">
        <w:rPr>
          <w:rFonts w:asciiTheme="majorBidi" w:hAnsiTheme="majorBidi" w:cstheme="majorBidi"/>
          <w:sz w:val="24"/>
          <w:szCs w:val="24"/>
        </w:rPr>
        <w:t xml:space="preserve"> also</w:t>
      </w:r>
      <w:r w:rsidR="0022471F" w:rsidRPr="00133C85">
        <w:rPr>
          <w:rFonts w:asciiTheme="majorBidi" w:hAnsiTheme="majorBidi" w:cstheme="majorBidi"/>
          <w:sz w:val="24"/>
          <w:szCs w:val="24"/>
        </w:rPr>
        <w:t xml:space="preserve"> the HRC mentioned the variety of programs and steps taken by the Australian government for the purpose of </w:t>
      </w:r>
      <w:r w:rsidR="009679BE" w:rsidRPr="00133C85">
        <w:rPr>
          <w:rFonts w:asciiTheme="majorBidi" w:hAnsiTheme="majorBidi" w:cstheme="majorBidi"/>
          <w:sz w:val="24"/>
          <w:szCs w:val="24"/>
        </w:rPr>
        <w:t>alleviating the harms caused by climate change</w:t>
      </w:r>
      <w:r w:rsidR="00F3703F" w:rsidRPr="00133C85">
        <w:rPr>
          <w:rFonts w:asciiTheme="majorBidi" w:hAnsiTheme="majorBidi" w:cstheme="majorBidi"/>
          <w:sz w:val="24"/>
          <w:szCs w:val="24"/>
        </w:rPr>
        <w:t>.</w:t>
      </w:r>
      <w:r w:rsidR="00F3703F" w:rsidRPr="00133C85">
        <w:rPr>
          <w:rStyle w:val="FootnoteReference"/>
          <w:rFonts w:asciiTheme="majorBidi" w:hAnsiTheme="majorBidi" w:cstheme="majorBidi"/>
          <w:sz w:val="24"/>
          <w:szCs w:val="24"/>
        </w:rPr>
        <w:footnoteReference w:id="53"/>
      </w:r>
      <w:r w:rsidR="00F3703F" w:rsidRPr="00133C85">
        <w:rPr>
          <w:rFonts w:asciiTheme="majorBidi" w:hAnsiTheme="majorBidi" w:cstheme="majorBidi"/>
          <w:sz w:val="24"/>
          <w:szCs w:val="24"/>
        </w:rPr>
        <w:t xml:space="preserve"> </w:t>
      </w:r>
      <w:r w:rsidR="00AC42C8" w:rsidRPr="00133C85">
        <w:rPr>
          <w:rFonts w:asciiTheme="majorBidi" w:hAnsiTheme="majorBidi" w:cstheme="majorBidi"/>
          <w:sz w:val="24"/>
          <w:szCs w:val="24"/>
        </w:rPr>
        <w:t>On this claim</w:t>
      </w:r>
      <w:r w:rsidR="00F3703F" w:rsidRPr="00133C85">
        <w:rPr>
          <w:rFonts w:asciiTheme="majorBidi" w:hAnsiTheme="majorBidi" w:cstheme="majorBidi"/>
          <w:sz w:val="24"/>
          <w:szCs w:val="24"/>
        </w:rPr>
        <w:t xml:space="preserve">, however, the </w:t>
      </w:r>
      <w:r w:rsidR="0024250A" w:rsidRPr="00133C85">
        <w:rPr>
          <w:rFonts w:asciiTheme="majorBidi" w:hAnsiTheme="majorBidi" w:cstheme="majorBidi"/>
          <w:sz w:val="24"/>
          <w:szCs w:val="24"/>
        </w:rPr>
        <w:t xml:space="preserve">HRC accepted </w:t>
      </w:r>
      <w:r w:rsidR="00060D97" w:rsidRPr="00133C85">
        <w:rPr>
          <w:rFonts w:asciiTheme="majorBidi" w:hAnsiTheme="majorBidi" w:cstheme="majorBidi"/>
          <w:sz w:val="24"/>
          <w:szCs w:val="24"/>
        </w:rPr>
        <w:t xml:space="preserve">the </w:t>
      </w:r>
      <w:r w:rsidR="00F3703F" w:rsidRPr="00133C85">
        <w:rPr>
          <w:rFonts w:asciiTheme="majorBidi" w:hAnsiTheme="majorBidi" w:cstheme="majorBidi"/>
          <w:sz w:val="24"/>
          <w:szCs w:val="24"/>
        </w:rPr>
        <w:t xml:space="preserve">evidence brought by the petitioners, </w:t>
      </w:r>
      <w:r w:rsidR="00FC5726" w:rsidRPr="00133C85">
        <w:rPr>
          <w:rFonts w:asciiTheme="majorBidi" w:hAnsiTheme="majorBidi" w:cstheme="majorBidi"/>
          <w:sz w:val="24"/>
          <w:szCs w:val="24"/>
        </w:rPr>
        <w:t>notably</w:t>
      </w:r>
      <w:r w:rsidR="00F3703F" w:rsidRPr="00133C85">
        <w:rPr>
          <w:rFonts w:asciiTheme="majorBidi" w:hAnsiTheme="majorBidi" w:cstheme="majorBidi"/>
          <w:sz w:val="24"/>
          <w:szCs w:val="24"/>
        </w:rPr>
        <w:t xml:space="preserve"> </w:t>
      </w:r>
      <w:r w:rsidR="0024250A" w:rsidRPr="00133C85">
        <w:rPr>
          <w:rFonts w:asciiTheme="majorBidi" w:hAnsiTheme="majorBidi" w:cstheme="majorBidi"/>
          <w:sz w:val="24"/>
          <w:szCs w:val="24"/>
        </w:rPr>
        <w:t xml:space="preserve">concerning </w:t>
      </w:r>
      <w:r w:rsidR="00F3703F" w:rsidRPr="00133C85">
        <w:rPr>
          <w:rFonts w:asciiTheme="majorBidi" w:hAnsiTheme="majorBidi" w:cstheme="majorBidi"/>
          <w:sz w:val="24"/>
          <w:szCs w:val="24"/>
        </w:rPr>
        <w:t>environmental impacts on the</w:t>
      </w:r>
      <w:r w:rsidR="00AC42C8" w:rsidRPr="00133C85">
        <w:rPr>
          <w:rFonts w:asciiTheme="majorBidi" w:hAnsiTheme="majorBidi" w:cstheme="majorBidi"/>
          <w:sz w:val="24"/>
          <w:szCs w:val="24"/>
        </w:rPr>
        <w:t>ir</w:t>
      </w:r>
      <w:r w:rsidR="00F3703F" w:rsidRPr="00133C85">
        <w:rPr>
          <w:rFonts w:asciiTheme="majorBidi" w:hAnsiTheme="majorBidi" w:cstheme="majorBidi"/>
          <w:sz w:val="24"/>
          <w:szCs w:val="24"/>
        </w:rPr>
        <w:t xml:space="preserve"> ancestral lands and environment</w:t>
      </w:r>
      <w:r w:rsidR="00AC42C8" w:rsidRPr="00133C85">
        <w:rPr>
          <w:rFonts w:asciiTheme="majorBidi" w:hAnsiTheme="majorBidi" w:cstheme="majorBidi"/>
          <w:sz w:val="24"/>
          <w:szCs w:val="24"/>
        </w:rPr>
        <w:t>,</w:t>
      </w:r>
      <w:r w:rsidR="00F3703F" w:rsidRPr="00133C85">
        <w:rPr>
          <w:rFonts w:asciiTheme="majorBidi" w:hAnsiTheme="majorBidi" w:cstheme="majorBidi"/>
          <w:sz w:val="24"/>
          <w:szCs w:val="24"/>
        </w:rPr>
        <w:t xml:space="preserve"> which are </w:t>
      </w:r>
      <w:r w:rsidR="007143C0">
        <w:rPr>
          <w:rFonts w:asciiTheme="majorBidi" w:hAnsiTheme="majorBidi" w:cstheme="majorBidi"/>
          <w:sz w:val="24"/>
          <w:szCs w:val="24"/>
        </w:rPr>
        <w:t>closely</w:t>
      </w:r>
      <w:r w:rsidR="00F3703F" w:rsidRPr="00133C85">
        <w:rPr>
          <w:rFonts w:asciiTheme="majorBidi" w:hAnsiTheme="majorBidi" w:cstheme="majorBidi"/>
          <w:sz w:val="24"/>
          <w:szCs w:val="24"/>
        </w:rPr>
        <w:t xml:space="preserve"> linked </w:t>
      </w:r>
      <w:r w:rsidR="00AC42C8" w:rsidRPr="00133C85">
        <w:rPr>
          <w:rFonts w:asciiTheme="majorBidi" w:hAnsiTheme="majorBidi" w:cstheme="majorBidi"/>
          <w:sz w:val="24"/>
          <w:szCs w:val="24"/>
        </w:rPr>
        <w:t>with</w:t>
      </w:r>
      <w:r w:rsidR="00F3703F" w:rsidRPr="00133C85">
        <w:rPr>
          <w:rFonts w:asciiTheme="majorBidi" w:hAnsiTheme="majorBidi" w:cstheme="majorBidi"/>
          <w:sz w:val="24"/>
          <w:szCs w:val="24"/>
        </w:rPr>
        <w:t xml:space="preserve"> their culture and tradition</w:t>
      </w:r>
      <w:r w:rsidR="006731AD" w:rsidRPr="00133C85">
        <w:rPr>
          <w:rFonts w:asciiTheme="majorBidi" w:hAnsiTheme="majorBidi" w:cstheme="majorBidi"/>
          <w:sz w:val="24"/>
          <w:szCs w:val="24"/>
        </w:rPr>
        <w:t>: the petitioners enjoy a</w:t>
      </w:r>
      <w:r w:rsidR="00F3703F" w:rsidRPr="00133C85">
        <w:rPr>
          <w:rFonts w:asciiTheme="majorBidi" w:hAnsiTheme="majorBidi" w:cstheme="majorBidi"/>
          <w:sz w:val="24"/>
          <w:szCs w:val="24"/>
        </w:rPr>
        <w:t xml:space="preserve"> </w:t>
      </w:r>
      <w:r w:rsidR="006731AD" w:rsidRPr="00133C85">
        <w:rPr>
          <w:rFonts w:asciiTheme="majorBidi" w:hAnsiTheme="majorBidi" w:cstheme="majorBidi"/>
          <w:sz w:val="24"/>
          <w:szCs w:val="24"/>
        </w:rPr>
        <w:t>‘</w:t>
      </w:r>
      <w:r w:rsidR="006731AD" w:rsidRPr="00133C85">
        <w:rPr>
          <w:rFonts w:asciiTheme="majorBidi" w:eastAsia="SimSun" w:hAnsiTheme="majorBidi" w:cstheme="majorBidi"/>
          <w:sz w:val="24"/>
          <w:szCs w:val="24"/>
          <w:lang w:eastAsia="zh-CN"/>
        </w:rPr>
        <w:t>special relationship with their territory’,</w:t>
      </w:r>
      <w:r w:rsidR="006731AD" w:rsidRPr="00133C85">
        <w:rPr>
          <w:rStyle w:val="FootnoteReference"/>
          <w:rFonts w:asciiTheme="majorBidi" w:eastAsia="SimSun" w:hAnsiTheme="majorBidi" w:cstheme="majorBidi"/>
          <w:sz w:val="24"/>
          <w:szCs w:val="24"/>
          <w:lang w:eastAsia="zh-CN"/>
        </w:rPr>
        <w:footnoteReference w:id="54"/>
      </w:r>
      <w:r w:rsidR="006731AD" w:rsidRPr="00133C85">
        <w:rPr>
          <w:rFonts w:asciiTheme="majorBidi" w:eastAsia="SimSun" w:hAnsiTheme="majorBidi" w:cstheme="majorBidi"/>
          <w:sz w:val="24"/>
          <w:szCs w:val="24"/>
          <w:lang w:eastAsia="zh-CN"/>
        </w:rPr>
        <w:t xml:space="preserve"> where</w:t>
      </w:r>
      <w:r w:rsidR="006731AD" w:rsidRPr="00133C85">
        <w:rPr>
          <w:rFonts w:asciiTheme="majorBidi" w:hAnsiTheme="majorBidi" w:cstheme="majorBidi"/>
          <w:sz w:val="24"/>
          <w:szCs w:val="24"/>
        </w:rPr>
        <w:t xml:space="preserve"> </w:t>
      </w:r>
      <w:r w:rsidR="00F3703F" w:rsidRPr="00133C85">
        <w:rPr>
          <w:rFonts w:asciiTheme="majorBidi" w:hAnsiTheme="majorBidi" w:cstheme="majorBidi"/>
          <w:sz w:val="24"/>
          <w:szCs w:val="24"/>
        </w:rPr>
        <w:t>‘their most important cultural ceremonies are only meaningful if performed on native community lands’</w:t>
      </w:r>
      <w:r w:rsidR="006731AD" w:rsidRPr="00133C85">
        <w:rPr>
          <w:rFonts w:asciiTheme="majorBidi" w:hAnsiTheme="majorBidi" w:cstheme="majorBidi"/>
          <w:sz w:val="24"/>
          <w:szCs w:val="24"/>
        </w:rPr>
        <w:t>.</w:t>
      </w:r>
      <w:r w:rsidR="00F3703F" w:rsidRPr="00133C85">
        <w:rPr>
          <w:rStyle w:val="FootnoteReference"/>
          <w:rFonts w:asciiTheme="majorBidi" w:hAnsiTheme="majorBidi" w:cstheme="majorBidi"/>
          <w:sz w:val="24"/>
          <w:szCs w:val="24"/>
        </w:rPr>
        <w:footnoteReference w:id="55"/>
      </w:r>
      <w:r w:rsidR="0024250A" w:rsidRPr="00133C85">
        <w:rPr>
          <w:rFonts w:asciiTheme="majorBidi" w:hAnsiTheme="majorBidi" w:cstheme="majorBidi"/>
          <w:sz w:val="24"/>
          <w:szCs w:val="24"/>
        </w:rPr>
        <w:t xml:space="preserve"> C</w:t>
      </w:r>
      <w:r w:rsidR="00FC5726" w:rsidRPr="00133C85">
        <w:rPr>
          <w:rFonts w:asciiTheme="majorBidi" w:hAnsiTheme="majorBidi" w:cstheme="majorBidi"/>
          <w:sz w:val="24"/>
          <w:szCs w:val="24"/>
        </w:rPr>
        <w:t>ombined with the</w:t>
      </w:r>
      <w:r w:rsidR="00FC5726" w:rsidRPr="00133C85">
        <w:rPr>
          <w:rFonts w:asciiTheme="majorBidi" w:eastAsia="SimSun" w:hAnsiTheme="majorBidi" w:cstheme="majorBidi"/>
          <w:sz w:val="24"/>
          <w:szCs w:val="24"/>
          <w:lang w:eastAsia="zh-CN"/>
        </w:rPr>
        <w:t xml:space="preserve"> ‘intensity or duration and the physical or mental harm that they cause’,</w:t>
      </w:r>
      <w:r w:rsidR="00FC5726" w:rsidRPr="00133C85">
        <w:rPr>
          <w:rStyle w:val="FootnoteReference"/>
          <w:rFonts w:asciiTheme="majorBidi" w:eastAsia="SimSun" w:hAnsiTheme="majorBidi" w:cstheme="majorBidi"/>
          <w:sz w:val="24"/>
          <w:szCs w:val="24"/>
          <w:lang w:eastAsia="zh-CN"/>
        </w:rPr>
        <w:footnoteReference w:id="56"/>
      </w:r>
      <w:r w:rsidR="00FC5726" w:rsidRPr="00133C85">
        <w:rPr>
          <w:rFonts w:asciiTheme="majorBidi" w:hAnsiTheme="majorBidi" w:cstheme="majorBidi"/>
          <w:sz w:val="24"/>
          <w:szCs w:val="24"/>
        </w:rPr>
        <w:t xml:space="preserve">  </w:t>
      </w:r>
      <w:r w:rsidR="0024250A" w:rsidRPr="00133C85">
        <w:rPr>
          <w:rFonts w:asciiTheme="majorBidi" w:hAnsiTheme="majorBidi" w:cstheme="majorBidi"/>
          <w:sz w:val="24"/>
          <w:szCs w:val="24"/>
        </w:rPr>
        <w:t xml:space="preserve">the HRC determined that this evidence was sufficient to establish that </w:t>
      </w:r>
      <w:r w:rsidR="00AC42C8" w:rsidRPr="00133C85">
        <w:rPr>
          <w:rFonts w:asciiTheme="majorBidi" w:hAnsiTheme="majorBidi" w:cstheme="majorBidi"/>
          <w:sz w:val="24"/>
          <w:szCs w:val="24"/>
        </w:rPr>
        <w:t xml:space="preserve">Australia had failed to protect them </w:t>
      </w:r>
      <w:r w:rsidR="0024250A" w:rsidRPr="00133C85">
        <w:rPr>
          <w:rFonts w:asciiTheme="majorBidi" w:hAnsiTheme="majorBidi" w:cstheme="majorBidi"/>
          <w:sz w:val="24"/>
          <w:szCs w:val="24"/>
        </w:rPr>
        <w:t>against interference with their</w:t>
      </w:r>
      <w:r w:rsidR="00FC5726" w:rsidRPr="00133C85">
        <w:rPr>
          <w:rFonts w:asciiTheme="majorBidi" w:hAnsiTheme="majorBidi" w:cstheme="majorBidi"/>
          <w:sz w:val="24"/>
          <w:szCs w:val="24"/>
        </w:rPr>
        <w:t xml:space="preserve"> privacy, family and</w:t>
      </w:r>
      <w:r w:rsidR="00F3703F" w:rsidRPr="00133C85">
        <w:rPr>
          <w:rFonts w:asciiTheme="majorBidi" w:hAnsiTheme="majorBidi" w:cstheme="majorBidi"/>
          <w:sz w:val="24"/>
          <w:szCs w:val="24"/>
        </w:rPr>
        <w:t xml:space="preserve"> home</w:t>
      </w:r>
      <w:r w:rsidR="00FC5726" w:rsidRPr="00133C85">
        <w:rPr>
          <w:rFonts w:asciiTheme="majorBidi" w:hAnsiTheme="majorBidi" w:cstheme="majorBidi"/>
          <w:sz w:val="24"/>
          <w:szCs w:val="24"/>
        </w:rPr>
        <w:t xml:space="preserve">. </w:t>
      </w:r>
    </w:p>
    <w:p w14:paraId="65C28A39" w14:textId="2726E2BF" w:rsidR="001863CB" w:rsidRPr="00133C85" w:rsidRDefault="00060D97"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Next</w:t>
      </w:r>
      <w:r w:rsidR="006731AD" w:rsidRPr="00133C85">
        <w:rPr>
          <w:rFonts w:asciiTheme="majorBidi" w:hAnsiTheme="majorBidi" w:cstheme="majorBidi"/>
          <w:sz w:val="24"/>
          <w:szCs w:val="24"/>
        </w:rPr>
        <w:t>,</w:t>
      </w:r>
      <w:r w:rsidRPr="00133C85">
        <w:rPr>
          <w:rFonts w:asciiTheme="majorBidi" w:hAnsiTheme="majorBidi" w:cstheme="majorBidi"/>
          <w:sz w:val="24"/>
          <w:szCs w:val="24"/>
        </w:rPr>
        <w:t xml:space="preserve"> the HRC approached the petitioners right to culture (Article 27 UCCPR). The HRC </w:t>
      </w:r>
      <w:r w:rsidR="001863CB" w:rsidRPr="00133C85">
        <w:rPr>
          <w:rFonts w:asciiTheme="majorBidi" w:hAnsiTheme="majorBidi" w:cstheme="majorBidi"/>
          <w:sz w:val="24"/>
          <w:szCs w:val="24"/>
        </w:rPr>
        <w:t>commenced</w:t>
      </w:r>
      <w:r w:rsidRPr="00133C85">
        <w:rPr>
          <w:rFonts w:asciiTheme="majorBidi" w:hAnsiTheme="majorBidi" w:cstheme="majorBidi"/>
          <w:sz w:val="24"/>
          <w:szCs w:val="24"/>
        </w:rPr>
        <w:t xml:space="preserve"> by stressing the unique case of indigenous communities: ‘in the case of indigenous peoples, the enjoyment of culture may relate to a way of life which is closely associated with territory and the use of its resources, including such traditional activities as fishing or hunting’.</w:t>
      </w:r>
      <w:r w:rsidRPr="00133C85">
        <w:rPr>
          <w:rStyle w:val="FootnoteReference"/>
          <w:rFonts w:asciiTheme="majorBidi" w:hAnsiTheme="majorBidi" w:cstheme="majorBidi"/>
          <w:sz w:val="24"/>
          <w:szCs w:val="24"/>
        </w:rPr>
        <w:footnoteReference w:id="57"/>
      </w:r>
      <w:r w:rsidRPr="00133C85">
        <w:rPr>
          <w:rFonts w:asciiTheme="majorBidi" w:hAnsiTheme="majorBidi" w:cstheme="majorBidi"/>
          <w:sz w:val="24"/>
          <w:szCs w:val="24"/>
        </w:rPr>
        <w:t xml:space="preserve"> </w:t>
      </w:r>
      <w:r w:rsidR="001863CB" w:rsidRPr="00133C85">
        <w:rPr>
          <w:rFonts w:asciiTheme="majorBidi" w:hAnsiTheme="majorBidi" w:cstheme="majorBidi"/>
          <w:sz w:val="24"/>
          <w:szCs w:val="24"/>
        </w:rPr>
        <w:t>The Committee continued with</w:t>
      </w:r>
      <w:r w:rsidRPr="00133C85">
        <w:rPr>
          <w:rFonts w:asciiTheme="majorBidi" w:hAnsiTheme="majorBidi" w:cstheme="majorBidi"/>
          <w:sz w:val="24"/>
          <w:szCs w:val="24"/>
        </w:rPr>
        <w:t xml:space="preserve"> an important clarification regarding the </w:t>
      </w:r>
      <w:r w:rsidRPr="00133C85">
        <w:rPr>
          <w:rFonts w:asciiTheme="majorBidi" w:hAnsiTheme="majorBidi" w:cstheme="majorBidi"/>
          <w:sz w:val="24"/>
          <w:szCs w:val="24"/>
        </w:rPr>
        <w:lastRenderedPageBreak/>
        <w:t>individualised nature of human rights, which as dis</w:t>
      </w:r>
      <w:r w:rsidR="00892338" w:rsidRPr="00133C85">
        <w:rPr>
          <w:rFonts w:asciiTheme="majorBidi" w:hAnsiTheme="majorBidi" w:cstheme="majorBidi"/>
          <w:sz w:val="24"/>
          <w:szCs w:val="24"/>
        </w:rPr>
        <w:t>c</w:t>
      </w:r>
      <w:r w:rsidRPr="00133C85">
        <w:rPr>
          <w:rFonts w:asciiTheme="majorBidi" w:hAnsiTheme="majorBidi" w:cstheme="majorBidi"/>
          <w:sz w:val="24"/>
          <w:szCs w:val="24"/>
        </w:rPr>
        <w:t>ussed above, poses a barrier in the context of climate migration:</w:t>
      </w:r>
      <w:r w:rsidR="001863CB" w:rsidRPr="00133C85">
        <w:rPr>
          <w:rStyle w:val="FootnoteReference"/>
          <w:rFonts w:asciiTheme="majorBidi" w:eastAsia="MS Mincho" w:hAnsiTheme="majorBidi" w:cstheme="majorBidi"/>
          <w:sz w:val="24"/>
          <w:szCs w:val="24"/>
          <w:lang w:eastAsia="zh-CN"/>
        </w:rPr>
        <w:footnoteReference w:id="58"/>
      </w:r>
    </w:p>
    <w:p w14:paraId="1CD7DE15" w14:textId="48ADCCFB" w:rsidR="001863CB" w:rsidRPr="00133C85" w:rsidRDefault="00060D97" w:rsidP="00BB0FD7">
      <w:pPr>
        <w:spacing w:line="360" w:lineRule="auto"/>
        <w:ind w:left="720"/>
        <w:jc w:val="both"/>
        <w:rPr>
          <w:rFonts w:asciiTheme="majorBidi" w:eastAsia="MS Mincho" w:hAnsiTheme="majorBidi" w:cstheme="majorBidi"/>
          <w:sz w:val="24"/>
          <w:szCs w:val="24"/>
          <w:lang w:eastAsia="zh-CN"/>
        </w:rPr>
      </w:pPr>
      <w:r w:rsidRPr="00133C85">
        <w:rPr>
          <w:rFonts w:asciiTheme="majorBidi" w:hAnsiTheme="majorBidi" w:cstheme="majorBidi"/>
          <w:sz w:val="24"/>
          <w:szCs w:val="24"/>
        </w:rPr>
        <w:t>‘</w:t>
      </w:r>
      <w:r w:rsidRPr="00133C85">
        <w:rPr>
          <w:rFonts w:asciiTheme="majorBidi" w:eastAsia="MS Mincho" w:hAnsiTheme="majorBidi" w:cstheme="majorBidi"/>
          <w:sz w:val="24"/>
          <w:szCs w:val="24"/>
          <w:lang w:eastAsia="zh-CN"/>
        </w:rPr>
        <w:t>Although the rights protected under article 27 are individual rights, they depend in turn on the ability of the minority group to maintain its culture, language or religion.’</w:t>
      </w:r>
      <w:r w:rsidR="002903AA" w:rsidRPr="00133C85">
        <w:rPr>
          <w:rFonts w:asciiTheme="majorBidi" w:eastAsia="MS Mincho" w:hAnsiTheme="majorBidi" w:cstheme="majorBidi"/>
          <w:sz w:val="24"/>
          <w:szCs w:val="24"/>
          <w:lang w:eastAsia="zh-CN"/>
        </w:rPr>
        <w:t xml:space="preserve"> </w:t>
      </w:r>
    </w:p>
    <w:p w14:paraId="63B32750" w14:textId="33B027CA" w:rsidR="006731AD" w:rsidRPr="00133C85" w:rsidRDefault="002903AA" w:rsidP="00BB0FD7">
      <w:pPr>
        <w:spacing w:line="360" w:lineRule="auto"/>
        <w:jc w:val="both"/>
        <w:rPr>
          <w:rFonts w:asciiTheme="majorBidi" w:eastAsia="MS Mincho" w:hAnsiTheme="majorBidi" w:cstheme="majorBidi"/>
          <w:sz w:val="24"/>
          <w:szCs w:val="24"/>
          <w:lang w:eastAsia="zh-CN"/>
        </w:rPr>
      </w:pPr>
      <w:r w:rsidRPr="00133C85">
        <w:rPr>
          <w:rFonts w:asciiTheme="majorBidi" w:eastAsia="MS Mincho" w:hAnsiTheme="majorBidi" w:cstheme="majorBidi"/>
          <w:sz w:val="24"/>
          <w:szCs w:val="24"/>
          <w:lang w:eastAsia="zh-CN"/>
        </w:rPr>
        <w:t>The</w:t>
      </w:r>
      <w:r w:rsidR="001863CB" w:rsidRPr="00133C85">
        <w:rPr>
          <w:rFonts w:asciiTheme="majorBidi" w:eastAsia="MS Mincho" w:hAnsiTheme="majorBidi" w:cstheme="majorBidi"/>
          <w:sz w:val="24"/>
          <w:szCs w:val="24"/>
          <w:lang w:eastAsia="zh-CN"/>
        </w:rPr>
        <w:t xml:space="preserve"> HRC</w:t>
      </w:r>
      <w:r w:rsidRPr="00133C85">
        <w:rPr>
          <w:rFonts w:asciiTheme="majorBidi" w:eastAsia="MS Mincho" w:hAnsiTheme="majorBidi" w:cstheme="majorBidi"/>
          <w:sz w:val="24"/>
          <w:szCs w:val="24"/>
          <w:lang w:eastAsia="zh-CN"/>
        </w:rPr>
        <w:t xml:space="preserve"> add</w:t>
      </w:r>
      <w:r w:rsidR="004740CD" w:rsidRPr="00133C85">
        <w:rPr>
          <w:rFonts w:asciiTheme="majorBidi" w:eastAsia="MS Mincho" w:hAnsiTheme="majorBidi" w:cstheme="majorBidi"/>
          <w:sz w:val="24"/>
          <w:szCs w:val="24"/>
          <w:lang w:eastAsia="zh-CN"/>
        </w:rPr>
        <w:t>ed</w:t>
      </w:r>
      <w:r w:rsidRPr="00133C85">
        <w:rPr>
          <w:rFonts w:asciiTheme="majorBidi" w:eastAsia="MS Mincho" w:hAnsiTheme="majorBidi" w:cstheme="majorBidi"/>
          <w:sz w:val="24"/>
          <w:szCs w:val="24"/>
          <w:lang w:eastAsia="zh-CN"/>
        </w:rPr>
        <w:t xml:space="preserve"> that Australia did not refute the claim </w:t>
      </w:r>
      <w:r w:rsidR="009026F7" w:rsidRPr="00133C85">
        <w:rPr>
          <w:rFonts w:asciiTheme="majorBidi" w:eastAsia="MS Mincho" w:hAnsiTheme="majorBidi" w:cstheme="majorBidi"/>
          <w:sz w:val="24"/>
          <w:szCs w:val="24"/>
          <w:lang w:eastAsia="zh-CN"/>
        </w:rPr>
        <w:t xml:space="preserve">presented by the petitioners, </w:t>
      </w:r>
      <w:r w:rsidR="004740CD" w:rsidRPr="00133C85">
        <w:rPr>
          <w:rFonts w:asciiTheme="majorBidi" w:eastAsia="MS Mincho" w:hAnsiTheme="majorBidi" w:cstheme="majorBidi"/>
          <w:sz w:val="24"/>
          <w:szCs w:val="24"/>
          <w:lang w:eastAsia="zh-CN"/>
        </w:rPr>
        <w:t xml:space="preserve">according to which </w:t>
      </w:r>
      <w:r w:rsidRPr="00133C85">
        <w:rPr>
          <w:rFonts w:asciiTheme="majorBidi" w:eastAsia="MS Mincho" w:hAnsiTheme="majorBidi" w:cstheme="majorBidi"/>
          <w:sz w:val="24"/>
          <w:szCs w:val="24"/>
          <w:lang w:eastAsia="zh-CN"/>
        </w:rPr>
        <w:t>the link between the petitioners land, environment and culture</w:t>
      </w:r>
      <w:r w:rsidR="004740CD" w:rsidRPr="00133C85">
        <w:rPr>
          <w:rFonts w:asciiTheme="majorBidi" w:eastAsia="MS Mincho" w:hAnsiTheme="majorBidi" w:cstheme="majorBidi"/>
          <w:sz w:val="24"/>
          <w:szCs w:val="24"/>
          <w:lang w:eastAsia="zh-CN"/>
        </w:rPr>
        <w:t xml:space="preserve"> is crucial for the maintenance of</w:t>
      </w:r>
      <w:r w:rsidRPr="00133C85">
        <w:rPr>
          <w:rFonts w:asciiTheme="majorBidi" w:eastAsia="MS Mincho" w:hAnsiTheme="majorBidi" w:cstheme="majorBidi"/>
          <w:sz w:val="24"/>
          <w:szCs w:val="24"/>
          <w:lang w:eastAsia="zh-CN"/>
        </w:rPr>
        <w:t xml:space="preserve"> their culture and traditional way of life, </w:t>
      </w:r>
      <w:r w:rsidR="004740CD" w:rsidRPr="00133C85">
        <w:rPr>
          <w:rFonts w:asciiTheme="majorBidi" w:eastAsia="MS Mincho" w:hAnsiTheme="majorBidi" w:cstheme="majorBidi"/>
          <w:sz w:val="24"/>
          <w:szCs w:val="24"/>
          <w:lang w:eastAsia="zh-CN"/>
        </w:rPr>
        <w:t xml:space="preserve">and that this link will be broken </w:t>
      </w:r>
      <w:r w:rsidRPr="00133C85">
        <w:rPr>
          <w:rFonts w:asciiTheme="majorBidi" w:eastAsia="MS Mincho" w:hAnsiTheme="majorBidi" w:cstheme="majorBidi"/>
          <w:sz w:val="24"/>
          <w:szCs w:val="24"/>
          <w:lang w:eastAsia="zh-CN"/>
        </w:rPr>
        <w:t xml:space="preserve">should they </w:t>
      </w:r>
      <w:r w:rsidR="004740CD" w:rsidRPr="00133C85">
        <w:rPr>
          <w:rFonts w:asciiTheme="majorBidi" w:eastAsia="MS Mincho" w:hAnsiTheme="majorBidi" w:cstheme="majorBidi"/>
          <w:sz w:val="24"/>
          <w:szCs w:val="24"/>
          <w:lang w:eastAsia="zh-CN"/>
        </w:rPr>
        <w:t>be relocated</w:t>
      </w:r>
      <w:r w:rsidRPr="00133C85">
        <w:rPr>
          <w:rFonts w:asciiTheme="majorBidi" w:eastAsia="MS Mincho" w:hAnsiTheme="majorBidi" w:cstheme="majorBidi"/>
          <w:sz w:val="24"/>
          <w:szCs w:val="24"/>
          <w:lang w:eastAsia="zh-CN"/>
        </w:rPr>
        <w:t xml:space="preserve"> to mainland Australia.</w:t>
      </w:r>
      <w:r w:rsidRPr="00133C85">
        <w:rPr>
          <w:rStyle w:val="FootnoteReference"/>
          <w:rFonts w:asciiTheme="majorBidi" w:eastAsia="MS Mincho" w:hAnsiTheme="majorBidi" w:cstheme="majorBidi"/>
          <w:sz w:val="24"/>
          <w:szCs w:val="24"/>
          <w:lang w:eastAsia="zh-CN"/>
        </w:rPr>
        <w:footnoteReference w:id="59"/>
      </w:r>
      <w:r w:rsidRPr="00133C85">
        <w:rPr>
          <w:rFonts w:asciiTheme="majorBidi" w:eastAsia="MS Mincho" w:hAnsiTheme="majorBidi" w:cstheme="majorBidi"/>
          <w:sz w:val="24"/>
          <w:szCs w:val="24"/>
          <w:lang w:eastAsia="zh-CN"/>
        </w:rPr>
        <w:t xml:space="preserve"> </w:t>
      </w:r>
      <w:r w:rsidR="009026F7" w:rsidRPr="00133C85">
        <w:rPr>
          <w:rFonts w:asciiTheme="majorBidi" w:eastAsia="MS Mincho" w:hAnsiTheme="majorBidi" w:cstheme="majorBidi"/>
          <w:sz w:val="24"/>
          <w:szCs w:val="24"/>
          <w:lang w:eastAsia="zh-CN"/>
        </w:rPr>
        <w:t>Regarding the seawalls project that was mentioned in the analysis of Article 6 (right to life) and should, in theory, protect the petitioners ability to maintain their way of life, the HRC note</w:t>
      </w:r>
      <w:r w:rsidR="004740CD" w:rsidRPr="00133C85">
        <w:rPr>
          <w:rFonts w:asciiTheme="majorBidi" w:eastAsia="MS Mincho" w:hAnsiTheme="majorBidi" w:cstheme="majorBidi"/>
          <w:sz w:val="24"/>
          <w:szCs w:val="24"/>
          <w:lang w:eastAsia="zh-CN"/>
        </w:rPr>
        <w:t>d</w:t>
      </w:r>
      <w:r w:rsidR="009026F7" w:rsidRPr="00133C85">
        <w:rPr>
          <w:rFonts w:asciiTheme="majorBidi" w:eastAsia="MS Mincho" w:hAnsiTheme="majorBidi" w:cstheme="majorBidi"/>
          <w:sz w:val="24"/>
          <w:szCs w:val="24"/>
          <w:lang w:eastAsia="zh-CN"/>
        </w:rPr>
        <w:t xml:space="preserve"> that the delay</w:t>
      </w:r>
      <w:r w:rsidR="004740CD" w:rsidRPr="00133C85">
        <w:rPr>
          <w:rFonts w:asciiTheme="majorBidi" w:eastAsia="MS Mincho" w:hAnsiTheme="majorBidi" w:cstheme="majorBidi"/>
          <w:sz w:val="24"/>
          <w:szCs w:val="24"/>
          <w:lang w:eastAsia="zh-CN"/>
        </w:rPr>
        <w:t>s</w:t>
      </w:r>
      <w:r w:rsidR="009026F7" w:rsidRPr="00133C85">
        <w:rPr>
          <w:rFonts w:asciiTheme="majorBidi" w:eastAsia="MS Mincho" w:hAnsiTheme="majorBidi" w:cstheme="majorBidi"/>
          <w:sz w:val="24"/>
          <w:szCs w:val="24"/>
          <w:lang w:eastAsia="zh-CN"/>
        </w:rPr>
        <w:t xml:space="preserve"> in this project </w:t>
      </w:r>
      <w:r w:rsidR="005702B5">
        <w:rPr>
          <w:rFonts w:asciiTheme="majorBidi" w:eastAsia="MS Mincho" w:hAnsiTheme="majorBidi" w:cstheme="majorBidi"/>
          <w:sz w:val="24"/>
          <w:szCs w:val="24"/>
          <w:lang w:eastAsia="zh-CN"/>
        </w:rPr>
        <w:t>render</w:t>
      </w:r>
      <w:r w:rsidR="009026F7" w:rsidRPr="00133C85">
        <w:rPr>
          <w:rFonts w:asciiTheme="majorBidi" w:eastAsia="MS Mincho" w:hAnsiTheme="majorBidi" w:cstheme="majorBidi"/>
          <w:sz w:val="24"/>
          <w:szCs w:val="24"/>
          <w:lang w:eastAsia="zh-CN"/>
        </w:rPr>
        <w:t xml:space="preserve"> it ‘an inadequate response’ to the threat</w:t>
      </w:r>
      <w:r w:rsidR="004740CD" w:rsidRPr="00133C85">
        <w:rPr>
          <w:rFonts w:asciiTheme="majorBidi" w:eastAsia="MS Mincho" w:hAnsiTheme="majorBidi" w:cstheme="majorBidi"/>
          <w:sz w:val="24"/>
          <w:szCs w:val="24"/>
          <w:lang w:eastAsia="zh-CN"/>
        </w:rPr>
        <w:t>s</w:t>
      </w:r>
      <w:r w:rsidR="009026F7" w:rsidRPr="00133C85">
        <w:rPr>
          <w:rFonts w:asciiTheme="majorBidi" w:eastAsia="MS Mincho" w:hAnsiTheme="majorBidi" w:cstheme="majorBidi"/>
          <w:sz w:val="24"/>
          <w:szCs w:val="24"/>
          <w:lang w:eastAsia="zh-CN"/>
        </w:rPr>
        <w:t xml:space="preserve"> at hand. The HRC concludes from </w:t>
      </w:r>
      <w:proofErr w:type="gramStart"/>
      <w:r w:rsidR="009026F7" w:rsidRPr="00133C85">
        <w:rPr>
          <w:rFonts w:asciiTheme="majorBidi" w:eastAsia="MS Mincho" w:hAnsiTheme="majorBidi" w:cstheme="majorBidi"/>
          <w:sz w:val="24"/>
          <w:szCs w:val="24"/>
          <w:lang w:eastAsia="zh-CN"/>
        </w:rPr>
        <w:t>all of</w:t>
      </w:r>
      <w:proofErr w:type="gramEnd"/>
      <w:r w:rsidR="009026F7" w:rsidRPr="00133C85">
        <w:rPr>
          <w:rFonts w:asciiTheme="majorBidi" w:eastAsia="MS Mincho" w:hAnsiTheme="majorBidi" w:cstheme="majorBidi"/>
          <w:sz w:val="24"/>
          <w:szCs w:val="24"/>
          <w:lang w:eastAsia="zh-CN"/>
        </w:rPr>
        <w:t xml:space="preserve"> the above:</w:t>
      </w:r>
      <w:r w:rsidR="009026F7" w:rsidRPr="00133C85">
        <w:rPr>
          <w:rStyle w:val="FootnoteReference"/>
          <w:rFonts w:asciiTheme="majorBidi" w:eastAsia="MS Mincho" w:hAnsiTheme="majorBidi" w:cstheme="majorBidi"/>
          <w:sz w:val="24"/>
          <w:szCs w:val="24"/>
          <w:lang w:eastAsia="zh-CN"/>
        </w:rPr>
        <w:footnoteReference w:id="60"/>
      </w:r>
      <w:r w:rsidR="009026F7" w:rsidRPr="00133C85">
        <w:rPr>
          <w:rFonts w:asciiTheme="majorBidi" w:eastAsia="MS Mincho" w:hAnsiTheme="majorBidi" w:cstheme="majorBidi"/>
          <w:sz w:val="24"/>
          <w:szCs w:val="24"/>
          <w:lang w:eastAsia="zh-CN"/>
        </w:rPr>
        <w:t xml:space="preserve"> </w:t>
      </w:r>
    </w:p>
    <w:p w14:paraId="3F7937CA" w14:textId="39698169" w:rsidR="009026F7" w:rsidRPr="00133C85" w:rsidRDefault="009026F7" w:rsidP="00BB0FD7">
      <w:pPr>
        <w:spacing w:line="360" w:lineRule="auto"/>
        <w:ind w:left="720"/>
        <w:jc w:val="both"/>
        <w:rPr>
          <w:rFonts w:asciiTheme="majorBidi" w:eastAsia="SimSun" w:hAnsiTheme="majorBidi" w:cstheme="majorBidi"/>
          <w:sz w:val="24"/>
          <w:szCs w:val="24"/>
          <w:lang w:eastAsia="zh-CN"/>
        </w:rPr>
      </w:pPr>
      <w:r w:rsidRPr="00133C85">
        <w:rPr>
          <w:rFonts w:asciiTheme="majorBidi" w:eastAsia="SimSun" w:hAnsiTheme="majorBidi" w:cstheme="majorBidi"/>
          <w:sz w:val="24"/>
          <w:szCs w:val="24"/>
          <w:lang w:eastAsia="zh-CN"/>
        </w:rPr>
        <w:t>‘</w:t>
      </w:r>
      <w:proofErr w:type="gramStart"/>
      <w:r w:rsidRPr="00133C85">
        <w:rPr>
          <w:rFonts w:asciiTheme="majorBidi" w:eastAsia="SimSun" w:hAnsiTheme="majorBidi" w:cstheme="majorBidi"/>
          <w:sz w:val="24"/>
          <w:szCs w:val="24"/>
          <w:lang w:eastAsia="zh-CN"/>
        </w:rPr>
        <w:t>the</w:t>
      </w:r>
      <w:proofErr w:type="gramEnd"/>
      <w:r w:rsidRPr="00133C85">
        <w:rPr>
          <w:rFonts w:asciiTheme="majorBidi" w:eastAsia="SimSun" w:hAnsiTheme="majorBidi" w:cstheme="majorBidi"/>
          <w:sz w:val="24"/>
          <w:szCs w:val="24"/>
          <w:lang w:eastAsia="zh-CN"/>
        </w:rPr>
        <w:t xml:space="preserve"> State party’s failure to adopt timely adequate adaptation measures to protect the authors’ collective ability to maintain their traditional way of life, to transmit to their children and future generations their culture and traditions and use of land and sea resources discloses a violation of the State party’s positive obligation to protect the authors’ right to enjoy their minority culture.’</w:t>
      </w:r>
    </w:p>
    <w:p w14:paraId="00F721D0" w14:textId="0EC2F6E6" w:rsidR="00555734" w:rsidRPr="00133C85" w:rsidRDefault="00B05593" w:rsidP="00BB0FD7">
      <w:pPr>
        <w:spacing w:line="360" w:lineRule="auto"/>
        <w:jc w:val="both"/>
        <w:rPr>
          <w:rFonts w:asciiTheme="majorBidi" w:eastAsia="SimSun" w:hAnsiTheme="majorBidi" w:cstheme="majorBidi"/>
          <w:sz w:val="24"/>
          <w:szCs w:val="24"/>
          <w:lang w:eastAsia="zh-CN"/>
        </w:rPr>
      </w:pPr>
      <w:r w:rsidRPr="00133C85">
        <w:rPr>
          <w:rFonts w:asciiTheme="majorBidi" w:eastAsia="SimSun" w:hAnsiTheme="majorBidi" w:cstheme="majorBidi"/>
          <w:sz w:val="24"/>
          <w:szCs w:val="24"/>
          <w:lang w:eastAsia="zh-CN"/>
        </w:rPr>
        <w:t xml:space="preserve">One may wonder why the inadequacy of the preventive measures taken by Australia was </w:t>
      </w:r>
      <w:r w:rsidRPr="00133C85">
        <w:rPr>
          <w:rFonts w:asciiTheme="majorBidi" w:eastAsia="SimSun" w:hAnsiTheme="majorBidi" w:cstheme="majorBidi"/>
          <w:i/>
          <w:iCs/>
          <w:sz w:val="24"/>
          <w:szCs w:val="24"/>
          <w:lang w:eastAsia="zh-CN"/>
        </w:rPr>
        <w:t>relied on</w:t>
      </w:r>
      <w:r w:rsidRPr="00133C85">
        <w:rPr>
          <w:rFonts w:asciiTheme="majorBidi" w:eastAsia="SimSun" w:hAnsiTheme="majorBidi" w:cstheme="majorBidi"/>
          <w:sz w:val="24"/>
          <w:szCs w:val="24"/>
          <w:lang w:eastAsia="zh-CN"/>
        </w:rPr>
        <w:t xml:space="preserve"> in the HRC’s analysis of Article 27 (right to culture), but</w:t>
      </w:r>
      <w:r w:rsidR="006C5B4F" w:rsidRPr="00133C85">
        <w:rPr>
          <w:rFonts w:asciiTheme="majorBidi" w:eastAsia="SimSun" w:hAnsiTheme="majorBidi" w:cstheme="majorBidi"/>
          <w:sz w:val="24"/>
          <w:szCs w:val="24"/>
          <w:lang w:eastAsia="zh-CN"/>
        </w:rPr>
        <w:t xml:space="preserve"> at the same time,</w:t>
      </w:r>
      <w:r w:rsidRPr="00133C85">
        <w:rPr>
          <w:rFonts w:asciiTheme="majorBidi" w:eastAsia="SimSun" w:hAnsiTheme="majorBidi" w:cstheme="majorBidi"/>
          <w:sz w:val="24"/>
          <w:szCs w:val="24"/>
          <w:lang w:eastAsia="zh-CN"/>
        </w:rPr>
        <w:t xml:space="preserve"> </w:t>
      </w:r>
      <w:r w:rsidR="006C5B4F" w:rsidRPr="00133C85">
        <w:rPr>
          <w:rFonts w:asciiTheme="majorBidi" w:eastAsia="SimSun" w:hAnsiTheme="majorBidi" w:cstheme="majorBidi"/>
          <w:sz w:val="24"/>
          <w:szCs w:val="24"/>
          <w:lang w:eastAsia="zh-CN"/>
        </w:rPr>
        <w:t xml:space="preserve">the prospect and availability of the same preventive measures were </w:t>
      </w:r>
      <w:r w:rsidRPr="00133C85">
        <w:rPr>
          <w:rFonts w:asciiTheme="majorBidi" w:eastAsia="SimSun" w:hAnsiTheme="majorBidi" w:cstheme="majorBidi"/>
          <w:sz w:val="24"/>
          <w:szCs w:val="24"/>
          <w:lang w:eastAsia="zh-CN"/>
        </w:rPr>
        <w:t xml:space="preserve">used </w:t>
      </w:r>
      <w:r w:rsidRPr="00133C85">
        <w:rPr>
          <w:rFonts w:asciiTheme="majorBidi" w:eastAsia="SimSun" w:hAnsiTheme="majorBidi" w:cstheme="majorBidi"/>
          <w:i/>
          <w:iCs/>
          <w:sz w:val="24"/>
          <w:szCs w:val="24"/>
          <w:lang w:eastAsia="zh-CN"/>
        </w:rPr>
        <w:t>as a reason to reject</w:t>
      </w:r>
      <w:r w:rsidRPr="00133C85">
        <w:rPr>
          <w:rFonts w:asciiTheme="majorBidi" w:eastAsia="SimSun" w:hAnsiTheme="majorBidi" w:cstheme="majorBidi"/>
          <w:sz w:val="24"/>
          <w:szCs w:val="24"/>
          <w:lang w:eastAsia="zh-CN"/>
        </w:rPr>
        <w:t xml:space="preserve"> a violation of Article 6 (right to life). Here it is important to note the different thresholds: a land could be so degraded </w:t>
      </w:r>
      <w:proofErr w:type="gramStart"/>
      <w:r w:rsidRPr="00133C85">
        <w:rPr>
          <w:rFonts w:asciiTheme="majorBidi" w:eastAsia="SimSun" w:hAnsiTheme="majorBidi" w:cstheme="majorBidi"/>
          <w:sz w:val="24"/>
          <w:szCs w:val="24"/>
          <w:lang w:eastAsia="zh-CN"/>
        </w:rPr>
        <w:t>so as to</w:t>
      </w:r>
      <w:proofErr w:type="gramEnd"/>
      <w:r w:rsidRPr="00133C85">
        <w:rPr>
          <w:rFonts w:asciiTheme="majorBidi" w:eastAsia="SimSun" w:hAnsiTheme="majorBidi" w:cstheme="majorBidi"/>
          <w:sz w:val="24"/>
          <w:szCs w:val="24"/>
          <w:lang w:eastAsia="zh-CN"/>
        </w:rPr>
        <w:t xml:space="preserve"> eliminate the ability to maintain </w:t>
      </w:r>
      <w:r w:rsidRPr="00133C85">
        <w:rPr>
          <w:rFonts w:asciiTheme="majorBidi" w:eastAsia="SimSun" w:hAnsiTheme="majorBidi" w:cstheme="majorBidi"/>
          <w:i/>
          <w:iCs/>
          <w:sz w:val="24"/>
          <w:szCs w:val="24"/>
          <w:lang w:eastAsia="zh-CN"/>
        </w:rPr>
        <w:t>a traditional way of life</w:t>
      </w:r>
      <w:r w:rsidRPr="00133C85">
        <w:rPr>
          <w:rFonts w:asciiTheme="majorBidi" w:eastAsia="SimSun" w:hAnsiTheme="majorBidi" w:cstheme="majorBidi"/>
          <w:sz w:val="24"/>
          <w:szCs w:val="24"/>
          <w:lang w:eastAsia="zh-CN"/>
        </w:rPr>
        <w:t>, but not life itself. The HRC suggested as much by noting ‘that the authors’ claims under article 6 of the Covenant</w:t>
      </w:r>
      <w:r w:rsidR="006C5B4F" w:rsidRPr="00133C85">
        <w:rPr>
          <w:rFonts w:asciiTheme="majorBidi" w:eastAsia="SimSun" w:hAnsiTheme="majorBidi" w:cstheme="majorBidi"/>
          <w:sz w:val="24"/>
          <w:szCs w:val="24"/>
          <w:lang w:eastAsia="zh-CN"/>
        </w:rPr>
        <w:t xml:space="preserve"> are indeed</w:t>
      </w:r>
      <w:r w:rsidRPr="00133C85">
        <w:rPr>
          <w:rFonts w:asciiTheme="majorBidi" w:eastAsia="SimSun" w:hAnsiTheme="majorBidi" w:cstheme="majorBidi"/>
          <w:sz w:val="24"/>
          <w:szCs w:val="24"/>
          <w:lang w:eastAsia="zh-CN"/>
        </w:rPr>
        <w:t xml:space="preserve"> mainly relate</w:t>
      </w:r>
      <w:r w:rsidR="006C5B4F" w:rsidRPr="00133C85">
        <w:rPr>
          <w:rFonts w:asciiTheme="majorBidi" w:eastAsia="SimSun" w:hAnsiTheme="majorBidi" w:cstheme="majorBidi"/>
          <w:sz w:val="24"/>
          <w:szCs w:val="24"/>
          <w:lang w:eastAsia="zh-CN"/>
        </w:rPr>
        <w:t>d</w:t>
      </w:r>
      <w:r w:rsidRPr="00133C85">
        <w:rPr>
          <w:rFonts w:asciiTheme="majorBidi" w:eastAsia="SimSun" w:hAnsiTheme="majorBidi" w:cstheme="majorBidi"/>
          <w:sz w:val="24"/>
          <w:szCs w:val="24"/>
          <w:lang w:eastAsia="zh-CN"/>
        </w:rPr>
        <w:t xml:space="preserve"> to their ability to maintain their culture, which falls unde</w:t>
      </w:r>
      <w:r w:rsidR="006C5B4F" w:rsidRPr="00133C85">
        <w:rPr>
          <w:rFonts w:asciiTheme="majorBidi" w:eastAsia="SimSun" w:hAnsiTheme="majorBidi" w:cstheme="majorBidi"/>
          <w:sz w:val="24"/>
          <w:szCs w:val="24"/>
          <w:lang w:eastAsia="zh-CN"/>
        </w:rPr>
        <w:t>r</w:t>
      </w:r>
      <w:r w:rsidR="0025760F" w:rsidRPr="00133C85">
        <w:rPr>
          <w:rFonts w:asciiTheme="majorBidi" w:eastAsia="SimSun" w:hAnsiTheme="majorBidi" w:cstheme="majorBidi"/>
          <w:sz w:val="24"/>
          <w:szCs w:val="24"/>
          <w:lang w:eastAsia="zh-CN"/>
        </w:rPr>
        <w:t xml:space="preserve"> </w:t>
      </w:r>
      <w:r w:rsidRPr="00133C85">
        <w:rPr>
          <w:rFonts w:asciiTheme="majorBidi" w:eastAsia="SimSun" w:hAnsiTheme="majorBidi" w:cstheme="majorBidi"/>
          <w:sz w:val="24"/>
          <w:szCs w:val="24"/>
          <w:lang w:eastAsia="zh-CN"/>
        </w:rPr>
        <w:t>the scope of article 27 of the Covenant.’</w:t>
      </w:r>
      <w:r w:rsidRPr="00133C85">
        <w:rPr>
          <w:rStyle w:val="FootnoteReference"/>
          <w:rFonts w:asciiTheme="majorBidi" w:eastAsia="SimSun" w:hAnsiTheme="majorBidi" w:cstheme="majorBidi"/>
          <w:sz w:val="24"/>
          <w:szCs w:val="24"/>
          <w:lang w:eastAsia="zh-CN"/>
        </w:rPr>
        <w:footnoteReference w:id="61"/>
      </w:r>
      <w:r w:rsidR="00555734" w:rsidRPr="00133C85">
        <w:rPr>
          <w:rFonts w:asciiTheme="majorBidi" w:eastAsia="SimSun" w:hAnsiTheme="majorBidi" w:cstheme="majorBidi"/>
          <w:sz w:val="24"/>
          <w:szCs w:val="24"/>
          <w:lang w:eastAsia="zh-CN"/>
        </w:rPr>
        <w:t xml:space="preserve"> </w:t>
      </w:r>
      <w:r w:rsidR="006C5B4F" w:rsidRPr="00133C85">
        <w:rPr>
          <w:rFonts w:asciiTheme="majorBidi" w:eastAsia="SimSun" w:hAnsiTheme="majorBidi" w:cstheme="majorBidi"/>
          <w:sz w:val="24"/>
          <w:szCs w:val="24"/>
          <w:lang w:eastAsia="zh-CN"/>
        </w:rPr>
        <w:t>In other words, Article 27 is where their situation belongs, rather than Article 6.</w:t>
      </w:r>
    </w:p>
    <w:p w14:paraId="674A8686" w14:textId="08E41551" w:rsidR="00B619B6" w:rsidRPr="00133C85" w:rsidRDefault="00086DB1"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Another case</w:t>
      </w:r>
      <w:r w:rsidR="006C5B4F" w:rsidRPr="00133C85">
        <w:rPr>
          <w:rFonts w:asciiTheme="majorBidi" w:hAnsiTheme="majorBidi" w:cstheme="majorBidi"/>
          <w:sz w:val="24"/>
          <w:szCs w:val="24"/>
        </w:rPr>
        <w:t xml:space="preserve"> that is relevant for climate migration</w:t>
      </w:r>
      <w:r w:rsidR="0025760F" w:rsidRPr="00133C85">
        <w:rPr>
          <w:rFonts w:asciiTheme="majorBidi" w:hAnsiTheme="majorBidi" w:cstheme="majorBidi"/>
          <w:sz w:val="24"/>
          <w:szCs w:val="24"/>
        </w:rPr>
        <w:t xml:space="preserve"> concerns </w:t>
      </w:r>
      <w:r w:rsidR="00B619B6" w:rsidRPr="00133C85">
        <w:rPr>
          <w:rFonts w:asciiTheme="majorBidi" w:hAnsiTheme="majorBidi" w:cstheme="majorBidi"/>
          <w:sz w:val="24"/>
          <w:szCs w:val="24"/>
        </w:rPr>
        <w:t>a</w:t>
      </w:r>
      <w:r w:rsidR="0025760F" w:rsidRPr="00133C85">
        <w:rPr>
          <w:rFonts w:asciiTheme="majorBidi" w:hAnsiTheme="majorBidi" w:cstheme="majorBidi"/>
          <w:sz w:val="24"/>
          <w:szCs w:val="24"/>
        </w:rPr>
        <w:t xml:space="preserve"> petition by a group of children </w:t>
      </w:r>
      <w:r w:rsidR="00B619B6" w:rsidRPr="00133C85">
        <w:rPr>
          <w:rFonts w:asciiTheme="majorBidi" w:hAnsiTheme="majorBidi" w:cstheme="majorBidi"/>
          <w:sz w:val="24"/>
          <w:szCs w:val="24"/>
        </w:rPr>
        <w:t>and young adults from a number of states (</w:t>
      </w:r>
      <w:proofErr w:type="spellStart"/>
      <w:r w:rsidR="00B619B6" w:rsidRPr="00133C85">
        <w:rPr>
          <w:rFonts w:asciiTheme="majorBidi" w:hAnsiTheme="majorBidi" w:cstheme="majorBidi"/>
          <w:i/>
          <w:iCs/>
          <w:sz w:val="24"/>
          <w:szCs w:val="24"/>
        </w:rPr>
        <w:t>Sacchi</w:t>
      </w:r>
      <w:proofErr w:type="spellEnd"/>
      <w:r w:rsidR="00B619B6" w:rsidRPr="00133C85">
        <w:rPr>
          <w:rFonts w:asciiTheme="majorBidi" w:hAnsiTheme="majorBidi" w:cstheme="majorBidi"/>
          <w:i/>
          <w:iCs/>
          <w:sz w:val="24"/>
          <w:szCs w:val="24"/>
        </w:rPr>
        <w:t xml:space="preserve"> et al</w:t>
      </w:r>
      <w:r w:rsidR="00B619B6" w:rsidRPr="00133C85">
        <w:rPr>
          <w:rFonts w:asciiTheme="majorBidi" w:hAnsiTheme="majorBidi" w:cstheme="majorBidi"/>
          <w:sz w:val="24"/>
          <w:szCs w:val="24"/>
        </w:rPr>
        <w:t xml:space="preserve">) against the governments of Argentina, </w:t>
      </w:r>
      <w:r w:rsidR="00B619B6" w:rsidRPr="00133C85">
        <w:rPr>
          <w:rFonts w:asciiTheme="majorBidi" w:hAnsiTheme="majorBidi" w:cstheme="majorBidi"/>
          <w:sz w:val="24"/>
          <w:szCs w:val="24"/>
        </w:rPr>
        <w:lastRenderedPageBreak/>
        <w:t>Germany, Brazil, France and Turkey, under the UN Convention on the Rights of the Child.</w:t>
      </w:r>
      <w:bookmarkStart w:id="8" w:name="_Ref132656381"/>
      <w:r w:rsidR="00B619B6" w:rsidRPr="00133C85">
        <w:rPr>
          <w:rStyle w:val="FootnoteReference"/>
          <w:rFonts w:asciiTheme="majorBidi" w:hAnsiTheme="majorBidi" w:cstheme="majorBidi"/>
          <w:sz w:val="24"/>
          <w:szCs w:val="24"/>
        </w:rPr>
        <w:footnoteReference w:id="62"/>
      </w:r>
      <w:bookmarkEnd w:id="8"/>
      <w:r w:rsidR="00B619B6" w:rsidRPr="00133C85">
        <w:rPr>
          <w:rFonts w:asciiTheme="majorBidi" w:hAnsiTheme="majorBidi" w:cstheme="majorBidi"/>
          <w:sz w:val="24"/>
          <w:szCs w:val="24"/>
        </w:rPr>
        <w:t xml:space="preserve"> In their communication, the petitioners made </w:t>
      </w:r>
      <w:r w:rsidR="006F5C53" w:rsidRPr="00133C85">
        <w:rPr>
          <w:rFonts w:asciiTheme="majorBidi" w:hAnsiTheme="majorBidi" w:cstheme="majorBidi"/>
          <w:sz w:val="24"/>
          <w:szCs w:val="24"/>
        </w:rPr>
        <w:t>numerous</w:t>
      </w:r>
      <w:r w:rsidR="00B619B6" w:rsidRPr="00133C85">
        <w:rPr>
          <w:rFonts w:asciiTheme="majorBidi" w:hAnsiTheme="majorBidi" w:cstheme="majorBidi"/>
          <w:sz w:val="24"/>
          <w:szCs w:val="24"/>
        </w:rPr>
        <w:t xml:space="preserve"> references to c</w:t>
      </w:r>
      <w:r w:rsidR="006C5B4F" w:rsidRPr="00133C85">
        <w:rPr>
          <w:rFonts w:asciiTheme="majorBidi" w:hAnsiTheme="majorBidi" w:cstheme="majorBidi"/>
          <w:sz w:val="24"/>
          <w:szCs w:val="24"/>
        </w:rPr>
        <w:t>l</w:t>
      </w:r>
      <w:r w:rsidR="00B619B6" w:rsidRPr="00133C85">
        <w:rPr>
          <w:rFonts w:asciiTheme="majorBidi" w:hAnsiTheme="majorBidi" w:cstheme="majorBidi"/>
          <w:sz w:val="24"/>
          <w:szCs w:val="24"/>
        </w:rPr>
        <w:t xml:space="preserve">imate </w:t>
      </w:r>
      <w:r w:rsidR="006F5C53" w:rsidRPr="00133C85">
        <w:rPr>
          <w:rFonts w:asciiTheme="majorBidi" w:hAnsiTheme="majorBidi" w:cstheme="majorBidi"/>
          <w:sz w:val="24"/>
          <w:szCs w:val="24"/>
        </w:rPr>
        <w:t xml:space="preserve">migration and </w:t>
      </w:r>
      <w:r w:rsidR="00B619B6" w:rsidRPr="00133C85">
        <w:rPr>
          <w:rFonts w:asciiTheme="majorBidi" w:hAnsiTheme="majorBidi" w:cstheme="majorBidi"/>
          <w:sz w:val="24"/>
          <w:szCs w:val="24"/>
        </w:rPr>
        <w:t xml:space="preserve">displacement, mentioning it as </w:t>
      </w:r>
      <w:r w:rsidR="006F5C53" w:rsidRPr="00133C85">
        <w:rPr>
          <w:rFonts w:asciiTheme="majorBidi" w:hAnsiTheme="majorBidi" w:cstheme="majorBidi"/>
          <w:sz w:val="24"/>
          <w:szCs w:val="24"/>
        </w:rPr>
        <w:t>a key</w:t>
      </w:r>
      <w:r w:rsidR="00B619B6" w:rsidRPr="00133C85">
        <w:rPr>
          <w:rFonts w:asciiTheme="majorBidi" w:hAnsiTheme="majorBidi" w:cstheme="majorBidi"/>
          <w:sz w:val="24"/>
          <w:szCs w:val="24"/>
        </w:rPr>
        <w:t xml:space="preserve"> adverse impacts experienced </w:t>
      </w:r>
      <w:r w:rsidR="006F5C53" w:rsidRPr="00133C85">
        <w:rPr>
          <w:rFonts w:asciiTheme="majorBidi" w:hAnsiTheme="majorBidi" w:cstheme="majorBidi"/>
          <w:sz w:val="24"/>
          <w:szCs w:val="24"/>
        </w:rPr>
        <w:t>communities, and more specifically by children, due to</w:t>
      </w:r>
      <w:r w:rsidR="00B619B6" w:rsidRPr="00133C85">
        <w:rPr>
          <w:rFonts w:asciiTheme="majorBidi" w:hAnsiTheme="majorBidi" w:cstheme="majorBidi"/>
          <w:sz w:val="24"/>
          <w:szCs w:val="24"/>
        </w:rPr>
        <w:t xml:space="preserve"> climate change.</w:t>
      </w:r>
      <w:r w:rsidR="006F5C53" w:rsidRPr="00133C85">
        <w:rPr>
          <w:rFonts w:asciiTheme="majorBidi" w:hAnsiTheme="majorBidi" w:cstheme="majorBidi"/>
          <w:sz w:val="24"/>
          <w:szCs w:val="24"/>
        </w:rPr>
        <w:t xml:space="preserve"> Beyond </w:t>
      </w:r>
      <w:r w:rsidR="006C5B4F" w:rsidRPr="00133C85">
        <w:rPr>
          <w:rFonts w:asciiTheme="majorBidi" w:hAnsiTheme="majorBidi" w:cstheme="majorBidi"/>
          <w:sz w:val="24"/>
          <w:szCs w:val="24"/>
        </w:rPr>
        <w:t>general references concerning the impact of climate change on migration,</w:t>
      </w:r>
      <w:r w:rsidR="00B619B6" w:rsidRPr="00133C85">
        <w:rPr>
          <w:rFonts w:asciiTheme="majorBidi" w:hAnsiTheme="majorBidi" w:cstheme="majorBidi"/>
          <w:sz w:val="24"/>
          <w:szCs w:val="24"/>
        </w:rPr>
        <w:t xml:space="preserve"> </w:t>
      </w:r>
      <w:r w:rsidR="006F5C53" w:rsidRPr="00133C85">
        <w:rPr>
          <w:rFonts w:asciiTheme="majorBidi" w:hAnsiTheme="majorBidi" w:cstheme="majorBidi"/>
          <w:sz w:val="24"/>
          <w:szCs w:val="24"/>
        </w:rPr>
        <w:t xml:space="preserve">the petitioners </w:t>
      </w:r>
      <w:r w:rsidR="006C5B4F" w:rsidRPr="00133C85">
        <w:rPr>
          <w:rFonts w:asciiTheme="majorBidi" w:hAnsiTheme="majorBidi" w:cstheme="majorBidi"/>
          <w:sz w:val="24"/>
          <w:szCs w:val="24"/>
        </w:rPr>
        <w:t>also addressed this link when describing</w:t>
      </w:r>
      <w:r w:rsidR="006F5C53" w:rsidRPr="00133C85">
        <w:rPr>
          <w:rFonts w:asciiTheme="majorBidi" w:hAnsiTheme="majorBidi" w:cstheme="majorBidi"/>
          <w:sz w:val="24"/>
          <w:szCs w:val="24"/>
        </w:rPr>
        <w:t xml:space="preserve"> their </w:t>
      </w:r>
      <w:r w:rsidR="006C5B4F" w:rsidRPr="00133C85">
        <w:rPr>
          <w:rFonts w:asciiTheme="majorBidi" w:hAnsiTheme="majorBidi" w:cstheme="majorBidi"/>
          <w:sz w:val="24"/>
          <w:szCs w:val="24"/>
        </w:rPr>
        <w:t xml:space="preserve">own </w:t>
      </w:r>
      <w:r w:rsidR="006F5C53" w:rsidRPr="00133C85">
        <w:rPr>
          <w:rFonts w:asciiTheme="majorBidi" w:hAnsiTheme="majorBidi" w:cstheme="majorBidi"/>
          <w:sz w:val="24"/>
          <w:szCs w:val="24"/>
        </w:rPr>
        <w:t>personal stories. For example:</w:t>
      </w:r>
    </w:p>
    <w:p w14:paraId="62A87759" w14:textId="2E8E7AE3" w:rsidR="006F5C53" w:rsidRPr="00133C85" w:rsidRDefault="006F5C53"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‘David’s family wonders if they will have to move away from their home, something that worries David, who wants to live in the Marshall Islands when he grows up. He does not want to be separated from his community, his homeland, and his culture.’</w:t>
      </w:r>
      <w:r w:rsidRPr="00133C85">
        <w:rPr>
          <w:rStyle w:val="FootnoteReference"/>
          <w:rFonts w:asciiTheme="majorBidi" w:hAnsiTheme="majorBidi" w:cstheme="majorBidi"/>
          <w:sz w:val="24"/>
          <w:szCs w:val="24"/>
        </w:rPr>
        <w:footnoteReference w:id="63"/>
      </w:r>
    </w:p>
    <w:p w14:paraId="75149042" w14:textId="3BCF419E" w:rsidR="006F5C53" w:rsidRPr="00133C85" w:rsidRDefault="006F5C53"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w:t>
      </w:r>
      <w:proofErr w:type="spellStart"/>
      <w:r w:rsidRPr="00133C85">
        <w:rPr>
          <w:rFonts w:asciiTheme="majorBidi" w:hAnsiTheme="majorBidi" w:cstheme="majorBidi"/>
          <w:sz w:val="24"/>
          <w:szCs w:val="24"/>
        </w:rPr>
        <w:t>Litokne</w:t>
      </w:r>
      <w:proofErr w:type="spellEnd"/>
      <w:r w:rsidRPr="00133C85">
        <w:rPr>
          <w:rFonts w:asciiTheme="majorBidi" w:hAnsiTheme="majorBidi" w:cstheme="majorBidi"/>
          <w:sz w:val="24"/>
          <w:szCs w:val="24"/>
        </w:rPr>
        <w:t xml:space="preserve"> now “knows” his home and his island “are not here forever… they will disappear, unexpectedly.” </w:t>
      </w:r>
      <w:proofErr w:type="gramStart"/>
      <w:r w:rsidRPr="00133C85">
        <w:rPr>
          <w:rFonts w:asciiTheme="majorBidi" w:hAnsiTheme="majorBidi" w:cstheme="majorBidi"/>
          <w:sz w:val="24"/>
          <w:szCs w:val="24"/>
        </w:rPr>
        <w:t>Despite the fact that</w:t>
      </w:r>
      <w:proofErr w:type="gramEnd"/>
      <w:r w:rsidRPr="00133C85">
        <w:rPr>
          <w:rFonts w:asciiTheme="majorBidi" w:hAnsiTheme="majorBidi" w:cstheme="majorBidi"/>
          <w:sz w:val="24"/>
          <w:szCs w:val="24"/>
        </w:rPr>
        <w:t xml:space="preserve"> Ebeye is noticeably shrinking, when </w:t>
      </w:r>
      <w:proofErr w:type="spellStart"/>
      <w:r w:rsidRPr="00133C85">
        <w:rPr>
          <w:rFonts w:asciiTheme="majorBidi" w:hAnsiTheme="majorBidi" w:cstheme="majorBidi"/>
          <w:sz w:val="24"/>
          <w:szCs w:val="24"/>
        </w:rPr>
        <w:t>Litokne</w:t>
      </w:r>
      <w:proofErr w:type="spellEnd"/>
      <w:r w:rsidRPr="00133C85">
        <w:rPr>
          <w:rFonts w:asciiTheme="majorBidi" w:hAnsiTheme="majorBidi" w:cstheme="majorBidi"/>
          <w:sz w:val="24"/>
          <w:szCs w:val="24"/>
        </w:rPr>
        <w:t xml:space="preserve"> grows up he says, “I want to live here. It is my home, there is no place other like Ebeye.”’</w:t>
      </w:r>
      <w:r w:rsidRPr="00133C85">
        <w:rPr>
          <w:rStyle w:val="FootnoteReference"/>
          <w:rFonts w:asciiTheme="majorBidi" w:hAnsiTheme="majorBidi" w:cstheme="majorBidi"/>
          <w:sz w:val="24"/>
          <w:szCs w:val="24"/>
        </w:rPr>
        <w:footnoteReference w:id="64"/>
      </w:r>
      <w:r w:rsidRPr="00133C85">
        <w:rPr>
          <w:rFonts w:asciiTheme="majorBidi" w:hAnsiTheme="majorBidi" w:cstheme="majorBidi"/>
          <w:sz w:val="24"/>
          <w:szCs w:val="24"/>
        </w:rPr>
        <w:t xml:space="preserve"> </w:t>
      </w:r>
    </w:p>
    <w:p w14:paraId="65F59E70" w14:textId="60E01E69" w:rsidR="006F5C53" w:rsidRPr="00133C85" w:rsidRDefault="006F5C53"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w:t>
      </w:r>
      <w:proofErr w:type="spellStart"/>
      <w:r w:rsidRPr="00133C85">
        <w:rPr>
          <w:rFonts w:asciiTheme="majorBidi" w:hAnsiTheme="majorBidi" w:cstheme="majorBidi"/>
          <w:sz w:val="24"/>
          <w:szCs w:val="24"/>
        </w:rPr>
        <w:t>Ranton</w:t>
      </w:r>
      <w:proofErr w:type="spellEnd"/>
      <w:r w:rsidRPr="00133C85">
        <w:rPr>
          <w:rFonts w:asciiTheme="majorBidi" w:hAnsiTheme="majorBidi" w:cstheme="majorBidi"/>
          <w:sz w:val="24"/>
          <w:szCs w:val="24"/>
        </w:rPr>
        <w:t xml:space="preserve"> worries about losing his home and culture. He thinks about climate change all the time, and “sometimes in my mind I just see Ebeye sinking and a lot of people drowning.”’</w:t>
      </w:r>
      <w:r w:rsidRPr="00133C85">
        <w:rPr>
          <w:rStyle w:val="FootnoteReference"/>
          <w:rFonts w:asciiTheme="majorBidi" w:hAnsiTheme="majorBidi" w:cstheme="majorBidi"/>
          <w:sz w:val="24"/>
          <w:szCs w:val="24"/>
        </w:rPr>
        <w:footnoteReference w:id="65"/>
      </w:r>
    </w:p>
    <w:p w14:paraId="54FEFAC9" w14:textId="0CC9C7DA" w:rsidR="001569B4" w:rsidRPr="00133C85" w:rsidRDefault="006F5C53"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In short, also in this case</w:t>
      </w:r>
      <w:r w:rsidR="006C5B4F" w:rsidRPr="00133C85">
        <w:rPr>
          <w:rFonts w:asciiTheme="majorBidi" w:hAnsiTheme="majorBidi" w:cstheme="majorBidi"/>
          <w:sz w:val="24"/>
          <w:szCs w:val="24"/>
        </w:rPr>
        <w:t>,</w:t>
      </w:r>
      <w:r w:rsidRPr="00133C85">
        <w:rPr>
          <w:rFonts w:asciiTheme="majorBidi" w:hAnsiTheme="majorBidi" w:cstheme="majorBidi"/>
          <w:sz w:val="24"/>
          <w:szCs w:val="24"/>
        </w:rPr>
        <w:t xml:space="preserve"> climate migration   </w:t>
      </w:r>
      <w:r w:rsidR="005702B5">
        <w:rPr>
          <w:rFonts w:asciiTheme="majorBidi" w:hAnsiTheme="majorBidi" w:cstheme="majorBidi"/>
          <w:sz w:val="24"/>
          <w:szCs w:val="24"/>
        </w:rPr>
        <w:t xml:space="preserve">had </w:t>
      </w:r>
      <w:r w:rsidRPr="00133C85">
        <w:rPr>
          <w:rFonts w:asciiTheme="majorBidi" w:hAnsiTheme="majorBidi" w:cstheme="majorBidi"/>
          <w:sz w:val="24"/>
          <w:szCs w:val="24"/>
        </w:rPr>
        <w:t xml:space="preserve">a central place. </w:t>
      </w:r>
      <w:r w:rsidR="00B619B6" w:rsidRPr="00133C85">
        <w:rPr>
          <w:rFonts w:asciiTheme="majorBidi" w:hAnsiTheme="majorBidi" w:cstheme="majorBidi"/>
          <w:sz w:val="24"/>
          <w:szCs w:val="24"/>
        </w:rPr>
        <w:t>The petition itself was rejected by the Rights of the Child Committee</w:t>
      </w:r>
      <w:r w:rsidR="00CD559B" w:rsidRPr="00133C85">
        <w:rPr>
          <w:rFonts w:asciiTheme="majorBidi" w:hAnsiTheme="majorBidi" w:cstheme="majorBidi"/>
          <w:sz w:val="24"/>
          <w:szCs w:val="24"/>
        </w:rPr>
        <w:t xml:space="preserve"> </w:t>
      </w:r>
      <w:r w:rsidR="006C5B4F" w:rsidRPr="00133C85">
        <w:rPr>
          <w:rFonts w:asciiTheme="majorBidi" w:hAnsiTheme="majorBidi" w:cstheme="majorBidi"/>
          <w:sz w:val="24"/>
          <w:szCs w:val="24"/>
        </w:rPr>
        <w:t>on technical grounds, notably the</w:t>
      </w:r>
      <w:r w:rsidR="00CD559B" w:rsidRPr="00133C85">
        <w:rPr>
          <w:rFonts w:asciiTheme="majorBidi" w:hAnsiTheme="majorBidi" w:cstheme="majorBidi"/>
          <w:sz w:val="24"/>
          <w:szCs w:val="24"/>
        </w:rPr>
        <w:t xml:space="preserve"> petitioners’ failure to exhaust local remedies.</w:t>
      </w:r>
      <w:bookmarkStart w:id="9" w:name="_Ref132657431"/>
      <w:r w:rsidR="00CD559B" w:rsidRPr="00133C85">
        <w:rPr>
          <w:rStyle w:val="FootnoteReference"/>
          <w:rFonts w:asciiTheme="majorBidi" w:hAnsiTheme="majorBidi" w:cstheme="majorBidi"/>
          <w:sz w:val="24"/>
          <w:szCs w:val="24"/>
        </w:rPr>
        <w:footnoteReference w:id="66"/>
      </w:r>
      <w:bookmarkEnd w:id="9"/>
      <w:r w:rsidR="00CD559B" w:rsidRPr="00133C85">
        <w:rPr>
          <w:rFonts w:asciiTheme="majorBidi" w:hAnsiTheme="majorBidi" w:cstheme="majorBidi"/>
          <w:sz w:val="24"/>
          <w:szCs w:val="24"/>
        </w:rPr>
        <w:t xml:space="preserve"> Interestingly, however, the </w:t>
      </w:r>
      <w:r w:rsidR="006C5B4F" w:rsidRPr="00133C85">
        <w:rPr>
          <w:rFonts w:asciiTheme="majorBidi" w:hAnsiTheme="majorBidi" w:cstheme="majorBidi"/>
          <w:sz w:val="24"/>
          <w:szCs w:val="24"/>
        </w:rPr>
        <w:t xml:space="preserve">Rights of the Child </w:t>
      </w:r>
      <w:r w:rsidR="00CD559B" w:rsidRPr="00133C85">
        <w:rPr>
          <w:rFonts w:asciiTheme="majorBidi" w:hAnsiTheme="majorBidi" w:cstheme="majorBidi"/>
          <w:sz w:val="24"/>
          <w:szCs w:val="24"/>
        </w:rPr>
        <w:t xml:space="preserve">Committee did make several </w:t>
      </w:r>
      <w:r w:rsidR="006C5B4F" w:rsidRPr="00133C85">
        <w:rPr>
          <w:rFonts w:asciiTheme="majorBidi" w:hAnsiTheme="majorBidi" w:cstheme="majorBidi"/>
          <w:sz w:val="24"/>
          <w:szCs w:val="24"/>
        </w:rPr>
        <w:t xml:space="preserve">useful </w:t>
      </w:r>
      <w:r w:rsidR="00CD559B" w:rsidRPr="00133C85">
        <w:rPr>
          <w:rFonts w:asciiTheme="majorBidi" w:hAnsiTheme="majorBidi" w:cstheme="majorBidi"/>
          <w:sz w:val="24"/>
          <w:szCs w:val="24"/>
        </w:rPr>
        <w:t>comments</w:t>
      </w:r>
      <w:r w:rsidR="00BC106C" w:rsidRPr="00133C85">
        <w:rPr>
          <w:rFonts w:asciiTheme="majorBidi" w:hAnsiTheme="majorBidi" w:cstheme="majorBidi"/>
          <w:sz w:val="24"/>
          <w:szCs w:val="24"/>
        </w:rPr>
        <w:t xml:space="preserve">. </w:t>
      </w:r>
      <w:r w:rsidR="005702B5">
        <w:rPr>
          <w:rFonts w:asciiTheme="majorBidi" w:hAnsiTheme="majorBidi" w:cstheme="majorBidi"/>
          <w:sz w:val="24"/>
          <w:szCs w:val="24"/>
        </w:rPr>
        <w:t>T</w:t>
      </w:r>
      <w:r w:rsidR="00BC106C" w:rsidRPr="00133C85">
        <w:rPr>
          <w:rFonts w:asciiTheme="majorBidi" w:hAnsiTheme="majorBidi" w:cstheme="majorBidi"/>
          <w:sz w:val="24"/>
          <w:szCs w:val="24"/>
        </w:rPr>
        <w:t>he Committee</w:t>
      </w:r>
      <w:r w:rsidR="005702B5">
        <w:rPr>
          <w:rFonts w:asciiTheme="majorBidi" w:hAnsiTheme="majorBidi" w:cstheme="majorBidi"/>
          <w:sz w:val="24"/>
          <w:szCs w:val="24"/>
        </w:rPr>
        <w:t xml:space="preserve"> made the important point</w:t>
      </w:r>
      <w:r w:rsidR="00BC106C" w:rsidRPr="00133C85">
        <w:rPr>
          <w:rFonts w:asciiTheme="majorBidi" w:hAnsiTheme="majorBidi" w:cstheme="majorBidi"/>
          <w:sz w:val="24"/>
          <w:szCs w:val="24"/>
        </w:rPr>
        <w:t xml:space="preserve"> that </w:t>
      </w:r>
      <w:r w:rsidR="006E0B12" w:rsidRPr="00133C85">
        <w:rPr>
          <w:rFonts w:asciiTheme="majorBidi" w:hAnsiTheme="majorBidi" w:cstheme="majorBidi"/>
          <w:sz w:val="24"/>
          <w:szCs w:val="24"/>
        </w:rPr>
        <w:t xml:space="preserve">‘[t]he </w:t>
      </w:r>
      <w:proofErr w:type="gramStart"/>
      <w:r w:rsidR="006E0B12" w:rsidRPr="00133C85">
        <w:rPr>
          <w:rFonts w:asciiTheme="majorBidi" w:hAnsiTheme="majorBidi" w:cstheme="majorBidi"/>
          <w:sz w:val="24"/>
          <w:szCs w:val="24"/>
        </w:rPr>
        <w:t>present</w:t>
      </w:r>
      <w:proofErr w:type="gramEnd"/>
      <w:r w:rsidR="006E0B12" w:rsidRPr="00133C85">
        <w:rPr>
          <w:rFonts w:asciiTheme="majorBidi" w:hAnsiTheme="majorBidi" w:cstheme="majorBidi"/>
          <w:sz w:val="24"/>
          <w:szCs w:val="24"/>
        </w:rPr>
        <w:t xml:space="preserve"> communication raises novel jurisdictional issues of transboundary harm related to climate change’</w:t>
      </w:r>
      <w:r w:rsidR="006E0B12" w:rsidRPr="00133C85">
        <w:rPr>
          <w:rStyle w:val="FootnoteReference"/>
          <w:rFonts w:asciiTheme="majorBidi" w:hAnsiTheme="majorBidi" w:cstheme="majorBidi"/>
          <w:sz w:val="24"/>
          <w:szCs w:val="24"/>
        </w:rPr>
        <w:footnoteReference w:id="67"/>
      </w:r>
      <w:r w:rsidR="006C5B4F" w:rsidRPr="00133C85">
        <w:rPr>
          <w:rFonts w:asciiTheme="majorBidi" w:hAnsiTheme="majorBidi" w:cstheme="majorBidi"/>
          <w:sz w:val="24"/>
          <w:szCs w:val="24"/>
        </w:rPr>
        <w:t>, implying the need to develop existing frameworks.</w:t>
      </w:r>
      <w:r w:rsidR="007A795A" w:rsidRPr="00133C85">
        <w:rPr>
          <w:rFonts w:asciiTheme="majorBidi" w:hAnsiTheme="majorBidi" w:cstheme="majorBidi"/>
          <w:sz w:val="24"/>
          <w:szCs w:val="24"/>
        </w:rPr>
        <w:t xml:space="preserve"> </w:t>
      </w:r>
      <w:r w:rsidR="001569B4" w:rsidRPr="00133C85">
        <w:rPr>
          <w:rFonts w:asciiTheme="majorBidi" w:hAnsiTheme="majorBidi" w:cstheme="majorBidi"/>
          <w:sz w:val="24"/>
          <w:szCs w:val="24"/>
        </w:rPr>
        <w:t>In this respect, r</w:t>
      </w:r>
      <w:r w:rsidR="007A795A" w:rsidRPr="00133C85">
        <w:rPr>
          <w:rFonts w:asciiTheme="majorBidi" w:hAnsiTheme="majorBidi" w:cstheme="majorBidi"/>
          <w:sz w:val="24"/>
          <w:szCs w:val="24"/>
        </w:rPr>
        <w:t xml:space="preserve">elying on </w:t>
      </w:r>
      <w:r w:rsidR="005702B5">
        <w:rPr>
          <w:rFonts w:asciiTheme="majorBidi" w:hAnsiTheme="majorBidi" w:cstheme="majorBidi"/>
          <w:sz w:val="24"/>
          <w:szCs w:val="24"/>
        </w:rPr>
        <w:t xml:space="preserve">the </w:t>
      </w:r>
      <w:r w:rsidR="007A795A" w:rsidRPr="00133C85">
        <w:rPr>
          <w:rFonts w:asciiTheme="majorBidi" w:hAnsiTheme="majorBidi" w:cstheme="majorBidi"/>
          <w:sz w:val="24"/>
          <w:szCs w:val="24"/>
        </w:rPr>
        <w:t>Inter-American Court of Human Rights’ Advisory Opinion on the Environment and Human Rights,</w:t>
      </w:r>
      <w:r w:rsidR="007A795A" w:rsidRPr="00133C85">
        <w:rPr>
          <w:rStyle w:val="FootnoteReference"/>
          <w:rFonts w:asciiTheme="majorBidi" w:hAnsiTheme="majorBidi" w:cstheme="majorBidi"/>
          <w:sz w:val="24"/>
          <w:szCs w:val="24"/>
        </w:rPr>
        <w:footnoteReference w:id="68"/>
      </w:r>
      <w:r w:rsidR="007A795A" w:rsidRPr="00133C85">
        <w:rPr>
          <w:rFonts w:asciiTheme="majorBidi" w:hAnsiTheme="majorBidi" w:cstheme="majorBidi"/>
          <w:sz w:val="24"/>
          <w:szCs w:val="24"/>
        </w:rPr>
        <w:t xml:space="preserve"> the Committee</w:t>
      </w:r>
      <w:r w:rsidR="00630097" w:rsidRPr="00133C85">
        <w:rPr>
          <w:rFonts w:asciiTheme="majorBidi" w:hAnsiTheme="majorBidi" w:cstheme="majorBidi"/>
          <w:sz w:val="24"/>
          <w:szCs w:val="24"/>
        </w:rPr>
        <w:t xml:space="preserve"> accepted that states </w:t>
      </w:r>
      <w:r w:rsidR="005702B5">
        <w:rPr>
          <w:rFonts w:asciiTheme="majorBidi" w:hAnsiTheme="majorBidi" w:cstheme="majorBidi"/>
          <w:sz w:val="24"/>
          <w:szCs w:val="24"/>
        </w:rPr>
        <w:t xml:space="preserve">owe </w:t>
      </w:r>
      <w:r w:rsidR="00630097" w:rsidRPr="00133C85">
        <w:rPr>
          <w:rFonts w:asciiTheme="majorBidi" w:hAnsiTheme="majorBidi" w:cstheme="majorBidi"/>
          <w:sz w:val="24"/>
          <w:szCs w:val="24"/>
        </w:rPr>
        <w:t xml:space="preserve">responsibilities not only to their own </w:t>
      </w:r>
      <w:r w:rsidR="00630097" w:rsidRPr="00133C85">
        <w:rPr>
          <w:rFonts w:asciiTheme="majorBidi" w:hAnsiTheme="majorBidi" w:cstheme="majorBidi"/>
          <w:sz w:val="24"/>
          <w:szCs w:val="24"/>
        </w:rPr>
        <w:lastRenderedPageBreak/>
        <w:t xml:space="preserve">nationals, but also towards children in other states, due to the foreseeability of the harm caused by </w:t>
      </w:r>
      <w:r w:rsidR="005702B5">
        <w:rPr>
          <w:rFonts w:asciiTheme="majorBidi" w:hAnsiTheme="majorBidi" w:cstheme="majorBidi"/>
          <w:sz w:val="24"/>
          <w:szCs w:val="24"/>
        </w:rPr>
        <w:t xml:space="preserve">their </w:t>
      </w:r>
      <w:r w:rsidR="00630097" w:rsidRPr="00133C85">
        <w:rPr>
          <w:rFonts w:asciiTheme="majorBidi" w:hAnsiTheme="majorBidi" w:cstheme="majorBidi"/>
          <w:sz w:val="24"/>
          <w:szCs w:val="24"/>
        </w:rPr>
        <w:t>emissions.</w:t>
      </w:r>
      <w:r w:rsidR="00630097" w:rsidRPr="00133C85">
        <w:rPr>
          <w:rStyle w:val="FootnoteReference"/>
          <w:rFonts w:asciiTheme="majorBidi" w:hAnsiTheme="majorBidi" w:cstheme="majorBidi"/>
          <w:sz w:val="24"/>
          <w:szCs w:val="24"/>
        </w:rPr>
        <w:footnoteReference w:id="69"/>
      </w:r>
      <w:r w:rsidR="00630097" w:rsidRPr="00133C85">
        <w:rPr>
          <w:rFonts w:asciiTheme="majorBidi" w:hAnsiTheme="majorBidi" w:cstheme="majorBidi"/>
          <w:sz w:val="24"/>
          <w:szCs w:val="24"/>
        </w:rPr>
        <w:t xml:space="preserve"> </w:t>
      </w:r>
    </w:p>
    <w:p w14:paraId="6FDCE7BB" w14:textId="5CED65D3" w:rsidR="00B94DDC" w:rsidRPr="00133C85" w:rsidRDefault="001569B4"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The implications of th</w:t>
      </w:r>
      <w:r w:rsidR="00075FA0">
        <w:rPr>
          <w:rFonts w:asciiTheme="majorBidi" w:hAnsiTheme="majorBidi" w:cstheme="majorBidi"/>
          <w:sz w:val="24"/>
          <w:szCs w:val="24"/>
        </w:rPr>
        <w:t>ese</w:t>
      </w:r>
      <w:r w:rsidRPr="00133C85">
        <w:rPr>
          <w:rFonts w:asciiTheme="majorBidi" w:hAnsiTheme="majorBidi" w:cstheme="majorBidi"/>
          <w:sz w:val="24"/>
          <w:szCs w:val="24"/>
        </w:rPr>
        <w:t xml:space="preserve"> decisions for climate migration are clear: climate migration is taking place mostly in the Global South, far away from the traditional jurisdictional limits of those who are responsible for climate change. Exp</w:t>
      </w:r>
      <w:r w:rsidR="00D81FF2">
        <w:rPr>
          <w:rFonts w:asciiTheme="majorBidi" w:hAnsiTheme="majorBidi" w:cstheme="majorBidi"/>
          <w:sz w:val="24"/>
          <w:szCs w:val="24"/>
        </w:rPr>
        <w:t>a</w:t>
      </w:r>
      <w:r w:rsidRPr="00133C85">
        <w:rPr>
          <w:rFonts w:asciiTheme="majorBidi" w:hAnsiTheme="majorBidi" w:cstheme="majorBidi"/>
          <w:sz w:val="24"/>
          <w:szCs w:val="24"/>
        </w:rPr>
        <w:t xml:space="preserve">nding the responsibility owed by </w:t>
      </w:r>
      <w:proofErr w:type="gramStart"/>
      <w:r w:rsidRPr="00133C85">
        <w:rPr>
          <w:rFonts w:asciiTheme="majorBidi" w:hAnsiTheme="majorBidi" w:cstheme="majorBidi"/>
          <w:sz w:val="24"/>
          <w:szCs w:val="24"/>
        </w:rPr>
        <w:t>states</w:t>
      </w:r>
      <w:r w:rsidR="00D81FF2">
        <w:rPr>
          <w:rFonts w:asciiTheme="majorBidi" w:hAnsiTheme="majorBidi" w:cstheme="majorBidi"/>
          <w:sz w:val="24"/>
          <w:szCs w:val="24"/>
        </w:rPr>
        <w:t xml:space="preserve"> </w:t>
      </w:r>
      <w:r w:rsidRPr="00133C85">
        <w:rPr>
          <w:rFonts w:asciiTheme="majorBidi" w:hAnsiTheme="majorBidi" w:cstheme="majorBidi"/>
          <w:sz w:val="24"/>
          <w:szCs w:val="24"/>
        </w:rPr>
        <w:t xml:space="preserve"> to</w:t>
      </w:r>
      <w:proofErr w:type="gramEnd"/>
      <w:r w:rsidRPr="00133C85">
        <w:rPr>
          <w:rFonts w:asciiTheme="majorBidi" w:hAnsiTheme="majorBidi" w:cstheme="majorBidi"/>
          <w:sz w:val="24"/>
          <w:szCs w:val="24"/>
        </w:rPr>
        <w:t xml:space="preserve"> </w:t>
      </w:r>
      <w:r w:rsidR="00D81FF2">
        <w:rPr>
          <w:rFonts w:asciiTheme="majorBidi" w:hAnsiTheme="majorBidi" w:cstheme="majorBidi"/>
          <w:sz w:val="24"/>
          <w:szCs w:val="24"/>
        </w:rPr>
        <w:t>people displaced at a global level</w:t>
      </w:r>
      <w:r w:rsidRPr="00133C85">
        <w:rPr>
          <w:rFonts w:asciiTheme="majorBidi" w:hAnsiTheme="majorBidi" w:cstheme="majorBidi"/>
          <w:sz w:val="24"/>
          <w:szCs w:val="24"/>
        </w:rPr>
        <w:t xml:space="preserve"> </w:t>
      </w:r>
      <w:r w:rsidR="00D81FF2">
        <w:rPr>
          <w:rFonts w:asciiTheme="majorBidi" w:hAnsiTheme="majorBidi" w:cstheme="majorBidi"/>
          <w:sz w:val="24"/>
          <w:szCs w:val="24"/>
        </w:rPr>
        <w:t xml:space="preserve">may </w:t>
      </w:r>
      <w:r w:rsidRPr="00133C85">
        <w:rPr>
          <w:rFonts w:asciiTheme="majorBidi" w:hAnsiTheme="majorBidi" w:cstheme="majorBidi"/>
          <w:sz w:val="24"/>
          <w:szCs w:val="24"/>
        </w:rPr>
        <w:t xml:space="preserve">bridge this gap. At the same time, this expansion of the jurisdictional limits </w:t>
      </w:r>
      <w:r w:rsidR="00D81FF2">
        <w:rPr>
          <w:rFonts w:asciiTheme="majorBidi" w:hAnsiTheme="majorBidi" w:cstheme="majorBidi"/>
          <w:sz w:val="24"/>
          <w:szCs w:val="24"/>
        </w:rPr>
        <w:t>provides</w:t>
      </w:r>
      <w:r w:rsidRPr="00133C85">
        <w:rPr>
          <w:rFonts w:asciiTheme="majorBidi" w:hAnsiTheme="majorBidi" w:cstheme="majorBidi"/>
          <w:sz w:val="24"/>
          <w:szCs w:val="24"/>
        </w:rPr>
        <w:t xml:space="preserve"> only half the answer, as claimants will still need to demonstrate a causal link between the wrongdoers’ action and the victims. Establishing a causal link in this context is an extremely challenging task, one that deserves further attention. </w:t>
      </w:r>
      <w:r w:rsidR="00D81FF2">
        <w:rPr>
          <w:rFonts w:asciiTheme="majorBidi" w:hAnsiTheme="majorBidi" w:cstheme="majorBidi"/>
          <w:sz w:val="24"/>
          <w:szCs w:val="24"/>
        </w:rPr>
        <w:t>We</w:t>
      </w:r>
      <w:r w:rsidRPr="00133C85">
        <w:rPr>
          <w:rFonts w:asciiTheme="majorBidi" w:hAnsiTheme="majorBidi" w:cstheme="majorBidi"/>
          <w:sz w:val="24"/>
          <w:szCs w:val="24"/>
        </w:rPr>
        <w:t xml:space="preserve"> therefore</w:t>
      </w:r>
      <w:r w:rsidR="00D81FF2">
        <w:rPr>
          <w:rFonts w:asciiTheme="majorBidi" w:hAnsiTheme="majorBidi" w:cstheme="majorBidi"/>
          <w:sz w:val="24"/>
          <w:szCs w:val="24"/>
        </w:rPr>
        <w:t xml:space="preserve"> turn now to</w:t>
      </w:r>
      <w:r w:rsidRPr="00133C85">
        <w:rPr>
          <w:rFonts w:asciiTheme="majorBidi" w:hAnsiTheme="majorBidi" w:cstheme="majorBidi"/>
          <w:sz w:val="24"/>
          <w:szCs w:val="24"/>
        </w:rPr>
        <w:t xml:space="preserve"> address this specific question</w:t>
      </w:r>
      <w:r w:rsidR="0023717A" w:rsidRPr="00133C85">
        <w:rPr>
          <w:rFonts w:asciiTheme="majorBidi" w:hAnsiTheme="majorBidi" w:cstheme="majorBidi"/>
          <w:sz w:val="24"/>
          <w:szCs w:val="24"/>
        </w:rPr>
        <w:t xml:space="preserve">, and its complexity in the unique context of climate migration. </w:t>
      </w:r>
    </w:p>
    <w:p w14:paraId="708C9B82" w14:textId="4110B61C" w:rsidR="00207415" w:rsidRPr="00133C85" w:rsidRDefault="00473C62" w:rsidP="00E8103C">
      <w:pPr>
        <w:pStyle w:val="Heading3"/>
        <w:numPr>
          <w:ilvl w:val="0"/>
          <w:numId w:val="3"/>
        </w:numPr>
        <w:spacing w:line="360" w:lineRule="auto"/>
        <w:jc w:val="both"/>
        <w:rPr>
          <w:rFonts w:asciiTheme="majorBidi" w:hAnsiTheme="majorBidi"/>
        </w:rPr>
      </w:pPr>
      <w:r w:rsidRPr="00133C85">
        <w:rPr>
          <w:rFonts w:asciiTheme="majorBidi" w:hAnsiTheme="majorBidi"/>
        </w:rPr>
        <w:t>The question of causal link</w:t>
      </w:r>
    </w:p>
    <w:p w14:paraId="014F4AA1" w14:textId="4DC1CB0C" w:rsidR="00473C62" w:rsidRPr="00133C85" w:rsidRDefault="001E5CD6"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The causal link issue broadly </w:t>
      </w:r>
      <w:r w:rsidR="00723025">
        <w:rPr>
          <w:rFonts w:asciiTheme="majorBidi" w:hAnsiTheme="majorBidi" w:cstheme="majorBidi"/>
          <w:sz w:val="24"/>
          <w:szCs w:val="24"/>
        </w:rPr>
        <w:t>addresses</w:t>
      </w:r>
      <w:r w:rsidR="00723025" w:rsidRPr="00133C85">
        <w:rPr>
          <w:rFonts w:asciiTheme="majorBidi" w:hAnsiTheme="majorBidi" w:cstheme="majorBidi"/>
          <w:sz w:val="24"/>
          <w:szCs w:val="24"/>
        </w:rPr>
        <w:t xml:space="preserve"> </w:t>
      </w:r>
      <w:r w:rsidRPr="00133C85">
        <w:rPr>
          <w:rFonts w:asciiTheme="majorBidi" w:hAnsiTheme="majorBidi" w:cstheme="majorBidi"/>
          <w:sz w:val="24"/>
          <w:szCs w:val="24"/>
        </w:rPr>
        <w:t xml:space="preserve">the question of whether the illegal act or omission has caused the </w:t>
      </w:r>
      <w:r w:rsidR="00723025">
        <w:rPr>
          <w:rFonts w:asciiTheme="majorBidi" w:hAnsiTheme="majorBidi" w:cstheme="majorBidi"/>
          <w:sz w:val="24"/>
          <w:szCs w:val="24"/>
        </w:rPr>
        <w:t xml:space="preserve">alleged </w:t>
      </w:r>
      <w:r w:rsidRPr="00133C85">
        <w:rPr>
          <w:rFonts w:asciiTheme="majorBidi" w:hAnsiTheme="majorBidi" w:cstheme="majorBidi"/>
          <w:sz w:val="24"/>
          <w:szCs w:val="24"/>
        </w:rPr>
        <w:t xml:space="preserve">harm. </w:t>
      </w:r>
      <w:r w:rsidR="00954776" w:rsidRPr="00133C85">
        <w:rPr>
          <w:rFonts w:asciiTheme="majorBidi" w:hAnsiTheme="majorBidi" w:cstheme="majorBidi"/>
          <w:sz w:val="24"/>
          <w:szCs w:val="24"/>
        </w:rPr>
        <w:t xml:space="preserve">In the context of climate migration, the </w:t>
      </w:r>
      <w:r w:rsidR="00935A58">
        <w:rPr>
          <w:rFonts w:asciiTheme="majorBidi" w:hAnsiTheme="majorBidi" w:cstheme="majorBidi"/>
          <w:sz w:val="24"/>
          <w:szCs w:val="24"/>
        </w:rPr>
        <w:t xml:space="preserve">question of the </w:t>
      </w:r>
      <w:r w:rsidR="00954776" w:rsidRPr="00133C85">
        <w:rPr>
          <w:rFonts w:asciiTheme="majorBidi" w:hAnsiTheme="majorBidi" w:cstheme="majorBidi"/>
          <w:sz w:val="24"/>
          <w:szCs w:val="24"/>
        </w:rPr>
        <w:t xml:space="preserve">causal link is </w:t>
      </w:r>
      <w:proofErr w:type="gramStart"/>
      <w:r w:rsidR="00954776" w:rsidRPr="00133C85">
        <w:rPr>
          <w:rFonts w:asciiTheme="majorBidi" w:hAnsiTheme="majorBidi" w:cstheme="majorBidi"/>
          <w:sz w:val="24"/>
          <w:szCs w:val="24"/>
        </w:rPr>
        <w:t>double-headed</w:t>
      </w:r>
      <w:proofErr w:type="gramEnd"/>
      <w:r w:rsidR="00954776" w:rsidRPr="00133C85">
        <w:rPr>
          <w:rFonts w:asciiTheme="majorBidi" w:hAnsiTheme="majorBidi" w:cstheme="majorBidi"/>
          <w:sz w:val="24"/>
          <w:szCs w:val="24"/>
        </w:rPr>
        <w:t xml:space="preserve">: first, one </w:t>
      </w:r>
      <w:r w:rsidR="00935A58">
        <w:rPr>
          <w:rFonts w:asciiTheme="majorBidi" w:hAnsiTheme="majorBidi" w:cstheme="majorBidi"/>
          <w:sz w:val="24"/>
          <w:szCs w:val="24"/>
        </w:rPr>
        <w:t>has</w:t>
      </w:r>
      <w:r w:rsidR="00954776" w:rsidRPr="00133C85">
        <w:rPr>
          <w:rFonts w:asciiTheme="majorBidi" w:hAnsiTheme="majorBidi" w:cstheme="majorBidi"/>
          <w:sz w:val="24"/>
          <w:szCs w:val="24"/>
        </w:rPr>
        <w:t xml:space="preserve"> to demonstrate that a </w:t>
      </w:r>
      <w:r w:rsidR="00954776" w:rsidRPr="00133C85">
        <w:rPr>
          <w:rFonts w:asciiTheme="majorBidi" w:hAnsiTheme="majorBidi" w:cstheme="majorBidi"/>
          <w:i/>
          <w:iCs/>
          <w:sz w:val="24"/>
          <w:szCs w:val="24"/>
        </w:rPr>
        <w:t xml:space="preserve">specific </w:t>
      </w:r>
      <w:r w:rsidR="00954776" w:rsidRPr="00133C85">
        <w:rPr>
          <w:rFonts w:asciiTheme="majorBidi" w:hAnsiTheme="majorBidi" w:cstheme="majorBidi"/>
          <w:sz w:val="24"/>
          <w:szCs w:val="24"/>
        </w:rPr>
        <w:t xml:space="preserve">state’s emissions are responsible for a </w:t>
      </w:r>
      <w:r w:rsidR="00954776" w:rsidRPr="00133C85">
        <w:rPr>
          <w:rFonts w:asciiTheme="majorBidi" w:hAnsiTheme="majorBidi" w:cstheme="majorBidi"/>
          <w:i/>
          <w:iCs/>
          <w:sz w:val="24"/>
          <w:szCs w:val="24"/>
        </w:rPr>
        <w:t xml:space="preserve">specific </w:t>
      </w:r>
      <w:r w:rsidR="00954776" w:rsidRPr="00133C85">
        <w:rPr>
          <w:rFonts w:asciiTheme="majorBidi" w:hAnsiTheme="majorBidi" w:cstheme="majorBidi"/>
          <w:sz w:val="24"/>
          <w:szCs w:val="24"/>
        </w:rPr>
        <w:t xml:space="preserve">damage. </w:t>
      </w:r>
      <w:r w:rsidR="00473C62" w:rsidRPr="00133C85">
        <w:rPr>
          <w:rFonts w:asciiTheme="majorBidi" w:hAnsiTheme="majorBidi" w:cstheme="majorBidi"/>
          <w:sz w:val="24"/>
          <w:szCs w:val="24"/>
        </w:rPr>
        <w:t xml:space="preserve">Climate change is a result of diffuse pollution and indeed it is </w:t>
      </w:r>
      <w:r w:rsidR="0013791F" w:rsidRPr="00133C85">
        <w:rPr>
          <w:rFonts w:asciiTheme="majorBidi" w:hAnsiTheme="majorBidi" w:cstheme="majorBidi"/>
          <w:sz w:val="24"/>
          <w:szCs w:val="24"/>
        </w:rPr>
        <w:t>hard</w:t>
      </w:r>
      <w:r w:rsidR="00473C62" w:rsidRPr="00133C85">
        <w:rPr>
          <w:rFonts w:asciiTheme="majorBidi" w:hAnsiTheme="majorBidi" w:cstheme="majorBidi"/>
          <w:sz w:val="24"/>
          <w:szCs w:val="24"/>
        </w:rPr>
        <w:t xml:space="preserve"> to attribute emissions from a specific state as the cause of a</w:t>
      </w:r>
      <w:r w:rsidR="00935A58" w:rsidRPr="00133C85">
        <w:rPr>
          <w:rFonts w:asciiTheme="majorBidi" w:hAnsiTheme="majorBidi" w:cstheme="majorBidi"/>
          <w:sz w:val="24"/>
          <w:szCs w:val="24"/>
        </w:rPr>
        <w:t xml:space="preserve"> </w:t>
      </w:r>
      <w:r w:rsidR="00473C62" w:rsidRPr="00133C85">
        <w:rPr>
          <w:rFonts w:asciiTheme="majorBidi" w:hAnsiTheme="majorBidi" w:cstheme="majorBidi"/>
          <w:sz w:val="24"/>
          <w:szCs w:val="24"/>
        </w:rPr>
        <w:t xml:space="preserve">specific damage. </w:t>
      </w:r>
      <w:r w:rsidR="0013791F" w:rsidRPr="00133C85">
        <w:rPr>
          <w:rFonts w:asciiTheme="majorBidi" w:hAnsiTheme="majorBidi" w:cstheme="majorBidi"/>
          <w:sz w:val="24"/>
          <w:szCs w:val="24"/>
        </w:rPr>
        <w:t xml:space="preserve">This difficulty </w:t>
      </w:r>
      <w:r w:rsidR="00935A58">
        <w:rPr>
          <w:rFonts w:asciiTheme="majorBidi" w:hAnsiTheme="majorBidi" w:cstheme="majorBidi"/>
          <w:sz w:val="24"/>
          <w:szCs w:val="24"/>
        </w:rPr>
        <w:t>has often been</w:t>
      </w:r>
      <w:r w:rsidR="00935A58" w:rsidRPr="00133C85">
        <w:rPr>
          <w:rFonts w:asciiTheme="majorBidi" w:hAnsiTheme="majorBidi" w:cstheme="majorBidi"/>
          <w:sz w:val="24"/>
          <w:szCs w:val="24"/>
        </w:rPr>
        <w:t xml:space="preserve"> </w:t>
      </w:r>
      <w:r w:rsidR="0013791F" w:rsidRPr="00133C85">
        <w:rPr>
          <w:rFonts w:asciiTheme="majorBidi" w:hAnsiTheme="majorBidi" w:cstheme="majorBidi"/>
          <w:sz w:val="24"/>
          <w:szCs w:val="24"/>
        </w:rPr>
        <w:t>invoked by states as a defence in</w:t>
      </w:r>
      <w:r w:rsidR="00935A58">
        <w:rPr>
          <w:rFonts w:asciiTheme="majorBidi" w:hAnsiTheme="majorBidi" w:cstheme="majorBidi"/>
          <w:sz w:val="24"/>
          <w:szCs w:val="24"/>
        </w:rPr>
        <w:t xml:space="preserve"> climate</w:t>
      </w:r>
      <w:r w:rsidR="0013791F" w:rsidRPr="00133C85">
        <w:rPr>
          <w:rFonts w:asciiTheme="majorBidi" w:hAnsiTheme="majorBidi" w:cstheme="majorBidi"/>
          <w:sz w:val="24"/>
          <w:szCs w:val="24"/>
        </w:rPr>
        <w:t xml:space="preserve"> cases. </w:t>
      </w:r>
      <w:r w:rsidR="00473C62" w:rsidRPr="00133C85">
        <w:rPr>
          <w:rFonts w:asciiTheme="majorBidi" w:hAnsiTheme="majorBidi" w:cstheme="majorBidi"/>
          <w:sz w:val="24"/>
          <w:szCs w:val="24"/>
        </w:rPr>
        <w:t xml:space="preserve">For example, the Australian government argued in </w:t>
      </w:r>
      <w:r w:rsidR="00473C62" w:rsidRPr="00133C85">
        <w:rPr>
          <w:rFonts w:asciiTheme="majorBidi" w:hAnsiTheme="majorBidi" w:cstheme="majorBidi"/>
          <w:i/>
          <w:iCs/>
          <w:sz w:val="24"/>
          <w:szCs w:val="24"/>
        </w:rPr>
        <w:t>Daniel Billy et al</w:t>
      </w:r>
      <w:r w:rsidR="00473C62" w:rsidRPr="00133C85">
        <w:rPr>
          <w:rFonts w:asciiTheme="majorBidi" w:hAnsiTheme="majorBidi" w:cstheme="majorBidi"/>
          <w:sz w:val="24"/>
          <w:szCs w:val="24"/>
        </w:rPr>
        <w:t>:</w:t>
      </w:r>
      <w:r w:rsidR="00473C62" w:rsidRPr="00133C85">
        <w:rPr>
          <w:rStyle w:val="FootnoteReference"/>
          <w:rFonts w:asciiTheme="majorBidi" w:hAnsiTheme="majorBidi" w:cstheme="majorBidi"/>
          <w:sz w:val="24"/>
          <w:szCs w:val="24"/>
        </w:rPr>
        <w:footnoteReference w:id="70"/>
      </w:r>
      <w:r w:rsidR="00473C62" w:rsidRPr="00133C85">
        <w:rPr>
          <w:rFonts w:asciiTheme="majorBidi" w:hAnsiTheme="majorBidi" w:cstheme="majorBidi"/>
          <w:sz w:val="24"/>
          <w:szCs w:val="24"/>
        </w:rPr>
        <w:t xml:space="preserve"> </w:t>
      </w:r>
    </w:p>
    <w:p w14:paraId="7319A35B" w14:textId="50EDD7BE" w:rsidR="00473C62" w:rsidRPr="00133C85" w:rsidRDefault="00473C62"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‘As a legal matter, it is not possible to trace causal links between the State party’s contribution to climate change, its efforts to address climate change, and the alleged effects of climate change on the enjoyment of the authors’ rights.’</w:t>
      </w:r>
    </w:p>
    <w:p w14:paraId="67A32E66" w14:textId="04FC1BBD" w:rsidR="00D85C91" w:rsidRPr="00133C85" w:rsidRDefault="00D85C91"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Similar claims </w:t>
      </w:r>
      <w:r w:rsidR="00935A58">
        <w:rPr>
          <w:rFonts w:asciiTheme="majorBidi" w:hAnsiTheme="majorBidi" w:cstheme="majorBidi"/>
          <w:sz w:val="24"/>
          <w:szCs w:val="24"/>
        </w:rPr>
        <w:t>have been</w:t>
      </w:r>
      <w:r w:rsidR="00935A58" w:rsidRPr="00133C85">
        <w:rPr>
          <w:rFonts w:asciiTheme="majorBidi" w:hAnsiTheme="majorBidi" w:cstheme="majorBidi"/>
          <w:sz w:val="24"/>
          <w:szCs w:val="24"/>
        </w:rPr>
        <w:t xml:space="preserve"> </w:t>
      </w:r>
      <w:r w:rsidRPr="00133C85">
        <w:rPr>
          <w:rFonts w:asciiTheme="majorBidi" w:hAnsiTheme="majorBidi" w:cstheme="majorBidi"/>
          <w:sz w:val="24"/>
          <w:szCs w:val="24"/>
        </w:rPr>
        <w:t xml:space="preserve">made elsewhere, for example by the defendants in </w:t>
      </w:r>
      <w:proofErr w:type="spellStart"/>
      <w:r w:rsidRPr="00133C85">
        <w:rPr>
          <w:rFonts w:asciiTheme="majorBidi" w:hAnsiTheme="majorBidi" w:cstheme="majorBidi"/>
          <w:i/>
          <w:iCs/>
          <w:sz w:val="24"/>
          <w:szCs w:val="24"/>
        </w:rPr>
        <w:t>Sacchi</w:t>
      </w:r>
      <w:proofErr w:type="spellEnd"/>
      <w:r w:rsidRPr="00133C85">
        <w:rPr>
          <w:rFonts w:asciiTheme="majorBidi" w:hAnsiTheme="majorBidi" w:cstheme="majorBidi"/>
          <w:i/>
          <w:iCs/>
          <w:sz w:val="24"/>
          <w:szCs w:val="24"/>
        </w:rPr>
        <w:t xml:space="preserve"> et al</w:t>
      </w:r>
      <w:r w:rsidRPr="00133C85">
        <w:rPr>
          <w:rFonts w:asciiTheme="majorBidi" w:hAnsiTheme="majorBidi" w:cstheme="majorBidi"/>
          <w:sz w:val="24"/>
          <w:szCs w:val="24"/>
        </w:rPr>
        <w:t>. For example, Argentina claimed that ‘[b]</w:t>
      </w:r>
      <w:proofErr w:type="spellStart"/>
      <w:r w:rsidRPr="00133C85">
        <w:rPr>
          <w:rFonts w:asciiTheme="majorBidi" w:hAnsiTheme="majorBidi" w:cstheme="majorBidi"/>
          <w:sz w:val="24"/>
          <w:szCs w:val="24"/>
        </w:rPr>
        <w:t>eyond</w:t>
      </w:r>
      <w:proofErr w:type="spellEnd"/>
      <w:r w:rsidRPr="00133C85">
        <w:rPr>
          <w:rFonts w:asciiTheme="majorBidi" w:hAnsiTheme="majorBidi" w:cstheme="majorBidi"/>
          <w:sz w:val="24"/>
          <w:szCs w:val="24"/>
        </w:rPr>
        <w:t xml:space="preserve"> general statements about the contribution of States to the climate change phenomenon, the causal link between actions or omissions that could be attributable to the State party and the extreme heat in France, a fire in Tunisia or the sea level </w:t>
      </w:r>
      <w:r w:rsidRPr="00133C85">
        <w:rPr>
          <w:rFonts w:asciiTheme="majorBidi" w:hAnsiTheme="majorBidi" w:cstheme="majorBidi"/>
          <w:sz w:val="24"/>
          <w:szCs w:val="24"/>
        </w:rPr>
        <w:lastRenderedPageBreak/>
        <w:t>rise in the Marshall Islands, is not established.’</w:t>
      </w:r>
      <w:r w:rsidRPr="00133C85">
        <w:rPr>
          <w:rStyle w:val="FootnoteReference"/>
          <w:rFonts w:asciiTheme="majorBidi" w:hAnsiTheme="majorBidi" w:cstheme="majorBidi"/>
          <w:sz w:val="24"/>
          <w:szCs w:val="24"/>
        </w:rPr>
        <w:footnoteReference w:id="71"/>
      </w:r>
      <w:r w:rsidR="0013791F" w:rsidRPr="00133C85">
        <w:rPr>
          <w:rFonts w:asciiTheme="majorBidi" w:hAnsiTheme="majorBidi" w:cstheme="majorBidi"/>
          <w:sz w:val="24"/>
          <w:szCs w:val="24"/>
        </w:rPr>
        <w:t xml:space="preserve"> </w:t>
      </w:r>
      <w:r w:rsidR="00181194" w:rsidRPr="00133C85">
        <w:rPr>
          <w:rFonts w:asciiTheme="majorBidi" w:hAnsiTheme="majorBidi" w:cstheme="majorBidi"/>
          <w:sz w:val="24"/>
          <w:szCs w:val="24"/>
        </w:rPr>
        <w:t>The o</w:t>
      </w:r>
      <w:r w:rsidR="0013791F" w:rsidRPr="00133C85">
        <w:rPr>
          <w:rFonts w:asciiTheme="majorBidi" w:hAnsiTheme="majorBidi" w:cstheme="majorBidi"/>
          <w:sz w:val="24"/>
          <w:szCs w:val="24"/>
        </w:rPr>
        <w:t xml:space="preserve">ther </w:t>
      </w:r>
      <w:r w:rsidR="00181194" w:rsidRPr="00133C85">
        <w:rPr>
          <w:rFonts w:asciiTheme="majorBidi" w:hAnsiTheme="majorBidi" w:cstheme="majorBidi"/>
          <w:sz w:val="24"/>
          <w:szCs w:val="24"/>
        </w:rPr>
        <w:t xml:space="preserve">four states </w:t>
      </w:r>
      <w:r w:rsidR="00935A58">
        <w:rPr>
          <w:rFonts w:asciiTheme="majorBidi" w:hAnsiTheme="majorBidi" w:cstheme="majorBidi"/>
          <w:sz w:val="24"/>
          <w:szCs w:val="24"/>
        </w:rPr>
        <w:t xml:space="preserve">who were </w:t>
      </w:r>
      <w:r w:rsidR="0013791F" w:rsidRPr="00133C85">
        <w:rPr>
          <w:rFonts w:asciiTheme="majorBidi" w:hAnsiTheme="majorBidi" w:cstheme="majorBidi"/>
          <w:sz w:val="24"/>
          <w:szCs w:val="24"/>
        </w:rPr>
        <w:t>defendants in this case made</w:t>
      </w:r>
      <w:r w:rsidR="00181194" w:rsidRPr="00133C85">
        <w:rPr>
          <w:rFonts w:asciiTheme="majorBidi" w:hAnsiTheme="majorBidi" w:cstheme="majorBidi"/>
          <w:sz w:val="24"/>
          <w:szCs w:val="24"/>
        </w:rPr>
        <w:t xml:space="preserve"> </w:t>
      </w:r>
      <w:r w:rsidR="0013791F" w:rsidRPr="00133C85">
        <w:rPr>
          <w:rFonts w:asciiTheme="majorBidi" w:hAnsiTheme="majorBidi" w:cstheme="majorBidi"/>
          <w:sz w:val="24"/>
          <w:szCs w:val="24"/>
        </w:rPr>
        <w:t>similar claim</w:t>
      </w:r>
      <w:r w:rsidR="00935A58">
        <w:rPr>
          <w:rFonts w:asciiTheme="majorBidi" w:hAnsiTheme="majorBidi" w:cstheme="majorBidi"/>
          <w:sz w:val="24"/>
          <w:szCs w:val="24"/>
        </w:rPr>
        <w:t>s</w:t>
      </w:r>
      <w:r w:rsidR="0013791F" w:rsidRPr="00133C85">
        <w:rPr>
          <w:rFonts w:asciiTheme="majorBidi" w:hAnsiTheme="majorBidi" w:cstheme="majorBidi"/>
          <w:sz w:val="24"/>
          <w:szCs w:val="24"/>
        </w:rPr>
        <w:t>.</w:t>
      </w:r>
      <w:r w:rsidR="0013791F" w:rsidRPr="00133C85">
        <w:rPr>
          <w:rStyle w:val="FootnoteReference"/>
          <w:rFonts w:asciiTheme="majorBidi" w:hAnsiTheme="majorBidi" w:cstheme="majorBidi"/>
          <w:sz w:val="24"/>
          <w:szCs w:val="24"/>
        </w:rPr>
        <w:footnoteReference w:id="72"/>
      </w:r>
    </w:p>
    <w:p w14:paraId="509721B5" w14:textId="6FD1A296" w:rsidR="00954776" w:rsidRPr="00133C85" w:rsidRDefault="00954776"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This part of the causal link </w:t>
      </w:r>
      <w:r w:rsidR="0098515A">
        <w:rPr>
          <w:rFonts w:asciiTheme="majorBidi" w:hAnsiTheme="majorBidi" w:cstheme="majorBidi"/>
          <w:sz w:val="24"/>
          <w:szCs w:val="24"/>
        </w:rPr>
        <w:t>has been</w:t>
      </w:r>
      <w:r w:rsidRPr="00133C85">
        <w:rPr>
          <w:rFonts w:asciiTheme="majorBidi" w:hAnsiTheme="majorBidi" w:cstheme="majorBidi"/>
          <w:sz w:val="24"/>
          <w:szCs w:val="24"/>
        </w:rPr>
        <w:t xml:space="preserve"> addressed </w:t>
      </w:r>
      <w:r w:rsidR="00575AD9">
        <w:rPr>
          <w:rFonts w:asciiTheme="majorBidi" w:hAnsiTheme="majorBidi" w:cstheme="majorBidi"/>
          <w:sz w:val="24"/>
          <w:szCs w:val="24"/>
        </w:rPr>
        <w:t>in some</w:t>
      </w:r>
      <w:r w:rsidRPr="00133C85">
        <w:rPr>
          <w:rFonts w:asciiTheme="majorBidi" w:hAnsiTheme="majorBidi" w:cstheme="majorBidi"/>
          <w:sz w:val="24"/>
          <w:szCs w:val="24"/>
        </w:rPr>
        <w:t xml:space="preserve"> </w:t>
      </w:r>
      <w:r w:rsidR="00D114E4" w:rsidRPr="00133C85">
        <w:rPr>
          <w:rFonts w:asciiTheme="majorBidi" w:hAnsiTheme="majorBidi" w:cstheme="majorBidi"/>
          <w:sz w:val="24"/>
          <w:szCs w:val="24"/>
        </w:rPr>
        <w:t xml:space="preserve">international and national </w:t>
      </w:r>
      <w:r w:rsidRPr="00133C85">
        <w:rPr>
          <w:rFonts w:asciiTheme="majorBidi" w:hAnsiTheme="majorBidi" w:cstheme="majorBidi"/>
          <w:sz w:val="24"/>
          <w:szCs w:val="24"/>
        </w:rPr>
        <w:t>tribunals</w:t>
      </w:r>
      <w:r w:rsidR="00575AD9">
        <w:rPr>
          <w:rFonts w:asciiTheme="majorBidi" w:hAnsiTheme="majorBidi" w:cstheme="majorBidi"/>
          <w:sz w:val="24"/>
          <w:szCs w:val="24"/>
        </w:rPr>
        <w:t xml:space="preserve"> who were </w:t>
      </w:r>
      <w:r w:rsidRPr="00133C85">
        <w:rPr>
          <w:rFonts w:asciiTheme="majorBidi" w:hAnsiTheme="majorBidi" w:cstheme="majorBidi"/>
          <w:sz w:val="24"/>
          <w:szCs w:val="24"/>
        </w:rPr>
        <w:t xml:space="preserve">willing to adopt creative </w:t>
      </w:r>
      <w:r w:rsidR="006E3F2D" w:rsidRPr="00133C85">
        <w:rPr>
          <w:rFonts w:asciiTheme="majorBidi" w:hAnsiTheme="majorBidi" w:cstheme="majorBidi"/>
          <w:sz w:val="24"/>
          <w:szCs w:val="24"/>
        </w:rPr>
        <w:t>explanations</w:t>
      </w:r>
      <w:r w:rsidRPr="00133C85">
        <w:rPr>
          <w:rFonts w:asciiTheme="majorBidi" w:hAnsiTheme="majorBidi" w:cstheme="majorBidi"/>
          <w:sz w:val="24"/>
          <w:szCs w:val="24"/>
        </w:rPr>
        <w:t xml:space="preserve"> </w:t>
      </w:r>
      <w:proofErr w:type="gramStart"/>
      <w:r w:rsidRPr="00133C85">
        <w:rPr>
          <w:rFonts w:asciiTheme="majorBidi" w:hAnsiTheme="majorBidi" w:cstheme="majorBidi"/>
          <w:sz w:val="24"/>
          <w:szCs w:val="24"/>
        </w:rPr>
        <w:t>in order to</w:t>
      </w:r>
      <w:proofErr w:type="gramEnd"/>
      <w:r w:rsidRPr="00133C85">
        <w:rPr>
          <w:rFonts w:asciiTheme="majorBidi" w:hAnsiTheme="majorBidi" w:cstheme="majorBidi"/>
          <w:sz w:val="24"/>
          <w:szCs w:val="24"/>
        </w:rPr>
        <w:t xml:space="preserve"> avoid what seems to be an unjust way out</w:t>
      </w:r>
      <w:r w:rsidR="006E3F2D" w:rsidRPr="00133C85">
        <w:rPr>
          <w:rFonts w:asciiTheme="majorBidi" w:hAnsiTheme="majorBidi" w:cstheme="majorBidi"/>
          <w:sz w:val="24"/>
          <w:szCs w:val="24"/>
        </w:rPr>
        <w:t xml:space="preserve"> for emitters</w:t>
      </w:r>
      <w:r w:rsidRPr="00133C85">
        <w:rPr>
          <w:rFonts w:asciiTheme="majorBidi" w:hAnsiTheme="majorBidi" w:cstheme="majorBidi"/>
          <w:sz w:val="24"/>
          <w:szCs w:val="24"/>
        </w:rPr>
        <w:t xml:space="preserve"> </w:t>
      </w:r>
      <w:r w:rsidR="006E3F2D" w:rsidRPr="00133C85">
        <w:rPr>
          <w:rFonts w:asciiTheme="majorBidi" w:hAnsiTheme="majorBidi" w:cstheme="majorBidi"/>
          <w:sz w:val="24"/>
          <w:szCs w:val="24"/>
        </w:rPr>
        <w:t xml:space="preserve">from </w:t>
      </w:r>
      <w:r w:rsidRPr="00133C85">
        <w:rPr>
          <w:rFonts w:asciiTheme="majorBidi" w:hAnsiTheme="majorBidi" w:cstheme="majorBidi"/>
          <w:sz w:val="24"/>
          <w:szCs w:val="24"/>
        </w:rPr>
        <w:t xml:space="preserve">responsibility. For example, the Dutch Supreme Court </w:t>
      </w:r>
      <w:r w:rsidR="00D81B62" w:rsidRPr="00133C85">
        <w:rPr>
          <w:rFonts w:asciiTheme="majorBidi" w:hAnsiTheme="majorBidi" w:cstheme="majorBidi"/>
          <w:sz w:val="24"/>
          <w:szCs w:val="24"/>
        </w:rPr>
        <w:t>accepted that responsibility will be partial and proportional to the state’s emissions</w:t>
      </w:r>
      <w:r w:rsidRPr="00133C85">
        <w:rPr>
          <w:rFonts w:asciiTheme="majorBidi" w:hAnsiTheme="majorBidi" w:cstheme="majorBidi"/>
          <w:sz w:val="24"/>
          <w:szCs w:val="24"/>
        </w:rPr>
        <w:t xml:space="preserve">: </w:t>
      </w:r>
    </w:p>
    <w:p w14:paraId="7EF35731" w14:textId="0FABB75E" w:rsidR="00954776" w:rsidRPr="00133C85" w:rsidRDefault="00954776"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‘Countries can be called to account for the duty arising from this principle. Applied to greenhouse gas emissions, this means that they can be called upon to make their contribution to reducing greenhouse gas emissions. This approach justifies partial responsibility: each country is responsible for its part and can therefore be called to account in that respect.’</w:t>
      </w:r>
      <w:r w:rsidR="00575AD9">
        <w:rPr>
          <w:rStyle w:val="FootnoteReference"/>
          <w:rFonts w:asciiTheme="majorBidi" w:hAnsiTheme="majorBidi" w:cstheme="majorBidi"/>
          <w:sz w:val="24"/>
          <w:szCs w:val="24"/>
        </w:rPr>
        <w:footnoteReference w:id="73"/>
      </w:r>
    </w:p>
    <w:p w14:paraId="3F050B57" w14:textId="751317D2" w:rsidR="001970A5" w:rsidRPr="00133C85" w:rsidRDefault="001970A5"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In </w:t>
      </w:r>
      <w:r w:rsidRPr="00133C85">
        <w:rPr>
          <w:rFonts w:asciiTheme="majorBidi" w:hAnsiTheme="majorBidi" w:cstheme="majorBidi"/>
          <w:i/>
          <w:iCs/>
          <w:sz w:val="24"/>
          <w:szCs w:val="24"/>
        </w:rPr>
        <w:t>Sharma</w:t>
      </w:r>
      <w:r w:rsidRPr="00133C85">
        <w:rPr>
          <w:rFonts w:asciiTheme="majorBidi" w:hAnsiTheme="majorBidi" w:cstheme="majorBidi"/>
          <w:sz w:val="24"/>
          <w:szCs w:val="24"/>
        </w:rPr>
        <w:t>,</w:t>
      </w:r>
      <w:bookmarkStart w:id="10" w:name="_Ref132631394"/>
      <w:r w:rsidRPr="00133C85">
        <w:rPr>
          <w:rStyle w:val="FootnoteReference"/>
          <w:rFonts w:asciiTheme="majorBidi" w:hAnsiTheme="majorBidi" w:cstheme="majorBidi"/>
          <w:sz w:val="24"/>
          <w:szCs w:val="24"/>
        </w:rPr>
        <w:footnoteReference w:id="74"/>
      </w:r>
      <w:bookmarkEnd w:id="10"/>
      <w:r w:rsidRPr="00133C85">
        <w:rPr>
          <w:rFonts w:asciiTheme="majorBidi" w:hAnsiTheme="majorBidi" w:cstheme="majorBidi"/>
          <w:sz w:val="24"/>
          <w:szCs w:val="24"/>
        </w:rPr>
        <w:t xml:space="preserve"> the Australian Federal Court accepted </w:t>
      </w:r>
      <w:r w:rsidR="00E67DFC" w:rsidRPr="00133C85">
        <w:rPr>
          <w:rFonts w:asciiTheme="majorBidi" w:hAnsiTheme="majorBidi" w:cstheme="majorBidi"/>
          <w:sz w:val="24"/>
          <w:szCs w:val="24"/>
        </w:rPr>
        <w:t xml:space="preserve">that </w:t>
      </w:r>
      <w:r w:rsidRPr="00133C85">
        <w:rPr>
          <w:rFonts w:asciiTheme="majorBidi" w:hAnsiTheme="majorBidi" w:cstheme="majorBidi"/>
          <w:sz w:val="24"/>
          <w:szCs w:val="24"/>
        </w:rPr>
        <w:t xml:space="preserve">while </w:t>
      </w:r>
      <w:r w:rsidR="00E67DFC" w:rsidRPr="00133C85">
        <w:rPr>
          <w:rFonts w:asciiTheme="majorBidi" w:hAnsiTheme="majorBidi" w:cstheme="majorBidi"/>
          <w:sz w:val="24"/>
          <w:szCs w:val="24"/>
        </w:rPr>
        <w:t xml:space="preserve">the </w:t>
      </w:r>
      <w:r w:rsidRPr="00133C85">
        <w:rPr>
          <w:rFonts w:asciiTheme="majorBidi" w:hAnsiTheme="majorBidi" w:cstheme="majorBidi"/>
          <w:sz w:val="24"/>
          <w:szCs w:val="24"/>
        </w:rPr>
        <w:t>emissions at stake</w:t>
      </w:r>
      <w:r w:rsidR="00E67DFC" w:rsidRPr="00133C85">
        <w:rPr>
          <w:rFonts w:asciiTheme="majorBidi" w:hAnsiTheme="majorBidi" w:cstheme="majorBidi"/>
          <w:sz w:val="24"/>
          <w:szCs w:val="24"/>
        </w:rPr>
        <w:t xml:space="preserve"> in this </w:t>
      </w:r>
      <w:proofErr w:type="gramStart"/>
      <w:r w:rsidR="00E67DFC" w:rsidRPr="00133C85">
        <w:rPr>
          <w:rFonts w:asciiTheme="majorBidi" w:hAnsiTheme="majorBidi" w:cstheme="majorBidi"/>
          <w:sz w:val="24"/>
          <w:szCs w:val="24"/>
        </w:rPr>
        <w:t>particular case</w:t>
      </w:r>
      <w:proofErr w:type="gramEnd"/>
      <w:r w:rsidRPr="00133C85">
        <w:rPr>
          <w:rFonts w:asciiTheme="majorBidi" w:hAnsiTheme="majorBidi" w:cstheme="majorBidi"/>
          <w:sz w:val="24"/>
          <w:szCs w:val="24"/>
        </w:rPr>
        <w:t xml:space="preserve"> </w:t>
      </w:r>
      <w:r w:rsidR="00575AD9">
        <w:rPr>
          <w:rFonts w:asciiTheme="majorBidi" w:hAnsiTheme="majorBidi" w:cstheme="majorBidi"/>
          <w:sz w:val="24"/>
          <w:szCs w:val="24"/>
        </w:rPr>
        <w:t>were</w:t>
      </w:r>
      <w:r w:rsidRPr="00133C85">
        <w:rPr>
          <w:rFonts w:asciiTheme="majorBidi" w:hAnsiTheme="majorBidi" w:cstheme="majorBidi"/>
          <w:sz w:val="24"/>
          <w:szCs w:val="24"/>
        </w:rPr>
        <w:t xml:space="preserve"> marginal in comparison to </w:t>
      </w:r>
      <w:r w:rsidR="00575AD9">
        <w:rPr>
          <w:rFonts w:asciiTheme="majorBidi" w:hAnsiTheme="majorBidi" w:cstheme="majorBidi"/>
          <w:sz w:val="24"/>
          <w:szCs w:val="24"/>
        </w:rPr>
        <w:t>total</w:t>
      </w:r>
      <w:r w:rsidRPr="00133C85">
        <w:rPr>
          <w:rFonts w:asciiTheme="majorBidi" w:hAnsiTheme="majorBidi" w:cstheme="majorBidi"/>
          <w:sz w:val="24"/>
          <w:szCs w:val="24"/>
        </w:rPr>
        <w:t xml:space="preserve"> global emissions, they </w:t>
      </w:r>
      <w:r w:rsidR="00575AD9">
        <w:rPr>
          <w:rFonts w:asciiTheme="majorBidi" w:hAnsiTheme="majorBidi" w:cstheme="majorBidi"/>
          <w:sz w:val="24"/>
          <w:szCs w:val="24"/>
        </w:rPr>
        <w:t xml:space="preserve">were </w:t>
      </w:r>
      <w:r w:rsidRPr="00133C85">
        <w:rPr>
          <w:rFonts w:asciiTheme="majorBidi" w:hAnsiTheme="majorBidi" w:cstheme="majorBidi"/>
          <w:sz w:val="24"/>
          <w:szCs w:val="24"/>
        </w:rPr>
        <w:t xml:space="preserve">nevertheless meaningful </w:t>
      </w:r>
      <w:r w:rsidR="00D16489">
        <w:rPr>
          <w:rFonts w:asciiTheme="majorBidi" w:hAnsiTheme="majorBidi" w:cstheme="majorBidi"/>
          <w:sz w:val="24"/>
          <w:szCs w:val="24"/>
        </w:rPr>
        <w:t xml:space="preserve">in the context of </w:t>
      </w:r>
      <w:r w:rsidRPr="00133C85">
        <w:rPr>
          <w:rFonts w:asciiTheme="majorBidi" w:hAnsiTheme="majorBidi" w:cstheme="majorBidi"/>
          <w:sz w:val="24"/>
          <w:szCs w:val="24"/>
        </w:rPr>
        <w:t>a ‘tipping cascade’, which ‘will be triggered even by a fractional increase in temperature’</w:t>
      </w:r>
      <w:r w:rsidRPr="00133C85">
        <w:rPr>
          <w:rStyle w:val="FootnoteReference"/>
          <w:rFonts w:asciiTheme="majorBidi" w:hAnsiTheme="majorBidi" w:cstheme="majorBidi"/>
          <w:sz w:val="24"/>
          <w:szCs w:val="24"/>
        </w:rPr>
        <w:footnoteReference w:id="75"/>
      </w:r>
      <w:r w:rsidRPr="00133C85">
        <w:rPr>
          <w:rFonts w:asciiTheme="majorBidi" w:hAnsiTheme="majorBidi" w:cstheme="majorBidi"/>
          <w:sz w:val="24"/>
          <w:szCs w:val="24"/>
        </w:rPr>
        <w:t xml:space="preserve"> and will lead to far </w:t>
      </w:r>
      <w:r w:rsidR="00D16489" w:rsidRPr="00133C85">
        <w:rPr>
          <w:rFonts w:asciiTheme="majorBidi" w:hAnsiTheme="majorBidi" w:cstheme="majorBidi"/>
          <w:sz w:val="24"/>
          <w:szCs w:val="24"/>
        </w:rPr>
        <w:t>wor</w:t>
      </w:r>
      <w:r w:rsidR="00D16489">
        <w:rPr>
          <w:rFonts w:asciiTheme="majorBidi" w:hAnsiTheme="majorBidi" w:cstheme="majorBidi"/>
          <w:sz w:val="24"/>
          <w:szCs w:val="24"/>
        </w:rPr>
        <w:t>se</w:t>
      </w:r>
      <w:r w:rsidR="00D16489" w:rsidRPr="00133C85">
        <w:rPr>
          <w:rFonts w:asciiTheme="majorBidi" w:hAnsiTheme="majorBidi" w:cstheme="majorBidi"/>
          <w:sz w:val="24"/>
          <w:szCs w:val="24"/>
        </w:rPr>
        <w:t xml:space="preserve"> </w:t>
      </w:r>
      <w:r w:rsidRPr="00133C85">
        <w:rPr>
          <w:rFonts w:asciiTheme="majorBidi" w:hAnsiTheme="majorBidi" w:cstheme="majorBidi"/>
          <w:sz w:val="24"/>
          <w:szCs w:val="24"/>
        </w:rPr>
        <w:t>result</w:t>
      </w:r>
      <w:r w:rsidR="00D16489">
        <w:rPr>
          <w:rFonts w:asciiTheme="majorBidi" w:hAnsiTheme="majorBidi" w:cstheme="majorBidi"/>
          <w:sz w:val="24"/>
          <w:szCs w:val="24"/>
        </w:rPr>
        <w:t>s,</w:t>
      </w:r>
      <w:r w:rsidR="001E179A">
        <w:rPr>
          <w:rFonts w:asciiTheme="majorBidi" w:hAnsiTheme="majorBidi" w:cstheme="majorBidi"/>
          <w:sz w:val="24"/>
          <w:szCs w:val="24"/>
        </w:rPr>
        <w:t xml:space="preserve"> </w:t>
      </w:r>
      <w:r w:rsidR="0073060E" w:rsidRPr="00133C85">
        <w:rPr>
          <w:rFonts w:asciiTheme="majorBidi" w:hAnsiTheme="majorBidi" w:cstheme="majorBidi"/>
          <w:sz w:val="24"/>
          <w:szCs w:val="24"/>
        </w:rPr>
        <w:t>possibl</w:t>
      </w:r>
      <w:r w:rsidR="00D16489">
        <w:rPr>
          <w:rFonts w:asciiTheme="majorBidi" w:hAnsiTheme="majorBidi" w:cstheme="majorBidi"/>
          <w:sz w:val="24"/>
          <w:szCs w:val="24"/>
        </w:rPr>
        <w:t>y</w:t>
      </w:r>
      <w:r w:rsidR="0073060E" w:rsidRPr="00133C85">
        <w:rPr>
          <w:rFonts w:asciiTheme="majorBidi" w:hAnsiTheme="majorBidi" w:cstheme="majorBidi"/>
          <w:sz w:val="24"/>
          <w:szCs w:val="24"/>
        </w:rPr>
        <w:t xml:space="preserve"> a 4 degrees scenario</w:t>
      </w:r>
      <w:r w:rsidRPr="00133C85">
        <w:rPr>
          <w:rFonts w:asciiTheme="majorBidi" w:hAnsiTheme="majorBidi" w:cstheme="majorBidi"/>
          <w:sz w:val="24"/>
          <w:szCs w:val="24"/>
        </w:rPr>
        <w:t>. The Court accepted that:</w:t>
      </w:r>
    </w:p>
    <w:p w14:paraId="16C144EB" w14:textId="13F7F1E7" w:rsidR="001970A5" w:rsidRPr="00133C85" w:rsidRDefault="001970A5"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w:t>
      </w:r>
      <w:proofErr w:type="gramStart"/>
      <w:r w:rsidRPr="00133C85">
        <w:rPr>
          <w:rFonts w:asciiTheme="majorBidi" w:hAnsiTheme="majorBidi" w:cstheme="majorBidi"/>
          <w:sz w:val="24"/>
          <w:szCs w:val="24"/>
        </w:rPr>
        <w:t>the</w:t>
      </w:r>
      <w:proofErr w:type="gramEnd"/>
      <w:r w:rsidRPr="00133C85">
        <w:rPr>
          <w:rFonts w:asciiTheme="majorBidi" w:hAnsiTheme="majorBidi" w:cstheme="majorBidi"/>
          <w:sz w:val="24"/>
          <w:szCs w:val="24"/>
        </w:rPr>
        <w:t xml:space="preserve"> emission of 100 Mt of CO2 from the Extension Project increases the risk of the Children being exposed to harm and particularly so in the realm of the risk profile which plausibly arises should the ‘tipping cascade’ be triggered and engage a 4℃ Future World trajectory.</w:t>
      </w:r>
      <w:r w:rsidR="00884C48" w:rsidRPr="00133C85">
        <w:rPr>
          <w:rFonts w:asciiTheme="majorBidi" w:hAnsiTheme="majorBidi" w:cstheme="majorBidi"/>
          <w:sz w:val="24"/>
          <w:szCs w:val="24"/>
        </w:rPr>
        <w:t>’</w:t>
      </w:r>
      <w:r w:rsidR="00345C78">
        <w:rPr>
          <w:rStyle w:val="FootnoteReference"/>
          <w:rFonts w:asciiTheme="majorBidi" w:hAnsiTheme="majorBidi" w:cstheme="majorBidi"/>
          <w:sz w:val="24"/>
          <w:szCs w:val="24"/>
        </w:rPr>
        <w:footnoteReference w:id="76"/>
      </w:r>
    </w:p>
    <w:p w14:paraId="4F00997A" w14:textId="3F650FFA" w:rsidR="00BB0FD7" w:rsidRDefault="00E67DFC"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While t</w:t>
      </w:r>
      <w:r w:rsidR="0073060E" w:rsidRPr="00133C85">
        <w:rPr>
          <w:rFonts w:asciiTheme="majorBidi" w:hAnsiTheme="majorBidi" w:cstheme="majorBidi"/>
          <w:sz w:val="24"/>
          <w:szCs w:val="24"/>
        </w:rPr>
        <w:t xml:space="preserve">he question at hand </w:t>
      </w:r>
      <w:r w:rsidRPr="00133C85">
        <w:rPr>
          <w:rFonts w:asciiTheme="majorBidi" w:hAnsiTheme="majorBidi" w:cstheme="majorBidi"/>
          <w:sz w:val="24"/>
          <w:szCs w:val="24"/>
        </w:rPr>
        <w:t xml:space="preserve">at the </w:t>
      </w:r>
      <w:r w:rsidRPr="00133C85">
        <w:rPr>
          <w:rFonts w:asciiTheme="majorBidi" w:hAnsiTheme="majorBidi" w:cstheme="majorBidi"/>
          <w:i/>
          <w:iCs/>
          <w:sz w:val="24"/>
          <w:szCs w:val="24"/>
        </w:rPr>
        <w:t xml:space="preserve">Sharma </w:t>
      </w:r>
      <w:r w:rsidR="0073060E" w:rsidRPr="00133C85">
        <w:rPr>
          <w:rFonts w:asciiTheme="majorBidi" w:hAnsiTheme="majorBidi" w:cstheme="majorBidi"/>
          <w:sz w:val="24"/>
          <w:szCs w:val="24"/>
        </w:rPr>
        <w:t>was one of ‘foreseeability’ rather than ‘causation’, th</w:t>
      </w:r>
      <w:r w:rsidRPr="00133C85">
        <w:rPr>
          <w:rFonts w:asciiTheme="majorBidi" w:hAnsiTheme="majorBidi" w:cstheme="majorBidi"/>
          <w:sz w:val="24"/>
          <w:szCs w:val="24"/>
        </w:rPr>
        <w:t>e ‘tipping cascade’</w:t>
      </w:r>
      <w:r w:rsidR="0073060E" w:rsidRPr="00133C85">
        <w:rPr>
          <w:rFonts w:asciiTheme="majorBidi" w:hAnsiTheme="majorBidi" w:cstheme="majorBidi"/>
          <w:sz w:val="24"/>
          <w:szCs w:val="24"/>
        </w:rPr>
        <w:t xml:space="preserve"> explanation could be used for the latter as well. </w:t>
      </w:r>
      <w:r w:rsidR="00881066" w:rsidRPr="00133C85">
        <w:rPr>
          <w:rFonts w:asciiTheme="majorBidi" w:hAnsiTheme="majorBidi" w:cstheme="majorBidi"/>
          <w:sz w:val="24"/>
          <w:szCs w:val="24"/>
        </w:rPr>
        <w:t xml:space="preserve">Without the added, albeit negligible on their own, emissions, the tipping </w:t>
      </w:r>
      <w:r w:rsidR="003B05F2" w:rsidRPr="00133C85">
        <w:rPr>
          <w:rFonts w:asciiTheme="majorBidi" w:hAnsiTheme="majorBidi" w:cstheme="majorBidi"/>
          <w:sz w:val="24"/>
          <w:szCs w:val="24"/>
        </w:rPr>
        <w:t>cascade</w:t>
      </w:r>
      <w:r w:rsidR="00881066" w:rsidRPr="00133C85">
        <w:rPr>
          <w:rFonts w:asciiTheme="majorBidi" w:hAnsiTheme="majorBidi" w:cstheme="majorBidi"/>
          <w:sz w:val="24"/>
          <w:szCs w:val="24"/>
        </w:rPr>
        <w:t xml:space="preserve"> would not have been </w:t>
      </w:r>
      <w:r w:rsidR="003B05F2" w:rsidRPr="00133C85">
        <w:rPr>
          <w:rFonts w:asciiTheme="majorBidi" w:hAnsiTheme="majorBidi" w:cstheme="majorBidi"/>
          <w:sz w:val="24"/>
          <w:szCs w:val="24"/>
        </w:rPr>
        <w:t>triggere</w:t>
      </w:r>
      <w:r w:rsidR="00881066" w:rsidRPr="00133C85">
        <w:rPr>
          <w:rFonts w:asciiTheme="majorBidi" w:hAnsiTheme="majorBidi" w:cstheme="majorBidi"/>
          <w:sz w:val="24"/>
          <w:szCs w:val="24"/>
        </w:rPr>
        <w:t xml:space="preserve">d and the damage </w:t>
      </w:r>
      <w:r w:rsidR="00C44CD1">
        <w:rPr>
          <w:rFonts w:asciiTheme="majorBidi" w:hAnsiTheme="majorBidi" w:cstheme="majorBidi"/>
          <w:sz w:val="24"/>
          <w:szCs w:val="24"/>
        </w:rPr>
        <w:t>is therefore</w:t>
      </w:r>
      <w:r w:rsidR="003B05F2" w:rsidRPr="00133C85">
        <w:rPr>
          <w:rFonts w:asciiTheme="majorBidi" w:hAnsiTheme="majorBidi" w:cstheme="majorBidi"/>
          <w:sz w:val="24"/>
          <w:szCs w:val="24"/>
        </w:rPr>
        <w:t xml:space="preserve"> </w:t>
      </w:r>
      <w:r w:rsidR="00881066" w:rsidRPr="00133C85">
        <w:rPr>
          <w:rFonts w:asciiTheme="majorBidi" w:hAnsiTheme="majorBidi" w:cstheme="majorBidi"/>
          <w:sz w:val="24"/>
          <w:szCs w:val="24"/>
        </w:rPr>
        <w:t xml:space="preserve">less likely to be created. </w:t>
      </w:r>
      <w:r w:rsidR="00F72B76" w:rsidRPr="00133C85">
        <w:rPr>
          <w:rFonts w:asciiTheme="majorBidi" w:hAnsiTheme="majorBidi" w:cstheme="majorBidi"/>
          <w:sz w:val="24"/>
          <w:szCs w:val="24"/>
        </w:rPr>
        <w:t>This decision was later overturn</w:t>
      </w:r>
      <w:r w:rsidR="00D06281">
        <w:rPr>
          <w:rFonts w:asciiTheme="majorBidi" w:hAnsiTheme="majorBidi" w:cstheme="majorBidi"/>
          <w:sz w:val="24"/>
          <w:szCs w:val="24"/>
        </w:rPr>
        <w:t>ed</w:t>
      </w:r>
      <w:r w:rsidR="00F72B76" w:rsidRPr="00133C85">
        <w:rPr>
          <w:rFonts w:asciiTheme="majorBidi" w:hAnsiTheme="majorBidi" w:cstheme="majorBidi"/>
          <w:sz w:val="24"/>
          <w:szCs w:val="24"/>
        </w:rPr>
        <w:t xml:space="preserve">, albeit the </w:t>
      </w:r>
      <w:r w:rsidR="004E5EE4" w:rsidRPr="00133C85">
        <w:rPr>
          <w:rFonts w:asciiTheme="majorBidi" w:hAnsiTheme="majorBidi" w:cstheme="majorBidi"/>
          <w:sz w:val="24"/>
          <w:szCs w:val="24"/>
        </w:rPr>
        <w:t>‘tipping cascade’ explanation was not discussed</w:t>
      </w:r>
      <w:r w:rsidR="0073060E" w:rsidRPr="00133C85">
        <w:rPr>
          <w:rFonts w:asciiTheme="majorBidi" w:hAnsiTheme="majorBidi" w:cstheme="majorBidi"/>
          <w:sz w:val="24"/>
          <w:szCs w:val="24"/>
        </w:rPr>
        <w:t xml:space="preserve"> in the appeal</w:t>
      </w:r>
      <w:r w:rsidR="004E5EE4" w:rsidRPr="00133C85">
        <w:rPr>
          <w:rFonts w:asciiTheme="majorBidi" w:hAnsiTheme="majorBidi" w:cstheme="majorBidi"/>
          <w:sz w:val="24"/>
          <w:szCs w:val="24"/>
        </w:rPr>
        <w:t>.</w:t>
      </w:r>
      <w:r w:rsidR="00D06281">
        <w:rPr>
          <w:rStyle w:val="FootnoteReference"/>
          <w:rFonts w:asciiTheme="majorBidi" w:hAnsiTheme="majorBidi" w:cstheme="majorBidi"/>
          <w:sz w:val="24"/>
          <w:szCs w:val="24"/>
        </w:rPr>
        <w:footnoteReference w:id="77"/>
      </w:r>
      <w:r w:rsidR="00F656AC" w:rsidRPr="00133C85">
        <w:rPr>
          <w:rFonts w:asciiTheme="majorBidi" w:hAnsiTheme="majorBidi" w:cstheme="majorBidi"/>
          <w:sz w:val="24"/>
          <w:szCs w:val="24"/>
        </w:rPr>
        <w:t xml:space="preserve"> This </w:t>
      </w:r>
      <w:r w:rsidR="0024559A" w:rsidRPr="00133C85">
        <w:rPr>
          <w:rFonts w:asciiTheme="majorBidi" w:hAnsiTheme="majorBidi" w:cstheme="majorBidi"/>
          <w:sz w:val="24"/>
          <w:szCs w:val="24"/>
        </w:rPr>
        <w:t>reasoning</w:t>
      </w:r>
      <w:r w:rsidR="00F656AC" w:rsidRPr="00133C85">
        <w:rPr>
          <w:rFonts w:asciiTheme="majorBidi" w:hAnsiTheme="majorBidi" w:cstheme="majorBidi"/>
          <w:sz w:val="24"/>
          <w:szCs w:val="24"/>
        </w:rPr>
        <w:t xml:space="preserve"> was </w:t>
      </w:r>
      <w:r w:rsidRPr="00133C85">
        <w:rPr>
          <w:rFonts w:asciiTheme="majorBidi" w:hAnsiTheme="majorBidi" w:cstheme="majorBidi"/>
          <w:sz w:val="24"/>
          <w:szCs w:val="24"/>
        </w:rPr>
        <w:t>also</w:t>
      </w:r>
      <w:r w:rsidR="00F656AC" w:rsidRPr="00133C85">
        <w:rPr>
          <w:rFonts w:asciiTheme="majorBidi" w:hAnsiTheme="majorBidi" w:cstheme="majorBidi"/>
          <w:sz w:val="24"/>
          <w:szCs w:val="24"/>
        </w:rPr>
        <w:t xml:space="preserve"> echoed </w:t>
      </w:r>
      <w:r w:rsidR="0024559A" w:rsidRPr="00133C85">
        <w:rPr>
          <w:rFonts w:asciiTheme="majorBidi" w:hAnsiTheme="majorBidi" w:cstheme="majorBidi"/>
          <w:sz w:val="24"/>
          <w:szCs w:val="24"/>
        </w:rPr>
        <w:t xml:space="preserve">by the Dutch District Court </w:t>
      </w:r>
      <w:r w:rsidR="00F656AC" w:rsidRPr="00133C85">
        <w:rPr>
          <w:rFonts w:asciiTheme="majorBidi" w:hAnsiTheme="majorBidi" w:cstheme="majorBidi"/>
          <w:sz w:val="24"/>
          <w:szCs w:val="24"/>
        </w:rPr>
        <w:t>in</w:t>
      </w:r>
      <w:r w:rsidR="0024559A" w:rsidRPr="00133C85">
        <w:rPr>
          <w:rFonts w:asciiTheme="majorBidi" w:hAnsiTheme="majorBidi" w:cstheme="majorBidi"/>
          <w:sz w:val="24"/>
          <w:szCs w:val="24"/>
        </w:rPr>
        <w:t xml:space="preserve"> the</w:t>
      </w:r>
      <w:r w:rsidR="00F656AC" w:rsidRPr="00133C85">
        <w:rPr>
          <w:rFonts w:asciiTheme="majorBidi" w:hAnsiTheme="majorBidi" w:cstheme="majorBidi"/>
          <w:sz w:val="24"/>
          <w:szCs w:val="24"/>
        </w:rPr>
        <w:t xml:space="preserve"> </w:t>
      </w:r>
      <w:r w:rsidR="00F656AC" w:rsidRPr="00133C85">
        <w:rPr>
          <w:rFonts w:asciiTheme="majorBidi" w:hAnsiTheme="majorBidi" w:cstheme="majorBidi"/>
          <w:i/>
          <w:iCs/>
          <w:sz w:val="24"/>
          <w:szCs w:val="24"/>
        </w:rPr>
        <w:t>Shell</w:t>
      </w:r>
      <w:r w:rsidR="0024559A" w:rsidRPr="00133C85">
        <w:rPr>
          <w:rFonts w:asciiTheme="majorBidi" w:hAnsiTheme="majorBidi" w:cstheme="majorBidi"/>
          <w:i/>
          <w:iCs/>
          <w:sz w:val="24"/>
          <w:szCs w:val="24"/>
        </w:rPr>
        <w:t xml:space="preserve"> </w:t>
      </w:r>
      <w:r w:rsidR="0024559A" w:rsidRPr="00133C85">
        <w:rPr>
          <w:rFonts w:asciiTheme="majorBidi" w:hAnsiTheme="majorBidi" w:cstheme="majorBidi"/>
          <w:sz w:val="24"/>
          <w:szCs w:val="24"/>
        </w:rPr>
        <w:t xml:space="preserve">case </w:t>
      </w:r>
      <w:proofErr w:type="gramStart"/>
      <w:r w:rsidRPr="00133C85">
        <w:rPr>
          <w:rFonts w:asciiTheme="majorBidi" w:hAnsiTheme="majorBidi" w:cstheme="majorBidi"/>
          <w:sz w:val="24"/>
          <w:szCs w:val="24"/>
        </w:rPr>
        <w:t xml:space="preserve">in order </w:t>
      </w:r>
      <w:r w:rsidR="00881066" w:rsidRPr="00133C85">
        <w:rPr>
          <w:rFonts w:asciiTheme="majorBidi" w:hAnsiTheme="majorBidi" w:cstheme="majorBidi"/>
          <w:sz w:val="24"/>
          <w:szCs w:val="24"/>
        </w:rPr>
        <w:t>to</w:t>
      </w:r>
      <w:proofErr w:type="gramEnd"/>
      <w:r w:rsidR="0024559A" w:rsidRPr="00133C85">
        <w:rPr>
          <w:rFonts w:asciiTheme="majorBidi" w:hAnsiTheme="majorBidi" w:cstheme="majorBidi"/>
          <w:sz w:val="24"/>
          <w:szCs w:val="24"/>
        </w:rPr>
        <w:t xml:space="preserve"> justify the </w:t>
      </w:r>
      <w:r w:rsidRPr="00133C85">
        <w:rPr>
          <w:rFonts w:asciiTheme="majorBidi" w:hAnsiTheme="majorBidi" w:cstheme="majorBidi"/>
          <w:sz w:val="24"/>
          <w:szCs w:val="24"/>
        </w:rPr>
        <w:t xml:space="preserve">link between Shell’s </w:t>
      </w:r>
      <w:r w:rsidRPr="00133C85">
        <w:rPr>
          <w:rFonts w:asciiTheme="majorBidi" w:hAnsiTheme="majorBidi" w:cstheme="majorBidi"/>
          <w:sz w:val="24"/>
          <w:szCs w:val="24"/>
        </w:rPr>
        <w:lastRenderedPageBreak/>
        <w:t xml:space="preserve">emissions and the specific </w:t>
      </w:r>
      <w:r w:rsidR="0024559A" w:rsidRPr="00133C85">
        <w:rPr>
          <w:rFonts w:asciiTheme="majorBidi" w:hAnsiTheme="majorBidi" w:cstheme="majorBidi"/>
          <w:sz w:val="24"/>
          <w:szCs w:val="24"/>
        </w:rPr>
        <w:t>impact</w:t>
      </w:r>
      <w:r w:rsidRPr="00133C85">
        <w:rPr>
          <w:rFonts w:asciiTheme="majorBidi" w:hAnsiTheme="majorBidi" w:cstheme="majorBidi"/>
          <w:sz w:val="24"/>
          <w:szCs w:val="24"/>
        </w:rPr>
        <w:t>s</w:t>
      </w:r>
      <w:r w:rsidR="0024559A" w:rsidRPr="00133C85">
        <w:rPr>
          <w:rFonts w:asciiTheme="majorBidi" w:hAnsiTheme="majorBidi" w:cstheme="majorBidi"/>
          <w:sz w:val="24"/>
          <w:szCs w:val="24"/>
        </w:rPr>
        <w:t xml:space="preserve"> felt in the Netherlands, and even more specifically </w:t>
      </w:r>
      <w:r w:rsidR="00B61071">
        <w:rPr>
          <w:rFonts w:asciiTheme="majorBidi" w:hAnsiTheme="majorBidi" w:cstheme="majorBidi"/>
          <w:sz w:val="24"/>
          <w:szCs w:val="24"/>
        </w:rPr>
        <w:t>in</w:t>
      </w:r>
      <w:r w:rsidR="00B61071" w:rsidRPr="00133C85">
        <w:rPr>
          <w:rFonts w:asciiTheme="majorBidi" w:hAnsiTheme="majorBidi" w:cstheme="majorBidi"/>
          <w:sz w:val="24"/>
          <w:szCs w:val="24"/>
        </w:rPr>
        <w:t xml:space="preserve"> </w:t>
      </w:r>
      <w:r w:rsidR="0024559A" w:rsidRPr="00133C85">
        <w:rPr>
          <w:rFonts w:asciiTheme="majorBidi" w:hAnsiTheme="majorBidi" w:cstheme="majorBidi"/>
          <w:sz w:val="24"/>
          <w:szCs w:val="24"/>
        </w:rPr>
        <w:t xml:space="preserve">the </w:t>
      </w:r>
      <w:r w:rsidR="00D85C91" w:rsidRPr="00133C85">
        <w:rPr>
          <w:rFonts w:asciiTheme="majorBidi" w:hAnsiTheme="majorBidi" w:cstheme="majorBidi"/>
          <w:sz w:val="24"/>
          <w:szCs w:val="24"/>
        </w:rPr>
        <w:t xml:space="preserve">Dutch </w:t>
      </w:r>
      <w:proofErr w:type="spellStart"/>
      <w:r w:rsidR="0024559A" w:rsidRPr="00133C85">
        <w:rPr>
          <w:rFonts w:asciiTheme="majorBidi" w:hAnsiTheme="majorBidi" w:cstheme="majorBidi"/>
          <w:sz w:val="24"/>
          <w:szCs w:val="24"/>
        </w:rPr>
        <w:t>Wadden</w:t>
      </w:r>
      <w:proofErr w:type="spellEnd"/>
      <w:r w:rsidR="0024559A" w:rsidRPr="00133C85">
        <w:rPr>
          <w:rFonts w:asciiTheme="majorBidi" w:hAnsiTheme="majorBidi" w:cstheme="majorBidi"/>
          <w:sz w:val="24"/>
          <w:szCs w:val="24"/>
        </w:rPr>
        <w:t xml:space="preserve"> regio</w:t>
      </w:r>
      <w:r w:rsidR="00881066" w:rsidRPr="00133C85">
        <w:rPr>
          <w:rFonts w:asciiTheme="majorBidi" w:hAnsiTheme="majorBidi" w:cstheme="majorBidi"/>
          <w:sz w:val="24"/>
          <w:szCs w:val="24"/>
        </w:rPr>
        <w:t>n</w:t>
      </w:r>
      <w:r w:rsidR="0024559A" w:rsidRPr="00133C85">
        <w:rPr>
          <w:rFonts w:asciiTheme="majorBidi" w:hAnsiTheme="majorBidi" w:cstheme="majorBidi"/>
          <w:sz w:val="24"/>
          <w:szCs w:val="24"/>
        </w:rPr>
        <w:t>:</w:t>
      </w:r>
      <w:r w:rsidR="00F656AC" w:rsidRPr="00133C85">
        <w:rPr>
          <w:rStyle w:val="FootnoteReference"/>
          <w:rFonts w:asciiTheme="majorBidi" w:hAnsiTheme="majorBidi" w:cstheme="majorBidi"/>
          <w:sz w:val="24"/>
          <w:szCs w:val="24"/>
        </w:rPr>
        <w:footnoteReference w:id="78"/>
      </w:r>
      <w:r w:rsidR="0024559A" w:rsidRPr="00133C85">
        <w:rPr>
          <w:rFonts w:asciiTheme="majorBidi" w:hAnsiTheme="majorBidi" w:cstheme="majorBidi"/>
          <w:sz w:val="24"/>
          <w:szCs w:val="24"/>
        </w:rPr>
        <w:t xml:space="preserve"> </w:t>
      </w:r>
    </w:p>
    <w:p w14:paraId="06BC946B" w14:textId="7F98AB35" w:rsidR="00BB0FD7" w:rsidRDefault="00BB0FD7" w:rsidP="00BB0FD7">
      <w:pPr>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‘An important characteristic of the environmental damage and imminent environmental damage in the Netherlands and the </w:t>
      </w:r>
      <w:proofErr w:type="spellStart"/>
      <w:r>
        <w:rPr>
          <w:rFonts w:asciiTheme="majorBidi" w:hAnsiTheme="majorBidi" w:cstheme="majorBidi"/>
          <w:sz w:val="24"/>
          <w:szCs w:val="24"/>
        </w:rPr>
        <w:t>Wadden</w:t>
      </w:r>
      <w:proofErr w:type="spellEnd"/>
      <w:r>
        <w:rPr>
          <w:rFonts w:asciiTheme="majorBidi" w:hAnsiTheme="majorBidi" w:cstheme="majorBidi"/>
          <w:sz w:val="24"/>
          <w:szCs w:val="24"/>
        </w:rPr>
        <w:t xml:space="preserve"> region, as raised in this case, is that every emission CO2 and other greenhouse gases, anywhere in the world and caused in whatever manner, contributes to this damage and its increase’</w:t>
      </w:r>
    </w:p>
    <w:p w14:paraId="3F8D7C20" w14:textId="0AB7257A" w:rsidR="004F77DA" w:rsidRPr="00133C85" w:rsidRDefault="004F77D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Finally, the Rights of the Child Committee has stated in </w:t>
      </w:r>
      <w:proofErr w:type="spellStart"/>
      <w:r w:rsidRPr="00133C85">
        <w:rPr>
          <w:rFonts w:asciiTheme="majorBidi" w:hAnsiTheme="majorBidi" w:cstheme="majorBidi"/>
          <w:i/>
          <w:iCs/>
          <w:sz w:val="24"/>
          <w:szCs w:val="24"/>
        </w:rPr>
        <w:t>Sacchi</w:t>
      </w:r>
      <w:proofErr w:type="spellEnd"/>
      <w:r w:rsidRPr="00133C85">
        <w:rPr>
          <w:rFonts w:asciiTheme="majorBidi" w:hAnsiTheme="majorBidi" w:cstheme="majorBidi"/>
          <w:i/>
          <w:iCs/>
          <w:sz w:val="24"/>
          <w:szCs w:val="24"/>
        </w:rPr>
        <w:t xml:space="preserve"> et al </w:t>
      </w:r>
      <w:r w:rsidRPr="00133C85">
        <w:rPr>
          <w:rFonts w:asciiTheme="majorBidi" w:hAnsiTheme="majorBidi" w:cstheme="majorBidi"/>
          <w:sz w:val="24"/>
          <w:szCs w:val="24"/>
        </w:rPr>
        <w:t>that ‘the collective nature of the causation of climate change does not absolve the State party of its individual responsibility that may derive from the harm that the emissions originating within its territory may cause to children, whatever their location.’</w:t>
      </w:r>
      <w:r w:rsidRPr="00133C85">
        <w:rPr>
          <w:rStyle w:val="FootnoteReference"/>
          <w:rFonts w:asciiTheme="majorBidi" w:hAnsiTheme="majorBidi" w:cstheme="majorBidi"/>
          <w:sz w:val="24"/>
          <w:szCs w:val="24"/>
        </w:rPr>
        <w:footnoteReference w:id="79"/>
      </w:r>
      <w:r w:rsidR="00630097" w:rsidRPr="00133C85">
        <w:rPr>
          <w:rFonts w:asciiTheme="majorBidi" w:hAnsiTheme="majorBidi" w:cstheme="majorBidi"/>
          <w:sz w:val="24"/>
          <w:szCs w:val="24"/>
        </w:rPr>
        <w:t xml:space="preserve"> While mentioning the need to demonstrate a causal link, the Committee state</w:t>
      </w:r>
      <w:r w:rsidR="00B61071">
        <w:rPr>
          <w:rFonts w:asciiTheme="majorBidi" w:hAnsiTheme="majorBidi" w:cstheme="majorBidi"/>
          <w:sz w:val="24"/>
          <w:szCs w:val="24"/>
        </w:rPr>
        <w:t>d</w:t>
      </w:r>
      <w:r w:rsidR="00630097" w:rsidRPr="00133C85">
        <w:rPr>
          <w:rFonts w:asciiTheme="majorBidi" w:hAnsiTheme="majorBidi" w:cstheme="majorBidi"/>
          <w:sz w:val="24"/>
          <w:szCs w:val="24"/>
        </w:rPr>
        <w:t xml:space="preserve"> that it </w:t>
      </w:r>
      <w:r w:rsidR="00B61071" w:rsidRPr="00133C85">
        <w:rPr>
          <w:rFonts w:asciiTheme="majorBidi" w:hAnsiTheme="majorBidi" w:cstheme="majorBidi"/>
          <w:sz w:val="24"/>
          <w:szCs w:val="24"/>
        </w:rPr>
        <w:t>w</w:t>
      </w:r>
      <w:r w:rsidR="00B61071">
        <w:rPr>
          <w:rFonts w:asciiTheme="majorBidi" w:hAnsiTheme="majorBidi" w:cstheme="majorBidi"/>
          <w:sz w:val="24"/>
          <w:szCs w:val="24"/>
        </w:rPr>
        <w:t>ould</w:t>
      </w:r>
      <w:r w:rsidR="00B61071" w:rsidRPr="00133C85">
        <w:rPr>
          <w:rFonts w:asciiTheme="majorBidi" w:hAnsiTheme="majorBidi" w:cstheme="majorBidi"/>
          <w:sz w:val="24"/>
          <w:szCs w:val="24"/>
        </w:rPr>
        <w:t xml:space="preserve"> </w:t>
      </w:r>
      <w:r w:rsidR="00630097" w:rsidRPr="00133C85">
        <w:rPr>
          <w:rFonts w:asciiTheme="majorBidi" w:hAnsiTheme="majorBidi" w:cstheme="majorBidi"/>
          <w:sz w:val="24"/>
          <w:szCs w:val="24"/>
        </w:rPr>
        <w:t xml:space="preserve">be satisfied if the harm to children </w:t>
      </w:r>
      <w:r w:rsidR="00630097" w:rsidRPr="00133C85">
        <w:rPr>
          <w:rFonts w:asciiTheme="majorBidi" w:hAnsiTheme="majorBidi" w:cstheme="majorBidi"/>
          <w:i/>
          <w:iCs/>
          <w:sz w:val="24"/>
          <w:szCs w:val="24"/>
        </w:rPr>
        <w:t xml:space="preserve">beyond its territory </w:t>
      </w:r>
      <w:r w:rsidR="00630097" w:rsidRPr="00133C85">
        <w:rPr>
          <w:rFonts w:asciiTheme="majorBidi" w:hAnsiTheme="majorBidi" w:cstheme="majorBidi"/>
          <w:sz w:val="24"/>
          <w:szCs w:val="24"/>
        </w:rPr>
        <w:t xml:space="preserve">was </w:t>
      </w:r>
      <w:r w:rsidR="00630097" w:rsidRPr="00133C85">
        <w:rPr>
          <w:rFonts w:asciiTheme="majorBidi" w:hAnsiTheme="majorBidi" w:cstheme="majorBidi"/>
          <w:i/>
          <w:iCs/>
          <w:sz w:val="24"/>
          <w:szCs w:val="24"/>
        </w:rPr>
        <w:t xml:space="preserve">foreseeable </w:t>
      </w:r>
      <w:r w:rsidR="00630097" w:rsidRPr="00133C85">
        <w:rPr>
          <w:rFonts w:asciiTheme="majorBidi" w:hAnsiTheme="majorBidi" w:cstheme="majorBidi"/>
          <w:sz w:val="24"/>
          <w:szCs w:val="24"/>
        </w:rPr>
        <w:t>by the emitting state</w:t>
      </w:r>
      <w:r w:rsidR="00043A10" w:rsidRPr="00133C85">
        <w:rPr>
          <w:rFonts w:asciiTheme="majorBidi" w:hAnsiTheme="majorBidi" w:cstheme="majorBidi"/>
          <w:sz w:val="24"/>
          <w:szCs w:val="24"/>
        </w:rPr>
        <w:t>.</w:t>
      </w:r>
      <w:r w:rsidR="00630097" w:rsidRPr="00133C85">
        <w:rPr>
          <w:rStyle w:val="FootnoteReference"/>
          <w:rFonts w:asciiTheme="majorBidi" w:hAnsiTheme="majorBidi" w:cstheme="majorBidi"/>
          <w:sz w:val="24"/>
          <w:szCs w:val="24"/>
        </w:rPr>
        <w:footnoteReference w:id="80"/>
      </w:r>
    </w:p>
    <w:p w14:paraId="2D8B3500" w14:textId="5A9B3522" w:rsidR="0024250A" w:rsidRPr="00133C85" w:rsidRDefault="0024250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Importantly, in the context of certain human rights the causal link problem is less significant. For example, in </w:t>
      </w:r>
      <w:r w:rsidRPr="00133C85">
        <w:rPr>
          <w:rFonts w:asciiTheme="majorBidi" w:hAnsiTheme="majorBidi" w:cstheme="majorBidi"/>
          <w:i/>
          <w:iCs/>
          <w:sz w:val="24"/>
          <w:szCs w:val="24"/>
        </w:rPr>
        <w:t>Daniel Billy et al</w:t>
      </w:r>
      <w:r w:rsidRPr="00133C85">
        <w:rPr>
          <w:rFonts w:asciiTheme="majorBidi" w:hAnsiTheme="majorBidi" w:cstheme="majorBidi"/>
          <w:sz w:val="24"/>
          <w:szCs w:val="24"/>
        </w:rPr>
        <w:t xml:space="preserve">, the HRC commented regarding Article 17 ICCPR (right to privacy, family and home) that the obligation on the state is to protect the victims from unlawful interference with their right to privacy, family and home, regardless of whether the state is responsible </w:t>
      </w:r>
      <w:r w:rsidR="003F7E36">
        <w:rPr>
          <w:rFonts w:asciiTheme="majorBidi" w:hAnsiTheme="majorBidi" w:cstheme="majorBidi"/>
          <w:sz w:val="24"/>
          <w:szCs w:val="24"/>
        </w:rPr>
        <w:t>for</w:t>
      </w:r>
      <w:r w:rsidRPr="00133C85">
        <w:rPr>
          <w:rFonts w:asciiTheme="majorBidi" w:hAnsiTheme="majorBidi" w:cstheme="majorBidi"/>
          <w:sz w:val="24"/>
          <w:szCs w:val="24"/>
        </w:rPr>
        <w:t xml:space="preserve"> such interference or not.</w:t>
      </w:r>
      <w:r w:rsidRPr="00133C85">
        <w:rPr>
          <w:rStyle w:val="FootnoteReference"/>
          <w:rFonts w:asciiTheme="majorBidi" w:hAnsiTheme="majorBidi" w:cstheme="majorBidi"/>
          <w:sz w:val="24"/>
          <w:szCs w:val="24"/>
        </w:rPr>
        <w:footnoteReference w:id="81"/>
      </w:r>
      <w:r w:rsidRPr="00133C85">
        <w:rPr>
          <w:rFonts w:asciiTheme="majorBidi" w:hAnsiTheme="majorBidi" w:cstheme="majorBidi"/>
          <w:sz w:val="24"/>
          <w:szCs w:val="24"/>
        </w:rPr>
        <w:t xml:space="preserve"> Australia’s direct responsibility </w:t>
      </w:r>
      <w:r w:rsidR="0055090C">
        <w:rPr>
          <w:rFonts w:asciiTheme="majorBidi" w:hAnsiTheme="majorBidi" w:cstheme="majorBidi"/>
          <w:sz w:val="24"/>
          <w:szCs w:val="24"/>
        </w:rPr>
        <w:t>for</w:t>
      </w:r>
      <w:r w:rsidR="0055090C" w:rsidRPr="00133C85">
        <w:rPr>
          <w:rFonts w:asciiTheme="majorBidi" w:hAnsiTheme="majorBidi" w:cstheme="majorBidi"/>
          <w:sz w:val="24"/>
          <w:szCs w:val="24"/>
        </w:rPr>
        <w:t xml:space="preserve"> </w:t>
      </w:r>
      <w:r w:rsidR="0055090C">
        <w:rPr>
          <w:rFonts w:asciiTheme="majorBidi" w:hAnsiTheme="majorBidi" w:cstheme="majorBidi"/>
          <w:sz w:val="24"/>
          <w:szCs w:val="24"/>
        </w:rPr>
        <w:t>phenomena,</w:t>
      </w:r>
      <w:r w:rsidRPr="00133C85">
        <w:rPr>
          <w:rFonts w:asciiTheme="majorBidi" w:hAnsiTheme="majorBidi" w:cstheme="majorBidi"/>
          <w:sz w:val="24"/>
          <w:szCs w:val="24"/>
        </w:rPr>
        <w:t xml:space="preserve"> such as rising sea levels, is therefore </w:t>
      </w:r>
      <w:r w:rsidR="00043A10" w:rsidRPr="00133C85">
        <w:rPr>
          <w:rFonts w:asciiTheme="majorBidi" w:hAnsiTheme="majorBidi" w:cstheme="majorBidi"/>
          <w:sz w:val="24"/>
          <w:szCs w:val="24"/>
        </w:rPr>
        <w:t>less</w:t>
      </w:r>
      <w:r w:rsidRPr="00133C85">
        <w:rPr>
          <w:rFonts w:asciiTheme="majorBidi" w:hAnsiTheme="majorBidi" w:cstheme="majorBidi"/>
          <w:sz w:val="24"/>
          <w:szCs w:val="24"/>
        </w:rPr>
        <w:t xml:space="preserve"> important.</w:t>
      </w:r>
      <w:r w:rsidR="009026F7" w:rsidRPr="00133C85">
        <w:rPr>
          <w:rFonts w:asciiTheme="majorBidi" w:hAnsiTheme="majorBidi" w:cstheme="majorBidi"/>
          <w:sz w:val="24"/>
          <w:szCs w:val="24"/>
        </w:rPr>
        <w:t xml:space="preserve"> </w:t>
      </w:r>
    </w:p>
    <w:p w14:paraId="206C7BC5" w14:textId="270DB9A1" w:rsidR="00F83693" w:rsidRPr="00133C85" w:rsidRDefault="00F83693"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Finally, it could be that, eventually, science will </w:t>
      </w:r>
      <w:r w:rsidR="0095479E" w:rsidRPr="00133C85">
        <w:rPr>
          <w:rFonts w:asciiTheme="majorBidi" w:hAnsiTheme="majorBidi" w:cstheme="majorBidi"/>
          <w:sz w:val="24"/>
          <w:szCs w:val="24"/>
        </w:rPr>
        <w:t>(</w:t>
      </w:r>
      <w:r w:rsidR="00043A10" w:rsidRPr="00133C85">
        <w:rPr>
          <w:rFonts w:asciiTheme="majorBidi" w:hAnsiTheme="majorBidi" w:cstheme="majorBidi"/>
          <w:sz w:val="24"/>
          <w:szCs w:val="24"/>
        </w:rPr>
        <w:t xml:space="preserve">and perhaps </w:t>
      </w:r>
      <w:r w:rsidR="0095479E" w:rsidRPr="00133C85">
        <w:rPr>
          <w:rFonts w:asciiTheme="majorBidi" w:hAnsiTheme="majorBidi" w:cstheme="majorBidi"/>
          <w:sz w:val="24"/>
          <w:szCs w:val="24"/>
        </w:rPr>
        <w:t xml:space="preserve">already </w:t>
      </w:r>
      <w:r w:rsidR="00B07708">
        <w:rPr>
          <w:rFonts w:asciiTheme="majorBidi" w:hAnsiTheme="majorBidi" w:cstheme="majorBidi"/>
          <w:sz w:val="24"/>
          <w:szCs w:val="24"/>
        </w:rPr>
        <w:t>has</w:t>
      </w:r>
      <w:r w:rsidR="0095479E" w:rsidRPr="00133C85">
        <w:rPr>
          <w:rFonts w:asciiTheme="majorBidi" w:hAnsiTheme="majorBidi" w:cstheme="majorBidi"/>
          <w:sz w:val="24"/>
          <w:szCs w:val="24"/>
        </w:rPr>
        <w:t xml:space="preserve">) </w:t>
      </w:r>
      <w:r w:rsidRPr="00133C85">
        <w:rPr>
          <w:rFonts w:asciiTheme="majorBidi" w:hAnsiTheme="majorBidi" w:cstheme="majorBidi"/>
          <w:sz w:val="24"/>
          <w:szCs w:val="24"/>
        </w:rPr>
        <w:t xml:space="preserve">come </w:t>
      </w:r>
      <w:r w:rsidR="00B07708">
        <w:rPr>
          <w:rFonts w:asciiTheme="majorBidi" w:hAnsiTheme="majorBidi" w:cstheme="majorBidi"/>
          <w:sz w:val="24"/>
          <w:szCs w:val="24"/>
        </w:rPr>
        <w:t>to</w:t>
      </w:r>
      <w:r w:rsidR="00B07708" w:rsidRPr="00133C85">
        <w:rPr>
          <w:rFonts w:asciiTheme="majorBidi" w:hAnsiTheme="majorBidi" w:cstheme="majorBidi"/>
          <w:sz w:val="24"/>
          <w:szCs w:val="24"/>
        </w:rPr>
        <w:t xml:space="preserve"> </w:t>
      </w:r>
      <w:r w:rsidRPr="00133C85">
        <w:rPr>
          <w:rFonts w:asciiTheme="majorBidi" w:hAnsiTheme="majorBidi" w:cstheme="majorBidi"/>
          <w:sz w:val="24"/>
          <w:szCs w:val="24"/>
        </w:rPr>
        <w:t xml:space="preserve">the rescue. </w:t>
      </w:r>
      <w:r w:rsidR="0095479E" w:rsidRPr="00133C85">
        <w:rPr>
          <w:rFonts w:asciiTheme="majorBidi" w:hAnsiTheme="majorBidi" w:cstheme="majorBidi"/>
          <w:sz w:val="24"/>
          <w:szCs w:val="24"/>
        </w:rPr>
        <w:t xml:space="preserve">The promise of attribution sciences in addressing the causal link problem </w:t>
      </w:r>
      <w:r w:rsidR="00B07708">
        <w:rPr>
          <w:rFonts w:asciiTheme="majorBidi" w:hAnsiTheme="majorBidi" w:cstheme="majorBidi"/>
          <w:sz w:val="24"/>
          <w:szCs w:val="24"/>
        </w:rPr>
        <w:t>has</w:t>
      </w:r>
      <w:r w:rsidR="00B07708" w:rsidRPr="00133C85">
        <w:rPr>
          <w:rFonts w:asciiTheme="majorBidi" w:hAnsiTheme="majorBidi" w:cstheme="majorBidi"/>
          <w:sz w:val="24"/>
          <w:szCs w:val="24"/>
        </w:rPr>
        <w:t xml:space="preserve"> </w:t>
      </w:r>
      <w:r w:rsidR="0095479E" w:rsidRPr="00133C85">
        <w:rPr>
          <w:rFonts w:asciiTheme="majorBidi" w:hAnsiTheme="majorBidi" w:cstheme="majorBidi"/>
          <w:sz w:val="24"/>
          <w:szCs w:val="24"/>
        </w:rPr>
        <w:t>often</w:t>
      </w:r>
      <w:r w:rsidR="00B07708">
        <w:rPr>
          <w:rFonts w:asciiTheme="majorBidi" w:hAnsiTheme="majorBidi" w:cstheme="majorBidi"/>
          <w:sz w:val="24"/>
          <w:szCs w:val="24"/>
        </w:rPr>
        <w:t xml:space="preserve"> been</w:t>
      </w:r>
      <w:r w:rsidR="0095479E" w:rsidRPr="00133C85">
        <w:rPr>
          <w:rFonts w:asciiTheme="majorBidi" w:hAnsiTheme="majorBidi" w:cstheme="majorBidi"/>
          <w:sz w:val="24"/>
          <w:szCs w:val="24"/>
        </w:rPr>
        <w:t xml:space="preserve"> mentioned in the literature, including by </w:t>
      </w:r>
      <w:r w:rsidR="00B07708">
        <w:rPr>
          <w:rFonts w:asciiTheme="majorBidi" w:hAnsiTheme="majorBidi" w:cstheme="majorBidi"/>
          <w:sz w:val="24"/>
          <w:szCs w:val="24"/>
        </w:rPr>
        <w:t>us</w:t>
      </w:r>
      <w:r w:rsidR="0095479E" w:rsidRPr="00133C85">
        <w:rPr>
          <w:rFonts w:asciiTheme="majorBidi" w:hAnsiTheme="majorBidi" w:cstheme="majorBidi"/>
          <w:sz w:val="24"/>
          <w:szCs w:val="24"/>
        </w:rPr>
        <w:t>.</w:t>
      </w:r>
      <w:r w:rsidR="0095479E" w:rsidRPr="00133C85">
        <w:rPr>
          <w:rStyle w:val="FootnoteReference"/>
          <w:rFonts w:asciiTheme="majorBidi" w:hAnsiTheme="majorBidi" w:cstheme="majorBidi"/>
          <w:sz w:val="24"/>
          <w:szCs w:val="24"/>
        </w:rPr>
        <w:footnoteReference w:id="82"/>
      </w:r>
      <w:r w:rsidR="0095479E" w:rsidRPr="00133C85">
        <w:rPr>
          <w:rFonts w:asciiTheme="majorBidi" w:hAnsiTheme="majorBidi" w:cstheme="majorBidi"/>
          <w:sz w:val="24"/>
          <w:szCs w:val="24"/>
        </w:rPr>
        <w:t xml:space="preserve"> </w:t>
      </w:r>
      <w:r w:rsidRPr="00133C85">
        <w:rPr>
          <w:rFonts w:asciiTheme="majorBidi" w:hAnsiTheme="majorBidi" w:cstheme="majorBidi"/>
          <w:sz w:val="24"/>
          <w:szCs w:val="24"/>
        </w:rPr>
        <w:t xml:space="preserve">Stuart-Smith et al </w:t>
      </w:r>
      <w:r w:rsidR="00B07708">
        <w:rPr>
          <w:rFonts w:asciiTheme="majorBidi" w:hAnsiTheme="majorBidi" w:cstheme="majorBidi"/>
          <w:sz w:val="24"/>
          <w:szCs w:val="24"/>
        </w:rPr>
        <w:t>have</w:t>
      </w:r>
      <w:r w:rsidR="00B07708" w:rsidRPr="00133C85">
        <w:rPr>
          <w:rFonts w:asciiTheme="majorBidi" w:hAnsiTheme="majorBidi" w:cstheme="majorBidi"/>
          <w:sz w:val="24"/>
          <w:szCs w:val="24"/>
        </w:rPr>
        <w:t xml:space="preserve"> </w:t>
      </w:r>
      <w:r w:rsidRPr="00133C85">
        <w:rPr>
          <w:rFonts w:asciiTheme="majorBidi" w:hAnsiTheme="majorBidi" w:cstheme="majorBidi"/>
          <w:sz w:val="24"/>
          <w:szCs w:val="24"/>
        </w:rPr>
        <w:t>suggest</w:t>
      </w:r>
      <w:r w:rsidR="00B07708">
        <w:rPr>
          <w:rFonts w:asciiTheme="majorBidi" w:hAnsiTheme="majorBidi" w:cstheme="majorBidi"/>
          <w:sz w:val="24"/>
          <w:szCs w:val="24"/>
        </w:rPr>
        <w:t>ed</w:t>
      </w:r>
      <w:r w:rsidRPr="00133C85">
        <w:rPr>
          <w:rFonts w:asciiTheme="majorBidi" w:hAnsiTheme="majorBidi" w:cstheme="majorBidi"/>
          <w:sz w:val="24"/>
          <w:szCs w:val="24"/>
        </w:rPr>
        <w:t xml:space="preserve"> that claimants have simply not presented the most ‘state of the art’ scientific evidence, notably in respect to attribution sciences.</w:t>
      </w:r>
      <w:r w:rsidRPr="00133C85">
        <w:rPr>
          <w:rStyle w:val="FootnoteReference"/>
          <w:rFonts w:asciiTheme="majorBidi" w:hAnsiTheme="majorBidi" w:cstheme="majorBidi"/>
          <w:sz w:val="24"/>
          <w:szCs w:val="24"/>
        </w:rPr>
        <w:footnoteReference w:id="83"/>
      </w:r>
      <w:r w:rsidRPr="00133C85">
        <w:rPr>
          <w:rFonts w:asciiTheme="majorBidi" w:hAnsiTheme="majorBidi" w:cstheme="majorBidi"/>
          <w:sz w:val="24"/>
          <w:szCs w:val="24"/>
        </w:rPr>
        <w:t xml:space="preserve"> </w:t>
      </w:r>
      <w:r w:rsidR="00B07708">
        <w:rPr>
          <w:rFonts w:asciiTheme="majorBidi" w:hAnsiTheme="majorBidi" w:cstheme="majorBidi"/>
          <w:sz w:val="24"/>
          <w:szCs w:val="24"/>
        </w:rPr>
        <w:t>They</w:t>
      </w:r>
      <w:r w:rsidRPr="00133C85">
        <w:rPr>
          <w:rFonts w:asciiTheme="majorBidi" w:hAnsiTheme="majorBidi" w:cstheme="majorBidi"/>
          <w:sz w:val="24"/>
          <w:szCs w:val="24"/>
        </w:rPr>
        <w:t xml:space="preserve"> claim that existing scientific methodologies already exist</w:t>
      </w:r>
      <w:r w:rsidR="0095479E" w:rsidRPr="00133C85">
        <w:rPr>
          <w:rFonts w:asciiTheme="majorBidi" w:hAnsiTheme="majorBidi" w:cstheme="majorBidi"/>
          <w:sz w:val="24"/>
          <w:szCs w:val="24"/>
        </w:rPr>
        <w:t xml:space="preserve">, and that better understanding of </w:t>
      </w:r>
      <w:r w:rsidR="00043A10" w:rsidRPr="00133C85">
        <w:rPr>
          <w:rFonts w:asciiTheme="majorBidi" w:hAnsiTheme="majorBidi" w:cstheme="majorBidi"/>
          <w:sz w:val="24"/>
          <w:szCs w:val="24"/>
        </w:rPr>
        <w:t>climate attribution sciences</w:t>
      </w:r>
      <w:r w:rsidR="0095479E" w:rsidRPr="00133C85">
        <w:rPr>
          <w:rFonts w:asciiTheme="majorBidi" w:hAnsiTheme="majorBidi" w:cstheme="majorBidi"/>
          <w:sz w:val="24"/>
          <w:szCs w:val="24"/>
        </w:rPr>
        <w:t xml:space="preserve"> will improve the success rates of climate litigation. Indeed</w:t>
      </w:r>
      <w:r w:rsidR="00B07708">
        <w:rPr>
          <w:rFonts w:asciiTheme="majorBidi" w:hAnsiTheme="majorBidi" w:cstheme="majorBidi"/>
          <w:sz w:val="24"/>
          <w:szCs w:val="24"/>
        </w:rPr>
        <w:t>,</w:t>
      </w:r>
      <w:r w:rsidR="0095479E" w:rsidRPr="00133C85">
        <w:rPr>
          <w:rFonts w:asciiTheme="majorBidi" w:hAnsiTheme="majorBidi" w:cstheme="majorBidi"/>
          <w:sz w:val="24"/>
          <w:szCs w:val="24"/>
        </w:rPr>
        <w:t xml:space="preserve"> if this is the case, </w:t>
      </w:r>
      <w:r w:rsidR="005B3D20" w:rsidRPr="00133C85">
        <w:rPr>
          <w:rFonts w:asciiTheme="majorBidi" w:hAnsiTheme="majorBidi" w:cstheme="majorBidi"/>
          <w:sz w:val="24"/>
          <w:szCs w:val="24"/>
        </w:rPr>
        <w:t xml:space="preserve">one should expect more productive collaborations between </w:t>
      </w:r>
      <w:r w:rsidR="005B3D20" w:rsidRPr="00133C85">
        <w:rPr>
          <w:rFonts w:asciiTheme="majorBidi" w:hAnsiTheme="majorBidi" w:cstheme="majorBidi"/>
          <w:sz w:val="24"/>
          <w:szCs w:val="24"/>
        </w:rPr>
        <w:lastRenderedPageBreak/>
        <w:t xml:space="preserve">lawyers and scientists, and, perhaps, a bridge </w:t>
      </w:r>
      <w:r w:rsidR="001E490F" w:rsidRPr="00133C85">
        <w:rPr>
          <w:rFonts w:asciiTheme="majorBidi" w:hAnsiTheme="majorBidi" w:cstheme="majorBidi"/>
          <w:sz w:val="24"/>
          <w:szCs w:val="24"/>
        </w:rPr>
        <w:t>across</w:t>
      </w:r>
      <w:r w:rsidR="005B3D20" w:rsidRPr="00133C85">
        <w:rPr>
          <w:rFonts w:asciiTheme="majorBidi" w:hAnsiTheme="majorBidi" w:cstheme="majorBidi"/>
          <w:sz w:val="24"/>
          <w:szCs w:val="24"/>
        </w:rPr>
        <w:t xml:space="preserve"> this barrier. </w:t>
      </w:r>
      <w:r w:rsidR="00B07708">
        <w:rPr>
          <w:rFonts w:asciiTheme="majorBidi" w:hAnsiTheme="majorBidi" w:cstheme="majorBidi"/>
          <w:sz w:val="24"/>
          <w:szCs w:val="24"/>
        </w:rPr>
        <w:t>However, a</w:t>
      </w:r>
      <w:r w:rsidR="00043A10" w:rsidRPr="00133C85">
        <w:rPr>
          <w:rFonts w:asciiTheme="majorBidi" w:hAnsiTheme="majorBidi" w:cstheme="majorBidi"/>
          <w:sz w:val="24"/>
          <w:szCs w:val="24"/>
        </w:rPr>
        <w:t xml:space="preserve">s further discussed below, in the context of climate </w:t>
      </w:r>
      <w:r w:rsidR="00043A10" w:rsidRPr="00133C85">
        <w:rPr>
          <w:rFonts w:asciiTheme="majorBidi" w:hAnsiTheme="majorBidi" w:cstheme="majorBidi"/>
          <w:i/>
          <w:iCs/>
          <w:sz w:val="24"/>
          <w:szCs w:val="24"/>
        </w:rPr>
        <w:t>migration</w:t>
      </w:r>
      <w:r w:rsidR="00043A10" w:rsidRPr="00133C85">
        <w:rPr>
          <w:rFonts w:asciiTheme="majorBidi" w:hAnsiTheme="majorBidi" w:cstheme="majorBidi"/>
          <w:sz w:val="24"/>
          <w:szCs w:val="24"/>
        </w:rPr>
        <w:t xml:space="preserve">, this bridge may not be enough. </w:t>
      </w:r>
    </w:p>
    <w:p w14:paraId="661734B6" w14:textId="39A3F28C" w:rsidR="00D6512D" w:rsidRPr="00133C85" w:rsidRDefault="00E8103C" w:rsidP="00E8103C">
      <w:pPr>
        <w:pStyle w:val="Heading4"/>
        <w:numPr>
          <w:ilvl w:val="0"/>
          <w:numId w:val="4"/>
        </w:numPr>
        <w:spacing w:line="360" w:lineRule="auto"/>
        <w:jc w:val="both"/>
        <w:rPr>
          <w:rFonts w:asciiTheme="majorBidi" w:hAnsiTheme="majorBidi"/>
          <w:sz w:val="24"/>
          <w:szCs w:val="24"/>
        </w:rPr>
      </w:pPr>
      <w:r>
        <w:rPr>
          <w:rFonts w:asciiTheme="majorBidi" w:hAnsiTheme="majorBidi"/>
          <w:sz w:val="24"/>
          <w:szCs w:val="24"/>
        </w:rPr>
        <w:t>The</w:t>
      </w:r>
      <w:r w:rsidR="00D43722" w:rsidRPr="00133C85">
        <w:rPr>
          <w:rFonts w:asciiTheme="majorBidi" w:hAnsiTheme="majorBidi"/>
          <w:sz w:val="24"/>
          <w:szCs w:val="24"/>
        </w:rPr>
        <w:t xml:space="preserve"> c</w:t>
      </w:r>
      <w:r w:rsidR="00D6512D" w:rsidRPr="00133C85">
        <w:rPr>
          <w:rFonts w:asciiTheme="majorBidi" w:hAnsiTheme="majorBidi"/>
          <w:sz w:val="24"/>
          <w:szCs w:val="24"/>
        </w:rPr>
        <w:t>ausal link</w:t>
      </w:r>
      <w:r>
        <w:rPr>
          <w:rFonts w:asciiTheme="majorBidi" w:hAnsiTheme="majorBidi"/>
          <w:sz w:val="24"/>
          <w:szCs w:val="24"/>
        </w:rPr>
        <w:t xml:space="preserve"> question,</w:t>
      </w:r>
      <w:r w:rsidR="00D6512D" w:rsidRPr="00133C85">
        <w:rPr>
          <w:rFonts w:asciiTheme="majorBidi" w:hAnsiTheme="majorBidi"/>
          <w:sz w:val="24"/>
          <w:szCs w:val="24"/>
        </w:rPr>
        <w:t xml:space="preserve"> in the specific context of climate migration </w:t>
      </w:r>
    </w:p>
    <w:p w14:paraId="2A51CF37" w14:textId="0606EF99" w:rsidR="00D6512D" w:rsidRPr="00133C85" w:rsidRDefault="005B3D20"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The context of climate migration requires a causal link between emissions and the final act of migration. This implies a </w:t>
      </w:r>
      <w:r w:rsidRPr="00133C85">
        <w:rPr>
          <w:rFonts w:asciiTheme="majorBidi" w:hAnsiTheme="majorBidi" w:cstheme="majorBidi"/>
          <w:i/>
          <w:iCs/>
          <w:sz w:val="24"/>
          <w:szCs w:val="24"/>
        </w:rPr>
        <w:t>two-step</w:t>
      </w:r>
      <w:r w:rsidRPr="00133C85">
        <w:rPr>
          <w:rFonts w:asciiTheme="majorBidi" w:hAnsiTheme="majorBidi" w:cstheme="majorBidi"/>
          <w:sz w:val="24"/>
          <w:szCs w:val="24"/>
        </w:rPr>
        <w:t xml:space="preserve"> link: it is not enough to show that emissions have caused a specific impact on the environment, but also that the said impact on the environment </w:t>
      </w:r>
      <w:r w:rsidR="00D95DF4" w:rsidRPr="00133C85">
        <w:rPr>
          <w:rFonts w:asciiTheme="majorBidi" w:hAnsiTheme="majorBidi" w:cstheme="majorBidi"/>
          <w:sz w:val="24"/>
          <w:szCs w:val="24"/>
        </w:rPr>
        <w:t>ha</w:t>
      </w:r>
      <w:r w:rsidR="00D95DF4">
        <w:rPr>
          <w:rFonts w:asciiTheme="majorBidi" w:hAnsiTheme="majorBidi" w:cstheme="majorBidi"/>
          <w:sz w:val="24"/>
          <w:szCs w:val="24"/>
        </w:rPr>
        <w:t>s</w:t>
      </w:r>
      <w:r w:rsidR="00D95DF4" w:rsidRPr="00133C85">
        <w:rPr>
          <w:rFonts w:asciiTheme="majorBidi" w:hAnsiTheme="majorBidi" w:cstheme="majorBidi"/>
          <w:sz w:val="24"/>
          <w:szCs w:val="24"/>
        </w:rPr>
        <w:t xml:space="preserve"> </w:t>
      </w:r>
      <w:r w:rsidRPr="00133C85">
        <w:rPr>
          <w:rFonts w:asciiTheme="majorBidi" w:hAnsiTheme="majorBidi" w:cstheme="majorBidi"/>
          <w:sz w:val="24"/>
          <w:szCs w:val="24"/>
        </w:rPr>
        <w:t>led to migration. While advances in science may provide clearer answers vis-à-vis the link between emissions and specific environmental impacts, the link between environmental impacts and the act of migration</w:t>
      </w:r>
      <w:r w:rsidR="00D95DF4">
        <w:rPr>
          <w:rFonts w:asciiTheme="majorBidi" w:hAnsiTheme="majorBidi" w:cstheme="majorBidi"/>
          <w:sz w:val="24"/>
          <w:szCs w:val="24"/>
        </w:rPr>
        <w:t xml:space="preserve"> involves complex and often nebulous</w:t>
      </w:r>
      <w:r w:rsidR="00327440">
        <w:rPr>
          <w:rFonts w:asciiTheme="majorBidi" w:hAnsiTheme="majorBidi" w:cstheme="majorBidi"/>
          <w:sz w:val="24"/>
          <w:szCs w:val="24"/>
        </w:rPr>
        <w:t xml:space="preserve"> sociological factors</w:t>
      </w:r>
      <w:r w:rsidRPr="00133C85">
        <w:rPr>
          <w:rFonts w:asciiTheme="majorBidi" w:hAnsiTheme="majorBidi" w:cstheme="majorBidi"/>
          <w:sz w:val="24"/>
          <w:szCs w:val="24"/>
        </w:rPr>
        <w:t xml:space="preserve">. </w:t>
      </w:r>
      <w:r w:rsidR="00327440">
        <w:rPr>
          <w:rFonts w:asciiTheme="majorBidi" w:hAnsiTheme="majorBidi" w:cstheme="majorBidi"/>
          <w:sz w:val="24"/>
          <w:szCs w:val="24"/>
        </w:rPr>
        <w:t xml:space="preserve"> </w:t>
      </w:r>
      <w:r w:rsidRPr="00133C85">
        <w:rPr>
          <w:rFonts w:asciiTheme="majorBidi" w:hAnsiTheme="majorBidi" w:cstheme="majorBidi"/>
          <w:sz w:val="24"/>
          <w:szCs w:val="24"/>
        </w:rPr>
        <w:t xml:space="preserve"> </w:t>
      </w:r>
    </w:p>
    <w:p w14:paraId="5D4212B9" w14:textId="53227C13" w:rsidR="006B79E8" w:rsidRPr="00133C85" w:rsidRDefault="00327440" w:rsidP="00BB0FD7">
      <w:pPr>
        <w:spacing w:line="360" w:lineRule="auto"/>
        <w:jc w:val="both"/>
        <w:rPr>
          <w:rFonts w:asciiTheme="majorBidi" w:hAnsiTheme="majorBidi" w:cstheme="majorBidi"/>
          <w:sz w:val="24"/>
          <w:szCs w:val="24"/>
        </w:rPr>
      </w:pPr>
      <w:r>
        <w:rPr>
          <w:rFonts w:asciiTheme="majorBidi" w:hAnsiTheme="majorBidi" w:cstheme="majorBidi"/>
          <w:sz w:val="24"/>
          <w:szCs w:val="24"/>
        </w:rPr>
        <w:t>Much has been written on the link between the impacts of climate change and migration</w:t>
      </w:r>
      <w:r w:rsidR="006B79E8" w:rsidRPr="00133C85">
        <w:rPr>
          <w:rFonts w:asciiTheme="majorBidi" w:hAnsiTheme="majorBidi" w:cstheme="majorBidi"/>
          <w:sz w:val="24"/>
          <w:szCs w:val="24"/>
        </w:rPr>
        <w:t xml:space="preserve"> and the reader can rely on this literature </w:t>
      </w:r>
      <w:r w:rsidR="00D315DC" w:rsidRPr="00133C85">
        <w:rPr>
          <w:rFonts w:asciiTheme="majorBidi" w:hAnsiTheme="majorBidi" w:cstheme="majorBidi"/>
          <w:sz w:val="24"/>
          <w:szCs w:val="24"/>
        </w:rPr>
        <w:t>i</w:t>
      </w:r>
      <w:r w:rsidR="006B79E8" w:rsidRPr="00133C85">
        <w:rPr>
          <w:rFonts w:asciiTheme="majorBidi" w:hAnsiTheme="majorBidi" w:cstheme="majorBidi"/>
          <w:sz w:val="24"/>
          <w:szCs w:val="24"/>
        </w:rPr>
        <w:t>n order to become better informed.</w:t>
      </w:r>
      <w:r w:rsidR="006B79E8" w:rsidRPr="00133C85">
        <w:rPr>
          <w:rStyle w:val="FootnoteReference"/>
          <w:rFonts w:asciiTheme="majorBidi" w:hAnsiTheme="majorBidi" w:cstheme="majorBidi"/>
          <w:sz w:val="24"/>
          <w:szCs w:val="24"/>
        </w:rPr>
        <w:footnoteReference w:id="84"/>
      </w:r>
      <w:r w:rsidR="00D315DC" w:rsidRPr="00133C85">
        <w:rPr>
          <w:rFonts w:asciiTheme="majorBidi" w:hAnsiTheme="majorBidi" w:cstheme="majorBidi"/>
          <w:sz w:val="24"/>
          <w:szCs w:val="24"/>
        </w:rPr>
        <w:t xml:space="preserve"> In a nutshell, and at the risk of over-simplifying a complicated debate, </w:t>
      </w:r>
      <w:r>
        <w:rPr>
          <w:rFonts w:asciiTheme="majorBidi" w:hAnsiTheme="majorBidi" w:cstheme="majorBidi"/>
          <w:sz w:val="24"/>
          <w:szCs w:val="24"/>
        </w:rPr>
        <w:t xml:space="preserve">many </w:t>
      </w:r>
      <w:r w:rsidR="00D315DC" w:rsidRPr="00133C85">
        <w:rPr>
          <w:rFonts w:asciiTheme="majorBidi" w:hAnsiTheme="majorBidi" w:cstheme="majorBidi"/>
          <w:sz w:val="24"/>
          <w:szCs w:val="24"/>
        </w:rPr>
        <w:t>authors who have examined specific case-studies</w:t>
      </w:r>
      <w:r>
        <w:rPr>
          <w:rFonts w:asciiTheme="majorBidi" w:hAnsiTheme="majorBidi" w:cstheme="majorBidi"/>
          <w:sz w:val="24"/>
          <w:szCs w:val="24"/>
        </w:rPr>
        <w:t xml:space="preserve"> </w:t>
      </w:r>
      <w:r w:rsidR="00D315DC" w:rsidRPr="00133C85">
        <w:rPr>
          <w:rFonts w:asciiTheme="majorBidi" w:hAnsiTheme="majorBidi" w:cstheme="majorBidi"/>
          <w:sz w:val="24"/>
          <w:szCs w:val="24"/>
        </w:rPr>
        <w:t xml:space="preserve"> question </w:t>
      </w:r>
      <w:r>
        <w:rPr>
          <w:rFonts w:asciiTheme="majorBidi" w:hAnsiTheme="majorBidi" w:cstheme="majorBidi"/>
          <w:sz w:val="24"/>
          <w:szCs w:val="24"/>
        </w:rPr>
        <w:t>whether</w:t>
      </w:r>
      <w:r w:rsidR="00D315DC" w:rsidRPr="00133C85">
        <w:rPr>
          <w:rFonts w:asciiTheme="majorBidi" w:hAnsiTheme="majorBidi" w:cstheme="majorBidi"/>
          <w:sz w:val="24"/>
          <w:szCs w:val="24"/>
        </w:rPr>
        <w:t xml:space="preserve"> climate change-related events are</w:t>
      </w:r>
      <w:r>
        <w:rPr>
          <w:rFonts w:asciiTheme="majorBidi" w:hAnsiTheme="majorBidi" w:cstheme="majorBidi"/>
          <w:sz w:val="24"/>
          <w:szCs w:val="24"/>
        </w:rPr>
        <w:t xml:space="preserve"> in fact</w:t>
      </w:r>
      <w:r w:rsidR="00D315DC" w:rsidRPr="00133C85">
        <w:rPr>
          <w:rFonts w:asciiTheme="majorBidi" w:hAnsiTheme="majorBidi" w:cstheme="majorBidi"/>
          <w:sz w:val="24"/>
          <w:szCs w:val="24"/>
        </w:rPr>
        <w:t xml:space="preserve"> </w:t>
      </w:r>
      <w:r w:rsidR="007F297B" w:rsidRPr="00133C85">
        <w:rPr>
          <w:rFonts w:asciiTheme="majorBidi" w:hAnsiTheme="majorBidi" w:cstheme="majorBidi"/>
          <w:sz w:val="24"/>
          <w:szCs w:val="24"/>
        </w:rPr>
        <w:t>the</w:t>
      </w:r>
      <w:r w:rsidR="00D315DC" w:rsidRPr="00133C85">
        <w:rPr>
          <w:rFonts w:asciiTheme="majorBidi" w:hAnsiTheme="majorBidi" w:cstheme="majorBidi"/>
          <w:sz w:val="24"/>
          <w:szCs w:val="24"/>
        </w:rPr>
        <w:t xml:space="preserve"> cause </w:t>
      </w:r>
      <w:r>
        <w:rPr>
          <w:rFonts w:asciiTheme="majorBidi" w:hAnsiTheme="majorBidi" w:cstheme="majorBidi"/>
          <w:sz w:val="24"/>
          <w:szCs w:val="24"/>
        </w:rPr>
        <w:t>of</w:t>
      </w:r>
      <w:r w:rsidRPr="00133C85">
        <w:rPr>
          <w:rFonts w:asciiTheme="majorBidi" w:hAnsiTheme="majorBidi" w:cstheme="majorBidi"/>
          <w:sz w:val="24"/>
          <w:szCs w:val="24"/>
        </w:rPr>
        <w:t xml:space="preserve"> </w:t>
      </w:r>
      <w:r w:rsidR="00D315DC" w:rsidRPr="00133C85">
        <w:rPr>
          <w:rFonts w:asciiTheme="majorBidi" w:hAnsiTheme="majorBidi" w:cstheme="majorBidi"/>
          <w:sz w:val="24"/>
          <w:szCs w:val="24"/>
        </w:rPr>
        <w:t>individuals migrati</w:t>
      </w:r>
      <w:r>
        <w:rPr>
          <w:rFonts w:asciiTheme="majorBidi" w:hAnsiTheme="majorBidi" w:cstheme="majorBidi"/>
          <w:sz w:val="24"/>
          <w:szCs w:val="24"/>
        </w:rPr>
        <w:t>ng</w:t>
      </w:r>
      <w:r w:rsidR="00D315DC" w:rsidRPr="00133C85">
        <w:rPr>
          <w:rFonts w:asciiTheme="majorBidi" w:hAnsiTheme="majorBidi" w:cstheme="majorBidi"/>
          <w:sz w:val="24"/>
          <w:szCs w:val="24"/>
        </w:rPr>
        <w:t xml:space="preserve">, especially where </w:t>
      </w:r>
      <w:r>
        <w:rPr>
          <w:rFonts w:asciiTheme="majorBidi" w:hAnsiTheme="majorBidi" w:cstheme="majorBidi"/>
          <w:sz w:val="24"/>
          <w:szCs w:val="24"/>
        </w:rPr>
        <w:t xml:space="preserve">the </w:t>
      </w:r>
      <w:r w:rsidR="00D315DC" w:rsidRPr="00133C85">
        <w:rPr>
          <w:rFonts w:asciiTheme="majorBidi" w:hAnsiTheme="majorBidi" w:cstheme="majorBidi"/>
          <w:sz w:val="24"/>
          <w:szCs w:val="24"/>
        </w:rPr>
        <w:t>migrants themselves have attributed their movement to other economic and social reasons. Indeed</w:t>
      </w:r>
      <w:r>
        <w:rPr>
          <w:rFonts w:asciiTheme="majorBidi" w:hAnsiTheme="majorBidi" w:cstheme="majorBidi"/>
          <w:sz w:val="24"/>
          <w:szCs w:val="24"/>
        </w:rPr>
        <w:t>,</w:t>
      </w:r>
      <w:r w:rsidR="00D315DC" w:rsidRPr="00133C85">
        <w:rPr>
          <w:rFonts w:asciiTheme="majorBidi" w:hAnsiTheme="majorBidi" w:cstheme="majorBidi"/>
          <w:sz w:val="24"/>
          <w:szCs w:val="24"/>
        </w:rPr>
        <w:t xml:space="preserve"> the decision to migrate is hardly ever made due to one reason alone; it depends on numerous social (</w:t>
      </w:r>
      <w:proofErr w:type="gramStart"/>
      <w:r w:rsidR="00D315DC" w:rsidRPr="00133C85">
        <w:rPr>
          <w:rFonts w:asciiTheme="majorBidi" w:hAnsiTheme="majorBidi" w:cstheme="majorBidi"/>
          <w:sz w:val="24"/>
          <w:szCs w:val="24"/>
        </w:rPr>
        <w:t>e.g.</w:t>
      </w:r>
      <w:proofErr w:type="gramEnd"/>
      <w:r w:rsidR="00D315DC" w:rsidRPr="00133C85">
        <w:rPr>
          <w:rFonts w:asciiTheme="majorBidi" w:hAnsiTheme="majorBidi" w:cstheme="majorBidi"/>
          <w:sz w:val="24"/>
          <w:szCs w:val="24"/>
        </w:rPr>
        <w:t xml:space="preserve"> family-related), legal (e.g. safe and easy legal routes for migration) and economic (e.g. having the resource</w:t>
      </w:r>
      <w:r w:rsidR="00030529">
        <w:rPr>
          <w:rFonts w:asciiTheme="majorBidi" w:hAnsiTheme="majorBidi" w:cstheme="majorBidi"/>
          <w:sz w:val="24"/>
          <w:szCs w:val="24"/>
        </w:rPr>
        <w:t>s</w:t>
      </w:r>
      <w:r w:rsidR="00D315DC" w:rsidRPr="00133C85">
        <w:rPr>
          <w:rFonts w:asciiTheme="majorBidi" w:hAnsiTheme="majorBidi" w:cstheme="majorBidi"/>
          <w:sz w:val="24"/>
          <w:szCs w:val="24"/>
        </w:rPr>
        <w:t xml:space="preserve"> to migrate) factors. This is not to argue that climate change is not a driver for migration, only to point out that establishing a clear, causal link between the two is a complex task. </w:t>
      </w:r>
    </w:p>
    <w:p w14:paraId="31C4ADD7" w14:textId="2805772E" w:rsidR="00DE10A9" w:rsidRPr="00133C85" w:rsidRDefault="00DE10A9" w:rsidP="00E8103C">
      <w:pPr>
        <w:pStyle w:val="Heading3"/>
        <w:numPr>
          <w:ilvl w:val="0"/>
          <w:numId w:val="3"/>
        </w:numPr>
        <w:spacing w:line="360" w:lineRule="auto"/>
        <w:jc w:val="both"/>
        <w:rPr>
          <w:rFonts w:asciiTheme="majorBidi" w:hAnsiTheme="majorBidi"/>
        </w:rPr>
      </w:pPr>
      <w:r w:rsidRPr="00133C85">
        <w:rPr>
          <w:rFonts w:asciiTheme="majorBidi" w:hAnsiTheme="majorBidi"/>
        </w:rPr>
        <w:t xml:space="preserve">Further developments in the making? </w:t>
      </w:r>
    </w:p>
    <w:p w14:paraId="614DCC26" w14:textId="10464C64" w:rsidR="00DE10A9" w:rsidRPr="00133C85" w:rsidRDefault="00DE10A9" w:rsidP="00BB0FD7">
      <w:pPr>
        <w:spacing w:line="360" w:lineRule="auto"/>
        <w:jc w:val="both"/>
        <w:rPr>
          <w:rFonts w:asciiTheme="majorBidi" w:hAnsiTheme="majorBidi" w:cstheme="majorBidi"/>
          <w:sz w:val="24"/>
          <w:szCs w:val="24"/>
          <w:lang w:bidi="he-IL"/>
        </w:rPr>
      </w:pPr>
      <w:r w:rsidRPr="00133C85">
        <w:rPr>
          <w:rFonts w:asciiTheme="majorBidi" w:hAnsiTheme="majorBidi" w:cstheme="majorBidi"/>
          <w:sz w:val="24"/>
          <w:szCs w:val="24"/>
          <w:lang w:bidi="he-IL"/>
        </w:rPr>
        <w:t xml:space="preserve">Finally, there are several recent developments in international </w:t>
      </w:r>
      <w:r w:rsidR="000D677D" w:rsidRPr="00133C85">
        <w:rPr>
          <w:rFonts w:asciiTheme="majorBidi" w:hAnsiTheme="majorBidi" w:cstheme="majorBidi"/>
          <w:sz w:val="24"/>
          <w:szCs w:val="24"/>
          <w:lang w:bidi="he-IL"/>
        </w:rPr>
        <w:t>climate change</w:t>
      </w:r>
      <w:r w:rsidRPr="00133C85">
        <w:rPr>
          <w:rFonts w:asciiTheme="majorBidi" w:hAnsiTheme="majorBidi" w:cstheme="majorBidi"/>
          <w:sz w:val="24"/>
          <w:szCs w:val="24"/>
          <w:lang w:bidi="he-IL"/>
        </w:rPr>
        <w:t xml:space="preserve"> litigation, which may indicate further evolution of the legal framework. These developments are future facing – they may build on the above</w:t>
      </w:r>
      <w:r w:rsidR="00087B6C" w:rsidRPr="00133C85">
        <w:rPr>
          <w:rFonts w:asciiTheme="majorBidi" w:hAnsiTheme="majorBidi" w:cstheme="majorBidi"/>
          <w:sz w:val="24"/>
          <w:szCs w:val="24"/>
          <w:lang w:bidi="he-IL"/>
        </w:rPr>
        <w:t>-</w:t>
      </w:r>
      <w:r w:rsidRPr="00133C85">
        <w:rPr>
          <w:rFonts w:asciiTheme="majorBidi" w:hAnsiTheme="majorBidi" w:cstheme="majorBidi"/>
          <w:sz w:val="24"/>
          <w:szCs w:val="24"/>
          <w:lang w:bidi="he-IL"/>
        </w:rPr>
        <w:t>d</w:t>
      </w:r>
      <w:r w:rsidR="00087B6C" w:rsidRPr="00133C85">
        <w:rPr>
          <w:rFonts w:asciiTheme="majorBidi" w:hAnsiTheme="majorBidi" w:cstheme="majorBidi"/>
          <w:sz w:val="24"/>
          <w:szCs w:val="24"/>
          <w:lang w:bidi="he-IL"/>
        </w:rPr>
        <w:t xml:space="preserve">iscussed </w:t>
      </w:r>
      <w:proofErr w:type="gramStart"/>
      <w:r w:rsidRPr="00133C85">
        <w:rPr>
          <w:rFonts w:asciiTheme="majorBidi" w:hAnsiTheme="majorBidi" w:cstheme="majorBidi"/>
          <w:sz w:val="24"/>
          <w:szCs w:val="24"/>
          <w:lang w:bidi="he-IL"/>
        </w:rPr>
        <w:t>decisions</w:t>
      </w:r>
      <w:r w:rsidR="00087B6C" w:rsidRPr="00133C85">
        <w:rPr>
          <w:rFonts w:asciiTheme="majorBidi" w:hAnsiTheme="majorBidi" w:cstheme="majorBidi"/>
          <w:sz w:val="24"/>
          <w:szCs w:val="24"/>
          <w:lang w:bidi="he-IL"/>
        </w:rPr>
        <w:t>,</w:t>
      </w:r>
      <w:r w:rsidRPr="00133C85">
        <w:rPr>
          <w:rFonts w:asciiTheme="majorBidi" w:hAnsiTheme="majorBidi" w:cstheme="majorBidi"/>
          <w:sz w:val="24"/>
          <w:szCs w:val="24"/>
          <w:lang w:bidi="he-IL"/>
        </w:rPr>
        <w:t xml:space="preserve"> and</w:t>
      </w:r>
      <w:proofErr w:type="gramEnd"/>
      <w:r w:rsidRPr="00133C85">
        <w:rPr>
          <w:rFonts w:asciiTheme="majorBidi" w:hAnsiTheme="majorBidi" w:cstheme="majorBidi"/>
          <w:sz w:val="24"/>
          <w:szCs w:val="24"/>
          <w:lang w:bidi="he-IL"/>
        </w:rPr>
        <w:t xml:space="preserve"> develop them further. Given the non-binding nature of the UN HR committees jurisprudence, these developments – while </w:t>
      </w:r>
      <w:r w:rsidR="00030529">
        <w:rPr>
          <w:rFonts w:asciiTheme="majorBidi" w:hAnsiTheme="majorBidi" w:cstheme="majorBidi"/>
          <w:sz w:val="24"/>
          <w:szCs w:val="24"/>
          <w:lang w:bidi="he-IL"/>
        </w:rPr>
        <w:t xml:space="preserve">also </w:t>
      </w:r>
      <w:r w:rsidRPr="00133C85">
        <w:rPr>
          <w:rFonts w:asciiTheme="majorBidi" w:hAnsiTheme="majorBidi" w:cstheme="majorBidi"/>
          <w:sz w:val="24"/>
          <w:szCs w:val="24"/>
          <w:lang w:bidi="he-IL"/>
        </w:rPr>
        <w:t xml:space="preserve">non-binding – will add authority and </w:t>
      </w:r>
      <w:r w:rsidR="00087B6C" w:rsidRPr="00133C85">
        <w:rPr>
          <w:rFonts w:asciiTheme="majorBidi" w:hAnsiTheme="majorBidi" w:cstheme="majorBidi"/>
          <w:sz w:val="24"/>
          <w:szCs w:val="24"/>
          <w:lang w:bidi="he-IL"/>
        </w:rPr>
        <w:t>persuasiveness to th</w:t>
      </w:r>
      <w:r w:rsidR="000D677D" w:rsidRPr="00133C85">
        <w:rPr>
          <w:rFonts w:asciiTheme="majorBidi" w:hAnsiTheme="majorBidi" w:cstheme="majorBidi"/>
          <w:sz w:val="24"/>
          <w:szCs w:val="24"/>
          <w:lang w:bidi="he-IL"/>
        </w:rPr>
        <w:t>is</w:t>
      </w:r>
      <w:r w:rsidR="00087B6C" w:rsidRPr="00133C85">
        <w:rPr>
          <w:rFonts w:asciiTheme="majorBidi" w:hAnsiTheme="majorBidi" w:cstheme="majorBidi"/>
          <w:sz w:val="24"/>
          <w:szCs w:val="24"/>
          <w:lang w:bidi="he-IL"/>
        </w:rPr>
        <w:t xml:space="preserve"> evolving jurisprudence. </w:t>
      </w:r>
    </w:p>
    <w:p w14:paraId="009DACBE" w14:textId="73ED54A4" w:rsidR="00DE10A9" w:rsidRPr="00133C85" w:rsidRDefault="00DE10A9" w:rsidP="00BB0FD7">
      <w:pPr>
        <w:spacing w:line="360" w:lineRule="auto"/>
        <w:jc w:val="both"/>
        <w:rPr>
          <w:rFonts w:asciiTheme="majorBidi" w:hAnsiTheme="majorBidi" w:cstheme="majorBidi"/>
          <w:i/>
          <w:iCs/>
          <w:sz w:val="24"/>
          <w:szCs w:val="24"/>
          <w:lang w:bidi="he-IL"/>
        </w:rPr>
      </w:pPr>
      <w:r w:rsidRPr="00133C85">
        <w:rPr>
          <w:rFonts w:asciiTheme="majorBidi" w:hAnsiTheme="majorBidi" w:cstheme="majorBidi"/>
          <w:sz w:val="24"/>
          <w:szCs w:val="24"/>
          <w:lang w:bidi="he-IL"/>
        </w:rPr>
        <w:lastRenderedPageBreak/>
        <w:t>First, the governments of Chile and Colombia have asked the Inter-American Court of Human Rights to issue an Advisory Opinion regarding the climate emergency and human rights.</w:t>
      </w:r>
      <w:bookmarkStart w:id="11" w:name="_Ref132703620"/>
      <w:r w:rsidRPr="00133C85">
        <w:rPr>
          <w:rStyle w:val="FootnoteReference"/>
          <w:rFonts w:asciiTheme="majorBidi" w:hAnsiTheme="majorBidi" w:cstheme="majorBidi"/>
          <w:sz w:val="24"/>
          <w:szCs w:val="24"/>
          <w:lang w:bidi="he-IL"/>
        </w:rPr>
        <w:footnoteReference w:id="85"/>
      </w:r>
      <w:bookmarkEnd w:id="11"/>
      <w:r w:rsidRPr="00133C85">
        <w:rPr>
          <w:rFonts w:asciiTheme="majorBidi" w:hAnsiTheme="majorBidi" w:cstheme="majorBidi"/>
          <w:sz w:val="24"/>
          <w:szCs w:val="24"/>
          <w:lang w:bidi="he-IL"/>
        </w:rPr>
        <w:t xml:space="preserve"> In their request, the two governments </w:t>
      </w:r>
      <w:r w:rsidR="00517197">
        <w:rPr>
          <w:rFonts w:asciiTheme="majorBidi" w:hAnsiTheme="majorBidi" w:cstheme="majorBidi"/>
          <w:sz w:val="24"/>
          <w:szCs w:val="24"/>
          <w:lang w:bidi="he-IL"/>
        </w:rPr>
        <w:t>state</w:t>
      </w:r>
      <w:r w:rsidRPr="00133C85">
        <w:rPr>
          <w:rFonts w:asciiTheme="majorBidi" w:hAnsiTheme="majorBidi" w:cstheme="majorBidi"/>
          <w:sz w:val="24"/>
          <w:szCs w:val="24"/>
          <w:lang w:bidi="he-IL"/>
        </w:rPr>
        <w:t xml:space="preserve"> that ‘[t]he Andes region is among the most sensitive areas in the world to migration and displacement associate</w:t>
      </w:r>
      <w:r w:rsidR="00517197">
        <w:rPr>
          <w:rFonts w:asciiTheme="majorBidi" w:hAnsiTheme="majorBidi" w:cstheme="majorBidi"/>
          <w:sz w:val="24"/>
          <w:szCs w:val="24"/>
          <w:lang w:bidi="he-IL"/>
        </w:rPr>
        <w:t>d</w:t>
      </w:r>
      <w:r w:rsidRPr="00133C85">
        <w:rPr>
          <w:rFonts w:asciiTheme="majorBidi" w:hAnsiTheme="majorBidi" w:cstheme="majorBidi"/>
          <w:sz w:val="24"/>
          <w:szCs w:val="24"/>
          <w:lang w:bidi="he-IL"/>
        </w:rPr>
        <w:t xml:space="preserve"> with climate change’</w:t>
      </w:r>
      <w:r w:rsidRPr="00133C85">
        <w:rPr>
          <w:rStyle w:val="FootnoteReference"/>
          <w:rFonts w:asciiTheme="majorBidi" w:hAnsiTheme="majorBidi" w:cstheme="majorBidi"/>
          <w:sz w:val="24"/>
          <w:szCs w:val="24"/>
          <w:lang w:bidi="he-IL"/>
        </w:rPr>
        <w:footnoteReference w:id="86"/>
      </w:r>
      <w:r w:rsidRPr="00133C85">
        <w:rPr>
          <w:rFonts w:asciiTheme="majorBidi" w:hAnsiTheme="majorBidi" w:cstheme="majorBidi"/>
          <w:sz w:val="24"/>
          <w:szCs w:val="24"/>
          <w:lang w:bidi="he-IL"/>
        </w:rPr>
        <w:t xml:space="preserve"> and that ‘this displacement will have differentiated impacts on the most vulnerable populations, including coastal populations and island dwellers, indigenous peoples, Afro-descendant communities, peasants, among others’.</w:t>
      </w:r>
      <w:r w:rsidRPr="00133C85">
        <w:rPr>
          <w:rStyle w:val="FootnoteReference"/>
          <w:rFonts w:asciiTheme="majorBidi" w:hAnsiTheme="majorBidi" w:cstheme="majorBidi"/>
          <w:sz w:val="24"/>
          <w:szCs w:val="24"/>
          <w:lang w:bidi="he-IL"/>
        </w:rPr>
        <w:footnoteReference w:id="87"/>
      </w:r>
      <w:r w:rsidRPr="00133C85">
        <w:rPr>
          <w:rFonts w:asciiTheme="majorBidi" w:hAnsiTheme="majorBidi" w:cstheme="majorBidi"/>
          <w:sz w:val="24"/>
          <w:szCs w:val="24"/>
          <w:lang w:bidi="he-IL"/>
        </w:rPr>
        <w:t xml:space="preserve"> These states therefore ask </w:t>
      </w:r>
      <w:r w:rsidRPr="00133C85">
        <w:rPr>
          <w:rFonts w:asciiTheme="majorBidi" w:hAnsiTheme="majorBidi" w:cstheme="majorBidi"/>
          <w:i/>
          <w:iCs/>
          <w:sz w:val="24"/>
          <w:szCs w:val="24"/>
          <w:lang w:bidi="he-IL"/>
        </w:rPr>
        <w:t>inter alia:</w:t>
      </w:r>
    </w:p>
    <w:p w14:paraId="3BF8ADD2" w14:textId="77777777" w:rsidR="00DE10A9" w:rsidRPr="00133C85" w:rsidRDefault="00DE10A9" w:rsidP="00BB0FD7">
      <w:pPr>
        <w:spacing w:line="360" w:lineRule="auto"/>
        <w:ind w:left="720"/>
        <w:jc w:val="both"/>
        <w:rPr>
          <w:rFonts w:asciiTheme="majorBidi" w:hAnsiTheme="majorBidi" w:cstheme="majorBidi"/>
          <w:sz w:val="24"/>
          <w:szCs w:val="24"/>
          <w:lang w:bidi="he-IL"/>
        </w:rPr>
      </w:pPr>
      <w:r w:rsidRPr="00133C85">
        <w:rPr>
          <w:rFonts w:asciiTheme="majorBidi" w:hAnsiTheme="majorBidi" w:cstheme="majorBidi"/>
          <w:i/>
          <w:iCs/>
          <w:sz w:val="24"/>
          <w:szCs w:val="24"/>
          <w:lang w:bidi="he-IL"/>
        </w:rPr>
        <w:t xml:space="preserve"> </w:t>
      </w:r>
      <w:r w:rsidRPr="00133C85">
        <w:rPr>
          <w:rFonts w:asciiTheme="majorBidi" w:hAnsiTheme="majorBidi" w:cstheme="majorBidi"/>
          <w:sz w:val="24"/>
          <w:szCs w:val="24"/>
          <w:lang w:bidi="he-IL"/>
        </w:rPr>
        <w:t>‘</w:t>
      </w:r>
      <w:proofErr w:type="gramStart"/>
      <w:r w:rsidRPr="00133C85">
        <w:rPr>
          <w:rFonts w:asciiTheme="majorBidi" w:hAnsiTheme="majorBidi" w:cstheme="majorBidi"/>
          <w:sz w:val="24"/>
          <w:szCs w:val="24"/>
          <w:lang w:bidi="he-IL"/>
        </w:rPr>
        <w:t>what</w:t>
      </w:r>
      <w:proofErr w:type="gramEnd"/>
      <w:r w:rsidRPr="00133C85">
        <w:rPr>
          <w:rFonts w:asciiTheme="majorBidi" w:hAnsiTheme="majorBidi" w:cstheme="majorBidi"/>
          <w:sz w:val="24"/>
          <w:szCs w:val="24"/>
          <w:lang w:bidi="he-IL"/>
        </w:rPr>
        <w:t xml:space="preserve"> is the scope that States should give to their conventional obligations in the face of the climate emergency, in terms of:</w:t>
      </w:r>
    </w:p>
    <w:p w14:paraId="4E311EFE" w14:textId="77777777" w:rsidR="00DE10A9" w:rsidRPr="00133C85" w:rsidRDefault="00DE10A9" w:rsidP="00BB0FD7">
      <w:pPr>
        <w:spacing w:line="360" w:lineRule="auto"/>
        <w:ind w:left="720"/>
        <w:jc w:val="both"/>
        <w:rPr>
          <w:rFonts w:asciiTheme="majorBidi" w:hAnsiTheme="majorBidi" w:cstheme="majorBidi"/>
          <w:sz w:val="24"/>
          <w:szCs w:val="24"/>
          <w:lang w:bidi="he-IL"/>
        </w:rPr>
      </w:pPr>
      <w:r w:rsidRPr="00133C85">
        <w:rPr>
          <w:rFonts w:asciiTheme="majorBidi" w:hAnsiTheme="majorBidi" w:cstheme="majorBidi"/>
          <w:sz w:val="24"/>
          <w:szCs w:val="24"/>
          <w:lang w:bidi="he-IL"/>
        </w:rPr>
        <w:t>[…]</w:t>
      </w:r>
    </w:p>
    <w:p w14:paraId="4D7EC313" w14:textId="77777777" w:rsidR="00DE10A9" w:rsidRPr="00133C85" w:rsidRDefault="00DE10A9" w:rsidP="00BB0FD7">
      <w:pPr>
        <w:spacing w:line="360" w:lineRule="auto"/>
        <w:ind w:left="720"/>
        <w:jc w:val="both"/>
        <w:rPr>
          <w:rFonts w:asciiTheme="majorBidi" w:hAnsiTheme="majorBidi" w:cstheme="majorBidi"/>
          <w:sz w:val="24"/>
          <w:szCs w:val="24"/>
          <w:lang w:bidi="he-IL"/>
        </w:rPr>
      </w:pPr>
      <w:r w:rsidRPr="00133C85">
        <w:rPr>
          <w:rFonts w:asciiTheme="majorBidi" w:hAnsiTheme="majorBidi" w:cstheme="majorBidi"/>
          <w:sz w:val="24"/>
          <w:szCs w:val="24"/>
          <w:lang w:bidi="he-IL"/>
        </w:rPr>
        <w:t>v) the determination of impacts on people, such as human mobility – migration and forced displacement -, effects on health and life, loss of non-economic assets, etc.’</w:t>
      </w:r>
    </w:p>
    <w:p w14:paraId="130E90B6" w14:textId="77777777" w:rsidR="00DE10A9" w:rsidRPr="00133C85" w:rsidRDefault="00DE10A9" w:rsidP="00BB0FD7">
      <w:pPr>
        <w:spacing w:line="360" w:lineRule="auto"/>
        <w:jc w:val="both"/>
        <w:rPr>
          <w:rFonts w:asciiTheme="majorBidi" w:hAnsiTheme="majorBidi" w:cstheme="majorBidi"/>
          <w:sz w:val="24"/>
          <w:szCs w:val="24"/>
          <w:lang w:bidi="he-IL"/>
        </w:rPr>
      </w:pPr>
      <w:r w:rsidRPr="00133C85">
        <w:rPr>
          <w:rFonts w:asciiTheme="majorBidi" w:hAnsiTheme="majorBidi" w:cstheme="majorBidi"/>
          <w:sz w:val="24"/>
          <w:szCs w:val="24"/>
          <w:lang w:bidi="he-IL"/>
        </w:rPr>
        <w:t xml:space="preserve">And, </w:t>
      </w:r>
    </w:p>
    <w:p w14:paraId="30D263AB" w14:textId="77777777" w:rsidR="00DE10A9" w:rsidRPr="00133C85" w:rsidRDefault="00DE10A9" w:rsidP="00BB0FD7">
      <w:pPr>
        <w:spacing w:line="360" w:lineRule="auto"/>
        <w:ind w:left="720"/>
        <w:jc w:val="both"/>
        <w:rPr>
          <w:rFonts w:asciiTheme="majorBidi" w:hAnsiTheme="majorBidi" w:cstheme="majorBidi"/>
          <w:sz w:val="24"/>
          <w:szCs w:val="24"/>
          <w:lang w:bidi="he-IL"/>
        </w:rPr>
      </w:pPr>
      <w:r w:rsidRPr="00133C85">
        <w:rPr>
          <w:rFonts w:asciiTheme="majorBidi" w:hAnsiTheme="majorBidi" w:cstheme="majorBidi"/>
          <w:sz w:val="24"/>
          <w:szCs w:val="24"/>
          <w:lang w:bidi="he-IL"/>
        </w:rPr>
        <w:t>‘Considering that one of the impacts of the climate emergency is to aggravate the factors that lead to human mobility – migration and forced displacement of people:</w:t>
      </w:r>
    </w:p>
    <w:p w14:paraId="124670E3" w14:textId="3B3E5910" w:rsidR="00DE10A9" w:rsidRPr="00133C85" w:rsidRDefault="00DE10A9" w:rsidP="00BB0FD7">
      <w:pPr>
        <w:spacing w:line="360" w:lineRule="auto"/>
        <w:ind w:left="720"/>
        <w:jc w:val="both"/>
        <w:rPr>
          <w:rFonts w:asciiTheme="majorBidi" w:hAnsiTheme="majorBidi" w:cstheme="majorBidi"/>
          <w:sz w:val="24"/>
          <w:szCs w:val="24"/>
          <w:lang w:bidi="he-IL"/>
        </w:rPr>
      </w:pPr>
      <w:r w:rsidRPr="00133C85">
        <w:rPr>
          <w:rFonts w:asciiTheme="majorBidi" w:hAnsiTheme="majorBidi" w:cstheme="majorBidi"/>
          <w:sz w:val="24"/>
          <w:szCs w:val="24"/>
          <w:lang w:bidi="he-IL"/>
        </w:rPr>
        <w:t>3. What obligations an</w:t>
      </w:r>
      <w:r w:rsidR="00201EF8" w:rsidRPr="00133C85">
        <w:rPr>
          <w:rFonts w:asciiTheme="majorBidi" w:hAnsiTheme="majorBidi" w:cstheme="majorBidi"/>
          <w:sz w:val="24"/>
          <w:szCs w:val="24"/>
          <w:lang w:bidi="he-IL"/>
        </w:rPr>
        <w:t>d</w:t>
      </w:r>
      <w:r w:rsidRPr="00133C85">
        <w:rPr>
          <w:rFonts w:asciiTheme="majorBidi" w:hAnsiTheme="majorBidi" w:cstheme="majorBidi"/>
          <w:sz w:val="24"/>
          <w:szCs w:val="24"/>
          <w:lang w:bidi="he-IL"/>
        </w:rPr>
        <w:t xml:space="preserve"> principles should guide the individual and coordinated actions to be taken by States in the region to address non-voluntary human mobility exacerbated by the climate emergency?’</w:t>
      </w:r>
    </w:p>
    <w:p w14:paraId="3DB09E75" w14:textId="6CFEC748" w:rsidR="00201EF8" w:rsidRPr="00133C85" w:rsidRDefault="00201EF8" w:rsidP="00BB0FD7">
      <w:pPr>
        <w:spacing w:line="360" w:lineRule="auto"/>
        <w:jc w:val="both"/>
        <w:rPr>
          <w:rFonts w:asciiTheme="majorBidi" w:hAnsiTheme="majorBidi" w:cstheme="majorBidi"/>
          <w:sz w:val="24"/>
          <w:szCs w:val="24"/>
          <w:lang w:bidi="he-IL"/>
        </w:rPr>
      </w:pPr>
      <w:r w:rsidRPr="00133C85">
        <w:rPr>
          <w:rFonts w:asciiTheme="majorBidi" w:hAnsiTheme="majorBidi" w:cstheme="majorBidi"/>
          <w:sz w:val="24"/>
          <w:szCs w:val="24"/>
          <w:lang w:bidi="he-IL"/>
        </w:rPr>
        <w:t xml:space="preserve">These questions </w:t>
      </w:r>
      <w:r w:rsidR="00517197">
        <w:rPr>
          <w:rFonts w:asciiTheme="majorBidi" w:hAnsiTheme="majorBidi" w:cstheme="majorBidi"/>
          <w:sz w:val="24"/>
          <w:szCs w:val="24"/>
          <w:lang w:bidi="he-IL"/>
        </w:rPr>
        <w:t>get</w:t>
      </w:r>
      <w:r w:rsidRPr="00133C85">
        <w:rPr>
          <w:rFonts w:asciiTheme="majorBidi" w:hAnsiTheme="majorBidi" w:cstheme="majorBidi"/>
          <w:sz w:val="24"/>
          <w:szCs w:val="24"/>
          <w:lang w:bidi="he-IL"/>
        </w:rPr>
        <w:t xml:space="preserve"> to the heart of the ‘legal gap’</w:t>
      </w:r>
      <w:r w:rsidR="00517197">
        <w:rPr>
          <w:rFonts w:asciiTheme="majorBidi" w:hAnsiTheme="majorBidi" w:cstheme="majorBidi"/>
          <w:sz w:val="24"/>
          <w:szCs w:val="24"/>
          <w:lang w:bidi="he-IL"/>
        </w:rPr>
        <w:t>, along with</w:t>
      </w:r>
      <w:r w:rsidRPr="00133C85">
        <w:rPr>
          <w:rFonts w:asciiTheme="majorBidi" w:hAnsiTheme="majorBidi" w:cstheme="majorBidi"/>
          <w:sz w:val="24"/>
          <w:szCs w:val="24"/>
          <w:lang w:bidi="he-IL"/>
        </w:rPr>
        <w:t xml:space="preserve"> uncertainties that currently exist in the context of climate migration</w:t>
      </w:r>
      <w:r w:rsidR="00517197">
        <w:rPr>
          <w:rFonts w:asciiTheme="majorBidi" w:hAnsiTheme="majorBidi" w:cstheme="majorBidi"/>
          <w:sz w:val="24"/>
          <w:szCs w:val="24"/>
          <w:lang w:bidi="he-IL"/>
        </w:rPr>
        <w:t>.</w:t>
      </w:r>
      <w:r w:rsidR="009C7892">
        <w:rPr>
          <w:rFonts w:asciiTheme="majorBidi" w:hAnsiTheme="majorBidi" w:cstheme="majorBidi"/>
          <w:sz w:val="24"/>
          <w:szCs w:val="24"/>
          <w:lang w:bidi="he-IL"/>
        </w:rPr>
        <w:t xml:space="preserve"> </w:t>
      </w:r>
      <w:r w:rsidR="00517197">
        <w:rPr>
          <w:rFonts w:asciiTheme="majorBidi" w:hAnsiTheme="majorBidi" w:cstheme="majorBidi"/>
          <w:sz w:val="24"/>
          <w:szCs w:val="24"/>
          <w:lang w:bidi="he-IL"/>
        </w:rPr>
        <w:t>T</w:t>
      </w:r>
      <w:r w:rsidRPr="00133C85">
        <w:rPr>
          <w:rFonts w:asciiTheme="majorBidi" w:hAnsiTheme="majorBidi" w:cstheme="majorBidi"/>
          <w:sz w:val="24"/>
          <w:szCs w:val="24"/>
          <w:lang w:bidi="he-IL"/>
        </w:rPr>
        <w:t xml:space="preserve">here is much hope that a clear and detailed answer for these questions will contribute to </w:t>
      </w:r>
      <w:r w:rsidR="00517197">
        <w:rPr>
          <w:rFonts w:asciiTheme="majorBidi" w:hAnsiTheme="majorBidi" w:cstheme="majorBidi"/>
          <w:sz w:val="24"/>
          <w:szCs w:val="24"/>
          <w:lang w:bidi="he-IL"/>
        </w:rPr>
        <w:t>clarification and guidance on the legal situation</w:t>
      </w:r>
      <w:r w:rsidRPr="00133C85">
        <w:rPr>
          <w:rFonts w:asciiTheme="majorBidi" w:hAnsiTheme="majorBidi" w:cstheme="majorBidi"/>
          <w:sz w:val="24"/>
          <w:szCs w:val="24"/>
          <w:lang w:bidi="he-IL"/>
        </w:rPr>
        <w:t xml:space="preserve">.  </w:t>
      </w:r>
    </w:p>
    <w:p w14:paraId="33657F2B" w14:textId="54BF872A" w:rsidR="00DE10A9" w:rsidRPr="00133C85" w:rsidRDefault="00DE10A9" w:rsidP="00BB0FD7">
      <w:pPr>
        <w:spacing w:line="360" w:lineRule="auto"/>
        <w:jc w:val="both"/>
        <w:rPr>
          <w:rFonts w:asciiTheme="majorBidi" w:hAnsiTheme="majorBidi" w:cstheme="majorBidi"/>
          <w:sz w:val="24"/>
          <w:szCs w:val="24"/>
          <w:lang w:bidi="he-IL"/>
        </w:rPr>
      </w:pPr>
      <w:r w:rsidRPr="00133C85">
        <w:rPr>
          <w:rFonts w:asciiTheme="majorBidi" w:hAnsiTheme="majorBidi" w:cstheme="majorBidi"/>
          <w:sz w:val="24"/>
          <w:szCs w:val="24"/>
          <w:lang w:bidi="he-IL"/>
        </w:rPr>
        <w:t>Second, on March 1</w:t>
      </w:r>
      <w:r w:rsidRPr="00133C85">
        <w:rPr>
          <w:rFonts w:asciiTheme="majorBidi" w:hAnsiTheme="majorBidi" w:cstheme="majorBidi"/>
          <w:sz w:val="24"/>
          <w:szCs w:val="24"/>
          <w:vertAlign w:val="superscript"/>
          <w:lang w:bidi="he-IL"/>
        </w:rPr>
        <w:t>st</w:t>
      </w:r>
      <w:r w:rsidRPr="00133C85">
        <w:rPr>
          <w:rFonts w:asciiTheme="majorBidi" w:hAnsiTheme="majorBidi" w:cstheme="majorBidi"/>
          <w:sz w:val="24"/>
          <w:szCs w:val="24"/>
          <w:lang w:bidi="he-IL"/>
        </w:rPr>
        <w:t xml:space="preserve"> 2023, the United Nations General Assembly requested the International Court of Justice </w:t>
      </w:r>
      <w:r w:rsidR="00201EF8" w:rsidRPr="00133C85">
        <w:rPr>
          <w:rFonts w:asciiTheme="majorBidi" w:hAnsiTheme="majorBidi" w:cstheme="majorBidi"/>
          <w:sz w:val="24"/>
          <w:szCs w:val="24"/>
          <w:lang w:bidi="he-IL"/>
        </w:rPr>
        <w:t xml:space="preserve">(ICJ) </w:t>
      </w:r>
      <w:r w:rsidR="00087B6C" w:rsidRPr="00133C85">
        <w:rPr>
          <w:rFonts w:asciiTheme="majorBidi" w:hAnsiTheme="majorBidi" w:cstheme="majorBidi"/>
          <w:sz w:val="24"/>
          <w:szCs w:val="24"/>
          <w:lang w:bidi="he-IL"/>
        </w:rPr>
        <w:t>to issue an Advisory Opinion on the obligations of States in respect of climate change.</w:t>
      </w:r>
      <w:bookmarkStart w:id="12" w:name="_Ref132708974"/>
      <w:r w:rsidR="00087B6C" w:rsidRPr="00133C85">
        <w:rPr>
          <w:rStyle w:val="FootnoteReference"/>
          <w:rFonts w:asciiTheme="majorBidi" w:hAnsiTheme="majorBidi" w:cstheme="majorBidi"/>
          <w:sz w:val="24"/>
          <w:szCs w:val="24"/>
          <w:lang w:bidi="he-IL"/>
        </w:rPr>
        <w:footnoteReference w:id="88"/>
      </w:r>
      <w:bookmarkEnd w:id="12"/>
      <w:r w:rsidR="00087B6C" w:rsidRPr="00133C85">
        <w:rPr>
          <w:rFonts w:asciiTheme="majorBidi" w:hAnsiTheme="majorBidi" w:cstheme="majorBidi"/>
          <w:sz w:val="24"/>
          <w:szCs w:val="24"/>
          <w:lang w:bidi="he-IL"/>
        </w:rPr>
        <w:t xml:space="preserve"> </w:t>
      </w:r>
      <w:r w:rsidR="006F323B" w:rsidRPr="00133C85">
        <w:rPr>
          <w:rFonts w:asciiTheme="majorBidi" w:hAnsiTheme="majorBidi" w:cstheme="majorBidi"/>
          <w:sz w:val="24"/>
          <w:szCs w:val="24"/>
          <w:lang w:bidi="he-IL"/>
        </w:rPr>
        <w:t xml:space="preserve">Interestingly, the request </w:t>
      </w:r>
      <w:r w:rsidR="00517197">
        <w:rPr>
          <w:rFonts w:asciiTheme="majorBidi" w:hAnsiTheme="majorBidi" w:cstheme="majorBidi"/>
          <w:sz w:val="24"/>
          <w:szCs w:val="24"/>
          <w:lang w:bidi="he-IL"/>
        </w:rPr>
        <w:t>asks</w:t>
      </w:r>
      <w:r w:rsidR="006F323B" w:rsidRPr="00133C85">
        <w:rPr>
          <w:rFonts w:asciiTheme="majorBidi" w:hAnsiTheme="majorBidi" w:cstheme="majorBidi"/>
          <w:sz w:val="24"/>
          <w:szCs w:val="24"/>
          <w:lang w:bidi="he-IL"/>
        </w:rPr>
        <w:t xml:space="preserve"> the ICJ to pay ‘particular attention’ to a number of sources of international law, including those that were discussed in the cases above (</w:t>
      </w:r>
      <w:r w:rsidR="008A7087" w:rsidRPr="00133C85">
        <w:rPr>
          <w:rFonts w:asciiTheme="majorBidi" w:hAnsiTheme="majorBidi" w:cstheme="majorBidi"/>
          <w:i/>
          <w:iCs/>
          <w:sz w:val="24"/>
          <w:szCs w:val="24"/>
          <w:lang w:bidi="he-IL"/>
        </w:rPr>
        <w:t>inter alia</w:t>
      </w:r>
      <w:r w:rsidR="006F323B" w:rsidRPr="00133C85">
        <w:rPr>
          <w:rFonts w:asciiTheme="majorBidi" w:hAnsiTheme="majorBidi" w:cstheme="majorBidi"/>
          <w:sz w:val="24"/>
          <w:szCs w:val="24"/>
          <w:lang w:bidi="he-IL"/>
        </w:rPr>
        <w:t xml:space="preserve"> the ICCPR and human rights more broadly, customary environmental laws such as the ‘no </w:t>
      </w:r>
      <w:r w:rsidR="006F323B" w:rsidRPr="00133C85">
        <w:rPr>
          <w:rFonts w:asciiTheme="majorBidi" w:hAnsiTheme="majorBidi" w:cstheme="majorBidi"/>
          <w:sz w:val="24"/>
          <w:szCs w:val="24"/>
          <w:lang w:bidi="he-IL"/>
        </w:rPr>
        <w:lastRenderedPageBreak/>
        <w:t>harm’ rule and preventive action,</w:t>
      </w:r>
      <w:r w:rsidR="008A7087" w:rsidRPr="00133C85">
        <w:rPr>
          <w:rFonts w:asciiTheme="majorBidi" w:hAnsiTheme="majorBidi" w:cstheme="majorBidi"/>
          <w:sz w:val="24"/>
          <w:szCs w:val="24"/>
          <w:lang w:bidi="he-IL"/>
        </w:rPr>
        <w:t xml:space="preserve"> and more).</w:t>
      </w:r>
      <w:r w:rsidR="008A7087" w:rsidRPr="00133C85">
        <w:rPr>
          <w:rStyle w:val="FootnoteReference"/>
          <w:rFonts w:asciiTheme="majorBidi" w:hAnsiTheme="majorBidi" w:cstheme="majorBidi"/>
          <w:sz w:val="24"/>
          <w:szCs w:val="24"/>
          <w:lang w:bidi="he-IL"/>
        </w:rPr>
        <w:footnoteReference w:id="89"/>
      </w:r>
      <w:r w:rsidR="008A7087" w:rsidRPr="00133C85">
        <w:rPr>
          <w:rFonts w:asciiTheme="majorBidi" w:hAnsiTheme="majorBidi" w:cstheme="majorBidi"/>
          <w:sz w:val="24"/>
          <w:szCs w:val="24"/>
          <w:lang w:bidi="he-IL"/>
        </w:rPr>
        <w:t xml:space="preserve"> The prospect</w:t>
      </w:r>
      <w:r w:rsidR="00517197">
        <w:rPr>
          <w:rFonts w:asciiTheme="majorBidi" w:hAnsiTheme="majorBidi" w:cstheme="majorBidi"/>
          <w:sz w:val="24"/>
          <w:szCs w:val="24"/>
          <w:lang w:bidi="he-IL"/>
        </w:rPr>
        <w:t>s</w:t>
      </w:r>
      <w:r w:rsidR="008A7087" w:rsidRPr="00133C85">
        <w:rPr>
          <w:rFonts w:asciiTheme="majorBidi" w:hAnsiTheme="majorBidi" w:cstheme="majorBidi"/>
          <w:sz w:val="24"/>
          <w:szCs w:val="24"/>
          <w:lang w:bidi="he-IL"/>
        </w:rPr>
        <w:t xml:space="preserve"> </w:t>
      </w:r>
      <w:r w:rsidR="00517197">
        <w:rPr>
          <w:rFonts w:asciiTheme="majorBidi" w:hAnsiTheme="majorBidi" w:cstheme="majorBidi"/>
          <w:sz w:val="24"/>
          <w:szCs w:val="24"/>
          <w:lang w:bidi="he-IL"/>
        </w:rPr>
        <w:t>for</w:t>
      </w:r>
      <w:r w:rsidR="00517197" w:rsidRPr="00133C85">
        <w:rPr>
          <w:rFonts w:asciiTheme="majorBidi" w:hAnsiTheme="majorBidi" w:cstheme="majorBidi"/>
          <w:sz w:val="24"/>
          <w:szCs w:val="24"/>
          <w:lang w:bidi="he-IL"/>
        </w:rPr>
        <w:t xml:space="preserve"> </w:t>
      </w:r>
      <w:r w:rsidR="008A7087" w:rsidRPr="00133C85">
        <w:rPr>
          <w:rFonts w:asciiTheme="majorBidi" w:hAnsiTheme="majorBidi" w:cstheme="majorBidi"/>
          <w:sz w:val="24"/>
          <w:szCs w:val="24"/>
          <w:lang w:bidi="he-IL"/>
        </w:rPr>
        <w:t xml:space="preserve">developing the </w:t>
      </w:r>
      <w:r w:rsidR="00517197">
        <w:rPr>
          <w:rFonts w:asciiTheme="majorBidi" w:hAnsiTheme="majorBidi" w:cstheme="majorBidi"/>
          <w:sz w:val="24"/>
          <w:szCs w:val="24"/>
          <w:lang w:bidi="he-IL"/>
        </w:rPr>
        <w:t>scope and application</w:t>
      </w:r>
      <w:r w:rsidR="00517197" w:rsidRPr="00133C85">
        <w:rPr>
          <w:rFonts w:asciiTheme="majorBidi" w:hAnsiTheme="majorBidi" w:cstheme="majorBidi"/>
          <w:sz w:val="24"/>
          <w:szCs w:val="24"/>
          <w:lang w:bidi="he-IL"/>
        </w:rPr>
        <w:t xml:space="preserve"> </w:t>
      </w:r>
      <w:r w:rsidR="008A7087" w:rsidRPr="00133C85">
        <w:rPr>
          <w:rFonts w:asciiTheme="majorBidi" w:hAnsiTheme="majorBidi" w:cstheme="majorBidi"/>
          <w:sz w:val="24"/>
          <w:szCs w:val="24"/>
          <w:lang w:bidi="he-IL"/>
        </w:rPr>
        <w:t xml:space="preserve">of these sources is therefore significant. </w:t>
      </w:r>
      <w:r w:rsidR="006F323B" w:rsidRPr="00133C85">
        <w:rPr>
          <w:rFonts w:asciiTheme="majorBidi" w:hAnsiTheme="majorBidi" w:cstheme="majorBidi"/>
          <w:sz w:val="24"/>
          <w:szCs w:val="24"/>
          <w:lang w:bidi="he-IL"/>
        </w:rPr>
        <w:t xml:space="preserve"> </w:t>
      </w:r>
    </w:p>
    <w:p w14:paraId="420168CA" w14:textId="7557E0AE" w:rsidR="002F035D" w:rsidRPr="00133C85" w:rsidRDefault="002F035D"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lang w:bidi="he-IL"/>
        </w:rPr>
        <w:t xml:space="preserve">The request for an Advisory Opinion is </w:t>
      </w:r>
      <w:proofErr w:type="gramStart"/>
      <w:r w:rsidRPr="00133C85">
        <w:rPr>
          <w:rFonts w:asciiTheme="majorBidi" w:hAnsiTheme="majorBidi" w:cstheme="majorBidi"/>
          <w:sz w:val="24"/>
          <w:szCs w:val="24"/>
          <w:lang w:bidi="he-IL"/>
        </w:rPr>
        <w:t>fairly general</w:t>
      </w:r>
      <w:proofErr w:type="gramEnd"/>
      <w:r w:rsidRPr="00133C85">
        <w:rPr>
          <w:rFonts w:asciiTheme="majorBidi" w:hAnsiTheme="majorBidi" w:cstheme="majorBidi"/>
          <w:sz w:val="24"/>
          <w:szCs w:val="24"/>
          <w:lang w:bidi="he-IL"/>
        </w:rPr>
        <w:t xml:space="preserve"> in its nature. It mentions displacement as </w:t>
      </w:r>
      <w:r w:rsidR="00517197">
        <w:rPr>
          <w:rFonts w:asciiTheme="majorBidi" w:hAnsiTheme="majorBidi" w:cstheme="majorBidi"/>
          <w:sz w:val="24"/>
          <w:szCs w:val="24"/>
          <w:lang w:bidi="he-IL"/>
        </w:rPr>
        <w:t>one</w:t>
      </w:r>
      <w:r w:rsidR="00517197" w:rsidRPr="00133C85">
        <w:rPr>
          <w:rFonts w:asciiTheme="majorBidi" w:hAnsiTheme="majorBidi" w:cstheme="majorBidi"/>
          <w:sz w:val="24"/>
          <w:szCs w:val="24"/>
          <w:lang w:bidi="he-IL"/>
        </w:rPr>
        <w:t xml:space="preserve"> </w:t>
      </w:r>
      <w:r w:rsidRPr="00133C85">
        <w:rPr>
          <w:rFonts w:asciiTheme="majorBidi" w:hAnsiTheme="majorBidi" w:cstheme="majorBidi"/>
          <w:sz w:val="24"/>
          <w:szCs w:val="24"/>
          <w:lang w:bidi="he-IL"/>
        </w:rPr>
        <w:t>of the many harms caused by climate change. It asks the ICJ to explain the obligations on states, and the consequences where lack of compliance ‘have caused significant harm’. The ‘harm’, it is explained in more detail, is in respect to ‘states, in particular small island developing states’, and ‘</w:t>
      </w:r>
      <w:r w:rsidRPr="00133C85">
        <w:rPr>
          <w:rFonts w:asciiTheme="majorBidi" w:hAnsiTheme="majorBidi" w:cstheme="majorBidi"/>
          <w:sz w:val="24"/>
          <w:szCs w:val="24"/>
        </w:rPr>
        <w:t>Peoples and individuals of the present and future generations affected by the adverse effects of climate change’</w:t>
      </w:r>
      <w:r w:rsidR="00517197">
        <w:rPr>
          <w:rFonts w:asciiTheme="majorBidi" w:hAnsiTheme="majorBidi" w:cstheme="majorBidi"/>
          <w:sz w:val="24"/>
          <w:szCs w:val="24"/>
        </w:rPr>
        <w:t>. B</w:t>
      </w:r>
      <w:r w:rsidRPr="00133C85">
        <w:rPr>
          <w:rFonts w:asciiTheme="majorBidi" w:hAnsiTheme="majorBidi" w:cstheme="majorBidi"/>
          <w:sz w:val="24"/>
          <w:szCs w:val="24"/>
        </w:rPr>
        <w:t xml:space="preserve">oth references suggest that climate migration will, or the least should, be discussed by the ICJ. </w:t>
      </w:r>
    </w:p>
    <w:p w14:paraId="636324CB" w14:textId="156C61E2" w:rsidR="00015A17" w:rsidRPr="00133C85" w:rsidRDefault="002F035D" w:rsidP="00BB0FD7">
      <w:pPr>
        <w:spacing w:line="360" w:lineRule="auto"/>
        <w:jc w:val="both"/>
        <w:rPr>
          <w:rFonts w:asciiTheme="majorBidi" w:hAnsiTheme="majorBidi" w:cstheme="majorBidi"/>
          <w:sz w:val="24"/>
          <w:szCs w:val="24"/>
          <w:lang w:bidi="he-IL"/>
        </w:rPr>
      </w:pPr>
      <w:r w:rsidRPr="00133C85">
        <w:rPr>
          <w:rFonts w:asciiTheme="majorBidi" w:hAnsiTheme="majorBidi" w:cstheme="majorBidi"/>
          <w:sz w:val="24"/>
          <w:szCs w:val="24"/>
        </w:rPr>
        <w:t>One issue to note at this early stage is that the Court is asked to address the consequences of international law obligations, where these have ‘caused significant harm</w:t>
      </w:r>
      <w:r w:rsidR="00976F3F" w:rsidRPr="00133C85">
        <w:rPr>
          <w:rFonts w:asciiTheme="majorBidi" w:hAnsiTheme="majorBidi" w:cstheme="majorBidi"/>
          <w:sz w:val="24"/>
          <w:szCs w:val="24"/>
        </w:rPr>
        <w:t xml:space="preserve">’, implying a return to the ‘causality’ conundrum. </w:t>
      </w:r>
      <w:proofErr w:type="gramStart"/>
      <w:r w:rsidR="00976F3F" w:rsidRPr="00133C85">
        <w:rPr>
          <w:rFonts w:asciiTheme="majorBidi" w:hAnsiTheme="majorBidi" w:cstheme="majorBidi"/>
          <w:sz w:val="24"/>
          <w:szCs w:val="24"/>
        </w:rPr>
        <w:t>In light of</w:t>
      </w:r>
      <w:proofErr w:type="gramEnd"/>
      <w:r w:rsidR="00976F3F" w:rsidRPr="00133C85">
        <w:rPr>
          <w:rFonts w:asciiTheme="majorBidi" w:hAnsiTheme="majorBidi" w:cstheme="majorBidi"/>
          <w:sz w:val="24"/>
          <w:szCs w:val="24"/>
        </w:rPr>
        <w:t xml:space="preserve"> the above discuss</w:t>
      </w:r>
      <w:r w:rsidR="00CB63F3">
        <w:rPr>
          <w:rFonts w:asciiTheme="majorBidi" w:hAnsiTheme="majorBidi" w:cstheme="majorBidi"/>
          <w:sz w:val="24"/>
          <w:szCs w:val="24"/>
        </w:rPr>
        <w:t>ion</w:t>
      </w:r>
      <w:r w:rsidR="00976F3F" w:rsidRPr="00133C85">
        <w:rPr>
          <w:rFonts w:asciiTheme="majorBidi" w:hAnsiTheme="majorBidi" w:cstheme="majorBidi"/>
          <w:sz w:val="24"/>
          <w:szCs w:val="24"/>
        </w:rPr>
        <w:t xml:space="preserve">, it </w:t>
      </w:r>
      <w:r w:rsidR="00CB63F3">
        <w:rPr>
          <w:rFonts w:asciiTheme="majorBidi" w:hAnsiTheme="majorBidi" w:cstheme="majorBidi"/>
          <w:sz w:val="24"/>
          <w:szCs w:val="24"/>
        </w:rPr>
        <w:t>will be</w:t>
      </w:r>
      <w:r w:rsidR="00976F3F" w:rsidRPr="00133C85">
        <w:rPr>
          <w:rFonts w:asciiTheme="majorBidi" w:hAnsiTheme="majorBidi" w:cstheme="majorBidi"/>
          <w:sz w:val="24"/>
          <w:szCs w:val="24"/>
        </w:rPr>
        <w:t xml:space="preserve"> interesting to see how the ICJ approach</w:t>
      </w:r>
      <w:r w:rsidR="00611529">
        <w:rPr>
          <w:rFonts w:asciiTheme="majorBidi" w:hAnsiTheme="majorBidi" w:cstheme="majorBidi"/>
          <w:sz w:val="24"/>
          <w:szCs w:val="24"/>
        </w:rPr>
        <w:t>es</w:t>
      </w:r>
      <w:r w:rsidR="00976F3F" w:rsidRPr="00133C85">
        <w:rPr>
          <w:rFonts w:asciiTheme="majorBidi" w:hAnsiTheme="majorBidi" w:cstheme="majorBidi"/>
          <w:sz w:val="24"/>
          <w:szCs w:val="24"/>
        </w:rPr>
        <w:t xml:space="preserve"> the question of causality</w:t>
      </w:r>
      <w:r w:rsidR="00611529">
        <w:rPr>
          <w:rFonts w:asciiTheme="majorBidi" w:hAnsiTheme="majorBidi" w:cstheme="majorBidi"/>
          <w:sz w:val="24"/>
          <w:szCs w:val="24"/>
        </w:rPr>
        <w:t>.</w:t>
      </w:r>
      <w:r w:rsidR="00976F3F" w:rsidRPr="00133C85">
        <w:rPr>
          <w:rFonts w:asciiTheme="majorBidi" w:hAnsiTheme="majorBidi" w:cstheme="majorBidi"/>
          <w:sz w:val="24"/>
          <w:szCs w:val="24"/>
        </w:rPr>
        <w:t xml:space="preserve"> As also discussed above, if</w:t>
      </w:r>
      <w:r w:rsidR="00611529">
        <w:rPr>
          <w:rFonts w:asciiTheme="majorBidi" w:hAnsiTheme="majorBidi" w:cstheme="majorBidi"/>
          <w:sz w:val="24"/>
          <w:szCs w:val="24"/>
        </w:rPr>
        <w:t xml:space="preserve"> </w:t>
      </w:r>
      <w:r w:rsidR="00976F3F" w:rsidRPr="00133C85">
        <w:rPr>
          <w:rFonts w:asciiTheme="majorBidi" w:hAnsiTheme="majorBidi" w:cstheme="majorBidi"/>
          <w:sz w:val="24"/>
          <w:szCs w:val="24"/>
        </w:rPr>
        <w:t xml:space="preserve">the ICJ </w:t>
      </w:r>
      <w:r w:rsidR="00611529">
        <w:rPr>
          <w:rFonts w:asciiTheme="majorBidi" w:hAnsiTheme="majorBidi" w:cstheme="majorBidi"/>
          <w:sz w:val="24"/>
          <w:szCs w:val="24"/>
        </w:rPr>
        <w:t>does</w:t>
      </w:r>
      <w:r w:rsidR="00611529" w:rsidRPr="00133C85">
        <w:rPr>
          <w:rFonts w:asciiTheme="majorBidi" w:hAnsiTheme="majorBidi" w:cstheme="majorBidi"/>
          <w:sz w:val="24"/>
          <w:szCs w:val="24"/>
        </w:rPr>
        <w:t xml:space="preserve"> </w:t>
      </w:r>
      <w:r w:rsidR="00976F3F" w:rsidRPr="00133C85">
        <w:rPr>
          <w:rFonts w:asciiTheme="majorBidi" w:hAnsiTheme="majorBidi" w:cstheme="majorBidi"/>
          <w:sz w:val="24"/>
          <w:szCs w:val="24"/>
        </w:rPr>
        <w:t xml:space="preserve">address migration, the causality </w:t>
      </w:r>
      <w:r w:rsidR="00201EF8" w:rsidRPr="00133C85">
        <w:rPr>
          <w:rFonts w:asciiTheme="majorBidi" w:hAnsiTheme="majorBidi" w:cstheme="majorBidi"/>
          <w:sz w:val="24"/>
          <w:szCs w:val="24"/>
        </w:rPr>
        <w:t xml:space="preserve">question </w:t>
      </w:r>
      <w:r w:rsidR="00084642" w:rsidRPr="00133C85">
        <w:rPr>
          <w:rFonts w:asciiTheme="majorBidi" w:hAnsiTheme="majorBidi" w:cstheme="majorBidi"/>
          <w:sz w:val="24"/>
          <w:szCs w:val="24"/>
        </w:rPr>
        <w:t>could</w:t>
      </w:r>
      <w:r w:rsidR="00976F3F" w:rsidRPr="00133C85">
        <w:rPr>
          <w:rFonts w:asciiTheme="majorBidi" w:hAnsiTheme="majorBidi" w:cstheme="majorBidi"/>
          <w:sz w:val="24"/>
          <w:szCs w:val="24"/>
        </w:rPr>
        <w:t xml:space="preserve"> be a hard issue to solve</w:t>
      </w:r>
      <w:r w:rsidR="00084642" w:rsidRPr="00133C85">
        <w:rPr>
          <w:rFonts w:asciiTheme="majorBidi" w:hAnsiTheme="majorBidi" w:cstheme="majorBidi"/>
          <w:sz w:val="24"/>
          <w:szCs w:val="24"/>
        </w:rPr>
        <w:t xml:space="preserve"> as it remains hard to identify or isolate climate as a driver for migration. </w:t>
      </w:r>
    </w:p>
    <w:p w14:paraId="631A561F" w14:textId="42B880B6" w:rsidR="00F65353" w:rsidRPr="00133C85" w:rsidRDefault="008E16FC"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Our final example is not entirely a ‘case’, and it is not entirely ‘international’ in nature. </w:t>
      </w:r>
      <w:r w:rsidR="00264790" w:rsidRPr="00133C85">
        <w:rPr>
          <w:rFonts w:asciiTheme="majorBidi" w:hAnsiTheme="majorBidi" w:cstheme="majorBidi"/>
          <w:sz w:val="24"/>
          <w:szCs w:val="24"/>
        </w:rPr>
        <w:t xml:space="preserve">It does </w:t>
      </w:r>
      <w:r w:rsidR="00201EF8" w:rsidRPr="00133C85">
        <w:rPr>
          <w:rFonts w:asciiTheme="majorBidi" w:hAnsiTheme="majorBidi" w:cstheme="majorBidi"/>
          <w:sz w:val="24"/>
          <w:szCs w:val="24"/>
        </w:rPr>
        <w:t xml:space="preserve">however </w:t>
      </w:r>
      <w:r w:rsidR="00264790" w:rsidRPr="00133C85">
        <w:rPr>
          <w:rFonts w:asciiTheme="majorBidi" w:hAnsiTheme="majorBidi" w:cstheme="majorBidi"/>
          <w:sz w:val="24"/>
          <w:szCs w:val="24"/>
        </w:rPr>
        <w:t>include elements of both.</w:t>
      </w:r>
      <w:r w:rsidR="000E0A99" w:rsidRPr="00133C85">
        <w:rPr>
          <w:rFonts w:asciiTheme="majorBidi" w:hAnsiTheme="majorBidi" w:cstheme="majorBidi"/>
          <w:sz w:val="24"/>
          <w:szCs w:val="24"/>
        </w:rPr>
        <w:t xml:space="preserve"> This ‘case’ concerns a complaint submitted to </w:t>
      </w:r>
      <w:proofErr w:type="gramStart"/>
      <w:r w:rsidR="000E0A99" w:rsidRPr="00133C85">
        <w:rPr>
          <w:rFonts w:asciiTheme="majorBidi" w:hAnsiTheme="majorBidi" w:cstheme="majorBidi"/>
          <w:sz w:val="24"/>
          <w:szCs w:val="24"/>
        </w:rPr>
        <w:t>a number of</w:t>
      </w:r>
      <w:proofErr w:type="gramEnd"/>
      <w:r w:rsidR="000E0A99" w:rsidRPr="00133C85">
        <w:rPr>
          <w:rFonts w:asciiTheme="majorBidi" w:hAnsiTheme="majorBidi" w:cstheme="majorBidi"/>
          <w:sz w:val="24"/>
          <w:szCs w:val="24"/>
        </w:rPr>
        <w:t xml:space="preserve"> UN special rapporteurs</w:t>
      </w:r>
      <w:r w:rsidR="007960A1" w:rsidRPr="00133C85">
        <w:rPr>
          <w:rFonts w:asciiTheme="majorBidi" w:hAnsiTheme="majorBidi" w:cstheme="majorBidi"/>
          <w:sz w:val="24"/>
          <w:szCs w:val="24"/>
        </w:rPr>
        <w:t xml:space="preserve"> on the ‘rights of indigenous peoples in addressing climate-forced displacement’.</w:t>
      </w:r>
      <w:r w:rsidR="007960A1" w:rsidRPr="00133C85">
        <w:rPr>
          <w:rStyle w:val="FootnoteReference"/>
          <w:rFonts w:asciiTheme="majorBidi" w:hAnsiTheme="majorBidi" w:cstheme="majorBidi"/>
          <w:sz w:val="24"/>
          <w:szCs w:val="24"/>
        </w:rPr>
        <w:footnoteReference w:id="90"/>
      </w:r>
      <w:r w:rsidR="007960A1" w:rsidRPr="00133C85">
        <w:rPr>
          <w:rFonts w:asciiTheme="majorBidi" w:hAnsiTheme="majorBidi" w:cstheme="majorBidi"/>
          <w:sz w:val="24"/>
          <w:szCs w:val="24"/>
        </w:rPr>
        <w:t xml:space="preserve"> The complainants are five indigenous tribes located in the US States of Louisiana and Alaska.</w:t>
      </w:r>
      <w:r w:rsidR="006C6300" w:rsidRPr="00133C85">
        <w:rPr>
          <w:rFonts w:asciiTheme="majorBidi" w:hAnsiTheme="majorBidi" w:cstheme="majorBidi"/>
          <w:sz w:val="24"/>
          <w:szCs w:val="24"/>
        </w:rPr>
        <w:t xml:space="preserve"> </w:t>
      </w:r>
      <w:r w:rsidR="006624A1">
        <w:rPr>
          <w:rFonts w:asciiTheme="majorBidi" w:hAnsiTheme="majorBidi" w:cstheme="majorBidi"/>
          <w:sz w:val="24"/>
          <w:szCs w:val="24"/>
        </w:rPr>
        <w:t>They</w:t>
      </w:r>
      <w:r w:rsidR="006C6300" w:rsidRPr="00133C85">
        <w:rPr>
          <w:rFonts w:asciiTheme="majorBidi" w:hAnsiTheme="majorBidi" w:cstheme="majorBidi"/>
          <w:sz w:val="24"/>
          <w:szCs w:val="24"/>
        </w:rPr>
        <w:t xml:space="preserve"> are accusing the USA </w:t>
      </w:r>
      <w:r w:rsidR="00F65353" w:rsidRPr="00133C85">
        <w:rPr>
          <w:rFonts w:asciiTheme="majorBidi" w:hAnsiTheme="majorBidi" w:cstheme="majorBidi"/>
          <w:sz w:val="24"/>
          <w:szCs w:val="24"/>
        </w:rPr>
        <w:t xml:space="preserve">of breaching a long list of rights, including international human rights, self-determination, and more. </w:t>
      </w:r>
      <w:r w:rsidR="006624A1">
        <w:rPr>
          <w:rFonts w:asciiTheme="majorBidi" w:hAnsiTheme="majorBidi" w:cstheme="majorBidi"/>
          <w:sz w:val="24"/>
          <w:szCs w:val="24"/>
        </w:rPr>
        <w:t xml:space="preserve">As </w:t>
      </w:r>
      <w:r w:rsidR="00201EF8" w:rsidRPr="00133C85">
        <w:rPr>
          <w:rFonts w:asciiTheme="majorBidi" w:hAnsiTheme="majorBidi" w:cstheme="majorBidi"/>
          <w:sz w:val="24"/>
          <w:szCs w:val="24"/>
        </w:rPr>
        <w:t xml:space="preserve">with </w:t>
      </w:r>
      <w:r w:rsidR="00F65353" w:rsidRPr="00133C85">
        <w:rPr>
          <w:rFonts w:asciiTheme="majorBidi" w:hAnsiTheme="majorBidi" w:cstheme="majorBidi"/>
          <w:sz w:val="24"/>
          <w:szCs w:val="24"/>
        </w:rPr>
        <w:t xml:space="preserve">the </w:t>
      </w:r>
      <w:r w:rsidR="00F65353" w:rsidRPr="00133C85">
        <w:rPr>
          <w:rFonts w:asciiTheme="majorBidi" w:hAnsiTheme="majorBidi" w:cstheme="majorBidi"/>
          <w:i/>
          <w:iCs/>
          <w:sz w:val="24"/>
          <w:szCs w:val="24"/>
        </w:rPr>
        <w:t xml:space="preserve">Daniel Billy </w:t>
      </w:r>
      <w:r w:rsidR="00F65353" w:rsidRPr="00133C85">
        <w:rPr>
          <w:rFonts w:asciiTheme="majorBidi" w:hAnsiTheme="majorBidi" w:cstheme="majorBidi"/>
          <w:sz w:val="24"/>
          <w:szCs w:val="24"/>
        </w:rPr>
        <w:t xml:space="preserve">case, here the complainants </w:t>
      </w:r>
      <w:r w:rsidR="006624A1">
        <w:rPr>
          <w:rFonts w:asciiTheme="majorBidi" w:hAnsiTheme="majorBidi" w:cstheme="majorBidi"/>
          <w:sz w:val="24"/>
          <w:szCs w:val="24"/>
        </w:rPr>
        <w:t>stress</w:t>
      </w:r>
      <w:r w:rsidR="00F65353" w:rsidRPr="00133C85">
        <w:rPr>
          <w:rFonts w:asciiTheme="majorBidi" w:hAnsiTheme="majorBidi" w:cstheme="majorBidi"/>
          <w:sz w:val="24"/>
          <w:szCs w:val="24"/>
        </w:rPr>
        <w:t xml:space="preserve"> the special link between their lands and their</w:t>
      </w:r>
      <w:r w:rsidR="006624A1">
        <w:rPr>
          <w:rFonts w:asciiTheme="majorBidi" w:hAnsiTheme="majorBidi" w:cstheme="majorBidi"/>
          <w:sz w:val="24"/>
          <w:szCs w:val="24"/>
        </w:rPr>
        <w:t xml:space="preserve"> </w:t>
      </w:r>
      <w:r w:rsidR="00F65353" w:rsidRPr="00133C85">
        <w:rPr>
          <w:rFonts w:asciiTheme="majorBidi" w:hAnsiTheme="majorBidi" w:cstheme="majorBidi"/>
          <w:sz w:val="24"/>
          <w:szCs w:val="24"/>
        </w:rPr>
        <w:t xml:space="preserve">traditional ways of life and culture. The adverse impacts on their environments, they claim, will therefore affect the survival of their culture and tradition. They demand </w:t>
      </w:r>
      <w:r w:rsidR="00F65353" w:rsidRPr="00133C85">
        <w:rPr>
          <w:rFonts w:asciiTheme="majorBidi" w:hAnsiTheme="majorBidi" w:cstheme="majorBidi"/>
          <w:i/>
          <w:iCs/>
          <w:sz w:val="24"/>
          <w:szCs w:val="24"/>
        </w:rPr>
        <w:t xml:space="preserve">inter alia </w:t>
      </w:r>
      <w:r w:rsidR="00F65353" w:rsidRPr="00133C85">
        <w:rPr>
          <w:rFonts w:asciiTheme="majorBidi" w:hAnsiTheme="majorBidi" w:cstheme="majorBidi"/>
          <w:sz w:val="24"/>
          <w:szCs w:val="24"/>
        </w:rPr>
        <w:t xml:space="preserve">funding for adaptation, and in some cases (the Alaska Native Village of Kivalina and Isle de Jean Charles Indian Tribe), </w:t>
      </w:r>
      <w:r w:rsidR="00201EF8" w:rsidRPr="00133C85">
        <w:rPr>
          <w:rFonts w:asciiTheme="majorBidi" w:hAnsiTheme="majorBidi" w:cstheme="majorBidi"/>
          <w:sz w:val="24"/>
          <w:szCs w:val="24"/>
        </w:rPr>
        <w:t xml:space="preserve">also support </w:t>
      </w:r>
      <w:r w:rsidR="00F65353" w:rsidRPr="00133C85">
        <w:rPr>
          <w:rFonts w:asciiTheme="majorBidi" w:hAnsiTheme="majorBidi" w:cstheme="majorBidi"/>
          <w:sz w:val="24"/>
          <w:szCs w:val="24"/>
        </w:rPr>
        <w:t xml:space="preserve">for tribal-led relocation. </w:t>
      </w:r>
    </w:p>
    <w:p w14:paraId="760A344D" w14:textId="79F3DE3C" w:rsidR="00B825BA" w:rsidRPr="00133C85" w:rsidRDefault="00F65353"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Th</w:t>
      </w:r>
      <w:r w:rsidR="003A3F19" w:rsidRPr="00133C85">
        <w:rPr>
          <w:rFonts w:asciiTheme="majorBidi" w:hAnsiTheme="majorBidi" w:cstheme="majorBidi"/>
          <w:sz w:val="24"/>
          <w:szCs w:val="24"/>
        </w:rPr>
        <w:t>is</w:t>
      </w:r>
      <w:r w:rsidRPr="00133C85">
        <w:rPr>
          <w:rFonts w:asciiTheme="majorBidi" w:hAnsiTheme="majorBidi" w:cstheme="majorBidi"/>
          <w:sz w:val="24"/>
          <w:szCs w:val="24"/>
        </w:rPr>
        <w:t xml:space="preserve"> complaint indeed prompted the said Rapporteurs to write </w:t>
      </w:r>
      <w:r w:rsidR="002C6BBF">
        <w:rPr>
          <w:rFonts w:asciiTheme="majorBidi" w:hAnsiTheme="majorBidi" w:cstheme="majorBidi"/>
          <w:sz w:val="24"/>
          <w:szCs w:val="24"/>
        </w:rPr>
        <w:t xml:space="preserve">to </w:t>
      </w:r>
      <w:r w:rsidRPr="00133C85">
        <w:rPr>
          <w:rFonts w:asciiTheme="majorBidi" w:hAnsiTheme="majorBidi" w:cstheme="majorBidi"/>
          <w:sz w:val="24"/>
          <w:szCs w:val="24"/>
        </w:rPr>
        <w:t>the US government, broadly mirroring the complainants demands.</w:t>
      </w:r>
      <w:r w:rsidR="00B825BA" w:rsidRPr="00133C85">
        <w:rPr>
          <w:rStyle w:val="FootnoteReference"/>
          <w:rFonts w:asciiTheme="majorBidi" w:hAnsiTheme="majorBidi" w:cstheme="majorBidi"/>
          <w:sz w:val="24"/>
          <w:szCs w:val="24"/>
        </w:rPr>
        <w:footnoteReference w:id="91"/>
      </w:r>
      <w:r w:rsidRPr="00133C85">
        <w:rPr>
          <w:rFonts w:asciiTheme="majorBidi" w:hAnsiTheme="majorBidi" w:cstheme="majorBidi"/>
          <w:sz w:val="24"/>
          <w:szCs w:val="24"/>
        </w:rPr>
        <w:t xml:space="preserve"> </w:t>
      </w:r>
      <w:r w:rsidR="00B825BA" w:rsidRPr="00133C85">
        <w:rPr>
          <w:rFonts w:asciiTheme="majorBidi" w:hAnsiTheme="majorBidi" w:cstheme="majorBidi"/>
          <w:sz w:val="24"/>
          <w:szCs w:val="24"/>
        </w:rPr>
        <w:t xml:space="preserve">While </w:t>
      </w:r>
      <w:r w:rsidR="002C6BBF">
        <w:rPr>
          <w:rFonts w:asciiTheme="majorBidi" w:hAnsiTheme="majorBidi" w:cstheme="majorBidi"/>
          <w:sz w:val="24"/>
          <w:szCs w:val="24"/>
        </w:rPr>
        <w:t>we</w:t>
      </w:r>
      <w:r w:rsidR="00B825BA" w:rsidRPr="00133C85">
        <w:rPr>
          <w:rFonts w:asciiTheme="majorBidi" w:hAnsiTheme="majorBidi" w:cstheme="majorBidi"/>
          <w:sz w:val="24"/>
          <w:szCs w:val="24"/>
        </w:rPr>
        <w:t xml:space="preserve"> are not aware of any official reaction to the Rapporteurs’ letter, it </w:t>
      </w:r>
      <w:r w:rsidR="00B825BA" w:rsidRPr="00133C85">
        <w:rPr>
          <w:rFonts w:asciiTheme="majorBidi" w:hAnsiTheme="majorBidi" w:cstheme="majorBidi"/>
          <w:i/>
          <w:iCs/>
          <w:sz w:val="24"/>
          <w:szCs w:val="24"/>
        </w:rPr>
        <w:t xml:space="preserve">could be </w:t>
      </w:r>
      <w:r w:rsidR="00B825BA" w:rsidRPr="00133C85">
        <w:rPr>
          <w:rFonts w:asciiTheme="majorBidi" w:hAnsiTheme="majorBidi" w:cstheme="majorBidi"/>
          <w:sz w:val="24"/>
          <w:szCs w:val="24"/>
        </w:rPr>
        <w:t xml:space="preserve">that it </w:t>
      </w:r>
      <w:r w:rsidR="002C6BBF">
        <w:rPr>
          <w:rFonts w:asciiTheme="majorBidi" w:hAnsiTheme="majorBidi" w:cstheme="majorBidi"/>
          <w:sz w:val="24"/>
          <w:szCs w:val="24"/>
        </w:rPr>
        <w:t xml:space="preserve">has </w:t>
      </w:r>
      <w:r w:rsidR="00B825BA" w:rsidRPr="00133C85">
        <w:rPr>
          <w:rFonts w:asciiTheme="majorBidi" w:hAnsiTheme="majorBidi" w:cstheme="majorBidi"/>
          <w:sz w:val="24"/>
          <w:szCs w:val="24"/>
        </w:rPr>
        <w:t>had some impact</w:t>
      </w:r>
      <w:r w:rsidR="001B0658" w:rsidRPr="00133C85">
        <w:rPr>
          <w:rFonts w:asciiTheme="majorBidi" w:hAnsiTheme="majorBidi" w:cstheme="majorBidi"/>
          <w:sz w:val="24"/>
          <w:szCs w:val="24"/>
        </w:rPr>
        <w:t xml:space="preserve">: A year later (October 2021), the </w:t>
      </w:r>
      <w:r w:rsidR="001B0658" w:rsidRPr="00133C85">
        <w:rPr>
          <w:rFonts w:asciiTheme="majorBidi" w:hAnsiTheme="majorBidi" w:cstheme="majorBidi"/>
          <w:sz w:val="24"/>
          <w:szCs w:val="24"/>
        </w:rPr>
        <w:lastRenderedPageBreak/>
        <w:t>White House</w:t>
      </w:r>
      <w:r w:rsidR="002C6BBF">
        <w:rPr>
          <w:rFonts w:asciiTheme="majorBidi" w:hAnsiTheme="majorBidi" w:cstheme="majorBidi"/>
          <w:sz w:val="24"/>
          <w:szCs w:val="24"/>
        </w:rPr>
        <w:t xml:space="preserve"> </w:t>
      </w:r>
      <w:r w:rsidR="001B0658" w:rsidRPr="00133C85">
        <w:rPr>
          <w:rFonts w:asciiTheme="majorBidi" w:hAnsiTheme="majorBidi" w:cstheme="majorBidi"/>
          <w:sz w:val="24"/>
          <w:szCs w:val="24"/>
        </w:rPr>
        <w:t>issued a report on climate migration</w:t>
      </w:r>
      <w:r w:rsidR="001B0658" w:rsidRPr="00133C85">
        <w:rPr>
          <w:rStyle w:val="FootnoteReference"/>
          <w:rFonts w:asciiTheme="majorBidi" w:hAnsiTheme="majorBidi" w:cstheme="majorBidi"/>
          <w:sz w:val="24"/>
          <w:szCs w:val="24"/>
        </w:rPr>
        <w:footnoteReference w:id="92"/>
      </w:r>
      <w:r w:rsidR="00B825BA" w:rsidRPr="00133C85">
        <w:rPr>
          <w:rFonts w:asciiTheme="majorBidi" w:hAnsiTheme="majorBidi" w:cstheme="majorBidi"/>
          <w:sz w:val="24"/>
          <w:szCs w:val="24"/>
        </w:rPr>
        <w:t xml:space="preserve"> </w:t>
      </w:r>
      <w:r w:rsidR="001B0658" w:rsidRPr="00133C85">
        <w:rPr>
          <w:rFonts w:asciiTheme="majorBidi" w:hAnsiTheme="majorBidi" w:cstheme="majorBidi"/>
          <w:sz w:val="24"/>
          <w:szCs w:val="24"/>
        </w:rPr>
        <w:t xml:space="preserve">and </w:t>
      </w:r>
      <w:r w:rsidR="002C6BBF">
        <w:rPr>
          <w:rFonts w:asciiTheme="majorBidi" w:hAnsiTheme="majorBidi" w:cstheme="majorBidi"/>
          <w:sz w:val="24"/>
          <w:szCs w:val="24"/>
        </w:rPr>
        <w:t>in</w:t>
      </w:r>
      <w:r w:rsidR="00B825BA" w:rsidRPr="00133C85">
        <w:rPr>
          <w:rFonts w:asciiTheme="majorBidi" w:hAnsiTheme="majorBidi" w:cstheme="majorBidi"/>
          <w:sz w:val="24"/>
          <w:szCs w:val="24"/>
        </w:rPr>
        <w:t xml:space="preserve"> November 2022 a substantial investment in climate affected communities</w:t>
      </w:r>
      <w:r w:rsidR="001B0658" w:rsidRPr="00133C85">
        <w:rPr>
          <w:rFonts w:asciiTheme="majorBidi" w:hAnsiTheme="majorBidi" w:cstheme="majorBidi"/>
          <w:sz w:val="24"/>
          <w:szCs w:val="24"/>
        </w:rPr>
        <w:t xml:space="preserve"> was announced</w:t>
      </w:r>
      <w:r w:rsidR="00B825BA" w:rsidRPr="00133C85">
        <w:rPr>
          <w:rFonts w:asciiTheme="majorBidi" w:hAnsiTheme="majorBidi" w:cstheme="majorBidi"/>
          <w:sz w:val="24"/>
          <w:szCs w:val="24"/>
        </w:rPr>
        <w:t>. In a speech delivered by President Biden, he commented:</w:t>
      </w:r>
      <w:r w:rsidR="00B825BA" w:rsidRPr="00133C85">
        <w:rPr>
          <w:rStyle w:val="FootnoteReference"/>
          <w:rFonts w:asciiTheme="majorBidi" w:hAnsiTheme="majorBidi" w:cstheme="majorBidi"/>
          <w:sz w:val="24"/>
          <w:szCs w:val="24"/>
        </w:rPr>
        <w:footnoteReference w:id="93"/>
      </w:r>
    </w:p>
    <w:p w14:paraId="05A0CEE2" w14:textId="76655222" w:rsidR="00473C62" w:rsidRPr="00133C85" w:rsidRDefault="00B825BA" w:rsidP="00BB0FD7">
      <w:pPr>
        <w:spacing w:line="360" w:lineRule="auto"/>
        <w:ind w:left="720"/>
        <w:jc w:val="both"/>
        <w:rPr>
          <w:rFonts w:asciiTheme="majorBidi" w:hAnsiTheme="majorBidi" w:cstheme="majorBidi"/>
          <w:sz w:val="24"/>
          <w:szCs w:val="24"/>
        </w:rPr>
      </w:pPr>
      <w:r w:rsidRPr="00133C85">
        <w:rPr>
          <w:rFonts w:asciiTheme="majorBidi" w:hAnsiTheme="majorBidi" w:cstheme="majorBidi"/>
          <w:sz w:val="24"/>
          <w:szCs w:val="24"/>
        </w:rPr>
        <w:t xml:space="preserve">‘I’ve flown over literally several thousand acres of the storms and the fires set in the West in particular </w:t>
      </w:r>
      <w:proofErr w:type="gramStart"/>
      <w:r w:rsidRPr="00133C85">
        <w:rPr>
          <w:rFonts w:asciiTheme="majorBidi" w:hAnsiTheme="majorBidi" w:cstheme="majorBidi"/>
          <w:sz w:val="24"/>
          <w:szCs w:val="24"/>
        </w:rPr>
        <w:t>and also</w:t>
      </w:r>
      <w:proofErr w:type="gramEnd"/>
      <w:r w:rsidRPr="00133C85">
        <w:rPr>
          <w:rFonts w:asciiTheme="majorBidi" w:hAnsiTheme="majorBidi" w:cstheme="majorBidi"/>
          <w:sz w:val="24"/>
          <w:szCs w:val="24"/>
        </w:rPr>
        <w:t xml:space="preserve"> down in the Southwest. And it’s devastating. That’s why today I’m announced a $135 million commitment to help 11 Tribal communities from Maine, Louisiana, Arizona, Washington State, and Alaska to move, in some cases, their entire communities back to safer ground and pay for that.’ </w:t>
      </w:r>
    </w:p>
    <w:p w14:paraId="733B166E" w14:textId="4EA58D10" w:rsidR="00473C62" w:rsidRPr="00133C85" w:rsidRDefault="00C141BD" w:rsidP="00E8103C">
      <w:pPr>
        <w:pStyle w:val="Heading2"/>
        <w:numPr>
          <w:ilvl w:val="0"/>
          <w:numId w:val="2"/>
        </w:numPr>
        <w:spacing w:line="360" w:lineRule="auto"/>
        <w:jc w:val="both"/>
        <w:rPr>
          <w:rFonts w:asciiTheme="majorBidi" w:hAnsiTheme="majorBidi"/>
          <w:sz w:val="24"/>
          <w:szCs w:val="24"/>
        </w:rPr>
      </w:pPr>
      <w:r w:rsidRPr="00133C85">
        <w:rPr>
          <w:rFonts w:asciiTheme="majorBidi" w:hAnsiTheme="majorBidi"/>
          <w:sz w:val="24"/>
          <w:szCs w:val="24"/>
        </w:rPr>
        <w:t xml:space="preserve">Concluding comments: </w:t>
      </w:r>
      <w:r w:rsidR="002C6BBF">
        <w:rPr>
          <w:rFonts w:asciiTheme="majorBidi" w:hAnsiTheme="majorBidi"/>
          <w:sz w:val="24"/>
          <w:szCs w:val="24"/>
        </w:rPr>
        <w:t xml:space="preserve">Has </w:t>
      </w:r>
      <w:r w:rsidRPr="00133C85">
        <w:rPr>
          <w:rFonts w:asciiTheme="majorBidi" w:hAnsiTheme="majorBidi"/>
          <w:sz w:val="24"/>
          <w:szCs w:val="24"/>
        </w:rPr>
        <w:t xml:space="preserve">climate litigation helped to re-shape the global governance of climate migration? </w:t>
      </w:r>
    </w:p>
    <w:p w14:paraId="091881E8" w14:textId="68598D3D" w:rsidR="004C6F60" w:rsidRPr="00133C85" w:rsidRDefault="004C6F60"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We would like to conclude by answering the question that we opened with: </w:t>
      </w:r>
      <w:r w:rsidR="00E830D3">
        <w:rPr>
          <w:rFonts w:asciiTheme="majorBidi" w:hAnsiTheme="majorBidi" w:cstheme="majorBidi"/>
          <w:sz w:val="24"/>
          <w:szCs w:val="24"/>
        </w:rPr>
        <w:t xml:space="preserve">has </w:t>
      </w:r>
      <w:r w:rsidRPr="00133C85">
        <w:rPr>
          <w:rFonts w:asciiTheme="majorBidi" w:hAnsiTheme="majorBidi" w:cstheme="majorBidi"/>
          <w:sz w:val="24"/>
          <w:szCs w:val="24"/>
        </w:rPr>
        <w:t>the wave of climate litigation affect</w:t>
      </w:r>
      <w:r w:rsidR="00E830D3">
        <w:rPr>
          <w:rFonts w:asciiTheme="majorBidi" w:hAnsiTheme="majorBidi" w:cstheme="majorBidi"/>
          <w:sz w:val="24"/>
          <w:szCs w:val="24"/>
        </w:rPr>
        <w:t>ed</w:t>
      </w:r>
      <w:r w:rsidRPr="00133C85">
        <w:rPr>
          <w:rFonts w:asciiTheme="majorBidi" w:hAnsiTheme="majorBidi" w:cstheme="majorBidi"/>
          <w:sz w:val="24"/>
          <w:szCs w:val="24"/>
        </w:rPr>
        <w:t xml:space="preserve"> the legal landscape </w:t>
      </w:r>
      <w:r w:rsidR="00E830D3">
        <w:rPr>
          <w:rFonts w:asciiTheme="majorBidi" w:hAnsiTheme="majorBidi" w:cstheme="majorBidi"/>
          <w:sz w:val="24"/>
          <w:szCs w:val="24"/>
        </w:rPr>
        <w:t>on</w:t>
      </w:r>
      <w:r w:rsidR="00E830D3" w:rsidRPr="00133C85">
        <w:rPr>
          <w:rFonts w:asciiTheme="majorBidi" w:hAnsiTheme="majorBidi" w:cstheme="majorBidi"/>
          <w:sz w:val="24"/>
          <w:szCs w:val="24"/>
        </w:rPr>
        <w:t xml:space="preserve"> </w:t>
      </w:r>
      <w:r w:rsidRPr="00133C85">
        <w:rPr>
          <w:rFonts w:asciiTheme="majorBidi" w:hAnsiTheme="majorBidi" w:cstheme="majorBidi"/>
          <w:sz w:val="24"/>
          <w:szCs w:val="24"/>
        </w:rPr>
        <w:t>climate migration? The answer to this question is</w:t>
      </w:r>
      <w:r w:rsidR="00E830D3">
        <w:rPr>
          <w:rFonts w:asciiTheme="majorBidi" w:hAnsiTheme="majorBidi" w:cstheme="majorBidi"/>
          <w:sz w:val="24"/>
          <w:szCs w:val="24"/>
        </w:rPr>
        <w:t xml:space="preserve">: </w:t>
      </w:r>
      <w:r w:rsidRPr="00133C85">
        <w:rPr>
          <w:rFonts w:asciiTheme="majorBidi" w:hAnsiTheme="majorBidi" w:cstheme="majorBidi"/>
          <w:sz w:val="24"/>
          <w:szCs w:val="24"/>
        </w:rPr>
        <w:t xml:space="preserve">to a certain extent, it did. </w:t>
      </w:r>
    </w:p>
    <w:p w14:paraId="761F7694" w14:textId="08EE6C4F" w:rsidR="00E34624" w:rsidRPr="00133C85" w:rsidRDefault="004C6F60"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Importantly, the cases </w:t>
      </w:r>
      <w:r w:rsidR="007124CC">
        <w:rPr>
          <w:rFonts w:asciiTheme="majorBidi" w:hAnsiTheme="majorBidi" w:cstheme="majorBidi"/>
          <w:sz w:val="24"/>
          <w:szCs w:val="24"/>
        </w:rPr>
        <w:t>we have discussed</w:t>
      </w:r>
      <w:r w:rsidRPr="00133C85">
        <w:rPr>
          <w:rFonts w:asciiTheme="majorBidi" w:hAnsiTheme="majorBidi" w:cstheme="majorBidi"/>
          <w:sz w:val="24"/>
          <w:szCs w:val="24"/>
        </w:rPr>
        <w:t xml:space="preserve"> </w:t>
      </w:r>
      <w:r w:rsidR="003A3F19" w:rsidRPr="00133C85">
        <w:rPr>
          <w:rFonts w:asciiTheme="majorBidi" w:hAnsiTheme="majorBidi" w:cstheme="majorBidi"/>
          <w:sz w:val="24"/>
          <w:szCs w:val="24"/>
        </w:rPr>
        <w:t xml:space="preserve">have </w:t>
      </w:r>
      <w:r w:rsidRPr="00133C85">
        <w:rPr>
          <w:rFonts w:asciiTheme="majorBidi" w:hAnsiTheme="majorBidi" w:cstheme="majorBidi"/>
          <w:sz w:val="24"/>
          <w:szCs w:val="24"/>
        </w:rPr>
        <w:t xml:space="preserve">provided </w:t>
      </w:r>
      <w:r w:rsidR="007124CC">
        <w:rPr>
          <w:rFonts w:asciiTheme="majorBidi" w:hAnsiTheme="majorBidi" w:cstheme="majorBidi"/>
          <w:sz w:val="24"/>
          <w:szCs w:val="24"/>
        </w:rPr>
        <w:t>some</w:t>
      </w:r>
      <w:r w:rsidRPr="00133C85">
        <w:rPr>
          <w:rFonts w:asciiTheme="majorBidi" w:hAnsiTheme="majorBidi" w:cstheme="majorBidi"/>
          <w:sz w:val="24"/>
          <w:szCs w:val="24"/>
        </w:rPr>
        <w:t xml:space="preserve"> clarifications </w:t>
      </w:r>
      <w:r w:rsidR="007124CC">
        <w:rPr>
          <w:rFonts w:asciiTheme="majorBidi" w:hAnsiTheme="majorBidi" w:cstheme="majorBidi"/>
          <w:sz w:val="24"/>
          <w:szCs w:val="24"/>
        </w:rPr>
        <w:t>on</w:t>
      </w:r>
      <w:r w:rsidRPr="00133C85">
        <w:rPr>
          <w:rFonts w:asciiTheme="majorBidi" w:hAnsiTheme="majorBidi" w:cstheme="majorBidi"/>
          <w:sz w:val="24"/>
          <w:szCs w:val="24"/>
        </w:rPr>
        <w:t xml:space="preserve"> the application and</w:t>
      </w:r>
      <w:r w:rsidR="007124CC">
        <w:rPr>
          <w:rFonts w:asciiTheme="majorBidi" w:hAnsiTheme="majorBidi" w:cstheme="majorBidi"/>
          <w:sz w:val="24"/>
          <w:szCs w:val="24"/>
        </w:rPr>
        <w:t>, therefore,</w:t>
      </w:r>
      <w:r w:rsidRPr="00133C85">
        <w:rPr>
          <w:rFonts w:asciiTheme="majorBidi" w:hAnsiTheme="majorBidi" w:cstheme="majorBidi"/>
          <w:sz w:val="24"/>
          <w:szCs w:val="24"/>
        </w:rPr>
        <w:t xml:space="preserve"> </w:t>
      </w:r>
      <w:r w:rsidR="00E34624" w:rsidRPr="00133C85">
        <w:rPr>
          <w:rFonts w:asciiTheme="majorBidi" w:hAnsiTheme="majorBidi" w:cstheme="majorBidi"/>
          <w:sz w:val="24"/>
          <w:szCs w:val="24"/>
        </w:rPr>
        <w:t xml:space="preserve">the </w:t>
      </w:r>
      <w:r w:rsidRPr="00133C85">
        <w:rPr>
          <w:rFonts w:asciiTheme="majorBidi" w:hAnsiTheme="majorBidi" w:cstheme="majorBidi"/>
          <w:sz w:val="24"/>
          <w:szCs w:val="24"/>
        </w:rPr>
        <w:t xml:space="preserve">usefulness of international human rights law. It seems </w:t>
      </w:r>
      <w:r w:rsidR="00E34624" w:rsidRPr="00133C85">
        <w:rPr>
          <w:rFonts w:asciiTheme="majorBidi" w:hAnsiTheme="majorBidi" w:cstheme="majorBidi"/>
          <w:sz w:val="24"/>
          <w:szCs w:val="24"/>
        </w:rPr>
        <w:t>un</w:t>
      </w:r>
      <w:r w:rsidRPr="00133C85">
        <w:rPr>
          <w:rFonts w:asciiTheme="majorBidi" w:hAnsiTheme="majorBidi" w:cstheme="majorBidi"/>
          <w:sz w:val="24"/>
          <w:szCs w:val="24"/>
        </w:rPr>
        <w:t xml:space="preserve">likely that rights such as the right to life will </w:t>
      </w:r>
      <w:r w:rsidR="00E34624" w:rsidRPr="00133C85">
        <w:rPr>
          <w:rFonts w:asciiTheme="majorBidi" w:hAnsiTheme="majorBidi" w:cstheme="majorBidi"/>
          <w:sz w:val="24"/>
          <w:szCs w:val="24"/>
        </w:rPr>
        <w:t>be successfully invoked</w:t>
      </w:r>
      <w:r w:rsidRPr="00133C85">
        <w:rPr>
          <w:rFonts w:asciiTheme="majorBidi" w:hAnsiTheme="majorBidi" w:cstheme="majorBidi"/>
          <w:sz w:val="24"/>
          <w:szCs w:val="24"/>
        </w:rPr>
        <w:t xml:space="preserve"> in this context</w:t>
      </w:r>
      <w:r w:rsidR="00E34624" w:rsidRPr="00133C85">
        <w:rPr>
          <w:rFonts w:asciiTheme="majorBidi" w:hAnsiTheme="majorBidi" w:cstheme="majorBidi"/>
          <w:sz w:val="24"/>
          <w:szCs w:val="24"/>
        </w:rPr>
        <w:t>; the bar is simply set too high</w:t>
      </w:r>
      <w:r w:rsidR="00141991">
        <w:rPr>
          <w:rFonts w:asciiTheme="majorBidi" w:hAnsiTheme="majorBidi" w:cstheme="majorBidi"/>
          <w:sz w:val="24"/>
          <w:szCs w:val="24"/>
        </w:rPr>
        <w:t xml:space="preserve"> at present</w:t>
      </w:r>
      <w:r w:rsidR="00E34624" w:rsidRPr="00133C85">
        <w:rPr>
          <w:rFonts w:asciiTheme="majorBidi" w:hAnsiTheme="majorBidi" w:cstheme="majorBidi"/>
          <w:sz w:val="24"/>
          <w:szCs w:val="24"/>
        </w:rPr>
        <w:t xml:space="preserve"> to allow for successful claims. Claims based on o</w:t>
      </w:r>
      <w:r w:rsidRPr="00133C85">
        <w:rPr>
          <w:rFonts w:asciiTheme="majorBidi" w:hAnsiTheme="majorBidi" w:cstheme="majorBidi"/>
          <w:sz w:val="24"/>
          <w:szCs w:val="24"/>
        </w:rPr>
        <w:t xml:space="preserve">ther rights, notably rights to culture, privacy, </w:t>
      </w:r>
      <w:proofErr w:type="gramStart"/>
      <w:r w:rsidRPr="00133C85">
        <w:rPr>
          <w:rFonts w:asciiTheme="majorBidi" w:hAnsiTheme="majorBidi" w:cstheme="majorBidi"/>
          <w:sz w:val="24"/>
          <w:szCs w:val="24"/>
        </w:rPr>
        <w:t>family</w:t>
      </w:r>
      <w:proofErr w:type="gramEnd"/>
      <w:r w:rsidRPr="00133C85">
        <w:rPr>
          <w:rFonts w:asciiTheme="majorBidi" w:hAnsiTheme="majorBidi" w:cstheme="majorBidi"/>
          <w:sz w:val="24"/>
          <w:szCs w:val="24"/>
        </w:rPr>
        <w:t xml:space="preserve"> and home, </w:t>
      </w:r>
      <w:r w:rsidR="00141991">
        <w:rPr>
          <w:rFonts w:asciiTheme="majorBidi" w:hAnsiTheme="majorBidi" w:cstheme="majorBidi"/>
          <w:sz w:val="24"/>
          <w:szCs w:val="24"/>
        </w:rPr>
        <w:t>seem</w:t>
      </w:r>
      <w:r w:rsidR="00141991" w:rsidRPr="00133C85">
        <w:rPr>
          <w:rFonts w:asciiTheme="majorBidi" w:hAnsiTheme="majorBidi" w:cstheme="majorBidi"/>
          <w:sz w:val="24"/>
          <w:szCs w:val="24"/>
        </w:rPr>
        <w:t xml:space="preserve"> </w:t>
      </w:r>
      <w:r w:rsidR="00E34624" w:rsidRPr="00133C85">
        <w:rPr>
          <w:rFonts w:asciiTheme="majorBidi" w:hAnsiTheme="majorBidi" w:cstheme="majorBidi"/>
          <w:sz w:val="24"/>
          <w:szCs w:val="24"/>
        </w:rPr>
        <w:t>mo</w:t>
      </w:r>
      <w:r w:rsidRPr="00133C85">
        <w:rPr>
          <w:rFonts w:asciiTheme="majorBidi" w:hAnsiTheme="majorBidi" w:cstheme="majorBidi"/>
          <w:sz w:val="24"/>
          <w:szCs w:val="24"/>
        </w:rPr>
        <w:t xml:space="preserve">re </w:t>
      </w:r>
      <w:r w:rsidR="00E34624" w:rsidRPr="00133C85">
        <w:rPr>
          <w:rFonts w:asciiTheme="majorBidi" w:hAnsiTheme="majorBidi" w:cstheme="majorBidi"/>
          <w:sz w:val="24"/>
          <w:szCs w:val="24"/>
        </w:rPr>
        <w:t xml:space="preserve">likely to succeed, especially in the context of indigenous communities whose culture and ways of life are </w:t>
      </w:r>
      <w:r w:rsidR="00141991">
        <w:rPr>
          <w:rFonts w:asciiTheme="majorBidi" w:hAnsiTheme="majorBidi" w:cstheme="majorBidi"/>
          <w:sz w:val="24"/>
          <w:szCs w:val="24"/>
        </w:rPr>
        <w:t>closely</w:t>
      </w:r>
      <w:r w:rsidR="00141991" w:rsidRPr="00133C85">
        <w:rPr>
          <w:rFonts w:asciiTheme="majorBidi" w:hAnsiTheme="majorBidi" w:cstheme="majorBidi"/>
          <w:sz w:val="24"/>
          <w:szCs w:val="24"/>
        </w:rPr>
        <w:t xml:space="preserve"> </w:t>
      </w:r>
      <w:r w:rsidR="00E34624" w:rsidRPr="00133C85">
        <w:rPr>
          <w:rFonts w:asciiTheme="majorBidi" w:hAnsiTheme="majorBidi" w:cstheme="majorBidi"/>
          <w:sz w:val="24"/>
          <w:szCs w:val="24"/>
        </w:rPr>
        <w:t xml:space="preserve">linked </w:t>
      </w:r>
      <w:r w:rsidR="00141991">
        <w:rPr>
          <w:rFonts w:asciiTheme="majorBidi" w:hAnsiTheme="majorBidi" w:cstheme="majorBidi"/>
          <w:sz w:val="24"/>
          <w:szCs w:val="24"/>
        </w:rPr>
        <w:t>to</w:t>
      </w:r>
      <w:r w:rsidR="00141991" w:rsidRPr="00133C85">
        <w:rPr>
          <w:rFonts w:asciiTheme="majorBidi" w:hAnsiTheme="majorBidi" w:cstheme="majorBidi"/>
          <w:sz w:val="24"/>
          <w:szCs w:val="24"/>
        </w:rPr>
        <w:t xml:space="preserve"> </w:t>
      </w:r>
      <w:r w:rsidR="00E34624" w:rsidRPr="00133C85">
        <w:rPr>
          <w:rFonts w:asciiTheme="majorBidi" w:hAnsiTheme="majorBidi" w:cstheme="majorBidi"/>
          <w:sz w:val="24"/>
          <w:szCs w:val="24"/>
        </w:rPr>
        <w:t xml:space="preserve">their lands. </w:t>
      </w:r>
      <w:r w:rsidR="00D54C06" w:rsidRPr="00133C85">
        <w:rPr>
          <w:rFonts w:asciiTheme="majorBidi" w:hAnsiTheme="majorBidi" w:cstheme="majorBidi"/>
          <w:sz w:val="24"/>
          <w:szCs w:val="24"/>
        </w:rPr>
        <w:t xml:space="preserve">These rights are also less dependent on the individualised nature of the harm, and the threshold in this respect is </w:t>
      </w:r>
      <w:r w:rsidR="00F46336" w:rsidRPr="00133C85">
        <w:rPr>
          <w:rFonts w:asciiTheme="majorBidi" w:hAnsiTheme="majorBidi" w:cstheme="majorBidi"/>
          <w:sz w:val="24"/>
          <w:szCs w:val="24"/>
        </w:rPr>
        <w:t>placed</w:t>
      </w:r>
      <w:r w:rsidR="00D54C06" w:rsidRPr="00133C85">
        <w:rPr>
          <w:rFonts w:asciiTheme="majorBidi" w:hAnsiTheme="majorBidi" w:cstheme="majorBidi"/>
          <w:sz w:val="24"/>
          <w:szCs w:val="24"/>
        </w:rPr>
        <w:t xml:space="preserve"> lower. </w:t>
      </w:r>
    </w:p>
    <w:p w14:paraId="4C4C5AA2" w14:textId="1BA19A69" w:rsidR="00662B7F" w:rsidRPr="00133C85" w:rsidRDefault="00FF4CFE" w:rsidP="00BB0FD7">
      <w:pPr>
        <w:spacing w:line="360" w:lineRule="auto"/>
        <w:jc w:val="both"/>
        <w:rPr>
          <w:rFonts w:asciiTheme="majorBidi" w:hAnsiTheme="majorBidi" w:cstheme="majorBidi"/>
          <w:sz w:val="24"/>
          <w:szCs w:val="24"/>
        </w:rPr>
      </w:pPr>
      <w:r>
        <w:rPr>
          <w:rFonts w:asciiTheme="majorBidi" w:hAnsiTheme="majorBidi" w:cstheme="majorBidi"/>
          <w:sz w:val="24"/>
          <w:szCs w:val="24"/>
        </w:rPr>
        <w:t>Some</w:t>
      </w:r>
      <w:r w:rsidR="00E34624" w:rsidRPr="00133C85">
        <w:rPr>
          <w:rFonts w:asciiTheme="majorBidi" w:hAnsiTheme="majorBidi" w:cstheme="majorBidi"/>
          <w:sz w:val="24"/>
          <w:szCs w:val="24"/>
        </w:rPr>
        <w:t xml:space="preserve"> headway </w:t>
      </w:r>
      <w:r>
        <w:rPr>
          <w:rFonts w:asciiTheme="majorBidi" w:hAnsiTheme="majorBidi" w:cstheme="majorBidi"/>
          <w:sz w:val="24"/>
          <w:szCs w:val="24"/>
        </w:rPr>
        <w:t>has been</w:t>
      </w:r>
      <w:r w:rsidR="00E34624" w:rsidRPr="00133C85">
        <w:rPr>
          <w:rFonts w:asciiTheme="majorBidi" w:hAnsiTheme="majorBidi" w:cstheme="majorBidi"/>
          <w:sz w:val="24"/>
          <w:szCs w:val="24"/>
        </w:rPr>
        <w:t xml:space="preserve"> achieved with respect to the ‘internationalisation’ of the responsibility to protect affected communities, where tribunals accepted that states owe </w:t>
      </w:r>
      <w:r>
        <w:rPr>
          <w:rFonts w:asciiTheme="majorBidi" w:hAnsiTheme="majorBidi" w:cstheme="majorBidi"/>
          <w:sz w:val="24"/>
          <w:szCs w:val="24"/>
        </w:rPr>
        <w:t>a duty</w:t>
      </w:r>
      <w:r w:rsidRPr="00133C85">
        <w:rPr>
          <w:rFonts w:asciiTheme="majorBidi" w:hAnsiTheme="majorBidi" w:cstheme="majorBidi"/>
          <w:sz w:val="24"/>
          <w:szCs w:val="24"/>
        </w:rPr>
        <w:t xml:space="preserve"> to </w:t>
      </w:r>
      <w:r w:rsidR="00E34624" w:rsidRPr="00133C85">
        <w:rPr>
          <w:rFonts w:asciiTheme="majorBidi" w:hAnsiTheme="majorBidi" w:cstheme="majorBidi"/>
          <w:sz w:val="24"/>
          <w:szCs w:val="24"/>
        </w:rPr>
        <w:t xml:space="preserve">those who reside in different countries. In the context of climate migration, this point is important: climate migration is happening mostly in the Global South, in states that contributed only very marginally to global emissions. </w:t>
      </w:r>
      <w:r w:rsidR="004847E1" w:rsidRPr="00133C85">
        <w:rPr>
          <w:rFonts w:asciiTheme="majorBidi" w:hAnsiTheme="majorBidi" w:cstheme="majorBidi"/>
          <w:sz w:val="24"/>
          <w:szCs w:val="24"/>
        </w:rPr>
        <w:t xml:space="preserve">Without such a development, large emitters will rarely be held liable </w:t>
      </w:r>
      <w:r w:rsidR="00B41CAB">
        <w:rPr>
          <w:rFonts w:asciiTheme="majorBidi" w:hAnsiTheme="majorBidi" w:cstheme="majorBidi"/>
          <w:sz w:val="24"/>
          <w:szCs w:val="24"/>
        </w:rPr>
        <w:t>for</w:t>
      </w:r>
      <w:r w:rsidR="00B41CAB" w:rsidRPr="00133C85">
        <w:rPr>
          <w:rFonts w:asciiTheme="majorBidi" w:hAnsiTheme="majorBidi" w:cstheme="majorBidi"/>
          <w:sz w:val="24"/>
          <w:szCs w:val="24"/>
        </w:rPr>
        <w:t xml:space="preserve"> </w:t>
      </w:r>
      <w:r w:rsidR="004847E1" w:rsidRPr="00133C85">
        <w:rPr>
          <w:rFonts w:asciiTheme="majorBidi" w:hAnsiTheme="majorBidi" w:cstheme="majorBidi"/>
          <w:sz w:val="24"/>
          <w:szCs w:val="24"/>
        </w:rPr>
        <w:t xml:space="preserve">the damage caused by climate migration. </w:t>
      </w:r>
    </w:p>
    <w:p w14:paraId="0DC0E956" w14:textId="21AD764D" w:rsidR="004C6F60" w:rsidRPr="00133C85" w:rsidRDefault="004C6F60"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lastRenderedPageBreak/>
        <w:t>In terms of the financial gap, here</w:t>
      </w:r>
      <w:r w:rsidR="00B41CAB">
        <w:rPr>
          <w:rFonts w:asciiTheme="majorBidi" w:hAnsiTheme="majorBidi" w:cstheme="majorBidi"/>
          <w:sz w:val="24"/>
          <w:szCs w:val="24"/>
        </w:rPr>
        <w:t xml:space="preserve"> also</w:t>
      </w:r>
      <w:r w:rsidRPr="00133C85">
        <w:rPr>
          <w:rFonts w:asciiTheme="majorBidi" w:hAnsiTheme="majorBidi" w:cstheme="majorBidi"/>
          <w:sz w:val="24"/>
          <w:szCs w:val="24"/>
        </w:rPr>
        <w:t xml:space="preserve"> some </w:t>
      </w:r>
      <w:r w:rsidR="00B41CAB">
        <w:rPr>
          <w:rFonts w:asciiTheme="majorBidi" w:hAnsiTheme="majorBidi" w:cstheme="majorBidi"/>
          <w:sz w:val="24"/>
          <w:szCs w:val="24"/>
        </w:rPr>
        <w:t>conclusions</w:t>
      </w:r>
      <w:r w:rsidR="00B41CAB" w:rsidRPr="00133C85">
        <w:rPr>
          <w:rFonts w:asciiTheme="majorBidi" w:hAnsiTheme="majorBidi" w:cstheme="majorBidi"/>
          <w:sz w:val="24"/>
          <w:szCs w:val="24"/>
        </w:rPr>
        <w:t xml:space="preserve"> </w:t>
      </w:r>
      <w:r w:rsidR="00B41CAB">
        <w:rPr>
          <w:rFonts w:asciiTheme="majorBidi" w:hAnsiTheme="majorBidi" w:cstheme="majorBidi"/>
          <w:sz w:val="24"/>
          <w:szCs w:val="24"/>
        </w:rPr>
        <w:t>can</w:t>
      </w:r>
      <w:r w:rsidRPr="00133C85">
        <w:rPr>
          <w:rFonts w:asciiTheme="majorBidi" w:hAnsiTheme="majorBidi" w:cstheme="majorBidi"/>
          <w:sz w:val="24"/>
          <w:szCs w:val="24"/>
        </w:rPr>
        <w:t xml:space="preserve"> be made. To begin with, where claimants are asking for reparation, the establishment of a causal link between the act of pollution and </w:t>
      </w:r>
      <w:r w:rsidR="00656AAA" w:rsidRPr="00133C85">
        <w:rPr>
          <w:rFonts w:asciiTheme="majorBidi" w:hAnsiTheme="majorBidi" w:cstheme="majorBidi"/>
          <w:sz w:val="24"/>
          <w:szCs w:val="24"/>
        </w:rPr>
        <w:t xml:space="preserve">the harm – migration - </w:t>
      </w:r>
      <w:r w:rsidRPr="00133C85">
        <w:rPr>
          <w:rFonts w:asciiTheme="majorBidi" w:hAnsiTheme="majorBidi" w:cstheme="majorBidi"/>
          <w:sz w:val="24"/>
          <w:szCs w:val="24"/>
        </w:rPr>
        <w:t xml:space="preserve">will be challenging. </w:t>
      </w:r>
      <w:r w:rsidR="00656AAA" w:rsidRPr="00133C85">
        <w:rPr>
          <w:rFonts w:asciiTheme="majorBidi" w:hAnsiTheme="majorBidi" w:cstheme="majorBidi"/>
          <w:sz w:val="24"/>
          <w:szCs w:val="24"/>
        </w:rPr>
        <w:t xml:space="preserve">Development in attribution sciences </w:t>
      </w:r>
      <w:proofErr w:type="gramStart"/>
      <w:r w:rsidR="00656AAA" w:rsidRPr="00133C85">
        <w:rPr>
          <w:rFonts w:asciiTheme="majorBidi" w:hAnsiTheme="majorBidi" w:cstheme="majorBidi"/>
          <w:sz w:val="24"/>
          <w:szCs w:val="24"/>
        </w:rPr>
        <w:t>are</w:t>
      </w:r>
      <w:proofErr w:type="gramEnd"/>
      <w:r w:rsidR="00656AAA" w:rsidRPr="00133C85">
        <w:rPr>
          <w:rFonts w:asciiTheme="majorBidi" w:hAnsiTheme="majorBidi" w:cstheme="majorBidi"/>
          <w:sz w:val="24"/>
          <w:szCs w:val="24"/>
        </w:rPr>
        <w:t xml:space="preserve"> expected to solve only a part of this problem (the link between emissions and climate-related events), while the link between climate change and the act of migration will have to be carefully established</w:t>
      </w:r>
      <w:r w:rsidR="003A3F19" w:rsidRPr="00133C85">
        <w:rPr>
          <w:rFonts w:asciiTheme="majorBidi" w:hAnsiTheme="majorBidi" w:cstheme="majorBidi"/>
          <w:sz w:val="24"/>
          <w:szCs w:val="24"/>
        </w:rPr>
        <w:t xml:space="preserve"> </w:t>
      </w:r>
      <w:r w:rsidR="00B41CAB">
        <w:rPr>
          <w:rFonts w:asciiTheme="majorBidi" w:hAnsiTheme="majorBidi" w:cstheme="majorBidi"/>
          <w:sz w:val="24"/>
          <w:szCs w:val="24"/>
        </w:rPr>
        <w:t>in a more multi-dimensional way</w:t>
      </w:r>
      <w:r w:rsidR="00656AAA" w:rsidRPr="00133C85">
        <w:rPr>
          <w:rFonts w:asciiTheme="majorBidi" w:hAnsiTheme="majorBidi" w:cstheme="majorBidi"/>
          <w:sz w:val="24"/>
          <w:szCs w:val="24"/>
        </w:rPr>
        <w:t xml:space="preserve">. </w:t>
      </w:r>
    </w:p>
    <w:p w14:paraId="588E5E52" w14:textId="4572CEBE" w:rsidR="0028587B" w:rsidRPr="00133C85" w:rsidRDefault="0028587B"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Furthermore, the cases described above </w:t>
      </w:r>
      <w:r w:rsidR="009207FD" w:rsidRPr="00133C85">
        <w:rPr>
          <w:rFonts w:asciiTheme="majorBidi" w:hAnsiTheme="majorBidi" w:cstheme="majorBidi"/>
          <w:sz w:val="24"/>
          <w:szCs w:val="24"/>
        </w:rPr>
        <w:t xml:space="preserve">have </w:t>
      </w:r>
      <w:r w:rsidR="009207FD" w:rsidRPr="00133C85">
        <w:rPr>
          <w:rFonts w:asciiTheme="majorBidi" w:hAnsiTheme="majorBidi" w:cstheme="majorBidi"/>
          <w:i/>
          <w:iCs/>
          <w:sz w:val="24"/>
          <w:szCs w:val="24"/>
        </w:rPr>
        <w:t xml:space="preserve">possibly </w:t>
      </w:r>
      <w:r w:rsidRPr="00133C85">
        <w:rPr>
          <w:rFonts w:asciiTheme="majorBidi" w:hAnsiTheme="majorBidi" w:cstheme="majorBidi"/>
          <w:sz w:val="24"/>
          <w:szCs w:val="24"/>
        </w:rPr>
        <w:t xml:space="preserve">revealed the soft impact of litigation. In two of these examples (the Torres Strait Islands and the USA), governments decided to invest significant resources in adaptation measures following the initiation of the cases. </w:t>
      </w:r>
      <w:r w:rsidR="009207FD" w:rsidRPr="00133C85">
        <w:rPr>
          <w:rFonts w:asciiTheme="majorBidi" w:hAnsiTheme="majorBidi" w:cstheme="majorBidi"/>
          <w:sz w:val="24"/>
          <w:szCs w:val="24"/>
        </w:rPr>
        <w:t xml:space="preserve">Where states understand that this investment is necessary for compliance with their international commitments – and </w:t>
      </w:r>
      <w:r w:rsidR="00B41CAB">
        <w:rPr>
          <w:rFonts w:asciiTheme="majorBidi" w:hAnsiTheme="majorBidi" w:cstheme="majorBidi"/>
          <w:sz w:val="24"/>
          <w:szCs w:val="24"/>
        </w:rPr>
        <w:t xml:space="preserve">could </w:t>
      </w:r>
      <w:r w:rsidR="009207FD" w:rsidRPr="00133C85">
        <w:rPr>
          <w:rFonts w:asciiTheme="majorBidi" w:hAnsiTheme="majorBidi" w:cstheme="majorBidi"/>
          <w:sz w:val="24"/>
          <w:szCs w:val="24"/>
        </w:rPr>
        <w:t xml:space="preserve">be used as a legal defence – they may be more willing to make these investments. </w:t>
      </w:r>
    </w:p>
    <w:p w14:paraId="35BF27D5" w14:textId="4D7AF305" w:rsidR="00685F73" w:rsidRPr="00133C85" w:rsidRDefault="00BE2FD7"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Other elements, notably the right to cross a border when such action is required, have not been resolved. As reviewed above, based on the </w:t>
      </w:r>
      <w:proofErr w:type="spellStart"/>
      <w:r w:rsidRPr="00133C85">
        <w:rPr>
          <w:rFonts w:asciiTheme="majorBidi" w:hAnsiTheme="majorBidi" w:cstheme="majorBidi"/>
          <w:i/>
          <w:iCs/>
          <w:sz w:val="24"/>
          <w:szCs w:val="24"/>
        </w:rPr>
        <w:t>Teitiota</w:t>
      </w:r>
      <w:proofErr w:type="spellEnd"/>
      <w:r w:rsidRPr="00133C85">
        <w:rPr>
          <w:rFonts w:asciiTheme="majorBidi" w:hAnsiTheme="majorBidi" w:cstheme="majorBidi"/>
          <w:sz w:val="24"/>
          <w:szCs w:val="24"/>
        </w:rPr>
        <w:t xml:space="preserve"> case, it seem</w:t>
      </w:r>
      <w:r w:rsidR="00B41CAB">
        <w:rPr>
          <w:rFonts w:asciiTheme="majorBidi" w:hAnsiTheme="majorBidi" w:cstheme="majorBidi"/>
          <w:sz w:val="24"/>
          <w:szCs w:val="24"/>
        </w:rPr>
        <w:t>s</w:t>
      </w:r>
      <w:r w:rsidRPr="00133C85">
        <w:rPr>
          <w:rFonts w:asciiTheme="majorBidi" w:hAnsiTheme="majorBidi" w:cstheme="majorBidi"/>
          <w:sz w:val="24"/>
          <w:szCs w:val="24"/>
        </w:rPr>
        <w:t xml:space="preserve"> that this element is unlikely to be resolved by tribunals such as the HRC</w:t>
      </w:r>
      <w:r w:rsidR="00685F73" w:rsidRPr="00133C85">
        <w:rPr>
          <w:rFonts w:asciiTheme="majorBidi" w:hAnsiTheme="majorBidi" w:cstheme="majorBidi"/>
          <w:sz w:val="24"/>
          <w:szCs w:val="24"/>
        </w:rPr>
        <w:t xml:space="preserve">, perhaps due to </w:t>
      </w:r>
      <w:r w:rsidR="00B41CAB">
        <w:rPr>
          <w:rFonts w:asciiTheme="majorBidi" w:hAnsiTheme="majorBidi" w:cstheme="majorBidi"/>
          <w:sz w:val="24"/>
          <w:szCs w:val="24"/>
        </w:rPr>
        <w:t>the huge</w:t>
      </w:r>
      <w:r w:rsidR="00B41CAB" w:rsidRPr="00133C85">
        <w:rPr>
          <w:rFonts w:asciiTheme="majorBidi" w:hAnsiTheme="majorBidi" w:cstheme="majorBidi"/>
          <w:sz w:val="24"/>
          <w:szCs w:val="24"/>
        </w:rPr>
        <w:t xml:space="preserve"> </w:t>
      </w:r>
      <w:r w:rsidR="00685F73" w:rsidRPr="00133C85">
        <w:rPr>
          <w:rFonts w:asciiTheme="majorBidi" w:hAnsiTheme="majorBidi" w:cstheme="majorBidi"/>
          <w:sz w:val="24"/>
          <w:szCs w:val="24"/>
        </w:rPr>
        <w:t xml:space="preserve">implications </w:t>
      </w:r>
      <w:r w:rsidR="00B41CAB">
        <w:rPr>
          <w:rFonts w:asciiTheme="majorBidi" w:hAnsiTheme="majorBidi" w:cstheme="majorBidi"/>
          <w:sz w:val="24"/>
          <w:szCs w:val="24"/>
        </w:rPr>
        <w:t>in effectively extending the</w:t>
      </w:r>
      <w:r w:rsidR="00685F73" w:rsidRPr="00133C85">
        <w:rPr>
          <w:rFonts w:asciiTheme="majorBidi" w:hAnsiTheme="majorBidi" w:cstheme="majorBidi"/>
          <w:sz w:val="24"/>
          <w:szCs w:val="24"/>
        </w:rPr>
        <w:t xml:space="preserve"> right to cross borders and the creation of a new ‘climate refugees’ status</w:t>
      </w:r>
      <w:r w:rsidRPr="00133C85">
        <w:rPr>
          <w:rFonts w:asciiTheme="majorBidi" w:hAnsiTheme="majorBidi" w:cstheme="majorBidi"/>
          <w:sz w:val="24"/>
          <w:szCs w:val="24"/>
        </w:rPr>
        <w:t xml:space="preserve">. Also here, however, there is at least some recognition that the door is not entirely closed, even if the gap left is extremely narrow. Perhaps, as stated above </w:t>
      </w:r>
      <w:r w:rsidR="009207FD" w:rsidRPr="00133C85">
        <w:rPr>
          <w:rFonts w:asciiTheme="majorBidi" w:hAnsiTheme="majorBidi" w:cstheme="majorBidi"/>
          <w:sz w:val="24"/>
          <w:szCs w:val="24"/>
        </w:rPr>
        <w:t>regarding</w:t>
      </w:r>
      <w:r w:rsidRPr="00133C85">
        <w:rPr>
          <w:rFonts w:asciiTheme="majorBidi" w:hAnsiTheme="majorBidi" w:cstheme="majorBidi"/>
          <w:sz w:val="24"/>
          <w:szCs w:val="24"/>
        </w:rPr>
        <w:t xml:space="preserve"> the nature of strategic litigation, this decision is </w:t>
      </w:r>
      <w:r w:rsidR="009207FD" w:rsidRPr="00133C85">
        <w:rPr>
          <w:rFonts w:asciiTheme="majorBidi" w:hAnsiTheme="majorBidi" w:cstheme="majorBidi"/>
          <w:sz w:val="24"/>
          <w:szCs w:val="24"/>
        </w:rPr>
        <w:t xml:space="preserve">simply </w:t>
      </w:r>
      <w:r w:rsidRPr="00133C85">
        <w:rPr>
          <w:rFonts w:asciiTheme="majorBidi" w:hAnsiTheme="majorBidi" w:cstheme="majorBidi"/>
          <w:sz w:val="24"/>
          <w:szCs w:val="24"/>
        </w:rPr>
        <w:t>placing foundations for future developments that will</w:t>
      </w:r>
      <w:r w:rsidR="009207FD" w:rsidRPr="00133C85">
        <w:rPr>
          <w:rFonts w:asciiTheme="majorBidi" w:hAnsiTheme="majorBidi" w:cstheme="majorBidi"/>
          <w:sz w:val="24"/>
          <w:szCs w:val="24"/>
        </w:rPr>
        <w:t xml:space="preserve"> eventually</w:t>
      </w:r>
      <w:r w:rsidRPr="00133C85">
        <w:rPr>
          <w:rFonts w:asciiTheme="majorBidi" w:hAnsiTheme="majorBidi" w:cstheme="majorBidi"/>
          <w:sz w:val="24"/>
          <w:szCs w:val="24"/>
        </w:rPr>
        <w:t xml:space="preserve"> widen this gap. </w:t>
      </w:r>
    </w:p>
    <w:p w14:paraId="56BD3643" w14:textId="0849B641" w:rsidR="00685F73" w:rsidRPr="00133C85" w:rsidRDefault="009207FD"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To conclude, while law-making institutions have not developed the legal framework governing climate migration, it seems that</w:t>
      </w:r>
      <w:r w:rsidR="00980050" w:rsidRPr="00133C85">
        <w:rPr>
          <w:rFonts w:asciiTheme="majorBidi" w:hAnsiTheme="majorBidi" w:cstheme="majorBidi"/>
          <w:sz w:val="24"/>
          <w:szCs w:val="24"/>
        </w:rPr>
        <w:t xml:space="preserve">, due to the wave of climate litigation, </w:t>
      </w:r>
      <w:r w:rsidRPr="00133C85">
        <w:rPr>
          <w:rFonts w:asciiTheme="majorBidi" w:hAnsiTheme="majorBidi" w:cstheme="majorBidi"/>
          <w:sz w:val="24"/>
          <w:szCs w:val="24"/>
        </w:rPr>
        <w:t xml:space="preserve">this framework is </w:t>
      </w:r>
      <w:r w:rsidR="00980050" w:rsidRPr="00133C85">
        <w:rPr>
          <w:rFonts w:asciiTheme="majorBidi" w:hAnsiTheme="majorBidi" w:cstheme="majorBidi"/>
          <w:sz w:val="24"/>
          <w:szCs w:val="24"/>
        </w:rPr>
        <w:t xml:space="preserve">also </w:t>
      </w:r>
      <w:r w:rsidRPr="00133C85">
        <w:rPr>
          <w:rFonts w:asciiTheme="majorBidi" w:hAnsiTheme="majorBidi" w:cstheme="majorBidi"/>
          <w:sz w:val="24"/>
          <w:szCs w:val="24"/>
        </w:rPr>
        <w:t xml:space="preserve">not entirely static. </w:t>
      </w:r>
      <w:r w:rsidR="00980050" w:rsidRPr="00133C85">
        <w:rPr>
          <w:rFonts w:asciiTheme="majorBidi" w:hAnsiTheme="majorBidi" w:cstheme="majorBidi"/>
          <w:sz w:val="24"/>
          <w:szCs w:val="24"/>
        </w:rPr>
        <w:t xml:space="preserve">As the trend of climate litigation is accelerating and </w:t>
      </w:r>
      <w:r w:rsidR="006A5292">
        <w:rPr>
          <w:rFonts w:asciiTheme="majorBidi" w:hAnsiTheme="majorBidi" w:cstheme="majorBidi"/>
          <w:sz w:val="24"/>
          <w:szCs w:val="24"/>
        </w:rPr>
        <w:t xml:space="preserve">the </w:t>
      </w:r>
      <w:r w:rsidR="00980050" w:rsidRPr="00133C85">
        <w:rPr>
          <w:rFonts w:asciiTheme="majorBidi" w:hAnsiTheme="majorBidi" w:cstheme="majorBidi"/>
          <w:sz w:val="24"/>
          <w:szCs w:val="24"/>
        </w:rPr>
        <w:t>number of cases is proliferating, climate migration scholars and practitioners should pay more attention to this space</w:t>
      </w:r>
      <w:r w:rsidR="00685F73" w:rsidRPr="00133C85">
        <w:rPr>
          <w:rFonts w:asciiTheme="majorBidi" w:hAnsiTheme="majorBidi" w:cstheme="majorBidi"/>
          <w:sz w:val="24"/>
          <w:szCs w:val="24"/>
        </w:rPr>
        <w:t xml:space="preserve"> and expect further developments</w:t>
      </w:r>
      <w:r w:rsidR="00980050" w:rsidRPr="00133C85">
        <w:rPr>
          <w:rFonts w:asciiTheme="majorBidi" w:hAnsiTheme="majorBidi" w:cstheme="majorBidi"/>
          <w:sz w:val="24"/>
          <w:szCs w:val="24"/>
        </w:rPr>
        <w:t>.</w:t>
      </w:r>
      <w:r w:rsidR="00685F73" w:rsidRPr="00133C85">
        <w:rPr>
          <w:rFonts w:asciiTheme="majorBidi" w:hAnsiTheme="majorBidi" w:cstheme="majorBidi"/>
          <w:sz w:val="24"/>
          <w:szCs w:val="24"/>
        </w:rPr>
        <w:t xml:space="preserve"> </w:t>
      </w:r>
    </w:p>
    <w:p w14:paraId="77321AFB" w14:textId="23142BF2" w:rsidR="009207FD" w:rsidRPr="00133C85" w:rsidRDefault="00685F73"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Another thing to watch will be states’ reaction to this emerging jurisprudence. States have been historically reluctant to act on these issues, and tribunals’ decisions are effective only </w:t>
      </w:r>
      <w:r w:rsidR="00947BDB">
        <w:rPr>
          <w:rFonts w:asciiTheme="majorBidi" w:hAnsiTheme="majorBidi" w:cstheme="majorBidi"/>
          <w:sz w:val="24"/>
          <w:szCs w:val="24"/>
        </w:rPr>
        <w:t>insofar</w:t>
      </w:r>
      <w:r w:rsidRPr="00133C85">
        <w:rPr>
          <w:rFonts w:asciiTheme="majorBidi" w:hAnsiTheme="majorBidi" w:cstheme="majorBidi"/>
          <w:sz w:val="24"/>
          <w:szCs w:val="24"/>
        </w:rPr>
        <w:t xml:space="preserve"> as states</w:t>
      </w:r>
      <w:r w:rsidR="00947BDB">
        <w:rPr>
          <w:rFonts w:asciiTheme="majorBidi" w:hAnsiTheme="majorBidi" w:cstheme="majorBidi"/>
          <w:sz w:val="24"/>
          <w:szCs w:val="24"/>
        </w:rPr>
        <w:t xml:space="preserve"> </w:t>
      </w:r>
      <w:r w:rsidRPr="00133C85">
        <w:rPr>
          <w:rFonts w:asciiTheme="majorBidi" w:hAnsiTheme="majorBidi" w:cstheme="majorBidi"/>
          <w:sz w:val="24"/>
          <w:szCs w:val="24"/>
        </w:rPr>
        <w:t>follow them</w:t>
      </w:r>
      <w:r w:rsidR="00947BDB">
        <w:rPr>
          <w:rFonts w:asciiTheme="majorBidi" w:hAnsiTheme="majorBidi" w:cstheme="majorBidi"/>
          <w:sz w:val="24"/>
          <w:szCs w:val="24"/>
        </w:rPr>
        <w:t xml:space="preserve"> and acknowledge their legal force</w:t>
      </w:r>
      <w:r w:rsidRPr="00133C85">
        <w:rPr>
          <w:rFonts w:asciiTheme="majorBidi" w:hAnsiTheme="majorBidi" w:cstheme="majorBidi"/>
          <w:sz w:val="24"/>
          <w:szCs w:val="24"/>
        </w:rPr>
        <w:t>. Indeed</w:t>
      </w:r>
      <w:r w:rsidR="00947BDB">
        <w:rPr>
          <w:rFonts w:asciiTheme="majorBidi" w:hAnsiTheme="majorBidi" w:cstheme="majorBidi"/>
          <w:sz w:val="24"/>
          <w:szCs w:val="24"/>
        </w:rPr>
        <w:t>,</w:t>
      </w:r>
      <w:r w:rsidRPr="00133C85">
        <w:rPr>
          <w:rFonts w:asciiTheme="majorBidi" w:hAnsiTheme="majorBidi" w:cstheme="majorBidi"/>
          <w:sz w:val="24"/>
          <w:szCs w:val="24"/>
        </w:rPr>
        <w:t xml:space="preserve"> HRC member Duncan </w:t>
      </w:r>
      <w:proofErr w:type="spellStart"/>
      <w:r w:rsidRPr="00133C85">
        <w:rPr>
          <w:rFonts w:asciiTheme="majorBidi" w:hAnsiTheme="majorBidi" w:cstheme="majorBidi"/>
          <w:sz w:val="24"/>
          <w:szCs w:val="24"/>
        </w:rPr>
        <w:t>Muhumuza</w:t>
      </w:r>
      <w:proofErr w:type="spellEnd"/>
      <w:r w:rsidRPr="00133C85">
        <w:rPr>
          <w:rFonts w:asciiTheme="majorBidi" w:hAnsiTheme="majorBidi" w:cstheme="majorBidi"/>
          <w:sz w:val="24"/>
          <w:szCs w:val="24"/>
        </w:rPr>
        <w:t xml:space="preserve"> </w:t>
      </w:r>
      <w:proofErr w:type="spellStart"/>
      <w:r w:rsidRPr="00133C85">
        <w:rPr>
          <w:rFonts w:asciiTheme="majorBidi" w:hAnsiTheme="majorBidi" w:cstheme="majorBidi"/>
          <w:sz w:val="24"/>
          <w:szCs w:val="24"/>
        </w:rPr>
        <w:t>Laki</w:t>
      </w:r>
      <w:proofErr w:type="spellEnd"/>
      <w:r w:rsidRPr="00133C85">
        <w:rPr>
          <w:rFonts w:asciiTheme="majorBidi" w:hAnsiTheme="majorBidi" w:cstheme="majorBidi"/>
          <w:sz w:val="24"/>
          <w:szCs w:val="24"/>
        </w:rPr>
        <w:t xml:space="preserve"> has questioned whether the HRC is the right forum for resolving such issues, asking ‘[s]</w:t>
      </w:r>
      <w:proofErr w:type="spellStart"/>
      <w:r w:rsidRPr="00133C85">
        <w:rPr>
          <w:rFonts w:asciiTheme="majorBidi" w:hAnsiTheme="majorBidi" w:cstheme="majorBidi"/>
          <w:sz w:val="24"/>
          <w:szCs w:val="24"/>
        </w:rPr>
        <w:t>hould</w:t>
      </w:r>
      <w:proofErr w:type="spellEnd"/>
      <w:r w:rsidRPr="00133C85">
        <w:rPr>
          <w:rFonts w:asciiTheme="majorBidi" w:hAnsiTheme="majorBidi" w:cstheme="majorBidi"/>
          <w:sz w:val="24"/>
          <w:szCs w:val="24"/>
        </w:rPr>
        <w:t xml:space="preserve"> such issues be handled by an international quasi-judicial institution? How </w:t>
      </w:r>
      <w:r w:rsidRPr="00133C85">
        <w:rPr>
          <w:rFonts w:asciiTheme="majorBidi" w:hAnsiTheme="majorBidi" w:cstheme="majorBidi"/>
          <w:sz w:val="24"/>
          <w:szCs w:val="24"/>
        </w:rPr>
        <w:lastRenderedPageBreak/>
        <w:t>effective would this approach be?’.</w:t>
      </w:r>
      <w:r w:rsidRPr="00133C85">
        <w:rPr>
          <w:rStyle w:val="FootnoteReference"/>
          <w:rFonts w:asciiTheme="majorBidi" w:hAnsiTheme="majorBidi" w:cstheme="majorBidi"/>
          <w:sz w:val="24"/>
          <w:szCs w:val="24"/>
        </w:rPr>
        <w:footnoteReference w:id="94"/>
      </w:r>
      <w:r w:rsidRPr="00133C85">
        <w:rPr>
          <w:rFonts w:asciiTheme="majorBidi" w:hAnsiTheme="majorBidi" w:cstheme="majorBidi"/>
          <w:color w:val="333333"/>
          <w:sz w:val="24"/>
          <w:szCs w:val="24"/>
          <w:shd w:val="clear" w:color="auto" w:fill="FFFFFF"/>
        </w:rPr>
        <w:t xml:space="preserve"> </w:t>
      </w:r>
      <w:r w:rsidRPr="00133C85">
        <w:rPr>
          <w:rFonts w:asciiTheme="majorBidi" w:hAnsiTheme="majorBidi" w:cstheme="majorBidi"/>
          <w:sz w:val="24"/>
          <w:szCs w:val="24"/>
        </w:rPr>
        <w:t xml:space="preserve">Similar concerns were </w:t>
      </w:r>
      <w:r w:rsidR="00947BDB">
        <w:rPr>
          <w:rFonts w:asciiTheme="majorBidi" w:hAnsiTheme="majorBidi" w:cstheme="majorBidi"/>
          <w:sz w:val="24"/>
          <w:szCs w:val="24"/>
        </w:rPr>
        <w:t xml:space="preserve">also </w:t>
      </w:r>
      <w:r w:rsidRPr="00133C85">
        <w:rPr>
          <w:rFonts w:asciiTheme="majorBidi" w:hAnsiTheme="majorBidi" w:cstheme="majorBidi"/>
          <w:sz w:val="24"/>
          <w:szCs w:val="24"/>
        </w:rPr>
        <w:t>expressed by some of the responding states in the cases discussed above.</w:t>
      </w:r>
      <w:r w:rsidRPr="00133C85">
        <w:rPr>
          <w:rStyle w:val="FootnoteReference"/>
          <w:rFonts w:asciiTheme="majorBidi" w:hAnsiTheme="majorBidi" w:cstheme="majorBidi"/>
          <w:sz w:val="24"/>
          <w:szCs w:val="24"/>
        </w:rPr>
        <w:footnoteReference w:id="95"/>
      </w:r>
    </w:p>
    <w:p w14:paraId="3BE37900" w14:textId="36630FD8" w:rsidR="008C5642" w:rsidRPr="00133C85" w:rsidRDefault="00CE46DA" w:rsidP="00BB0FD7">
      <w:pPr>
        <w:spacing w:line="360" w:lineRule="auto"/>
        <w:jc w:val="both"/>
        <w:rPr>
          <w:rFonts w:asciiTheme="majorBidi" w:hAnsiTheme="majorBidi" w:cstheme="majorBidi"/>
          <w:sz w:val="24"/>
          <w:szCs w:val="24"/>
        </w:rPr>
      </w:pPr>
      <w:r w:rsidRPr="00133C85">
        <w:rPr>
          <w:rFonts w:asciiTheme="majorBidi" w:hAnsiTheme="majorBidi" w:cstheme="majorBidi"/>
          <w:sz w:val="24"/>
          <w:szCs w:val="24"/>
        </w:rPr>
        <w:t xml:space="preserve"> </w:t>
      </w:r>
    </w:p>
    <w:p w14:paraId="04CEAD40" w14:textId="77777777" w:rsidR="008C5642" w:rsidRPr="00133C85" w:rsidRDefault="008C5642" w:rsidP="00BB0FD7">
      <w:pPr>
        <w:spacing w:line="360" w:lineRule="auto"/>
        <w:jc w:val="both"/>
        <w:rPr>
          <w:rFonts w:asciiTheme="majorBidi" w:hAnsiTheme="majorBidi" w:cstheme="majorBidi"/>
          <w:sz w:val="24"/>
          <w:szCs w:val="24"/>
        </w:rPr>
      </w:pPr>
    </w:p>
    <w:p w14:paraId="290A228D" w14:textId="1561F9DA" w:rsidR="002D6860" w:rsidRPr="00133C85" w:rsidRDefault="002D6860" w:rsidP="00BB0FD7">
      <w:pPr>
        <w:spacing w:line="360" w:lineRule="auto"/>
        <w:jc w:val="both"/>
        <w:rPr>
          <w:rFonts w:asciiTheme="majorBidi" w:hAnsiTheme="majorBidi" w:cstheme="majorBidi"/>
          <w:sz w:val="24"/>
          <w:szCs w:val="24"/>
        </w:rPr>
      </w:pPr>
    </w:p>
    <w:sectPr w:rsidR="002D6860" w:rsidRPr="00133C8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847A" w14:textId="77777777" w:rsidR="00D51E2C" w:rsidRDefault="00D51E2C" w:rsidP="00643EB5">
      <w:pPr>
        <w:spacing w:after="0" w:line="240" w:lineRule="auto"/>
      </w:pPr>
      <w:r>
        <w:separator/>
      </w:r>
    </w:p>
  </w:endnote>
  <w:endnote w:type="continuationSeparator" w:id="0">
    <w:p w14:paraId="238731C8" w14:textId="77777777" w:rsidR="00D51E2C" w:rsidRDefault="00D51E2C" w:rsidP="0064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51804"/>
      <w:docPartObj>
        <w:docPartGallery w:val="Page Numbers (Bottom of Page)"/>
        <w:docPartUnique/>
      </w:docPartObj>
    </w:sdtPr>
    <w:sdtEndPr>
      <w:rPr>
        <w:noProof/>
      </w:rPr>
    </w:sdtEndPr>
    <w:sdtContent>
      <w:p w14:paraId="436CA061" w14:textId="7A41A07B" w:rsidR="00A00245" w:rsidRDefault="00A002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567B9B" w14:textId="77777777" w:rsidR="00A00245" w:rsidRDefault="00A0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3316" w14:textId="77777777" w:rsidR="00D51E2C" w:rsidRDefault="00D51E2C" w:rsidP="00643EB5">
      <w:pPr>
        <w:spacing w:after="0" w:line="240" w:lineRule="auto"/>
      </w:pPr>
      <w:r>
        <w:separator/>
      </w:r>
    </w:p>
  </w:footnote>
  <w:footnote w:type="continuationSeparator" w:id="0">
    <w:p w14:paraId="48484B9E" w14:textId="77777777" w:rsidR="00D51E2C" w:rsidRDefault="00D51E2C" w:rsidP="00643EB5">
      <w:pPr>
        <w:spacing w:after="0" w:line="240" w:lineRule="auto"/>
      </w:pPr>
      <w:r>
        <w:continuationSeparator/>
      </w:r>
    </w:p>
  </w:footnote>
  <w:footnote w:id="1">
    <w:p w14:paraId="09C1751D" w14:textId="7DBC0BA6" w:rsidR="00827089" w:rsidRPr="00A503D3" w:rsidRDefault="00827089">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Sumudu Atapattu, ‘A new category of refugees? ‘Climate refugees’ and a gaping hole in international law’ in Simon Behrman &amp; Avidan Kent (eds) </w:t>
      </w:r>
      <w:r w:rsidRPr="00A503D3">
        <w:rPr>
          <w:rFonts w:asciiTheme="majorBidi" w:hAnsiTheme="majorBidi" w:cstheme="majorBidi"/>
          <w:i/>
          <w:iCs/>
        </w:rPr>
        <w:t xml:space="preserve">‘Climate Refugees’: Beyond the legal impasse? </w:t>
      </w:r>
      <w:r w:rsidRPr="00A503D3">
        <w:rPr>
          <w:rFonts w:asciiTheme="majorBidi" w:hAnsiTheme="majorBidi" w:cstheme="majorBidi"/>
        </w:rPr>
        <w:t xml:space="preserve">(Routledge 2018). </w:t>
      </w:r>
    </w:p>
  </w:footnote>
  <w:footnote w:id="2">
    <w:p w14:paraId="73ADC964" w14:textId="66060781" w:rsidR="0011547E" w:rsidRPr="00077184" w:rsidRDefault="0011547E" w:rsidP="0011547E">
      <w:pPr>
        <w:pStyle w:val="FootnoteText"/>
        <w:rPr>
          <w:rFonts w:ascii="Times New Roman" w:hAnsi="Times New Roman" w:cs="Times New Roman"/>
        </w:rPr>
      </w:pPr>
      <w:r w:rsidRPr="00077184">
        <w:rPr>
          <w:rStyle w:val="FootnoteReference"/>
          <w:rFonts w:ascii="Times New Roman" w:hAnsi="Times New Roman" w:cs="Times New Roman"/>
        </w:rPr>
        <w:footnoteRef/>
      </w:r>
      <w:r w:rsidRPr="00077184">
        <w:rPr>
          <w:rFonts w:ascii="Times New Roman" w:hAnsi="Times New Roman" w:cs="Times New Roman"/>
        </w:rPr>
        <w:t xml:space="preserve"> As Setzer &amp; </w:t>
      </w:r>
      <w:proofErr w:type="spellStart"/>
      <w:r w:rsidRPr="00077184">
        <w:rPr>
          <w:rFonts w:ascii="Times New Roman" w:hAnsi="Times New Roman" w:cs="Times New Roman"/>
        </w:rPr>
        <w:t>Vanhala</w:t>
      </w:r>
      <w:proofErr w:type="spellEnd"/>
      <w:r w:rsidRPr="00077184">
        <w:rPr>
          <w:rFonts w:ascii="Times New Roman" w:hAnsi="Times New Roman" w:cs="Times New Roman"/>
        </w:rPr>
        <w:t xml:space="preserve"> write ‘There are as many understandings of what counts as “climate change litigation” as there are authors writing about the phenomenon’ (Joana Setzer &amp; Lisa </w:t>
      </w:r>
      <w:proofErr w:type="spellStart"/>
      <w:r w:rsidRPr="00077184">
        <w:rPr>
          <w:rFonts w:ascii="Times New Roman" w:hAnsi="Times New Roman" w:cs="Times New Roman"/>
        </w:rPr>
        <w:t>Vanhala</w:t>
      </w:r>
      <w:proofErr w:type="spellEnd"/>
      <w:r w:rsidRPr="00077184">
        <w:rPr>
          <w:rFonts w:ascii="Times New Roman" w:hAnsi="Times New Roman" w:cs="Times New Roman"/>
        </w:rPr>
        <w:t xml:space="preserve">, ‘Climate change litigation: A review of research on courts and litigants in climate governance’ (2019) WIREs Climate Change 3. </w:t>
      </w:r>
      <w:r>
        <w:rPr>
          <w:rFonts w:ascii="Times New Roman" w:hAnsi="Times New Roman" w:cs="Times New Roman"/>
        </w:rPr>
        <w:t xml:space="preserve">A review of the debate over the definition(s) for this term is beyond the scope of this paper, but for the purpose of this paper we will </w:t>
      </w:r>
      <w:r w:rsidRPr="0011547E">
        <w:rPr>
          <w:rFonts w:ascii="Times New Roman" w:hAnsi="Times New Roman" w:cs="Times New Roman"/>
        </w:rPr>
        <w:t xml:space="preserve">rely on Setzer &amp; Higham’s definition (relied on in the influential annual Grantham Institute climate litigation report): </w:t>
      </w:r>
      <w:r>
        <w:rPr>
          <w:rFonts w:ascii="Times New Roman" w:hAnsi="Times New Roman" w:cs="Times New Roman"/>
        </w:rPr>
        <w:t>‘</w:t>
      </w:r>
      <w:r w:rsidRPr="0011547E">
        <w:rPr>
          <w:rFonts w:ascii="Times New Roman" w:hAnsi="Times New Roman" w:cs="Times New Roman"/>
        </w:rPr>
        <w:t>Climate litigation broadly defined includes lawsuits brought before administrative, judicial and other investigatory bodies, in domestic and international courts and organisations, that raise issues of law or fact regarding the science of climate change and climate change mitigation and adaptation efforts’.</w:t>
      </w:r>
      <w:r>
        <w:rPr>
          <w:rFonts w:ascii="Times New Roman" w:hAnsi="Times New Roman" w:cs="Times New Roman"/>
        </w:rPr>
        <w:t xml:space="preserve"> Joana Setzer &amp; Catherine Hingham, ‘Global trends in climate change litigation: 2021 snapshots (</w:t>
      </w:r>
      <w:r w:rsidRPr="00F527ED">
        <w:rPr>
          <w:rFonts w:ascii="Times New Roman" w:hAnsi="Times New Roman" w:cs="Times New Roman"/>
        </w:rPr>
        <w:t>Grantham Research Institute on Climate Change and the Environment 2021).</w:t>
      </w:r>
    </w:p>
  </w:footnote>
  <w:footnote w:id="3">
    <w:p w14:paraId="6897DC09" w14:textId="246BAD57" w:rsidR="00AF63FD" w:rsidRPr="00A503D3" w:rsidRDefault="00AF63FD"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See for example Veronica Michel, ‘Judicial reform and legal opportunity structure: The emergence of strategic litigation against femicide in Mexico’ (2020)82 Studies in Law, Politics and Society 27.</w:t>
      </w:r>
    </w:p>
  </w:footnote>
  <w:footnote w:id="4">
    <w:p w14:paraId="7A041007" w14:textId="5ADC736F" w:rsidR="00762976" w:rsidRPr="00A503D3" w:rsidRDefault="00762976"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See for example Tamar </w:t>
      </w:r>
      <w:proofErr w:type="spellStart"/>
      <w:r w:rsidRPr="00A503D3">
        <w:rPr>
          <w:rFonts w:asciiTheme="majorBidi" w:hAnsiTheme="majorBidi" w:cstheme="majorBidi"/>
        </w:rPr>
        <w:t>Ezer</w:t>
      </w:r>
      <w:proofErr w:type="spellEnd"/>
      <w:r w:rsidRPr="00A503D3">
        <w:rPr>
          <w:rFonts w:asciiTheme="majorBidi" w:hAnsiTheme="majorBidi" w:cstheme="majorBidi"/>
        </w:rPr>
        <w:t xml:space="preserve"> and </w:t>
      </w:r>
      <w:proofErr w:type="spellStart"/>
      <w:r w:rsidRPr="00A503D3">
        <w:rPr>
          <w:rFonts w:asciiTheme="majorBidi" w:hAnsiTheme="majorBidi" w:cstheme="majorBidi"/>
        </w:rPr>
        <w:t>Priti</w:t>
      </w:r>
      <w:proofErr w:type="spellEnd"/>
      <w:r w:rsidRPr="00A503D3">
        <w:rPr>
          <w:rFonts w:asciiTheme="majorBidi" w:hAnsiTheme="majorBidi" w:cstheme="majorBidi"/>
        </w:rPr>
        <w:t xml:space="preserve"> Patel, ‘Strategic litigation to advance </w:t>
      </w:r>
      <w:r w:rsidR="00DD5ED6" w:rsidRPr="00A503D3">
        <w:rPr>
          <w:rFonts w:asciiTheme="majorBidi" w:hAnsiTheme="majorBidi" w:cstheme="majorBidi"/>
        </w:rPr>
        <w:t>public health’ (2018)20(2) Health and Human Rights Journal 149.</w:t>
      </w:r>
    </w:p>
  </w:footnote>
  <w:footnote w:id="5">
    <w:p w14:paraId="194745CB" w14:textId="765551DD" w:rsidR="00643EB5" w:rsidRPr="00A503D3" w:rsidRDefault="00643EB5"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DD5ED6" w:rsidRPr="00A503D3">
        <w:rPr>
          <w:rFonts w:asciiTheme="majorBidi" w:hAnsiTheme="majorBidi" w:cstheme="majorBidi"/>
        </w:rPr>
        <w:t xml:space="preserve">Jacqueline Peel and </w:t>
      </w:r>
      <w:proofErr w:type="spellStart"/>
      <w:r w:rsidR="00DD5ED6" w:rsidRPr="00A503D3">
        <w:rPr>
          <w:rFonts w:asciiTheme="majorBidi" w:hAnsiTheme="majorBidi" w:cstheme="majorBidi"/>
        </w:rPr>
        <w:t>Rebekkah</w:t>
      </w:r>
      <w:proofErr w:type="spellEnd"/>
      <w:r w:rsidR="00DD5ED6" w:rsidRPr="00A503D3">
        <w:rPr>
          <w:rFonts w:asciiTheme="majorBidi" w:hAnsiTheme="majorBidi" w:cstheme="majorBidi"/>
        </w:rPr>
        <w:t xml:space="preserve"> </w:t>
      </w:r>
      <w:proofErr w:type="spellStart"/>
      <w:r w:rsidR="00DD5ED6" w:rsidRPr="00A503D3">
        <w:rPr>
          <w:rFonts w:asciiTheme="majorBidi" w:hAnsiTheme="majorBidi" w:cstheme="majorBidi"/>
        </w:rPr>
        <w:t>Merkey-Towler</w:t>
      </w:r>
      <w:proofErr w:type="spellEnd"/>
      <w:r w:rsidR="00DD5ED6" w:rsidRPr="00A503D3">
        <w:rPr>
          <w:rFonts w:asciiTheme="majorBidi" w:hAnsiTheme="majorBidi" w:cstheme="majorBidi"/>
        </w:rPr>
        <w:t xml:space="preserve"> ‘Recipe for success? Lessons for strategic climate litigation from the Sharma Neubauer, and Shell cases’ (2021)22(8) German Law Review 1484; Alessandra Lehman, ‘Advancing strategic climate litigation in Brazil’ (2021)22(8) German Law Review 1471; Elizabeth Donger ‘Children and youth in strategic climate litigation: advancing rights though legal argument and legal mobiliza</w:t>
      </w:r>
      <w:r w:rsidR="00767C14" w:rsidRPr="00A503D3">
        <w:rPr>
          <w:rFonts w:asciiTheme="majorBidi" w:hAnsiTheme="majorBidi" w:cstheme="majorBidi"/>
        </w:rPr>
        <w:t xml:space="preserve">tion’ (2022)11(2) Transnational Environmental Law 263. </w:t>
      </w:r>
    </w:p>
  </w:footnote>
  <w:footnote w:id="6">
    <w:p w14:paraId="0F81FCA6" w14:textId="76C3D373" w:rsidR="006E16A3" w:rsidRPr="00A503D3" w:rsidRDefault="006E16A3"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133C85" w:rsidRPr="00A503D3">
        <w:rPr>
          <w:rFonts w:asciiTheme="majorBidi" w:hAnsiTheme="majorBidi" w:cstheme="majorBidi"/>
        </w:rPr>
        <w:t xml:space="preserve">Committee on the Rights of the Child, </w:t>
      </w:r>
      <w:r w:rsidR="00133C85" w:rsidRPr="00A503D3">
        <w:rPr>
          <w:rFonts w:asciiTheme="majorBidi" w:hAnsiTheme="majorBidi" w:cstheme="majorBidi"/>
          <w:i/>
          <w:iCs/>
        </w:rPr>
        <w:t xml:space="preserve">Decision adopted by the Committee on the Rights of the Child under the Optional Protocol to the Convention on the Rights of the Child on a communications procedure in respect of Communication No. 104/2019 </w:t>
      </w:r>
      <w:r w:rsidR="00133C85" w:rsidRPr="00A503D3">
        <w:rPr>
          <w:rFonts w:asciiTheme="majorBidi" w:hAnsiTheme="majorBidi" w:cstheme="majorBidi"/>
        </w:rPr>
        <w:t>(2021).</w:t>
      </w:r>
    </w:p>
  </w:footnote>
  <w:footnote w:id="7">
    <w:p w14:paraId="5225BD34" w14:textId="1F22A617" w:rsidR="006E16A3" w:rsidRPr="00A503D3" w:rsidRDefault="006E16A3"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133C85" w:rsidRPr="00A503D3">
        <w:rPr>
          <w:rFonts w:asciiTheme="majorBidi" w:hAnsiTheme="majorBidi" w:cstheme="majorBidi"/>
          <w:color w:val="000000" w:themeColor="text1"/>
          <w:lang w:val="en-US"/>
        </w:rPr>
        <w:t xml:space="preserve">UN Human Rights Committee (HRC), </w:t>
      </w:r>
      <w:r w:rsidR="00133C85" w:rsidRPr="00A503D3">
        <w:rPr>
          <w:rFonts w:asciiTheme="majorBidi" w:hAnsiTheme="majorBidi" w:cstheme="majorBidi"/>
          <w:i/>
          <w:iCs/>
          <w:color w:val="000000" w:themeColor="text1"/>
          <w:lang w:val="en-US"/>
        </w:rPr>
        <w:t xml:space="preserve">Ioane </w:t>
      </w:r>
      <w:proofErr w:type="spellStart"/>
      <w:r w:rsidR="00133C85" w:rsidRPr="00A503D3">
        <w:rPr>
          <w:rFonts w:asciiTheme="majorBidi" w:hAnsiTheme="majorBidi" w:cstheme="majorBidi"/>
          <w:i/>
          <w:iCs/>
          <w:color w:val="000000" w:themeColor="text1"/>
          <w:lang w:val="en-US"/>
        </w:rPr>
        <w:t>Teitiota</w:t>
      </w:r>
      <w:proofErr w:type="spellEnd"/>
      <w:r w:rsidR="00133C85" w:rsidRPr="00A503D3">
        <w:rPr>
          <w:rFonts w:asciiTheme="majorBidi" w:hAnsiTheme="majorBidi" w:cstheme="majorBidi"/>
          <w:i/>
          <w:iCs/>
          <w:color w:val="000000" w:themeColor="text1"/>
          <w:lang w:val="en-US"/>
        </w:rPr>
        <w:t xml:space="preserve"> v New Zealand) </w:t>
      </w:r>
      <w:r w:rsidR="00133C85" w:rsidRPr="00A503D3">
        <w:rPr>
          <w:rFonts w:asciiTheme="majorBidi" w:hAnsiTheme="majorBidi" w:cstheme="majorBidi"/>
          <w:color w:val="000000" w:themeColor="text1"/>
          <w:lang w:val="en-US"/>
        </w:rPr>
        <w:t>UN Doc CCPR/C/127/D/2728/2016 (7 January 2020).</w:t>
      </w:r>
    </w:p>
  </w:footnote>
  <w:footnote w:id="8">
    <w:p w14:paraId="450BDEE5" w14:textId="351397BC" w:rsidR="005A78D4" w:rsidRPr="00A503D3" w:rsidRDefault="005A78D4"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See in </w:t>
      </w:r>
      <w:r w:rsidR="008C147A" w:rsidRPr="00A503D3">
        <w:rPr>
          <w:rFonts w:asciiTheme="majorBidi" w:hAnsiTheme="majorBidi" w:cstheme="majorBidi"/>
          <w:i/>
          <w:iCs/>
        </w:rPr>
        <w:t>Juliana et al v the United States of America</w:t>
      </w:r>
      <w:r w:rsidR="008C147A" w:rsidRPr="00A503D3">
        <w:rPr>
          <w:rFonts w:asciiTheme="majorBidi" w:hAnsiTheme="majorBidi" w:cstheme="majorBidi"/>
        </w:rPr>
        <w:t xml:space="preserve"> Case: 18-36082, (01/17/2020)</w:t>
      </w:r>
      <w:r w:rsidRPr="00A503D3">
        <w:rPr>
          <w:rFonts w:asciiTheme="majorBidi" w:hAnsiTheme="majorBidi" w:cstheme="majorBidi"/>
        </w:rPr>
        <w:t xml:space="preserve">; See also </w:t>
      </w:r>
      <w:r w:rsidR="00C63DAA" w:rsidRPr="00A503D3">
        <w:rPr>
          <w:rFonts w:asciiTheme="majorBidi" w:hAnsiTheme="majorBidi" w:cstheme="majorBidi"/>
        </w:rPr>
        <w:t xml:space="preserve">other examples such as the decision of the Stuttgart Regional Court in Deutsche </w:t>
      </w:r>
      <w:proofErr w:type="spellStart"/>
      <w:r w:rsidR="00C63DAA" w:rsidRPr="00A503D3">
        <w:rPr>
          <w:rFonts w:asciiTheme="majorBidi" w:hAnsiTheme="majorBidi" w:cstheme="majorBidi"/>
          <w:i/>
          <w:iCs/>
        </w:rPr>
        <w:t>Umwelthilfe</w:t>
      </w:r>
      <w:proofErr w:type="spellEnd"/>
      <w:r w:rsidR="00C63DAA" w:rsidRPr="00A503D3">
        <w:rPr>
          <w:rFonts w:asciiTheme="majorBidi" w:hAnsiTheme="majorBidi" w:cstheme="majorBidi"/>
          <w:i/>
          <w:iCs/>
        </w:rPr>
        <w:t xml:space="preserve"> (DUH) v. Mercedes-Benz AG</w:t>
      </w:r>
      <w:r w:rsidR="00C63DAA" w:rsidRPr="00A503D3">
        <w:rPr>
          <w:rFonts w:asciiTheme="majorBidi" w:hAnsiTheme="majorBidi" w:cstheme="majorBidi"/>
        </w:rPr>
        <w:t xml:space="preserve"> (2022) (under appeal), </w:t>
      </w:r>
      <w:hyperlink r:id="rId1" w:history="1">
        <w:r w:rsidR="00C63DAA" w:rsidRPr="00A503D3">
          <w:rPr>
            <w:rStyle w:val="Hyperlink"/>
            <w:rFonts w:asciiTheme="majorBidi" w:hAnsiTheme="majorBidi" w:cstheme="majorBidi"/>
          </w:rPr>
          <w:t>http://climatecasechart.com/non-us-case/deutsche-umwelthilfe-duh-v-mercedes-benz-ag/</w:t>
        </w:r>
      </w:hyperlink>
      <w:r w:rsidR="00C63DAA" w:rsidRPr="00A503D3">
        <w:rPr>
          <w:rFonts w:asciiTheme="majorBidi" w:hAnsiTheme="majorBidi" w:cstheme="majorBidi"/>
        </w:rPr>
        <w:t>;</w:t>
      </w:r>
      <w:r w:rsidR="00807BCA" w:rsidRPr="00A503D3">
        <w:rPr>
          <w:rFonts w:asciiTheme="majorBidi" w:hAnsiTheme="majorBidi" w:cstheme="majorBidi"/>
        </w:rPr>
        <w:t xml:space="preserve"> the Swiss Supreme Court in </w:t>
      </w:r>
      <w:r w:rsidR="00807BCA" w:rsidRPr="00A503D3">
        <w:rPr>
          <w:rFonts w:asciiTheme="majorBidi" w:hAnsiTheme="majorBidi" w:cstheme="majorBidi"/>
          <w:i/>
          <w:iCs/>
        </w:rPr>
        <w:t xml:space="preserve">Verein </w:t>
      </w:r>
      <w:proofErr w:type="spellStart"/>
      <w:r w:rsidR="00807BCA" w:rsidRPr="00A503D3">
        <w:rPr>
          <w:rFonts w:asciiTheme="majorBidi" w:hAnsiTheme="majorBidi" w:cstheme="majorBidi"/>
          <w:i/>
          <w:iCs/>
        </w:rPr>
        <w:t>KlimaSeniorinnen</w:t>
      </w:r>
      <w:proofErr w:type="spellEnd"/>
      <w:r w:rsidR="00807BCA" w:rsidRPr="00A503D3">
        <w:rPr>
          <w:rFonts w:asciiTheme="majorBidi" w:hAnsiTheme="majorBidi" w:cstheme="majorBidi"/>
          <w:i/>
          <w:iCs/>
        </w:rPr>
        <w:t xml:space="preserve"> Schweiz et al. v. Federal Department of the Environment, Transport, Energy and Communications (DETEC)</w:t>
      </w:r>
      <w:r w:rsidR="00807BCA" w:rsidRPr="00A503D3">
        <w:rPr>
          <w:rFonts w:asciiTheme="majorBidi" w:hAnsiTheme="majorBidi" w:cstheme="majorBidi"/>
        </w:rPr>
        <w:t xml:space="preserve"> (2020) unofficial English translation </w:t>
      </w:r>
      <w:hyperlink r:id="rId2" w:history="1">
        <w:r w:rsidR="00807BCA" w:rsidRPr="00A503D3">
          <w:rPr>
            <w:rStyle w:val="Hyperlink"/>
            <w:rFonts w:asciiTheme="majorBidi" w:hAnsiTheme="majorBidi" w:cstheme="majorBidi"/>
          </w:rPr>
          <w:t>http://climatecasechart.com/wp-content/uploads/sites/16/non-us-case-documents/2020/20200505_No.-A-29922017_judgment.pdf</w:t>
        </w:r>
      </w:hyperlink>
      <w:r w:rsidR="00896D09" w:rsidRPr="00A503D3">
        <w:rPr>
          <w:rFonts w:asciiTheme="majorBidi" w:hAnsiTheme="majorBidi" w:cstheme="majorBidi"/>
        </w:rPr>
        <w:t>.</w:t>
      </w:r>
      <w:r w:rsidR="008C147A" w:rsidRPr="00A503D3">
        <w:rPr>
          <w:rFonts w:asciiTheme="majorBidi" w:hAnsiTheme="majorBidi" w:cstheme="majorBidi"/>
        </w:rPr>
        <w:t xml:space="preserve"> The Australian Federal Court, in </w:t>
      </w:r>
      <w:r w:rsidR="008C147A" w:rsidRPr="00A503D3">
        <w:rPr>
          <w:rFonts w:asciiTheme="majorBidi" w:hAnsiTheme="majorBidi" w:cstheme="majorBidi"/>
          <w:i/>
          <w:iCs/>
        </w:rPr>
        <w:t xml:space="preserve">Minister for the Environment (Australia) v </w:t>
      </w:r>
      <w:proofErr w:type="gramStart"/>
      <w:r w:rsidR="008C147A" w:rsidRPr="00A503D3">
        <w:rPr>
          <w:rFonts w:asciiTheme="majorBidi" w:hAnsiTheme="majorBidi" w:cstheme="majorBidi"/>
          <w:i/>
          <w:iCs/>
        </w:rPr>
        <w:t xml:space="preserve">Sharma </w:t>
      </w:r>
      <w:r w:rsidR="008C147A" w:rsidRPr="00A503D3">
        <w:rPr>
          <w:rFonts w:asciiTheme="majorBidi" w:hAnsiTheme="majorBidi" w:cstheme="majorBidi"/>
        </w:rPr>
        <w:t>)</w:t>
      </w:r>
      <w:proofErr w:type="gramEnd"/>
      <w:r w:rsidR="008C147A" w:rsidRPr="00A503D3">
        <w:rPr>
          <w:rFonts w:asciiTheme="majorBidi" w:hAnsiTheme="majorBidi" w:cstheme="majorBidi"/>
        </w:rPr>
        <w:t xml:space="preserve"> [2022] FCAFC 65;</w:t>
      </w:r>
      <w:r w:rsidR="008C147A" w:rsidRPr="00A503D3">
        <w:rPr>
          <w:rFonts w:asciiTheme="majorBidi" w:hAnsiTheme="majorBidi" w:cstheme="majorBidi"/>
          <w:i/>
          <w:iCs/>
        </w:rPr>
        <w:t xml:space="preserve"> </w:t>
      </w:r>
      <w:r w:rsidR="00896D09" w:rsidRPr="00A503D3">
        <w:rPr>
          <w:rFonts w:asciiTheme="majorBidi" w:hAnsiTheme="majorBidi" w:cstheme="majorBidi"/>
        </w:rPr>
        <w:t xml:space="preserve"> In the UK, the court accepted </w:t>
      </w:r>
      <w:r w:rsidR="00681D81" w:rsidRPr="00A503D3">
        <w:rPr>
          <w:rFonts w:asciiTheme="majorBidi" w:hAnsiTheme="majorBidi" w:cstheme="majorBidi"/>
        </w:rPr>
        <w:t xml:space="preserve">cases based on issues such as lack of sufficient information presented to the legislator, but stressed that it ‘is not responsible for making political, social, or economic choices. Those decisions, and those choices, are ones that Parliament has entrusted to ministers and other public bodies. The choices may be matters of legitimate public debate, but they are not matters for the court to determine’. See the Divisional Court in R (Rights: Community: Action) v Secretary of State for Housing Communities and Local Government [2021], and the </w:t>
      </w:r>
      <w:r w:rsidR="00C31862" w:rsidRPr="00A503D3">
        <w:rPr>
          <w:rFonts w:asciiTheme="majorBidi" w:hAnsiTheme="majorBidi" w:cstheme="majorBidi"/>
        </w:rPr>
        <w:t>High Court ruling in R (</w:t>
      </w:r>
      <w:proofErr w:type="spellStart"/>
      <w:r w:rsidR="00C31862" w:rsidRPr="00A503D3">
        <w:rPr>
          <w:rFonts w:asciiTheme="majorBidi" w:hAnsiTheme="majorBidi" w:cstheme="majorBidi"/>
        </w:rPr>
        <w:t>oao</w:t>
      </w:r>
      <w:proofErr w:type="spellEnd"/>
      <w:r w:rsidR="00C31862" w:rsidRPr="00A503D3">
        <w:rPr>
          <w:rFonts w:asciiTheme="majorBidi" w:hAnsiTheme="majorBidi" w:cstheme="majorBidi"/>
        </w:rPr>
        <w:t xml:space="preserve"> Friends of the Earth) v. Secretary of State for Business Energy and Industrial Strategy (July 18</w:t>
      </w:r>
      <w:proofErr w:type="gramStart"/>
      <w:r w:rsidR="00C31862" w:rsidRPr="00A503D3">
        <w:rPr>
          <w:rFonts w:asciiTheme="majorBidi" w:hAnsiTheme="majorBidi" w:cstheme="majorBidi"/>
        </w:rPr>
        <w:t xml:space="preserve"> 2022</w:t>
      </w:r>
      <w:proofErr w:type="gramEnd"/>
      <w:r w:rsidR="00C31862" w:rsidRPr="00A503D3">
        <w:rPr>
          <w:rFonts w:asciiTheme="majorBidi" w:hAnsiTheme="majorBidi" w:cstheme="majorBidi"/>
        </w:rPr>
        <w:t xml:space="preserve">). </w:t>
      </w:r>
    </w:p>
  </w:footnote>
  <w:footnote w:id="9">
    <w:p w14:paraId="47452DB2" w14:textId="77777777" w:rsidR="00CD3B70" w:rsidRPr="009A4812" w:rsidRDefault="00CD3B70" w:rsidP="00CD3B70">
      <w:pPr>
        <w:pStyle w:val="FootnoteText"/>
        <w:rPr>
          <w:rFonts w:ascii="Times New Roman" w:hAnsi="Times New Roman" w:cs="Times New Roman"/>
        </w:rPr>
      </w:pPr>
      <w:r>
        <w:rPr>
          <w:rStyle w:val="FootnoteReference"/>
        </w:rPr>
        <w:footnoteRef/>
      </w:r>
      <w:r>
        <w:t xml:space="preserve"> </w:t>
      </w:r>
      <w:r w:rsidRPr="009A4812">
        <w:rPr>
          <w:rFonts w:ascii="Times New Roman" w:hAnsi="Times New Roman" w:cs="Times New Roman"/>
        </w:rPr>
        <w:t xml:space="preserve">The impact and relevance of climate litigation vis-a-vis climate migration was predicted already in 2017 in a UNEP report, which accurately stated/predicted back then: ‘A handful of cases in Australia and New Zealand offer a partial preview of how “climate refugees” will feature in climate change litigation. But the discussion in those cases of whether climate change impacts provide legally sufficient cause to authorize immigration does not presage the full scope of what we can expect to see as climate change-related pressures drive rates of intra- and international migration higher in the coming years and decades. “Climate refugee” litigation is also likely to arise over internal disaster recovery and resettlement efforts, international efforts to facilitate or directly support resettlement within or outside a country of origin, and access to resources within and across national borders amid shifting populations and changing </w:t>
      </w:r>
      <w:proofErr w:type="gramStart"/>
      <w:r w:rsidRPr="009A4812">
        <w:rPr>
          <w:rFonts w:ascii="Times New Roman" w:hAnsi="Times New Roman" w:cs="Times New Roman"/>
        </w:rPr>
        <w:t>climates’</w:t>
      </w:r>
      <w:proofErr w:type="gramEnd"/>
      <w:r w:rsidRPr="009A4812">
        <w:rPr>
          <w:rFonts w:ascii="Times New Roman" w:hAnsi="Times New Roman" w:cs="Times New Roman"/>
        </w:rPr>
        <w:t xml:space="preserve">.  UNEP, </w:t>
      </w:r>
      <w:r w:rsidRPr="00501E5A">
        <w:rPr>
          <w:rFonts w:ascii="Times New Roman" w:hAnsi="Times New Roman" w:cs="Times New Roman"/>
          <w:i/>
          <w:iCs/>
        </w:rPr>
        <w:t>The Status of Climate Change Litigation – A Global Review</w:t>
      </w:r>
      <w:r w:rsidRPr="009A4812">
        <w:rPr>
          <w:rFonts w:ascii="Times New Roman" w:hAnsi="Times New Roman" w:cs="Times New Roman"/>
        </w:rPr>
        <w:t xml:space="preserve"> (UNEP 2017), 25.</w:t>
      </w:r>
    </w:p>
  </w:footnote>
  <w:footnote w:id="10">
    <w:p w14:paraId="0B5FA2F3" w14:textId="55C0D55E" w:rsidR="00CD3B70" w:rsidRPr="006E24BE" w:rsidRDefault="00CD3B70">
      <w:pPr>
        <w:pStyle w:val="FootnoteText"/>
        <w:rPr>
          <w:rFonts w:ascii="Times New Roman" w:hAnsi="Times New Roman" w:cs="Times New Roman"/>
        </w:rPr>
      </w:pPr>
      <w:r>
        <w:rPr>
          <w:rStyle w:val="FootnoteReference"/>
        </w:rPr>
        <w:footnoteRef/>
      </w:r>
      <w:r>
        <w:t xml:space="preserve"> </w:t>
      </w:r>
      <w:r w:rsidR="006E24BE" w:rsidRPr="006E24BE">
        <w:rPr>
          <w:rFonts w:ascii="Times New Roman" w:hAnsi="Times New Roman" w:cs="Times New Roman"/>
        </w:rPr>
        <w:t>The term ‘climate migration’ was defined by the IOM as ‘the movement of a person or groups of persons who, predominantly for reasons of sudden or progressive change in the environment due to climate change, are obliged to leave their habitual place of residence, or choose to do so, either temporarily or permanently, within a State or across an international border’</w:t>
      </w:r>
      <w:r w:rsidR="00E002AC">
        <w:rPr>
          <w:rFonts w:ascii="Times New Roman" w:hAnsi="Times New Roman" w:cs="Times New Roman"/>
        </w:rPr>
        <w:t xml:space="preserve"> (IOM, </w:t>
      </w:r>
      <w:r w:rsidR="00E002AC">
        <w:rPr>
          <w:rFonts w:ascii="Times New Roman" w:hAnsi="Times New Roman" w:cs="Times New Roman"/>
          <w:i/>
          <w:iCs/>
        </w:rPr>
        <w:t xml:space="preserve">International Migration Law: Glossary on Migration </w:t>
      </w:r>
      <w:r w:rsidR="00E002AC">
        <w:rPr>
          <w:rFonts w:ascii="Times New Roman" w:hAnsi="Times New Roman" w:cs="Times New Roman"/>
        </w:rPr>
        <w:t>(IOM 2019) 31</w:t>
      </w:r>
      <w:r w:rsidR="006E24BE" w:rsidRPr="006E24BE">
        <w:rPr>
          <w:rFonts w:ascii="Times New Roman" w:hAnsi="Times New Roman" w:cs="Times New Roman"/>
        </w:rPr>
        <w:t xml:space="preserve">. </w:t>
      </w:r>
      <w:r w:rsidR="006E24BE" w:rsidRPr="00501E5A">
        <w:rPr>
          <w:rFonts w:ascii="Times New Roman" w:hAnsi="Times New Roman" w:cs="Times New Roman"/>
        </w:rPr>
        <w:t>The</w:t>
      </w:r>
      <w:r w:rsidR="006E24BE">
        <w:rPr>
          <w:rFonts w:ascii="Times New Roman" w:hAnsi="Times New Roman" w:cs="Times New Roman"/>
        </w:rPr>
        <w:t xml:space="preserve"> authors are aware of the variety of terms and heated debates surrounding the terminology in this area (</w:t>
      </w:r>
      <w:proofErr w:type="gramStart"/>
      <w:r w:rsidR="006E24BE">
        <w:rPr>
          <w:rFonts w:ascii="Times New Roman" w:hAnsi="Times New Roman" w:cs="Times New Roman"/>
        </w:rPr>
        <w:t>e.g.</w:t>
      </w:r>
      <w:proofErr w:type="gramEnd"/>
      <w:r w:rsidR="006E24BE">
        <w:rPr>
          <w:rFonts w:ascii="Times New Roman" w:hAnsi="Times New Roman" w:cs="Times New Roman"/>
        </w:rPr>
        <w:t xml:space="preserve"> ‘climate displacement’, ‘climate mobilities’, ‘environmental displacement’, ‘climate refugees’ and more). We have </w:t>
      </w:r>
      <w:proofErr w:type="gramStart"/>
      <w:r w:rsidR="006E24BE">
        <w:rPr>
          <w:rFonts w:ascii="Times New Roman" w:hAnsi="Times New Roman" w:cs="Times New Roman"/>
        </w:rPr>
        <w:t>addresses</w:t>
      </w:r>
      <w:proofErr w:type="gramEnd"/>
      <w:r w:rsidR="006E24BE">
        <w:rPr>
          <w:rFonts w:ascii="Times New Roman" w:hAnsi="Times New Roman" w:cs="Times New Roman"/>
        </w:rPr>
        <w:t xml:space="preserve"> this debate in our previous work, among others in </w:t>
      </w:r>
      <w:r w:rsidR="006E24BE" w:rsidRPr="006E24BE">
        <w:rPr>
          <w:rFonts w:ascii="Times New Roman" w:hAnsi="Times New Roman" w:cs="Times New Roman"/>
        </w:rPr>
        <w:t xml:space="preserve">Kent &amp; Behrman (n </w:t>
      </w:r>
      <w:r w:rsidR="006E24BE" w:rsidRPr="006E24BE">
        <w:rPr>
          <w:rFonts w:ascii="Times New Roman" w:hAnsi="Times New Roman" w:cs="Times New Roman"/>
        </w:rPr>
        <w:fldChar w:fldCharType="begin"/>
      </w:r>
      <w:r w:rsidR="006E24BE" w:rsidRPr="006E24BE">
        <w:rPr>
          <w:rFonts w:ascii="Times New Roman" w:hAnsi="Times New Roman" w:cs="Times New Roman"/>
        </w:rPr>
        <w:instrText xml:space="preserve"> NOTEREF _Ref132298201 \h </w:instrText>
      </w:r>
      <w:r w:rsidR="006E24BE">
        <w:rPr>
          <w:rFonts w:ascii="Times New Roman" w:hAnsi="Times New Roman" w:cs="Times New Roman"/>
        </w:rPr>
        <w:instrText xml:space="preserve"> \* MERGEFORMAT </w:instrText>
      </w:r>
      <w:r w:rsidR="006E24BE" w:rsidRPr="006E24BE">
        <w:rPr>
          <w:rFonts w:ascii="Times New Roman" w:hAnsi="Times New Roman" w:cs="Times New Roman"/>
        </w:rPr>
      </w:r>
      <w:r w:rsidR="006E24BE" w:rsidRPr="006E24BE">
        <w:rPr>
          <w:rFonts w:ascii="Times New Roman" w:hAnsi="Times New Roman" w:cs="Times New Roman"/>
        </w:rPr>
        <w:fldChar w:fldCharType="separate"/>
      </w:r>
      <w:r w:rsidR="00B02769">
        <w:rPr>
          <w:rFonts w:ascii="Times New Roman" w:hAnsi="Times New Roman" w:cs="Times New Roman"/>
        </w:rPr>
        <w:t>17</w:t>
      </w:r>
      <w:r w:rsidR="006E24BE" w:rsidRPr="006E24BE">
        <w:rPr>
          <w:rFonts w:ascii="Times New Roman" w:hAnsi="Times New Roman" w:cs="Times New Roman"/>
        </w:rPr>
        <w:fldChar w:fldCharType="end"/>
      </w:r>
      <w:r w:rsidR="006E24BE" w:rsidRPr="006E24BE">
        <w:rPr>
          <w:rFonts w:ascii="Times New Roman" w:hAnsi="Times New Roman" w:cs="Times New Roman"/>
        </w:rPr>
        <w:t>) chapter 2).</w:t>
      </w:r>
      <w:r w:rsidR="00407182">
        <w:rPr>
          <w:rFonts w:ascii="Times New Roman" w:hAnsi="Times New Roman" w:cs="Times New Roman"/>
        </w:rPr>
        <w:t xml:space="preserve"> </w:t>
      </w:r>
      <w:r>
        <w:rPr>
          <w:rFonts w:ascii="Times New Roman" w:hAnsi="Times New Roman" w:cs="Times New Roman"/>
        </w:rPr>
        <w:t xml:space="preserve"> </w:t>
      </w:r>
      <w:r w:rsidRPr="006E24BE">
        <w:rPr>
          <w:rFonts w:ascii="Times New Roman" w:hAnsi="Times New Roman" w:cs="Times New Roman"/>
        </w:rPr>
        <w:t xml:space="preserve"> </w:t>
      </w:r>
    </w:p>
  </w:footnote>
  <w:footnote w:id="11">
    <w:p w14:paraId="134F91DA" w14:textId="27895539" w:rsidR="008C5642" w:rsidRPr="00A503D3" w:rsidRDefault="008C5642"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Simon Behrman &amp; Avidan Kent (eds) ‘</w:t>
      </w:r>
      <w:r w:rsidRPr="00A503D3">
        <w:rPr>
          <w:rFonts w:asciiTheme="majorBidi" w:hAnsiTheme="majorBidi" w:cstheme="majorBidi"/>
          <w:i/>
          <w:iCs/>
        </w:rPr>
        <w:t xml:space="preserve">Climate Refugees’: Beyond the legal impasse? </w:t>
      </w:r>
      <w:r w:rsidRPr="00A503D3">
        <w:rPr>
          <w:rFonts w:asciiTheme="majorBidi" w:hAnsiTheme="majorBidi" w:cstheme="majorBidi"/>
        </w:rPr>
        <w:t xml:space="preserve">(Routledge 2018). </w:t>
      </w:r>
    </w:p>
  </w:footnote>
  <w:footnote w:id="12">
    <w:p w14:paraId="71A5CEDC" w14:textId="4FF7E5FF" w:rsidR="000D2B9A" w:rsidRPr="00A503D3" w:rsidRDefault="000D2B9A"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Convention Relating to the Status of Refugees, 28 July 1951, United Nations, Treaty Series, vol. 189.</w:t>
      </w:r>
    </w:p>
  </w:footnote>
  <w:footnote w:id="13">
    <w:p w14:paraId="7595B3AE" w14:textId="4C914CA5" w:rsidR="0014030A" w:rsidRPr="00CE07DE" w:rsidRDefault="0014030A">
      <w:pPr>
        <w:pStyle w:val="FootnoteText"/>
        <w:rPr>
          <w:rFonts w:ascii="Times New Roman" w:hAnsi="Times New Roman" w:cs="Times New Roman"/>
        </w:rPr>
      </w:pPr>
      <w:r w:rsidRPr="00CE07DE">
        <w:rPr>
          <w:rStyle w:val="FootnoteReference"/>
          <w:rFonts w:ascii="Times New Roman" w:hAnsi="Times New Roman" w:cs="Times New Roman"/>
        </w:rPr>
        <w:footnoteRef/>
      </w:r>
      <w:r w:rsidRPr="00CE07DE">
        <w:rPr>
          <w:rFonts w:ascii="Times New Roman" w:hAnsi="Times New Roman" w:cs="Times New Roman"/>
        </w:rPr>
        <w:t xml:space="preserve"> Ibid. Article 1</w:t>
      </w:r>
      <w:proofErr w:type="gramStart"/>
      <w:r w:rsidRPr="00CE07DE">
        <w:rPr>
          <w:rFonts w:ascii="Times New Roman" w:hAnsi="Times New Roman" w:cs="Times New Roman"/>
        </w:rPr>
        <w:t>A(</w:t>
      </w:r>
      <w:proofErr w:type="gramEnd"/>
      <w:r w:rsidRPr="00CE07DE">
        <w:rPr>
          <w:rFonts w:ascii="Times New Roman" w:hAnsi="Times New Roman" w:cs="Times New Roman"/>
        </w:rPr>
        <w:t>2)</w:t>
      </w:r>
      <w:r>
        <w:rPr>
          <w:rFonts w:ascii="Times New Roman" w:hAnsi="Times New Roman" w:cs="Times New Roman"/>
        </w:rPr>
        <w:t>.</w:t>
      </w:r>
    </w:p>
  </w:footnote>
  <w:footnote w:id="14">
    <w:p w14:paraId="25FE3BAD" w14:textId="1868B4A8" w:rsidR="00746BB2" w:rsidRPr="00CE07DE" w:rsidRDefault="00746BB2" w:rsidP="00746BB2">
      <w:pPr>
        <w:pStyle w:val="FootnoteText"/>
        <w:rPr>
          <w:rFonts w:ascii="Times New Roman" w:hAnsi="Times New Roman" w:cs="Times New Roman"/>
          <w:i/>
          <w:iCs/>
        </w:rPr>
      </w:pPr>
      <w:r w:rsidRPr="00CE07DE">
        <w:rPr>
          <w:rStyle w:val="FootnoteReference"/>
          <w:rFonts w:ascii="Times New Roman" w:hAnsi="Times New Roman" w:cs="Times New Roman"/>
        </w:rPr>
        <w:footnoteRef/>
      </w:r>
      <w:r w:rsidRPr="00CE07DE">
        <w:rPr>
          <w:rFonts w:ascii="Times New Roman" w:hAnsi="Times New Roman" w:cs="Times New Roman"/>
        </w:rPr>
        <w:t xml:space="preserve"> </w:t>
      </w:r>
      <w:proofErr w:type="gramStart"/>
      <w:r w:rsidRPr="00CE07DE">
        <w:rPr>
          <w:rFonts w:ascii="Times New Roman" w:hAnsi="Times New Roman" w:cs="Times New Roman"/>
        </w:rPr>
        <w:t>E.g.</w:t>
      </w:r>
      <w:proofErr w:type="gramEnd"/>
      <w:r w:rsidRPr="00CE07DE">
        <w:rPr>
          <w:rFonts w:ascii="Times New Roman" w:hAnsi="Times New Roman" w:cs="Times New Roman"/>
        </w:rPr>
        <w:t xml:space="preserve"> UNHCR, Handbook on Procedures and Criteria for Determining Refugee Status and Guidelines on International Protection, February 2019, HCR/1P/4/ENG/REV. 4, </w:t>
      </w:r>
      <w:r w:rsidR="005329E8" w:rsidRPr="00CE07DE">
        <w:rPr>
          <w:rFonts w:ascii="Times New Roman" w:hAnsi="Times New Roman" w:cs="Times New Roman"/>
        </w:rPr>
        <w:t>p</w:t>
      </w:r>
      <w:r w:rsidRPr="00CE07DE">
        <w:rPr>
          <w:rFonts w:ascii="Times New Roman" w:hAnsi="Times New Roman" w:cs="Times New Roman"/>
        </w:rPr>
        <w:t xml:space="preserve">ara. 39; </w:t>
      </w:r>
      <w:proofErr w:type="spellStart"/>
      <w:r w:rsidRPr="00CE07DE">
        <w:rPr>
          <w:rFonts w:ascii="Times New Roman" w:hAnsi="Times New Roman" w:cs="Times New Roman"/>
          <w:i/>
          <w:iCs/>
        </w:rPr>
        <w:t>Teitiota</w:t>
      </w:r>
      <w:proofErr w:type="spellEnd"/>
      <w:r w:rsidRPr="00CE07DE">
        <w:rPr>
          <w:rFonts w:ascii="Times New Roman" w:hAnsi="Times New Roman" w:cs="Times New Roman"/>
          <w:i/>
          <w:iCs/>
        </w:rPr>
        <w:t xml:space="preserve"> v.</w:t>
      </w:r>
      <w:r w:rsidRPr="00CE07DE">
        <w:rPr>
          <w:rFonts w:ascii="Times New Roman" w:hAnsi="Times New Roman" w:cs="Times New Roman"/>
        </w:rPr>
        <w:t xml:space="preserve"> </w:t>
      </w:r>
      <w:r w:rsidRPr="00CE07DE">
        <w:rPr>
          <w:rFonts w:ascii="Times New Roman" w:hAnsi="Times New Roman" w:cs="Times New Roman"/>
          <w:i/>
          <w:iCs/>
        </w:rPr>
        <w:t>The Chief Executive of the Ministry of Business, Innovation and Employment</w:t>
      </w:r>
      <w:r w:rsidR="005329E8" w:rsidRPr="00CE07DE">
        <w:rPr>
          <w:rFonts w:ascii="Times New Roman" w:hAnsi="Times New Roman" w:cs="Times New Roman"/>
        </w:rPr>
        <w:t xml:space="preserve"> [2015] NZSC 107</w:t>
      </w:r>
      <w:r w:rsidR="005329E8" w:rsidRPr="00CE07DE">
        <w:rPr>
          <w:rFonts w:ascii="Times New Roman" w:hAnsi="Times New Roman" w:cs="Times New Roman"/>
          <w:i/>
          <w:iCs/>
        </w:rPr>
        <w:t xml:space="preserve">, </w:t>
      </w:r>
      <w:r w:rsidR="005329E8" w:rsidRPr="00CE07DE">
        <w:rPr>
          <w:rFonts w:ascii="Times New Roman" w:hAnsi="Times New Roman" w:cs="Times New Roman"/>
        </w:rPr>
        <w:t>p</w:t>
      </w:r>
      <w:r w:rsidRPr="00CE07DE">
        <w:rPr>
          <w:rFonts w:ascii="Times New Roman" w:hAnsi="Times New Roman" w:cs="Times New Roman"/>
        </w:rPr>
        <w:t>ara. 13</w:t>
      </w:r>
    </w:p>
  </w:footnote>
  <w:footnote w:id="15">
    <w:p w14:paraId="7CEB1ADE" w14:textId="572940B7" w:rsidR="0014593C" w:rsidRPr="00CE07DE" w:rsidRDefault="0014593C">
      <w:pPr>
        <w:pStyle w:val="FootnoteText"/>
        <w:rPr>
          <w:rFonts w:ascii="Times New Roman" w:hAnsi="Times New Roman" w:cs="Times New Roman"/>
        </w:rPr>
      </w:pPr>
      <w:r w:rsidRPr="00CE07DE">
        <w:rPr>
          <w:rStyle w:val="FootnoteReference"/>
          <w:rFonts w:ascii="Times New Roman" w:hAnsi="Times New Roman" w:cs="Times New Roman"/>
        </w:rPr>
        <w:footnoteRef/>
      </w:r>
      <w:r w:rsidRPr="00CE07DE">
        <w:rPr>
          <w:rFonts w:ascii="Times New Roman" w:hAnsi="Times New Roman" w:cs="Times New Roman"/>
        </w:rPr>
        <w:t xml:space="preserve"> </w:t>
      </w:r>
      <w:r w:rsidR="00412D35" w:rsidRPr="00CE07DE">
        <w:rPr>
          <w:rFonts w:ascii="Times New Roman" w:hAnsi="Times New Roman" w:cs="Times New Roman"/>
          <w:color w:val="3F3F3F"/>
          <w:shd w:val="clear" w:color="auto" w:fill="F9F9F9"/>
        </w:rPr>
        <w:t>UN General Assembly, </w:t>
      </w:r>
      <w:r w:rsidR="00412D35" w:rsidRPr="00CE07DE">
        <w:rPr>
          <w:rFonts w:ascii="Times New Roman" w:hAnsi="Times New Roman" w:cs="Times New Roman"/>
          <w:i/>
          <w:iCs/>
          <w:color w:val="3F3F3F"/>
        </w:rPr>
        <w:t>Protocol Relating to the Status of Refugees</w:t>
      </w:r>
      <w:r w:rsidR="00412D35" w:rsidRPr="00CE07DE">
        <w:rPr>
          <w:rFonts w:ascii="Times New Roman" w:hAnsi="Times New Roman" w:cs="Times New Roman"/>
          <w:color w:val="3F3F3F"/>
          <w:shd w:val="clear" w:color="auto" w:fill="F9F9F9"/>
        </w:rPr>
        <w:t>, 31 January 1967, United Nations, Treaty Series, vol. 606, p. 267</w:t>
      </w:r>
    </w:p>
  </w:footnote>
  <w:footnote w:id="16">
    <w:p w14:paraId="66EF3AE7" w14:textId="46CBAB81" w:rsidR="00412D35" w:rsidRDefault="00412D35">
      <w:pPr>
        <w:pStyle w:val="FootnoteText"/>
      </w:pPr>
      <w:r w:rsidRPr="00CE07DE">
        <w:rPr>
          <w:rStyle w:val="FootnoteReference"/>
          <w:rFonts w:ascii="Times New Roman" w:hAnsi="Times New Roman" w:cs="Times New Roman"/>
        </w:rPr>
        <w:footnoteRef/>
      </w:r>
      <w:r w:rsidRPr="00CE07DE">
        <w:rPr>
          <w:rFonts w:ascii="Times New Roman" w:hAnsi="Times New Roman" w:cs="Times New Roman"/>
        </w:rPr>
        <w:t xml:space="preserve"> </w:t>
      </w:r>
      <w:proofErr w:type="gramStart"/>
      <w:r w:rsidRPr="00CE07DE">
        <w:rPr>
          <w:rFonts w:ascii="Times New Roman" w:hAnsi="Times New Roman" w:cs="Times New Roman"/>
        </w:rPr>
        <w:t>E.g.</w:t>
      </w:r>
      <w:proofErr w:type="gramEnd"/>
      <w:r w:rsidRPr="00CE07DE">
        <w:rPr>
          <w:rFonts w:ascii="Times New Roman" w:hAnsi="Times New Roman" w:cs="Times New Roman"/>
        </w:rPr>
        <w:t xml:space="preserve"> </w:t>
      </w:r>
      <w:r w:rsidRPr="00CE07DE">
        <w:rPr>
          <w:rFonts w:ascii="Times New Roman" w:hAnsi="Times New Roman" w:cs="Times New Roman"/>
          <w:i/>
          <w:iCs/>
        </w:rPr>
        <w:t>Shah and Islam v Secretary of State for the Home Department</w:t>
      </w:r>
      <w:r w:rsidRPr="00CE07DE">
        <w:rPr>
          <w:rFonts w:ascii="Times New Roman" w:hAnsi="Times New Roman" w:cs="Times New Roman"/>
        </w:rPr>
        <w:t xml:space="preserve"> [1999] 2 AC 629; </w:t>
      </w:r>
      <w:r w:rsidRPr="00CE07DE">
        <w:rPr>
          <w:rFonts w:ascii="Times New Roman" w:hAnsi="Times New Roman" w:cs="Times New Roman"/>
          <w:i/>
          <w:iCs/>
        </w:rPr>
        <w:t>HJ (Iran) and HT (Cameroon) v. Secretary of State for the Home Department</w:t>
      </w:r>
      <w:r w:rsidRPr="00CE07DE">
        <w:rPr>
          <w:rFonts w:ascii="Times New Roman" w:hAnsi="Times New Roman" w:cs="Times New Roman"/>
        </w:rPr>
        <w:t>, [2010] UKSC 31.</w:t>
      </w:r>
    </w:p>
  </w:footnote>
  <w:footnote w:id="17">
    <w:p w14:paraId="7B8E56D2" w14:textId="49DA54DD" w:rsidR="000D2B9A" w:rsidRPr="00A503D3" w:rsidRDefault="000D2B9A" w:rsidP="0073060E">
      <w:pPr>
        <w:spacing w:line="240" w:lineRule="auto"/>
        <w:rPr>
          <w:rFonts w:asciiTheme="majorBidi" w:hAnsiTheme="majorBidi" w:cstheme="majorBidi"/>
          <w:sz w:val="20"/>
          <w:szCs w:val="20"/>
        </w:rPr>
      </w:pPr>
      <w:r w:rsidRPr="00A503D3">
        <w:rPr>
          <w:rStyle w:val="FootnoteReference"/>
          <w:rFonts w:asciiTheme="majorBidi" w:hAnsiTheme="majorBidi" w:cstheme="majorBidi"/>
          <w:sz w:val="20"/>
          <w:szCs w:val="20"/>
        </w:rPr>
        <w:footnoteRef/>
      </w:r>
      <w:r w:rsidRPr="00A503D3">
        <w:rPr>
          <w:rFonts w:asciiTheme="majorBidi" w:hAnsiTheme="majorBidi" w:cstheme="majorBidi"/>
          <w:sz w:val="20"/>
          <w:szCs w:val="20"/>
        </w:rPr>
        <w:t xml:space="preserve"> This is not to argue that the term ‘refugee’ itself is static and pre-determined, and that there is no case for it to include the concept of ‘climate </w:t>
      </w:r>
      <w:proofErr w:type="gramStart"/>
      <w:r w:rsidRPr="00A503D3">
        <w:rPr>
          <w:rFonts w:asciiTheme="majorBidi" w:hAnsiTheme="majorBidi" w:cstheme="majorBidi"/>
          <w:sz w:val="20"/>
          <w:szCs w:val="20"/>
        </w:rPr>
        <w:t>refugees’</w:t>
      </w:r>
      <w:proofErr w:type="gramEnd"/>
      <w:r w:rsidRPr="00A503D3">
        <w:rPr>
          <w:rFonts w:asciiTheme="majorBidi" w:hAnsiTheme="majorBidi" w:cstheme="majorBidi"/>
          <w:sz w:val="20"/>
          <w:szCs w:val="20"/>
        </w:rPr>
        <w:t xml:space="preserve">. </w:t>
      </w:r>
      <w:r w:rsidR="002C3075">
        <w:rPr>
          <w:rFonts w:asciiTheme="majorBidi" w:hAnsiTheme="majorBidi" w:cstheme="majorBidi"/>
          <w:sz w:val="20"/>
          <w:szCs w:val="20"/>
        </w:rPr>
        <w:t xml:space="preserve">There are, in fact, wider definitions for the term ‘refugee’ which </w:t>
      </w:r>
      <w:r w:rsidR="002C3075">
        <w:rPr>
          <w:rFonts w:asciiTheme="majorBidi" w:hAnsiTheme="majorBidi" w:cstheme="majorBidi"/>
          <w:i/>
          <w:iCs/>
          <w:sz w:val="20"/>
          <w:szCs w:val="20"/>
        </w:rPr>
        <w:t xml:space="preserve">might </w:t>
      </w:r>
      <w:r w:rsidR="002C3075">
        <w:rPr>
          <w:rFonts w:asciiTheme="majorBidi" w:hAnsiTheme="majorBidi" w:cstheme="majorBidi"/>
          <w:sz w:val="20"/>
          <w:szCs w:val="20"/>
        </w:rPr>
        <w:t xml:space="preserve">cover environmental grounds, such as the those found in the </w:t>
      </w:r>
      <w:proofErr w:type="spellStart"/>
      <w:r w:rsidR="00A349D4" w:rsidRPr="00A349D4">
        <w:rPr>
          <w:rFonts w:asciiTheme="majorBidi" w:hAnsiTheme="majorBidi" w:cstheme="majorBidi"/>
          <w:sz w:val="20"/>
          <w:szCs w:val="20"/>
        </w:rPr>
        <w:t>the</w:t>
      </w:r>
      <w:proofErr w:type="spellEnd"/>
      <w:r w:rsidR="00A349D4" w:rsidRPr="00A349D4">
        <w:rPr>
          <w:rFonts w:asciiTheme="majorBidi" w:hAnsiTheme="majorBidi" w:cstheme="majorBidi"/>
          <w:sz w:val="20"/>
          <w:szCs w:val="20"/>
        </w:rPr>
        <w:t xml:space="preserve"> Organization of African Unity Refugee Convention of 1969 and the Cartagena Declaration of 1984</w:t>
      </w:r>
      <w:r w:rsidR="00A349D4">
        <w:rPr>
          <w:rFonts w:asciiTheme="majorBidi" w:hAnsiTheme="majorBidi" w:cstheme="majorBidi"/>
          <w:sz w:val="20"/>
          <w:szCs w:val="20"/>
        </w:rPr>
        <w:t>.</w:t>
      </w:r>
      <w:r w:rsidR="002C3075">
        <w:rPr>
          <w:rFonts w:asciiTheme="majorBidi" w:hAnsiTheme="majorBidi" w:cstheme="majorBidi"/>
          <w:sz w:val="20"/>
          <w:szCs w:val="20"/>
        </w:rPr>
        <w:t xml:space="preserve"> </w:t>
      </w:r>
      <w:r w:rsidRPr="00A503D3">
        <w:rPr>
          <w:rFonts w:asciiTheme="majorBidi" w:hAnsiTheme="majorBidi" w:cstheme="majorBidi"/>
          <w:sz w:val="20"/>
          <w:szCs w:val="20"/>
        </w:rPr>
        <w:t xml:space="preserve">We explored </w:t>
      </w:r>
      <w:r w:rsidR="002C3075">
        <w:rPr>
          <w:rFonts w:asciiTheme="majorBidi" w:hAnsiTheme="majorBidi" w:cstheme="majorBidi"/>
          <w:sz w:val="20"/>
          <w:szCs w:val="20"/>
        </w:rPr>
        <w:t xml:space="preserve">all </w:t>
      </w:r>
      <w:r w:rsidRPr="00A503D3">
        <w:rPr>
          <w:rFonts w:asciiTheme="majorBidi" w:hAnsiTheme="majorBidi" w:cstheme="majorBidi"/>
          <w:sz w:val="20"/>
          <w:szCs w:val="20"/>
        </w:rPr>
        <w:t>th</w:t>
      </w:r>
      <w:r w:rsidR="002C3075">
        <w:rPr>
          <w:rFonts w:asciiTheme="majorBidi" w:hAnsiTheme="majorBidi" w:cstheme="majorBidi"/>
          <w:sz w:val="20"/>
          <w:szCs w:val="20"/>
        </w:rPr>
        <w:t xml:space="preserve">ese </w:t>
      </w:r>
      <w:proofErr w:type="gramStart"/>
      <w:r w:rsidR="002C3075">
        <w:rPr>
          <w:rFonts w:asciiTheme="majorBidi" w:hAnsiTheme="majorBidi" w:cstheme="majorBidi"/>
          <w:sz w:val="20"/>
          <w:szCs w:val="20"/>
        </w:rPr>
        <w:t xml:space="preserve">issues </w:t>
      </w:r>
      <w:r w:rsidRPr="00A503D3">
        <w:rPr>
          <w:rFonts w:asciiTheme="majorBidi" w:hAnsiTheme="majorBidi" w:cstheme="majorBidi"/>
          <w:sz w:val="20"/>
          <w:szCs w:val="20"/>
        </w:rPr>
        <w:t xml:space="preserve"> elsewhere</w:t>
      </w:r>
      <w:proofErr w:type="gramEnd"/>
      <w:r w:rsidRPr="00A503D3">
        <w:rPr>
          <w:rFonts w:asciiTheme="majorBidi" w:hAnsiTheme="majorBidi" w:cstheme="majorBidi"/>
          <w:sz w:val="20"/>
          <w:szCs w:val="20"/>
        </w:rPr>
        <w:t xml:space="preserve">, see Avidan Kent &amp; Simon Behrman, </w:t>
      </w:r>
      <w:r w:rsidRPr="00A503D3">
        <w:rPr>
          <w:rFonts w:asciiTheme="majorBidi" w:hAnsiTheme="majorBidi" w:cstheme="majorBidi"/>
          <w:i/>
          <w:iCs/>
          <w:sz w:val="20"/>
          <w:szCs w:val="20"/>
        </w:rPr>
        <w:t xml:space="preserve">Facilitating the resettlement and rights of climate refugees </w:t>
      </w:r>
      <w:r w:rsidRPr="00A503D3">
        <w:rPr>
          <w:rFonts w:asciiTheme="majorBidi" w:hAnsiTheme="majorBidi" w:cstheme="majorBidi"/>
          <w:sz w:val="20"/>
          <w:szCs w:val="20"/>
        </w:rPr>
        <w:t xml:space="preserve">(Routledge 2018), chapter 2. </w:t>
      </w:r>
    </w:p>
  </w:footnote>
  <w:footnote w:id="18">
    <w:p w14:paraId="2585F415" w14:textId="4BB0E256" w:rsidR="009564C1" w:rsidRPr="00A503D3" w:rsidRDefault="009564C1"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For an overview of these compacts see Congressional Research Service, ‘The Compacts of Free Associations’ (August 15, 2022) </w:t>
      </w:r>
      <w:hyperlink r:id="rId3" w:anchor=":~:text=In%201986%2C%20Palau%20and%20the,U.S.%20assistance%20beginning%20in%201995" w:history="1">
        <w:r w:rsidRPr="00A503D3">
          <w:rPr>
            <w:rStyle w:val="Hyperlink"/>
            <w:rFonts w:asciiTheme="majorBidi" w:hAnsiTheme="majorBidi" w:cstheme="majorBidi"/>
          </w:rPr>
          <w:t>https://crsreports.congress.gov/product/pdf/IF/IF12194/1#:~:text=In%201986%2C%20Palau%20and%20the,U.S.%20assistance%20beginning%20in%201995</w:t>
        </w:r>
      </w:hyperlink>
      <w:r w:rsidRPr="00A503D3">
        <w:rPr>
          <w:rFonts w:asciiTheme="majorBidi" w:hAnsiTheme="majorBidi" w:cstheme="majorBidi"/>
        </w:rPr>
        <w:t>).</w:t>
      </w:r>
    </w:p>
  </w:footnote>
  <w:footnote w:id="19">
    <w:p w14:paraId="420F4B8B" w14:textId="71FAC97B" w:rsidR="00F4496D" w:rsidRPr="00A503D3" w:rsidRDefault="00F4496D"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IGAD Protocol on Free Movement of Persons in the IGAD Region (2020), Article 16.</w:t>
      </w:r>
    </w:p>
  </w:footnote>
  <w:footnote w:id="20">
    <w:p w14:paraId="37987FE4" w14:textId="50D61847" w:rsidR="0092737A" w:rsidRPr="00A503D3" w:rsidRDefault="0092737A"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UNFCCC, Decision 1/CP.16, para 14(f). </w:t>
      </w:r>
    </w:p>
  </w:footnote>
  <w:footnote w:id="21">
    <w:p w14:paraId="7AC09589" w14:textId="1282100A" w:rsidR="00CE46DA" w:rsidRPr="00A503D3" w:rsidRDefault="00CE46DA"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See review of institutional developments in this respect in our previous work, </w:t>
      </w:r>
      <w:r w:rsidR="000D2B9A" w:rsidRPr="00A503D3">
        <w:rPr>
          <w:rFonts w:asciiTheme="majorBidi" w:hAnsiTheme="majorBidi" w:cstheme="majorBidi"/>
        </w:rPr>
        <w:t xml:space="preserve">Kent &amp; Behrman (n </w:t>
      </w:r>
      <w:r w:rsidR="000D2B9A" w:rsidRPr="00A503D3">
        <w:rPr>
          <w:rFonts w:asciiTheme="majorBidi" w:hAnsiTheme="majorBidi" w:cstheme="majorBidi"/>
        </w:rPr>
        <w:fldChar w:fldCharType="begin"/>
      </w:r>
      <w:r w:rsidR="000D2B9A" w:rsidRPr="00A503D3">
        <w:rPr>
          <w:rFonts w:asciiTheme="majorBidi" w:hAnsiTheme="majorBidi" w:cstheme="majorBidi"/>
        </w:rPr>
        <w:instrText xml:space="preserve"> NOTEREF _Ref132298201 \h </w:instrText>
      </w:r>
      <w:r w:rsidR="00133C85" w:rsidRPr="00A503D3">
        <w:rPr>
          <w:rFonts w:asciiTheme="majorBidi" w:hAnsiTheme="majorBidi" w:cstheme="majorBidi"/>
        </w:rPr>
        <w:instrText xml:space="preserve"> \* MERGEFORMAT </w:instrText>
      </w:r>
      <w:r w:rsidR="000D2B9A" w:rsidRPr="00A503D3">
        <w:rPr>
          <w:rFonts w:asciiTheme="majorBidi" w:hAnsiTheme="majorBidi" w:cstheme="majorBidi"/>
        </w:rPr>
      </w:r>
      <w:r w:rsidR="000D2B9A" w:rsidRPr="00A503D3">
        <w:rPr>
          <w:rFonts w:asciiTheme="majorBidi" w:hAnsiTheme="majorBidi" w:cstheme="majorBidi"/>
        </w:rPr>
        <w:fldChar w:fldCharType="separate"/>
      </w:r>
      <w:r w:rsidR="00B02769">
        <w:rPr>
          <w:rFonts w:asciiTheme="majorBidi" w:hAnsiTheme="majorBidi" w:cstheme="majorBidi"/>
        </w:rPr>
        <w:t>17</w:t>
      </w:r>
      <w:r w:rsidR="000D2B9A" w:rsidRPr="00A503D3">
        <w:rPr>
          <w:rFonts w:asciiTheme="majorBidi" w:hAnsiTheme="majorBidi" w:cstheme="majorBidi"/>
        </w:rPr>
        <w:fldChar w:fldCharType="end"/>
      </w:r>
      <w:r w:rsidR="000D2B9A" w:rsidRPr="00A503D3">
        <w:rPr>
          <w:rFonts w:asciiTheme="majorBidi" w:hAnsiTheme="majorBidi" w:cstheme="majorBidi"/>
        </w:rPr>
        <w:t>)</w:t>
      </w:r>
      <w:r w:rsidRPr="00A503D3">
        <w:rPr>
          <w:rFonts w:asciiTheme="majorBidi" w:hAnsiTheme="majorBidi" w:cstheme="majorBidi"/>
        </w:rPr>
        <w:t xml:space="preserve"> chapter 4. </w:t>
      </w:r>
    </w:p>
  </w:footnote>
  <w:footnote w:id="22">
    <w:p w14:paraId="5A4E9FD8" w14:textId="1DFBBC63" w:rsidR="000F781C" w:rsidRPr="00A503D3" w:rsidRDefault="000F781C"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UNFCCC, </w:t>
      </w:r>
      <w:r w:rsidR="00D1620D" w:rsidRPr="00A503D3">
        <w:rPr>
          <w:rFonts w:asciiTheme="majorBidi" w:hAnsiTheme="majorBidi" w:cstheme="majorBidi"/>
        </w:rPr>
        <w:t xml:space="preserve">Decision 1/CP.21, </w:t>
      </w:r>
      <w:r w:rsidRPr="00A503D3">
        <w:rPr>
          <w:rFonts w:asciiTheme="majorBidi" w:hAnsiTheme="majorBidi" w:cstheme="majorBidi"/>
        </w:rPr>
        <w:t>para 49.</w:t>
      </w:r>
    </w:p>
  </w:footnote>
  <w:footnote w:id="23">
    <w:p w14:paraId="04887609" w14:textId="095833BC" w:rsidR="00557D3C" w:rsidRPr="00A503D3" w:rsidRDefault="00557D3C" w:rsidP="0073060E">
      <w:pPr>
        <w:pStyle w:val="FootnoteText"/>
        <w:rPr>
          <w:rFonts w:asciiTheme="majorBidi" w:hAnsiTheme="majorBidi" w:cstheme="majorBidi"/>
        </w:rPr>
      </w:pPr>
      <w:r w:rsidRPr="00CB6B90">
        <w:rPr>
          <w:rStyle w:val="FootnoteReference"/>
          <w:rFonts w:asciiTheme="majorBidi" w:hAnsiTheme="majorBidi" w:cstheme="majorBidi"/>
        </w:rPr>
        <w:footnoteRef/>
      </w:r>
      <w:r w:rsidRPr="00A503D3">
        <w:rPr>
          <w:rFonts w:asciiTheme="majorBidi" w:hAnsiTheme="majorBidi" w:cstheme="majorBidi"/>
        </w:rPr>
        <w:t xml:space="preserve"> </w:t>
      </w:r>
      <w:r w:rsidR="00CB6B90" w:rsidRPr="00A503D3">
        <w:rPr>
          <w:rFonts w:asciiTheme="majorBidi" w:hAnsiTheme="majorBidi" w:cstheme="majorBidi"/>
        </w:rPr>
        <w:t xml:space="preserve">Kent &amp; Behrman (n </w:t>
      </w:r>
      <w:r w:rsidR="00CB6B90" w:rsidRPr="00A503D3">
        <w:rPr>
          <w:rFonts w:asciiTheme="majorBidi" w:hAnsiTheme="majorBidi" w:cstheme="majorBidi"/>
        </w:rPr>
        <w:fldChar w:fldCharType="begin"/>
      </w:r>
      <w:r w:rsidR="00CB6B90" w:rsidRPr="00A503D3">
        <w:rPr>
          <w:rFonts w:asciiTheme="majorBidi" w:hAnsiTheme="majorBidi" w:cstheme="majorBidi"/>
        </w:rPr>
        <w:instrText xml:space="preserve"> NOTEREF _Ref132298201 \h  \* MERGEFORMAT </w:instrText>
      </w:r>
      <w:r w:rsidR="00CB6B90" w:rsidRPr="00A503D3">
        <w:rPr>
          <w:rFonts w:asciiTheme="majorBidi" w:hAnsiTheme="majorBidi" w:cstheme="majorBidi"/>
        </w:rPr>
      </w:r>
      <w:r w:rsidR="00CB6B90" w:rsidRPr="00A503D3">
        <w:rPr>
          <w:rFonts w:asciiTheme="majorBidi" w:hAnsiTheme="majorBidi" w:cstheme="majorBidi"/>
        </w:rPr>
        <w:fldChar w:fldCharType="separate"/>
      </w:r>
      <w:r w:rsidR="00B02769">
        <w:rPr>
          <w:rFonts w:asciiTheme="majorBidi" w:hAnsiTheme="majorBidi" w:cstheme="majorBidi"/>
        </w:rPr>
        <w:t>17</w:t>
      </w:r>
      <w:r w:rsidR="00CB6B90" w:rsidRPr="00A503D3">
        <w:rPr>
          <w:rFonts w:asciiTheme="majorBidi" w:hAnsiTheme="majorBidi" w:cstheme="majorBidi"/>
        </w:rPr>
        <w:fldChar w:fldCharType="end"/>
      </w:r>
      <w:r w:rsidR="00CB6B90" w:rsidRPr="00A503D3">
        <w:rPr>
          <w:rFonts w:asciiTheme="majorBidi" w:hAnsiTheme="majorBidi" w:cstheme="majorBidi"/>
        </w:rPr>
        <w:t>) chapter</w:t>
      </w:r>
      <w:r w:rsidR="00CB6B90">
        <w:rPr>
          <w:rFonts w:asciiTheme="majorBidi" w:hAnsiTheme="majorBidi" w:cstheme="majorBidi"/>
        </w:rPr>
        <w:t xml:space="preserve"> 1. </w:t>
      </w:r>
    </w:p>
  </w:footnote>
  <w:footnote w:id="24">
    <w:p w14:paraId="617B1B4C" w14:textId="4F7FFEB1" w:rsidR="000C3751" w:rsidRPr="00A503D3" w:rsidRDefault="000C3751"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Other relevant developments that we did not discuss due to limited space and scope include the Sendai Framework for Disaster Risk Reduction; the Migrants in Countries in Crisis (MICIC) Guidelines; the International Law Commission (ILC) Draft Articles on the Protection of Persons in the Events of Disasters (as well as the ILC mandate to examine issues of sea-level rise in relation to international law); the Global Compact on Refugees, and to a lesser extent statements by bodies such as the International Law Association (ILA).</w:t>
      </w:r>
    </w:p>
  </w:footnote>
  <w:footnote w:id="25">
    <w:p w14:paraId="1F581EE2" w14:textId="59C91904" w:rsidR="006F0C3F" w:rsidRDefault="006F0C3F" w:rsidP="006F0C3F">
      <w:pPr>
        <w:pStyle w:val="FootnoteText"/>
      </w:pPr>
      <w:r>
        <w:rPr>
          <w:rStyle w:val="FootnoteReference"/>
        </w:rPr>
        <w:footnoteRef/>
      </w:r>
      <w:r>
        <w:t xml:space="preserve"> </w:t>
      </w:r>
      <w:r w:rsidRPr="006F0C3F">
        <w:rPr>
          <w:rFonts w:asciiTheme="majorBidi" w:hAnsiTheme="majorBidi" w:cstheme="majorBidi"/>
        </w:rPr>
        <w:t xml:space="preserve">The link between climate migration and human rights law was recognised </w:t>
      </w:r>
      <w:r w:rsidRPr="00844F4B">
        <w:rPr>
          <w:rFonts w:asciiTheme="majorBidi" w:hAnsiTheme="majorBidi" w:cstheme="majorBidi"/>
        </w:rPr>
        <w:t>inter alia</w:t>
      </w:r>
      <w:r w:rsidRPr="006F0C3F">
        <w:rPr>
          <w:rFonts w:asciiTheme="majorBidi" w:hAnsiTheme="majorBidi" w:cstheme="majorBidi"/>
        </w:rPr>
        <w:t xml:space="preserve"> in UN Human Rights Council Resolution (2017) UN Doc A/HRC/RES/35/20</w:t>
      </w:r>
      <w:r w:rsidR="008F033A">
        <w:rPr>
          <w:rFonts w:asciiTheme="majorBidi" w:hAnsiTheme="majorBidi" w:cstheme="majorBidi"/>
        </w:rPr>
        <w:t xml:space="preserve">; UN Human Rights Council, </w:t>
      </w:r>
      <w:r w:rsidR="008F033A" w:rsidRPr="00844F4B">
        <w:rPr>
          <w:rFonts w:asciiTheme="majorBidi" w:hAnsiTheme="majorBidi" w:cstheme="majorBidi"/>
        </w:rPr>
        <w:t>Report of the Special Rapporteur on the promotion and protection of human rights in the context of climate change, Ian Fry, ‘Providing legal options to protect the human rights of persons displaced across international borders due to climate change’ (2023) UN Doc A/HRC/53/34.</w:t>
      </w:r>
      <w:r w:rsidR="008F033A">
        <w:t xml:space="preserve"> </w:t>
      </w:r>
    </w:p>
  </w:footnote>
  <w:footnote w:id="26">
    <w:p w14:paraId="3EB90059" w14:textId="72646632" w:rsidR="0068141A" w:rsidRPr="00A503D3" w:rsidRDefault="0068141A"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The list of protected rights found in the UN Guiding Principles on Internal Migration is indicative in this respect. </w:t>
      </w:r>
      <w:r w:rsidRPr="00A503D3">
        <w:rPr>
          <w:rFonts w:asciiTheme="majorBidi" w:hAnsiTheme="majorBidi" w:cstheme="majorBidi"/>
          <w:i/>
          <w:iCs/>
        </w:rPr>
        <w:t>United Nations Guiding Principles on Internal Displacement</w:t>
      </w:r>
      <w:r w:rsidRPr="00A503D3">
        <w:rPr>
          <w:rFonts w:asciiTheme="majorBidi" w:hAnsiTheme="majorBidi" w:cstheme="majorBidi"/>
        </w:rPr>
        <w:t xml:space="preserve"> (1998) UN Doc E/CN.4/1998/53/Add.2.</w:t>
      </w:r>
    </w:p>
  </w:footnote>
  <w:footnote w:id="27">
    <w:p w14:paraId="44952B8E" w14:textId="4ECDD470" w:rsidR="008C0402" w:rsidRPr="00A503D3" w:rsidRDefault="008C0402"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See our review of the case, and our criticism of the Human Rights Committee’s analysis of the relevance of the right to life in the context of Kiribati’s residents, in Simon Behrman &amp; Avidan Kent ‘The </w:t>
      </w:r>
      <w:proofErr w:type="spellStart"/>
      <w:r w:rsidRPr="00A503D3">
        <w:rPr>
          <w:rFonts w:asciiTheme="majorBidi" w:hAnsiTheme="majorBidi" w:cstheme="majorBidi"/>
        </w:rPr>
        <w:t>Teitiota</w:t>
      </w:r>
      <w:proofErr w:type="spellEnd"/>
      <w:r w:rsidRPr="00A503D3">
        <w:rPr>
          <w:rFonts w:asciiTheme="majorBidi" w:hAnsiTheme="majorBidi" w:cstheme="majorBidi"/>
        </w:rPr>
        <w:t xml:space="preserve"> case and the limitations of the human rights framework’ (2020)75 Questions of International Law 25. </w:t>
      </w:r>
    </w:p>
  </w:footnote>
  <w:footnote w:id="28">
    <w:p w14:paraId="2460952F" w14:textId="0B7A664D" w:rsidR="00247B08" w:rsidRPr="00A503D3" w:rsidRDefault="00247B08"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A more comprehensive review can be found in our previous work, see Kent &amp; Behrman, </w:t>
      </w:r>
      <w:r w:rsidRPr="00A503D3">
        <w:rPr>
          <w:rFonts w:asciiTheme="majorBidi" w:hAnsiTheme="majorBidi" w:cstheme="majorBidi"/>
          <w:i/>
          <w:iCs/>
        </w:rPr>
        <w:t xml:space="preserve">Facilitating the resettlement and rights of climate refugees </w:t>
      </w:r>
      <w:r w:rsidRPr="00A503D3">
        <w:rPr>
          <w:rFonts w:asciiTheme="majorBidi" w:hAnsiTheme="majorBidi" w:cstheme="majorBidi"/>
        </w:rPr>
        <w:t xml:space="preserve">(n </w:t>
      </w:r>
      <w:r w:rsidRPr="00A503D3">
        <w:rPr>
          <w:rFonts w:asciiTheme="majorBidi" w:hAnsiTheme="majorBidi" w:cstheme="majorBidi"/>
        </w:rPr>
        <w:fldChar w:fldCharType="begin"/>
      </w:r>
      <w:r w:rsidRPr="00A503D3">
        <w:rPr>
          <w:rFonts w:asciiTheme="majorBidi" w:hAnsiTheme="majorBidi" w:cstheme="majorBidi"/>
        </w:rPr>
        <w:instrText xml:space="preserve"> NOTEREF _Ref132298201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17</w:t>
      </w:r>
      <w:r w:rsidRPr="00A503D3">
        <w:rPr>
          <w:rFonts w:asciiTheme="majorBidi" w:hAnsiTheme="majorBidi" w:cstheme="majorBidi"/>
        </w:rPr>
        <w:fldChar w:fldCharType="end"/>
      </w:r>
      <w:r w:rsidRPr="00A503D3">
        <w:rPr>
          <w:rFonts w:asciiTheme="majorBidi" w:hAnsiTheme="majorBidi" w:cstheme="majorBidi"/>
        </w:rPr>
        <w:t xml:space="preserve">) chapter 1. </w:t>
      </w:r>
    </w:p>
  </w:footnote>
  <w:footnote w:id="29">
    <w:p w14:paraId="7BF2DC12" w14:textId="09BDC5C9" w:rsidR="0045143D" w:rsidRPr="00A503D3" w:rsidRDefault="0045143D"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Some rare examples were mentioned above, </w:t>
      </w:r>
      <w:proofErr w:type="gramStart"/>
      <w:r w:rsidRPr="00A503D3">
        <w:rPr>
          <w:rFonts w:asciiTheme="majorBidi" w:hAnsiTheme="majorBidi" w:cstheme="majorBidi"/>
        </w:rPr>
        <w:t>e.g.</w:t>
      </w:r>
      <w:proofErr w:type="gramEnd"/>
      <w:r w:rsidRPr="00A503D3">
        <w:rPr>
          <w:rFonts w:asciiTheme="majorBidi" w:hAnsiTheme="majorBidi" w:cstheme="majorBidi"/>
        </w:rPr>
        <w:t xml:space="preserve"> the Compacts of Free Association between the United States and Micronesia, Marshall Islands and Palau, and the IGAD Protocol (n </w:t>
      </w:r>
      <w:r w:rsidRPr="00A503D3">
        <w:rPr>
          <w:rFonts w:asciiTheme="majorBidi" w:hAnsiTheme="majorBidi" w:cstheme="majorBidi"/>
        </w:rPr>
        <w:fldChar w:fldCharType="begin"/>
      </w:r>
      <w:r w:rsidRPr="00A503D3">
        <w:rPr>
          <w:rFonts w:asciiTheme="majorBidi" w:hAnsiTheme="majorBidi" w:cstheme="majorBidi"/>
        </w:rPr>
        <w:instrText xml:space="preserve"> NOTEREF _Ref132464988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19</w:t>
      </w:r>
      <w:r w:rsidRPr="00A503D3">
        <w:rPr>
          <w:rFonts w:asciiTheme="majorBidi" w:hAnsiTheme="majorBidi" w:cstheme="majorBidi"/>
        </w:rPr>
        <w:fldChar w:fldCharType="end"/>
      </w:r>
      <w:r w:rsidRPr="00A503D3">
        <w:rPr>
          <w:rFonts w:asciiTheme="majorBidi" w:hAnsiTheme="majorBidi" w:cstheme="majorBidi"/>
        </w:rPr>
        <w:t>).</w:t>
      </w:r>
    </w:p>
  </w:footnote>
  <w:footnote w:id="30">
    <w:p w14:paraId="12E78ED6" w14:textId="3F0EFA8E" w:rsidR="002E60D2" w:rsidRPr="00A503D3" w:rsidRDefault="002E60D2"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3F5B5C" w:rsidRPr="00A503D3">
        <w:rPr>
          <w:rFonts w:asciiTheme="majorBidi" w:hAnsiTheme="majorBidi" w:cstheme="majorBidi"/>
          <w:color w:val="000000" w:themeColor="text1"/>
          <w:lang w:val="en-US"/>
        </w:rPr>
        <w:t xml:space="preserve">UN Human Rights Committee (HRC), </w:t>
      </w:r>
      <w:r w:rsidR="003F5B5C" w:rsidRPr="00A503D3">
        <w:rPr>
          <w:rFonts w:asciiTheme="majorBidi" w:hAnsiTheme="majorBidi" w:cstheme="majorBidi"/>
          <w:i/>
          <w:iCs/>
          <w:color w:val="000000" w:themeColor="text1"/>
          <w:lang w:val="en-US"/>
        </w:rPr>
        <w:t xml:space="preserve">Ioane </w:t>
      </w:r>
      <w:proofErr w:type="spellStart"/>
      <w:r w:rsidR="003F5B5C" w:rsidRPr="00A503D3">
        <w:rPr>
          <w:rFonts w:asciiTheme="majorBidi" w:hAnsiTheme="majorBidi" w:cstheme="majorBidi"/>
          <w:i/>
          <w:iCs/>
          <w:color w:val="000000" w:themeColor="text1"/>
          <w:lang w:val="en-US"/>
        </w:rPr>
        <w:t>Teitiota</w:t>
      </w:r>
      <w:proofErr w:type="spellEnd"/>
      <w:r w:rsidR="003F5B5C" w:rsidRPr="00A503D3">
        <w:rPr>
          <w:rFonts w:asciiTheme="majorBidi" w:hAnsiTheme="majorBidi" w:cstheme="majorBidi"/>
          <w:i/>
          <w:iCs/>
          <w:color w:val="000000" w:themeColor="text1"/>
          <w:lang w:val="en-US"/>
        </w:rPr>
        <w:t xml:space="preserve"> v New Zealand) </w:t>
      </w:r>
      <w:r w:rsidR="003F5B5C" w:rsidRPr="00A503D3">
        <w:rPr>
          <w:rFonts w:asciiTheme="majorBidi" w:hAnsiTheme="majorBidi" w:cstheme="majorBidi"/>
          <w:color w:val="000000" w:themeColor="text1"/>
          <w:lang w:val="en-US"/>
        </w:rPr>
        <w:t>UN Doc CCPR/C/127/D/2728/2016 (7 January 2020).</w:t>
      </w:r>
    </w:p>
  </w:footnote>
  <w:footnote w:id="31">
    <w:p w14:paraId="78EB04E6" w14:textId="6450149F" w:rsidR="003F5B5C" w:rsidRPr="00A503D3" w:rsidRDefault="003F5B5C" w:rsidP="00967016">
      <w:pPr>
        <w:pStyle w:val="FootnoteText"/>
        <w:jc w:val="both"/>
        <w:rPr>
          <w:rFonts w:asciiTheme="majorBidi" w:hAnsiTheme="majorBidi" w:cstheme="majorBidi"/>
          <w:color w:val="000000" w:themeColor="text1"/>
          <w:lang w:val="en-US"/>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1C4F07" w:rsidRPr="00A503D3">
        <w:rPr>
          <w:rFonts w:asciiTheme="majorBidi" w:hAnsiTheme="majorBidi" w:cstheme="majorBidi"/>
          <w:color w:val="000000" w:themeColor="text1"/>
          <w:lang w:val="en-US"/>
        </w:rPr>
        <w:t xml:space="preserve">Jane McAdam, ‘Protecting people displaced by the impacts of climate change: The UN Human Rights Committee and the principle of </w:t>
      </w:r>
      <w:r w:rsidR="001C4F07" w:rsidRPr="00A503D3">
        <w:rPr>
          <w:rFonts w:asciiTheme="majorBidi" w:hAnsiTheme="majorBidi" w:cstheme="majorBidi"/>
          <w:i/>
          <w:color w:val="000000" w:themeColor="text1"/>
          <w:lang w:val="en-US"/>
        </w:rPr>
        <w:t xml:space="preserve">non-refoulement’ </w:t>
      </w:r>
      <w:r w:rsidR="001C4F07" w:rsidRPr="00A503D3">
        <w:rPr>
          <w:rFonts w:asciiTheme="majorBidi" w:hAnsiTheme="majorBidi" w:cstheme="majorBidi"/>
          <w:color w:val="000000" w:themeColor="text1"/>
          <w:lang w:val="en-US"/>
        </w:rPr>
        <w:t>(2020)</w:t>
      </w:r>
      <w:r w:rsidR="001C4F07" w:rsidRPr="00A503D3">
        <w:rPr>
          <w:rFonts w:asciiTheme="majorBidi" w:hAnsiTheme="majorBidi" w:cstheme="majorBidi"/>
          <w:i/>
          <w:color w:val="000000" w:themeColor="text1"/>
          <w:lang w:val="en-US"/>
        </w:rPr>
        <w:t xml:space="preserve"> American Journal of International Law</w:t>
      </w:r>
      <w:r w:rsidR="001C4F07" w:rsidRPr="00A503D3">
        <w:rPr>
          <w:rFonts w:asciiTheme="majorBidi" w:hAnsiTheme="majorBidi" w:cstheme="majorBidi"/>
          <w:color w:val="000000" w:themeColor="text1"/>
          <w:lang w:val="en-US"/>
        </w:rPr>
        <w:t xml:space="preserve"> 114:4 p718-719; </w:t>
      </w:r>
      <w:r w:rsidR="001C4F07" w:rsidRPr="00A503D3">
        <w:rPr>
          <w:rFonts w:asciiTheme="majorBidi" w:hAnsiTheme="majorBidi" w:cstheme="majorBidi"/>
        </w:rPr>
        <w:t xml:space="preserve">Duncan </w:t>
      </w:r>
      <w:proofErr w:type="spellStart"/>
      <w:r w:rsidR="001C4F07" w:rsidRPr="00A503D3">
        <w:rPr>
          <w:rFonts w:asciiTheme="majorBidi" w:hAnsiTheme="majorBidi" w:cstheme="majorBidi"/>
        </w:rPr>
        <w:t>Muhumuza</w:t>
      </w:r>
      <w:proofErr w:type="spellEnd"/>
      <w:r w:rsidR="001C4F07" w:rsidRPr="00A503D3">
        <w:rPr>
          <w:rFonts w:asciiTheme="majorBidi" w:hAnsiTheme="majorBidi" w:cstheme="majorBidi"/>
        </w:rPr>
        <w:t xml:space="preserve"> </w:t>
      </w:r>
      <w:proofErr w:type="spellStart"/>
      <w:r w:rsidR="001C4F07" w:rsidRPr="00A503D3">
        <w:rPr>
          <w:rFonts w:asciiTheme="majorBidi" w:hAnsiTheme="majorBidi" w:cstheme="majorBidi"/>
        </w:rPr>
        <w:t>Laki</w:t>
      </w:r>
      <w:proofErr w:type="spellEnd"/>
      <w:r w:rsidR="001C4F07" w:rsidRPr="00A503D3">
        <w:rPr>
          <w:rFonts w:asciiTheme="majorBidi" w:hAnsiTheme="majorBidi" w:cstheme="majorBidi"/>
        </w:rPr>
        <w:t xml:space="preserve"> ‘The case of Ioane </w:t>
      </w:r>
      <w:proofErr w:type="spellStart"/>
      <w:r w:rsidR="001C4F07" w:rsidRPr="00A503D3">
        <w:rPr>
          <w:rFonts w:asciiTheme="majorBidi" w:hAnsiTheme="majorBidi" w:cstheme="majorBidi"/>
        </w:rPr>
        <w:t>Teitiota</w:t>
      </w:r>
      <w:proofErr w:type="spellEnd"/>
      <w:r w:rsidR="001C4F07" w:rsidRPr="00A503D3">
        <w:rPr>
          <w:rFonts w:asciiTheme="majorBidi" w:hAnsiTheme="majorBidi" w:cstheme="majorBidi"/>
        </w:rPr>
        <w:t xml:space="preserve"> v New Zealand at the Human Rights Committee: A common sense approach?’ (2021)115 ASIL Proceeding of the 116</w:t>
      </w:r>
      <w:r w:rsidR="001C4F07" w:rsidRPr="00A503D3">
        <w:rPr>
          <w:rFonts w:asciiTheme="majorBidi" w:hAnsiTheme="majorBidi" w:cstheme="majorBidi"/>
          <w:vertAlign w:val="superscript"/>
        </w:rPr>
        <w:t>th</w:t>
      </w:r>
      <w:r w:rsidR="001C4F07" w:rsidRPr="00A503D3">
        <w:rPr>
          <w:rFonts w:asciiTheme="majorBidi" w:hAnsiTheme="majorBidi" w:cstheme="majorBidi"/>
        </w:rPr>
        <w:t xml:space="preserve"> Annual Meeting 161.</w:t>
      </w:r>
    </w:p>
  </w:footnote>
  <w:footnote w:id="32">
    <w:p w14:paraId="408EACFB" w14:textId="0F8D1959" w:rsidR="003F5B5C" w:rsidRPr="00A503D3" w:rsidRDefault="003F5B5C"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B</w:t>
      </w:r>
      <w:r w:rsidR="00313F42" w:rsidRPr="00A503D3">
        <w:rPr>
          <w:rFonts w:asciiTheme="majorBidi" w:hAnsiTheme="majorBidi" w:cstheme="majorBidi"/>
        </w:rPr>
        <w:t>e</w:t>
      </w:r>
      <w:r w:rsidRPr="00A503D3">
        <w:rPr>
          <w:rFonts w:asciiTheme="majorBidi" w:hAnsiTheme="majorBidi" w:cstheme="majorBidi"/>
        </w:rPr>
        <w:t xml:space="preserve">hrman &amp; Kent (n </w:t>
      </w:r>
      <w:r w:rsidRPr="00A503D3">
        <w:rPr>
          <w:rFonts w:asciiTheme="majorBidi" w:hAnsiTheme="majorBidi" w:cstheme="majorBidi"/>
        </w:rPr>
        <w:fldChar w:fldCharType="begin"/>
      </w:r>
      <w:r w:rsidRPr="00A503D3">
        <w:rPr>
          <w:rFonts w:asciiTheme="majorBidi" w:hAnsiTheme="majorBidi" w:cstheme="majorBidi"/>
        </w:rPr>
        <w:instrText xml:space="preserve"> NOTEREF _Ref132534182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27</w:t>
      </w:r>
      <w:r w:rsidRPr="00A503D3">
        <w:rPr>
          <w:rFonts w:asciiTheme="majorBidi" w:hAnsiTheme="majorBidi" w:cstheme="majorBidi"/>
        </w:rPr>
        <w:fldChar w:fldCharType="end"/>
      </w:r>
      <w:r w:rsidRPr="00A503D3">
        <w:rPr>
          <w:rFonts w:asciiTheme="majorBidi" w:hAnsiTheme="majorBidi" w:cstheme="majorBidi"/>
        </w:rPr>
        <w:t>)</w:t>
      </w:r>
      <w:r w:rsidR="00DB2001" w:rsidRPr="00A503D3">
        <w:rPr>
          <w:rFonts w:asciiTheme="majorBidi" w:hAnsiTheme="majorBidi" w:cstheme="majorBidi"/>
        </w:rPr>
        <w:t>.</w:t>
      </w:r>
    </w:p>
  </w:footnote>
  <w:footnote w:id="33">
    <w:p w14:paraId="21F1FB61" w14:textId="53807749" w:rsidR="00DA132D" w:rsidRPr="00A503D3" w:rsidRDefault="00DA132D"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Julian </w:t>
      </w:r>
      <w:proofErr w:type="spellStart"/>
      <w:r w:rsidRPr="00A503D3">
        <w:rPr>
          <w:rFonts w:asciiTheme="majorBidi" w:hAnsiTheme="majorBidi" w:cstheme="majorBidi"/>
        </w:rPr>
        <w:t>Siddle</w:t>
      </w:r>
      <w:proofErr w:type="spellEnd"/>
      <w:r w:rsidRPr="00A503D3">
        <w:rPr>
          <w:rFonts w:asciiTheme="majorBidi" w:hAnsiTheme="majorBidi" w:cstheme="majorBidi"/>
        </w:rPr>
        <w:t>, ‘</w:t>
      </w:r>
      <w:proofErr w:type="spellStart"/>
      <w:r w:rsidRPr="00A503D3">
        <w:rPr>
          <w:rFonts w:asciiTheme="majorBidi" w:hAnsiTheme="majorBidi" w:cstheme="majorBidi"/>
        </w:rPr>
        <w:t>Kribati</w:t>
      </w:r>
      <w:proofErr w:type="spellEnd"/>
      <w:r w:rsidRPr="00A503D3">
        <w:rPr>
          <w:rFonts w:asciiTheme="majorBidi" w:hAnsiTheme="majorBidi" w:cstheme="majorBidi"/>
        </w:rPr>
        <w:t xml:space="preserve">: Tiny island’s struggle with overpopulation’ (BBC Science Radio Unit, 2014) </w:t>
      </w:r>
      <w:hyperlink r:id="rId4" w:history="1">
        <w:r w:rsidRPr="00A503D3">
          <w:rPr>
            <w:rStyle w:val="Hyperlink"/>
            <w:rFonts w:asciiTheme="majorBidi" w:hAnsiTheme="majorBidi" w:cstheme="majorBidi"/>
          </w:rPr>
          <w:t>https://www.bbc.co.uk/news/science-environment-26017336</w:t>
        </w:r>
      </w:hyperlink>
      <w:r w:rsidRPr="00A503D3">
        <w:rPr>
          <w:rFonts w:asciiTheme="majorBidi" w:hAnsiTheme="majorBidi" w:cstheme="majorBidi"/>
        </w:rPr>
        <w:t xml:space="preserve">. </w:t>
      </w:r>
    </w:p>
  </w:footnote>
  <w:footnote w:id="34">
    <w:p w14:paraId="6E664063" w14:textId="59A7B7B2" w:rsidR="00DA132D" w:rsidRPr="00A503D3" w:rsidRDefault="00DA132D"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proofErr w:type="spellStart"/>
      <w:r w:rsidRPr="00A503D3">
        <w:rPr>
          <w:rFonts w:asciiTheme="majorBidi" w:hAnsiTheme="majorBidi" w:cstheme="majorBidi"/>
          <w:i/>
          <w:iCs/>
        </w:rPr>
        <w:t>Teitiota</w:t>
      </w:r>
      <w:proofErr w:type="spellEnd"/>
      <w:r w:rsidRPr="00A503D3">
        <w:rPr>
          <w:rFonts w:asciiTheme="majorBidi" w:hAnsiTheme="majorBidi" w:cstheme="majorBidi"/>
          <w:i/>
          <w:iCs/>
        </w:rPr>
        <w:t xml:space="preserve"> </w:t>
      </w:r>
      <w:r w:rsidRPr="00A503D3">
        <w:rPr>
          <w:rFonts w:asciiTheme="majorBidi" w:hAnsiTheme="majorBidi" w:cstheme="majorBidi"/>
        </w:rPr>
        <w:t xml:space="preserve">(n </w:t>
      </w:r>
      <w:r w:rsidRPr="00A503D3">
        <w:rPr>
          <w:rFonts w:asciiTheme="majorBidi" w:hAnsiTheme="majorBidi" w:cstheme="majorBidi"/>
        </w:rPr>
        <w:fldChar w:fldCharType="begin"/>
      </w:r>
      <w:r w:rsidRPr="00A503D3">
        <w:rPr>
          <w:rFonts w:asciiTheme="majorBidi" w:hAnsiTheme="majorBidi" w:cstheme="majorBidi"/>
        </w:rPr>
        <w:instrText xml:space="preserve"> NOTEREF _Ref132536407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30</w:t>
      </w:r>
      <w:r w:rsidRPr="00A503D3">
        <w:rPr>
          <w:rFonts w:asciiTheme="majorBidi" w:hAnsiTheme="majorBidi" w:cstheme="majorBidi"/>
        </w:rPr>
        <w:fldChar w:fldCharType="end"/>
      </w:r>
      <w:r w:rsidRPr="00A503D3">
        <w:rPr>
          <w:rFonts w:asciiTheme="majorBidi" w:hAnsiTheme="majorBidi" w:cstheme="majorBidi"/>
        </w:rPr>
        <w:t>)</w:t>
      </w:r>
      <w:r w:rsidRPr="00A503D3">
        <w:rPr>
          <w:rFonts w:asciiTheme="majorBidi" w:hAnsiTheme="majorBidi" w:cstheme="majorBidi"/>
          <w:i/>
          <w:iCs/>
        </w:rPr>
        <w:t xml:space="preserve"> </w:t>
      </w:r>
      <w:r w:rsidRPr="00A503D3">
        <w:rPr>
          <w:rFonts w:asciiTheme="majorBidi" w:hAnsiTheme="majorBidi" w:cstheme="majorBidi"/>
        </w:rPr>
        <w:t>para 2.3-2.6.</w:t>
      </w:r>
    </w:p>
  </w:footnote>
  <w:footnote w:id="35">
    <w:p w14:paraId="42409180" w14:textId="1A2315C2" w:rsidR="00313F42" w:rsidRPr="00A503D3" w:rsidRDefault="00313F42"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Duncan </w:t>
      </w:r>
      <w:proofErr w:type="spellStart"/>
      <w:r w:rsidRPr="00A503D3">
        <w:rPr>
          <w:rFonts w:asciiTheme="majorBidi" w:hAnsiTheme="majorBidi" w:cstheme="majorBidi"/>
        </w:rPr>
        <w:t>Muhumuza</w:t>
      </w:r>
      <w:proofErr w:type="spellEnd"/>
      <w:r w:rsidRPr="00A503D3">
        <w:rPr>
          <w:rFonts w:asciiTheme="majorBidi" w:hAnsiTheme="majorBidi" w:cstheme="majorBidi"/>
        </w:rPr>
        <w:t xml:space="preserve"> </w:t>
      </w:r>
      <w:proofErr w:type="spellStart"/>
      <w:r w:rsidRPr="00A503D3">
        <w:rPr>
          <w:rFonts w:asciiTheme="majorBidi" w:hAnsiTheme="majorBidi" w:cstheme="majorBidi"/>
        </w:rPr>
        <w:t>Laki</w:t>
      </w:r>
      <w:proofErr w:type="spellEnd"/>
      <w:r w:rsidR="001C4F07" w:rsidRPr="00A503D3">
        <w:rPr>
          <w:rFonts w:asciiTheme="majorBidi" w:hAnsiTheme="majorBidi" w:cstheme="majorBidi"/>
        </w:rPr>
        <w:t xml:space="preserve"> (n </w:t>
      </w:r>
      <w:r w:rsidR="001C4F07" w:rsidRPr="00A503D3">
        <w:rPr>
          <w:rFonts w:asciiTheme="majorBidi" w:hAnsiTheme="majorBidi" w:cstheme="majorBidi"/>
        </w:rPr>
        <w:fldChar w:fldCharType="begin"/>
      </w:r>
      <w:r w:rsidR="001C4F07" w:rsidRPr="00A503D3">
        <w:rPr>
          <w:rFonts w:asciiTheme="majorBidi" w:hAnsiTheme="majorBidi" w:cstheme="majorBidi"/>
        </w:rPr>
        <w:instrText xml:space="preserve"> NOTEREF _Ref132537663 \h </w:instrText>
      </w:r>
      <w:r w:rsidR="00133C85" w:rsidRPr="00A503D3">
        <w:rPr>
          <w:rFonts w:asciiTheme="majorBidi" w:hAnsiTheme="majorBidi" w:cstheme="majorBidi"/>
        </w:rPr>
        <w:instrText xml:space="preserve"> \* MERGEFORMAT </w:instrText>
      </w:r>
      <w:r w:rsidR="001C4F07" w:rsidRPr="00A503D3">
        <w:rPr>
          <w:rFonts w:asciiTheme="majorBidi" w:hAnsiTheme="majorBidi" w:cstheme="majorBidi"/>
        </w:rPr>
      </w:r>
      <w:r w:rsidR="001C4F07" w:rsidRPr="00A503D3">
        <w:rPr>
          <w:rFonts w:asciiTheme="majorBidi" w:hAnsiTheme="majorBidi" w:cstheme="majorBidi"/>
        </w:rPr>
        <w:fldChar w:fldCharType="separate"/>
      </w:r>
      <w:r w:rsidR="00B02769">
        <w:rPr>
          <w:rFonts w:asciiTheme="majorBidi" w:hAnsiTheme="majorBidi" w:cstheme="majorBidi"/>
        </w:rPr>
        <w:t>31</w:t>
      </w:r>
      <w:r w:rsidR="001C4F07" w:rsidRPr="00A503D3">
        <w:rPr>
          <w:rFonts w:asciiTheme="majorBidi" w:hAnsiTheme="majorBidi" w:cstheme="majorBidi"/>
        </w:rPr>
        <w:fldChar w:fldCharType="end"/>
      </w:r>
      <w:r w:rsidR="001C4F07" w:rsidRPr="00A503D3">
        <w:rPr>
          <w:rFonts w:asciiTheme="majorBidi" w:hAnsiTheme="majorBidi" w:cstheme="majorBidi"/>
        </w:rPr>
        <w:t>)</w:t>
      </w:r>
      <w:r w:rsidRPr="00A503D3">
        <w:rPr>
          <w:rFonts w:asciiTheme="majorBidi" w:hAnsiTheme="majorBidi" w:cstheme="majorBidi"/>
        </w:rPr>
        <w:t>.</w:t>
      </w:r>
    </w:p>
  </w:footnote>
  <w:footnote w:id="36">
    <w:p w14:paraId="64A59108" w14:textId="436EF2E6" w:rsidR="00837A6E" w:rsidRPr="00A503D3" w:rsidRDefault="00837A6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Duncan </w:t>
      </w:r>
      <w:proofErr w:type="spellStart"/>
      <w:r w:rsidRPr="00A503D3">
        <w:rPr>
          <w:rFonts w:asciiTheme="majorBidi" w:hAnsiTheme="majorBidi" w:cstheme="majorBidi"/>
        </w:rPr>
        <w:t>Muhumuza</w:t>
      </w:r>
      <w:proofErr w:type="spellEnd"/>
      <w:r w:rsidRPr="00A503D3">
        <w:rPr>
          <w:rFonts w:asciiTheme="majorBidi" w:hAnsiTheme="majorBidi" w:cstheme="majorBidi"/>
        </w:rPr>
        <w:t xml:space="preserve"> </w:t>
      </w:r>
      <w:proofErr w:type="spellStart"/>
      <w:r w:rsidRPr="00A503D3">
        <w:rPr>
          <w:rFonts w:asciiTheme="majorBidi" w:hAnsiTheme="majorBidi" w:cstheme="majorBidi"/>
        </w:rPr>
        <w:t>Laki</w:t>
      </w:r>
      <w:proofErr w:type="spellEnd"/>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_Ref132537663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31</w:t>
      </w:r>
      <w:r w:rsidRPr="00A503D3">
        <w:rPr>
          <w:rFonts w:asciiTheme="majorBidi" w:hAnsiTheme="majorBidi" w:cstheme="majorBidi"/>
        </w:rPr>
        <w:fldChar w:fldCharType="end"/>
      </w:r>
      <w:r w:rsidRPr="00A503D3">
        <w:rPr>
          <w:rFonts w:asciiTheme="majorBidi" w:hAnsiTheme="majorBidi" w:cstheme="majorBidi"/>
        </w:rPr>
        <w:t>).</w:t>
      </w:r>
    </w:p>
  </w:footnote>
  <w:footnote w:id="37">
    <w:p w14:paraId="151E7ECA" w14:textId="6AE19A4F" w:rsidR="006E6DD7" w:rsidRPr="00A503D3" w:rsidRDefault="006E6DD7"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Duncan </w:t>
      </w:r>
      <w:proofErr w:type="spellStart"/>
      <w:r w:rsidRPr="00A503D3">
        <w:rPr>
          <w:rFonts w:asciiTheme="majorBidi" w:hAnsiTheme="majorBidi" w:cstheme="majorBidi"/>
        </w:rPr>
        <w:t>Muhumuza</w:t>
      </w:r>
      <w:proofErr w:type="spellEnd"/>
      <w:r w:rsidRPr="00A503D3">
        <w:rPr>
          <w:rFonts w:asciiTheme="majorBidi" w:hAnsiTheme="majorBidi" w:cstheme="majorBidi"/>
        </w:rPr>
        <w:t xml:space="preserve"> </w:t>
      </w:r>
      <w:proofErr w:type="spellStart"/>
      <w:r w:rsidRPr="00A503D3">
        <w:rPr>
          <w:rFonts w:asciiTheme="majorBidi" w:hAnsiTheme="majorBidi" w:cstheme="majorBidi"/>
        </w:rPr>
        <w:t>Laki</w:t>
      </w:r>
      <w:proofErr w:type="spellEnd"/>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_Ref132537663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31</w:t>
      </w:r>
      <w:r w:rsidRPr="00A503D3">
        <w:rPr>
          <w:rFonts w:asciiTheme="majorBidi" w:hAnsiTheme="majorBidi" w:cstheme="majorBidi"/>
        </w:rPr>
        <w:fldChar w:fldCharType="end"/>
      </w:r>
      <w:r w:rsidRPr="00A503D3">
        <w:rPr>
          <w:rFonts w:asciiTheme="majorBidi" w:hAnsiTheme="majorBidi" w:cstheme="majorBidi"/>
        </w:rPr>
        <w:t>).</w:t>
      </w:r>
    </w:p>
  </w:footnote>
  <w:footnote w:id="38">
    <w:p w14:paraId="62669AA3" w14:textId="7FBF3AD6" w:rsidR="00B045F4" w:rsidRPr="00A503D3" w:rsidRDefault="00B045F4"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proofErr w:type="spellStart"/>
      <w:r w:rsidRPr="00A503D3">
        <w:rPr>
          <w:rFonts w:asciiTheme="majorBidi" w:hAnsiTheme="majorBidi" w:cstheme="majorBidi"/>
          <w:i/>
          <w:iCs/>
        </w:rPr>
        <w:t>Teitiota</w:t>
      </w:r>
      <w:proofErr w:type="spellEnd"/>
      <w:r w:rsidRPr="00A503D3">
        <w:rPr>
          <w:rFonts w:asciiTheme="majorBidi" w:hAnsiTheme="majorBidi" w:cstheme="majorBidi"/>
          <w:i/>
          <w:iCs/>
        </w:rPr>
        <w:t xml:space="preserve"> </w:t>
      </w:r>
      <w:r w:rsidRPr="00A503D3">
        <w:rPr>
          <w:rFonts w:asciiTheme="majorBidi" w:hAnsiTheme="majorBidi" w:cstheme="majorBidi"/>
        </w:rPr>
        <w:t xml:space="preserve">(n </w:t>
      </w:r>
      <w:r w:rsidRPr="00A503D3">
        <w:rPr>
          <w:rFonts w:asciiTheme="majorBidi" w:hAnsiTheme="majorBidi" w:cstheme="majorBidi"/>
        </w:rPr>
        <w:fldChar w:fldCharType="begin"/>
      </w:r>
      <w:r w:rsidRPr="00A503D3">
        <w:rPr>
          <w:rFonts w:asciiTheme="majorBidi" w:hAnsiTheme="majorBidi" w:cstheme="majorBidi"/>
        </w:rPr>
        <w:instrText xml:space="preserve"> NOTEREF _Ref132536407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30</w:t>
      </w:r>
      <w:r w:rsidRPr="00A503D3">
        <w:rPr>
          <w:rFonts w:asciiTheme="majorBidi" w:hAnsiTheme="majorBidi" w:cstheme="majorBidi"/>
        </w:rPr>
        <w:fldChar w:fldCharType="end"/>
      </w:r>
      <w:r w:rsidRPr="00A503D3">
        <w:rPr>
          <w:rFonts w:asciiTheme="majorBidi" w:hAnsiTheme="majorBidi" w:cstheme="majorBidi"/>
        </w:rPr>
        <w:t>)</w:t>
      </w:r>
      <w:r w:rsidRPr="00A503D3">
        <w:rPr>
          <w:rFonts w:asciiTheme="majorBidi" w:hAnsiTheme="majorBidi" w:cstheme="majorBidi"/>
          <w:i/>
          <w:iCs/>
        </w:rPr>
        <w:t xml:space="preserve"> </w:t>
      </w:r>
      <w:r w:rsidRPr="00A503D3">
        <w:rPr>
          <w:rFonts w:asciiTheme="majorBidi" w:hAnsiTheme="majorBidi" w:cstheme="majorBidi"/>
        </w:rPr>
        <w:t>para 2.9.</w:t>
      </w:r>
    </w:p>
  </w:footnote>
  <w:footnote w:id="39">
    <w:p w14:paraId="236B325C" w14:textId="6E4BB2CB" w:rsidR="00B87D4B" w:rsidRPr="00A503D3" w:rsidRDefault="00B87D4B"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proofErr w:type="spellStart"/>
      <w:r w:rsidRPr="00A503D3">
        <w:rPr>
          <w:rFonts w:asciiTheme="majorBidi" w:hAnsiTheme="majorBidi" w:cstheme="majorBidi"/>
          <w:i/>
          <w:iCs/>
        </w:rPr>
        <w:t>Teitiota</w:t>
      </w:r>
      <w:proofErr w:type="spellEnd"/>
      <w:r w:rsidRPr="00A503D3">
        <w:rPr>
          <w:rFonts w:asciiTheme="majorBidi" w:hAnsiTheme="majorBidi" w:cstheme="majorBidi"/>
          <w:i/>
          <w:iCs/>
        </w:rPr>
        <w:t xml:space="preserve"> </w:t>
      </w:r>
      <w:r w:rsidRPr="00A503D3">
        <w:rPr>
          <w:rFonts w:asciiTheme="majorBidi" w:hAnsiTheme="majorBidi" w:cstheme="majorBidi"/>
        </w:rPr>
        <w:t xml:space="preserve">(n </w:t>
      </w:r>
      <w:r w:rsidRPr="00A503D3">
        <w:rPr>
          <w:rFonts w:asciiTheme="majorBidi" w:hAnsiTheme="majorBidi" w:cstheme="majorBidi"/>
        </w:rPr>
        <w:fldChar w:fldCharType="begin"/>
      </w:r>
      <w:r w:rsidRPr="00A503D3">
        <w:rPr>
          <w:rFonts w:asciiTheme="majorBidi" w:hAnsiTheme="majorBidi" w:cstheme="majorBidi"/>
        </w:rPr>
        <w:instrText xml:space="preserve"> NOTEREF _Ref132536407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30</w:t>
      </w:r>
      <w:r w:rsidRPr="00A503D3">
        <w:rPr>
          <w:rFonts w:asciiTheme="majorBidi" w:hAnsiTheme="majorBidi" w:cstheme="majorBidi"/>
        </w:rPr>
        <w:fldChar w:fldCharType="end"/>
      </w:r>
      <w:r w:rsidRPr="00A503D3">
        <w:rPr>
          <w:rFonts w:asciiTheme="majorBidi" w:hAnsiTheme="majorBidi" w:cstheme="majorBidi"/>
        </w:rPr>
        <w:t>)</w:t>
      </w:r>
      <w:r w:rsidRPr="00A503D3">
        <w:rPr>
          <w:rFonts w:asciiTheme="majorBidi" w:hAnsiTheme="majorBidi" w:cstheme="majorBidi"/>
          <w:i/>
          <w:iCs/>
        </w:rPr>
        <w:t xml:space="preserve"> </w:t>
      </w:r>
      <w:r w:rsidRPr="00A503D3">
        <w:rPr>
          <w:rFonts w:asciiTheme="majorBidi" w:hAnsiTheme="majorBidi" w:cstheme="majorBidi"/>
        </w:rPr>
        <w:t>para 2.9.</w:t>
      </w:r>
    </w:p>
  </w:footnote>
  <w:footnote w:id="40">
    <w:p w14:paraId="279A211A" w14:textId="591C4BF9" w:rsidR="00D4490E" w:rsidRPr="00A503D3" w:rsidRDefault="00D4490E"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color w:val="000000" w:themeColor="text1"/>
          <w:lang w:val="en-US"/>
        </w:rPr>
        <w:t xml:space="preserve">UN Human Rights Committee (HRC), </w:t>
      </w:r>
      <w:r w:rsidRPr="00A503D3">
        <w:rPr>
          <w:rFonts w:asciiTheme="majorBidi" w:hAnsiTheme="majorBidi" w:cstheme="majorBidi"/>
          <w:i/>
          <w:iCs/>
          <w:color w:val="000000" w:themeColor="text1"/>
          <w:lang w:val="en-US"/>
        </w:rPr>
        <w:t xml:space="preserve">Daniel Billy et al v Australia </w:t>
      </w:r>
      <w:r w:rsidRPr="00A503D3">
        <w:rPr>
          <w:rFonts w:asciiTheme="majorBidi" w:hAnsiTheme="majorBidi" w:cstheme="majorBidi"/>
          <w:color w:val="000000" w:themeColor="text1"/>
          <w:lang w:val="en-US"/>
        </w:rPr>
        <w:t>UN Doc CCPR/C/135/D/3624/2019 (22 September 2022).</w:t>
      </w:r>
    </w:p>
  </w:footnote>
  <w:footnote w:id="41">
    <w:p w14:paraId="4FCA9EE3" w14:textId="209F0B2B" w:rsidR="00D4490E" w:rsidRPr="00A503D3" w:rsidRDefault="00D4490E"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Daniel Billy et al. </w:t>
      </w:r>
      <w:r w:rsidRPr="00A503D3">
        <w:rPr>
          <w:rFonts w:asciiTheme="majorBidi" w:hAnsiTheme="majorBidi" w:cstheme="majorBidi"/>
          <w:i/>
          <w:iCs/>
        </w:rPr>
        <w:t xml:space="preserve">Communication under the Optional Protocol to the International Covenant on Civil and Political Rights </w:t>
      </w:r>
      <w:r w:rsidRPr="00A503D3">
        <w:rPr>
          <w:rFonts w:asciiTheme="majorBidi" w:hAnsiTheme="majorBidi" w:cstheme="majorBidi"/>
        </w:rPr>
        <w:t xml:space="preserve">(13 May 2019), para 29. </w:t>
      </w:r>
    </w:p>
  </w:footnote>
  <w:footnote w:id="42">
    <w:p w14:paraId="2566CB64" w14:textId="000DE8F6" w:rsidR="001F694C" w:rsidRPr="00A503D3" w:rsidRDefault="001F694C"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Daniel Billy et al. </w:t>
      </w:r>
      <w:r w:rsidRPr="00A503D3">
        <w:rPr>
          <w:rFonts w:asciiTheme="majorBidi" w:hAnsiTheme="majorBidi" w:cstheme="majorBidi"/>
          <w:i/>
          <w:iCs/>
        </w:rPr>
        <w:t xml:space="preserve">Communication under the Optional Protocol to the International Covenant on Civil and Political Rights, </w:t>
      </w:r>
      <w:r w:rsidRPr="00A503D3">
        <w:rPr>
          <w:rFonts w:asciiTheme="majorBidi" w:hAnsiTheme="majorBidi" w:cstheme="majorBidi"/>
        </w:rPr>
        <w:t>para 30.</w:t>
      </w:r>
    </w:p>
  </w:footnote>
  <w:footnote w:id="43">
    <w:p w14:paraId="4909F719" w14:textId="7665F215" w:rsidR="001F694C" w:rsidRPr="00A503D3" w:rsidRDefault="001F694C"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Daniel Billy et al. </w:t>
      </w:r>
      <w:r w:rsidRPr="00A503D3">
        <w:rPr>
          <w:rFonts w:asciiTheme="majorBidi" w:hAnsiTheme="majorBidi" w:cstheme="majorBidi"/>
          <w:i/>
          <w:iCs/>
        </w:rPr>
        <w:t xml:space="preserve">Communication under the Optional Protocol to the International Covenant on Civil and Political Rights, </w:t>
      </w:r>
      <w:r w:rsidRPr="00A503D3">
        <w:rPr>
          <w:rFonts w:asciiTheme="majorBidi" w:hAnsiTheme="majorBidi" w:cstheme="majorBidi"/>
        </w:rPr>
        <w:t>para 34.</w:t>
      </w:r>
    </w:p>
  </w:footnote>
  <w:footnote w:id="44">
    <w:p w14:paraId="4C5F9859" w14:textId="49F0663B" w:rsidR="006963DC" w:rsidRPr="00A503D3" w:rsidRDefault="006963DC"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Ibid</w:t>
      </w:r>
      <w:r w:rsidRPr="00A503D3">
        <w:rPr>
          <w:rFonts w:asciiTheme="majorBidi" w:hAnsiTheme="majorBidi" w:cstheme="majorBidi"/>
          <w:i/>
          <w:iCs/>
        </w:rPr>
        <w:t xml:space="preserve">, </w:t>
      </w:r>
      <w:r w:rsidRPr="00A503D3">
        <w:rPr>
          <w:rFonts w:asciiTheme="majorBidi" w:hAnsiTheme="majorBidi" w:cstheme="majorBidi"/>
        </w:rPr>
        <w:t>page 41.</w:t>
      </w:r>
    </w:p>
  </w:footnote>
  <w:footnote w:id="45">
    <w:p w14:paraId="042B33AF" w14:textId="44821569" w:rsidR="006963DC" w:rsidRPr="00A503D3" w:rsidRDefault="006963DC"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Ibid, page 44. </w:t>
      </w:r>
    </w:p>
  </w:footnote>
  <w:footnote w:id="46">
    <w:p w14:paraId="4ECA64C2" w14:textId="292764FE" w:rsidR="00D46538" w:rsidRPr="00A503D3" w:rsidRDefault="00D46538"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Ibid, para 211.</w:t>
      </w:r>
    </w:p>
  </w:footnote>
  <w:footnote w:id="47">
    <w:p w14:paraId="3E80DE0C" w14:textId="4C2DB78F" w:rsidR="001469A9" w:rsidRPr="00A503D3" w:rsidRDefault="001469A9"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Ibid, page 48.</w:t>
      </w:r>
    </w:p>
  </w:footnote>
  <w:footnote w:id="48">
    <w:p w14:paraId="308055D6" w14:textId="33E311EC" w:rsidR="001E560D" w:rsidRPr="00A503D3" w:rsidRDefault="001E560D"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8.3, 8.5.</w:t>
      </w:r>
    </w:p>
  </w:footnote>
  <w:footnote w:id="49">
    <w:p w14:paraId="6E440429" w14:textId="319DE47C" w:rsidR="00CD520A" w:rsidRPr="00A503D3" w:rsidRDefault="00CD520A"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8.6.</w:t>
      </w:r>
    </w:p>
  </w:footnote>
  <w:footnote w:id="50">
    <w:p w14:paraId="76B32C36" w14:textId="3EF555C5" w:rsidR="00CD520A" w:rsidRPr="00A503D3" w:rsidRDefault="00CD520A"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8.7.</w:t>
      </w:r>
    </w:p>
  </w:footnote>
  <w:footnote w:id="51">
    <w:p w14:paraId="25189D96" w14:textId="3E68B707" w:rsidR="00B94DDC" w:rsidRPr="00A503D3" w:rsidRDefault="00B94DDC"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8.7.</w:t>
      </w:r>
    </w:p>
  </w:footnote>
  <w:footnote w:id="52">
    <w:p w14:paraId="7061950F" w14:textId="001AD892" w:rsidR="00892338" w:rsidRPr="00A503D3" w:rsidRDefault="00892338">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proofErr w:type="gramStart"/>
      <w:r w:rsidRPr="00A503D3">
        <w:rPr>
          <w:rFonts w:asciiTheme="majorBidi" w:hAnsiTheme="majorBidi" w:cstheme="majorBidi"/>
        </w:rPr>
        <w:t>Indeed</w:t>
      </w:r>
      <w:proofErr w:type="gramEnd"/>
      <w:r w:rsidRPr="00A503D3">
        <w:rPr>
          <w:rFonts w:asciiTheme="majorBidi" w:hAnsiTheme="majorBidi" w:cstheme="majorBidi"/>
        </w:rPr>
        <w:t xml:space="preserve"> the view of migration as adaptation, rather than a mere harm, is gaining traction  </w:t>
      </w:r>
    </w:p>
  </w:footnote>
  <w:footnote w:id="53">
    <w:p w14:paraId="25A3D462" w14:textId="599B8762" w:rsidR="00F3703F" w:rsidRPr="00A503D3" w:rsidRDefault="00F3703F"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8.11.</w:t>
      </w:r>
    </w:p>
  </w:footnote>
  <w:footnote w:id="54">
    <w:p w14:paraId="74264D6C" w14:textId="71172667" w:rsidR="006731AD" w:rsidRPr="00A503D3" w:rsidRDefault="006731AD"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5723B0" w:rsidRPr="00A503D3">
        <w:rPr>
          <w:rFonts w:asciiTheme="majorBidi" w:hAnsiTheme="majorBidi" w:cstheme="majorBidi"/>
          <w:i/>
          <w:iCs/>
        </w:rPr>
        <w:t>Daniel Billy et al</w:t>
      </w:r>
      <w:r w:rsidR="005723B0" w:rsidRPr="00A503D3">
        <w:rPr>
          <w:rFonts w:asciiTheme="majorBidi" w:hAnsiTheme="majorBidi" w:cstheme="majorBidi"/>
        </w:rPr>
        <w:t xml:space="preserve">. (n </w:t>
      </w:r>
      <w:r w:rsidR="005723B0" w:rsidRPr="00A503D3">
        <w:rPr>
          <w:rFonts w:asciiTheme="majorBidi" w:hAnsiTheme="majorBidi" w:cstheme="majorBidi"/>
        </w:rPr>
        <w:fldChar w:fldCharType="begin"/>
      </w:r>
      <w:r w:rsidR="005723B0"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005723B0" w:rsidRPr="00A503D3">
        <w:rPr>
          <w:rFonts w:asciiTheme="majorBidi" w:hAnsiTheme="majorBidi" w:cstheme="majorBidi"/>
        </w:rPr>
      </w:r>
      <w:r w:rsidR="005723B0" w:rsidRPr="00A503D3">
        <w:rPr>
          <w:rFonts w:asciiTheme="majorBidi" w:hAnsiTheme="majorBidi" w:cstheme="majorBidi"/>
        </w:rPr>
        <w:fldChar w:fldCharType="separate"/>
      </w:r>
      <w:r w:rsidR="00B02769">
        <w:rPr>
          <w:rFonts w:asciiTheme="majorBidi" w:hAnsiTheme="majorBidi" w:cstheme="majorBidi"/>
        </w:rPr>
        <w:t>40</w:t>
      </w:r>
      <w:r w:rsidR="005723B0" w:rsidRPr="00A503D3">
        <w:rPr>
          <w:rFonts w:asciiTheme="majorBidi" w:hAnsiTheme="majorBidi" w:cstheme="majorBidi"/>
        </w:rPr>
        <w:fldChar w:fldCharType="end"/>
      </w:r>
      <w:r w:rsidR="005723B0" w:rsidRPr="00A503D3">
        <w:rPr>
          <w:rFonts w:asciiTheme="majorBidi" w:hAnsiTheme="majorBidi" w:cstheme="majorBidi"/>
        </w:rPr>
        <w:t>) para 8.10.</w:t>
      </w:r>
    </w:p>
  </w:footnote>
  <w:footnote w:id="55">
    <w:p w14:paraId="0694D641" w14:textId="65A4572B" w:rsidR="00F3703F" w:rsidRPr="00A503D3" w:rsidRDefault="00F3703F"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8.12.</w:t>
      </w:r>
    </w:p>
  </w:footnote>
  <w:footnote w:id="56">
    <w:p w14:paraId="316108B1" w14:textId="5E45F7D5" w:rsidR="00FC5726" w:rsidRPr="00A503D3" w:rsidRDefault="00FC5726"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5723B0" w:rsidRPr="00A503D3">
        <w:rPr>
          <w:rFonts w:asciiTheme="majorBidi" w:hAnsiTheme="majorBidi" w:cstheme="majorBidi"/>
          <w:i/>
          <w:iCs/>
        </w:rPr>
        <w:t>Daniel Billy et al</w:t>
      </w:r>
      <w:r w:rsidR="005723B0" w:rsidRPr="00A503D3">
        <w:rPr>
          <w:rFonts w:asciiTheme="majorBidi" w:hAnsiTheme="majorBidi" w:cstheme="majorBidi"/>
        </w:rPr>
        <w:t xml:space="preserve">. (n </w:t>
      </w:r>
      <w:r w:rsidR="005723B0" w:rsidRPr="00A503D3">
        <w:rPr>
          <w:rFonts w:asciiTheme="majorBidi" w:hAnsiTheme="majorBidi" w:cstheme="majorBidi"/>
        </w:rPr>
        <w:fldChar w:fldCharType="begin"/>
      </w:r>
      <w:r w:rsidR="005723B0"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005723B0" w:rsidRPr="00A503D3">
        <w:rPr>
          <w:rFonts w:asciiTheme="majorBidi" w:hAnsiTheme="majorBidi" w:cstheme="majorBidi"/>
        </w:rPr>
      </w:r>
      <w:r w:rsidR="005723B0" w:rsidRPr="00A503D3">
        <w:rPr>
          <w:rFonts w:asciiTheme="majorBidi" w:hAnsiTheme="majorBidi" w:cstheme="majorBidi"/>
        </w:rPr>
        <w:fldChar w:fldCharType="separate"/>
      </w:r>
      <w:r w:rsidR="00B02769">
        <w:rPr>
          <w:rFonts w:asciiTheme="majorBidi" w:hAnsiTheme="majorBidi" w:cstheme="majorBidi"/>
        </w:rPr>
        <w:t>40</w:t>
      </w:r>
      <w:r w:rsidR="005723B0" w:rsidRPr="00A503D3">
        <w:rPr>
          <w:rFonts w:asciiTheme="majorBidi" w:hAnsiTheme="majorBidi" w:cstheme="majorBidi"/>
        </w:rPr>
        <w:fldChar w:fldCharType="end"/>
      </w:r>
      <w:r w:rsidR="005723B0" w:rsidRPr="00A503D3">
        <w:rPr>
          <w:rFonts w:asciiTheme="majorBidi" w:hAnsiTheme="majorBidi" w:cstheme="majorBidi"/>
        </w:rPr>
        <w:t>) para 8.12.</w:t>
      </w:r>
    </w:p>
  </w:footnote>
  <w:footnote w:id="57">
    <w:p w14:paraId="6FC52272" w14:textId="180B518C" w:rsidR="00060D97" w:rsidRPr="00A503D3" w:rsidRDefault="00060D97"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8.13.</w:t>
      </w:r>
    </w:p>
  </w:footnote>
  <w:footnote w:id="58">
    <w:p w14:paraId="0CD0ADDB" w14:textId="77777777" w:rsidR="001863CB" w:rsidRPr="00A503D3" w:rsidRDefault="001863CB" w:rsidP="001863CB">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Ibid. </w:t>
      </w:r>
    </w:p>
  </w:footnote>
  <w:footnote w:id="59">
    <w:p w14:paraId="32814D67" w14:textId="13F2A997" w:rsidR="002903AA" w:rsidRPr="00A503D3" w:rsidRDefault="002903AA"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Ibid. </w:t>
      </w:r>
    </w:p>
  </w:footnote>
  <w:footnote w:id="60">
    <w:p w14:paraId="2C6280E7" w14:textId="24D8D5E0" w:rsidR="009026F7" w:rsidRPr="00A503D3" w:rsidRDefault="009026F7"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8.14.</w:t>
      </w:r>
    </w:p>
  </w:footnote>
  <w:footnote w:id="61">
    <w:p w14:paraId="01EB77BD" w14:textId="4BDE7C77" w:rsidR="00B05593" w:rsidRPr="00A503D3" w:rsidRDefault="00B05593"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8.6.</w:t>
      </w:r>
    </w:p>
  </w:footnote>
  <w:footnote w:id="62">
    <w:p w14:paraId="322C579E" w14:textId="763555CA" w:rsidR="00B619B6" w:rsidRPr="00A503D3" w:rsidRDefault="00B619B6">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Communication to the Committee on the Rights of the Child, in the Case of Chiara </w:t>
      </w:r>
      <w:proofErr w:type="spellStart"/>
      <w:r w:rsidRPr="00A503D3">
        <w:rPr>
          <w:rFonts w:asciiTheme="majorBidi" w:hAnsiTheme="majorBidi" w:cstheme="majorBidi"/>
        </w:rPr>
        <w:t>Sacchi</w:t>
      </w:r>
      <w:proofErr w:type="spellEnd"/>
      <w:r w:rsidRPr="00A503D3">
        <w:rPr>
          <w:rFonts w:asciiTheme="majorBidi" w:hAnsiTheme="majorBidi" w:cstheme="majorBidi"/>
        </w:rPr>
        <w:t xml:space="preserve"> et al (2019) </w:t>
      </w:r>
      <w:hyperlink r:id="rId5" w:history="1">
        <w:r w:rsidRPr="00A503D3">
          <w:rPr>
            <w:rStyle w:val="Hyperlink"/>
            <w:rFonts w:asciiTheme="majorBidi" w:hAnsiTheme="majorBidi" w:cstheme="majorBidi"/>
          </w:rPr>
          <w:t>http://climatecasechart.com/non-us-case/sacchi-et-al-v-argentina-et-al/</w:t>
        </w:r>
      </w:hyperlink>
      <w:r w:rsidRPr="00A503D3">
        <w:rPr>
          <w:rFonts w:asciiTheme="majorBidi" w:hAnsiTheme="majorBidi" w:cstheme="majorBidi"/>
        </w:rPr>
        <w:t xml:space="preserve">. </w:t>
      </w:r>
    </w:p>
  </w:footnote>
  <w:footnote w:id="63">
    <w:p w14:paraId="2B0D146F" w14:textId="5A257650" w:rsidR="006F5C53" w:rsidRPr="00A503D3" w:rsidRDefault="006F5C53">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Communication to the Committee on the Rights of the Child, in the Case of Chiara </w:t>
      </w:r>
      <w:proofErr w:type="spellStart"/>
      <w:r w:rsidRPr="00A503D3">
        <w:rPr>
          <w:rFonts w:asciiTheme="majorBidi" w:hAnsiTheme="majorBidi" w:cstheme="majorBidi"/>
        </w:rPr>
        <w:t>Sacchi</w:t>
      </w:r>
      <w:proofErr w:type="spellEnd"/>
      <w:r w:rsidRPr="00A503D3">
        <w:rPr>
          <w:rFonts w:asciiTheme="majorBidi" w:hAnsiTheme="majorBidi" w:cstheme="majorBidi"/>
        </w:rPr>
        <w:t xml:space="preserve"> et al (n </w:t>
      </w:r>
      <w:r w:rsidR="0078450B" w:rsidRPr="00A503D3">
        <w:rPr>
          <w:rFonts w:asciiTheme="majorBidi" w:hAnsiTheme="majorBidi" w:cstheme="majorBidi"/>
        </w:rPr>
        <w:fldChar w:fldCharType="begin"/>
      </w:r>
      <w:r w:rsidR="0078450B" w:rsidRPr="00A503D3">
        <w:rPr>
          <w:rFonts w:asciiTheme="majorBidi" w:hAnsiTheme="majorBidi" w:cstheme="majorBidi"/>
        </w:rPr>
        <w:instrText xml:space="preserve"> NOTEREF _Ref132656381 \h </w:instrText>
      </w:r>
      <w:r w:rsidR="00133C85" w:rsidRPr="00A503D3">
        <w:rPr>
          <w:rFonts w:asciiTheme="majorBidi" w:hAnsiTheme="majorBidi" w:cstheme="majorBidi"/>
        </w:rPr>
        <w:instrText xml:space="preserve"> \* MERGEFORMAT </w:instrText>
      </w:r>
      <w:r w:rsidR="0078450B" w:rsidRPr="00A503D3">
        <w:rPr>
          <w:rFonts w:asciiTheme="majorBidi" w:hAnsiTheme="majorBidi" w:cstheme="majorBidi"/>
        </w:rPr>
      </w:r>
      <w:r w:rsidR="0078450B" w:rsidRPr="00A503D3">
        <w:rPr>
          <w:rFonts w:asciiTheme="majorBidi" w:hAnsiTheme="majorBidi" w:cstheme="majorBidi"/>
        </w:rPr>
        <w:fldChar w:fldCharType="separate"/>
      </w:r>
      <w:r w:rsidR="00B02769">
        <w:rPr>
          <w:rFonts w:asciiTheme="majorBidi" w:hAnsiTheme="majorBidi" w:cstheme="majorBidi"/>
        </w:rPr>
        <w:t>62</w:t>
      </w:r>
      <w:r w:rsidR="0078450B" w:rsidRPr="00A503D3">
        <w:rPr>
          <w:rFonts w:asciiTheme="majorBidi" w:hAnsiTheme="majorBidi" w:cstheme="majorBidi"/>
        </w:rPr>
        <w:fldChar w:fldCharType="end"/>
      </w:r>
      <w:r w:rsidR="0078450B" w:rsidRPr="00A503D3">
        <w:rPr>
          <w:rFonts w:asciiTheme="majorBidi" w:hAnsiTheme="majorBidi" w:cstheme="majorBidi"/>
        </w:rPr>
        <w:t xml:space="preserve">), </w:t>
      </w:r>
      <w:r w:rsidRPr="00A503D3">
        <w:rPr>
          <w:rFonts w:asciiTheme="majorBidi" w:hAnsiTheme="majorBidi" w:cstheme="majorBidi"/>
        </w:rPr>
        <w:t>156.</w:t>
      </w:r>
    </w:p>
  </w:footnote>
  <w:footnote w:id="64">
    <w:p w14:paraId="19151495" w14:textId="1FC26E16" w:rsidR="006F5C53" w:rsidRPr="00A503D3" w:rsidRDefault="006F5C53">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78450B" w:rsidRPr="00A503D3">
        <w:rPr>
          <w:rFonts w:asciiTheme="majorBidi" w:hAnsiTheme="majorBidi" w:cstheme="majorBidi"/>
        </w:rPr>
        <w:t xml:space="preserve">Communication to the Committee on the Rights of the Child, in the Case of Chiara </w:t>
      </w:r>
      <w:proofErr w:type="spellStart"/>
      <w:r w:rsidR="0078450B" w:rsidRPr="00A503D3">
        <w:rPr>
          <w:rFonts w:asciiTheme="majorBidi" w:hAnsiTheme="majorBidi" w:cstheme="majorBidi"/>
        </w:rPr>
        <w:t>Sacchi</w:t>
      </w:r>
      <w:proofErr w:type="spellEnd"/>
      <w:r w:rsidR="0078450B" w:rsidRPr="00A503D3">
        <w:rPr>
          <w:rFonts w:asciiTheme="majorBidi" w:hAnsiTheme="majorBidi" w:cstheme="majorBidi"/>
        </w:rPr>
        <w:t xml:space="preserve"> et al (n </w:t>
      </w:r>
      <w:r w:rsidR="0078450B" w:rsidRPr="00A503D3">
        <w:rPr>
          <w:rFonts w:asciiTheme="majorBidi" w:hAnsiTheme="majorBidi" w:cstheme="majorBidi"/>
        </w:rPr>
        <w:fldChar w:fldCharType="begin"/>
      </w:r>
      <w:r w:rsidR="0078450B" w:rsidRPr="00A503D3">
        <w:rPr>
          <w:rFonts w:asciiTheme="majorBidi" w:hAnsiTheme="majorBidi" w:cstheme="majorBidi"/>
        </w:rPr>
        <w:instrText xml:space="preserve"> NOTEREF _Ref132656381 \h </w:instrText>
      </w:r>
      <w:r w:rsidR="00133C85" w:rsidRPr="00A503D3">
        <w:rPr>
          <w:rFonts w:asciiTheme="majorBidi" w:hAnsiTheme="majorBidi" w:cstheme="majorBidi"/>
        </w:rPr>
        <w:instrText xml:space="preserve"> \* MERGEFORMAT </w:instrText>
      </w:r>
      <w:r w:rsidR="0078450B" w:rsidRPr="00A503D3">
        <w:rPr>
          <w:rFonts w:asciiTheme="majorBidi" w:hAnsiTheme="majorBidi" w:cstheme="majorBidi"/>
        </w:rPr>
      </w:r>
      <w:r w:rsidR="0078450B" w:rsidRPr="00A503D3">
        <w:rPr>
          <w:rFonts w:asciiTheme="majorBidi" w:hAnsiTheme="majorBidi" w:cstheme="majorBidi"/>
        </w:rPr>
        <w:fldChar w:fldCharType="separate"/>
      </w:r>
      <w:r w:rsidR="00B02769">
        <w:rPr>
          <w:rFonts w:asciiTheme="majorBidi" w:hAnsiTheme="majorBidi" w:cstheme="majorBidi"/>
        </w:rPr>
        <w:t>62</w:t>
      </w:r>
      <w:r w:rsidR="0078450B" w:rsidRPr="00A503D3">
        <w:rPr>
          <w:rFonts w:asciiTheme="majorBidi" w:hAnsiTheme="majorBidi" w:cstheme="majorBidi"/>
        </w:rPr>
        <w:fldChar w:fldCharType="end"/>
      </w:r>
      <w:r w:rsidR="0078450B" w:rsidRPr="00A503D3">
        <w:rPr>
          <w:rFonts w:asciiTheme="majorBidi" w:hAnsiTheme="majorBidi" w:cstheme="majorBidi"/>
        </w:rPr>
        <w:t xml:space="preserve">), </w:t>
      </w:r>
      <w:r w:rsidRPr="00A503D3">
        <w:rPr>
          <w:rFonts w:asciiTheme="majorBidi" w:hAnsiTheme="majorBidi" w:cstheme="majorBidi"/>
        </w:rPr>
        <w:t>157.</w:t>
      </w:r>
    </w:p>
  </w:footnote>
  <w:footnote w:id="65">
    <w:p w14:paraId="10FB9B62" w14:textId="617516EA" w:rsidR="006F5C53" w:rsidRPr="00A503D3" w:rsidRDefault="006F5C53">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0078450B" w:rsidRPr="00A503D3">
        <w:rPr>
          <w:rFonts w:asciiTheme="majorBidi" w:hAnsiTheme="majorBidi" w:cstheme="majorBidi"/>
        </w:rPr>
        <w:t xml:space="preserve">Communication to the Committee on the Rights of the Child, in the Case of Chiara </w:t>
      </w:r>
      <w:proofErr w:type="spellStart"/>
      <w:r w:rsidR="0078450B" w:rsidRPr="00A503D3">
        <w:rPr>
          <w:rFonts w:asciiTheme="majorBidi" w:hAnsiTheme="majorBidi" w:cstheme="majorBidi"/>
        </w:rPr>
        <w:t>Sacchi</w:t>
      </w:r>
      <w:proofErr w:type="spellEnd"/>
      <w:r w:rsidR="0078450B" w:rsidRPr="00A503D3">
        <w:rPr>
          <w:rFonts w:asciiTheme="majorBidi" w:hAnsiTheme="majorBidi" w:cstheme="majorBidi"/>
        </w:rPr>
        <w:t xml:space="preserve"> et al (n </w:t>
      </w:r>
      <w:r w:rsidR="0078450B" w:rsidRPr="00A503D3">
        <w:rPr>
          <w:rFonts w:asciiTheme="majorBidi" w:hAnsiTheme="majorBidi" w:cstheme="majorBidi"/>
        </w:rPr>
        <w:fldChar w:fldCharType="begin"/>
      </w:r>
      <w:r w:rsidR="0078450B" w:rsidRPr="00A503D3">
        <w:rPr>
          <w:rFonts w:asciiTheme="majorBidi" w:hAnsiTheme="majorBidi" w:cstheme="majorBidi"/>
        </w:rPr>
        <w:instrText xml:space="preserve"> NOTEREF _Ref132656381 \h </w:instrText>
      </w:r>
      <w:r w:rsidR="00133C85" w:rsidRPr="00A503D3">
        <w:rPr>
          <w:rFonts w:asciiTheme="majorBidi" w:hAnsiTheme="majorBidi" w:cstheme="majorBidi"/>
        </w:rPr>
        <w:instrText xml:space="preserve"> \* MERGEFORMAT </w:instrText>
      </w:r>
      <w:r w:rsidR="0078450B" w:rsidRPr="00A503D3">
        <w:rPr>
          <w:rFonts w:asciiTheme="majorBidi" w:hAnsiTheme="majorBidi" w:cstheme="majorBidi"/>
        </w:rPr>
      </w:r>
      <w:r w:rsidR="0078450B" w:rsidRPr="00A503D3">
        <w:rPr>
          <w:rFonts w:asciiTheme="majorBidi" w:hAnsiTheme="majorBidi" w:cstheme="majorBidi"/>
        </w:rPr>
        <w:fldChar w:fldCharType="separate"/>
      </w:r>
      <w:r w:rsidR="00B02769">
        <w:rPr>
          <w:rFonts w:asciiTheme="majorBidi" w:hAnsiTheme="majorBidi" w:cstheme="majorBidi"/>
        </w:rPr>
        <w:t>62</w:t>
      </w:r>
      <w:r w:rsidR="0078450B" w:rsidRPr="00A503D3">
        <w:rPr>
          <w:rFonts w:asciiTheme="majorBidi" w:hAnsiTheme="majorBidi" w:cstheme="majorBidi"/>
        </w:rPr>
        <w:fldChar w:fldCharType="end"/>
      </w:r>
      <w:r w:rsidR="0078450B" w:rsidRPr="00A503D3">
        <w:rPr>
          <w:rFonts w:asciiTheme="majorBidi" w:hAnsiTheme="majorBidi" w:cstheme="majorBidi"/>
        </w:rPr>
        <w:t xml:space="preserve">), </w:t>
      </w:r>
      <w:r w:rsidRPr="00A503D3">
        <w:rPr>
          <w:rFonts w:asciiTheme="majorBidi" w:hAnsiTheme="majorBidi" w:cstheme="majorBidi"/>
        </w:rPr>
        <w:t>158.</w:t>
      </w:r>
    </w:p>
  </w:footnote>
  <w:footnote w:id="66">
    <w:p w14:paraId="64D25B9E" w14:textId="24779035" w:rsidR="00CD559B" w:rsidRPr="00A503D3" w:rsidRDefault="00CD559B">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Committee on the Rights of the Child, </w:t>
      </w:r>
      <w:r w:rsidRPr="00A503D3">
        <w:rPr>
          <w:rFonts w:asciiTheme="majorBidi" w:hAnsiTheme="majorBidi" w:cstheme="majorBidi"/>
          <w:i/>
          <w:iCs/>
        </w:rPr>
        <w:t xml:space="preserve">Decision adopted by the Committee on the Rights of the Child under the Optional Protocol to the Convention on the Rights of the Child on a communications procedure in respect of Communication No. 104/2019 </w:t>
      </w:r>
      <w:r w:rsidRPr="00A503D3">
        <w:rPr>
          <w:rFonts w:asciiTheme="majorBidi" w:hAnsiTheme="majorBidi" w:cstheme="majorBidi"/>
        </w:rPr>
        <w:t>(2021).</w:t>
      </w:r>
    </w:p>
  </w:footnote>
  <w:footnote w:id="67">
    <w:p w14:paraId="33177725" w14:textId="788EE930" w:rsidR="006E0B12" w:rsidRPr="00A503D3" w:rsidRDefault="006E0B12">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Committee on the Rights of the Child (Argentina) (n </w:t>
      </w:r>
      <w:r w:rsidRPr="00A503D3">
        <w:rPr>
          <w:rFonts w:asciiTheme="majorBidi" w:hAnsiTheme="majorBidi" w:cstheme="majorBidi"/>
        </w:rPr>
        <w:fldChar w:fldCharType="begin"/>
      </w:r>
      <w:r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66</w:t>
      </w:r>
      <w:r w:rsidRPr="00A503D3">
        <w:rPr>
          <w:rFonts w:asciiTheme="majorBidi" w:hAnsiTheme="majorBidi" w:cstheme="majorBidi"/>
        </w:rPr>
        <w:fldChar w:fldCharType="end"/>
      </w:r>
      <w:r w:rsidRPr="00A503D3">
        <w:rPr>
          <w:rFonts w:asciiTheme="majorBidi" w:hAnsiTheme="majorBidi" w:cstheme="majorBidi"/>
        </w:rPr>
        <w:t>), para 9.4.</w:t>
      </w:r>
    </w:p>
  </w:footnote>
  <w:footnote w:id="68">
    <w:p w14:paraId="5303F35E" w14:textId="73032E71" w:rsidR="007A795A" w:rsidRPr="00A503D3" w:rsidRDefault="007A795A">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Advisory Opinion OC-23/17 of the Inter-American Court of Human Rights on the Environment and Human Rights.</w:t>
      </w:r>
      <w:r w:rsidR="00226D7A">
        <w:rPr>
          <w:rFonts w:asciiTheme="majorBidi" w:hAnsiTheme="majorBidi" w:cstheme="majorBidi"/>
        </w:rPr>
        <w:t xml:space="preserve"> This Advisory Opinion as well provided certain references to climate migration, including mentioning the right not to be forcibly displaced as ‘particularly vulnerable to environmental impact’ (para 66) </w:t>
      </w:r>
    </w:p>
  </w:footnote>
  <w:footnote w:id="69">
    <w:p w14:paraId="22E23722" w14:textId="72C17A53" w:rsidR="00630097" w:rsidRPr="00A503D3" w:rsidRDefault="00630097">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Committee on the Rights of the Child (Germany) (n </w:t>
      </w:r>
      <w:r w:rsidRPr="00A503D3">
        <w:rPr>
          <w:rFonts w:asciiTheme="majorBidi" w:hAnsiTheme="majorBidi" w:cstheme="majorBidi"/>
        </w:rPr>
        <w:fldChar w:fldCharType="begin"/>
      </w:r>
      <w:r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66</w:t>
      </w:r>
      <w:r w:rsidRPr="00A503D3">
        <w:rPr>
          <w:rFonts w:asciiTheme="majorBidi" w:hAnsiTheme="majorBidi" w:cstheme="majorBidi"/>
        </w:rPr>
        <w:fldChar w:fldCharType="end"/>
      </w:r>
      <w:r w:rsidRPr="00A503D3">
        <w:rPr>
          <w:rFonts w:asciiTheme="majorBidi" w:hAnsiTheme="majorBidi" w:cstheme="majorBidi"/>
        </w:rPr>
        <w:t>), para 9.12.</w:t>
      </w:r>
    </w:p>
  </w:footnote>
  <w:footnote w:id="70">
    <w:p w14:paraId="0394D1E6" w14:textId="2E832AF2" w:rsidR="00473C62" w:rsidRPr="00A503D3" w:rsidRDefault="00473C62"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para 4.3.</w:t>
      </w:r>
    </w:p>
  </w:footnote>
  <w:footnote w:id="71">
    <w:p w14:paraId="694F2FCF" w14:textId="755BF728" w:rsidR="00D85C91" w:rsidRPr="00A503D3" w:rsidRDefault="00D85C91">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Committee on the Rights of the Child (Argentina)</w:t>
      </w:r>
      <w:r w:rsidR="003839F4" w:rsidRPr="00A503D3">
        <w:rPr>
          <w:rFonts w:asciiTheme="majorBidi" w:hAnsiTheme="majorBidi" w:cstheme="majorBidi"/>
        </w:rPr>
        <w:t xml:space="preserve"> (n </w:t>
      </w:r>
      <w:r w:rsidR="003839F4" w:rsidRPr="00A503D3">
        <w:rPr>
          <w:rFonts w:asciiTheme="majorBidi" w:hAnsiTheme="majorBidi" w:cstheme="majorBidi"/>
        </w:rPr>
        <w:fldChar w:fldCharType="begin"/>
      </w:r>
      <w:r w:rsidR="003839F4"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003839F4" w:rsidRPr="00A503D3">
        <w:rPr>
          <w:rFonts w:asciiTheme="majorBidi" w:hAnsiTheme="majorBidi" w:cstheme="majorBidi"/>
        </w:rPr>
      </w:r>
      <w:r w:rsidR="003839F4" w:rsidRPr="00A503D3">
        <w:rPr>
          <w:rFonts w:asciiTheme="majorBidi" w:hAnsiTheme="majorBidi" w:cstheme="majorBidi"/>
        </w:rPr>
        <w:fldChar w:fldCharType="separate"/>
      </w:r>
      <w:r w:rsidR="00B02769">
        <w:rPr>
          <w:rFonts w:asciiTheme="majorBidi" w:hAnsiTheme="majorBidi" w:cstheme="majorBidi"/>
        </w:rPr>
        <w:t>66</w:t>
      </w:r>
      <w:r w:rsidR="003839F4" w:rsidRPr="00A503D3">
        <w:rPr>
          <w:rFonts w:asciiTheme="majorBidi" w:hAnsiTheme="majorBidi" w:cstheme="majorBidi"/>
        </w:rPr>
        <w:fldChar w:fldCharType="end"/>
      </w:r>
      <w:r w:rsidR="003839F4" w:rsidRPr="00A503D3">
        <w:rPr>
          <w:rFonts w:asciiTheme="majorBidi" w:hAnsiTheme="majorBidi" w:cstheme="majorBidi"/>
        </w:rPr>
        <w:t>),</w:t>
      </w:r>
      <w:r w:rsidRPr="00A503D3">
        <w:rPr>
          <w:rFonts w:asciiTheme="majorBidi" w:hAnsiTheme="majorBidi" w:cstheme="majorBidi"/>
        </w:rPr>
        <w:t xml:space="preserve"> para 4.3.</w:t>
      </w:r>
    </w:p>
  </w:footnote>
  <w:footnote w:id="72">
    <w:p w14:paraId="64A7A22A" w14:textId="3F14ECBF" w:rsidR="0013791F" w:rsidRPr="00A503D3" w:rsidRDefault="0013791F">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Committee on the Rights of the Child (Brazil) (n </w:t>
      </w:r>
      <w:r w:rsidRPr="00A503D3">
        <w:rPr>
          <w:rFonts w:asciiTheme="majorBidi" w:hAnsiTheme="majorBidi" w:cstheme="majorBidi"/>
        </w:rPr>
        <w:fldChar w:fldCharType="begin"/>
      </w:r>
      <w:r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66</w:t>
      </w:r>
      <w:r w:rsidRPr="00A503D3">
        <w:rPr>
          <w:rFonts w:asciiTheme="majorBidi" w:hAnsiTheme="majorBidi" w:cstheme="majorBidi"/>
        </w:rPr>
        <w:fldChar w:fldCharType="end"/>
      </w:r>
      <w:r w:rsidRPr="00A503D3">
        <w:rPr>
          <w:rFonts w:asciiTheme="majorBidi" w:hAnsiTheme="majorBidi" w:cstheme="majorBidi"/>
        </w:rPr>
        <w:t xml:space="preserve">), para 7.3; </w:t>
      </w:r>
      <w:r w:rsidR="006077B4" w:rsidRPr="00A503D3">
        <w:rPr>
          <w:rFonts w:asciiTheme="majorBidi" w:hAnsiTheme="majorBidi" w:cstheme="majorBidi"/>
        </w:rPr>
        <w:t xml:space="preserve">Committee on the Rights of the Child (Germany) (n </w:t>
      </w:r>
      <w:r w:rsidR="006077B4" w:rsidRPr="00A503D3">
        <w:rPr>
          <w:rFonts w:asciiTheme="majorBidi" w:hAnsiTheme="majorBidi" w:cstheme="majorBidi"/>
        </w:rPr>
        <w:fldChar w:fldCharType="begin"/>
      </w:r>
      <w:r w:rsidR="006077B4"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006077B4" w:rsidRPr="00A503D3">
        <w:rPr>
          <w:rFonts w:asciiTheme="majorBidi" w:hAnsiTheme="majorBidi" w:cstheme="majorBidi"/>
        </w:rPr>
      </w:r>
      <w:r w:rsidR="006077B4" w:rsidRPr="00A503D3">
        <w:rPr>
          <w:rFonts w:asciiTheme="majorBidi" w:hAnsiTheme="majorBidi" w:cstheme="majorBidi"/>
        </w:rPr>
        <w:fldChar w:fldCharType="separate"/>
      </w:r>
      <w:r w:rsidR="00B02769">
        <w:rPr>
          <w:rFonts w:asciiTheme="majorBidi" w:hAnsiTheme="majorBidi" w:cstheme="majorBidi"/>
        </w:rPr>
        <w:t>66</w:t>
      </w:r>
      <w:r w:rsidR="006077B4" w:rsidRPr="00A503D3">
        <w:rPr>
          <w:rFonts w:asciiTheme="majorBidi" w:hAnsiTheme="majorBidi" w:cstheme="majorBidi"/>
        </w:rPr>
        <w:fldChar w:fldCharType="end"/>
      </w:r>
      <w:r w:rsidR="006077B4" w:rsidRPr="00A503D3">
        <w:rPr>
          <w:rFonts w:asciiTheme="majorBidi" w:hAnsiTheme="majorBidi" w:cstheme="majorBidi"/>
        </w:rPr>
        <w:t xml:space="preserve">), para 7.4; </w:t>
      </w:r>
      <w:r w:rsidR="000118E1" w:rsidRPr="00A503D3">
        <w:rPr>
          <w:rFonts w:asciiTheme="majorBidi" w:hAnsiTheme="majorBidi" w:cstheme="majorBidi"/>
        </w:rPr>
        <w:t xml:space="preserve">Committee on the Rights of the Child (France) (n </w:t>
      </w:r>
      <w:r w:rsidR="000118E1" w:rsidRPr="00A503D3">
        <w:rPr>
          <w:rFonts w:asciiTheme="majorBidi" w:hAnsiTheme="majorBidi" w:cstheme="majorBidi"/>
        </w:rPr>
        <w:fldChar w:fldCharType="begin"/>
      </w:r>
      <w:r w:rsidR="000118E1"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000118E1" w:rsidRPr="00A503D3">
        <w:rPr>
          <w:rFonts w:asciiTheme="majorBidi" w:hAnsiTheme="majorBidi" w:cstheme="majorBidi"/>
        </w:rPr>
      </w:r>
      <w:r w:rsidR="000118E1" w:rsidRPr="00A503D3">
        <w:rPr>
          <w:rFonts w:asciiTheme="majorBidi" w:hAnsiTheme="majorBidi" w:cstheme="majorBidi"/>
        </w:rPr>
        <w:fldChar w:fldCharType="separate"/>
      </w:r>
      <w:r w:rsidR="00B02769">
        <w:rPr>
          <w:rFonts w:asciiTheme="majorBidi" w:hAnsiTheme="majorBidi" w:cstheme="majorBidi"/>
        </w:rPr>
        <w:t>66</w:t>
      </w:r>
      <w:r w:rsidR="000118E1" w:rsidRPr="00A503D3">
        <w:rPr>
          <w:rFonts w:asciiTheme="majorBidi" w:hAnsiTheme="majorBidi" w:cstheme="majorBidi"/>
        </w:rPr>
        <w:fldChar w:fldCharType="end"/>
      </w:r>
      <w:r w:rsidR="000118E1" w:rsidRPr="00A503D3">
        <w:rPr>
          <w:rFonts w:asciiTheme="majorBidi" w:hAnsiTheme="majorBidi" w:cstheme="majorBidi"/>
        </w:rPr>
        <w:t xml:space="preserve">), para 8.4; Committee on the Rights of the Child (Turkey) (n </w:t>
      </w:r>
      <w:r w:rsidR="000118E1" w:rsidRPr="00A503D3">
        <w:rPr>
          <w:rFonts w:asciiTheme="majorBidi" w:hAnsiTheme="majorBidi" w:cstheme="majorBidi"/>
        </w:rPr>
        <w:fldChar w:fldCharType="begin"/>
      </w:r>
      <w:r w:rsidR="000118E1"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000118E1" w:rsidRPr="00A503D3">
        <w:rPr>
          <w:rFonts w:asciiTheme="majorBidi" w:hAnsiTheme="majorBidi" w:cstheme="majorBidi"/>
        </w:rPr>
      </w:r>
      <w:r w:rsidR="000118E1" w:rsidRPr="00A503D3">
        <w:rPr>
          <w:rFonts w:asciiTheme="majorBidi" w:hAnsiTheme="majorBidi" w:cstheme="majorBidi"/>
        </w:rPr>
        <w:fldChar w:fldCharType="separate"/>
      </w:r>
      <w:r w:rsidR="00B02769">
        <w:rPr>
          <w:rFonts w:asciiTheme="majorBidi" w:hAnsiTheme="majorBidi" w:cstheme="majorBidi"/>
        </w:rPr>
        <w:t>66</w:t>
      </w:r>
      <w:r w:rsidR="000118E1" w:rsidRPr="00A503D3">
        <w:rPr>
          <w:rFonts w:asciiTheme="majorBidi" w:hAnsiTheme="majorBidi" w:cstheme="majorBidi"/>
        </w:rPr>
        <w:fldChar w:fldCharType="end"/>
      </w:r>
      <w:r w:rsidR="000118E1" w:rsidRPr="00A503D3">
        <w:rPr>
          <w:rFonts w:asciiTheme="majorBidi" w:hAnsiTheme="majorBidi" w:cstheme="majorBidi"/>
        </w:rPr>
        <w:t>), para 7.6</w:t>
      </w:r>
      <w:r w:rsidRPr="00A503D3">
        <w:rPr>
          <w:rFonts w:asciiTheme="majorBidi" w:hAnsiTheme="majorBidi" w:cstheme="majorBidi"/>
        </w:rPr>
        <w:t>.</w:t>
      </w:r>
    </w:p>
  </w:footnote>
  <w:footnote w:id="73">
    <w:p w14:paraId="49A63CE8" w14:textId="2AB1E4EE" w:rsidR="00575AD9" w:rsidRPr="00CE07DE" w:rsidRDefault="00575AD9">
      <w:pPr>
        <w:pStyle w:val="FootnoteText"/>
        <w:rPr>
          <w:rFonts w:ascii="Times New Roman" w:hAnsi="Times New Roman" w:cs="Times New Roman"/>
        </w:rPr>
      </w:pPr>
      <w:r w:rsidRPr="00CE07DE">
        <w:rPr>
          <w:rStyle w:val="FootnoteReference"/>
          <w:rFonts w:ascii="Times New Roman" w:hAnsi="Times New Roman" w:cs="Times New Roman"/>
        </w:rPr>
        <w:footnoteRef/>
      </w:r>
      <w:r w:rsidRPr="00CE07DE">
        <w:rPr>
          <w:rFonts w:ascii="Times New Roman" w:hAnsi="Times New Roman" w:cs="Times New Roman"/>
        </w:rPr>
        <w:t xml:space="preserve"> </w:t>
      </w:r>
      <w:proofErr w:type="spellStart"/>
      <w:r w:rsidRPr="00CE07DE">
        <w:rPr>
          <w:rFonts w:ascii="Times New Roman" w:hAnsi="Times New Roman" w:cs="Times New Roman"/>
          <w:i/>
          <w:iCs/>
        </w:rPr>
        <w:t>Urgenda</w:t>
      </w:r>
      <w:proofErr w:type="spellEnd"/>
      <w:r w:rsidRPr="00CE07DE">
        <w:rPr>
          <w:rFonts w:ascii="Times New Roman" w:hAnsi="Times New Roman" w:cs="Times New Roman"/>
          <w:i/>
          <w:iCs/>
        </w:rPr>
        <w:t xml:space="preserve"> Foundation v. The Netherlands</w:t>
      </w:r>
      <w:r>
        <w:rPr>
          <w:rFonts w:ascii="Times New Roman" w:hAnsi="Times New Roman" w:cs="Times New Roman"/>
          <w:i/>
          <w:iCs/>
        </w:rPr>
        <w:t>,</w:t>
      </w:r>
      <w:r w:rsidRPr="00CE07DE">
        <w:rPr>
          <w:rFonts w:ascii="Times New Roman" w:hAnsi="Times New Roman" w:cs="Times New Roman"/>
          <w:b/>
          <w:bCs/>
        </w:rPr>
        <w:t> </w:t>
      </w:r>
      <w:r w:rsidRPr="00575AD9">
        <w:rPr>
          <w:rFonts w:ascii="Times New Roman" w:hAnsi="Times New Roman" w:cs="Times New Roman"/>
        </w:rPr>
        <w:t>ECLI:NL:HR</w:t>
      </w:r>
      <w:r>
        <w:rPr>
          <w:rFonts w:ascii="Times New Roman" w:hAnsi="Times New Roman" w:cs="Times New Roman"/>
        </w:rPr>
        <w:t xml:space="preserve"> (</w:t>
      </w:r>
      <w:r w:rsidRPr="00575AD9">
        <w:rPr>
          <w:rFonts w:ascii="Times New Roman" w:hAnsi="Times New Roman" w:cs="Times New Roman"/>
        </w:rPr>
        <w:t>2019</w:t>
      </w:r>
      <w:r>
        <w:rPr>
          <w:rFonts w:ascii="Times New Roman" w:hAnsi="Times New Roman" w:cs="Times New Roman"/>
        </w:rPr>
        <w:t>), para.</w:t>
      </w:r>
      <w:r w:rsidRPr="00CE07DE">
        <w:rPr>
          <w:rFonts w:ascii="Times New Roman" w:hAnsi="Times New Roman" w:cs="Times New Roman"/>
        </w:rPr>
        <w:t xml:space="preserve"> 5.7.5</w:t>
      </w:r>
      <w:r>
        <w:rPr>
          <w:rFonts w:ascii="Times New Roman" w:hAnsi="Times New Roman" w:cs="Times New Roman"/>
        </w:rPr>
        <w:t>.</w:t>
      </w:r>
    </w:p>
  </w:footnote>
  <w:footnote w:id="74">
    <w:p w14:paraId="2CD5BB75" w14:textId="6B205F74" w:rsidR="001970A5" w:rsidRPr="00A503D3" w:rsidRDefault="001970A5"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Sharma v</w:t>
      </w:r>
      <w:r w:rsidR="008C147A" w:rsidRPr="00A503D3">
        <w:rPr>
          <w:rFonts w:asciiTheme="majorBidi" w:hAnsiTheme="majorBidi" w:cstheme="majorBidi"/>
          <w:i/>
          <w:iCs/>
        </w:rPr>
        <w:t xml:space="preserve"> Minister for the Environment</w:t>
      </w:r>
      <w:r w:rsidRPr="00A503D3">
        <w:rPr>
          <w:rFonts w:asciiTheme="majorBidi" w:hAnsiTheme="majorBidi" w:cstheme="majorBidi"/>
          <w:i/>
          <w:iCs/>
        </w:rPr>
        <w:t xml:space="preserve"> </w:t>
      </w:r>
      <w:r w:rsidR="008C147A" w:rsidRPr="00A503D3">
        <w:rPr>
          <w:rFonts w:asciiTheme="majorBidi" w:hAnsiTheme="majorBidi" w:cstheme="majorBidi"/>
          <w:i/>
          <w:iCs/>
        </w:rPr>
        <w:t>(</w:t>
      </w:r>
      <w:r w:rsidRPr="00A503D3">
        <w:rPr>
          <w:rFonts w:asciiTheme="majorBidi" w:hAnsiTheme="majorBidi" w:cstheme="majorBidi"/>
          <w:i/>
          <w:iCs/>
        </w:rPr>
        <w:t>Australia</w:t>
      </w:r>
      <w:r w:rsidR="008C147A" w:rsidRPr="00A503D3">
        <w:rPr>
          <w:rFonts w:asciiTheme="majorBidi" w:hAnsiTheme="majorBidi" w:cstheme="majorBidi"/>
          <w:i/>
          <w:iCs/>
        </w:rPr>
        <w:t>)</w:t>
      </w:r>
      <w:r w:rsidRPr="00A503D3">
        <w:rPr>
          <w:rFonts w:asciiTheme="majorBidi" w:hAnsiTheme="majorBidi" w:cstheme="majorBidi"/>
          <w:i/>
          <w:iCs/>
        </w:rPr>
        <w:t xml:space="preserve"> </w:t>
      </w:r>
      <w:r w:rsidRPr="00A503D3">
        <w:rPr>
          <w:rFonts w:asciiTheme="majorBidi" w:hAnsiTheme="majorBidi" w:cstheme="majorBidi"/>
        </w:rPr>
        <w:t>[2021] FCA 560,</w:t>
      </w:r>
      <w:r w:rsidRPr="00A503D3">
        <w:rPr>
          <w:rFonts w:asciiTheme="majorBidi" w:hAnsiTheme="majorBidi" w:cstheme="majorBidi"/>
          <w:i/>
          <w:iCs/>
        </w:rPr>
        <w:t xml:space="preserve"> </w:t>
      </w:r>
      <w:r w:rsidRPr="00A503D3">
        <w:rPr>
          <w:rFonts w:asciiTheme="majorBidi" w:hAnsiTheme="majorBidi" w:cstheme="majorBidi"/>
        </w:rPr>
        <w:t>84.</w:t>
      </w:r>
      <w:r w:rsidR="0073060E" w:rsidRPr="00A503D3">
        <w:rPr>
          <w:rFonts w:asciiTheme="majorBidi" w:hAnsiTheme="majorBidi" w:cstheme="majorBidi"/>
        </w:rPr>
        <w:t xml:space="preserve"> </w:t>
      </w:r>
      <w:r w:rsidRPr="00A503D3">
        <w:rPr>
          <w:rFonts w:asciiTheme="majorBidi" w:hAnsiTheme="majorBidi" w:cstheme="majorBidi"/>
          <w:color w:val="333333"/>
          <w:shd w:val="clear" w:color="auto" w:fill="FFFFFF"/>
        </w:rPr>
        <w:t> </w:t>
      </w:r>
    </w:p>
  </w:footnote>
  <w:footnote w:id="75">
    <w:p w14:paraId="3F8AE9E5" w14:textId="2E166BA2" w:rsidR="001970A5" w:rsidRPr="00A503D3" w:rsidRDefault="001970A5"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 xml:space="preserve">Sharma </w:t>
      </w:r>
      <w:r w:rsidRPr="00A503D3">
        <w:rPr>
          <w:rFonts w:asciiTheme="majorBidi" w:hAnsiTheme="majorBidi" w:cstheme="majorBidi"/>
        </w:rPr>
        <w:t xml:space="preserve">(n </w:t>
      </w:r>
      <w:r w:rsidRPr="00A503D3">
        <w:rPr>
          <w:rFonts w:asciiTheme="majorBidi" w:hAnsiTheme="majorBidi" w:cstheme="majorBidi"/>
        </w:rPr>
        <w:fldChar w:fldCharType="begin"/>
      </w:r>
      <w:r w:rsidRPr="00A503D3">
        <w:rPr>
          <w:rFonts w:asciiTheme="majorBidi" w:hAnsiTheme="majorBidi" w:cstheme="majorBidi"/>
        </w:rPr>
        <w:instrText xml:space="preserve"> NOTEREF _Ref132631394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74</w:t>
      </w:r>
      <w:r w:rsidRPr="00A503D3">
        <w:rPr>
          <w:rFonts w:asciiTheme="majorBidi" w:hAnsiTheme="majorBidi" w:cstheme="majorBidi"/>
        </w:rPr>
        <w:fldChar w:fldCharType="end"/>
      </w:r>
      <w:r w:rsidRPr="00A503D3">
        <w:rPr>
          <w:rFonts w:asciiTheme="majorBidi" w:hAnsiTheme="majorBidi" w:cstheme="majorBidi"/>
        </w:rPr>
        <w:t xml:space="preserve">) 88. </w:t>
      </w:r>
    </w:p>
  </w:footnote>
  <w:footnote w:id="76">
    <w:p w14:paraId="2A07F459" w14:textId="0959795E" w:rsidR="00345C78" w:rsidRPr="00345C78" w:rsidRDefault="00345C78">
      <w:pPr>
        <w:pStyle w:val="FootnoteText"/>
      </w:pPr>
      <w:r>
        <w:rPr>
          <w:rStyle w:val="FootnoteReference"/>
        </w:rPr>
        <w:footnoteRef/>
      </w:r>
      <w:r>
        <w:t xml:space="preserve"> </w:t>
      </w:r>
      <w:r w:rsidRPr="00A503D3">
        <w:rPr>
          <w:rFonts w:asciiTheme="majorBidi" w:hAnsiTheme="majorBidi" w:cstheme="majorBidi"/>
          <w:i/>
          <w:iCs/>
        </w:rPr>
        <w:t>Sharma</w:t>
      </w:r>
      <w:r>
        <w:rPr>
          <w:rFonts w:asciiTheme="majorBidi" w:hAnsiTheme="majorBidi" w:cstheme="majorBidi"/>
          <w:i/>
          <w:iCs/>
        </w:rPr>
        <w:t xml:space="preserve"> </w:t>
      </w:r>
      <w:r>
        <w:rPr>
          <w:rFonts w:asciiTheme="majorBidi" w:hAnsiTheme="majorBidi" w:cstheme="majorBidi"/>
        </w:rPr>
        <w:t>(</w:t>
      </w:r>
      <w:r>
        <w:rPr>
          <w:rFonts w:asciiTheme="majorBidi" w:hAnsiTheme="majorBidi" w:cstheme="majorBidi"/>
        </w:rPr>
        <w:fldChar w:fldCharType="begin"/>
      </w:r>
      <w:r>
        <w:rPr>
          <w:rFonts w:asciiTheme="majorBidi" w:hAnsiTheme="majorBidi" w:cstheme="majorBidi"/>
        </w:rPr>
        <w:instrText xml:space="preserve"> NOTEREF _Ref132631394 \h </w:instrText>
      </w:r>
      <w:r>
        <w:rPr>
          <w:rFonts w:asciiTheme="majorBidi" w:hAnsiTheme="majorBidi" w:cstheme="majorBidi"/>
        </w:rPr>
      </w:r>
      <w:r>
        <w:rPr>
          <w:rFonts w:asciiTheme="majorBidi" w:hAnsiTheme="majorBidi" w:cstheme="majorBidi"/>
        </w:rPr>
        <w:fldChar w:fldCharType="separate"/>
      </w:r>
      <w:r w:rsidR="00B02769">
        <w:rPr>
          <w:rFonts w:asciiTheme="majorBidi" w:hAnsiTheme="majorBidi" w:cstheme="majorBidi"/>
        </w:rPr>
        <w:t>74</w:t>
      </w:r>
      <w:r>
        <w:rPr>
          <w:rFonts w:asciiTheme="majorBidi" w:hAnsiTheme="majorBidi" w:cstheme="majorBidi"/>
        </w:rPr>
        <w:fldChar w:fldCharType="end"/>
      </w:r>
      <w:r>
        <w:rPr>
          <w:rFonts w:asciiTheme="majorBidi" w:hAnsiTheme="majorBidi" w:cstheme="majorBidi"/>
        </w:rPr>
        <w:t>) 249.</w:t>
      </w:r>
    </w:p>
  </w:footnote>
  <w:footnote w:id="77">
    <w:p w14:paraId="5C3BD314" w14:textId="14E8679E" w:rsidR="00D06281" w:rsidRPr="00CE07DE" w:rsidRDefault="00D06281">
      <w:pPr>
        <w:pStyle w:val="FootnoteText"/>
        <w:rPr>
          <w:rFonts w:ascii="Times New Roman" w:hAnsi="Times New Roman" w:cs="Times New Roman"/>
        </w:rPr>
      </w:pPr>
      <w:r w:rsidRPr="00CE07DE">
        <w:rPr>
          <w:rStyle w:val="FootnoteReference"/>
          <w:rFonts w:ascii="Times New Roman" w:hAnsi="Times New Roman" w:cs="Times New Roman"/>
        </w:rPr>
        <w:footnoteRef/>
      </w:r>
      <w:r w:rsidRPr="00CE07DE">
        <w:rPr>
          <w:rFonts w:ascii="Times New Roman" w:hAnsi="Times New Roman" w:cs="Times New Roman"/>
        </w:rPr>
        <w:t xml:space="preserve"> </w:t>
      </w:r>
      <w:r w:rsidR="00B61071" w:rsidRPr="00CE07DE">
        <w:rPr>
          <w:rFonts w:ascii="Times New Roman" w:hAnsi="Times New Roman" w:cs="Times New Roman"/>
          <w:i/>
          <w:iCs/>
        </w:rPr>
        <w:t>Minister for the Environment v Sharma (No 2)</w:t>
      </w:r>
      <w:r w:rsidR="00B61071" w:rsidRPr="00CE07DE">
        <w:rPr>
          <w:rFonts w:ascii="Times New Roman" w:hAnsi="Times New Roman" w:cs="Times New Roman"/>
        </w:rPr>
        <w:t xml:space="preserve"> [2022] FCAFC 65</w:t>
      </w:r>
      <w:r w:rsidR="00B61071">
        <w:rPr>
          <w:rFonts w:ascii="Times New Roman" w:hAnsi="Times New Roman" w:cs="Times New Roman"/>
        </w:rPr>
        <w:t>.</w:t>
      </w:r>
    </w:p>
  </w:footnote>
  <w:footnote w:id="78">
    <w:p w14:paraId="3E181C78" w14:textId="1BA0E269" w:rsidR="00F656AC" w:rsidRPr="00A503D3" w:rsidRDefault="00F656AC">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As noted by Peel &amp; </w:t>
      </w:r>
      <w:proofErr w:type="spellStart"/>
      <w:r w:rsidRPr="00A503D3">
        <w:rPr>
          <w:rFonts w:asciiTheme="majorBidi" w:hAnsiTheme="majorBidi" w:cstheme="majorBidi"/>
        </w:rPr>
        <w:t>Merkey-Towler</w:t>
      </w:r>
      <w:proofErr w:type="spellEnd"/>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_Ref132633544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5</w:t>
      </w:r>
      <w:r w:rsidRPr="00A503D3">
        <w:rPr>
          <w:rFonts w:asciiTheme="majorBidi" w:hAnsiTheme="majorBidi" w:cstheme="majorBidi"/>
        </w:rPr>
        <w:fldChar w:fldCharType="end"/>
      </w:r>
      <w:r w:rsidRPr="00A503D3">
        <w:rPr>
          <w:rFonts w:asciiTheme="majorBidi" w:hAnsiTheme="majorBidi" w:cstheme="majorBidi"/>
        </w:rPr>
        <w:t xml:space="preserve">); </w:t>
      </w:r>
      <w:proofErr w:type="spellStart"/>
      <w:r w:rsidRPr="00A503D3">
        <w:rPr>
          <w:rFonts w:asciiTheme="majorBidi" w:hAnsiTheme="majorBidi" w:cstheme="majorBidi"/>
          <w:i/>
          <w:iCs/>
        </w:rPr>
        <w:t>Milieudefensie</w:t>
      </w:r>
      <w:proofErr w:type="spellEnd"/>
      <w:r w:rsidRPr="00A503D3">
        <w:rPr>
          <w:rFonts w:asciiTheme="majorBidi" w:hAnsiTheme="majorBidi" w:cstheme="majorBidi"/>
          <w:i/>
          <w:iCs/>
        </w:rPr>
        <w:t xml:space="preserve"> v Shell </w:t>
      </w:r>
      <w:r w:rsidRPr="00A503D3">
        <w:rPr>
          <w:rFonts w:asciiTheme="majorBidi" w:hAnsiTheme="majorBidi" w:cstheme="majorBidi"/>
        </w:rPr>
        <w:t>(District Court) (26/05/2021) 4.3.5.</w:t>
      </w:r>
    </w:p>
  </w:footnote>
  <w:footnote w:id="79">
    <w:p w14:paraId="47DFC4EB" w14:textId="444C3CDB" w:rsidR="004F77DA" w:rsidRPr="00A503D3" w:rsidRDefault="004F77DA">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Committee on the Rights of the Child (Germany) (n </w:t>
      </w:r>
      <w:r w:rsidRPr="00A503D3">
        <w:rPr>
          <w:rFonts w:asciiTheme="majorBidi" w:hAnsiTheme="majorBidi" w:cstheme="majorBidi"/>
        </w:rPr>
        <w:fldChar w:fldCharType="begin"/>
      </w:r>
      <w:r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66</w:t>
      </w:r>
      <w:r w:rsidRPr="00A503D3">
        <w:rPr>
          <w:rFonts w:asciiTheme="majorBidi" w:hAnsiTheme="majorBidi" w:cstheme="majorBidi"/>
        </w:rPr>
        <w:fldChar w:fldCharType="end"/>
      </w:r>
      <w:r w:rsidRPr="00A503D3">
        <w:rPr>
          <w:rFonts w:asciiTheme="majorBidi" w:hAnsiTheme="majorBidi" w:cstheme="majorBidi"/>
        </w:rPr>
        <w:t>), para 9.10.</w:t>
      </w:r>
    </w:p>
  </w:footnote>
  <w:footnote w:id="80">
    <w:p w14:paraId="42046E5C" w14:textId="6C9008FE" w:rsidR="00630097" w:rsidRPr="00A503D3" w:rsidRDefault="00630097" w:rsidP="00630097">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Committee on the Rights of the Child (Germany) (n </w:t>
      </w:r>
      <w:r w:rsidRPr="00A503D3">
        <w:rPr>
          <w:rFonts w:asciiTheme="majorBidi" w:hAnsiTheme="majorBidi" w:cstheme="majorBidi"/>
        </w:rPr>
        <w:fldChar w:fldCharType="begin"/>
      </w:r>
      <w:r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66</w:t>
      </w:r>
      <w:r w:rsidRPr="00A503D3">
        <w:rPr>
          <w:rFonts w:asciiTheme="majorBidi" w:hAnsiTheme="majorBidi" w:cstheme="majorBidi"/>
        </w:rPr>
        <w:fldChar w:fldCharType="end"/>
      </w:r>
      <w:r w:rsidRPr="00A503D3">
        <w:rPr>
          <w:rFonts w:asciiTheme="majorBidi" w:hAnsiTheme="majorBidi" w:cstheme="majorBidi"/>
        </w:rPr>
        <w:t>), para 9.10.</w:t>
      </w:r>
    </w:p>
  </w:footnote>
  <w:footnote w:id="81">
    <w:p w14:paraId="5A8F762D" w14:textId="1C019262" w:rsidR="0024250A" w:rsidRPr="00A503D3" w:rsidRDefault="0024250A" w:rsidP="0073060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t>
      </w:r>
      <w:r w:rsidRPr="00A503D3">
        <w:rPr>
          <w:rFonts w:asciiTheme="majorBidi" w:hAnsiTheme="majorBidi" w:cstheme="majorBidi"/>
          <w:i/>
          <w:iCs/>
        </w:rPr>
        <w:t>Daniel Billy et al</w:t>
      </w:r>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_Ref132560352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40</w:t>
      </w:r>
      <w:r w:rsidRPr="00A503D3">
        <w:rPr>
          <w:rFonts w:asciiTheme="majorBidi" w:hAnsiTheme="majorBidi" w:cstheme="majorBidi"/>
        </w:rPr>
        <w:fldChar w:fldCharType="end"/>
      </w:r>
      <w:r w:rsidRPr="00A503D3">
        <w:rPr>
          <w:rFonts w:asciiTheme="majorBidi" w:hAnsiTheme="majorBidi" w:cstheme="majorBidi"/>
        </w:rPr>
        <w:t xml:space="preserve">) para </w:t>
      </w:r>
      <w:r w:rsidR="00015A17" w:rsidRPr="00A503D3">
        <w:rPr>
          <w:rFonts w:asciiTheme="majorBidi" w:hAnsiTheme="majorBidi" w:cstheme="majorBidi"/>
        </w:rPr>
        <w:t>8.9</w:t>
      </w:r>
      <w:r w:rsidRPr="00A503D3">
        <w:rPr>
          <w:rFonts w:asciiTheme="majorBidi" w:hAnsiTheme="majorBidi" w:cstheme="majorBidi"/>
        </w:rPr>
        <w:t>.</w:t>
      </w:r>
    </w:p>
  </w:footnote>
  <w:footnote w:id="82">
    <w:p w14:paraId="62F65B6B" w14:textId="65F2E7EF" w:rsidR="0095479E" w:rsidRPr="00A503D3" w:rsidRDefault="0095479E">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Avidan Kent &amp; Simon Behrman, ‘An alternative introduction: An interview with the editors, which never took place’ in Simon Behrman &amp; Avidan Kent (Eds) </w:t>
      </w:r>
      <w:r w:rsidRPr="00A503D3">
        <w:rPr>
          <w:rFonts w:asciiTheme="majorBidi" w:hAnsiTheme="majorBidi" w:cstheme="majorBidi"/>
          <w:i/>
          <w:iCs/>
        </w:rPr>
        <w:t xml:space="preserve">Climate Refugees: Global, </w:t>
      </w:r>
      <w:proofErr w:type="gramStart"/>
      <w:r w:rsidRPr="00A503D3">
        <w:rPr>
          <w:rFonts w:asciiTheme="majorBidi" w:hAnsiTheme="majorBidi" w:cstheme="majorBidi"/>
          <w:i/>
          <w:iCs/>
        </w:rPr>
        <w:t>local</w:t>
      </w:r>
      <w:proofErr w:type="gramEnd"/>
      <w:r w:rsidRPr="00A503D3">
        <w:rPr>
          <w:rFonts w:asciiTheme="majorBidi" w:hAnsiTheme="majorBidi" w:cstheme="majorBidi"/>
          <w:i/>
          <w:iCs/>
        </w:rPr>
        <w:t xml:space="preserve"> and critical approaches </w:t>
      </w:r>
      <w:r w:rsidRPr="00A503D3">
        <w:rPr>
          <w:rFonts w:asciiTheme="majorBidi" w:hAnsiTheme="majorBidi" w:cstheme="majorBidi"/>
        </w:rPr>
        <w:t xml:space="preserve">(CUP 2022). </w:t>
      </w:r>
    </w:p>
  </w:footnote>
  <w:footnote w:id="83">
    <w:p w14:paraId="3C5F17F1" w14:textId="28E33623" w:rsidR="00F83693" w:rsidRPr="00A503D3" w:rsidRDefault="00F83693">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Rupert Stuart-Smith et al. ‘filling the evidentiary gap in climate litigation (2021)11 Nature Climate Change 651.</w:t>
      </w:r>
    </w:p>
  </w:footnote>
  <w:footnote w:id="84">
    <w:p w14:paraId="15085A0E" w14:textId="3340FA17" w:rsidR="006B79E8" w:rsidRPr="00A503D3" w:rsidRDefault="006B79E8">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See for example Amelie </w:t>
      </w:r>
      <w:proofErr w:type="spellStart"/>
      <w:r w:rsidRPr="00A503D3">
        <w:rPr>
          <w:rFonts w:asciiTheme="majorBidi" w:hAnsiTheme="majorBidi" w:cstheme="majorBidi"/>
        </w:rPr>
        <w:t>Bernzen</w:t>
      </w:r>
      <w:proofErr w:type="spellEnd"/>
      <w:r w:rsidRPr="00A503D3">
        <w:rPr>
          <w:rFonts w:asciiTheme="majorBidi" w:hAnsiTheme="majorBidi" w:cstheme="majorBidi"/>
        </w:rPr>
        <w:t xml:space="preserve"> et al ‘climate change-induced migration in coastal Bangladesh? A critical assessment of migration drivers in rural households under economic and environmental stress’ (2019)9(1) Geosciences; Kees van der Geest et al ‘Climate change, ecosystem services and migration in the Marshall Islands: are they related?’ (2020)161 Climatic Change 109; Richard Black et al. ‘Demographics and climate change: Future trends and their policy implications for migration’ (2008) Development Research Centre on Migration, Globalisation and Poverty Working Paper T-27; Matthew </w:t>
      </w:r>
      <w:proofErr w:type="spellStart"/>
      <w:r w:rsidRPr="00A503D3">
        <w:rPr>
          <w:rFonts w:asciiTheme="majorBidi" w:hAnsiTheme="majorBidi" w:cstheme="majorBidi"/>
        </w:rPr>
        <w:t>Welsham</w:t>
      </w:r>
      <w:proofErr w:type="spellEnd"/>
      <w:r w:rsidRPr="00A503D3">
        <w:rPr>
          <w:rFonts w:asciiTheme="majorBidi" w:hAnsiTheme="majorBidi" w:cstheme="majorBidi"/>
        </w:rPr>
        <w:t>, ‘Assessing the evidence: environment, climate change and migration in Bangladesh’ (2010, IOM)</w:t>
      </w:r>
      <w:r w:rsidR="003C70F8" w:rsidRPr="00A503D3">
        <w:rPr>
          <w:rFonts w:asciiTheme="majorBidi" w:hAnsiTheme="majorBidi" w:cstheme="majorBidi"/>
        </w:rPr>
        <w:t xml:space="preserve">; Robert Oakes, Kees van der Geest &amp; Cosmin </w:t>
      </w:r>
      <w:proofErr w:type="spellStart"/>
      <w:r w:rsidR="003C70F8" w:rsidRPr="00A503D3">
        <w:rPr>
          <w:rFonts w:asciiTheme="majorBidi" w:hAnsiTheme="majorBidi" w:cstheme="majorBidi"/>
        </w:rPr>
        <w:t>Corendea</w:t>
      </w:r>
      <w:proofErr w:type="spellEnd"/>
      <w:r w:rsidR="003C70F8" w:rsidRPr="00A503D3">
        <w:rPr>
          <w:rFonts w:asciiTheme="majorBidi" w:hAnsiTheme="majorBidi" w:cstheme="majorBidi"/>
        </w:rPr>
        <w:t xml:space="preserve">, ‘Any port in a storm? Climate, mobility, and choices in Pacific Small Island Developing </w:t>
      </w:r>
      <w:proofErr w:type="gramStart"/>
      <w:r w:rsidR="003C70F8" w:rsidRPr="00A503D3">
        <w:rPr>
          <w:rFonts w:asciiTheme="majorBidi" w:hAnsiTheme="majorBidi" w:cstheme="majorBidi"/>
        </w:rPr>
        <w:t>States’</w:t>
      </w:r>
      <w:proofErr w:type="gramEnd"/>
      <w:r w:rsidR="003C70F8" w:rsidRPr="00A503D3">
        <w:rPr>
          <w:rFonts w:asciiTheme="majorBidi" w:hAnsiTheme="majorBidi" w:cstheme="majorBidi"/>
        </w:rPr>
        <w:t xml:space="preserve"> in Simon Behrman &amp; Avidan Kent (eds) </w:t>
      </w:r>
      <w:r w:rsidR="003C70F8" w:rsidRPr="00A503D3">
        <w:rPr>
          <w:rFonts w:asciiTheme="majorBidi" w:hAnsiTheme="majorBidi" w:cstheme="majorBidi"/>
          <w:i/>
          <w:iCs/>
        </w:rPr>
        <w:t xml:space="preserve">Climate refugees: global, local and critical approaches </w:t>
      </w:r>
      <w:r w:rsidR="003C70F8" w:rsidRPr="00A503D3">
        <w:rPr>
          <w:rFonts w:asciiTheme="majorBidi" w:hAnsiTheme="majorBidi" w:cstheme="majorBidi"/>
        </w:rPr>
        <w:t>(CUP 2022)</w:t>
      </w:r>
      <w:r w:rsidRPr="00A503D3">
        <w:rPr>
          <w:rStyle w:val="Hyperlink"/>
          <w:rFonts w:asciiTheme="majorBidi" w:hAnsiTheme="majorBidi" w:cstheme="majorBidi"/>
        </w:rPr>
        <w:t xml:space="preserve">. </w:t>
      </w:r>
      <w:r w:rsidRPr="00A503D3">
        <w:rPr>
          <w:rFonts w:asciiTheme="majorBidi" w:hAnsiTheme="majorBidi" w:cstheme="majorBidi"/>
        </w:rPr>
        <w:t xml:space="preserve">We provide a comprehensive review of this topic in chapter 1 of our forthcoming monograph, Avidan Kent &amp; Simon Behrman, </w:t>
      </w:r>
      <w:r w:rsidRPr="00A503D3">
        <w:rPr>
          <w:rFonts w:asciiTheme="majorBidi" w:hAnsiTheme="majorBidi" w:cstheme="majorBidi"/>
          <w:i/>
          <w:iCs/>
        </w:rPr>
        <w:t xml:space="preserve">Re-framing international law on climate-induced migration </w:t>
      </w:r>
      <w:r w:rsidRPr="00A503D3">
        <w:rPr>
          <w:rFonts w:asciiTheme="majorBidi" w:hAnsiTheme="majorBidi" w:cstheme="majorBidi"/>
        </w:rPr>
        <w:t xml:space="preserve">(CUP forthcoming). </w:t>
      </w:r>
    </w:p>
  </w:footnote>
  <w:footnote w:id="85">
    <w:p w14:paraId="7854EDD6" w14:textId="3440673D" w:rsidR="00DE10A9" w:rsidRPr="00A503D3" w:rsidRDefault="00DE10A9" w:rsidP="00DE10A9">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Chile Ministry of Foreign Affairs, </w:t>
      </w:r>
      <w:r w:rsidRPr="00A503D3">
        <w:rPr>
          <w:rFonts w:asciiTheme="majorBidi" w:hAnsiTheme="majorBidi" w:cstheme="majorBidi"/>
          <w:i/>
          <w:iCs/>
        </w:rPr>
        <w:t xml:space="preserve">Request for an Advisory Opinion </w:t>
      </w:r>
      <w:r w:rsidRPr="00A503D3">
        <w:rPr>
          <w:rFonts w:asciiTheme="majorBidi" w:hAnsiTheme="majorBidi" w:cstheme="majorBidi"/>
        </w:rPr>
        <w:t>(January 9</w:t>
      </w:r>
      <w:r w:rsidRPr="00A503D3">
        <w:rPr>
          <w:rFonts w:asciiTheme="majorBidi" w:hAnsiTheme="majorBidi" w:cstheme="majorBidi"/>
          <w:vertAlign w:val="superscript"/>
        </w:rPr>
        <w:t>th</w:t>
      </w:r>
      <w:r w:rsidRPr="00A503D3">
        <w:rPr>
          <w:rFonts w:asciiTheme="majorBidi" w:hAnsiTheme="majorBidi" w:cstheme="majorBidi"/>
        </w:rPr>
        <w:t xml:space="preserve"> 2023) </w:t>
      </w:r>
      <w:hyperlink r:id="rId6" w:history="1">
        <w:r w:rsidR="00A243E9" w:rsidRPr="00A503D3">
          <w:rPr>
            <w:rStyle w:val="Hyperlink"/>
            <w:rFonts w:asciiTheme="majorBidi" w:hAnsiTheme="majorBidi" w:cstheme="majorBidi"/>
          </w:rPr>
          <w:t>http://climatecasechart.com/non-us-case/request-for-an-advisory-opinion-on-the-scope-of-the-state-obligations-for-responding-to-the-climate-emergency/</w:t>
        </w:r>
      </w:hyperlink>
      <w:r w:rsidRPr="00A503D3">
        <w:rPr>
          <w:rFonts w:asciiTheme="majorBidi" w:hAnsiTheme="majorBidi" w:cstheme="majorBidi"/>
        </w:rPr>
        <w:t xml:space="preserve">. </w:t>
      </w:r>
    </w:p>
  </w:footnote>
  <w:footnote w:id="86">
    <w:p w14:paraId="6D35301D" w14:textId="1A86553F" w:rsidR="00DE10A9" w:rsidRPr="00A503D3" w:rsidRDefault="00DE10A9" w:rsidP="00DE10A9">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IACtHR </w:t>
      </w:r>
      <w:r w:rsidRPr="00A503D3">
        <w:rPr>
          <w:rFonts w:asciiTheme="majorBidi" w:hAnsiTheme="majorBidi" w:cstheme="majorBidi"/>
          <w:i/>
          <w:iCs/>
        </w:rPr>
        <w:t xml:space="preserve">Request for an Advisory Opinion </w:t>
      </w:r>
      <w:r w:rsidRPr="00A503D3">
        <w:rPr>
          <w:rFonts w:asciiTheme="majorBidi" w:hAnsiTheme="majorBidi" w:cstheme="majorBidi"/>
        </w:rPr>
        <w:t xml:space="preserve">(n </w:t>
      </w:r>
      <w:r w:rsidRPr="00A503D3">
        <w:rPr>
          <w:rFonts w:asciiTheme="majorBidi" w:hAnsiTheme="majorBidi" w:cstheme="majorBidi"/>
        </w:rPr>
        <w:fldChar w:fldCharType="begin"/>
      </w:r>
      <w:r w:rsidRPr="00A503D3">
        <w:rPr>
          <w:rFonts w:asciiTheme="majorBidi" w:hAnsiTheme="majorBidi" w:cstheme="majorBidi"/>
        </w:rPr>
        <w:instrText xml:space="preserve"> NOTEREF _Ref132703620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85</w:t>
      </w:r>
      <w:r w:rsidRPr="00A503D3">
        <w:rPr>
          <w:rFonts w:asciiTheme="majorBidi" w:hAnsiTheme="majorBidi" w:cstheme="majorBidi"/>
        </w:rPr>
        <w:fldChar w:fldCharType="end"/>
      </w:r>
      <w:r w:rsidRPr="00A503D3">
        <w:rPr>
          <w:rFonts w:asciiTheme="majorBidi" w:hAnsiTheme="majorBidi" w:cstheme="majorBidi"/>
        </w:rPr>
        <w:t>) 4.</w:t>
      </w:r>
    </w:p>
  </w:footnote>
  <w:footnote w:id="87">
    <w:p w14:paraId="2C83AEAA" w14:textId="77777777" w:rsidR="00DE10A9" w:rsidRPr="00A503D3" w:rsidRDefault="00DE10A9" w:rsidP="00DE10A9">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Ibid, 5.</w:t>
      </w:r>
    </w:p>
  </w:footnote>
  <w:footnote w:id="88">
    <w:p w14:paraId="78AC20FD" w14:textId="41F3F6FF" w:rsidR="00087B6C" w:rsidRPr="00A503D3" w:rsidRDefault="00087B6C">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UNGA, ‘Request for an Advisory Opinion of the International Court of Justice on the Obligations of States in respect of climate change’ (1 March 2023) UN Doc A/77/L.58.</w:t>
      </w:r>
    </w:p>
  </w:footnote>
  <w:footnote w:id="89">
    <w:p w14:paraId="24E9F6D2" w14:textId="2B521D6F" w:rsidR="008A7087" w:rsidRPr="00A503D3" w:rsidRDefault="008A7087">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UNGA (n </w:t>
      </w:r>
      <w:r w:rsidRPr="00A503D3">
        <w:rPr>
          <w:rFonts w:asciiTheme="majorBidi" w:hAnsiTheme="majorBidi" w:cstheme="majorBidi"/>
        </w:rPr>
        <w:fldChar w:fldCharType="begin"/>
      </w:r>
      <w:r w:rsidRPr="00A503D3">
        <w:rPr>
          <w:rFonts w:asciiTheme="majorBidi" w:hAnsiTheme="majorBidi" w:cstheme="majorBidi"/>
        </w:rPr>
        <w:instrText xml:space="preserve"> NOTEREF _Ref132708974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88</w:t>
      </w:r>
      <w:r w:rsidRPr="00A503D3">
        <w:rPr>
          <w:rFonts w:asciiTheme="majorBidi" w:hAnsiTheme="majorBidi" w:cstheme="majorBidi"/>
        </w:rPr>
        <w:fldChar w:fldCharType="end"/>
      </w:r>
      <w:r w:rsidRPr="00A503D3">
        <w:rPr>
          <w:rFonts w:asciiTheme="majorBidi" w:hAnsiTheme="majorBidi" w:cstheme="majorBidi"/>
        </w:rPr>
        <w:t>) 3.</w:t>
      </w:r>
    </w:p>
  </w:footnote>
  <w:footnote w:id="90">
    <w:p w14:paraId="533D411B" w14:textId="1D6D29CC" w:rsidR="007960A1" w:rsidRPr="00A503D3" w:rsidRDefault="007960A1">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Alaska Institute for Justice, ‘Rights of Indigenous Peoples in Addressing Climate-Forced Displacement’ (15 January 2020). </w:t>
      </w:r>
    </w:p>
  </w:footnote>
  <w:footnote w:id="91">
    <w:p w14:paraId="471C7283" w14:textId="6D95D3A2" w:rsidR="00B825BA" w:rsidRPr="00A503D3" w:rsidRDefault="00B825BA">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Letter from UN Rapporteurs to the Government of the USA (September 2020). </w:t>
      </w:r>
    </w:p>
  </w:footnote>
  <w:footnote w:id="92">
    <w:p w14:paraId="4A14900C" w14:textId="58B3DE95" w:rsidR="001B0658" w:rsidRPr="00A503D3" w:rsidRDefault="001B0658">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White House, </w:t>
      </w:r>
      <w:r w:rsidRPr="00A503D3">
        <w:rPr>
          <w:rFonts w:asciiTheme="majorBidi" w:hAnsiTheme="majorBidi" w:cstheme="majorBidi"/>
          <w:i/>
          <w:iCs/>
        </w:rPr>
        <w:t xml:space="preserve">Report on the impact of climate change on migration </w:t>
      </w:r>
      <w:r w:rsidRPr="00A503D3">
        <w:rPr>
          <w:rFonts w:asciiTheme="majorBidi" w:hAnsiTheme="majorBidi" w:cstheme="majorBidi"/>
        </w:rPr>
        <w:t>(White House 2021).</w:t>
      </w:r>
    </w:p>
  </w:footnote>
  <w:footnote w:id="93">
    <w:p w14:paraId="3FFAE8F8" w14:textId="3F60A334" w:rsidR="00B825BA" w:rsidRPr="00A503D3" w:rsidRDefault="00B825BA" w:rsidP="00B825BA">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The White House ‘Remarks by President Biden at the White House Tribal Nations Summit’ (November 30</w:t>
      </w:r>
      <w:r w:rsidRPr="00A503D3">
        <w:rPr>
          <w:rFonts w:asciiTheme="majorBidi" w:hAnsiTheme="majorBidi" w:cstheme="majorBidi"/>
          <w:vertAlign w:val="superscript"/>
        </w:rPr>
        <w:t>th</w:t>
      </w:r>
      <w:r w:rsidRPr="00A503D3">
        <w:rPr>
          <w:rFonts w:asciiTheme="majorBidi" w:hAnsiTheme="majorBidi" w:cstheme="majorBidi"/>
        </w:rPr>
        <w:t xml:space="preserve"> 2022) </w:t>
      </w:r>
      <w:hyperlink r:id="rId7" w:history="1">
        <w:r w:rsidRPr="00A503D3">
          <w:rPr>
            <w:rStyle w:val="Hyperlink"/>
            <w:rFonts w:asciiTheme="majorBidi" w:hAnsiTheme="majorBidi" w:cstheme="majorBidi"/>
          </w:rPr>
          <w:t>https://www.whitehouse.gov/briefing-room/speeches-remarks/2022/11/30/remarks-by-president-biden-at-the-white-house-tribal-nations-summit/</w:t>
        </w:r>
      </w:hyperlink>
      <w:r w:rsidRPr="00A503D3">
        <w:rPr>
          <w:rFonts w:asciiTheme="majorBidi" w:hAnsiTheme="majorBidi" w:cstheme="majorBidi"/>
        </w:rPr>
        <w:t xml:space="preserve">. </w:t>
      </w:r>
    </w:p>
  </w:footnote>
  <w:footnote w:id="94">
    <w:p w14:paraId="433888D2" w14:textId="1AC2718E" w:rsidR="00685F73" w:rsidRPr="00A503D3" w:rsidRDefault="00685F73" w:rsidP="00685F73">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Duncan </w:t>
      </w:r>
      <w:proofErr w:type="spellStart"/>
      <w:r w:rsidRPr="00A503D3">
        <w:rPr>
          <w:rFonts w:asciiTheme="majorBidi" w:hAnsiTheme="majorBidi" w:cstheme="majorBidi"/>
        </w:rPr>
        <w:t>Muhumuza</w:t>
      </w:r>
      <w:proofErr w:type="spellEnd"/>
      <w:r w:rsidRPr="00A503D3">
        <w:rPr>
          <w:rFonts w:asciiTheme="majorBidi" w:hAnsiTheme="majorBidi" w:cstheme="majorBidi"/>
        </w:rPr>
        <w:t xml:space="preserve"> </w:t>
      </w:r>
      <w:proofErr w:type="spellStart"/>
      <w:r w:rsidRPr="00A503D3">
        <w:rPr>
          <w:rFonts w:asciiTheme="majorBidi" w:hAnsiTheme="majorBidi" w:cstheme="majorBidi"/>
        </w:rPr>
        <w:t>Laki</w:t>
      </w:r>
      <w:proofErr w:type="spellEnd"/>
      <w:r w:rsidRPr="00A503D3">
        <w:rPr>
          <w:rFonts w:asciiTheme="majorBidi" w:hAnsiTheme="majorBidi" w:cstheme="majorBidi"/>
        </w:rPr>
        <w:t xml:space="preserve"> (n </w:t>
      </w:r>
      <w:r w:rsidRPr="00A503D3">
        <w:rPr>
          <w:rFonts w:asciiTheme="majorBidi" w:hAnsiTheme="majorBidi" w:cstheme="majorBidi"/>
        </w:rPr>
        <w:fldChar w:fldCharType="begin"/>
      </w:r>
      <w:r w:rsidRPr="00A503D3">
        <w:rPr>
          <w:rFonts w:asciiTheme="majorBidi" w:hAnsiTheme="majorBidi" w:cstheme="majorBidi"/>
        </w:rPr>
        <w:instrText xml:space="preserve"> NOTEREF _Ref132537663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31</w:t>
      </w:r>
      <w:r w:rsidRPr="00A503D3">
        <w:rPr>
          <w:rFonts w:asciiTheme="majorBidi" w:hAnsiTheme="majorBidi" w:cstheme="majorBidi"/>
        </w:rPr>
        <w:fldChar w:fldCharType="end"/>
      </w:r>
      <w:r w:rsidRPr="00A503D3">
        <w:rPr>
          <w:rFonts w:asciiTheme="majorBidi" w:hAnsiTheme="majorBidi" w:cstheme="majorBidi"/>
        </w:rPr>
        <w:t>).</w:t>
      </w:r>
    </w:p>
  </w:footnote>
  <w:footnote w:id="95">
    <w:p w14:paraId="6AE5A91E" w14:textId="45C84382" w:rsidR="00685F73" w:rsidRPr="00A503D3" w:rsidRDefault="00685F73" w:rsidP="00685F73">
      <w:pPr>
        <w:pStyle w:val="FootnoteText"/>
        <w:rPr>
          <w:rFonts w:asciiTheme="majorBidi" w:hAnsiTheme="majorBidi" w:cstheme="majorBidi"/>
        </w:rPr>
      </w:pPr>
      <w:r w:rsidRPr="00A503D3">
        <w:rPr>
          <w:rStyle w:val="FootnoteReference"/>
          <w:rFonts w:asciiTheme="majorBidi" w:hAnsiTheme="majorBidi" w:cstheme="majorBidi"/>
        </w:rPr>
        <w:footnoteRef/>
      </w:r>
      <w:r w:rsidRPr="00A503D3">
        <w:rPr>
          <w:rFonts w:asciiTheme="majorBidi" w:hAnsiTheme="majorBidi" w:cstheme="majorBidi"/>
        </w:rPr>
        <w:t xml:space="preserve"> See for example Committee on the Rights of the Child (Germany) (n </w:t>
      </w:r>
      <w:r w:rsidRPr="00A503D3">
        <w:rPr>
          <w:rFonts w:asciiTheme="majorBidi" w:hAnsiTheme="majorBidi" w:cstheme="majorBidi"/>
        </w:rPr>
        <w:fldChar w:fldCharType="begin"/>
      </w:r>
      <w:r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66</w:t>
      </w:r>
      <w:r w:rsidRPr="00A503D3">
        <w:rPr>
          <w:rFonts w:asciiTheme="majorBidi" w:hAnsiTheme="majorBidi" w:cstheme="majorBidi"/>
        </w:rPr>
        <w:fldChar w:fldCharType="end"/>
      </w:r>
      <w:r w:rsidRPr="00A503D3">
        <w:rPr>
          <w:rFonts w:asciiTheme="majorBidi" w:hAnsiTheme="majorBidi" w:cstheme="majorBidi"/>
        </w:rPr>
        <w:t xml:space="preserve">), para 7.4; Committee on the Rights of the Child (France) (n </w:t>
      </w:r>
      <w:r w:rsidRPr="00A503D3">
        <w:rPr>
          <w:rFonts w:asciiTheme="majorBidi" w:hAnsiTheme="majorBidi" w:cstheme="majorBidi"/>
        </w:rPr>
        <w:fldChar w:fldCharType="begin"/>
      </w:r>
      <w:r w:rsidRPr="00A503D3">
        <w:rPr>
          <w:rFonts w:asciiTheme="majorBidi" w:hAnsiTheme="majorBidi" w:cstheme="majorBidi"/>
        </w:rPr>
        <w:instrText xml:space="preserve"> NOTEREF _Ref132657431 \h </w:instrText>
      </w:r>
      <w:r w:rsidR="00133C85" w:rsidRPr="00A503D3">
        <w:rPr>
          <w:rFonts w:asciiTheme="majorBidi" w:hAnsiTheme="majorBidi" w:cstheme="majorBidi"/>
        </w:rPr>
        <w:instrText xml:space="preserve"> \* MERGEFORMAT </w:instrText>
      </w:r>
      <w:r w:rsidRPr="00A503D3">
        <w:rPr>
          <w:rFonts w:asciiTheme="majorBidi" w:hAnsiTheme="majorBidi" w:cstheme="majorBidi"/>
        </w:rPr>
      </w:r>
      <w:r w:rsidRPr="00A503D3">
        <w:rPr>
          <w:rFonts w:asciiTheme="majorBidi" w:hAnsiTheme="majorBidi" w:cstheme="majorBidi"/>
        </w:rPr>
        <w:fldChar w:fldCharType="separate"/>
      </w:r>
      <w:r w:rsidR="00B02769">
        <w:rPr>
          <w:rFonts w:asciiTheme="majorBidi" w:hAnsiTheme="majorBidi" w:cstheme="majorBidi"/>
        </w:rPr>
        <w:t>66</w:t>
      </w:r>
      <w:r w:rsidRPr="00A503D3">
        <w:rPr>
          <w:rFonts w:asciiTheme="majorBidi" w:hAnsiTheme="majorBidi" w:cstheme="majorBidi"/>
        </w:rPr>
        <w:fldChar w:fldCharType="end"/>
      </w:r>
      <w:r w:rsidRPr="00A503D3">
        <w:rPr>
          <w:rFonts w:asciiTheme="majorBidi" w:hAnsiTheme="majorBidi" w:cstheme="majorBidi"/>
        </w:rPr>
        <w:t>), para 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103B4"/>
    <w:multiLevelType w:val="hybridMultilevel"/>
    <w:tmpl w:val="05DA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2509BE"/>
    <w:multiLevelType w:val="hybridMultilevel"/>
    <w:tmpl w:val="949EF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3856A0"/>
    <w:multiLevelType w:val="hybridMultilevel"/>
    <w:tmpl w:val="B90EE7D0"/>
    <w:lvl w:ilvl="0" w:tplc="22CEB6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966630"/>
    <w:multiLevelType w:val="hybridMultilevel"/>
    <w:tmpl w:val="0BB685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048467">
    <w:abstractNumId w:val="2"/>
  </w:num>
  <w:num w:numId="2" w16cid:durableId="1791120674">
    <w:abstractNumId w:val="0"/>
  </w:num>
  <w:num w:numId="3" w16cid:durableId="446970164">
    <w:abstractNumId w:val="1"/>
  </w:num>
  <w:num w:numId="4" w16cid:durableId="535848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31"/>
    <w:rsid w:val="00007EFB"/>
    <w:rsid w:val="000118E1"/>
    <w:rsid w:val="00014E91"/>
    <w:rsid w:val="00015A17"/>
    <w:rsid w:val="00030529"/>
    <w:rsid w:val="00043A10"/>
    <w:rsid w:val="00060D97"/>
    <w:rsid w:val="00062298"/>
    <w:rsid w:val="00063031"/>
    <w:rsid w:val="0006374A"/>
    <w:rsid w:val="00075FA0"/>
    <w:rsid w:val="00077184"/>
    <w:rsid w:val="00084642"/>
    <w:rsid w:val="00086DB1"/>
    <w:rsid w:val="00087B6C"/>
    <w:rsid w:val="00092779"/>
    <w:rsid w:val="000B5332"/>
    <w:rsid w:val="000C3751"/>
    <w:rsid w:val="000C3E29"/>
    <w:rsid w:val="000D2099"/>
    <w:rsid w:val="000D2B9A"/>
    <w:rsid w:val="000D677D"/>
    <w:rsid w:val="000E0A99"/>
    <w:rsid w:val="000F781C"/>
    <w:rsid w:val="0011547E"/>
    <w:rsid w:val="00130EC3"/>
    <w:rsid w:val="00133C85"/>
    <w:rsid w:val="0013432F"/>
    <w:rsid w:val="00136CEE"/>
    <w:rsid w:val="0013791F"/>
    <w:rsid w:val="00137AFE"/>
    <w:rsid w:val="0014030A"/>
    <w:rsid w:val="00141991"/>
    <w:rsid w:val="0014593C"/>
    <w:rsid w:val="001469A9"/>
    <w:rsid w:val="001569B4"/>
    <w:rsid w:val="00167137"/>
    <w:rsid w:val="00167777"/>
    <w:rsid w:val="00170202"/>
    <w:rsid w:val="00171DC2"/>
    <w:rsid w:val="00181194"/>
    <w:rsid w:val="001863CB"/>
    <w:rsid w:val="001970A5"/>
    <w:rsid w:val="001B05D3"/>
    <w:rsid w:val="001B0658"/>
    <w:rsid w:val="001B08F2"/>
    <w:rsid w:val="001C26DB"/>
    <w:rsid w:val="001C4F07"/>
    <w:rsid w:val="001D37C3"/>
    <w:rsid w:val="001E179A"/>
    <w:rsid w:val="001E3B06"/>
    <w:rsid w:val="001E4664"/>
    <w:rsid w:val="001E490F"/>
    <w:rsid w:val="001E560D"/>
    <w:rsid w:val="001E5CD6"/>
    <w:rsid w:val="001F694C"/>
    <w:rsid w:val="00201EF8"/>
    <w:rsid w:val="00205259"/>
    <w:rsid w:val="002071B7"/>
    <w:rsid w:val="00207415"/>
    <w:rsid w:val="0022471F"/>
    <w:rsid w:val="00224C66"/>
    <w:rsid w:val="00226D7A"/>
    <w:rsid w:val="002329A4"/>
    <w:rsid w:val="0023717A"/>
    <w:rsid w:val="0024250A"/>
    <w:rsid w:val="0024559A"/>
    <w:rsid w:val="00246918"/>
    <w:rsid w:val="00247B08"/>
    <w:rsid w:val="00252DD3"/>
    <w:rsid w:val="0025760F"/>
    <w:rsid w:val="00264790"/>
    <w:rsid w:val="00264C42"/>
    <w:rsid w:val="00277A65"/>
    <w:rsid w:val="0028587B"/>
    <w:rsid w:val="00285E74"/>
    <w:rsid w:val="002903AA"/>
    <w:rsid w:val="00291E53"/>
    <w:rsid w:val="00294187"/>
    <w:rsid w:val="002B6118"/>
    <w:rsid w:val="002B6A75"/>
    <w:rsid w:val="002C3075"/>
    <w:rsid w:val="002C319A"/>
    <w:rsid w:val="002C5CE3"/>
    <w:rsid w:val="002C6BBF"/>
    <w:rsid w:val="002D6860"/>
    <w:rsid w:val="002E60D2"/>
    <w:rsid w:val="002F035D"/>
    <w:rsid w:val="00305B82"/>
    <w:rsid w:val="00313F42"/>
    <w:rsid w:val="00327440"/>
    <w:rsid w:val="00336E4A"/>
    <w:rsid w:val="00345240"/>
    <w:rsid w:val="00345C78"/>
    <w:rsid w:val="00364E19"/>
    <w:rsid w:val="003679F0"/>
    <w:rsid w:val="0037797C"/>
    <w:rsid w:val="003839F4"/>
    <w:rsid w:val="003A3F19"/>
    <w:rsid w:val="003B05F2"/>
    <w:rsid w:val="003C2CA0"/>
    <w:rsid w:val="003C5943"/>
    <w:rsid w:val="003C70F8"/>
    <w:rsid w:val="003D166A"/>
    <w:rsid w:val="003E12D5"/>
    <w:rsid w:val="003E64C2"/>
    <w:rsid w:val="003E78B0"/>
    <w:rsid w:val="003F5B5C"/>
    <w:rsid w:val="003F7E36"/>
    <w:rsid w:val="00402E1E"/>
    <w:rsid w:val="004048B4"/>
    <w:rsid w:val="00407182"/>
    <w:rsid w:val="004112D6"/>
    <w:rsid w:val="00412D35"/>
    <w:rsid w:val="00414B3A"/>
    <w:rsid w:val="00425E54"/>
    <w:rsid w:val="0045143D"/>
    <w:rsid w:val="0045697E"/>
    <w:rsid w:val="00470EBB"/>
    <w:rsid w:val="00473C62"/>
    <w:rsid w:val="004740CD"/>
    <w:rsid w:val="004847E1"/>
    <w:rsid w:val="00497365"/>
    <w:rsid w:val="004C1198"/>
    <w:rsid w:val="004C6F60"/>
    <w:rsid w:val="004D4BCE"/>
    <w:rsid w:val="004E5EE4"/>
    <w:rsid w:val="004F77DA"/>
    <w:rsid w:val="004F7E72"/>
    <w:rsid w:val="005100EE"/>
    <w:rsid w:val="00517197"/>
    <w:rsid w:val="005329E8"/>
    <w:rsid w:val="00541DB3"/>
    <w:rsid w:val="0055090C"/>
    <w:rsid w:val="0055254E"/>
    <w:rsid w:val="00555734"/>
    <w:rsid w:val="0055591F"/>
    <w:rsid w:val="00557D3C"/>
    <w:rsid w:val="005702B5"/>
    <w:rsid w:val="005723B0"/>
    <w:rsid w:val="005752A9"/>
    <w:rsid w:val="00575AD9"/>
    <w:rsid w:val="005761CD"/>
    <w:rsid w:val="005A2D86"/>
    <w:rsid w:val="005A78D4"/>
    <w:rsid w:val="005B3D20"/>
    <w:rsid w:val="005C0043"/>
    <w:rsid w:val="005D3211"/>
    <w:rsid w:val="005E4C4E"/>
    <w:rsid w:val="005E516A"/>
    <w:rsid w:val="005F21A5"/>
    <w:rsid w:val="005F2B0C"/>
    <w:rsid w:val="00601920"/>
    <w:rsid w:val="006077B4"/>
    <w:rsid w:val="00611529"/>
    <w:rsid w:val="00626AC2"/>
    <w:rsid w:val="00630097"/>
    <w:rsid w:val="00643EB5"/>
    <w:rsid w:val="0065096D"/>
    <w:rsid w:val="0065285B"/>
    <w:rsid w:val="00656AAA"/>
    <w:rsid w:val="006624A1"/>
    <w:rsid w:val="00662B7F"/>
    <w:rsid w:val="00667D41"/>
    <w:rsid w:val="006731AD"/>
    <w:rsid w:val="00680F7F"/>
    <w:rsid w:val="0068141A"/>
    <w:rsid w:val="00681D81"/>
    <w:rsid w:val="00685F73"/>
    <w:rsid w:val="006963DC"/>
    <w:rsid w:val="006A5292"/>
    <w:rsid w:val="006B79E8"/>
    <w:rsid w:val="006C352B"/>
    <w:rsid w:val="006C3758"/>
    <w:rsid w:val="006C5B4F"/>
    <w:rsid w:val="006C6300"/>
    <w:rsid w:val="006D4451"/>
    <w:rsid w:val="006E0B12"/>
    <w:rsid w:val="006E16A3"/>
    <w:rsid w:val="006E24BE"/>
    <w:rsid w:val="006E3F2D"/>
    <w:rsid w:val="006E6DD7"/>
    <w:rsid w:val="006F0C3F"/>
    <w:rsid w:val="006F323B"/>
    <w:rsid w:val="006F5C53"/>
    <w:rsid w:val="00710A46"/>
    <w:rsid w:val="007124CC"/>
    <w:rsid w:val="007143C0"/>
    <w:rsid w:val="007211C8"/>
    <w:rsid w:val="00723025"/>
    <w:rsid w:val="0073060E"/>
    <w:rsid w:val="00746BB2"/>
    <w:rsid w:val="00762976"/>
    <w:rsid w:val="00767C14"/>
    <w:rsid w:val="007768BA"/>
    <w:rsid w:val="0077799D"/>
    <w:rsid w:val="0078450B"/>
    <w:rsid w:val="007907F7"/>
    <w:rsid w:val="00792FB4"/>
    <w:rsid w:val="007960A1"/>
    <w:rsid w:val="007A0BCD"/>
    <w:rsid w:val="007A795A"/>
    <w:rsid w:val="007C685E"/>
    <w:rsid w:val="007C6902"/>
    <w:rsid w:val="007D5E94"/>
    <w:rsid w:val="007E61BE"/>
    <w:rsid w:val="007F297B"/>
    <w:rsid w:val="008027CB"/>
    <w:rsid w:val="008050C7"/>
    <w:rsid w:val="00807BCA"/>
    <w:rsid w:val="00827089"/>
    <w:rsid w:val="00830857"/>
    <w:rsid w:val="0083597C"/>
    <w:rsid w:val="00837A6E"/>
    <w:rsid w:val="00844F4B"/>
    <w:rsid w:val="008669E9"/>
    <w:rsid w:val="00866A4F"/>
    <w:rsid w:val="00881066"/>
    <w:rsid w:val="00884C48"/>
    <w:rsid w:val="0088667C"/>
    <w:rsid w:val="00892338"/>
    <w:rsid w:val="00893ABF"/>
    <w:rsid w:val="00896D09"/>
    <w:rsid w:val="008A14E1"/>
    <w:rsid w:val="008A2C05"/>
    <w:rsid w:val="008A5475"/>
    <w:rsid w:val="008A6EB0"/>
    <w:rsid w:val="008A7087"/>
    <w:rsid w:val="008B041D"/>
    <w:rsid w:val="008B22F7"/>
    <w:rsid w:val="008C0402"/>
    <w:rsid w:val="008C147A"/>
    <w:rsid w:val="008C1FCE"/>
    <w:rsid w:val="008C5642"/>
    <w:rsid w:val="008D5AA2"/>
    <w:rsid w:val="008E16FC"/>
    <w:rsid w:val="008F033A"/>
    <w:rsid w:val="009026F7"/>
    <w:rsid w:val="009156F6"/>
    <w:rsid w:val="00917874"/>
    <w:rsid w:val="009207FD"/>
    <w:rsid w:val="009216FA"/>
    <w:rsid w:val="0092737A"/>
    <w:rsid w:val="00927DD5"/>
    <w:rsid w:val="00935A58"/>
    <w:rsid w:val="00947BDB"/>
    <w:rsid w:val="00954776"/>
    <w:rsid w:val="0095479E"/>
    <w:rsid w:val="009564C1"/>
    <w:rsid w:val="00960E46"/>
    <w:rsid w:val="00963A4E"/>
    <w:rsid w:val="00967016"/>
    <w:rsid w:val="009679BE"/>
    <w:rsid w:val="009733CD"/>
    <w:rsid w:val="00976F3F"/>
    <w:rsid w:val="00980050"/>
    <w:rsid w:val="0098515A"/>
    <w:rsid w:val="00986103"/>
    <w:rsid w:val="00987CBC"/>
    <w:rsid w:val="0099533A"/>
    <w:rsid w:val="009953AD"/>
    <w:rsid w:val="009A4812"/>
    <w:rsid w:val="009B0CDD"/>
    <w:rsid w:val="009B4ED2"/>
    <w:rsid w:val="009C7892"/>
    <w:rsid w:val="009D1B2C"/>
    <w:rsid w:val="009D4FC3"/>
    <w:rsid w:val="009E5DBA"/>
    <w:rsid w:val="009F6EA2"/>
    <w:rsid w:val="00A00245"/>
    <w:rsid w:val="00A016CD"/>
    <w:rsid w:val="00A243E9"/>
    <w:rsid w:val="00A349D4"/>
    <w:rsid w:val="00A46E4B"/>
    <w:rsid w:val="00A503D3"/>
    <w:rsid w:val="00A50913"/>
    <w:rsid w:val="00A60614"/>
    <w:rsid w:val="00A83D2D"/>
    <w:rsid w:val="00A976E0"/>
    <w:rsid w:val="00AC42C8"/>
    <w:rsid w:val="00AF63FD"/>
    <w:rsid w:val="00B02769"/>
    <w:rsid w:val="00B045F4"/>
    <w:rsid w:val="00B0555A"/>
    <w:rsid w:val="00B05593"/>
    <w:rsid w:val="00B07708"/>
    <w:rsid w:val="00B20EA2"/>
    <w:rsid w:val="00B405FA"/>
    <w:rsid w:val="00B41CAB"/>
    <w:rsid w:val="00B42293"/>
    <w:rsid w:val="00B534C1"/>
    <w:rsid w:val="00B569C0"/>
    <w:rsid w:val="00B61071"/>
    <w:rsid w:val="00B619B6"/>
    <w:rsid w:val="00B6529D"/>
    <w:rsid w:val="00B825BA"/>
    <w:rsid w:val="00B827AB"/>
    <w:rsid w:val="00B860FA"/>
    <w:rsid w:val="00B87D4B"/>
    <w:rsid w:val="00B94DDC"/>
    <w:rsid w:val="00BB085A"/>
    <w:rsid w:val="00BB091D"/>
    <w:rsid w:val="00BB0FD7"/>
    <w:rsid w:val="00BC106C"/>
    <w:rsid w:val="00BE07DE"/>
    <w:rsid w:val="00BE25B6"/>
    <w:rsid w:val="00BE2FD7"/>
    <w:rsid w:val="00C03B3F"/>
    <w:rsid w:val="00C141BD"/>
    <w:rsid w:val="00C2567C"/>
    <w:rsid w:val="00C31862"/>
    <w:rsid w:val="00C347FA"/>
    <w:rsid w:val="00C37AC6"/>
    <w:rsid w:val="00C44CD1"/>
    <w:rsid w:val="00C47FEF"/>
    <w:rsid w:val="00C63DAA"/>
    <w:rsid w:val="00C86BE7"/>
    <w:rsid w:val="00CA01B2"/>
    <w:rsid w:val="00CB63F3"/>
    <w:rsid w:val="00CB6B90"/>
    <w:rsid w:val="00CB7CD5"/>
    <w:rsid w:val="00CC7846"/>
    <w:rsid w:val="00CD0486"/>
    <w:rsid w:val="00CD1B24"/>
    <w:rsid w:val="00CD2BA4"/>
    <w:rsid w:val="00CD3B70"/>
    <w:rsid w:val="00CD520A"/>
    <w:rsid w:val="00CD559B"/>
    <w:rsid w:val="00CE07DE"/>
    <w:rsid w:val="00CE46DA"/>
    <w:rsid w:val="00CF2F3A"/>
    <w:rsid w:val="00D03509"/>
    <w:rsid w:val="00D06281"/>
    <w:rsid w:val="00D114E4"/>
    <w:rsid w:val="00D1620D"/>
    <w:rsid w:val="00D16489"/>
    <w:rsid w:val="00D315DC"/>
    <w:rsid w:val="00D43722"/>
    <w:rsid w:val="00D4490E"/>
    <w:rsid w:val="00D46538"/>
    <w:rsid w:val="00D51418"/>
    <w:rsid w:val="00D51E2C"/>
    <w:rsid w:val="00D51E4F"/>
    <w:rsid w:val="00D54C06"/>
    <w:rsid w:val="00D60DF6"/>
    <w:rsid w:val="00D62099"/>
    <w:rsid w:val="00D6512D"/>
    <w:rsid w:val="00D81B62"/>
    <w:rsid w:val="00D81FF2"/>
    <w:rsid w:val="00D85C91"/>
    <w:rsid w:val="00D862B3"/>
    <w:rsid w:val="00D9009E"/>
    <w:rsid w:val="00D90139"/>
    <w:rsid w:val="00D95DF4"/>
    <w:rsid w:val="00DA132D"/>
    <w:rsid w:val="00DB2001"/>
    <w:rsid w:val="00DD54D6"/>
    <w:rsid w:val="00DD5ED6"/>
    <w:rsid w:val="00DE10A9"/>
    <w:rsid w:val="00E002AC"/>
    <w:rsid w:val="00E00853"/>
    <w:rsid w:val="00E020C2"/>
    <w:rsid w:val="00E31ECB"/>
    <w:rsid w:val="00E31FF3"/>
    <w:rsid w:val="00E34624"/>
    <w:rsid w:val="00E4745B"/>
    <w:rsid w:val="00E67DFC"/>
    <w:rsid w:val="00E8103C"/>
    <w:rsid w:val="00E830D3"/>
    <w:rsid w:val="00E97362"/>
    <w:rsid w:val="00EA781B"/>
    <w:rsid w:val="00EB5AFA"/>
    <w:rsid w:val="00EC1CB0"/>
    <w:rsid w:val="00EC39C7"/>
    <w:rsid w:val="00EC7A4E"/>
    <w:rsid w:val="00ED0D1F"/>
    <w:rsid w:val="00ED4BBA"/>
    <w:rsid w:val="00ED7B4A"/>
    <w:rsid w:val="00EE18A9"/>
    <w:rsid w:val="00F22B8E"/>
    <w:rsid w:val="00F34CEC"/>
    <w:rsid w:val="00F3703F"/>
    <w:rsid w:val="00F405F8"/>
    <w:rsid w:val="00F4496D"/>
    <w:rsid w:val="00F46336"/>
    <w:rsid w:val="00F527ED"/>
    <w:rsid w:val="00F651BA"/>
    <w:rsid w:val="00F65353"/>
    <w:rsid w:val="00F655B3"/>
    <w:rsid w:val="00F656AC"/>
    <w:rsid w:val="00F670FA"/>
    <w:rsid w:val="00F7155E"/>
    <w:rsid w:val="00F72B76"/>
    <w:rsid w:val="00F83693"/>
    <w:rsid w:val="00F83F10"/>
    <w:rsid w:val="00F87A04"/>
    <w:rsid w:val="00F90FE6"/>
    <w:rsid w:val="00FA43B9"/>
    <w:rsid w:val="00FA519F"/>
    <w:rsid w:val="00FB4B40"/>
    <w:rsid w:val="00FC5726"/>
    <w:rsid w:val="00FD1CDF"/>
    <w:rsid w:val="00FD7B6F"/>
    <w:rsid w:val="00FF4CFE"/>
    <w:rsid w:val="00FF52C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8B7A"/>
  <w15:docId w15:val="{90E60D2E-E293-4E21-91D5-0658407D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1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31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32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51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19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C319A"/>
    <w:pPr>
      <w:ind w:left="720"/>
      <w:contextualSpacing/>
    </w:pPr>
  </w:style>
  <w:style w:type="character" w:customStyle="1" w:styleId="Heading2Char">
    <w:name w:val="Heading 2 Char"/>
    <w:basedOn w:val="DefaultParagraphFont"/>
    <w:link w:val="Heading2"/>
    <w:uiPriority w:val="9"/>
    <w:rsid w:val="002C319A"/>
    <w:rPr>
      <w:rFonts w:asciiTheme="majorHAnsi" w:eastAsiaTheme="majorEastAsia" w:hAnsiTheme="majorHAnsi" w:cstheme="majorBidi"/>
      <w:color w:val="2F5496" w:themeColor="accent1" w:themeShade="BF"/>
      <w:sz w:val="26"/>
      <w:szCs w:val="26"/>
    </w:rPr>
  </w:style>
  <w:style w:type="paragraph" w:styleId="FootnoteText">
    <w:name w:val="footnote text"/>
    <w:aliases w:val="fn,Footnote ak,Footnotes,footnote text Carattere Carattere,Footnote Text Char1 Char,fn Char1 Char,footnote text Char1 Char,ft Char1 Char,fn cafc Char1 Char,Footnote Text Char Char Char,fn Char Char Ch,Footnote Tex,FA Fu,5_G,ft, Char,Char"/>
    <w:basedOn w:val="Normal"/>
    <w:link w:val="FootnoteTextChar"/>
    <w:uiPriority w:val="99"/>
    <w:unhideWhenUsed/>
    <w:qFormat/>
    <w:rsid w:val="00643EB5"/>
    <w:pPr>
      <w:spacing w:after="0" w:line="240" w:lineRule="auto"/>
    </w:pPr>
    <w:rPr>
      <w:sz w:val="20"/>
      <w:szCs w:val="20"/>
    </w:rPr>
  </w:style>
  <w:style w:type="character" w:customStyle="1" w:styleId="FootnoteTextChar">
    <w:name w:val="Footnote Text Char"/>
    <w:aliases w:val="fn Char1,Footnote ak Char1,Footnotes Char1,footnote text Carattere Carattere Char1,Footnote Text Char1 Char Char1,fn Char1 Char Char1,footnote text Char1 Char Char1,ft Char1 Char Char1,fn cafc Char1 Char Char1,fn Char Char Ch Char1"/>
    <w:basedOn w:val="DefaultParagraphFont"/>
    <w:link w:val="FootnoteText"/>
    <w:uiPriority w:val="99"/>
    <w:rsid w:val="00643EB5"/>
    <w:rPr>
      <w:sz w:val="20"/>
      <w:szCs w:val="20"/>
    </w:rPr>
  </w:style>
  <w:style w:type="character" w:styleId="FootnoteReference">
    <w:name w:val="footnote reference"/>
    <w:aliases w:val="Ref,de nota al pie,Appel note de bas de p,de nota al pie + (Asian) MS Mincho,11 pt,Texto de nota al pie,Appel note de bas de page,Footnotes refss,f,Footnote number,referencia nota al pie,BVI fnr,4_G,1,stylish,16 Point,number,ftref"/>
    <w:basedOn w:val="DefaultParagraphFont"/>
    <w:link w:val="AppelnotedebasdepageCharCharCharCharCharChar1CharCharChar"/>
    <w:uiPriority w:val="99"/>
    <w:unhideWhenUsed/>
    <w:qFormat/>
    <w:rsid w:val="00643EB5"/>
    <w:rPr>
      <w:vertAlign w:val="superscript"/>
    </w:rPr>
  </w:style>
  <w:style w:type="paragraph" w:styleId="Header">
    <w:name w:val="header"/>
    <w:basedOn w:val="Normal"/>
    <w:link w:val="HeaderChar"/>
    <w:uiPriority w:val="99"/>
    <w:unhideWhenUsed/>
    <w:rsid w:val="00A00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245"/>
  </w:style>
  <w:style w:type="paragraph" w:styleId="Footer">
    <w:name w:val="footer"/>
    <w:basedOn w:val="Normal"/>
    <w:link w:val="FooterChar"/>
    <w:uiPriority w:val="99"/>
    <w:unhideWhenUsed/>
    <w:rsid w:val="00A00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245"/>
  </w:style>
  <w:style w:type="paragraph" w:customStyle="1" w:styleId="AppelnotedebasdepageCharCharCharCharCharChar1CharCharChar">
    <w:name w:val="Appel note de bas de page Char Char Char Char Char Char1 Char Char Char"/>
    <w:aliases w:val="Appel note de bas de page Char Char1 Char Char Char Char Char Char Char Char Char"/>
    <w:basedOn w:val="Normal"/>
    <w:link w:val="FootnoteReference"/>
    <w:uiPriority w:val="99"/>
    <w:rsid w:val="00167137"/>
    <w:pPr>
      <w:widowControl w:val="0"/>
      <w:autoSpaceDE w:val="0"/>
      <w:autoSpaceDN w:val="0"/>
      <w:adjustRightInd w:val="0"/>
      <w:spacing w:after="0" w:line="240" w:lineRule="auto"/>
      <w:jc w:val="both"/>
    </w:pPr>
    <w:rPr>
      <w:vertAlign w:val="superscript"/>
    </w:rPr>
  </w:style>
  <w:style w:type="character" w:customStyle="1" w:styleId="Heading3Char">
    <w:name w:val="Heading 3 Char"/>
    <w:basedOn w:val="DefaultParagraphFont"/>
    <w:link w:val="Heading3"/>
    <w:uiPriority w:val="9"/>
    <w:rsid w:val="005D321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63DAA"/>
    <w:rPr>
      <w:color w:val="0563C1" w:themeColor="hyperlink"/>
      <w:u w:val="single"/>
    </w:rPr>
  </w:style>
  <w:style w:type="character" w:styleId="UnresolvedMention">
    <w:name w:val="Unresolved Mention"/>
    <w:basedOn w:val="DefaultParagraphFont"/>
    <w:uiPriority w:val="99"/>
    <w:semiHidden/>
    <w:unhideWhenUsed/>
    <w:rsid w:val="00C63DAA"/>
    <w:rPr>
      <w:color w:val="605E5C"/>
      <w:shd w:val="clear" w:color="auto" w:fill="E1DFDD"/>
    </w:rPr>
  </w:style>
  <w:style w:type="character" w:styleId="Emphasis">
    <w:name w:val="Emphasis"/>
    <w:basedOn w:val="DefaultParagraphFont"/>
    <w:uiPriority w:val="20"/>
    <w:qFormat/>
    <w:rsid w:val="00313F42"/>
    <w:rPr>
      <w:i/>
      <w:iCs/>
    </w:rPr>
  </w:style>
  <w:style w:type="character" w:customStyle="1" w:styleId="FootnoteTextChar1">
    <w:name w:val="Footnote Text Char1"/>
    <w:aliases w:val="fn Char,Footnote ak Char,Footnotes Char,footnote text Carattere Carattere Char,Footnote Text Char1 Char Char,fn Char1 Char Char,footnote text Char1 Char Char,ft Char1 Char Char,fn cafc Char1 Char Char,fn Char Char Ch Char,FA Fu Char"/>
    <w:basedOn w:val="DefaultParagraphFont"/>
    <w:uiPriority w:val="99"/>
    <w:qFormat/>
    <w:rsid w:val="001C4F07"/>
    <w:rPr>
      <w:sz w:val="24"/>
      <w:szCs w:val="24"/>
      <w:lang w:eastAsia="it-IT"/>
    </w:rPr>
  </w:style>
  <w:style w:type="character" w:customStyle="1" w:styleId="Heading4Char">
    <w:name w:val="Heading 4 Char"/>
    <w:basedOn w:val="DefaultParagraphFont"/>
    <w:link w:val="Heading4"/>
    <w:uiPriority w:val="9"/>
    <w:rsid w:val="00D6512D"/>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FA43B9"/>
    <w:pPr>
      <w:spacing w:after="0" w:line="240" w:lineRule="auto"/>
    </w:pPr>
  </w:style>
  <w:style w:type="character" w:styleId="CommentReference">
    <w:name w:val="annotation reference"/>
    <w:basedOn w:val="DefaultParagraphFont"/>
    <w:uiPriority w:val="99"/>
    <w:semiHidden/>
    <w:unhideWhenUsed/>
    <w:rsid w:val="00D90139"/>
    <w:rPr>
      <w:sz w:val="16"/>
      <w:szCs w:val="16"/>
    </w:rPr>
  </w:style>
  <w:style w:type="paragraph" w:styleId="CommentText">
    <w:name w:val="annotation text"/>
    <w:basedOn w:val="Normal"/>
    <w:link w:val="CommentTextChar"/>
    <w:uiPriority w:val="99"/>
    <w:unhideWhenUsed/>
    <w:rsid w:val="00D90139"/>
    <w:pPr>
      <w:spacing w:line="240" w:lineRule="auto"/>
    </w:pPr>
    <w:rPr>
      <w:sz w:val="20"/>
      <w:szCs w:val="20"/>
    </w:rPr>
  </w:style>
  <w:style w:type="character" w:customStyle="1" w:styleId="CommentTextChar">
    <w:name w:val="Comment Text Char"/>
    <w:basedOn w:val="DefaultParagraphFont"/>
    <w:link w:val="CommentText"/>
    <w:uiPriority w:val="99"/>
    <w:rsid w:val="00D90139"/>
    <w:rPr>
      <w:sz w:val="20"/>
      <w:szCs w:val="20"/>
    </w:rPr>
  </w:style>
  <w:style w:type="paragraph" w:styleId="CommentSubject">
    <w:name w:val="annotation subject"/>
    <w:basedOn w:val="CommentText"/>
    <w:next w:val="CommentText"/>
    <w:link w:val="CommentSubjectChar"/>
    <w:uiPriority w:val="99"/>
    <w:semiHidden/>
    <w:unhideWhenUsed/>
    <w:rsid w:val="00D90139"/>
    <w:rPr>
      <w:b/>
      <w:bCs/>
    </w:rPr>
  </w:style>
  <w:style w:type="character" w:customStyle="1" w:styleId="CommentSubjectChar">
    <w:name w:val="Comment Subject Char"/>
    <w:basedOn w:val="CommentTextChar"/>
    <w:link w:val="CommentSubject"/>
    <w:uiPriority w:val="99"/>
    <w:semiHidden/>
    <w:rsid w:val="00D90139"/>
    <w:rPr>
      <w:b/>
      <w:bCs/>
      <w:sz w:val="20"/>
      <w:szCs w:val="20"/>
    </w:rPr>
  </w:style>
  <w:style w:type="character" w:styleId="FollowedHyperlink">
    <w:name w:val="FollowedHyperlink"/>
    <w:basedOn w:val="DefaultParagraphFont"/>
    <w:uiPriority w:val="99"/>
    <w:semiHidden/>
    <w:unhideWhenUsed/>
    <w:rsid w:val="005171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0370">
      <w:bodyDiv w:val="1"/>
      <w:marLeft w:val="0"/>
      <w:marRight w:val="0"/>
      <w:marTop w:val="0"/>
      <w:marBottom w:val="0"/>
      <w:divBdr>
        <w:top w:val="none" w:sz="0" w:space="0" w:color="auto"/>
        <w:left w:val="none" w:sz="0" w:space="0" w:color="auto"/>
        <w:bottom w:val="none" w:sz="0" w:space="0" w:color="auto"/>
        <w:right w:val="none" w:sz="0" w:space="0" w:color="auto"/>
      </w:divBdr>
    </w:div>
    <w:div w:id="1440948448">
      <w:bodyDiv w:val="1"/>
      <w:marLeft w:val="0"/>
      <w:marRight w:val="0"/>
      <w:marTop w:val="0"/>
      <w:marBottom w:val="0"/>
      <w:divBdr>
        <w:top w:val="none" w:sz="0" w:space="0" w:color="auto"/>
        <w:left w:val="none" w:sz="0" w:space="0" w:color="auto"/>
        <w:bottom w:val="none" w:sz="0" w:space="0" w:color="auto"/>
        <w:right w:val="none" w:sz="0" w:space="0" w:color="auto"/>
      </w:divBdr>
      <w:divsChild>
        <w:div w:id="1049915043">
          <w:marLeft w:val="0"/>
          <w:marRight w:val="0"/>
          <w:marTop w:val="0"/>
          <w:marBottom w:val="0"/>
          <w:divBdr>
            <w:top w:val="none" w:sz="0" w:space="0" w:color="auto"/>
            <w:left w:val="none" w:sz="0" w:space="0" w:color="auto"/>
            <w:bottom w:val="none" w:sz="0" w:space="0" w:color="auto"/>
            <w:right w:val="none" w:sz="0" w:space="0" w:color="auto"/>
          </w:divBdr>
          <w:divsChild>
            <w:div w:id="975141284">
              <w:marLeft w:val="0"/>
              <w:marRight w:val="0"/>
              <w:marTop w:val="0"/>
              <w:marBottom w:val="0"/>
              <w:divBdr>
                <w:top w:val="none" w:sz="0" w:space="0" w:color="auto"/>
                <w:left w:val="none" w:sz="0" w:space="0" w:color="auto"/>
                <w:bottom w:val="none" w:sz="0" w:space="0" w:color="auto"/>
                <w:right w:val="none" w:sz="0" w:space="0" w:color="auto"/>
              </w:divBdr>
              <w:divsChild>
                <w:div w:id="16665647">
                  <w:marLeft w:val="0"/>
                  <w:marRight w:val="0"/>
                  <w:marTop w:val="0"/>
                  <w:marBottom w:val="0"/>
                  <w:divBdr>
                    <w:top w:val="none" w:sz="0" w:space="0" w:color="auto"/>
                    <w:left w:val="none" w:sz="0" w:space="0" w:color="auto"/>
                    <w:bottom w:val="none" w:sz="0" w:space="0" w:color="auto"/>
                    <w:right w:val="none" w:sz="0" w:space="0" w:color="auto"/>
                  </w:divBdr>
                  <w:divsChild>
                    <w:div w:id="2115175631">
                      <w:marLeft w:val="0"/>
                      <w:marRight w:val="0"/>
                      <w:marTop w:val="0"/>
                      <w:marBottom w:val="0"/>
                      <w:divBdr>
                        <w:top w:val="none" w:sz="0" w:space="0" w:color="auto"/>
                        <w:left w:val="none" w:sz="0" w:space="0" w:color="auto"/>
                        <w:bottom w:val="none" w:sz="0" w:space="0" w:color="auto"/>
                        <w:right w:val="none" w:sz="0" w:space="0" w:color="auto"/>
                      </w:divBdr>
                      <w:divsChild>
                        <w:div w:id="1900701860">
                          <w:marLeft w:val="0"/>
                          <w:marRight w:val="0"/>
                          <w:marTop w:val="0"/>
                          <w:marBottom w:val="0"/>
                          <w:divBdr>
                            <w:top w:val="none" w:sz="0" w:space="0" w:color="auto"/>
                            <w:left w:val="none" w:sz="0" w:space="0" w:color="auto"/>
                            <w:bottom w:val="none" w:sz="0" w:space="0" w:color="auto"/>
                            <w:right w:val="none" w:sz="0" w:space="0" w:color="auto"/>
                          </w:divBdr>
                          <w:divsChild>
                            <w:div w:id="1913081334">
                              <w:marLeft w:val="0"/>
                              <w:marRight w:val="0"/>
                              <w:marTop w:val="0"/>
                              <w:marBottom w:val="0"/>
                              <w:divBdr>
                                <w:top w:val="none" w:sz="0" w:space="0" w:color="auto"/>
                                <w:left w:val="none" w:sz="0" w:space="0" w:color="auto"/>
                                <w:bottom w:val="single" w:sz="6" w:space="0" w:color="BEBEBE"/>
                                <w:right w:val="none" w:sz="0" w:space="0" w:color="auto"/>
                              </w:divBdr>
                              <w:divsChild>
                                <w:div w:id="608898810">
                                  <w:marLeft w:val="0"/>
                                  <w:marRight w:val="0"/>
                                  <w:marTop w:val="0"/>
                                  <w:marBottom w:val="0"/>
                                  <w:divBdr>
                                    <w:top w:val="none" w:sz="0" w:space="0" w:color="auto"/>
                                    <w:left w:val="none" w:sz="0" w:space="0" w:color="auto"/>
                                    <w:bottom w:val="none" w:sz="0" w:space="0" w:color="auto"/>
                                    <w:right w:val="none" w:sz="0" w:space="0" w:color="auto"/>
                                  </w:divBdr>
                                  <w:divsChild>
                                    <w:div w:id="620111929">
                                      <w:marLeft w:val="0"/>
                                      <w:marRight w:val="0"/>
                                      <w:marTop w:val="0"/>
                                      <w:marBottom w:val="0"/>
                                      <w:divBdr>
                                        <w:top w:val="none" w:sz="0" w:space="0" w:color="auto"/>
                                        <w:left w:val="none" w:sz="0" w:space="0" w:color="auto"/>
                                        <w:bottom w:val="none" w:sz="0" w:space="0" w:color="auto"/>
                                        <w:right w:val="none" w:sz="0" w:space="0" w:color="auto"/>
                                      </w:divBdr>
                                      <w:divsChild>
                                        <w:div w:id="1343628708">
                                          <w:marLeft w:val="0"/>
                                          <w:marRight w:val="0"/>
                                          <w:marTop w:val="0"/>
                                          <w:marBottom w:val="0"/>
                                          <w:divBdr>
                                            <w:top w:val="none" w:sz="0" w:space="0" w:color="auto"/>
                                            <w:left w:val="none" w:sz="0" w:space="0" w:color="auto"/>
                                            <w:bottom w:val="none" w:sz="0" w:space="0" w:color="auto"/>
                                            <w:right w:val="none" w:sz="0" w:space="0" w:color="auto"/>
                                          </w:divBdr>
                                          <w:divsChild>
                                            <w:div w:id="13652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12335">
                                  <w:marLeft w:val="0"/>
                                  <w:marRight w:val="0"/>
                                  <w:marTop w:val="0"/>
                                  <w:marBottom w:val="0"/>
                                  <w:divBdr>
                                    <w:top w:val="none" w:sz="0" w:space="0" w:color="auto"/>
                                    <w:left w:val="none" w:sz="0" w:space="0" w:color="auto"/>
                                    <w:bottom w:val="none" w:sz="0" w:space="0" w:color="auto"/>
                                    <w:right w:val="none" w:sz="0" w:space="0" w:color="auto"/>
                                  </w:divBdr>
                                  <w:divsChild>
                                    <w:div w:id="1167549851">
                                      <w:marLeft w:val="0"/>
                                      <w:marRight w:val="0"/>
                                      <w:marTop w:val="0"/>
                                      <w:marBottom w:val="0"/>
                                      <w:divBdr>
                                        <w:top w:val="none" w:sz="0" w:space="0" w:color="auto"/>
                                        <w:left w:val="none" w:sz="0" w:space="0" w:color="auto"/>
                                        <w:bottom w:val="none" w:sz="0" w:space="0" w:color="auto"/>
                                        <w:right w:val="none" w:sz="0" w:space="0" w:color="auto"/>
                                      </w:divBdr>
                                      <w:divsChild>
                                        <w:div w:id="598559868">
                                          <w:marLeft w:val="0"/>
                                          <w:marRight w:val="0"/>
                                          <w:marTop w:val="0"/>
                                          <w:marBottom w:val="0"/>
                                          <w:divBdr>
                                            <w:top w:val="none" w:sz="0" w:space="0" w:color="auto"/>
                                            <w:left w:val="none" w:sz="0" w:space="0" w:color="auto"/>
                                            <w:bottom w:val="none" w:sz="0" w:space="0" w:color="auto"/>
                                            <w:right w:val="none" w:sz="0" w:space="0" w:color="auto"/>
                                          </w:divBdr>
                                          <w:divsChild>
                                            <w:div w:id="1954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rsreports.congress.gov/product/pdf/IF/IF12194/1" TargetMode="External"/><Relationship Id="rId7" Type="http://schemas.openxmlformats.org/officeDocument/2006/relationships/hyperlink" Target="https://www.whitehouse.gov/briefing-room/speeches-remarks/2022/11/30/remarks-by-president-biden-at-the-white-house-tribal-nations-summit/" TargetMode="External"/><Relationship Id="rId2" Type="http://schemas.openxmlformats.org/officeDocument/2006/relationships/hyperlink" Target="http://climatecasechart.com/wp-content/uploads/sites/16/non-us-case-documents/2020/20200505_No.-A-29922017_judgment.pdf" TargetMode="External"/><Relationship Id="rId1" Type="http://schemas.openxmlformats.org/officeDocument/2006/relationships/hyperlink" Target="http://climatecasechart.com/non-us-case/deutsche-umwelthilfe-duh-v-mercedes-benz-ag/" TargetMode="External"/><Relationship Id="rId6" Type="http://schemas.openxmlformats.org/officeDocument/2006/relationships/hyperlink" Target="http://climatecasechart.com/non-us-case/request-for-an-advisory-opinion-on-the-scope-of-the-state-obligations-for-responding-to-the-climate-emergency/" TargetMode="External"/><Relationship Id="rId5" Type="http://schemas.openxmlformats.org/officeDocument/2006/relationships/hyperlink" Target="http://climatecasechart.com/non-us-case/sacchi-et-al-v-argentina-et-al/" TargetMode="External"/><Relationship Id="rId4" Type="http://schemas.openxmlformats.org/officeDocument/2006/relationships/hyperlink" Target="https://www.bbc.co.uk/news/science-environment-26017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6469-1F55-475D-958C-082D4683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7747</Words>
  <Characters>44160</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Avidan Kent (LAW - Staff)</dc:creator>
  <cp:keywords/>
  <dc:description/>
  <cp:lastModifiedBy>Avidan Kent (LAW - Staff)</cp:lastModifiedBy>
  <cp:revision>2</cp:revision>
  <dcterms:created xsi:type="dcterms:W3CDTF">2023-06-16T08:12:00Z</dcterms:created>
  <dcterms:modified xsi:type="dcterms:W3CDTF">2023-06-16T08:12:00Z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c48af2e502778855302104a89265e33c0472a523ed155b23626c839f620a3885</vt:lpwstr>
  </property>
  <property fmtid="{D5CDD505-2E9C-101B-9397-08002B2CF9AE}" pid="3" name="_AdHocReviewCycleID">
    <vt:i4>-1205081572</vt:i4>
  </property>
  <property fmtid="{D5CDD505-2E9C-101B-9397-08002B2CF9AE}" pid="4" name="_NewReviewCycle">
    <vt:lpwstr/>
  </property>
  <property fmtid="{D5CDD505-2E9C-101B-9397-08002B2CF9AE}" pid="5" name="_EmailSubject">
    <vt:lpwstr>Replying to the reviewers</vt:lpwstr>
  </property>
  <property fmtid="{D5CDD505-2E9C-101B-9397-08002B2CF9AE}" pid="6" name="_AuthorEmail">
    <vt:lpwstr>Avidan.Kent@uea.ac.uk</vt:lpwstr>
  </property>
  <property fmtid="{D5CDD505-2E9C-101B-9397-08002B2CF9AE}" pid="7" name="_AuthorEmailDisplayName">
    <vt:lpwstr>Avidan Kent (LAW - Staff)</vt:lpwstr>
  </property>
  <property fmtid="{D5CDD505-2E9C-101B-9397-08002B2CF9AE}" pid="8" name="_PreviousAdHocReviewCycleID">
    <vt:i4>-1178484574</vt:i4>
  </property>
  <property fmtid="{D5CDD505-2E9C-101B-9397-08002B2CF9AE}" pid="9" name="_ReviewingToolsShownOnce">
    <vt:lpwstr/>
  </property>
</Properties>
</file>