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936D1" w14:textId="65E2316E" w:rsidR="00065144" w:rsidRPr="00065144" w:rsidRDefault="00EE66EB" w:rsidP="00C275CA">
      <w:pPr>
        <w:pStyle w:val="Affiliation"/>
        <w:spacing w:before="360" w:after="360"/>
        <w:jc w:val="left"/>
        <w:rPr>
          <w:rFonts w:eastAsiaTheme="minorEastAsia"/>
          <w:b/>
          <w:bCs/>
          <w:i w:val="0"/>
          <w:sz w:val="28"/>
          <w:szCs w:val="28"/>
          <w:lang w:eastAsia="zh-CN"/>
        </w:rPr>
      </w:pPr>
      <w:r>
        <w:rPr>
          <w:rFonts w:eastAsiaTheme="minorEastAsia"/>
          <w:b/>
          <w:bCs/>
          <w:i w:val="0"/>
          <w:sz w:val="28"/>
          <w:szCs w:val="28"/>
          <w:lang w:eastAsia="zh-CN"/>
        </w:rPr>
        <w:t>T</w:t>
      </w:r>
      <w:r w:rsidR="00065144" w:rsidRPr="00065144">
        <w:rPr>
          <w:rFonts w:eastAsiaTheme="minorEastAsia"/>
          <w:b/>
          <w:bCs/>
          <w:i w:val="0"/>
          <w:sz w:val="28"/>
          <w:szCs w:val="28"/>
          <w:lang w:eastAsia="zh-CN"/>
        </w:rPr>
        <w:t>he impact of clinical training</w:t>
      </w:r>
      <w:r w:rsidR="0012222E">
        <w:rPr>
          <w:rFonts w:eastAsiaTheme="minorEastAsia"/>
          <w:b/>
          <w:bCs/>
          <w:i w:val="0"/>
          <w:sz w:val="28"/>
          <w:szCs w:val="28"/>
          <w:lang w:eastAsia="zh-CN"/>
        </w:rPr>
        <w:t xml:space="preserve"> changes</w:t>
      </w:r>
      <w:r w:rsidR="00065144" w:rsidRPr="00065144">
        <w:rPr>
          <w:rFonts w:eastAsiaTheme="minorEastAsia"/>
          <w:b/>
          <w:bCs/>
          <w:i w:val="0"/>
          <w:sz w:val="28"/>
          <w:szCs w:val="28"/>
          <w:lang w:eastAsia="zh-CN"/>
        </w:rPr>
        <w:t xml:space="preserve"> on </w:t>
      </w:r>
      <w:r w:rsidR="0098186D">
        <w:rPr>
          <w:rFonts w:eastAsiaTheme="minorEastAsia"/>
          <w:b/>
          <w:bCs/>
          <w:i w:val="0"/>
          <w:sz w:val="28"/>
          <w:szCs w:val="28"/>
          <w:lang w:eastAsia="zh-CN"/>
        </w:rPr>
        <w:t>self-rated</w:t>
      </w:r>
      <w:r w:rsidR="00065144" w:rsidRPr="00065144">
        <w:rPr>
          <w:rFonts w:eastAsiaTheme="minorEastAsia"/>
          <w:b/>
          <w:bCs/>
          <w:i w:val="0"/>
          <w:sz w:val="28"/>
          <w:szCs w:val="28"/>
          <w:lang w:eastAsia="zh-CN"/>
        </w:rPr>
        <w:t xml:space="preserve"> competency and confidence in neuropsychology: a survey of UEA-trained </w:t>
      </w:r>
      <w:r w:rsidR="00246824">
        <w:rPr>
          <w:rFonts w:eastAsiaTheme="minorEastAsia"/>
          <w:b/>
          <w:bCs/>
          <w:i w:val="0"/>
          <w:sz w:val="28"/>
          <w:szCs w:val="28"/>
          <w:lang w:eastAsia="zh-CN"/>
        </w:rPr>
        <w:t>c</w:t>
      </w:r>
      <w:r w:rsidR="00065144" w:rsidRPr="00065144">
        <w:rPr>
          <w:rFonts w:eastAsiaTheme="minorEastAsia"/>
          <w:b/>
          <w:bCs/>
          <w:i w:val="0"/>
          <w:sz w:val="28"/>
          <w:szCs w:val="28"/>
          <w:lang w:eastAsia="zh-CN"/>
        </w:rPr>
        <w:t xml:space="preserve">linical </w:t>
      </w:r>
      <w:r w:rsidR="00246824">
        <w:rPr>
          <w:rFonts w:eastAsiaTheme="minorEastAsia"/>
          <w:b/>
          <w:bCs/>
          <w:i w:val="0"/>
          <w:sz w:val="28"/>
          <w:szCs w:val="28"/>
          <w:lang w:eastAsia="zh-CN"/>
        </w:rPr>
        <w:t>p</w:t>
      </w:r>
      <w:r w:rsidR="00065144" w:rsidRPr="00065144">
        <w:rPr>
          <w:rFonts w:eastAsiaTheme="minorEastAsia"/>
          <w:b/>
          <w:bCs/>
          <w:i w:val="0"/>
          <w:sz w:val="28"/>
          <w:szCs w:val="28"/>
          <w:lang w:eastAsia="zh-CN"/>
        </w:rPr>
        <w:t xml:space="preserve">sychologists in East Anglia </w:t>
      </w:r>
    </w:p>
    <w:p w14:paraId="1C61D2C8" w14:textId="40526471" w:rsidR="00065144" w:rsidRPr="00755C08" w:rsidRDefault="00065144" w:rsidP="00C275CA">
      <w:pPr>
        <w:pStyle w:val="Affiliation"/>
        <w:spacing w:before="360" w:after="360"/>
        <w:jc w:val="left"/>
        <w:rPr>
          <w:rFonts w:eastAsiaTheme="minorEastAsia"/>
          <w:b/>
          <w:bCs/>
          <w:i w:val="0"/>
          <w:sz w:val="28"/>
          <w:szCs w:val="28"/>
          <w:lang w:eastAsia="zh-CN"/>
        </w:rPr>
      </w:pPr>
      <w:r w:rsidRPr="00755C08">
        <w:rPr>
          <w:i w:val="0"/>
          <w:sz w:val="26"/>
          <w:szCs w:val="26"/>
        </w:rPr>
        <w:t xml:space="preserve">Nicolò </w:t>
      </w:r>
      <w:proofErr w:type="spellStart"/>
      <w:r w:rsidRPr="00755C08">
        <w:rPr>
          <w:i w:val="0"/>
          <w:sz w:val="26"/>
          <w:szCs w:val="26"/>
        </w:rPr>
        <w:t>Zarotti</w:t>
      </w:r>
      <w:r w:rsidRPr="00755C08">
        <w:rPr>
          <w:i w:val="0"/>
          <w:sz w:val="26"/>
          <w:szCs w:val="26"/>
          <w:vertAlign w:val="superscript"/>
        </w:rPr>
        <w:t>a</w:t>
      </w:r>
      <w:proofErr w:type="spellEnd"/>
      <w:r w:rsidRPr="008E3897">
        <w:rPr>
          <w:rStyle w:val="FootnoteReference"/>
        </w:rPr>
        <w:footnoteReference w:id="2"/>
      </w:r>
      <w:r w:rsidRPr="00755C08">
        <w:rPr>
          <w:i w:val="0"/>
          <w:sz w:val="26"/>
          <w:szCs w:val="26"/>
        </w:rPr>
        <w:t xml:space="preserve">, Catherine </w:t>
      </w:r>
      <w:proofErr w:type="spellStart"/>
      <w:r w:rsidRPr="00755C08">
        <w:rPr>
          <w:i w:val="0"/>
          <w:sz w:val="26"/>
          <w:szCs w:val="26"/>
        </w:rPr>
        <w:t>Ford</w:t>
      </w:r>
      <w:r w:rsidR="00755C08" w:rsidRPr="00755C08">
        <w:rPr>
          <w:i w:val="0"/>
          <w:sz w:val="26"/>
          <w:szCs w:val="26"/>
          <w:vertAlign w:val="superscript"/>
        </w:rPr>
        <w:t>b</w:t>
      </w:r>
      <w:proofErr w:type="spellEnd"/>
      <w:r w:rsidRPr="00755C08">
        <w:rPr>
          <w:i w:val="0"/>
          <w:sz w:val="26"/>
          <w:szCs w:val="26"/>
        </w:rPr>
        <w:t xml:space="preserve">, Fergus </w:t>
      </w:r>
      <w:proofErr w:type="spellStart"/>
      <w:r w:rsidRPr="00755C08">
        <w:rPr>
          <w:i w:val="0"/>
          <w:sz w:val="26"/>
          <w:szCs w:val="26"/>
        </w:rPr>
        <w:t>Gracey</w:t>
      </w:r>
      <w:r w:rsidR="00755C08" w:rsidRPr="00755C08">
        <w:rPr>
          <w:i w:val="0"/>
          <w:sz w:val="26"/>
          <w:szCs w:val="26"/>
          <w:vertAlign w:val="superscript"/>
        </w:rPr>
        <w:t>b</w:t>
      </w:r>
      <w:proofErr w:type="spellEnd"/>
    </w:p>
    <w:p w14:paraId="4DF94DBF" w14:textId="122F2C60" w:rsidR="00755C08" w:rsidRPr="00755C08" w:rsidRDefault="00065144" w:rsidP="00065144">
      <w:pPr>
        <w:pStyle w:val="Affiliation"/>
        <w:jc w:val="left"/>
      </w:pPr>
      <w:r w:rsidRPr="00065144">
        <w:rPr>
          <w:vertAlign w:val="superscript"/>
        </w:rPr>
        <w:t xml:space="preserve">a </w:t>
      </w:r>
      <w:r w:rsidR="003F4989">
        <w:t xml:space="preserve">Department of Clinical Neuropsychology, </w:t>
      </w:r>
      <w:r w:rsidR="00755C08">
        <w:t xml:space="preserve">Manchester Centre for Clinical Neurosciences, Northern Care Alliance NHS Trust, Salford, UK </w:t>
      </w:r>
    </w:p>
    <w:p w14:paraId="6FE000D8" w14:textId="70286F60" w:rsidR="00065144" w:rsidRDefault="00755C08" w:rsidP="00065144">
      <w:pPr>
        <w:pStyle w:val="Affiliation"/>
        <w:jc w:val="left"/>
      </w:pPr>
      <w:proofErr w:type="spellStart"/>
      <w:r>
        <w:rPr>
          <w:vertAlign w:val="superscript"/>
        </w:rPr>
        <w:t>b</w:t>
      </w:r>
      <w:r w:rsidR="00065144" w:rsidRPr="00065144">
        <w:t>Department</w:t>
      </w:r>
      <w:proofErr w:type="spellEnd"/>
      <w:r w:rsidR="00065144" w:rsidRPr="00065144">
        <w:t xml:space="preserve"> of Clinical Psychology and Psychological Therapies, Norwich Medical School, University of East Anglia, Norwich, UK</w:t>
      </w:r>
    </w:p>
    <w:p w14:paraId="19138D9C" w14:textId="1E2C47D5" w:rsidR="004F1574" w:rsidRDefault="004F1574" w:rsidP="00065144">
      <w:pPr>
        <w:pStyle w:val="Affiliation"/>
        <w:jc w:val="left"/>
      </w:pPr>
    </w:p>
    <w:p w14:paraId="04CE6A78" w14:textId="77777777" w:rsidR="004F1574" w:rsidRDefault="004F1574" w:rsidP="00065144">
      <w:pPr>
        <w:pStyle w:val="Affiliation"/>
        <w:jc w:val="left"/>
        <w:rPr>
          <w:i w:val="0"/>
          <w:iCs/>
        </w:rPr>
      </w:pPr>
    </w:p>
    <w:p w14:paraId="44068B43" w14:textId="77777777" w:rsidR="004F1574" w:rsidRDefault="004F1574" w:rsidP="00065144">
      <w:pPr>
        <w:pStyle w:val="Affiliation"/>
        <w:jc w:val="left"/>
        <w:rPr>
          <w:i w:val="0"/>
          <w:iCs/>
        </w:rPr>
      </w:pPr>
    </w:p>
    <w:p w14:paraId="4B43AA47" w14:textId="77777777" w:rsidR="004F1574" w:rsidRDefault="004F1574" w:rsidP="00065144">
      <w:pPr>
        <w:pStyle w:val="Affiliation"/>
        <w:jc w:val="left"/>
        <w:rPr>
          <w:i w:val="0"/>
          <w:iCs/>
        </w:rPr>
      </w:pPr>
    </w:p>
    <w:p w14:paraId="5439A05D" w14:textId="77777777" w:rsidR="004F1574" w:rsidRDefault="004F1574" w:rsidP="00065144">
      <w:pPr>
        <w:pStyle w:val="Affiliation"/>
        <w:jc w:val="left"/>
        <w:rPr>
          <w:i w:val="0"/>
          <w:iCs/>
        </w:rPr>
      </w:pPr>
    </w:p>
    <w:p w14:paraId="4218B869" w14:textId="77777777" w:rsidR="004F1574" w:rsidRDefault="004F1574" w:rsidP="00065144">
      <w:pPr>
        <w:pStyle w:val="Affiliation"/>
        <w:jc w:val="left"/>
        <w:rPr>
          <w:i w:val="0"/>
          <w:iCs/>
        </w:rPr>
      </w:pPr>
    </w:p>
    <w:p w14:paraId="23CC65A9" w14:textId="06569C4E" w:rsidR="004F1574" w:rsidRPr="004F1574" w:rsidRDefault="004F1574" w:rsidP="00065144">
      <w:pPr>
        <w:pStyle w:val="Affiliation"/>
        <w:jc w:val="left"/>
        <w:rPr>
          <w:i w:val="0"/>
          <w:iCs/>
        </w:rPr>
      </w:pPr>
      <w:r>
        <w:rPr>
          <w:i w:val="0"/>
          <w:iCs/>
        </w:rPr>
        <w:t xml:space="preserve">Word count: </w:t>
      </w:r>
      <w:r w:rsidR="00535852">
        <w:rPr>
          <w:i w:val="0"/>
          <w:iCs/>
        </w:rPr>
        <w:t>30</w:t>
      </w:r>
      <w:r w:rsidR="00DC2EC4">
        <w:rPr>
          <w:i w:val="0"/>
          <w:iCs/>
        </w:rPr>
        <w:t>40</w:t>
      </w:r>
    </w:p>
    <w:p w14:paraId="4E13F35A" w14:textId="6FD1872E" w:rsidR="009B4F0A" w:rsidRPr="00065144" w:rsidRDefault="00BB24FC" w:rsidP="00BB24FC">
      <w:pPr>
        <w:pStyle w:val="Heading2"/>
        <w:rPr>
          <w:rFonts w:cs="Times New Roman"/>
        </w:rPr>
      </w:pPr>
      <w:r w:rsidRPr="00065144">
        <w:rPr>
          <w:rFonts w:cs="Times New Roman"/>
        </w:rPr>
        <w:lastRenderedPageBreak/>
        <w:t>Abstract</w:t>
      </w:r>
    </w:p>
    <w:p w14:paraId="326F5475" w14:textId="30A55088" w:rsidR="005E12A6" w:rsidRPr="00065144" w:rsidRDefault="005040CF" w:rsidP="00E31D28">
      <w:pPr>
        <w:pStyle w:val="Subtitle"/>
        <w:ind w:firstLine="0"/>
        <w:rPr>
          <w:rFonts w:cs="Times New Roman"/>
        </w:rPr>
      </w:pPr>
      <w:r w:rsidRPr="00065144">
        <w:rPr>
          <w:rFonts w:cs="Times New Roman"/>
        </w:rPr>
        <w:t>A Competency Framework</w:t>
      </w:r>
      <w:r w:rsidR="00FD3A12">
        <w:rPr>
          <w:rFonts w:cs="Times New Roman"/>
        </w:rPr>
        <w:t>,</w:t>
      </w:r>
      <w:r w:rsidRPr="00065144">
        <w:rPr>
          <w:rFonts w:cs="Times New Roman"/>
        </w:rPr>
        <w:t xml:space="preserve"> produced by the </w:t>
      </w:r>
      <w:r w:rsidR="000605E3" w:rsidRPr="00065144">
        <w:rPr>
          <w:rFonts w:cs="Times New Roman"/>
        </w:rPr>
        <w:t xml:space="preserve">British Psychological Society </w:t>
      </w:r>
      <w:r w:rsidRPr="00065144">
        <w:rPr>
          <w:rFonts w:cs="Times New Roman"/>
        </w:rPr>
        <w:t>Division of Neuropsychology, specifies the underpinning neuropsychological knowledge and skills required for different levels of practice. In 2016, the Doctoral Programme in Clinical Psychology</w:t>
      </w:r>
      <w:r>
        <w:rPr>
          <w:rFonts w:cs="Times New Roman"/>
        </w:rPr>
        <w:t xml:space="preserve"> at the University of East Anglia (UEA)</w:t>
      </w:r>
      <w:r w:rsidRPr="00065144">
        <w:rPr>
          <w:rFonts w:cs="Times New Roman"/>
        </w:rPr>
        <w:t xml:space="preserve"> introduced changes to align </w:t>
      </w:r>
      <w:r>
        <w:rPr>
          <w:rFonts w:cs="Times New Roman"/>
        </w:rPr>
        <w:t xml:space="preserve">its </w:t>
      </w:r>
      <w:r w:rsidRPr="00065144">
        <w:rPr>
          <w:rFonts w:cs="Times New Roman"/>
        </w:rPr>
        <w:t>neuropsychology teaching</w:t>
      </w:r>
      <w:r>
        <w:rPr>
          <w:rFonts w:cs="Times New Roman"/>
        </w:rPr>
        <w:t xml:space="preserve"> </w:t>
      </w:r>
      <w:r w:rsidRPr="00065144">
        <w:rPr>
          <w:rFonts w:cs="Times New Roman"/>
        </w:rPr>
        <w:t>to the Competency Framework.</w:t>
      </w:r>
      <w:r>
        <w:rPr>
          <w:rFonts w:cs="Times New Roman"/>
        </w:rPr>
        <w:t xml:space="preserve"> This report illustrates a pilot evaluation of the </w:t>
      </w:r>
      <w:r w:rsidRPr="00065144">
        <w:rPr>
          <w:rFonts w:cs="Times New Roman"/>
        </w:rPr>
        <w:t xml:space="preserve">impact of </w:t>
      </w:r>
      <w:r>
        <w:rPr>
          <w:rFonts w:cs="Times New Roman"/>
        </w:rPr>
        <w:t xml:space="preserve">such </w:t>
      </w:r>
      <w:r w:rsidRPr="00065144">
        <w:rPr>
          <w:rFonts w:cs="Times New Roman"/>
        </w:rPr>
        <w:t>changes on</w:t>
      </w:r>
      <w:r>
        <w:rPr>
          <w:rFonts w:cs="Times New Roman"/>
        </w:rPr>
        <w:t xml:space="preserve"> the</w:t>
      </w:r>
      <w:r w:rsidRPr="00065144">
        <w:rPr>
          <w:rFonts w:cs="Times New Roman"/>
        </w:rPr>
        <w:t xml:space="preserve"> self-rated </w:t>
      </w:r>
      <w:r>
        <w:rPr>
          <w:rFonts w:cs="Times New Roman"/>
        </w:rPr>
        <w:t xml:space="preserve">neuropsychological </w:t>
      </w:r>
      <w:r w:rsidRPr="00065144">
        <w:rPr>
          <w:rFonts w:cs="Times New Roman"/>
        </w:rPr>
        <w:t xml:space="preserve">competency and confidence of UEA-trained </w:t>
      </w:r>
      <w:r>
        <w:rPr>
          <w:rFonts w:cs="Times New Roman"/>
        </w:rPr>
        <w:t>clinical psychologist</w:t>
      </w:r>
      <w:r w:rsidRPr="00065144">
        <w:rPr>
          <w:rFonts w:cs="Times New Roman"/>
        </w:rPr>
        <w:t>s in East Anglia</w:t>
      </w:r>
      <w:r>
        <w:rPr>
          <w:rFonts w:cs="Times New Roman"/>
        </w:rPr>
        <w:t xml:space="preserve"> using</w:t>
      </w:r>
      <w:r w:rsidRPr="00065144">
        <w:rPr>
          <w:rFonts w:cs="Times New Roman"/>
        </w:rPr>
        <w:t xml:space="preserve"> a bespoke online survey. Based on 76 respondents, the results highlighted promising effects of the changes, with </w:t>
      </w:r>
      <w:r>
        <w:rPr>
          <w:rFonts w:cs="Times New Roman"/>
        </w:rPr>
        <w:t>post-</w:t>
      </w:r>
      <w:r w:rsidRPr="00065144">
        <w:rPr>
          <w:rFonts w:cs="Times New Roman"/>
        </w:rPr>
        <w:t xml:space="preserve">2016 </w:t>
      </w:r>
      <w:r>
        <w:rPr>
          <w:rFonts w:cs="Times New Roman"/>
        </w:rPr>
        <w:t xml:space="preserve">participants </w:t>
      </w:r>
      <w:r w:rsidRPr="00065144">
        <w:rPr>
          <w:rFonts w:cs="Times New Roman"/>
        </w:rPr>
        <w:t xml:space="preserve">showing </w:t>
      </w:r>
      <w:r w:rsidR="000605E3">
        <w:rPr>
          <w:rFonts w:cs="Times New Roman"/>
        </w:rPr>
        <w:t>higher</w:t>
      </w:r>
      <w:r w:rsidR="000605E3" w:rsidRPr="00065144">
        <w:rPr>
          <w:rFonts w:cs="Times New Roman"/>
        </w:rPr>
        <w:t xml:space="preserve"> </w:t>
      </w:r>
      <w:r>
        <w:rPr>
          <w:rFonts w:cs="Times New Roman"/>
        </w:rPr>
        <w:t xml:space="preserve">levels of </w:t>
      </w:r>
      <w:r w:rsidRPr="00065144">
        <w:rPr>
          <w:rFonts w:cs="Times New Roman"/>
        </w:rPr>
        <w:t>self-rated competency and confidence in neuropsychology</w:t>
      </w:r>
      <w:r w:rsidR="000605E3">
        <w:rPr>
          <w:rFonts w:cs="Times New Roman"/>
        </w:rPr>
        <w:t xml:space="preserve"> than pre-2016 participants</w:t>
      </w:r>
      <w:r w:rsidRPr="00065144">
        <w:rPr>
          <w:rFonts w:cs="Times New Roman"/>
        </w:rPr>
        <w:t xml:space="preserve">. However, </w:t>
      </w:r>
      <w:r>
        <w:rPr>
          <w:rFonts w:cs="Times New Roman"/>
        </w:rPr>
        <w:t>the</w:t>
      </w:r>
      <w:r w:rsidRPr="00065144">
        <w:rPr>
          <w:rFonts w:cs="Times New Roman"/>
        </w:rPr>
        <w:t xml:space="preserve"> discrepancy in sample size between </w:t>
      </w:r>
      <w:r>
        <w:rPr>
          <w:rFonts w:cs="Times New Roman"/>
        </w:rPr>
        <w:t>pre- and post-2016 groups</w:t>
      </w:r>
      <w:r w:rsidRPr="00065144">
        <w:rPr>
          <w:rFonts w:cs="Times New Roman"/>
        </w:rPr>
        <w:t xml:space="preserve"> and a number of other caveats and limitations should be considered. Additional iterations of the survey, involving future cohorts following qualification, are needed to confirm these preliminary findings.</w:t>
      </w:r>
    </w:p>
    <w:p w14:paraId="1C16C8A4" w14:textId="3E06B289" w:rsidR="00FE6DB5" w:rsidRPr="00FE6DB5" w:rsidRDefault="00FE6DB5">
      <w:pPr>
        <w:tabs>
          <w:tab w:val="clear" w:pos="3780"/>
        </w:tabs>
        <w:spacing w:before="0" w:after="200" w:line="276" w:lineRule="auto"/>
        <w:ind w:firstLine="0"/>
        <w:jc w:val="left"/>
        <w:rPr>
          <w:rFonts w:cs="Times New Roman"/>
          <w:sz w:val="28"/>
          <w:szCs w:val="28"/>
        </w:rPr>
      </w:pPr>
      <w:r w:rsidRPr="00FE6DB5">
        <w:rPr>
          <w:rFonts w:cs="Times New Roman"/>
          <w:b/>
          <w:bCs/>
        </w:rPr>
        <w:t xml:space="preserve">Keywords: </w:t>
      </w:r>
      <w:r>
        <w:rPr>
          <w:rFonts w:cs="Times New Roman"/>
        </w:rPr>
        <w:t xml:space="preserve">clinical training; neuropsychology; competency; confidence; teaching. </w:t>
      </w:r>
    </w:p>
    <w:p w14:paraId="7A8535F7" w14:textId="77777777" w:rsidR="00FE6DB5" w:rsidRDefault="00FE6DB5" w:rsidP="00BB24FC">
      <w:pPr>
        <w:pStyle w:val="Heading2"/>
        <w:rPr>
          <w:rFonts w:cs="Times New Roman"/>
        </w:rPr>
      </w:pPr>
    </w:p>
    <w:p w14:paraId="7D51C455" w14:textId="77777777" w:rsidR="00FE6DB5" w:rsidRDefault="00FE6DB5">
      <w:pPr>
        <w:tabs>
          <w:tab w:val="clear" w:pos="3780"/>
        </w:tabs>
        <w:spacing w:before="0" w:after="200" w:line="276" w:lineRule="auto"/>
        <w:ind w:firstLine="0"/>
        <w:jc w:val="left"/>
        <w:rPr>
          <w:rFonts w:cs="Times New Roman"/>
          <w:b/>
          <w:bCs/>
          <w:sz w:val="28"/>
          <w:szCs w:val="28"/>
        </w:rPr>
      </w:pPr>
      <w:r>
        <w:rPr>
          <w:rFonts w:cs="Times New Roman"/>
        </w:rPr>
        <w:br w:type="page"/>
      </w:r>
    </w:p>
    <w:p w14:paraId="5E472F29" w14:textId="63743CEA" w:rsidR="00852A55" w:rsidRPr="00065144" w:rsidRDefault="00BB24FC" w:rsidP="00BB24FC">
      <w:pPr>
        <w:pStyle w:val="Heading2"/>
        <w:rPr>
          <w:rFonts w:cs="Times New Roman"/>
        </w:rPr>
      </w:pPr>
      <w:r w:rsidRPr="00065144">
        <w:rPr>
          <w:rFonts w:cs="Times New Roman"/>
        </w:rPr>
        <w:lastRenderedPageBreak/>
        <w:t>Introduction</w:t>
      </w:r>
    </w:p>
    <w:p w14:paraId="037705A2" w14:textId="52FD1F1A" w:rsidR="0095298A" w:rsidRPr="00065144" w:rsidRDefault="00AE4870" w:rsidP="002779FE">
      <w:pPr>
        <w:pStyle w:val="Subtitle"/>
        <w:rPr>
          <w:rFonts w:cs="Times New Roman"/>
        </w:rPr>
      </w:pPr>
      <w:r w:rsidRPr="00065144">
        <w:rPr>
          <w:rFonts w:cs="Times New Roman"/>
        </w:rPr>
        <w:t>I</w:t>
      </w:r>
      <w:r w:rsidR="00375341" w:rsidRPr="00065144">
        <w:rPr>
          <w:rFonts w:cs="Times New Roman"/>
        </w:rPr>
        <w:t>n</w:t>
      </w:r>
      <w:r w:rsidR="00D12913" w:rsidRPr="00065144">
        <w:rPr>
          <w:rFonts w:cs="Times New Roman"/>
        </w:rPr>
        <w:t xml:space="preserve"> </w:t>
      </w:r>
      <w:r w:rsidR="00953204" w:rsidRPr="00065144">
        <w:rPr>
          <w:rFonts w:cs="Times New Roman"/>
        </w:rPr>
        <w:t>2010</w:t>
      </w:r>
      <w:r w:rsidRPr="00065144">
        <w:rPr>
          <w:rFonts w:cs="Times New Roman"/>
        </w:rPr>
        <w:t>,</w:t>
      </w:r>
      <w:r w:rsidR="00F62967" w:rsidRPr="00065144">
        <w:rPr>
          <w:rFonts w:cs="Times New Roman"/>
        </w:rPr>
        <w:t xml:space="preserve"> </w:t>
      </w:r>
      <w:r w:rsidR="00D12913" w:rsidRPr="00065144">
        <w:rPr>
          <w:rFonts w:cs="Times New Roman"/>
        </w:rPr>
        <w:t>the British Psychological Society (BPS</w:t>
      </w:r>
      <w:r w:rsidR="00227DE0" w:rsidRPr="00065144">
        <w:rPr>
          <w:rFonts w:cs="Times New Roman"/>
        </w:rPr>
        <w:t xml:space="preserve">) </w:t>
      </w:r>
      <w:r w:rsidR="00D12913" w:rsidRPr="00065144">
        <w:rPr>
          <w:rFonts w:cs="Times New Roman"/>
        </w:rPr>
        <w:t>established the Qualification in Clinical Neuropsychology (</w:t>
      </w:r>
      <w:proofErr w:type="spellStart"/>
      <w:r w:rsidR="00D12913" w:rsidRPr="00065144">
        <w:rPr>
          <w:rFonts w:cs="Times New Roman"/>
        </w:rPr>
        <w:t>QiCN</w:t>
      </w:r>
      <w:proofErr w:type="spellEnd"/>
      <w:r w:rsidR="00D12913" w:rsidRPr="00065144">
        <w:rPr>
          <w:rFonts w:cs="Times New Roman"/>
        </w:rPr>
        <w:t xml:space="preserve">) as </w:t>
      </w:r>
      <w:r w:rsidR="00311397">
        <w:rPr>
          <w:rFonts w:cs="Times New Roman"/>
        </w:rPr>
        <w:t xml:space="preserve">a </w:t>
      </w:r>
      <w:r w:rsidR="00D12913" w:rsidRPr="00065144">
        <w:rPr>
          <w:rFonts w:cs="Times New Roman"/>
        </w:rPr>
        <w:t xml:space="preserve">standard for specialised </w:t>
      </w:r>
      <w:r w:rsidR="002F4383" w:rsidRPr="00065144">
        <w:rPr>
          <w:rFonts w:cs="Times New Roman"/>
        </w:rPr>
        <w:t>clinical</w:t>
      </w:r>
      <w:r w:rsidR="009F5F3C" w:rsidRPr="00065144">
        <w:rPr>
          <w:rFonts w:cs="Times New Roman"/>
        </w:rPr>
        <w:t xml:space="preserve"> </w:t>
      </w:r>
      <w:r w:rsidR="00D12913" w:rsidRPr="00065144">
        <w:rPr>
          <w:rFonts w:cs="Times New Roman"/>
        </w:rPr>
        <w:t>neuropsychological education</w:t>
      </w:r>
      <w:r w:rsidR="00F62967" w:rsidRPr="00065144">
        <w:rPr>
          <w:rFonts w:cs="Times New Roman"/>
        </w:rPr>
        <w:t xml:space="preserve"> </w:t>
      </w:r>
      <w:r w:rsidR="00D12913" w:rsidRPr="00065144">
        <w:rPr>
          <w:rFonts w:cs="Times New Roman"/>
        </w:rPr>
        <w:t>in the UK</w:t>
      </w:r>
      <w:r w:rsidR="00375341" w:rsidRPr="00065144">
        <w:rPr>
          <w:rFonts w:cs="Times New Roman"/>
        </w:rPr>
        <w:t>, with the specific aim to “assure possession of the essential skills and underpinning knowledge for the expert and professional application of psychology in this field” (BPS, 2016; p. 5)</w:t>
      </w:r>
      <w:r w:rsidR="00CA0292" w:rsidRPr="00065144">
        <w:rPr>
          <w:rFonts w:cs="Times New Roman"/>
        </w:rPr>
        <w:t xml:space="preserve">. </w:t>
      </w:r>
      <w:r w:rsidR="005A3B7A" w:rsidRPr="00065144">
        <w:rPr>
          <w:rFonts w:cs="Times New Roman"/>
        </w:rPr>
        <w:t xml:space="preserve">Shortly after this, </w:t>
      </w:r>
      <w:r w:rsidR="000605E3" w:rsidRPr="00065144">
        <w:rPr>
          <w:rFonts w:cs="Times New Roman"/>
        </w:rPr>
        <w:t>in 2012</w:t>
      </w:r>
      <w:r w:rsidR="000605E3">
        <w:rPr>
          <w:rFonts w:cs="Times New Roman"/>
        </w:rPr>
        <w:t xml:space="preserve">, </w:t>
      </w:r>
      <w:r w:rsidR="009F5F3C" w:rsidRPr="00065144">
        <w:rPr>
          <w:rFonts w:cs="Times New Roman"/>
        </w:rPr>
        <w:t>a</w:t>
      </w:r>
      <w:r w:rsidR="00CA0292" w:rsidRPr="00065144">
        <w:rPr>
          <w:rFonts w:cs="Times New Roman"/>
        </w:rPr>
        <w:t xml:space="preserve"> Division of Neuropsychology (</w:t>
      </w:r>
      <w:proofErr w:type="spellStart"/>
      <w:r w:rsidR="00CA0292" w:rsidRPr="00065144">
        <w:rPr>
          <w:rFonts w:cs="Times New Roman"/>
        </w:rPr>
        <w:t>DoN</w:t>
      </w:r>
      <w:proofErr w:type="spellEnd"/>
      <w:r w:rsidR="00CA0292" w:rsidRPr="00065144">
        <w:rPr>
          <w:rFonts w:cs="Times New Roman"/>
        </w:rPr>
        <w:t>) Competency Framework</w:t>
      </w:r>
      <w:r w:rsidR="009F5F3C" w:rsidRPr="00065144">
        <w:rPr>
          <w:rFonts w:cs="Times New Roman"/>
        </w:rPr>
        <w:t xml:space="preserve"> was</w:t>
      </w:r>
      <w:r w:rsidR="00CA0292" w:rsidRPr="00065144">
        <w:rPr>
          <w:rFonts w:cs="Times New Roman"/>
        </w:rPr>
        <w:t xml:space="preserve"> </w:t>
      </w:r>
      <w:r w:rsidR="0095298A" w:rsidRPr="00065144">
        <w:rPr>
          <w:rFonts w:cs="Times New Roman"/>
        </w:rPr>
        <w:t>agreed</w:t>
      </w:r>
      <w:r w:rsidR="00FE3AC7" w:rsidRPr="00065144">
        <w:rPr>
          <w:rFonts w:cs="Times New Roman"/>
        </w:rPr>
        <w:t xml:space="preserve">, </w:t>
      </w:r>
      <w:r w:rsidR="00CA0292" w:rsidRPr="00065144">
        <w:rPr>
          <w:rFonts w:cs="Times New Roman"/>
        </w:rPr>
        <w:t>establish</w:t>
      </w:r>
      <w:r w:rsidRPr="00065144">
        <w:rPr>
          <w:rFonts w:cs="Times New Roman"/>
        </w:rPr>
        <w:t>ing</w:t>
      </w:r>
      <w:r w:rsidR="00CA0292" w:rsidRPr="00065144">
        <w:rPr>
          <w:rFonts w:cs="Times New Roman"/>
        </w:rPr>
        <w:t xml:space="preserve"> </w:t>
      </w:r>
      <w:r w:rsidRPr="00065144">
        <w:rPr>
          <w:rFonts w:cs="Times New Roman"/>
        </w:rPr>
        <w:t xml:space="preserve">the underpinning knowledge and skills required for different levels of neuropsychological practice </w:t>
      </w:r>
      <w:r w:rsidR="0095298A" w:rsidRPr="00065144">
        <w:rPr>
          <w:rFonts w:cs="Times New Roman"/>
        </w:rPr>
        <w:t xml:space="preserve">in the </w:t>
      </w:r>
      <w:r w:rsidRPr="00065144">
        <w:rPr>
          <w:rFonts w:cs="Times New Roman"/>
        </w:rPr>
        <w:t xml:space="preserve">UK </w:t>
      </w:r>
      <w:r w:rsidR="008C594F" w:rsidRPr="00065144">
        <w:rPr>
          <w:rFonts w:cs="Times New Roman"/>
        </w:rPr>
        <w:t>(</w:t>
      </w:r>
      <w:r w:rsidR="0095298A" w:rsidRPr="00065144">
        <w:rPr>
          <w:rFonts w:cs="Times New Roman"/>
        </w:rPr>
        <w:fldChar w:fldCharType="begin" w:fldLock="1"/>
      </w:r>
      <w:r w:rsidR="001F3AC6" w:rsidRPr="00065144">
        <w:rPr>
          <w:rFonts w:cs="Times New Roman"/>
        </w:rPr>
        <w:instrText>ADDIN CSL_CITATION {"citationItems":[{"id":"ITEM-1","itemData":{"author":[{"dropping-particle":"","family":"British Psychological Society","given":"","non-dropping-particle":"","parse-names":false,"suffix":""}],"id":"ITEM-1","issued":{"date-parts":[["2020"]]},"publisher-place":"Leicester","title":"Guidance for BPS accredited neuropsychology training programmes in relation to the Covid-19 outbreak","type":"report"},"uris":["http://www.mendeley.com/documents/?uuid=223528d7-a433-49fe-8a65-5ac90dac7c8e"]}],"mendeley":{"formattedCitation":"(British Psychological Society, 2020)","manualFormatting":"BPS, 2020)","plainTextFormattedCitation":"(British Psychological Society, 2020)","previouslyFormattedCitation":"(British Psychological Society, 2020)"},"properties":{"noteIndex":0},"schema":"https://github.com/citation-style-language/schema/raw/master/csl-citation.json"}</w:instrText>
      </w:r>
      <w:r w:rsidR="0095298A" w:rsidRPr="00065144">
        <w:rPr>
          <w:rFonts w:cs="Times New Roman"/>
        </w:rPr>
        <w:fldChar w:fldCharType="separate"/>
      </w:r>
      <w:r w:rsidR="0095298A" w:rsidRPr="00065144">
        <w:rPr>
          <w:rFonts w:cs="Times New Roman"/>
          <w:noProof/>
        </w:rPr>
        <w:t>BPS, 2020)</w:t>
      </w:r>
      <w:r w:rsidR="0095298A" w:rsidRPr="00065144">
        <w:rPr>
          <w:rFonts w:cs="Times New Roman"/>
        </w:rPr>
        <w:fldChar w:fldCharType="end"/>
      </w:r>
      <w:r w:rsidR="0095298A" w:rsidRPr="00065144">
        <w:rPr>
          <w:rFonts w:cs="Times New Roman"/>
        </w:rPr>
        <w:t>.</w:t>
      </w:r>
      <w:r w:rsidR="00375341" w:rsidRPr="00065144">
        <w:rPr>
          <w:rFonts w:cs="Times New Roman"/>
        </w:rPr>
        <w:t xml:space="preserve"> </w:t>
      </w:r>
    </w:p>
    <w:p w14:paraId="37448EB2" w14:textId="31DE17DA" w:rsidR="005B1391" w:rsidRDefault="00BA6A68" w:rsidP="00241BC1">
      <w:pPr>
        <w:pStyle w:val="Subtitle"/>
        <w:rPr>
          <w:rFonts w:cs="Times New Roman"/>
        </w:rPr>
      </w:pPr>
      <w:r w:rsidRPr="00065144">
        <w:rPr>
          <w:rFonts w:cs="Times New Roman"/>
        </w:rPr>
        <w:t>As a consequence</w:t>
      </w:r>
      <w:r w:rsidR="00CA0292" w:rsidRPr="00065144">
        <w:rPr>
          <w:rFonts w:cs="Times New Roman"/>
        </w:rPr>
        <w:t>,</w:t>
      </w:r>
      <w:r w:rsidR="00FF1C0A" w:rsidRPr="00065144">
        <w:rPr>
          <w:rFonts w:cs="Times New Roman"/>
        </w:rPr>
        <w:t xml:space="preserve"> </w:t>
      </w:r>
      <w:r w:rsidR="00B02D9F" w:rsidRPr="00065144">
        <w:rPr>
          <w:rFonts w:cs="Times New Roman"/>
        </w:rPr>
        <w:t>the D</w:t>
      </w:r>
      <w:r w:rsidR="00D12913" w:rsidRPr="00065144">
        <w:rPr>
          <w:rFonts w:cs="Times New Roman"/>
        </w:rPr>
        <w:t xml:space="preserve">octoral </w:t>
      </w:r>
      <w:r w:rsidR="00B02D9F" w:rsidRPr="00065144">
        <w:rPr>
          <w:rFonts w:cs="Times New Roman"/>
        </w:rPr>
        <w:t>P</w:t>
      </w:r>
      <w:r w:rsidR="00D12913" w:rsidRPr="00065144">
        <w:rPr>
          <w:rFonts w:cs="Times New Roman"/>
        </w:rPr>
        <w:t>rogramme in Clinical Psychology</w:t>
      </w:r>
      <w:r w:rsidR="0063103E" w:rsidRPr="00065144">
        <w:rPr>
          <w:rFonts w:cs="Times New Roman"/>
        </w:rPr>
        <w:t xml:space="preserve"> (</w:t>
      </w:r>
      <w:proofErr w:type="spellStart"/>
      <w:r w:rsidR="0063103E" w:rsidRPr="00065144">
        <w:rPr>
          <w:rFonts w:cs="Times New Roman"/>
        </w:rPr>
        <w:t>ClinPsyD</w:t>
      </w:r>
      <w:proofErr w:type="spellEnd"/>
      <w:r w:rsidR="0063103E" w:rsidRPr="00065144">
        <w:rPr>
          <w:rFonts w:cs="Times New Roman"/>
        </w:rPr>
        <w:t>)</w:t>
      </w:r>
      <w:r w:rsidR="00D12913" w:rsidRPr="00065144">
        <w:rPr>
          <w:rFonts w:cs="Times New Roman"/>
        </w:rPr>
        <w:t xml:space="preserve"> </w:t>
      </w:r>
      <w:r w:rsidR="00331D1B" w:rsidRPr="00065144">
        <w:rPr>
          <w:rFonts w:cs="Times New Roman"/>
        </w:rPr>
        <w:t>at the University of East Anglia (</w:t>
      </w:r>
      <w:r w:rsidR="00FE482E" w:rsidRPr="00065144">
        <w:rPr>
          <w:rFonts w:cs="Times New Roman"/>
        </w:rPr>
        <w:t xml:space="preserve">UEA) </w:t>
      </w:r>
      <w:r w:rsidR="00FE482E" w:rsidRPr="00065144">
        <w:rPr>
          <w:rFonts w:cs="Times New Roman"/>
          <w:noProof/>
        </w:rPr>
        <w:t>conducted</w:t>
      </w:r>
      <w:r w:rsidR="00722A1C" w:rsidRPr="00065144">
        <w:rPr>
          <w:rFonts w:cs="Times New Roman"/>
          <w:noProof/>
        </w:rPr>
        <w:t xml:space="preserve"> a review of </w:t>
      </w:r>
      <w:r w:rsidRPr="00065144">
        <w:rPr>
          <w:rFonts w:cs="Times New Roman"/>
          <w:noProof/>
        </w:rPr>
        <w:t xml:space="preserve">its </w:t>
      </w:r>
      <w:r w:rsidR="00722A1C" w:rsidRPr="00065144">
        <w:rPr>
          <w:rFonts w:cs="Times New Roman"/>
          <w:noProof/>
        </w:rPr>
        <w:t>neuropsychology teaching and</w:t>
      </w:r>
      <w:r w:rsidRPr="00065144">
        <w:rPr>
          <w:rFonts w:cs="Times New Roman"/>
          <w:noProof/>
        </w:rPr>
        <w:t>,</w:t>
      </w:r>
      <w:r w:rsidR="00722A1C" w:rsidRPr="00065144">
        <w:rPr>
          <w:rFonts w:cs="Times New Roman"/>
          <w:noProof/>
        </w:rPr>
        <w:t xml:space="preserve"> in 2016</w:t>
      </w:r>
      <w:r w:rsidRPr="00065144">
        <w:rPr>
          <w:rFonts w:cs="Times New Roman"/>
          <w:noProof/>
        </w:rPr>
        <w:t>,</w:t>
      </w:r>
      <w:r w:rsidR="00722A1C" w:rsidRPr="00065144">
        <w:rPr>
          <w:rFonts w:cs="Times New Roman"/>
          <w:noProof/>
        </w:rPr>
        <w:t xml:space="preserve"> introduced </w:t>
      </w:r>
      <w:r w:rsidR="007850BA">
        <w:rPr>
          <w:rFonts w:cs="Times New Roman"/>
          <w:noProof/>
        </w:rPr>
        <w:t>the following changes</w:t>
      </w:r>
      <w:r w:rsidR="00722A1C" w:rsidRPr="00065144">
        <w:rPr>
          <w:rFonts w:cs="Times New Roman"/>
          <w:noProof/>
        </w:rPr>
        <w:t xml:space="preserve"> designed to enhance the learning experience and outcomes from the Neuropsychology module</w:t>
      </w:r>
      <w:r w:rsidR="007850BA">
        <w:rPr>
          <w:rFonts w:cs="Times New Roman"/>
        </w:rPr>
        <w:t>:</w:t>
      </w:r>
      <w:r w:rsidR="00F64151" w:rsidRPr="00065144">
        <w:rPr>
          <w:rFonts w:cs="Times New Roman"/>
        </w:rPr>
        <w:t xml:space="preserve"> </w:t>
      </w:r>
    </w:p>
    <w:p w14:paraId="0A6D42EB" w14:textId="77777777" w:rsidR="004549EF" w:rsidRDefault="004549EF" w:rsidP="004549EF">
      <w:pPr>
        <w:pStyle w:val="Subtitle"/>
        <w:numPr>
          <w:ilvl w:val="0"/>
          <w:numId w:val="30"/>
        </w:numPr>
        <w:rPr>
          <w:rFonts w:cs="Times New Roman"/>
          <w:noProof/>
        </w:rPr>
      </w:pPr>
      <w:r>
        <w:rPr>
          <w:rFonts w:cs="Times New Roman"/>
        </w:rPr>
        <w:t>M</w:t>
      </w:r>
      <w:r w:rsidRPr="00065144">
        <w:rPr>
          <w:rFonts w:cs="Times New Roman"/>
        </w:rPr>
        <w:t>oving the Older Adults placement from Year 2 to Year 1 to allow trainees to engage earlier with neuropsychological tasks</w:t>
      </w:r>
      <w:r>
        <w:rPr>
          <w:rFonts w:cs="Times New Roman"/>
        </w:rPr>
        <w:t>.</w:t>
      </w:r>
      <w:r w:rsidRPr="00065144">
        <w:rPr>
          <w:rFonts w:cs="Times New Roman"/>
        </w:rPr>
        <w:t xml:space="preserve"> </w:t>
      </w:r>
    </w:p>
    <w:p w14:paraId="1CACD963" w14:textId="77777777" w:rsidR="004549EF" w:rsidRDefault="004549EF" w:rsidP="004549EF">
      <w:pPr>
        <w:pStyle w:val="Subtitle"/>
        <w:numPr>
          <w:ilvl w:val="0"/>
          <w:numId w:val="30"/>
        </w:numPr>
        <w:rPr>
          <w:rFonts w:cs="Times New Roman"/>
          <w:noProof/>
        </w:rPr>
      </w:pPr>
      <w:r>
        <w:rPr>
          <w:rFonts w:cs="Times New Roman"/>
        </w:rPr>
        <w:t>Organising the curriculum to address foundation knowledge for neuropsychological assessment and formulation, and</w:t>
      </w:r>
      <w:r w:rsidRPr="00065144">
        <w:rPr>
          <w:rFonts w:cs="Times New Roman"/>
        </w:rPr>
        <w:t xml:space="preserve"> specific neurological presentations (e.g., stroke, traumatic brain injury)</w:t>
      </w:r>
      <w:r>
        <w:rPr>
          <w:rFonts w:cs="Times New Roman"/>
        </w:rPr>
        <w:t>, in a critical and humanistic framework.</w:t>
      </w:r>
      <w:r w:rsidRPr="00065144">
        <w:rPr>
          <w:rFonts w:cs="Times New Roman"/>
        </w:rPr>
        <w:t xml:space="preserve"> </w:t>
      </w:r>
    </w:p>
    <w:p w14:paraId="2E1C5E4B" w14:textId="77777777" w:rsidR="004549EF" w:rsidRDefault="004549EF" w:rsidP="004549EF">
      <w:pPr>
        <w:pStyle w:val="Subtitle"/>
        <w:numPr>
          <w:ilvl w:val="0"/>
          <w:numId w:val="30"/>
        </w:numPr>
        <w:rPr>
          <w:rFonts w:cs="Times New Roman"/>
          <w:noProof/>
        </w:rPr>
      </w:pPr>
      <w:r>
        <w:rPr>
          <w:rFonts w:cs="Times New Roman"/>
        </w:rPr>
        <w:t xml:space="preserve">Introducing </w:t>
      </w:r>
      <w:r w:rsidRPr="00065144">
        <w:rPr>
          <w:rFonts w:cs="Times New Roman"/>
        </w:rPr>
        <w:t>a ‘passing out’ process in neuropsychological test administration</w:t>
      </w:r>
      <w:r>
        <w:rPr>
          <w:rFonts w:cs="Times New Roman"/>
        </w:rPr>
        <w:t xml:space="preserve"> and adding </w:t>
      </w:r>
      <w:r w:rsidRPr="00903099">
        <w:rPr>
          <w:rFonts w:cs="Times New Roman"/>
        </w:rPr>
        <w:t>neuropsychology competencies to placement evaluations</w:t>
      </w:r>
      <w:r>
        <w:rPr>
          <w:rFonts w:cs="Times New Roman"/>
        </w:rPr>
        <w:t>.</w:t>
      </w:r>
      <w:r w:rsidRPr="00903099">
        <w:rPr>
          <w:rFonts w:cs="Times New Roman"/>
        </w:rPr>
        <w:t xml:space="preserve"> </w:t>
      </w:r>
    </w:p>
    <w:p w14:paraId="115A26FC" w14:textId="77777777" w:rsidR="004549EF" w:rsidRDefault="004549EF" w:rsidP="004549EF">
      <w:pPr>
        <w:pStyle w:val="Subtitle"/>
        <w:numPr>
          <w:ilvl w:val="0"/>
          <w:numId w:val="30"/>
        </w:numPr>
        <w:rPr>
          <w:rFonts w:cs="Times New Roman"/>
          <w:noProof/>
        </w:rPr>
      </w:pPr>
      <w:r>
        <w:rPr>
          <w:rFonts w:cs="Times New Roman"/>
        </w:rPr>
        <w:t>Introducing a</w:t>
      </w:r>
      <w:r w:rsidRPr="00903099">
        <w:rPr>
          <w:rFonts w:cs="Times New Roman"/>
        </w:rPr>
        <w:t xml:space="preserve"> neuropsychology Objective Structured Clinical Examination (OSCE) in Year 2. </w:t>
      </w:r>
    </w:p>
    <w:p w14:paraId="4A964CD1" w14:textId="77777777" w:rsidR="004549EF" w:rsidRDefault="004549EF" w:rsidP="004549EF">
      <w:pPr>
        <w:pStyle w:val="Subtitle"/>
        <w:numPr>
          <w:ilvl w:val="0"/>
          <w:numId w:val="30"/>
        </w:numPr>
        <w:rPr>
          <w:rFonts w:cs="Times New Roman"/>
        </w:rPr>
      </w:pPr>
      <w:r>
        <w:rPr>
          <w:rFonts w:cs="Times New Roman"/>
        </w:rPr>
        <w:lastRenderedPageBreak/>
        <w:t xml:space="preserve">Delivering </w:t>
      </w:r>
      <w:r w:rsidRPr="00903099">
        <w:rPr>
          <w:rFonts w:cs="Times New Roman"/>
        </w:rPr>
        <w:t xml:space="preserve">teaching </w:t>
      </w:r>
      <w:r>
        <w:rPr>
          <w:rFonts w:cs="Times New Roman"/>
        </w:rPr>
        <w:t xml:space="preserve">in block format, </w:t>
      </w:r>
      <w:r w:rsidRPr="00903099">
        <w:rPr>
          <w:rFonts w:cs="Times New Roman"/>
        </w:rPr>
        <w:t xml:space="preserve">‘Neuro Week’, covering core </w:t>
      </w:r>
      <w:r>
        <w:rPr>
          <w:rFonts w:cs="Times New Roman"/>
        </w:rPr>
        <w:t xml:space="preserve">topics </w:t>
      </w:r>
      <w:r w:rsidRPr="00903099">
        <w:rPr>
          <w:rFonts w:cs="Times New Roman"/>
        </w:rPr>
        <w:t xml:space="preserve">from neuropsychological assessment to intervention, scheduled in the first </w:t>
      </w:r>
      <w:r>
        <w:rPr>
          <w:rFonts w:cs="Times New Roman"/>
        </w:rPr>
        <w:t xml:space="preserve">teaching </w:t>
      </w:r>
      <w:r w:rsidRPr="00903099">
        <w:rPr>
          <w:rFonts w:cs="Times New Roman"/>
        </w:rPr>
        <w:t>block immediately before the first clinical placement.</w:t>
      </w:r>
    </w:p>
    <w:p w14:paraId="29AD99EE" w14:textId="681D57EB" w:rsidR="004B6837" w:rsidRPr="00E81FC2" w:rsidRDefault="004549EF" w:rsidP="004549EF">
      <w:pPr>
        <w:pStyle w:val="ListParagraph"/>
        <w:numPr>
          <w:ilvl w:val="0"/>
          <w:numId w:val="30"/>
        </w:numPr>
      </w:pPr>
      <w:r>
        <w:t>Offering two regional CPD events providing opportunities for placement supervisors to maintain and update neuropsychological skills and discuss the implementation of curriculum changes</w:t>
      </w:r>
      <w:r w:rsidR="00644E6F">
        <w:t>.</w:t>
      </w:r>
    </w:p>
    <w:p w14:paraId="5E12771E" w14:textId="455C1BEB" w:rsidR="00AF4CB4" w:rsidRPr="00065144" w:rsidRDefault="00892B1C" w:rsidP="00DA4A83">
      <w:r>
        <w:t>S</w:t>
      </w:r>
      <w:r w:rsidRPr="00065144">
        <w:t xml:space="preserve">ix years have passed since </w:t>
      </w:r>
      <w:r>
        <w:t xml:space="preserve">the introduction of these changes, meaning </w:t>
      </w:r>
      <w:r w:rsidRPr="00065144">
        <w:t xml:space="preserve">that </w:t>
      </w:r>
      <w:r>
        <w:t>they</w:t>
      </w:r>
      <w:r w:rsidRPr="00065144">
        <w:t xml:space="preserve"> have now been fully incorporated and implemented </w:t>
      </w:r>
      <w:r>
        <w:t>into</w:t>
      </w:r>
      <w:r w:rsidRPr="00065144">
        <w:t xml:space="preserve"> the </w:t>
      </w:r>
      <w:proofErr w:type="spellStart"/>
      <w:r w:rsidRPr="00065144">
        <w:t>ClinPsyD</w:t>
      </w:r>
      <w:proofErr w:type="spellEnd"/>
      <w:r w:rsidRPr="00065144">
        <w:t xml:space="preserve"> </w:t>
      </w:r>
      <w:r>
        <w:t>p</w:t>
      </w:r>
      <w:r w:rsidRPr="00065144">
        <w:t xml:space="preserve">rogramme, </w:t>
      </w:r>
      <w:r>
        <w:t>and</w:t>
      </w:r>
      <w:r w:rsidRPr="00065144">
        <w:t xml:space="preserve"> that three cohorts who received this training have qualified and started working as </w:t>
      </w:r>
      <w:r>
        <w:t>c</w:t>
      </w:r>
      <w:r w:rsidRPr="00065144">
        <w:t xml:space="preserve">linical </w:t>
      </w:r>
      <w:r>
        <w:t>p</w:t>
      </w:r>
      <w:r w:rsidRPr="00065144">
        <w:t xml:space="preserve">sychologists. </w:t>
      </w:r>
      <w:r>
        <w:t>W</w:t>
      </w:r>
      <w:r w:rsidRPr="00065144">
        <w:t xml:space="preserve">hile positive informal feedback has been received, no formal evaluation of the impact of these </w:t>
      </w:r>
      <w:r>
        <w:t>curricular changes</w:t>
      </w:r>
      <w:r w:rsidRPr="00065144">
        <w:t xml:space="preserve"> has been carried out</w:t>
      </w:r>
      <w:r>
        <w:t>.</w:t>
      </w:r>
    </w:p>
    <w:p w14:paraId="34735EF8" w14:textId="6DEDD0A1" w:rsidR="00E000C1" w:rsidRDefault="00AF4CB4" w:rsidP="00E000C1">
      <w:pPr>
        <w:pStyle w:val="Subtitle"/>
      </w:pPr>
      <w:r>
        <w:rPr>
          <w:rFonts w:cs="Times New Roman"/>
        </w:rPr>
        <w:t>As a consequence, a</w:t>
      </w:r>
      <w:r w:rsidR="00892B1C">
        <w:rPr>
          <w:rFonts w:cs="Times New Roman"/>
        </w:rPr>
        <w:t xml:space="preserve">n </w:t>
      </w:r>
      <w:r w:rsidRPr="00065144">
        <w:rPr>
          <w:rFonts w:cs="Times New Roman"/>
        </w:rPr>
        <w:t xml:space="preserve">evaluation was </w:t>
      </w:r>
      <w:r w:rsidR="00E93A08">
        <w:rPr>
          <w:rFonts w:cs="Times New Roman"/>
        </w:rPr>
        <w:t>piloted</w:t>
      </w:r>
      <w:r w:rsidRPr="00065144">
        <w:rPr>
          <w:rFonts w:cs="Times New Roman"/>
        </w:rPr>
        <w:t xml:space="preserve"> to assess the impact of </w:t>
      </w:r>
      <w:r>
        <w:rPr>
          <w:rFonts w:cs="Times New Roman"/>
        </w:rPr>
        <w:t xml:space="preserve">the refinement of the </w:t>
      </w:r>
      <w:r w:rsidRPr="00065144">
        <w:rPr>
          <w:rFonts w:cs="Times New Roman"/>
        </w:rPr>
        <w:t xml:space="preserve">neuropsychological components of the UEA </w:t>
      </w:r>
      <w:r w:rsidR="00286541">
        <w:rPr>
          <w:rFonts w:cs="Times New Roman"/>
        </w:rPr>
        <w:t>P</w:t>
      </w:r>
      <w:r w:rsidRPr="00065144">
        <w:rPr>
          <w:rFonts w:cs="Times New Roman"/>
        </w:rPr>
        <w:t>rogramme over the past six years</w:t>
      </w:r>
      <w:r>
        <w:rPr>
          <w:rFonts w:cs="Times New Roman"/>
        </w:rPr>
        <w:t xml:space="preserve"> </w:t>
      </w:r>
      <w:r w:rsidRPr="00065144">
        <w:rPr>
          <w:rFonts w:cs="Times New Roman"/>
        </w:rPr>
        <w:t>on the self-perceived neuropsychological competency and confidence of UEA-trained</w:t>
      </w:r>
      <w:r w:rsidR="005F0DCF">
        <w:rPr>
          <w:rFonts w:cs="Times New Roman"/>
        </w:rPr>
        <w:t xml:space="preserve"> </w:t>
      </w:r>
      <w:r w:rsidR="00687AC9">
        <w:rPr>
          <w:rFonts w:cs="Times New Roman"/>
        </w:rPr>
        <w:t>clinical psychologist</w:t>
      </w:r>
      <w:r w:rsidRPr="00065144">
        <w:rPr>
          <w:rFonts w:cs="Times New Roman"/>
        </w:rPr>
        <w:t>s.</w:t>
      </w:r>
      <w:r w:rsidR="00DD6DE4">
        <w:rPr>
          <w:rFonts w:cs="Times New Roman"/>
        </w:rPr>
        <w:t xml:space="preserve"> </w:t>
      </w:r>
      <w:r w:rsidRPr="00065144">
        <w:rPr>
          <w:rFonts w:cs="Times New Roman"/>
        </w:rPr>
        <w:t xml:space="preserve">This was conceived as the </w:t>
      </w:r>
      <w:r w:rsidR="00E93A08">
        <w:rPr>
          <w:rFonts w:cs="Times New Roman"/>
        </w:rPr>
        <w:t>first</w:t>
      </w:r>
      <w:r w:rsidRPr="00065144">
        <w:rPr>
          <w:rFonts w:cs="Times New Roman"/>
        </w:rPr>
        <w:t xml:space="preserve"> stage of a longitudinal evaluation of the impact of training changes</w:t>
      </w:r>
      <w:r w:rsidR="008C0D27">
        <w:rPr>
          <w:rFonts w:cs="Times New Roman"/>
        </w:rPr>
        <w:t xml:space="preserve"> –</w:t>
      </w:r>
      <w:r w:rsidRPr="00065144">
        <w:rPr>
          <w:rFonts w:cs="Times New Roman"/>
        </w:rPr>
        <w:t xml:space="preserve"> </w:t>
      </w:r>
      <w:r w:rsidR="00E93A08">
        <w:rPr>
          <w:rFonts w:cs="Times New Roman"/>
        </w:rPr>
        <w:t xml:space="preserve">initially limited to participants </w:t>
      </w:r>
      <w:r w:rsidR="002B34C7">
        <w:rPr>
          <w:rFonts w:cs="Times New Roman"/>
        </w:rPr>
        <w:t>working</w:t>
      </w:r>
      <w:r w:rsidR="00E93A08">
        <w:rPr>
          <w:rFonts w:cs="Times New Roman"/>
        </w:rPr>
        <w:t xml:space="preserve"> in East Anglia</w:t>
      </w:r>
      <w:r w:rsidR="008C0D27">
        <w:rPr>
          <w:rFonts w:cs="Times New Roman"/>
        </w:rPr>
        <w:t xml:space="preserve"> </w:t>
      </w:r>
      <w:r w:rsidR="008C0D27">
        <w:t xml:space="preserve">due to </w:t>
      </w:r>
      <w:r w:rsidR="00892B1C">
        <w:t>convenience sampling</w:t>
      </w:r>
      <w:r w:rsidR="008C0D27">
        <w:t xml:space="preserve"> –</w:t>
      </w:r>
      <w:r w:rsidR="00E93A08">
        <w:rPr>
          <w:rFonts w:cs="Times New Roman"/>
        </w:rPr>
        <w:t xml:space="preserve"> with the aim </w:t>
      </w:r>
      <w:r w:rsidR="00FD3A12">
        <w:rPr>
          <w:rFonts w:cs="Times New Roman"/>
        </w:rPr>
        <w:t>of</w:t>
      </w:r>
      <w:r w:rsidRPr="00065144">
        <w:rPr>
          <w:rFonts w:cs="Times New Roman"/>
        </w:rPr>
        <w:t xml:space="preserve"> </w:t>
      </w:r>
      <w:r w:rsidR="00FD3A12">
        <w:rPr>
          <w:rFonts w:cs="Times New Roman"/>
        </w:rPr>
        <w:t xml:space="preserve">addressing </w:t>
      </w:r>
      <w:r w:rsidRPr="00065144">
        <w:rPr>
          <w:rFonts w:cs="Times New Roman"/>
        </w:rPr>
        <w:t>competency on fundamental neuropsychological knowledge areas and skills, and confidence in carrying out fundamental neuropsychological activities.</w:t>
      </w:r>
      <w:r w:rsidR="008C0D27">
        <w:rPr>
          <w:rFonts w:cs="Times New Roman"/>
        </w:rPr>
        <w:t xml:space="preserve"> </w:t>
      </w:r>
      <w:r w:rsidR="006B1431">
        <w:rPr>
          <w:rFonts w:cs="Times New Roman"/>
        </w:rPr>
        <w:t>S</w:t>
      </w:r>
      <w:r w:rsidR="00B95662">
        <w:rPr>
          <w:rFonts w:cs="Times New Roman"/>
        </w:rPr>
        <w:t>pecifically, t</w:t>
      </w:r>
      <w:r w:rsidR="00DD6DE4">
        <w:rPr>
          <w:rFonts w:cs="Times New Roman"/>
        </w:rPr>
        <w:t>he present project</w:t>
      </w:r>
      <w:r w:rsidR="002B53D4" w:rsidRPr="00065144">
        <w:rPr>
          <w:rFonts w:cs="Times New Roman"/>
        </w:rPr>
        <w:t xml:space="preserve"> aimed to answer </w:t>
      </w:r>
      <w:r w:rsidR="00633E35" w:rsidRPr="00065144">
        <w:rPr>
          <w:rFonts w:cs="Times New Roman"/>
        </w:rPr>
        <w:t>the</w:t>
      </w:r>
      <w:r w:rsidR="007542A3" w:rsidRPr="00065144">
        <w:rPr>
          <w:rFonts w:cs="Times New Roman"/>
        </w:rPr>
        <w:t xml:space="preserve"> following </w:t>
      </w:r>
      <w:r w:rsidR="00DD6DE4">
        <w:rPr>
          <w:rFonts w:cs="Times New Roman"/>
        </w:rPr>
        <w:t xml:space="preserve">evaluation </w:t>
      </w:r>
      <w:r w:rsidR="007542A3" w:rsidRPr="00065144">
        <w:rPr>
          <w:rFonts w:cs="Times New Roman"/>
        </w:rPr>
        <w:t xml:space="preserve">question: </w:t>
      </w:r>
    </w:p>
    <w:p w14:paraId="6662AE51" w14:textId="68E8F2C7" w:rsidR="005F0DCF" w:rsidRDefault="00482FB7" w:rsidP="00576A17">
      <w:pPr>
        <w:pStyle w:val="Subtitle"/>
        <w:ind w:left="709" w:firstLine="0"/>
        <w:rPr>
          <w:rFonts w:cs="Times New Roman"/>
          <w:i/>
          <w:iCs/>
        </w:rPr>
      </w:pPr>
      <w:r>
        <w:rPr>
          <w:rFonts w:cs="Times New Roman"/>
          <w:i/>
          <w:iCs/>
        </w:rPr>
        <w:t xml:space="preserve">Are there any differences in </w:t>
      </w:r>
      <w:r w:rsidR="00156464" w:rsidRPr="00065144">
        <w:rPr>
          <w:rFonts w:cs="Times New Roman"/>
          <w:i/>
          <w:iCs/>
        </w:rPr>
        <w:t xml:space="preserve">self-rated </w:t>
      </w:r>
      <w:r w:rsidR="00162C7D" w:rsidRPr="00065144">
        <w:rPr>
          <w:rFonts w:cs="Times New Roman"/>
          <w:i/>
          <w:iCs/>
        </w:rPr>
        <w:t xml:space="preserve">competency and </w:t>
      </w:r>
      <w:r w:rsidR="007542A3" w:rsidRPr="00065144">
        <w:rPr>
          <w:rFonts w:cs="Times New Roman"/>
          <w:i/>
          <w:iCs/>
        </w:rPr>
        <w:t xml:space="preserve">confidence in neuropsychology of </w:t>
      </w:r>
      <w:r w:rsidR="00687AC9">
        <w:rPr>
          <w:rFonts w:cs="Times New Roman"/>
          <w:i/>
          <w:iCs/>
        </w:rPr>
        <w:t>clinical psychologist</w:t>
      </w:r>
      <w:r w:rsidR="00973B33" w:rsidRPr="00065144">
        <w:rPr>
          <w:rFonts w:cs="Times New Roman"/>
          <w:i/>
          <w:iCs/>
        </w:rPr>
        <w:t>s</w:t>
      </w:r>
      <w:r w:rsidR="007542A3" w:rsidRPr="00065144">
        <w:rPr>
          <w:rFonts w:cs="Times New Roman"/>
          <w:i/>
          <w:iCs/>
        </w:rPr>
        <w:t xml:space="preserve"> working in East Anglia</w:t>
      </w:r>
      <w:r>
        <w:rPr>
          <w:rFonts w:cs="Times New Roman"/>
          <w:i/>
          <w:iCs/>
        </w:rPr>
        <w:t xml:space="preserve"> who trained at UEA before and in/after 2016</w:t>
      </w:r>
      <w:r w:rsidR="007542A3" w:rsidRPr="00065144">
        <w:rPr>
          <w:rFonts w:cs="Times New Roman"/>
          <w:i/>
          <w:iCs/>
        </w:rPr>
        <w:t xml:space="preserve">? </w:t>
      </w:r>
    </w:p>
    <w:p w14:paraId="4BB6A112" w14:textId="77777777" w:rsidR="00576A17" w:rsidRPr="00576A17" w:rsidRDefault="00576A17" w:rsidP="00576A17"/>
    <w:p w14:paraId="317D74D5" w14:textId="3C9926B7" w:rsidR="005E64E2" w:rsidRPr="00065144" w:rsidRDefault="0027697F" w:rsidP="00BB24FC">
      <w:pPr>
        <w:pStyle w:val="Heading2"/>
        <w:rPr>
          <w:rFonts w:cs="Times New Roman"/>
        </w:rPr>
      </w:pPr>
      <w:r w:rsidRPr="00065144">
        <w:rPr>
          <w:rFonts w:cs="Times New Roman"/>
        </w:rPr>
        <w:lastRenderedPageBreak/>
        <w:t>Method</w:t>
      </w:r>
      <w:r w:rsidR="005E64E2" w:rsidRPr="00065144">
        <w:rPr>
          <w:rFonts w:cs="Times New Roman"/>
        </w:rPr>
        <w:t>s</w:t>
      </w:r>
    </w:p>
    <w:p w14:paraId="1E5DFEB8" w14:textId="77777777" w:rsidR="00F6234E" w:rsidRPr="00065144" w:rsidRDefault="00F6234E" w:rsidP="00F6234E">
      <w:pPr>
        <w:pStyle w:val="Heading3"/>
        <w:rPr>
          <w:rFonts w:cs="Times New Roman"/>
        </w:rPr>
      </w:pPr>
      <w:r w:rsidRPr="00065144">
        <w:rPr>
          <w:rFonts w:cs="Times New Roman"/>
        </w:rPr>
        <w:t>Design</w:t>
      </w:r>
    </w:p>
    <w:p w14:paraId="1701AC18" w14:textId="605A32FD" w:rsidR="00F6234E" w:rsidRPr="00065144" w:rsidRDefault="00F6234E" w:rsidP="00F6234E">
      <w:pPr>
        <w:pStyle w:val="Subtitle"/>
        <w:rPr>
          <w:rFonts w:cs="Times New Roman"/>
        </w:rPr>
      </w:pPr>
      <w:r w:rsidRPr="00065144">
        <w:rPr>
          <w:rFonts w:cs="Times New Roman"/>
        </w:rPr>
        <w:t xml:space="preserve">A cross-sectional online survey design was adopted, </w:t>
      </w:r>
      <w:r w:rsidRPr="00065144">
        <w:rPr>
          <w:rFonts w:cs="Times New Roman"/>
          <w:noProof/>
        </w:rPr>
        <w:t xml:space="preserve">as a component of the ongoing iterative process of quality improvement in the provision of neuropsychological teaching and learning in the UEA </w:t>
      </w:r>
      <w:r w:rsidR="00286541">
        <w:rPr>
          <w:rFonts w:cs="Times New Roman"/>
          <w:noProof/>
        </w:rPr>
        <w:t>P</w:t>
      </w:r>
      <w:r w:rsidRPr="00065144">
        <w:rPr>
          <w:rFonts w:cs="Times New Roman"/>
          <w:noProof/>
        </w:rPr>
        <w:t>rogramme.</w:t>
      </w:r>
    </w:p>
    <w:p w14:paraId="3633C0A1" w14:textId="77777777" w:rsidR="00F6234E" w:rsidRPr="00065144" w:rsidRDefault="00F6234E" w:rsidP="00F6234E">
      <w:pPr>
        <w:pStyle w:val="Heading3"/>
        <w:rPr>
          <w:rFonts w:cs="Times New Roman"/>
        </w:rPr>
      </w:pPr>
      <w:r w:rsidRPr="00065144">
        <w:rPr>
          <w:rFonts w:cs="Times New Roman"/>
        </w:rPr>
        <w:t>Participants</w:t>
      </w:r>
    </w:p>
    <w:p w14:paraId="7A71A4E5" w14:textId="685B73E7" w:rsidR="00F6234E" w:rsidRPr="008F34E5" w:rsidRDefault="005F0DCF" w:rsidP="00F6234E">
      <w:pPr>
        <w:pStyle w:val="Subtitle"/>
        <w:rPr>
          <w:rFonts w:cs="Times New Roman"/>
        </w:rPr>
      </w:pPr>
      <w:r>
        <w:rPr>
          <w:rFonts w:cs="Times New Roman"/>
        </w:rPr>
        <w:t xml:space="preserve">Due to the pilot nature of the evaluation, convenience sampling methods were adopted </w:t>
      </w:r>
      <w:r>
        <w:rPr>
          <w:rFonts w:cs="Times New Roman"/>
        </w:rPr>
        <w:fldChar w:fldCharType="begin" w:fldLock="1"/>
      </w:r>
      <w:r w:rsidR="00660A42">
        <w:rPr>
          <w:rFonts w:cs="Times New Roman"/>
        </w:rPr>
        <w:instrText>ADDIN CSL_CITATION {"citationItems":[{"id":"ITEM-1","itemData":{"DOI":"10.1145/3081016.3081020","ISSN":"10920811","PMID":"19248407","author":[{"dropping-particle":"","family":"Connelly","given":"Lynne M.","non-dropping-particle":"","parse-names":false,"suffix":""}],"container-title":"MEDSURG Nursing: Official Journal of the Academy of Medical-surgical Nurses","id":"ITEM-1","issue":"6","issued":{"date-parts":[["2008"]]},"page":"411-412","title":"Pilot studies","type":"article-journal","volume":"17"},"uris":["http://www.mendeley.com/documents/?uuid=b25b1994-f26d-4c63-8c7a-4623403ac382"]}],"mendeley":{"formattedCitation":"(Connelly, 2008)","plainTextFormattedCitation":"(Connelly, 2008)","previouslyFormattedCitation":"(Connelly, 2008)"},"properties":{"noteIndex":0},"schema":"https://github.com/citation-style-language/schema/raw/master/csl-citation.json"}</w:instrText>
      </w:r>
      <w:r>
        <w:rPr>
          <w:rFonts w:cs="Times New Roman"/>
        </w:rPr>
        <w:fldChar w:fldCharType="separate"/>
      </w:r>
      <w:r w:rsidRPr="005F0DCF">
        <w:rPr>
          <w:rFonts w:cs="Times New Roman"/>
          <w:noProof/>
        </w:rPr>
        <w:t>(Connelly, 2008)</w:t>
      </w:r>
      <w:r>
        <w:rPr>
          <w:rFonts w:cs="Times New Roman"/>
        </w:rPr>
        <w:fldChar w:fldCharType="end"/>
      </w:r>
      <w:r>
        <w:rPr>
          <w:rFonts w:cs="Times New Roman"/>
        </w:rPr>
        <w:t xml:space="preserve">. </w:t>
      </w:r>
      <w:r w:rsidR="00F6234E" w:rsidRPr="00065144">
        <w:rPr>
          <w:rFonts w:cs="Times New Roman"/>
        </w:rPr>
        <w:t xml:space="preserve">To participate in the survey, participants had to a) be a HCPC-registered Practitioner Psychologist; b) have trained at UEA; and c) be practising in East Anglia. The survey was open to all practitioners who met these criteria and was not limited to those working in neuropsychological settings or roles. </w:t>
      </w:r>
    </w:p>
    <w:p w14:paraId="74CFDF2C" w14:textId="77777777" w:rsidR="00F6234E" w:rsidRPr="00065144" w:rsidRDefault="00F6234E" w:rsidP="00F6234E">
      <w:pPr>
        <w:pStyle w:val="Heading3"/>
        <w:rPr>
          <w:rFonts w:cs="Times New Roman"/>
        </w:rPr>
      </w:pPr>
      <w:r w:rsidRPr="00065144">
        <w:rPr>
          <w:rFonts w:cs="Times New Roman"/>
        </w:rPr>
        <w:t>Measures</w:t>
      </w:r>
    </w:p>
    <w:p w14:paraId="65B19018" w14:textId="73E3E3FC" w:rsidR="00F6234E" w:rsidRPr="00065144" w:rsidRDefault="00E513B7" w:rsidP="00F6234E">
      <w:pPr>
        <w:rPr>
          <w:rFonts w:cs="Times New Roman"/>
        </w:rPr>
      </w:pPr>
      <w:r>
        <w:rPr>
          <w:rFonts w:cs="Times New Roman"/>
        </w:rPr>
        <w:t>Bespoke questions were</w:t>
      </w:r>
      <w:r w:rsidR="00F6234E" w:rsidRPr="00065144">
        <w:rPr>
          <w:rFonts w:cs="Times New Roman"/>
        </w:rPr>
        <w:t xml:space="preserve"> developed based on items available in relevant training materials, such as supervisor placement evaluation forms, trainee competency logbooks, the </w:t>
      </w:r>
      <w:proofErr w:type="spellStart"/>
      <w:r w:rsidR="00F6234E" w:rsidRPr="00065144">
        <w:rPr>
          <w:rFonts w:cs="Times New Roman"/>
        </w:rPr>
        <w:t>QiCN</w:t>
      </w:r>
      <w:proofErr w:type="spellEnd"/>
      <w:r w:rsidR="00F6234E" w:rsidRPr="00065144">
        <w:rPr>
          <w:rFonts w:cs="Times New Roman"/>
        </w:rPr>
        <w:t xml:space="preserve"> Handbook </w:t>
      </w:r>
      <w:r w:rsidR="00F6234E" w:rsidRPr="00065144">
        <w:rPr>
          <w:rFonts w:cs="Times New Roman"/>
        </w:rPr>
        <w:fldChar w:fldCharType="begin" w:fldLock="1"/>
      </w:r>
      <w:r w:rsidR="00F6234E" w:rsidRPr="00065144">
        <w:rPr>
          <w:rFonts w:cs="Times New Roman"/>
        </w:rPr>
        <w:instrText>ADDIN CSL_CITATION {"citationItems":[{"id":"ITEM-1","itemData":{"author":[{"dropping-particle":"","family":"British Psychological Society","given":"","non-dropping-particle":"","parse-names":false,"suffix":""}],"id":"ITEM-1","issue":"February","issued":{"date-parts":[["2016"]]},"number-of-pages":"1-50","publisher-place":"Leicester","title":"Qualification in Clinical Neuropsychology Candidate Handbook","type":"report"},"uris":["http://www.mendeley.com/documents/?uuid=36411874-81f2-44f8-b8cb-fc4713157132"]}],"mendeley":{"formattedCitation":"(British Psychological Society, 2016)","manualFormatting":"(BPS, 2016)","plainTextFormattedCitation":"(British Psychological Society, 2016)","previouslyFormattedCitation":"(British Psychological Society, 2016)"},"properties":{"noteIndex":0},"schema":"https://github.com/citation-style-language/schema/raw/master/csl-citation.json"}</w:instrText>
      </w:r>
      <w:r w:rsidR="00F6234E" w:rsidRPr="00065144">
        <w:rPr>
          <w:rFonts w:cs="Times New Roman"/>
        </w:rPr>
        <w:fldChar w:fldCharType="separate"/>
      </w:r>
      <w:r w:rsidR="00F6234E" w:rsidRPr="00065144">
        <w:rPr>
          <w:rFonts w:cs="Times New Roman"/>
          <w:noProof/>
        </w:rPr>
        <w:t>(BPS, 2016)</w:t>
      </w:r>
      <w:r w:rsidR="00F6234E" w:rsidRPr="00065144">
        <w:rPr>
          <w:rFonts w:cs="Times New Roman"/>
        </w:rPr>
        <w:fldChar w:fldCharType="end"/>
      </w:r>
      <w:r w:rsidR="00F6234E" w:rsidRPr="00065144">
        <w:rPr>
          <w:rFonts w:cs="Times New Roman"/>
        </w:rPr>
        <w:t xml:space="preserve">, and the </w:t>
      </w:r>
      <w:proofErr w:type="spellStart"/>
      <w:r w:rsidR="00F6234E" w:rsidRPr="00065144">
        <w:rPr>
          <w:rFonts w:cs="Times New Roman"/>
        </w:rPr>
        <w:t>DoN</w:t>
      </w:r>
      <w:proofErr w:type="spellEnd"/>
      <w:r w:rsidR="00F6234E" w:rsidRPr="00065144">
        <w:rPr>
          <w:rFonts w:cs="Times New Roman"/>
        </w:rPr>
        <w:t xml:space="preserve"> Competency Framework (</w:t>
      </w:r>
      <w:r w:rsidR="00F6234E" w:rsidRPr="00065144">
        <w:rPr>
          <w:rFonts w:cs="Times New Roman"/>
        </w:rPr>
        <w:fldChar w:fldCharType="begin" w:fldLock="1"/>
      </w:r>
      <w:r w:rsidR="00F6234E" w:rsidRPr="00065144">
        <w:rPr>
          <w:rFonts w:cs="Times New Roman"/>
        </w:rPr>
        <w:instrText>ADDIN CSL_CITATION {"citationItems":[{"id":"ITEM-1","itemData":{"author":[{"dropping-particle":"","family":"British Psychological Society","given":"","non-dropping-particle":"","parse-names":false,"suffix":""}],"id":"ITEM-1","issued":{"date-parts":[["2020"]]},"publisher-place":"Leicester","title":"Guidance for BPS accredited neuropsychology training programmes in relation to the Covid-19 outbreak","type":"report"},"uris":["http://www.mendeley.com/documents/?uuid=223528d7-a433-49fe-8a65-5ac90dac7c8e"]}],"mendeley":{"formattedCitation":"(British Psychological Society, 2020)","manualFormatting":"BPS, 2020)","plainTextFormattedCitation":"(British Psychological Society, 2020)","previouslyFormattedCitation":"(British Psychological Society, 2020)"},"properties":{"noteIndex":0},"schema":"https://github.com/citation-style-language/schema/raw/master/csl-citation.json"}</w:instrText>
      </w:r>
      <w:r w:rsidR="00F6234E" w:rsidRPr="00065144">
        <w:rPr>
          <w:rFonts w:cs="Times New Roman"/>
        </w:rPr>
        <w:fldChar w:fldCharType="separate"/>
      </w:r>
      <w:r w:rsidR="00F6234E" w:rsidRPr="00065144">
        <w:rPr>
          <w:rFonts w:cs="Times New Roman"/>
          <w:noProof/>
        </w:rPr>
        <w:t>BPS, 2020)</w:t>
      </w:r>
      <w:r w:rsidR="00F6234E" w:rsidRPr="00065144">
        <w:rPr>
          <w:rFonts w:cs="Times New Roman"/>
        </w:rPr>
        <w:fldChar w:fldCharType="end"/>
      </w:r>
      <w:r w:rsidR="00F6234E" w:rsidRPr="00065144">
        <w:rPr>
          <w:rFonts w:cs="Times New Roman"/>
        </w:rPr>
        <w:t xml:space="preserve">. </w:t>
      </w:r>
      <w:r w:rsidR="00F6234E">
        <w:rPr>
          <w:rFonts w:cs="Times New Roman"/>
        </w:rPr>
        <w:t>M</w:t>
      </w:r>
      <w:r w:rsidR="00F6234E" w:rsidRPr="00065144">
        <w:rPr>
          <w:rFonts w:cs="Times New Roman"/>
        </w:rPr>
        <w:t xml:space="preserve">easures of competency and confidence used in similar studies in psychology and cognate fields (e.g., medicine and allied health professions) were explored to improve the wording of questions. </w:t>
      </w:r>
    </w:p>
    <w:p w14:paraId="67F1E553" w14:textId="539F0043" w:rsidR="00F6234E" w:rsidRDefault="00F6234E" w:rsidP="00F6234E">
      <w:r>
        <w:t xml:space="preserve">The final version of the survey was divided conceptually into two parts. The first included questions around participants’ </w:t>
      </w:r>
      <w:r w:rsidRPr="00AE1C37">
        <w:t>demographic and professional information</w:t>
      </w:r>
      <w:r>
        <w:t xml:space="preserve">, </w:t>
      </w:r>
      <w:r w:rsidRPr="00AE1C37">
        <w:t>pre-</w:t>
      </w:r>
      <w:r w:rsidR="00C6645A">
        <w:t xml:space="preserve"> and post-</w:t>
      </w:r>
      <w:r w:rsidRPr="00AE1C37">
        <w:t xml:space="preserve">training </w:t>
      </w:r>
      <w:r w:rsidR="00D107A3">
        <w:t>perceived competency and confidence</w:t>
      </w:r>
      <w:r>
        <w:t xml:space="preserve"> in neuropsychology, </w:t>
      </w:r>
      <w:r w:rsidR="00C6645A">
        <w:t xml:space="preserve">and </w:t>
      </w:r>
      <w:r>
        <w:t xml:space="preserve">the </w:t>
      </w:r>
      <w:r w:rsidR="00010B5F">
        <w:t>extent of neuropsychological training</w:t>
      </w:r>
      <w:r w:rsidR="007C6A8A">
        <w:t xml:space="preserve"> available</w:t>
      </w:r>
      <w:r w:rsidR="00010B5F">
        <w:t xml:space="preserve"> while at UEA (including</w:t>
      </w:r>
      <w:r w:rsidRPr="00E25892">
        <w:t xml:space="preserve"> specialist placements</w:t>
      </w:r>
      <w:r w:rsidR="00010B5F">
        <w:t>)</w:t>
      </w:r>
      <w:r>
        <w:t xml:space="preserve">. These </w:t>
      </w:r>
      <w:r>
        <w:lastRenderedPageBreak/>
        <w:t xml:space="preserve">questions were included to characterise the sample and were based on a combination of multiple choice and </w:t>
      </w:r>
      <w:r w:rsidR="000605E3">
        <w:t>free text</w:t>
      </w:r>
      <w:r>
        <w:t xml:space="preserve"> answers.</w:t>
      </w:r>
    </w:p>
    <w:p w14:paraId="45F77D9D" w14:textId="21D56E0E" w:rsidR="00F6234E" w:rsidRDefault="00F6234E" w:rsidP="00F6234E">
      <w:r>
        <w:t>The second part of the survey consisted of 52 questions</w:t>
      </w:r>
      <w:r w:rsidR="000A4B3B">
        <w:t xml:space="preserve">, </w:t>
      </w:r>
      <w:r>
        <w:t>includ</w:t>
      </w:r>
      <w:r w:rsidR="000A4B3B">
        <w:t xml:space="preserve">ing </w:t>
      </w:r>
      <w:r>
        <w:t xml:space="preserve">39 questions about self-rated </w:t>
      </w:r>
      <w:r w:rsidR="001900C7">
        <w:t xml:space="preserve">fundamental </w:t>
      </w:r>
      <w:r>
        <w:t>neuropsychological competency (i.e., 10 knowledge areas + 29 skills) and 13 about self-rated neuropsychological confidence in core neuropsychological activities. These were all rated on 5-point Likert-style answers informed by UEA training materials and structured as following: ‘Not Developed’ (1), ‘Slightly Developed’ (2), ‘Moderately Developed’ (3), ‘Well Developed (4), and ‘Very Well Developed’ (5).</w:t>
      </w:r>
      <w:r w:rsidR="00613961">
        <w:t xml:space="preserve"> See </w:t>
      </w:r>
      <w:r w:rsidR="00E45CEE">
        <w:t>Appendix A</w:t>
      </w:r>
      <w:r w:rsidR="00DC2EC4">
        <w:t xml:space="preserve"> (</w:t>
      </w:r>
      <w:hyperlink r:id="rId8" w:history="1">
        <w:r w:rsidR="00DC2EC4" w:rsidRPr="00DC2EC4">
          <w:rPr>
            <w:rStyle w:val="Hyperlink"/>
          </w:rPr>
          <w:t>https://osf.io/7uvyh</w:t>
        </w:r>
      </w:hyperlink>
      <w:r w:rsidR="00DC2EC4">
        <w:t>)</w:t>
      </w:r>
      <w:r w:rsidR="00613961">
        <w:t xml:space="preserve"> for a list of the competency and confidence questions.</w:t>
      </w:r>
    </w:p>
    <w:p w14:paraId="429ACF6B" w14:textId="77777777" w:rsidR="00F6234E" w:rsidRPr="00065144" w:rsidRDefault="00F6234E" w:rsidP="00F6234E">
      <w:pPr>
        <w:pStyle w:val="Heading3"/>
        <w:rPr>
          <w:rFonts w:cs="Times New Roman"/>
        </w:rPr>
      </w:pPr>
      <w:r w:rsidRPr="00065144">
        <w:rPr>
          <w:rFonts w:cs="Times New Roman"/>
        </w:rPr>
        <w:t>Procedure</w:t>
      </w:r>
    </w:p>
    <w:p w14:paraId="48141E7A" w14:textId="513824A2" w:rsidR="00F6234E" w:rsidRPr="00065144" w:rsidRDefault="00F6234E" w:rsidP="00F6234E">
      <w:pPr>
        <w:pStyle w:val="Subtitle"/>
        <w:rPr>
          <w:rFonts w:cs="Times New Roman"/>
        </w:rPr>
      </w:pPr>
      <w:r w:rsidRPr="00065144">
        <w:rPr>
          <w:rFonts w:cs="Times New Roman"/>
        </w:rPr>
        <w:t xml:space="preserve">Potential participants were approached directly via email, a specific </w:t>
      </w:r>
      <w:proofErr w:type="spellStart"/>
      <w:r w:rsidRPr="00065144">
        <w:rPr>
          <w:rFonts w:cs="Times New Roman"/>
        </w:rPr>
        <w:t>JISCMail</w:t>
      </w:r>
      <w:proofErr w:type="spellEnd"/>
      <w:r w:rsidRPr="00065144">
        <w:rPr>
          <w:rFonts w:cs="Times New Roman"/>
        </w:rPr>
        <w:t xml:space="preserve"> listserv group for clinical supervisors in the region, and social media (e.g., Twitter). Any communication described the purpose of the survey and a link </w:t>
      </w:r>
      <w:r>
        <w:rPr>
          <w:rFonts w:cs="Times New Roman"/>
        </w:rPr>
        <w:t>to access the study</w:t>
      </w:r>
      <w:r w:rsidRPr="00065144">
        <w:rPr>
          <w:rFonts w:cs="Times New Roman"/>
        </w:rPr>
        <w:t xml:space="preserve">. Formal and informal professional groups – such as the East England branch of the Division of Clinical Psychology (DCP), the </w:t>
      </w:r>
      <w:proofErr w:type="spellStart"/>
      <w:r w:rsidRPr="00065144">
        <w:rPr>
          <w:rFonts w:cs="Times New Roman"/>
        </w:rPr>
        <w:t>DoN</w:t>
      </w:r>
      <w:proofErr w:type="spellEnd"/>
      <w:r w:rsidRPr="00065144">
        <w:rPr>
          <w:rFonts w:cs="Times New Roman"/>
        </w:rPr>
        <w:t>,</w:t>
      </w:r>
      <w:r>
        <w:rPr>
          <w:rFonts w:cs="Times New Roman"/>
        </w:rPr>
        <w:t xml:space="preserve"> the Faculty of Psychology of Older People (FPOP),</w:t>
      </w:r>
      <w:r w:rsidRPr="00065144">
        <w:rPr>
          <w:rFonts w:cs="Times New Roman"/>
        </w:rPr>
        <w:t xml:space="preserve"> and the Neuropsychology Special Interest Group of East Anglia (EANPSIG) – were approached to help disseminate the survey</w:t>
      </w:r>
      <w:r w:rsidR="00DC2EC4">
        <w:rPr>
          <w:rFonts w:cs="Times New Roman"/>
        </w:rPr>
        <w:t>.</w:t>
      </w:r>
    </w:p>
    <w:p w14:paraId="4A4C8C46" w14:textId="66894A2B" w:rsidR="005D3855" w:rsidRDefault="00F6234E" w:rsidP="005D3855">
      <w:r w:rsidRPr="00065144">
        <w:rPr>
          <w:rFonts w:cs="Times New Roman"/>
        </w:rPr>
        <w:t>The survey was hosted on the Qualtrics</w:t>
      </w:r>
      <w:r w:rsidRPr="00065144">
        <w:rPr>
          <w:rFonts w:cs="Times New Roman"/>
          <w:vertAlign w:val="superscript"/>
        </w:rPr>
        <w:t>®</w:t>
      </w:r>
      <w:r w:rsidRPr="00065144">
        <w:rPr>
          <w:rFonts w:cs="Times New Roman"/>
        </w:rPr>
        <w:t xml:space="preserve"> platform and took 10 to 20 minutes to complete. Data were collected between July and November 2021. Participants were able to withdraw at any time before completing the survey. As all questions had to be answered for the survey to be submitted, no incomplete responses were stored.</w:t>
      </w:r>
    </w:p>
    <w:p w14:paraId="1F7BF3EB" w14:textId="77777777" w:rsidR="005D3855" w:rsidRPr="005D3855" w:rsidRDefault="005D3855" w:rsidP="005D3855"/>
    <w:p w14:paraId="5B25B853" w14:textId="77777777" w:rsidR="008B5989" w:rsidRPr="008B5989" w:rsidRDefault="008B5989" w:rsidP="005D3855">
      <w:pPr>
        <w:pStyle w:val="Subtitle"/>
      </w:pPr>
    </w:p>
    <w:p w14:paraId="68995BFA" w14:textId="77777777" w:rsidR="00F6234E" w:rsidRPr="00065144" w:rsidRDefault="00F6234E" w:rsidP="00F6234E">
      <w:pPr>
        <w:pStyle w:val="Heading3"/>
        <w:rPr>
          <w:rFonts w:cs="Times New Roman"/>
        </w:rPr>
      </w:pPr>
      <w:r w:rsidRPr="00065144">
        <w:rPr>
          <w:rFonts w:cs="Times New Roman"/>
        </w:rPr>
        <w:lastRenderedPageBreak/>
        <w:t>Ethic</w:t>
      </w:r>
      <w:r>
        <w:rPr>
          <w:rFonts w:cs="Times New Roman"/>
        </w:rPr>
        <w:t>s Approval</w:t>
      </w:r>
      <w:r w:rsidRPr="00065144">
        <w:rPr>
          <w:rFonts w:cs="Times New Roman"/>
        </w:rPr>
        <w:t xml:space="preserve"> </w:t>
      </w:r>
    </w:p>
    <w:p w14:paraId="2497F59B" w14:textId="45753647" w:rsidR="009E601A" w:rsidRPr="00065144" w:rsidRDefault="000604D5" w:rsidP="00F6234E">
      <w:pPr>
        <w:pStyle w:val="Subtitle"/>
        <w:rPr>
          <w:rFonts w:cs="Times New Roman"/>
        </w:rPr>
      </w:pPr>
      <w:r>
        <w:rPr>
          <w:rFonts w:cs="Times New Roman"/>
        </w:rPr>
        <w:t>P</w:t>
      </w:r>
      <w:r w:rsidRPr="00065144">
        <w:rPr>
          <w:rFonts w:cs="Times New Roman"/>
        </w:rPr>
        <w:t>rior to beginning the data collection</w:t>
      </w:r>
      <w:r>
        <w:rPr>
          <w:rFonts w:cs="Times New Roman"/>
        </w:rPr>
        <w:t>,</w:t>
      </w:r>
      <w:r w:rsidRPr="00065144">
        <w:rPr>
          <w:rFonts w:cs="Times New Roman"/>
        </w:rPr>
        <w:t xml:space="preserve"> </w:t>
      </w:r>
      <w:r>
        <w:rPr>
          <w:rFonts w:cs="Times New Roman"/>
        </w:rPr>
        <w:t>a</w:t>
      </w:r>
      <w:r w:rsidR="00D107A3">
        <w:rPr>
          <w:rFonts w:cs="Times New Roman"/>
        </w:rPr>
        <w:t xml:space="preserve">n </w:t>
      </w:r>
      <w:r w:rsidR="00F6234E" w:rsidRPr="00065144">
        <w:rPr>
          <w:rFonts w:cs="Times New Roman"/>
        </w:rPr>
        <w:t>evaluation project approval was sought and obtained from the Chair of the Faculty of Medicine and Health Ethics Committee (FMHREC) at UEA</w:t>
      </w:r>
      <w:r>
        <w:rPr>
          <w:rFonts w:cs="Times New Roman"/>
        </w:rPr>
        <w:t xml:space="preserve"> (R</w:t>
      </w:r>
      <w:r w:rsidR="00EA7349">
        <w:rPr>
          <w:rFonts w:cs="Times New Roman"/>
        </w:rPr>
        <w:t>ef</w:t>
      </w:r>
      <w:r>
        <w:rPr>
          <w:rFonts w:cs="Times New Roman"/>
        </w:rPr>
        <w:t xml:space="preserve">: </w:t>
      </w:r>
      <w:r w:rsidRPr="000604D5">
        <w:rPr>
          <w:rFonts w:cs="Times New Roman"/>
        </w:rPr>
        <w:t>2020/21-141</w:t>
      </w:r>
      <w:r>
        <w:rPr>
          <w:rFonts w:cs="Times New Roman"/>
        </w:rPr>
        <w:t>)</w:t>
      </w:r>
      <w:r w:rsidR="00F6234E" w:rsidRPr="00065144">
        <w:rPr>
          <w:rFonts w:cs="Times New Roman"/>
        </w:rPr>
        <w:t xml:space="preserve">. </w:t>
      </w:r>
      <w:r w:rsidR="00F6234E">
        <w:rPr>
          <w:rFonts w:cs="Times New Roman"/>
        </w:rPr>
        <w:t>P</w:t>
      </w:r>
      <w:r w:rsidR="00F6234E" w:rsidRPr="00065144">
        <w:rPr>
          <w:rFonts w:cs="Times New Roman"/>
        </w:rPr>
        <w:t>articipants</w:t>
      </w:r>
      <w:r w:rsidR="00F6234E">
        <w:rPr>
          <w:rFonts w:cs="Times New Roman"/>
        </w:rPr>
        <w:t>’ responses were provided anonymously.</w:t>
      </w:r>
      <w:r w:rsidR="00F6234E" w:rsidRPr="00065144">
        <w:rPr>
          <w:rFonts w:cs="Times New Roman"/>
        </w:rPr>
        <w:t xml:space="preserve"> </w:t>
      </w:r>
      <w:r w:rsidR="00F6234E" w:rsidRPr="00065144">
        <w:rPr>
          <w:rFonts w:cs="Times New Roman"/>
          <w:noProof/>
        </w:rPr>
        <w:t xml:space="preserve">All participants provided </w:t>
      </w:r>
      <w:r w:rsidR="00F6234E">
        <w:rPr>
          <w:rFonts w:cs="Times New Roman"/>
          <w:noProof/>
        </w:rPr>
        <w:t xml:space="preserve">written </w:t>
      </w:r>
      <w:r w:rsidR="00F6234E" w:rsidRPr="00065144">
        <w:rPr>
          <w:rFonts w:cs="Times New Roman"/>
          <w:noProof/>
        </w:rPr>
        <w:t>informed consent</w:t>
      </w:r>
      <w:r w:rsidR="000669C2" w:rsidRPr="00065144">
        <w:rPr>
          <w:rFonts w:cs="Times New Roman"/>
        </w:rPr>
        <w:t>.</w:t>
      </w:r>
    </w:p>
    <w:p w14:paraId="7542B4C5" w14:textId="0A46B67F" w:rsidR="002779FE" w:rsidRPr="00065144" w:rsidRDefault="002779FE" w:rsidP="00BB24FC">
      <w:pPr>
        <w:pStyle w:val="Heading2"/>
        <w:rPr>
          <w:rFonts w:cs="Times New Roman"/>
        </w:rPr>
      </w:pPr>
      <w:r w:rsidRPr="00065144">
        <w:rPr>
          <w:rFonts w:cs="Times New Roman"/>
        </w:rPr>
        <w:t>Results</w:t>
      </w:r>
    </w:p>
    <w:p w14:paraId="217A8CE1" w14:textId="08088984" w:rsidR="00481917" w:rsidRPr="00065144" w:rsidRDefault="008B5989" w:rsidP="004436C7">
      <w:pPr>
        <w:pStyle w:val="Subtitle"/>
        <w:rPr>
          <w:rFonts w:cs="Times New Roman"/>
        </w:rPr>
      </w:pPr>
      <w:r w:rsidRPr="00065144">
        <w:rPr>
          <w:rFonts w:cs="Times New Roman"/>
        </w:rPr>
        <w:t xml:space="preserve">In total, 76 participants completed the survey. Of these, 62 (81.16%) had started clinical training before 2016, while 14 (18.4%) had started in 2016 or afterwards. </w:t>
      </w:r>
      <w:r w:rsidR="00E45CEE">
        <w:rPr>
          <w:rFonts w:cs="Times New Roman"/>
        </w:rPr>
        <w:t xml:space="preserve">This discrepancy was most likely due to the fact that, at the time of the data collection, only three cohorts had had the opportunity to qualify since the introduction of the changes, thus limiting the number of potential post-2016 participants who had also remained to </w:t>
      </w:r>
      <w:r w:rsidR="008879E9">
        <w:rPr>
          <w:rFonts w:cs="Times New Roman"/>
        </w:rPr>
        <w:t>practise as clinical psychologists</w:t>
      </w:r>
      <w:r w:rsidR="00E45CEE">
        <w:rPr>
          <w:rFonts w:cs="Times New Roman"/>
        </w:rPr>
        <w:t xml:space="preserve"> in East Anglia. </w:t>
      </w:r>
      <w:r w:rsidRPr="00065144">
        <w:rPr>
          <w:rFonts w:cs="Times New Roman"/>
        </w:rPr>
        <w:t>The whole sample included 66 females (86.8%) and 10 males (13.2%), with most falling within the 30-39  age range</w:t>
      </w:r>
      <w:r w:rsidR="00AE370D">
        <w:rPr>
          <w:rFonts w:cs="Times New Roman"/>
        </w:rPr>
        <w:t xml:space="preserve"> </w:t>
      </w:r>
      <w:r w:rsidR="00AE370D" w:rsidRPr="00065144">
        <w:rPr>
          <w:rFonts w:cs="Times New Roman"/>
        </w:rPr>
        <w:t>(</w:t>
      </w:r>
      <w:r w:rsidR="00AE370D">
        <w:rPr>
          <w:rFonts w:cs="Times New Roman"/>
          <w:i/>
          <w:iCs/>
        </w:rPr>
        <w:t>n</w:t>
      </w:r>
      <w:r w:rsidR="00AE370D" w:rsidRPr="00065144">
        <w:rPr>
          <w:rFonts w:cs="Times New Roman"/>
        </w:rPr>
        <w:t xml:space="preserve"> = 35, 46.1%</w:t>
      </w:r>
      <w:r w:rsidR="00AE370D">
        <w:rPr>
          <w:rFonts w:cs="Times New Roman"/>
        </w:rPr>
        <w:t xml:space="preserve">, </w:t>
      </w:r>
      <w:r w:rsidR="00AE370D" w:rsidRPr="009943AE">
        <w:rPr>
          <w:rFonts w:cs="Times New Roman"/>
          <w:i/>
          <w:iCs/>
        </w:rPr>
        <w:t>N</w:t>
      </w:r>
      <w:r w:rsidR="00AE370D">
        <w:rPr>
          <w:rFonts w:cs="Times New Roman"/>
        </w:rPr>
        <w:t xml:space="preserve"> = 76</w:t>
      </w:r>
      <w:r w:rsidR="00AE370D" w:rsidRPr="008E3897">
        <w:rPr>
          <w:rStyle w:val="FootnoteReference"/>
        </w:rPr>
        <w:footnoteReference w:id="3"/>
      </w:r>
      <w:r w:rsidR="00AE370D" w:rsidRPr="00065144">
        <w:rPr>
          <w:rFonts w:cs="Times New Roman"/>
        </w:rPr>
        <w:t>)</w:t>
      </w:r>
      <w:r w:rsidRPr="00065144">
        <w:rPr>
          <w:rFonts w:cs="Times New Roman"/>
        </w:rPr>
        <w:t xml:space="preserve">. All 76 participants identified with the gender they had been assigned at birth. </w:t>
      </w:r>
      <w:r>
        <w:rPr>
          <w:rFonts w:cs="Times New Roman"/>
        </w:rPr>
        <w:t>As summarised in Table 1, t</w:t>
      </w:r>
      <w:r w:rsidRPr="00065144">
        <w:rPr>
          <w:rFonts w:cs="Times New Roman"/>
        </w:rPr>
        <w:t>he majority (</w:t>
      </w:r>
      <w:r>
        <w:rPr>
          <w:rFonts w:cs="Times New Roman"/>
          <w:i/>
          <w:iCs/>
        </w:rPr>
        <w:t>n</w:t>
      </w:r>
      <w:r w:rsidRPr="00065144">
        <w:rPr>
          <w:rFonts w:cs="Times New Roman"/>
        </w:rPr>
        <w:t xml:space="preserve"> = 71, 93.4%</w:t>
      </w:r>
      <w:r>
        <w:rPr>
          <w:rFonts w:cs="Times New Roman"/>
        </w:rPr>
        <w:t xml:space="preserve">, </w:t>
      </w:r>
      <w:r w:rsidRPr="00322F84">
        <w:rPr>
          <w:rFonts w:cs="Times New Roman"/>
          <w:i/>
          <w:iCs/>
        </w:rPr>
        <w:t>N</w:t>
      </w:r>
      <w:r>
        <w:rPr>
          <w:rFonts w:cs="Times New Roman"/>
        </w:rPr>
        <w:t xml:space="preserve"> = 76</w:t>
      </w:r>
      <w:r w:rsidRPr="00065144">
        <w:rPr>
          <w:rFonts w:cs="Times New Roman"/>
        </w:rPr>
        <w:t xml:space="preserve">) were employed as </w:t>
      </w:r>
      <w:r>
        <w:rPr>
          <w:rFonts w:cs="Times New Roman"/>
        </w:rPr>
        <w:t>c</w:t>
      </w:r>
      <w:r w:rsidRPr="00065144">
        <w:rPr>
          <w:rFonts w:cs="Times New Roman"/>
        </w:rPr>
        <w:t xml:space="preserve">linical </w:t>
      </w:r>
      <w:r>
        <w:rPr>
          <w:rFonts w:cs="Times New Roman"/>
        </w:rPr>
        <w:t>p</w:t>
      </w:r>
      <w:r w:rsidRPr="00065144">
        <w:rPr>
          <w:rFonts w:cs="Times New Roman"/>
        </w:rPr>
        <w:t>sychologists in the National Health Service (NHS) in a community setting (</w:t>
      </w:r>
      <w:r>
        <w:rPr>
          <w:rFonts w:cs="Times New Roman"/>
          <w:i/>
          <w:iCs/>
        </w:rPr>
        <w:t>n</w:t>
      </w:r>
      <w:r>
        <w:rPr>
          <w:rFonts w:cs="Times New Roman"/>
        </w:rPr>
        <w:t xml:space="preserve"> </w:t>
      </w:r>
      <w:r w:rsidRPr="00065144">
        <w:rPr>
          <w:rFonts w:cs="Times New Roman"/>
        </w:rPr>
        <w:t>= 63, 82.9%</w:t>
      </w:r>
      <w:r>
        <w:rPr>
          <w:rFonts w:cs="Times New Roman"/>
        </w:rPr>
        <w:t xml:space="preserve">, </w:t>
      </w:r>
      <w:r w:rsidRPr="009943AE">
        <w:rPr>
          <w:rFonts w:cs="Times New Roman"/>
          <w:i/>
          <w:iCs/>
        </w:rPr>
        <w:t>N</w:t>
      </w:r>
      <w:r>
        <w:rPr>
          <w:rFonts w:cs="Times New Roman"/>
        </w:rPr>
        <w:t xml:space="preserve"> = 76</w:t>
      </w:r>
      <w:r w:rsidRPr="00065144">
        <w:rPr>
          <w:rFonts w:cs="Times New Roman"/>
        </w:rPr>
        <w:t>), with Child</w:t>
      </w:r>
      <w:r>
        <w:rPr>
          <w:rFonts w:cs="Times New Roman"/>
        </w:rPr>
        <w:t xml:space="preserve"> </w:t>
      </w:r>
      <w:r w:rsidRPr="00065144">
        <w:rPr>
          <w:rFonts w:cs="Times New Roman"/>
        </w:rPr>
        <w:t>and Adolescent services being the most represented (</w:t>
      </w:r>
      <w:r>
        <w:rPr>
          <w:rFonts w:cs="Times New Roman"/>
          <w:i/>
          <w:iCs/>
        </w:rPr>
        <w:t>n</w:t>
      </w:r>
      <w:r w:rsidRPr="00065144">
        <w:rPr>
          <w:rFonts w:cs="Times New Roman"/>
        </w:rPr>
        <w:t xml:space="preserve"> = 23, 30.3%</w:t>
      </w:r>
      <w:r>
        <w:rPr>
          <w:rFonts w:cs="Times New Roman"/>
        </w:rPr>
        <w:t xml:space="preserve">, </w:t>
      </w:r>
      <w:r w:rsidRPr="009943AE">
        <w:rPr>
          <w:rFonts w:cs="Times New Roman"/>
          <w:i/>
          <w:iCs/>
        </w:rPr>
        <w:t>N</w:t>
      </w:r>
      <w:r>
        <w:rPr>
          <w:rFonts w:cs="Times New Roman"/>
        </w:rPr>
        <w:t xml:space="preserve"> = 76</w:t>
      </w:r>
      <w:r w:rsidRPr="00065144">
        <w:rPr>
          <w:rFonts w:cs="Times New Roman"/>
        </w:rPr>
        <w:t>). On average, participants had been in post for two or three years and spent around 10% of their time doing neuropsychological work (</w:t>
      </w:r>
      <w:r>
        <w:rPr>
          <w:rFonts w:cs="Times New Roman"/>
          <w:i/>
          <w:iCs/>
        </w:rPr>
        <w:t>n</w:t>
      </w:r>
      <w:r w:rsidRPr="00065144">
        <w:rPr>
          <w:rFonts w:cs="Times New Roman"/>
        </w:rPr>
        <w:t xml:space="preserve"> = 34, 44.7%</w:t>
      </w:r>
      <w:r>
        <w:rPr>
          <w:rFonts w:cs="Times New Roman"/>
        </w:rPr>
        <w:t xml:space="preserve">, </w:t>
      </w:r>
      <w:r w:rsidRPr="009943AE">
        <w:rPr>
          <w:rFonts w:cs="Times New Roman"/>
          <w:i/>
          <w:iCs/>
        </w:rPr>
        <w:t>N</w:t>
      </w:r>
      <w:r>
        <w:rPr>
          <w:rFonts w:cs="Times New Roman"/>
        </w:rPr>
        <w:t xml:space="preserve"> = 76</w:t>
      </w:r>
      <w:r w:rsidRPr="00065144">
        <w:rPr>
          <w:rFonts w:cs="Times New Roman"/>
        </w:rPr>
        <w:t>)</w:t>
      </w:r>
      <w:r w:rsidR="00D40F59" w:rsidRPr="00065144">
        <w:rPr>
          <w:rFonts w:cs="Times New Roman"/>
        </w:rPr>
        <w:t xml:space="preserve">. </w:t>
      </w:r>
    </w:p>
    <w:p w14:paraId="110F4651" w14:textId="3FF2797D" w:rsidR="00C20FF8" w:rsidRPr="00065144" w:rsidRDefault="00C20FF8" w:rsidP="00C20FF8">
      <w:pPr>
        <w:pStyle w:val="Heading3"/>
        <w:rPr>
          <w:rFonts w:cs="Times New Roman"/>
        </w:rPr>
      </w:pPr>
      <w:r w:rsidRPr="00065144">
        <w:rPr>
          <w:rFonts w:cs="Times New Roman"/>
        </w:rPr>
        <w:lastRenderedPageBreak/>
        <w:t>Analysis</w:t>
      </w:r>
    </w:p>
    <w:p w14:paraId="50AF92DF" w14:textId="0DCA1D7F" w:rsidR="00AE370D" w:rsidRDefault="00535852" w:rsidP="00AE370D">
      <w:pPr>
        <w:pStyle w:val="Subtitle"/>
        <w:rPr>
          <w:rFonts w:cs="Times New Roman"/>
        </w:rPr>
      </w:pPr>
      <w:r w:rsidRPr="00065144">
        <w:rPr>
          <w:rFonts w:cs="Times New Roman"/>
        </w:rPr>
        <w:t xml:space="preserve">Due to the large discrepancy between the pre-2016 and post-2016 group sizes (62 v. 14), no between-group inferential analysis </w:t>
      </w:r>
      <w:r>
        <w:rPr>
          <w:rFonts w:cs="Times New Roman"/>
        </w:rPr>
        <w:t>could be</w:t>
      </w:r>
      <w:r w:rsidRPr="00065144">
        <w:rPr>
          <w:rFonts w:cs="Times New Roman"/>
        </w:rPr>
        <w:t xml:space="preserve"> carried out. </w:t>
      </w:r>
      <w:r>
        <w:rPr>
          <w:rFonts w:cs="Times New Roman"/>
        </w:rPr>
        <w:t xml:space="preserve">Descriptive statistics </w:t>
      </w:r>
      <w:r w:rsidR="00071608">
        <w:rPr>
          <w:rFonts w:cs="Times New Roman"/>
        </w:rPr>
        <w:t>including summaries and plots</w:t>
      </w:r>
      <w:r>
        <w:rPr>
          <w:rFonts w:cs="Times New Roman"/>
        </w:rPr>
        <w:t xml:space="preserve"> </w:t>
      </w:r>
      <w:r w:rsidRPr="00065144">
        <w:rPr>
          <w:rFonts w:cs="Times New Roman"/>
        </w:rPr>
        <w:t xml:space="preserve">were </w:t>
      </w:r>
      <w:r w:rsidR="00071608">
        <w:rPr>
          <w:rFonts w:cs="Times New Roman"/>
        </w:rPr>
        <w:t xml:space="preserve">instead </w:t>
      </w:r>
      <w:r w:rsidRPr="00065144">
        <w:rPr>
          <w:rFonts w:cs="Times New Roman"/>
        </w:rPr>
        <w:t xml:space="preserve">used to characterise the self-rated competency and confidence </w:t>
      </w:r>
      <w:r>
        <w:rPr>
          <w:rFonts w:cs="Times New Roman"/>
        </w:rPr>
        <w:t xml:space="preserve">of </w:t>
      </w:r>
      <w:r w:rsidR="00F105FC">
        <w:rPr>
          <w:rFonts w:cs="Times New Roman"/>
        </w:rPr>
        <w:t>participants and</w:t>
      </w:r>
      <w:r w:rsidRPr="00065144">
        <w:rPr>
          <w:rFonts w:cs="Times New Roman"/>
        </w:rPr>
        <w:t xml:space="preserve"> </w:t>
      </w:r>
      <w:r>
        <w:rPr>
          <w:rFonts w:cs="Times New Roman"/>
        </w:rPr>
        <w:t xml:space="preserve">perform a preliminary comparison between the </w:t>
      </w:r>
      <w:r w:rsidRPr="00065144">
        <w:rPr>
          <w:rFonts w:cs="Times New Roman"/>
        </w:rPr>
        <w:t>pre- and post-2016 cohorts.</w:t>
      </w:r>
    </w:p>
    <w:p w14:paraId="720E6294" w14:textId="3ED86374" w:rsidR="0038511F" w:rsidRPr="00BE633F" w:rsidRDefault="00AE370D" w:rsidP="00AE370D">
      <w:pPr>
        <w:pStyle w:val="Subtitle"/>
        <w:rPr>
          <w:rFonts w:cs="Times New Roman"/>
        </w:rPr>
      </w:pPr>
      <w:r>
        <w:rPr>
          <w:rFonts w:cs="Times New Roman"/>
        </w:rPr>
        <w:t xml:space="preserve">For pre-post training self-ratings, the full range of responses is provided in the present report. However, this was not feasible for all the 52 questions focused on current competency and confidence. In this case, </w:t>
      </w:r>
      <w:r w:rsidR="0038511F" w:rsidRPr="00065144">
        <w:rPr>
          <w:rFonts w:cs="Times New Roman"/>
        </w:rPr>
        <w:t xml:space="preserve">the responses </w:t>
      </w:r>
      <w:r>
        <w:rPr>
          <w:rFonts w:cs="Times New Roman"/>
        </w:rPr>
        <w:t>rated as</w:t>
      </w:r>
      <w:r w:rsidR="0038511F">
        <w:rPr>
          <w:rFonts w:cs="Times New Roman"/>
        </w:rPr>
        <w:t xml:space="preserve"> </w:t>
      </w:r>
      <w:r w:rsidR="0038511F" w:rsidRPr="00065144">
        <w:rPr>
          <w:rFonts w:cs="Times New Roman"/>
        </w:rPr>
        <w:t>‘</w:t>
      </w:r>
      <w:r w:rsidR="0038511F">
        <w:rPr>
          <w:rFonts w:cs="Times New Roman"/>
        </w:rPr>
        <w:t>w</w:t>
      </w:r>
      <w:r w:rsidR="0038511F" w:rsidRPr="00065144">
        <w:rPr>
          <w:rFonts w:cs="Times New Roman"/>
        </w:rPr>
        <w:t>ell/</w:t>
      </w:r>
      <w:r w:rsidR="0038511F">
        <w:rPr>
          <w:rFonts w:cs="Times New Roman"/>
        </w:rPr>
        <w:t>v</w:t>
      </w:r>
      <w:r w:rsidR="0038511F" w:rsidRPr="00065144">
        <w:rPr>
          <w:rFonts w:cs="Times New Roman"/>
        </w:rPr>
        <w:t xml:space="preserve">ery </w:t>
      </w:r>
      <w:r w:rsidR="0038511F">
        <w:rPr>
          <w:rFonts w:cs="Times New Roman"/>
        </w:rPr>
        <w:t>w</w:t>
      </w:r>
      <w:r w:rsidR="0038511F" w:rsidRPr="00065144">
        <w:rPr>
          <w:rFonts w:cs="Times New Roman"/>
        </w:rPr>
        <w:t xml:space="preserve">ell developed’ </w:t>
      </w:r>
      <w:r>
        <w:rPr>
          <w:rFonts w:cs="Times New Roman"/>
        </w:rPr>
        <w:t xml:space="preserve">or </w:t>
      </w:r>
      <w:r w:rsidR="0038511F" w:rsidRPr="00065144">
        <w:rPr>
          <w:rFonts w:cs="Times New Roman"/>
        </w:rPr>
        <w:t>‘</w:t>
      </w:r>
      <w:r w:rsidR="0038511F">
        <w:rPr>
          <w:rFonts w:cs="Times New Roman"/>
        </w:rPr>
        <w:t>n</w:t>
      </w:r>
      <w:r w:rsidR="0038511F" w:rsidRPr="00065144">
        <w:rPr>
          <w:rFonts w:cs="Times New Roman"/>
        </w:rPr>
        <w:t>ot/</w:t>
      </w:r>
      <w:r w:rsidR="0038511F">
        <w:rPr>
          <w:rFonts w:cs="Times New Roman"/>
        </w:rPr>
        <w:t>s</w:t>
      </w:r>
      <w:r w:rsidR="0038511F" w:rsidRPr="00065144">
        <w:rPr>
          <w:rFonts w:cs="Times New Roman"/>
        </w:rPr>
        <w:t xml:space="preserve">lightly </w:t>
      </w:r>
      <w:r w:rsidR="0038511F">
        <w:rPr>
          <w:rFonts w:cs="Times New Roman"/>
        </w:rPr>
        <w:t>d</w:t>
      </w:r>
      <w:r w:rsidR="0038511F" w:rsidRPr="00065144">
        <w:rPr>
          <w:rFonts w:cs="Times New Roman"/>
        </w:rPr>
        <w:t>eveloped’ by</w:t>
      </w:r>
      <w:r>
        <w:rPr>
          <w:rFonts w:cs="Times New Roman"/>
        </w:rPr>
        <w:t xml:space="preserve"> </w:t>
      </w:r>
      <w:r w:rsidR="0038511F" w:rsidRPr="00065144">
        <w:rPr>
          <w:rFonts w:cs="Times New Roman"/>
        </w:rPr>
        <w:t>33.3%</w:t>
      </w:r>
      <w:r>
        <w:rPr>
          <w:rFonts w:cs="Times New Roman"/>
        </w:rPr>
        <w:t xml:space="preserve"> or more of the participants</w:t>
      </w:r>
      <w:r w:rsidR="0038511F" w:rsidRPr="00065144">
        <w:rPr>
          <w:rFonts w:cs="Times New Roman"/>
        </w:rPr>
        <w:t xml:space="preserve"> </w:t>
      </w:r>
      <w:r w:rsidR="0038511F">
        <w:rPr>
          <w:rFonts w:cs="Times New Roman"/>
        </w:rPr>
        <w:t>were</w:t>
      </w:r>
      <w:r w:rsidR="0038511F" w:rsidRPr="00065144">
        <w:rPr>
          <w:rFonts w:cs="Times New Roman"/>
        </w:rPr>
        <w:t xml:space="preserve"> </w:t>
      </w:r>
      <w:r w:rsidR="00A05B8C">
        <w:rPr>
          <w:rFonts w:cs="Times New Roman"/>
        </w:rPr>
        <w:t>grouped</w:t>
      </w:r>
      <w:r w:rsidR="0038511F" w:rsidRPr="00065144">
        <w:rPr>
          <w:rFonts w:cs="Times New Roman"/>
        </w:rPr>
        <w:t xml:space="preserve"> </w:t>
      </w:r>
      <w:r w:rsidR="009B2111">
        <w:rPr>
          <w:rFonts w:cs="Times New Roman"/>
        </w:rPr>
        <w:t>to highlight</w:t>
      </w:r>
      <w:r w:rsidR="0038511F">
        <w:rPr>
          <w:rFonts w:cs="Times New Roman"/>
        </w:rPr>
        <w:t xml:space="preserve"> perceived ‘strengths’ and ‘weaknesses’ respectively</w:t>
      </w:r>
      <w:r w:rsidR="0038511F" w:rsidRPr="00065144">
        <w:rPr>
          <w:rFonts w:cs="Times New Roman"/>
        </w:rPr>
        <w:t>.</w:t>
      </w:r>
      <w:r w:rsidR="0038511F">
        <w:rPr>
          <w:rFonts w:cs="Times New Roman"/>
        </w:rPr>
        <w:t xml:space="preserve"> This approach was deemed appropriate in light of the descriptive nature of the comparison and </w:t>
      </w:r>
      <w:r w:rsidR="0038511F">
        <w:t>for the sake of flow and readability of th</w:t>
      </w:r>
      <w:r>
        <w:t xml:space="preserve">is </w:t>
      </w:r>
      <w:r w:rsidR="0038511F">
        <w:t xml:space="preserve">article. </w:t>
      </w:r>
      <w:r w:rsidR="00493ABC">
        <w:rPr>
          <w:rFonts w:cs="Times New Roman"/>
        </w:rPr>
        <w:t>Nonetheless, a graphical representation of the between-group comparison is available in Appendix B</w:t>
      </w:r>
      <w:r w:rsidR="007D1D43">
        <w:rPr>
          <w:rFonts w:cs="Times New Roman"/>
        </w:rPr>
        <w:t xml:space="preserve"> </w:t>
      </w:r>
      <w:r w:rsidR="00DC2EC4">
        <w:rPr>
          <w:rFonts w:cs="Times New Roman"/>
        </w:rPr>
        <w:t>(</w:t>
      </w:r>
      <w:hyperlink r:id="rId9" w:history="1">
        <w:r w:rsidR="00DC2EC4" w:rsidRPr="00DC2EC4">
          <w:rPr>
            <w:rStyle w:val="Hyperlink"/>
            <w:rFonts w:cs="Times New Roman"/>
          </w:rPr>
          <w:t>https://osf.io/y5pmf</w:t>
        </w:r>
      </w:hyperlink>
      <w:r w:rsidR="00DC2EC4">
        <w:rPr>
          <w:rFonts w:cs="Times New Roman"/>
        </w:rPr>
        <w:t>)</w:t>
      </w:r>
      <w:r w:rsidR="00493ABC">
        <w:rPr>
          <w:rFonts w:cs="Times New Roman"/>
        </w:rPr>
        <w:t xml:space="preserve">. Moreover, </w:t>
      </w:r>
      <w:r w:rsidR="00493ABC">
        <w:t>a full list of the survey questions, along with the participants’ responses indicating specific areas of strengths and weaknesses, is also available from the authors upon request.</w:t>
      </w:r>
    </w:p>
    <w:p w14:paraId="648A195B" w14:textId="722B93C2" w:rsidR="00EE115B" w:rsidRPr="00065144" w:rsidRDefault="00C65C3C" w:rsidP="00EE115B">
      <w:pPr>
        <w:pStyle w:val="Heading3"/>
        <w:rPr>
          <w:rFonts w:cs="Times New Roman"/>
        </w:rPr>
      </w:pPr>
      <w:r>
        <w:rPr>
          <w:rFonts w:cs="Times New Roman"/>
        </w:rPr>
        <w:t>Pre-Post 2016 Comparison</w:t>
      </w:r>
    </w:p>
    <w:p w14:paraId="74783DD9" w14:textId="1A5E5583" w:rsidR="004305F2" w:rsidRDefault="004305F2" w:rsidP="004305F2">
      <w:pPr>
        <w:pStyle w:val="Heading4"/>
      </w:pPr>
      <w:r>
        <w:t>Pre-training Experience</w:t>
      </w:r>
    </w:p>
    <w:p w14:paraId="3933FB0F" w14:textId="28C2675F" w:rsidR="004B1F39" w:rsidRDefault="004305F2" w:rsidP="00A05651">
      <w:r>
        <w:t xml:space="preserve">The majority of </w:t>
      </w:r>
      <w:r w:rsidR="000A4B3B">
        <w:t xml:space="preserve">clinical psychologist </w:t>
      </w:r>
      <w:r>
        <w:t xml:space="preserve">who </w:t>
      </w:r>
      <w:r w:rsidR="000D125E">
        <w:t>began</w:t>
      </w:r>
      <w:r>
        <w:t xml:space="preserve"> training at UEA before </w:t>
      </w:r>
      <w:r w:rsidR="000A4B3B">
        <w:t>2016</w:t>
      </w:r>
      <w:r>
        <w:t xml:space="preserve"> reported historically lower levels of neuropsychological competency and confidence compared to the post-2016 cohorts.</w:t>
      </w:r>
      <w:r w:rsidR="009B2111">
        <w:t xml:space="preserve"> </w:t>
      </w:r>
      <w:r>
        <w:t xml:space="preserve">In particular, </w:t>
      </w:r>
      <w:r w:rsidR="000B3665">
        <w:t xml:space="preserve">58.1% </w:t>
      </w:r>
      <w:r>
        <w:t>of the pre-2016 participants reported “slightly developed” neuropsychological competency (</w:t>
      </w:r>
      <w:r w:rsidRPr="008E1812">
        <w:rPr>
          <w:i/>
          <w:iCs/>
        </w:rPr>
        <w:t>n</w:t>
      </w:r>
      <w:r>
        <w:t xml:space="preserve"> = 36, </w:t>
      </w:r>
      <w:r w:rsidRPr="00AD6374">
        <w:rPr>
          <w:i/>
          <w:iCs/>
        </w:rPr>
        <w:t>N</w:t>
      </w:r>
      <w:r>
        <w:t xml:space="preserve"> = 62)</w:t>
      </w:r>
      <w:r w:rsidR="00F6234E">
        <w:t>, 17.7%</w:t>
      </w:r>
      <w:r>
        <w:t xml:space="preserve"> </w:t>
      </w:r>
      <w:r w:rsidR="00F6234E">
        <w:t>“not developed”</w:t>
      </w:r>
      <w:r w:rsidR="000A4B3B" w:rsidRPr="000A4B3B">
        <w:t xml:space="preserve"> </w:t>
      </w:r>
      <w:r w:rsidR="000A4B3B">
        <w:t>(</w:t>
      </w:r>
      <w:r w:rsidR="000A4B3B" w:rsidRPr="008E1812">
        <w:rPr>
          <w:i/>
          <w:iCs/>
        </w:rPr>
        <w:t>n</w:t>
      </w:r>
      <w:r w:rsidR="000A4B3B">
        <w:t xml:space="preserve"> = 11, </w:t>
      </w:r>
      <w:r w:rsidR="000A4B3B" w:rsidRPr="009943AE">
        <w:rPr>
          <w:i/>
          <w:iCs/>
        </w:rPr>
        <w:t>N</w:t>
      </w:r>
      <w:r w:rsidR="000A4B3B">
        <w:t xml:space="preserve"> = 62)</w:t>
      </w:r>
      <w:r w:rsidR="00F6234E">
        <w:t>, 16.1% “moderately developed”</w:t>
      </w:r>
      <w:r w:rsidR="000A4B3B" w:rsidRPr="000A4B3B">
        <w:t xml:space="preserve"> </w:t>
      </w:r>
      <w:r w:rsidR="000A4B3B">
        <w:t>(</w:t>
      </w:r>
      <w:r w:rsidR="000A4B3B" w:rsidRPr="008E1812">
        <w:rPr>
          <w:i/>
          <w:iCs/>
        </w:rPr>
        <w:t>n</w:t>
      </w:r>
      <w:r w:rsidR="000A4B3B">
        <w:t xml:space="preserve"> = 10, </w:t>
      </w:r>
      <w:r w:rsidR="000A4B3B" w:rsidRPr="009943AE">
        <w:rPr>
          <w:i/>
          <w:iCs/>
        </w:rPr>
        <w:t>N</w:t>
      </w:r>
      <w:r w:rsidR="000A4B3B">
        <w:t xml:space="preserve"> = 62)</w:t>
      </w:r>
      <w:r w:rsidR="00F6234E">
        <w:t xml:space="preserve">, </w:t>
      </w:r>
      <w:r w:rsidR="000A4B3B">
        <w:t>while</w:t>
      </w:r>
      <w:r w:rsidR="00F6234E">
        <w:t xml:space="preserve"> only 6.5% and 1.6%  felt their </w:t>
      </w:r>
      <w:r w:rsidR="00F6234E">
        <w:lastRenderedPageBreak/>
        <w:t>skills were “well developed”</w:t>
      </w:r>
      <w:r w:rsidR="000A4B3B" w:rsidRPr="000A4B3B">
        <w:t xml:space="preserve"> </w:t>
      </w:r>
      <w:r w:rsidR="000A4B3B">
        <w:t>(</w:t>
      </w:r>
      <w:r w:rsidR="000A4B3B" w:rsidRPr="008E1812">
        <w:rPr>
          <w:i/>
          <w:iCs/>
        </w:rPr>
        <w:t>n</w:t>
      </w:r>
      <w:r w:rsidR="000A4B3B">
        <w:t xml:space="preserve"> = 4, </w:t>
      </w:r>
      <w:r w:rsidR="000A4B3B" w:rsidRPr="009943AE">
        <w:rPr>
          <w:i/>
          <w:iCs/>
        </w:rPr>
        <w:t>N</w:t>
      </w:r>
      <w:r w:rsidR="000A4B3B">
        <w:t xml:space="preserve"> = 62) </w:t>
      </w:r>
      <w:r w:rsidR="00F6234E">
        <w:t xml:space="preserve">or “very well developed” </w:t>
      </w:r>
      <w:r w:rsidR="000A4B3B">
        <w:t>(</w:t>
      </w:r>
      <w:r w:rsidR="000A4B3B" w:rsidRPr="008E1812">
        <w:rPr>
          <w:i/>
          <w:iCs/>
        </w:rPr>
        <w:t>n</w:t>
      </w:r>
      <w:r w:rsidR="000A4B3B">
        <w:t xml:space="preserve"> = 1, </w:t>
      </w:r>
      <w:r w:rsidR="000A4B3B" w:rsidRPr="009943AE">
        <w:rPr>
          <w:i/>
          <w:iCs/>
        </w:rPr>
        <w:t>N</w:t>
      </w:r>
      <w:r w:rsidR="000A4B3B">
        <w:t xml:space="preserve"> = 62) respectively</w:t>
      </w:r>
      <w:r w:rsidR="00F6234E">
        <w:t>. On the other hand</w:t>
      </w:r>
      <w:r w:rsidR="00F6234E" w:rsidRPr="00065144">
        <w:t xml:space="preserve">, </w:t>
      </w:r>
      <w:r w:rsidR="00644D38">
        <w:t>35.7</w:t>
      </w:r>
      <w:r w:rsidR="00F6234E">
        <w:t>%</w:t>
      </w:r>
      <w:r w:rsidR="000A4B3B">
        <w:t xml:space="preserve"> </w:t>
      </w:r>
      <w:r w:rsidR="00F6234E">
        <w:t>of the</w:t>
      </w:r>
      <w:r w:rsidR="00F6234E" w:rsidRPr="00065144">
        <w:t xml:space="preserve"> post-2016 participants reported “</w:t>
      </w:r>
      <w:r w:rsidR="00644D38">
        <w:t>moderately</w:t>
      </w:r>
      <w:r w:rsidR="00F6234E" w:rsidRPr="00065144">
        <w:t xml:space="preserve"> developed” neuropsychological competency before starting training</w:t>
      </w:r>
      <w:r w:rsidR="000A4B3B">
        <w:t xml:space="preserve"> </w:t>
      </w:r>
      <w:r w:rsidR="000A4B3B" w:rsidRPr="00065144">
        <w:t>(</w:t>
      </w:r>
      <w:r w:rsidR="000A4B3B">
        <w:rPr>
          <w:i/>
          <w:iCs/>
        </w:rPr>
        <w:t>n</w:t>
      </w:r>
      <w:r w:rsidR="000A4B3B" w:rsidRPr="00065144">
        <w:t xml:space="preserve"> = </w:t>
      </w:r>
      <w:r w:rsidR="000A4B3B">
        <w:t xml:space="preserve">5, </w:t>
      </w:r>
      <w:r w:rsidR="000A4B3B" w:rsidRPr="009943AE">
        <w:rPr>
          <w:i/>
          <w:iCs/>
        </w:rPr>
        <w:t>N</w:t>
      </w:r>
      <w:r w:rsidR="000A4B3B">
        <w:t xml:space="preserve"> = 14</w:t>
      </w:r>
      <w:r w:rsidR="000A4B3B" w:rsidRPr="00065144">
        <w:t>)</w:t>
      </w:r>
      <w:r w:rsidR="00F6234E">
        <w:t xml:space="preserve">, </w:t>
      </w:r>
      <w:r w:rsidR="00644D38">
        <w:t>while 28.6</w:t>
      </w:r>
      <w:r w:rsidR="00F105FC">
        <w:t>% reported</w:t>
      </w:r>
      <w:r w:rsidR="00644D38">
        <w:t xml:space="preserve"> “slightly developed” skills</w:t>
      </w:r>
      <w:r w:rsidR="000A4B3B">
        <w:t xml:space="preserve"> </w:t>
      </w:r>
      <w:r w:rsidR="000A4B3B" w:rsidRPr="00065144">
        <w:t>(</w:t>
      </w:r>
      <w:r w:rsidR="000A4B3B">
        <w:rPr>
          <w:i/>
          <w:iCs/>
        </w:rPr>
        <w:t>n</w:t>
      </w:r>
      <w:r w:rsidR="000A4B3B" w:rsidRPr="00065144">
        <w:t xml:space="preserve"> = </w:t>
      </w:r>
      <w:r w:rsidR="000A4B3B">
        <w:t xml:space="preserve">4, </w:t>
      </w:r>
      <w:r w:rsidR="000A4B3B" w:rsidRPr="009943AE">
        <w:rPr>
          <w:i/>
          <w:iCs/>
        </w:rPr>
        <w:t>N</w:t>
      </w:r>
      <w:r w:rsidR="000A4B3B">
        <w:t xml:space="preserve"> = 14</w:t>
      </w:r>
      <w:r w:rsidR="000A4B3B" w:rsidRPr="00065144">
        <w:t>)</w:t>
      </w:r>
      <w:r w:rsidR="00644D38">
        <w:t xml:space="preserve">, </w:t>
      </w:r>
      <w:r w:rsidR="00F6234E">
        <w:t xml:space="preserve">14.3% </w:t>
      </w:r>
      <w:r w:rsidR="00644D38">
        <w:t xml:space="preserve">either </w:t>
      </w:r>
      <w:r w:rsidR="00F6234E">
        <w:t>“not developed”</w:t>
      </w:r>
      <w:r w:rsidR="00B438F8">
        <w:t xml:space="preserve"> </w:t>
      </w:r>
      <w:r w:rsidR="00644D38">
        <w:t>or “well developed”</w:t>
      </w:r>
      <w:r w:rsidR="000A4B3B" w:rsidRPr="000A4B3B">
        <w:t xml:space="preserve"> </w:t>
      </w:r>
      <w:r w:rsidR="000A4B3B" w:rsidRPr="00065144">
        <w:t>(</w:t>
      </w:r>
      <w:r w:rsidR="000A4B3B">
        <w:rPr>
          <w:i/>
          <w:iCs/>
        </w:rPr>
        <w:t>n</w:t>
      </w:r>
      <w:r w:rsidR="000A4B3B" w:rsidRPr="00065144">
        <w:t xml:space="preserve"> = </w:t>
      </w:r>
      <w:r w:rsidR="000A4B3B">
        <w:t xml:space="preserve">2, </w:t>
      </w:r>
      <w:r w:rsidR="000A4B3B" w:rsidRPr="009943AE">
        <w:rPr>
          <w:i/>
          <w:iCs/>
        </w:rPr>
        <w:t>N</w:t>
      </w:r>
      <w:r w:rsidR="000A4B3B">
        <w:t xml:space="preserve"> = 14</w:t>
      </w:r>
      <w:r w:rsidR="000A4B3B" w:rsidRPr="00065144">
        <w:t>)</w:t>
      </w:r>
      <w:r w:rsidR="00644D38">
        <w:t>, and 7.1% “very well developed”</w:t>
      </w:r>
      <w:r w:rsidR="000A4B3B" w:rsidRPr="000A4B3B">
        <w:t xml:space="preserve"> </w:t>
      </w:r>
      <w:r w:rsidR="000A4B3B" w:rsidRPr="00065144">
        <w:t>(</w:t>
      </w:r>
      <w:r w:rsidR="000A4B3B">
        <w:rPr>
          <w:i/>
          <w:iCs/>
        </w:rPr>
        <w:t>n</w:t>
      </w:r>
      <w:r w:rsidR="000A4B3B" w:rsidRPr="00065144">
        <w:t xml:space="preserve"> = </w:t>
      </w:r>
      <w:r w:rsidR="000A4B3B">
        <w:t xml:space="preserve">1, </w:t>
      </w:r>
      <w:r w:rsidR="000A4B3B" w:rsidRPr="009943AE">
        <w:rPr>
          <w:i/>
          <w:iCs/>
        </w:rPr>
        <w:t>N</w:t>
      </w:r>
      <w:r w:rsidR="000A4B3B">
        <w:t xml:space="preserve"> = 14</w:t>
      </w:r>
      <w:r w:rsidR="000A4B3B" w:rsidRPr="00065144">
        <w:t>)</w:t>
      </w:r>
      <w:r w:rsidR="00644D38">
        <w:t>.</w:t>
      </w:r>
      <w:r w:rsidR="00A05651">
        <w:t xml:space="preserve"> </w:t>
      </w:r>
      <w:r w:rsidR="00E76707">
        <w:t>A similar pattern was observed for pre-training neuropsychological confidence, with</w:t>
      </w:r>
      <w:r w:rsidR="00E76707" w:rsidRPr="00E76707">
        <w:t xml:space="preserve"> </w:t>
      </w:r>
      <w:r w:rsidR="00E76707">
        <w:t>58.1% of the pre-2016 participants feeling it was “slightly developed” (</w:t>
      </w:r>
      <w:r w:rsidR="00E76707" w:rsidRPr="008E1812">
        <w:rPr>
          <w:i/>
          <w:iCs/>
        </w:rPr>
        <w:t>n</w:t>
      </w:r>
      <w:r w:rsidR="00E76707">
        <w:t xml:space="preserve"> = 37, </w:t>
      </w:r>
      <w:r w:rsidR="00E76707" w:rsidRPr="00AD6374">
        <w:rPr>
          <w:i/>
          <w:iCs/>
        </w:rPr>
        <w:t>N</w:t>
      </w:r>
      <w:r w:rsidR="00E76707">
        <w:t xml:space="preserve"> = 62), 19.4% “not developed”</w:t>
      </w:r>
      <w:r w:rsidR="000A4B3B" w:rsidRPr="000A4B3B">
        <w:t xml:space="preserve"> </w:t>
      </w:r>
      <w:r w:rsidR="000A4B3B">
        <w:t>(</w:t>
      </w:r>
      <w:r w:rsidR="000A4B3B" w:rsidRPr="008E1812">
        <w:rPr>
          <w:i/>
          <w:iCs/>
        </w:rPr>
        <w:t>n</w:t>
      </w:r>
      <w:r w:rsidR="000A4B3B">
        <w:t xml:space="preserve"> = 12, </w:t>
      </w:r>
      <w:r w:rsidR="000A4B3B" w:rsidRPr="009943AE">
        <w:rPr>
          <w:i/>
          <w:iCs/>
        </w:rPr>
        <w:t>N</w:t>
      </w:r>
      <w:r w:rsidR="000A4B3B">
        <w:t xml:space="preserve"> = 62)</w:t>
      </w:r>
      <w:r w:rsidR="00E76707">
        <w:t>, 12.9% “moderately developed”</w:t>
      </w:r>
      <w:r w:rsidR="000A4B3B" w:rsidRPr="000A4B3B">
        <w:t xml:space="preserve"> </w:t>
      </w:r>
      <w:r w:rsidR="000A4B3B">
        <w:t>(</w:t>
      </w:r>
      <w:r w:rsidR="000A4B3B" w:rsidRPr="008E1812">
        <w:rPr>
          <w:i/>
          <w:iCs/>
        </w:rPr>
        <w:t>n</w:t>
      </w:r>
      <w:r w:rsidR="000A4B3B">
        <w:t xml:space="preserve"> = 8, </w:t>
      </w:r>
      <w:r w:rsidR="000A4B3B" w:rsidRPr="009943AE">
        <w:rPr>
          <w:i/>
          <w:iCs/>
        </w:rPr>
        <w:t>N</w:t>
      </w:r>
      <w:r w:rsidR="000A4B3B">
        <w:t xml:space="preserve"> = 62)</w:t>
      </w:r>
      <w:r w:rsidR="00E76707">
        <w:t xml:space="preserve">, and </w:t>
      </w:r>
      <w:r w:rsidR="002B3E7B">
        <w:t>again</w:t>
      </w:r>
      <w:r w:rsidR="00E76707">
        <w:t xml:space="preserve"> 6.5% and 1.6% “well developed”</w:t>
      </w:r>
      <w:r w:rsidR="000A4B3B" w:rsidRPr="000A4B3B">
        <w:t xml:space="preserve"> </w:t>
      </w:r>
      <w:r w:rsidR="000A4B3B">
        <w:t>(</w:t>
      </w:r>
      <w:r w:rsidR="000A4B3B" w:rsidRPr="008E1812">
        <w:rPr>
          <w:i/>
          <w:iCs/>
        </w:rPr>
        <w:t>n</w:t>
      </w:r>
      <w:r w:rsidR="000A4B3B">
        <w:t xml:space="preserve"> = 4, </w:t>
      </w:r>
      <w:r w:rsidR="000A4B3B" w:rsidRPr="009943AE">
        <w:rPr>
          <w:i/>
          <w:iCs/>
        </w:rPr>
        <w:t>N</w:t>
      </w:r>
      <w:r w:rsidR="000A4B3B">
        <w:t xml:space="preserve"> = 62) </w:t>
      </w:r>
      <w:r w:rsidR="00E76707">
        <w:t xml:space="preserve"> or “very well developed” </w:t>
      </w:r>
      <w:r w:rsidR="000A4B3B">
        <w:t>(</w:t>
      </w:r>
      <w:r w:rsidR="000A4B3B" w:rsidRPr="008E1812">
        <w:rPr>
          <w:i/>
          <w:iCs/>
        </w:rPr>
        <w:t>n</w:t>
      </w:r>
      <w:r w:rsidR="000A4B3B">
        <w:t xml:space="preserve"> = 1, </w:t>
      </w:r>
      <w:r w:rsidR="000A4B3B" w:rsidRPr="009943AE">
        <w:rPr>
          <w:i/>
          <w:iCs/>
        </w:rPr>
        <w:t>N</w:t>
      </w:r>
      <w:r w:rsidR="000A4B3B">
        <w:t xml:space="preserve"> = 62) </w:t>
      </w:r>
      <w:r w:rsidR="00E76707">
        <w:t xml:space="preserve">respectively. </w:t>
      </w:r>
      <w:r w:rsidR="004B1F39">
        <w:t>In contrast</w:t>
      </w:r>
      <w:r w:rsidR="00E76707" w:rsidRPr="00065144">
        <w:t xml:space="preserve">, </w:t>
      </w:r>
      <w:r w:rsidR="004B1F39">
        <w:t>42</w:t>
      </w:r>
      <w:r w:rsidR="00E76707">
        <w:t>.</w:t>
      </w:r>
      <w:r w:rsidR="004B1F39">
        <w:t>9</w:t>
      </w:r>
      <w:r w:rsidR="00E76707">
        <w:t xml:space="preserve">% </w:t>
      </w:r>
      <w:r w:rsidR="00E76707" w:rsidRPr="00065144">
        <w:t xml:space="preserve"> </w:t>
      </w:r>
      <w:r w:rsidR="00E76707">
        <w:t>of the</w:t>
      </w:r>
      <w:r w:rsidR="00E76707" w:rsidRPr="00065144">
        <w:t xml:space="preserve"> post-2016 participants reported “</w:t>
      </w:r>
      <w:r w:rsidR="00E76707">
        <w:t>moderately</w:t>
      </w:r>
      <w:r w:rsidR="00E76707" w:rsidRPr="00065144">
        <w:t xml:space="preserve"> developed” </w:t>
      </w:r>
      <w:r w:rsidR="004B1F39">
        <w:t xml:space="preserve">pre-training </w:t>
      </w:r>
      <w:r w:rsidR="00E76707" w:rsidRPr="00065144">
        <w:t xml:space="preserve">neuropsychological </w:t>
      </w:r>
      <w:r w:rsidR="004B1F39">
        <w:t>confidence</w:t>
      </w:r>
      <w:r w:rsidR="006D7C00">
        <w:t xml:space="preserve"> </w:t>
      </w:r>
      <w:r w:rsidR="006D7C00" w:rsidRPr="00065144">
        <w:t>(</w:t>
      </w:r>
      <w:r w:rsidR="006D7C00">
        <w:rPr>
          <w:i/>
          <w:iCs/>
        </w:rPr>
        <w:t>n</w:t>
      </w:r>
      <w:r w:rsidR="006D7C00" w:rsidRPr="00065144">
        <w:t xml:space="preserve"> = </w:t>
      </w:r>
      <w:r w:rsidR="006D7C00">
        <w:t xml:space="preserve">6, </w:t>
      </w:r>
      <w:r w:rsidR="006D7C00" w:rsidRPr="009943AE">
        <w:rPr>
          <w:i/>
          <w:iCs/>
        </w:rPr>
        <w:t>N</w:t>
      </w:r>
      <w:r w:rsidR="006D7C00">
        <w:t xml:space="preserve"> = 14</w:t>
      </w:r>
      <w:r w:rsidR="006D7C00" w:rsidRPr="00065144">
        <w:t>)</w:t>
      </w:r>
      <w:r w:rsidR="00E76707">
        <w:t xml:space="preserve">, </w:t>
      </w:r>
      <w:r w:rsidR="004B1F39">
        <w:t>while</w:t>
      </w:r>
      <w:r w:rsidR="00E76707">
        <w:t xml:space="preserve"> 2</w:t>
      </w:r>
      <w:r w:rsidR="004B1F39">
        <w:t>1</w:t>
      </w:r>
      <w:r w:rsidR="00E76707">
        <w:t>.</w:t>
      </w:r>
      <w:r w:rsidR="004B1F39">
        <w:t>4</w:t>
      </w:r>
      <w:r w:rsidR="00E76707">
        <w:t xml:space="preserve">% </w:t>
      </w:r>
      <w:r w:rsidR="004B1F39">
        <w:t>felt it was</w:t>
      </w:r>
      <w:r w:rsidR="00E76707">
        <w:t xml:space="preserve"> </w:t>
      </w:r>
      <w:r w:rsidR="004B1F39">
        <w:t xml:space="preserve">either </w:t>
      </w:r>
      <w:r w:rsidR="00E76707">
        <w:t>“slightly developed”</w:t>
      </w:r>
      <w:r w:rsidR="004B1F39">
        <w:t xml:space="preserve"> or “not developed”</w:t>
      </w:r>
      <w:r w:rsidR="006D7C00" w:rsidRPr="006D7C00">
        <w:t xml:space="preserve"> </w:t>
      </w:r>
      <w:r w:rsidR="006D7C00" w:rsidRPr="00065144">
        <w:t>(</w:t>
      </w:r>
      <w:r w:rsidR="006D7C00">
        <w:rPr>
          <w:i/>
          <w:iCs/>
        </w:rPr>
        <w:t>n</w:t>
      </w:r>
      <w:r w:rsidR="006D7C00" w:rsidRPr="00065144">
        <w:t xml:space="preserve"> = </w:t>
      </w:r>
      <w:r w:rsidR="006D7C00">
        <w:t xml:space="preserve">4, </w:t>
      </w:r>
      <w:r w:rsidR="006D7C00" w:rsidRPr="009943AE">
        <w:rPr>
          <w:i/>
          <w:iCs/>
        </w:rPr>
        <w:t>N</w:t>
      </w:r>
      <w:r w:rsidR="006D7C00">
        <w:t xml:space="preserve"> = 14</w:t>
      </w:r>
      <w:r w:rsidR="006D7C00" w:rsidRPr="00065144">
        <w:t>)</w:t>
      </w:r>
      <w:r w:rsidR="00E76707">
        <w:t xml:space="preserve">, </w:t>
      </w:r>
      <w:r w:rsidR="004B1F39">
        <w:t xml:space="preserve">and </w:t>
      </w:r>
      <w:r w:rsidR="00E76707">
        <w:t>14.3%  “well developed</w:t>
      </w:r>
      <w:r w:rsidR="004B1F39">
        <w:t>”</w:t>
      </w:r>
      <w:r w:rsidR="006D7C00" w:rsidRPr="006D7C00">
        <w:t xml:space="preserve"> </w:t>
      </w:r>
      <w:r w:rsidR="006D7C00" w:rsidRPr="00065144">
        <w:t>(</w:t>
      </w:r>
      <w:r w:rsidR="006D7C00">
        <w:rPr>
          <w:i/>
          <w:iCs/>
        </w:rPr>
        <w:t>n</w:t>
      </w:r>
      <w:r w:rsidR="006D7C00" w:rsidRPr="00065144">
        <w:t xml:space="preserve"> = </w:t>
      </w:r>
      <w:r w:rsidR="006D7C00">
        <w:t xml:space="preserve">2, </w:t>
      </w:r>
      <w:r w:rsidR="006D7C00" w:rsidRPr="009943AE">
        <w:rPr>
          <w:i/>
          <w:iCs/>
        </w:rPr>
        <w:t>N</w:t>
      </w:r>
      <w:r w:rsidR="006D7C00">
        <w:t xml:space="preserve"> = 14</w:t>
      </w:r>
      <w:r w:rsidR="006D7C00" w:rsidRPr="00065144">
        <w:t>)</w:t>
      </w:r>
      <w:r w:rsidR="004B1F39">
        <w:t xml:space="preserve">. No participant in the post-2016 cohort felt their pre-training neuropsychological confidence was “very well developed”.  </w:t>
      </w:r>
    </w:p>
    <w:p w14:paraId="0C6D254A" w14:textId="5FB5A76A" w:rsidR="00507989" w:rsidRDefault="001047F3" w:rsidP="00507989">
      <w:pPr>
        <w:pStyle w:val="Heading4"/>
      </w:pPr>
      <w:r>
        <w:t>T</w:t>
      </w:r>
      <w:r w:rsidR="00507989">
        <w:t>raining experience</w:t>
      </w:r>
    </w:p>
    <w:p w14:paraId="7CF2FF10" w14:textId="11A2DC46" w:rsidR="00507989" w:rsidRDefault="001047F3" w:rsidP="002E2930">
      <w:r>
        <w:t>While at UEA, most</w:t>
      </w:r>
      <w:r w:rsidR="00E50F1B">
        <w:t xml:space="preserve"> </w:t>
      </w:r>
      <w:r>
        <w:t>of the pre-2016 participants felt that the neuropsychological training on the Programme “slightly developed” (</w:t>
      </w:r>
      <w:r w:rsidRPr="008E1812">
        <w:rPr>
          <w:i/>
          <w:iCs/>
        </w:rPr>
        <w:t>n</w:t>
      </w:r>
      <w:r>
        <w:t xml:space="preserve"> = 26, 41.9%, </w:t>
      </w:r>
      <w:r w:rsidRPr="00AD6374">
        <w:rPr>
          <w:i/>
          <w:iCs/>
        </w:rPr>
        <w:t>N</w:t>
      </w:r>
      <w:r>
        <w:t xml:space="preserve"> = 62) or “moderately developed” (</w:t>
      </w:r>
      <w:r w:rsidRPr="008E1812">
        <w:rPr>
          <w:i/>
          <w:iCs/>
        </w:rPr>
        <w:t>n</w:t>
      </w:r>
      <w:r>
        <w:t xml:space="preserve"> = 25, 40.3%, </w:t>
      </w:r>
      <w:r w:rsidRPr="00AD6374">
        <w:rPr>
          <w:i/>
          <w:iCs/>
        </w:rPr>
        <w:t>N</w:t>
      </w:r>
      <w:r>
        <w:t xml:space="preserve"> = 62),  while 8.1% and 9.7</w:t>
      </w:r>
      <w:r w:rsidR="002E2930">
        <w:t>%</w:t>
      </w:r>
      <w:r>
        <w:t xml:space="preserve"> rated it as “not developed”</w:t>
      </w:r>
      <w:r w:rsidR="00E50F1B" w:rsidRPr="00E50F1B">
        <w:t xml:space="preserve"> </w:t>
      </w:r>
      <w:r w:rsidR="00E50F1B">
        <w:t>(</w:t>
      </w:r>
      <w:r w:rsidR="00E50F1B" w:rsidRPr="008E1812">
        <w:rPr>
          <w:i/>
          <w:iCs/>
        </w:rPr>
        <w:t>n</w:t>
      </w:r>
      <w:r w:rsidR="00E50F1B">
        <w:t xml:space="preserve"> = 5, </w:t>
      </w:r>
      <w:r w:rsidR="00E50F1B" w:rsidRPr="00AD6374">
        <w:rPr>
          <w:i/>
          <w:iCs/>
        </w:rPr>
        <w:t>N</w:t>
      </w:r>
      <w:r w:rsidR="00E50F1B">
        <w:t xml:space="preserve"> = 62) </w:t>
      </w:r>
      <w:r>
        <w:t xml:space="preserve"> or well developed respectively</w:t>
      </w:r>
      <w:r w:rsidR="00E50F1B">
        <w:t xml:space="preserve"> (</w:t>
      </w:r>
      <w:r w:rsidR="00E50F1B" w:rsidRPr="008E1812">
        <w:rPr>
          <w:i/>
          <w:iCs/>
        </w:rPr>
        <w:t>n</w:t>
      </w:r>
      <w:r w:rsidR="00E50F1B">
        <w:t xml:space="preserve"> = 6, </w:t>
      </w:r>
      <w:r w:rsidR="00E50F1B" w:rsidRPr="009943AE">
        <w:rPr>
          <w:i/>
          <w:iCs/>
        </w:rPr>
        <w:t>N</w:t>
      </w:r>
      <w:r w:rsidR="00E50F1B">
        <w:t xml:space="preserve"> = 62)</w:t>
      </w:r>
      <w:r>
        <w:t xml:space="preserve">. No pre-2016 participant found the Programme to have a “well developed” neuropsychology training. </w:t>
      </w:r>
      <w:r w:rsidR="00055039">
        <w:t xml:space="preserve">In contrast, </w:t>
      </w:r>
      <w:r w:rsidR="007A7CD6">
        <w:t>50% of</w:t>
      </w:r>
      <w:r w:rsidR="00055039">
        <w:t xml:space="preserve"> the post-2016 participants  felt that the extent of neuropsychological training on the Programme was “well developed”</w:t>
      </w:r>
      <w:r w:rsidR="007A7CD6" w:rsidRPr="007A7CD6">
        <w:t xml:space="preserve"> </w:t>
      </w:r>
      <w:r w:rsidR="007A7CD6">
        <w:t>(</w:t>
      </w:r>
      <w:r w:rsidR="007A7CD6" w:rsidRPr="008E1812">
        <w:rPr>
          <w:i/>
          <w:iCs/>
        </w:rPr>
        <w:t>n</w:t>
      </w:r>
      <w:r w:rsidR="007A7CD6">
        <w:t xml:space="preserve"> = 7, </w:t>
      </w:r>
      <w:r w:rsidR="007A7CD6" w:rsidRPr="00AD6374">
        <w:rPr>
          <w:i/>
          <w:iCs/>
        </w:rPr>
        <w:t>N</w:t>
      </w:r>
      <w:r w:rsidR="007A7CD6">
        <w:t xml:space="preserve"> = 14)</w:t>
      </w:r>
      <w:r w:rsidR="00055039">
        <w:t>, 28.</w:t>
      </w:r>
      <w:r w:rsidR="00A3697F">
        <w:t>6</w:t>
      </w:r>
      <w:r w:rsidR="00055039">
        <w:t>% “moderately developed”</w:t>
      </w:r>
      <w:r w:rsidR="007A7CD6" w:rsidRPr="007A7CD6">
        <w:t xml:space="preserve"> </w:t>
      </w:r>
      <w:r w:rsidR="007A7CD6">
        <w:t>(</w:t>
      </w:r>
      <w:r w:rsidR="007A7CD6" w:rsidRPr="008E1812">
        <w:rPr>
          <w:i/>
          <w:iCs/>
        </w:rPr>
        <w:t>n</w:t>
      </w:r>
      <w:r w:rsidR="007A7CD6">
        <w:t xml:space="preserve"> = 7, </w:t>
      </w:r>
      <w:r w:rsidR="007A7CD6" w:rsidRPr="00AD6374">
        <w:rPr>
          <w:i/>
          <w:iCs/>
        </w:rPr>
        <w:t>N</w:t>
      </w:r>
      <w:r w:rsidR="007A7CD6">
        <w:t xml:space="preserve"> = 14)</w:t>
      </w:r>
      <w:r w:rsidR="00A3697F">
        <w:t>, 14.3%  “slightly developed”</w:t>
      </w:r>
      <w:r w:rsidR="007A7CD6" w:rsidRPr="007A7CD6">
        <w:t xml:space="preserve"> </w:t>
      </w:r>
      <w:r w:rsidR="007A7CD6">
        <w:t>(</w:t>
      </w:r>
      <w:r w:rsidR="007A7CD6" w:rsidRPr="008E1812">
        <w:rPr>
          <w:i/>
          <w:iCs/>
        </w:rPr>
        <w:t>n</w:t>
      </w:r>
      <w:r w:rsidR="007A7CD6">
        <w:t xml:space="preserve"> = 2, </w:t>
      </w:r>
      <w:r w:rsidR="007A7CD6" w:rsidRPr="00AD6374">
        <w:rPr>
          <w:i/>
          <w:iCs/>
        </w:rPr>
        <w:t>N</w:t>
      </w:r>
      <w:r w:rsidR="007A7CD6">
        <w:t xml:space="preserve"> = 14)</w:t>
      </w:r>
      <w:r w:rsidR="00A3697F">
        <w:t>, and 7.1% “very well developed”</w:t>
      </w:r>
      <w:r w:rsidR="007A7CD6" w:rsidRPr="007A7CD6">
        <w:t xml:space="preserve"> </w:t>
      </w:r>
      <w:r w:rsidR="007A7CD6">
        <w:t>(</w:t>
      </w:r>
      <w:r w:rsidR="007A7CD6" w:rsidRPr="008E1812">
        <w:rPr>
          <w:i/>
          <w:iCs/>
        </w:rPr>
        <w:t>n</w:t>
      </w:r>
      <w:r w:rsidR="007A7CD6">
        <w:t xml:space="preserve"> = 1, </w:t>
      </w:r>
      <w:r w:rsidR="007A7CD6" w:rsidRPr="00AD6374">
        <w:rPr>
          <w:i/>
          <w:iCs/>
        </w:rPr>
        <w:t>N</w:t>
      </w:r>
      <w:r w:rsidR="007A7CD6">
        <w:t xml:space="preserve"> = 14)</w:t>
      </w:r>
      <w:r w:rsidR="00A3697F">
        <w:t>. No post-</w:t>
      </w:r>
      <w:r w:rsidR="00A3697F">
        <w:lastRenderedPageBreak/>
        <w:t>2016 participant found the neuropsychology training on the UEA Programme to be “not developed”.</w:t>
      </w:r>
    </w:p>
    <w:p w14:paraId="03D2DC1F" w14:textId="7200F586" w:rsidR="00586F66" w:rsidRPr="00507989" w:rsidRDefault="00586F66" w:rsidP="00460370">
      <w:r>
        <w:t>In terms of elective experience, 27.4% and 35.7% of the pre-2016</w:t>
      </w:r>
      <w:r w:rsidR="00177255">
        <w:t xml:space="preserve"> (</w:t>
      </w:r>
      <w:r w:rsidR="00177255" w:rsidRPr="008E1812">
        <w:rPr>
          <w:i/>
          <w:iCs/>
        </w:rPr>
        <w:t>n</w:t>
      </w:r>
      <w:r w:rsidR="00177255">
        <w:t xml:space="preserve"> = 17, </w:t>
      </w:r>
      <w:r w:rsidR="00177255" w:rsidRPr="009943AE">
        <w:rPr>
          <w:i/>
          <w:iCs/>
        </w:rPr>
        <w:t>N</w:t>
      </w:r>
      <w:r w:rsidR="00177255">
        <w:t xml:space="preserve"> = 62) </w:t>
      </w:r>
      <w:r>
        <w:t xml:space="preserve"> and post-2016</w:t>
      </w:r>
      <w:r w:rsidR="00177255">
        <w:t xml:space="preserve"> (</w:t>
      </w:r>
      <w:r w:rsidR="00177255" w:rsidRPr="008E1812">
        <w:rPr>
          <w:i/>
          <w:iCs/>
        </w:rPr>
        <w:t>n</w:t>
      </w:r>
      <w:r w:rsidR="00177255">
        <w:t xml:space="preserve"> = 5, </w:t>
      </w:r>
      <w:r w:rsidR="00177255" w:rsidRPr="009943AE">
        <w:rPr>
          <w:i/>
          <w:iCs/>
        </w:rPr>
        <w:t>N</w:t>
      </w:r>
      <w:r w:rsidR="00177255">
        <w:t xml:space="preserve"> = 14) </w:t>
      </w:r>
      <w:r>
        <w:t xml:space="preserve">respectively </w:t>
      </w:r>
      <w:r w:rsidR="00177255">
        <w:t>underwent</w:t>
      </w:r>
      <w:r>
        <w:t xml:space="preserve"> a specialist placement in neuropsychology while training at UEA.</w:t>
      </w:r>
    </w:p>
    <w:p w14:paraId="6D6B548E" w14:textId="2AD4A94D" w:rsidR="00507989" w:rsidRDefault="00507989" w:rsidP="00507989">
      <w:pPr>
        <w:pStyle w:val="Heading4"/>
      </w:pPr>
      <w:r>
        <w:t>Post-</w:t>
      </w:r>
      <w:r w:rsidRPr="00507989">
        <w:t>training</w:t>
      </w:r>
      <w:r>
        <w:t xml:space="preserve"> Experience</w:t>
      </w:r>
    </w:p>
    <w:p w14:paraId="1CF287FE" w14:textId="105C8105" w:rsidR="00460370" w:rsidRDefault="00507989" w:rsidP="00460370">
      <w:r>
        <w:t xml:space="preserve">At the time of qualifying as a clinical psychologist, </w:t>
      </w:r>
      <w:r w:rsidR="00460370">
        <w:t>54.8% of the pre-2016 participants (</w:t>
      </w:r>
      <w:r w:rsidR="00460370" w:rsidRPr="008E1812">
        <w:rPr>
          <w:i/>
          <w:iCs/>
        </w:rPr>
        <w:t>n</w:t>
      </w:r>
      <w:r w:rsidR="00460370">
        <w:t xml:space="preserve"> =34, </w:t>
      </w:r>
      <w:r w:rsidR="00460370" w:rsidRPr="009943AE">
        <w:rPr>
          <w:i/>
          <w:iCs/>
        </w:rPr>
        <w:t>N</w:t>
      </w:r>
      <w:r w:rsidR="00460370">
        <w:t xml:space="preserve"> = 62) reported a “moderately developed” competency in neuropsychology, while </w:t>
      </w:r>
      <w:r w:rsidR="009C39E7">
        <w:t xml:space="preserve">16.1% </w:t>
      </w:r>
      <w:r w:rsidR="00460370">
        <w:t>felt it was “slightly developed”</w:t>
      </w:r>
      <w:r w:rsidR="00173D40" w:rsidRPr="00173D40">
        <w:t xml:space="preserve"> </w:t>
      </w:r>
      <w:r w:rsidR="00173D40">
        <w:t>(</w:t>
      </w:r>
      <w:r w:rsidR="00173D40" w:rsidRPr="008E1812">
        <w:rPr>
          <w:i/>
          <w:iCs/>
        </w:rPr>
        <w:t>n</w:t>
      </w:r>
      <w:r w:rsidR="00173D40">
        <w:t xml:space="preserve"> = 10, </w:t>
      </w:r>
      <w:r w:rsidR="00173D40" w:rsidRPr="009943AE">
        <w:rPr>
          <w:i/>
          <w:iCs/>
        </w:rPr>
        <w:t>N</w:t>
      </w:r>
      <w:r w:rsidR="00173D40">
        <w:t xml:space="preserve"> = 62)</w:t>
      </w:r>
      <w:r w:rsidR="009C39E7">
        <w:t xml:space="preserve">, </w:t>
      </w:r>
      <w:r w:rsidR="00460370">
        <w:t xml:space="preserve"> </w:t>
      </w:r>
      <w:r w:rsidR="009C39E7">
        <w:t xml:space="preserve">22.6% </w:t>
      </w:r>
      <w:r w:rsidR="00460370">
        <w:t>“well developed”</w:t>
      </w:r>
      <w:r w:rsidR="00173D40" w:rsidRPr="00173D40">
        <w:t xml:space="preserve"> </w:t>
      </w:r>
      <w:r w:rsidR="00173D40">
        <w:t>(</w:t>
      </w:r>
      <w:r w:rsidR="00173D40" w:rsidRPr="008E1812">
        <w:rPr>
          <w:i/>
          <w:iCs/>
        </w:rPr>
        <w:t>n</w:t>
      </w:r>
      <w:r w:rsidR="00173D40">
        <w:t xml:space="preserve"> = 14, </w:t>
      </w:r>
      <w:r w:rsidR="00173D40" w:rsidRPr="009943AE">
        <w:rPr>
          <w:i/>
          <w:iCs/>
        </w:rPr>
        <w:t>N</w:t>
      </w:r>
      <w:r w:rsidR="00173D40">
        <w:t xml:space="preserve"> = 62)</w:t>
      </w:r>
      <w:r w:rsidR="00460370">
        <w:t>, and 4.8% and 1.6% “very well developed”</w:t>
      </w:r>
      <w:r w:rsidR="00173D40" w:rsidRPr="00173D40">
        <w:t xml:space="preserve"> </w:t>
      </w:r>
      <w:r w:rsidR="00173D40">
        <w:t>(</w:t>
      </w:r>
      <w:r w:rsidR="00173D40" w:rsidRPr="008E1812">
        <w:rPr>
          <w:i/>
          <w:iCs/>
        </w:rPr>
        <w:t>n</w:t>
      </w:r>
      <w:r w:rsidR="00173D40">
        <w:t xml:space="preserve"> = 3, </w:t>
      </w:r>
      <w:r w:rsidR="00173D40" w:rsidRPr="009943AE">
        <w:rPr>
          <w:i/>
          <w:iCs/>
        </w:rPr>
        <w:t>N</w:t>
      </w:r>
      <w:r w:rsidR="00173D40">
        <w:t xml:space="preserve"> = 62) </w:t>
      </w:r>
      <w:r w:rsidR="00460370">
        <w:t xml:space="preserve"> and “not developed”</w:t>
      </w:r>
      <w:r w:rsidR="00173D40">
        <w:t xml:space="preserve"> (</w:t>
      </w:r>
      <w:r w:rsidR="00173D40" w:rsidRPr="008E1812">
        <w:rPr>
          <w:i/>
          <w:iCs/>
        </w:rPr>
        <w:t>n</w:t>
      </w:r>
      <w:r w:rsidR="00173D40">
        <w:t xml:space="preserve"> = 1, </w:t>
      </w:r>
      <w:r w:rsidR="00173D40" w:rsidRPr="009943AE">
        <w:rPr>
          <w:i/>
          <w:iCs/>
        </w:rPr>
        <w:t>N</w:t>
      </w:r>
      <w:r w:rsidR="00173D40">
        <w:t xml:space="preserve"> = 62)</w:t>
      </w:r>
      <w:r w:rsidR="00F57C3D">
        <w:t xml:space="preserve"> </w:t>
      </w:r>
      <w:r w:rsidR="00460370">
        <w:t xml:space="preserve">respectively. </w:t>
      </w:r>
      <w:r w:rsidR="00A05651">
        <w:t>By contrast</w:t>
      </w:r>
      <w:r w:rsidR="00460370">
        <w:t xml:space="preserve">, 50% of the post-2016 participants </w:t>
      </w:r>
      <w:r w:rsidR="00127E83">
        <w:t>reported “well developed” competency upon qualifying</w:t>
      </w:r>
      <w:r w:rsidR="00173D40">
        <w:t xml:space="preserve"> (</w:t>
      </w:r>
      <w:r w:rsidR="00173D40" w:rsidRPr="008E1812">
        <w:rPr>
          <w:i/>
          <w:iCs/>
        </w:rPr>
        <w:t>n</w:t>
      </w:r>
      <w:r w:rsidR="00173D40">
        <w:t xml:space="preserve"> = 7, </w:t>
      </w:r>
      <w:r w:rsidR="00173D40" w:rsidRPr="009943AE">
        <w:rPr>
          <w:i/>
          <w:iCs/>
        </w:rPr>
        <w:t>N</w:t>
      </w:r>
      <w:r w:rsidR="00173D40">
        <w:t xml:space="preserve"> = 14)</w:t>
      </w:r>
      <w:r w:rsidR="00127E83">
        <w:t>, 35.7% “moderately developed”</w:t>
      </w:r>
      <w:r w:rsidR="00F57C3D" w:rsidRPr="00F57C3D">
        <w:t xml:space="preserve"> </w:t>
      </w:r>
      <w:r w:rsidR="00F57C3D">
        <w:t>(</w:t>
      </w:r>
      <w:r w:rsidR="00F57C3D" w:rsidRPr="008E1812">
        <w:rPr>
          <w:i/>
          <w:iCs/>
        </w:rPr>
        <w:t>n</w:t>
      </w:r>
      <w:r w:rsidR="00F57C3D">
        <w:t xml:space="preserve"> = 5, </w:t>
      </w:r>
      <w:r w:rsidR="00F57C3D" w:rsidRPr="009943AE">
        <w:rPr>
          <w:i/>
          <w:iCs/>
        </w:rPr>
        <w:t>N</w:t>
      </w:r>
      <w:r w:rsidR="00F57C3D">
        <w:t xml:space="preserve"> = 14)</w:t>
      </w:r>
      <w:r w:rsidR="00127E83">
        <w:t>, and 7.1</w:t>
      </w:r>
      <w:r w:rsidR="002E2930">
        <w:t>%</w:t>
      </w:r>
      <w:r w:rsidR="00127E83">
        <w:t xml:space="preserve"> (</w:t>
      </w:r>
      <w:r w:rsidR="00127E83" w:rsidRPr="008E1812">
        <w:rPr>
          <w:i/>
          <w:iCs/>
        </w:rPr>
        <w:t>n</w:t>
      </w:r>
      <w:r w:rsidR="00127E83">
        <w:t xml:space="preserve"> = 1, </w:t>
      </w:r>
      <w:r w:rsidR="00127E83" w:rsidRPr="009943AE">
        <w:rPr>
          <w:i/>
          <w:iCs/>
        </w:rPr>
        <w:t>N</w:t>
      </w:r>
      <w:r w:rsidR="00127E83">
        <w:t xml:space="preserve"> = 14) either “not developed” or “very well developed”. </w:t>
      </w:r>
    </w:p>
    <w:p w14:paraId="0757FF74" w14:textId="1D338A7C" w:rsidR="009C39E7" w:rsidRDefault="009C39E7" w:rsidP="00460370">
      <w:r>
        <w:t>In terms of confidence, 50%</w:t>
      </w:r>
      <w:r w:rsidR="002E2930">
        <w:t xml:space="preserve"> </w:t>
      </w:r>
      <w:r>
        <w:t>of the pre-2016 cohorts felt they had reached a “moderately developed” level by the time of qualifying</w:t>
      </w:r>
      <w:r w:rsidR="002463C0">
        <w:t xml:space="preserve"> (</w:t>
      </w:r>
      <w:r w:rsidR="002463C0" w:rsidRPr="008E1812">
        <w:rPr>
          <w:i/>
          <w:iCs/>
        </w:rPr>
        <w:t>n</w:t>
      </w:r>
      <w:r w:rsidR="002463C0">
        <w:t xml:space="preserve"> = 31, </w:t>
      </w:r>
      <w:r w:rsidR="002463C0" w:rsidRPr="009943AE">
        <w:rPr>
          <w:i/>
          <w:iCs/>
        </w:rPr>
        <w:t>N</w:t>
      </w:r>
      <w:r w:rsidR="002463C0">
        <w:t xml:space="preserve"> = 62)</w:t>
      </w:r>
      <w:r>
        <w:t>, while 22.2%  reported it as “well developed”</w:t>
      </w:r>
      <w:r w:rsidR="002463C0" w:rsidRPr="002463C0">
        <w:t xml:space="preserve"> </w:t>
      </w:r>
      <w:r w:rsidR="002463C0">
        <w:t>(</w:t>
      </w:r>
      <w:r w:rsidR="002463C0" w:rsidRPr="008E1812">
        <w:rPr>
          <w:i/>
          <w:iCs/>
        </w:rPr>
        <w:t>n</w:t>
      </w:r>
      <w:r w:rsidR="002463C0">
        <w:t xml:space="preserve"> = 15, </w:t>
      </w:r>
      <w:r w:rsidR="002463C0" w:rsidRPr="009943AE">
        <w:rPr>
          <w:i/>
          <w:iCs/>
        </w:rPr>
        <w:t>N</w:t>
      </w:r>
      <w:r w:rsidR="002463C0">
        <w:t xml:space="preserve"> = 62)</w:t>
      </w:r>
      <w:r>
        <w:t>, 19.4% as “slightly developed”</w:t>
      </w:r>
      <w:r w:rsidR="002463C0" w:rsidRPr="002463C0">
        <w:t xml:space="preserve"> </w:t>
      </w:r>
      <w:r w:rsidR="002463C0">
        <w:t>(</w:t>
      </w:r>
      <w:r w:rsidR="002463C0" w:rsidRPr="008E1812">
        <w:rPr>
          <w:i/>
          <w:iCs/>
        </w:rPr>
        <w:t>n</w:t>
      </w:r>
      <w:r w:rsidR="002463C0">
        <w:t xml:space="preserve"> = 12, </w:t>
      </w:r>
      <w:r w:rsidR="002463C0" w:rsidRPr="009943AE">
        <w:rPr>
          <w:i/>
          <w:iCs/>
        </w:rPr>
        <w:t>N</w:t>
      </w:r>
      <w:r w:rsidR="002463C0">
        <w:t xml:space="preserve"> = 62), </w:t>
      </w:r>
      <w:r>
        <w:t xml:space="preserve"> and 4.8% (</w:t>
      </w:r>
      <w:r w:rsidRPr="008E1812">
        <w:rPr>
          <w:i/>
          <w:iCs/>
        </w:rPr>
        <w:t>n</w:t>
      </w:r>
      <w:r>
        <w:t xml:space="preserve"> = 3, </w:t>
      </w:r>
      <w:r w:rsidRPr="009943AE">
        <w:rPr>
          <w:i/>
          <w:iCs/>
        </w:rPr>
        <w:t>N</w:t>
      </w:r>
      <w:r>
        <w:t xml:space="preserve"> = 62) and 1.6% (</w:t>
      </w:r>
      <w:r w:rsidRPr="008E1812">
        <w:rPr>
          <w:i/>
          <w:iCs/>
        </w:rPr>
        <w:t>n</w:t>
      </w:r>
      <w:r>
        <w:t xml:space="preserve"> = 1, </w:t>
      </w:r>
      <w:r w:rsidRPr="009943AE">
        <w:rPr>
          <w:i/>
          <w:iCs/>
        </w:rPr>
        <w:t>N</w:t>
      </w:r>
      <w:r>
        <w:t xml:space="preserve"> = 62) “very well developed” and “not developed” respectively. On the other hand, 42.9% of the post-2016 participants felt they had “moderately developed”</w:t>
      </w:r>
      <w:r w:rsidR="008A64F5">
        <w:t xml:space="preserve"> (</w:t>
      </w:r>
      <w:r w:rsidR="008A64F5" w:rsidRPr="008E1812">
        <w:rPr>
          <w:i/>
          <w:iCs/>
        </w:rPr>
        <w:t>n</w:t>
      </w:r>
      <w:r w:rsidR="008A64F5">
        <w:t xml:space="preserve"> = 6, </w:t>
      </w:r>
      <w:r w:rsidR="008A64F5" w:rsidRPr="009943AE">
        <w:rPr>
          <w:i/>
          <w:iCs/>
        </w:rPr>
        <w:t>N</w:t>
      </w:r>
      <w:r w:rsidR="008A64F5">
        <w:t xml:space="preserve"> = 14</w:t>
      </w:r>
      <w:r w:rsidR="00DC2EC4">
        <w:t>) or</w:t>
      </w:r>
      <w:r>
        <w:t xml:space="preserve"> “well developed”</w:t>
      </w:r>
      <w:r w:rsidR="008A64F5">
        <w:t xml:space="preserve"> (</w:t>
      </w:r>
      <w:r w:rsidR="008A64F5" w:rsidRPr="008E1812">
        <w:rPr>
          <w:i/>
          <w:iCs/>
        </w:rPr>
        <w:t>n</w:t>
      </w:r>
      <w:r w:rsidR="008A64F5">
        <w:t xml:space="preserve"> = 6, </w:t>
      </w:r>
      <w:r w:rsidR="008A64F5" w:rsidRPr="009943AE">
        <w:rPr>
          <w:i/>
          <w:iCs/>
        </w:rPr>
        <w:t>N</w:t>
      </w:r>
      <w:r w:rsidR="008A64F5">
        <w:t xml:space="preserve"> = 14) </w:t>
      </w:r>
      <w:r>
        <w:t xml:space="preserve"> confidence</w:t>
      </w:r>
      <w:r w:rsidR="004C3B3E">
        <w:t xml:space="preserve">, </w:t>
      </w:r>
      <w:r w:rsidR="00F57C3D">
        <w:t xml:space="preserve">while </w:t>
      </w:r>
      <w:r w:rsidR="004C3B3E">
        <w:t>7.1%  (</w:t>
      </w:r>
      <w:r w:rsidR="004C3B3E" w:rsidRPr="008E1812">
        <w:rPr>
          <w:i/>
          <w:iCs/>
        </w:rPr>
        <w:t>n</w:t>
      </w:r>
      <w:r w:rsidR="004C3B3E">
        <w:t xml:space="preserve"> = 1, </w:t>
      </w:r>
      <w:r w:rsidR="004C3B3E" w:rsidRPr="009943AE">
        <w:rPr>
          <w:i/>
          <w:iCs/>
        </w:rPr>
        <w:t>N</w:t>
      </w:r>
      <w:r w:rsidR="004C3B3E">
        <w:t xml:space="preserve"> = 14) report</w:t>
      </w:r>
      <w:r w:rsidR="00F57C3D">
        <w:t>ed</w:t>
      </w:r>
      <w:r w:rsidR="004C3B3E">
        <w:t xml:space="preserve"> it as </w:t>
      </w:r>
      <w:r w:rsidR="00F57C3D">
        <w:t xml:space="preserve">either </w:t>
      </w:r>
      <w:r w:rsidR="004C3B3E">
        <w:t>“not developed” or “very well developed”.</w:t>
      </w:r>
    </w:p>
    <w:p w14:paraId="2CF1C942" w14:textId="1967C784" w:rsidR="00460CF2" w:rsidRDefault="00321A44" w:rsidP="002E2930">
      <w:r>
        <w:t xml:space="preserve">Around one fifth of the </w:t>
      </w:r>
      <w:r w:rsidR="00261542">
        <w:t>p</w:t>
      </w:r>
      <w:r w:rsidR="00D51E2D">
        <w:t>re</w:t>
      </w:r>
      <w:r>
        <w:t>-2016 participants (</w:t>
      </w:r>
      <w:r w:rsidRPr="008E1812">
        <w:rPr>
          <w:i/>
          <w:iCs/>
        </w:rPr>
        <w:t>n</w:t>
      </w:r>
      <w:r>
        <w:t xml:space="preserve"> = 12, 19.4%</w:t>
      </w:r>
      <w:r>
        <w:rPr>
          <w:rFonts w:cs="Times New Roman"/>
        </w:rPr>
        <w:t xml:space="preserve">, </w:t>
      </w:r>
      <w:r w:rsidRPr="009943AE">
        <w:rPr>
          <w:rFonts w:cs="Times New Roman"/>
          <w:i/>
          <w:iCs/>
        </w:rPr>
        <w:t>N</w:t>
      </w:r>
      <w:r>
        <w:rPr>
          <w:rFonts w:cs="Times New Roman"/>
        </w:rPr>
        <w:t xml:space="preserve"> = 62</w:t>
      </w:r>
      <w:r>
        <w:t>) and 14.3% of the post-2016 (</w:t>
      </w:r>
      <w:r w:rsidRPr="008E1812">
        <w:rPr>
          <w:i/>
          <w:iCs/>
        </w:rPr>
        <w:t>n</w:t>
      </w:r>
      <w:r>
        <w:t xml:space="preserve"> = 2, </w:t>
      </w:r>
      <w:r w:rsidRPr="009943AE">
        <w:rPr>
          <w:rFonts w:cs="Times New Roman"/>
          <w:i/>
          <w:iCs/>
        </w:rPr>
        <w:t>N</w:t>
      </w:r>
      <w:r>
        <w:rPr>
          <w:rFonts w:cs="Times New Roman"/>
        </w:rPr>
        <w:t xml:space="preserve"> = 14</w:t>
      </w:r>
      <w:r>
        <w:t>) undertook further training in neuropsychology after qualifying, with the most common option being a Postgraduate Diploma (PGDip) in Clinical Neuropsychology</w:t>
      </w:r>
      <w:r w:rsidR="00460CF2">
        <w:t>.</w:t>
      </w:r>
    </w:p>
    <w:p w14:paraId="45BDA138" w14:textId="77777777" w:rsidR="004305F2" w:rsidRDefault="004305F2" w:rsidP="004305F2">
      <w:pPr>
        <w:pStyle w:val="Heading4"/>
      </w:pPr>
      <w:r>
        <w:lastRenderedPageBreak/>
        <w:t>Current Competency and Confidence</w:t>
      </w:r>
    </w:p>
    <w:p w14:paraId="44F49F03" w14:textId="10889053" w:rsidR="000E1B32" w:rsidRPr="00EA415A" w:rsidRDefault="00032E34" w:rsidP="00EA415A">
      <w:pPr>
        <w:rPr>
          <w:rFonts w:cs="Times New Roman"/>
          <w:color w:val="4D5156"/>
          <w:shd w:val="clear" w:color="auto" w:fill="FFFFFF"/>
        </w:rPr>
      </w:pPr>
      <w:r>
        <w:t xml:space="preserve">At the time </w:t>
      </w:r>
      <w:r w:rsidR="002E2930">
        <w:t xml:space="preserve">of </w:t>
      </w:r>
      <w:r w:rsidR="009458F5">
        <w:t>survey completion</w:t>
      </w:r>
      <w:r w:rsidR="00993819">
        <w:t>, pre-2016 participants reported weakness</w:t>
      </w:r>
      <w:r w:rsidR="002E2930">
        <w:t>es</w:t>
      </w:r>
      <w:r w:rsidR="00993819">
        <w:t xml:space="preserve"> </w:t>
      </w:r>
      <w:r w:rsidR="0018698E">
        <w:t xml:space="preserve">(i.e., </w:t>
      </w:r>
      <w:r w:rsidR="009458F5">
        <w:t xml:space="preserve">rated </w:t>
      </w:r>
      <w:r w:rsidR="0018698E" w:rsidRPr="00065144">
        <w:rPr>
          <w:rFonts w:cs="Times New Roman"/>
        </w:rPr>
        <w:t>‘</w:t>
      </w:r>
      <w:r w:rsidR="0018698E">
        <w:rPr>
          <w:rFonts w:cs="Times New Roman"/>
        </w:rPr>
        <w:t>n</w:t>
      </w:r>
      <w:r w:rsidR="0018698E" w:rsidRPr="00065144">
        <w:rPr>
          <w:rFonts w:cs="Times New Roman"/>
        </w:rPr>
        <w:t>ot/</w:t>
      </w:r>
      <w:r w:rsidR="0018698E">
        <w:rPr>
          <w:rFonts w:cs="Times New Roman"/>
        </w:rPr>
        <w:t>s</w:t>
      </w:r>
      <w:r w:rsidR="0018698E" w:rsidRPr="00065144">
        <w:rPr>
          <w:rFonts w:cs="Times New Roman"/>
        </w:rPr>
        <w:t xml:space="preserve">lightly </w:t>
      </w:r>
      <w:r w:rsidR="0018698E">
        <w:rPr>
          <w:rFonts w:cs="Times New Roman"/>
        </w:rPr>
        <w:t>d</w:t>
      </w:r>
      <w:r w:rsidR="0018698E" w:rsidRPr="00065144">
        <w:rPr>
          <w:rFonts w:cs="Times New Roman"/>
        </w:rPr>
        <w:t>eveloped’</w:t>
      </w:r>
      <w:r w:rsidR="009458F5">
        <w:rPr>
          <w:rFonts w:cs="Times New Roman"/>
        </w:rPr>
        <w:t xml:space="preserve"> by </w:t>
      </w:r>
      <w:r w:rsidR="009458F5" w:rsidRPr="00065144">
        <w:rPr>
          <w:rFonts w:cs="Times New Roman"/>
        </w:rPr>
        <w:t>≥ 33.3%</w:t>
      </w:r>
      <w:r w:rsidR="009458F5">
        <w:rPr>
          <w:rFonts w:cs="Times New Roman"/>
        </w:rPr>
        <w:t xml:space="preserve"> of respondents</w:t>
      </w:r>
      <w:r w:rsidR="0018698E">
        <w:rPr>
          <w:rFonts w:cs="Times New Roman"/>
        </w:rPr>
        <w:t xml:space="preserve">) </w:t>
      </w:r>
      <w:r w:rsidR="00993819">
        <w:t xml:space="preserve">in 20.5% </w:t>
      </w:r>
      <w:r w:rsidR="009458F5">
        <w:t xml:space="preserve">of </w:t>
      </w:r>
      <w:r w:rsidR="0018698E">
        <w:t>c</w:t>
      </w:r>
      <w:r w:rsidR="00993819">
        <w:t>ompetency</w:t>
      </w:r>
      <w:r w:rsidR="0018698E">
        <w:t xml:space="preserve"> questions</w:t>
      </w:r>
      <w:r w:rsidR="00993819">
        <w:t xml:space="preserve"> and 30.7% </w:t>
      </w:r>
      <w:r w:rsidR="009458F5">
        <w:t xml:space="preserve">of </w:t>
      </w:r>
      <w:r w:rsidR="0018698E">
        <w:t xml:space="preserve">confidence questions, </w:t>
      </w:r>
      <w:r w:rsidR="00442E74">
        <w:t xml:space="preserve">against </w:t>
      </w:r>
      <w:r w:rsidR="00442E74" w:rsidRPr="00442E74">
        <w:rPr>
          <w:rFonts w:cs="Times New Roman"/>
        </w:rPr>
        <w:t>10.3% (</w:t>
      </w:r>
      <w:r w:rsidR="00EA415A">
        <w:rPr>
          <w:rFonts w:cs="Times New Roman"/>
        </w:rPr>
        <w:t xml:space="preserve">pre-post </w:t>
      </w:r>
      <w:r w:rsidR="00442E74" w:rsidRPr="00442E74">
        <w:rPr>
          <w:rFonts w:cs="Times New Roman"/>
          <w:shd w:val="clear" w:color="auto" w:fill="FFFFFF"/>
        </w:rPr>
        <w:t>Δ =</w:t>
      </w:r>
      <w:r w:rsidR="00442E74" w:rsidRPr="00442E74">
        <w:rPr>
          <w:rFonts w:cs="Times New Roman"/>
          <w:color w:val="4D5156"/>
          <w:shd w:val="clear" w:color="auto" w:fill="FFFFFF"/>
        </w:rPr>
        <w:t xml:space="preserve"> </w:t>
      </w:r>
      <w:r w:rsidR="00442E74" w:rsidRPr="00065144">
        <w:rPr>
          <w:rFonts w:cs="Times New Roman"/>
        </w:rPr>
        <w:t>10.2%</w:t>
      </w:r>
      <w:r w:rsidR="00442E74">
        <w:rPr>
          <w:rFonts w:cs="Times New Roman"/>
        </w:rPr>
        <w:t>)</w:t>
      </w:r>
      <w:r w:rsidR="00442E74" w:rsidRPr="00442E74">
        <w:rPr>
          <w:rFonts w:cs="Times New Roman"/>
        </w:rPr>
        <w:t xml:space="preserve"> and 15.4%</w:t>
      </w:r>
      <w:r w:rsidR="00442E74">
        <w:rPr>
          <w:rFonts w:cs="Times New Roman"/>
        </w:rPr>
        <w:t xml:space="preserve"> </w:t>
      </w:r>
      <w:r w:rsidR="00442E74" w:rsidRPr="00442E74">
        <w:rPr>
          <w:rFonts w:cs="Times New Roman"/>
        </w:rPr>
        <w:t>(</w:t>
      </w:r>
      <w:r w:rsidR="00EA415A">
        <w:rPr>
          <w:rFonts w:cs="Times New Roman"/>
        </w:rPr>
        <w:t xml:space="preserve">pre-post </w:t>
      </w:r>
      <w:r w:rsidR="00442E74" w:rsidRPr="00442E74">
        <w:rPr>
          <w:rFonts w:cs="Times New Roman"/>
          <w:shd w:val="clear" w:color="auto" w:fill="FFFFFF"/>
        </w:rPr>
        <w:t>Δ =</w:t>
      </w:r>
      <w:r w:rsidR="00442E74" w:rsidRPr="00442E74">
        <w:rPr>
          <w:rFonts w:cs="Times New Roman"/>
          <w:color w:val="4D5156"/>
          <w:shd w:val="clear" w:color="auto" w:fill="FFFFFF"/>
        </w:rPr>
        <w:t xml:space="preserve"> </w:t>
      </w:r>
      <w:r w:rsidR="00442E74">
        <w:rPr>
          <w:rFonts w:cs="Times New Roman"/>
        </w:rPr>
        <w:t>15.3</w:t>
      </w:r>
      <w:r w:rsidR="00442E74" w:rsidRPr="00065144">
        <w:rPr>
          <w:rFonts w:cs="Times New Roman"/>
        </w:rPr>
        <w:t>%</w:t>
      </w:r>
      <w:r w:rsidR="00442E74">
        <w:rPr>
          <w:rFonts w:cs="Times New Roman"/>
        </w:rPr>
        <w:t>)</w:t>
      </w:r>
      <w:r w:rsidR="00442E74" w:rsidRPr="00442E74">
        <w:rPr>
          <w:rFonts w:cs="Times New Roman"/>
        </w:rPr>
        <w:t xml:space="preserve"> weaknesses reported respectively by</w:t>
      </w:r>
      <w:r w:rsidR="0018698E" w:rsidRPr="00442E74">
        <w:rPr>
          <w:rFonts w:cs="Times New Roman"/>
        </w:rPr>
        <w:t xml:space="preserve"> </w:t>
      </w:r>
      <w:r w:rsidR="00442E74">
        <w:rPr>
          <w:rFonts w:cs="Times New Roman"/>
        </w:rPr>
        <w:t>the</w:t>
      </w:r>
      <w:r w:rsidR="0018698E" w:rsidRPr="00442E74">
        <w:rPr>
          <w:rFonts w:cs="Times New Roman"/>
        </w:rPr>
        <w:t xml:space="preserve"> post-2016</w:t>
      </w:r>
      <w:r w:rsidR="00993819" w:rsidRPr="00442E74">
        <w:rPr>
          <w:rFonts w:cs="Times New Roman"/>
        </w:rPr>
        <w:t xml:space="preserve"> </w:t>
      </w:r>
      <w:r w:rsidR="00442E74">
        <w:rPr>
          <w:rFonts w:cs="Times New Roman"/>
        </w:rPr>
        <w:t>participants. Similarly,</w:t>
      </w:r>
      <w:r w:rsidR="003060E9">
        <w:rPr>
          <w:rFonts w:cs="Times New Roman"/>
        </w:rPr>
        <w:t xml:space="preserve"> </w:t>
      </w:r>
      <w:r w:rsidR="00442E74">
        <w:rPr>
          <w:rFonts w:cs="Times New Roman"/>
        </w:rPr>
        <w:t xml:space="preserve">strengths (i.e., </w:t>
      </w:r>
      <w:r w:rsidR="009458F5">
        <w:rPr>
          <w:rFonts w:cs="Times New Roman"/>
        </w:rPr>
        <w:t xml:space="preserve">rated </w:t>
      </w:r>
      <w:r w:rsidR="00442E74" w:rsidRPr="00065144">
        <w:rPr>
          <w:rFonts w:cs="Times New Roman"/>
        </w:rPr>
        <w:t>‘</w:t>
      </w:r>
      <w:r w:rsidR="00442E74">
        <w:rPr>
          <w:rFonts w:cs="Times New Roman"/>
        </w:rPr>
        <w:t>w</w:t>
      </w:r>
      <w:r w:rsidR="00442E74" w:rsidRPr="00065144">
        <w:rPr>
          <w:rFonts w:cs="Times New Roman"/>
        </w:rPr>
        <w:t>ell/</w:t>
      </w:r>
      <w:r w:rsidR="00442E74">
        <w:rPr>
          <w:rFonts w:cs="Times New Roman"/>
        </w:rPr>
        <w:t>v</w:t>
      </w:r>
      <w:r w:rsidR="00442E74" w:rsidRPr="00065144">
        <w:rPr>
          <w:rFonts w:cs="Times New Roman"/>
        </w:rPr>
        <w:t xml:space="preserve">ery </w:t>
      </w:r>
      <w:r w:rsidR="00442E74">
        <w:rPr>
          <w:rFonts w:cs="Times New Roman"/>
        </w:rPr>
        <w:t>w</w:t>
      </w:r>
      <w:r w:rsidR="00442E74" w:rsidRPr="00065144">
        <w:rPr>
          <w:rFonts w:cs="Times New Roman"/>
        </w:rPr>
        <w:t>ell developed’</w:t>
      </w:r>
      <w:r w:rsidR="009458F5">
        <w:rPr>
          <w:rFonts w:cs="Times New Roman"/>
        </w:rPr>
        <w:t xml:space="preserve"> by </w:t>
      </w:r>
      <w:r w:rsidR="009458F5" w:rsidRPr="00065144">
        <w:rPr>
          <w:rFonts w:cs="Times New Roman"/>
        </w:rPr>
        <w:t>≥ 33.3%</w:t>
      </w:r>
      <w:r w:rsidR="009458F5">
        <w:rPr>
          <w:rFonts w:cs="Times New Roman"/>
        </w:rPr>
        <w:t xml:space="preserve"> of respondents</w:t>
      </w:r>
      <w:r w:rsidR="00442E74">
        <w:rPr>
          <w:rFonts w:cs="Times New Roman"/>
        </w:rPr>
        <w:t xml:space="preserve">) were reported by pre-2016 participants in </w:t>
      </w:r>
      <w:r w:rsidR="00EA415A">
        <w:rPr>
          <w:rFonts w:cs="Times New Roman"/>
        </w:rPr>
        <w:t xml:space="preserve">only </w:t>
      </w:r>
      <w:r w:rsidR="00442E74">
        <w:rPr>
          <w:rFonts w:cs="Times New Roman"/>
        </w:rPr>
        <w:t xml:space="preserve">15.4% </w:t>
      </w:r>
      <w:r w:rsidR="00EA415A">
        <w:rPr>
          <w:rFonts w:cs="Times New Roman"/>
        </w:rPr>
        <w:t xml:space="preserve">of both competency and confidence questions, while the post-2016 participants reported strengths in 71.8% of the competency questions </w:t>
      </w:r>
      <w:r w:rsidR="00EA415A" w:rsidRPr="00442E74">
        <w:rPr>
          <w:rFonts w:cs="Times New Roman"/>
        </w:rPr>
        <w:t>(</w:t>
      </w:r>
      <w:r w:rsidR="00EA415A">
        <w:rPr>
          <w:rFonts w:cs="Times New Roman"/>
        </w:rPr>
        <w:t xml:space="preserve">pre-post </w:t>
      </w:r>
      <w:r w:rsidR="00EA415A" w:rsidRPr="00442E74">
        <w:rPr>
          <w:rFonts w:cs="Times New Roman"/>
          <w:shd w:val="clear" w:color="auto" w:fill="FFFFFF"/>
        </w:rPr>
        <w:t>Δ =</w:t>
      </w:r>
      <w:r w:rsidR="00EA415A" w:rsidRPr="00442E74">
        <w:rPr>
          <w:rFonts w:cs="Times New Roman"/>
          <w:color w:val="4D5156"/>
          <w:shd w:val="clear" w:color="auto" w:fill="FFFFFF"/>
        </w:rPr>
        <w:t xml:space="preserve"> </w:t>
      </w:r>
      <w:r w:rsidR="00EA415A">
        <w:rPr>
          <w:rFonts w:cs="Times New Roman"/>
        </w:rPr>
        <w:t>56.4</w:t>
      </w:r>
      <w:r w:rsidR="00EA415A" w:rsidRPr="00065144">
        <w:rPr>
          <w:rFonts w:cs="Times New Roman"/>
        </w:rPr>
        <w:t>%</w:t>
      </w:r>
      <w:r w:rsidR="00EA415A">
        <w:rPr>
          <w:rFonts w:cs="Times New Roman"/>
        </w:rPr>
        <w:t xml:space="preserve">) and 38.5% of confidence questions </w:t>
      </w:r>
      <w:r w:rsidR="00EA415A" w:rsidRPr="00442E74">
        <w:rPr>
          <w:rFonts w:cs="Times New Roman"/>
        </w:rPr>
        <w:t>(</w:t>
      </w:r>
      <w:r w:rsidR="00EA415A">
        <w:rPr>
          <w:rFonts w:cs="Times New Roman"/>
        </w:rPr>
        <w:t xml:space="preserve">pre-post </w:t>
      </w:r>
      <w:r w:rsidR="00EA415A" w:rsidRPr="00442E74">
        <w:rPr>
          <w:rFonts w:cs="Times New Roman"/>
          <w:shd w:val="clear" w:color="auto" w:fill="FFFFFF"/>
        </w:rPr>
        <w:t>Δ =</w:t>
      </w:r>
      <w:r w:rsidR="00EA415A" w:rsidRPr="00442E74">
        <w:rPr>
          <w:rFonts w:cs="Times New Roman"/>
          <w:color w:val="4D5156"/>
          <w:shd w:val="clear" w:color="auto" w:fill="FFFFFF"/>
        </w:rPr>
        <w:t xml:space="preserve"> </w:t>
      </w:r>
      <w:r w:rsidR="00EA415A">
        <w:rPr>
          <w:rFonts w:cs="Times New Roman"/>
        </w:rPr>
        <w:t>23.1</w:t>
      </w:r>
      <w:r w:rsidR="00EA415A" w:rsidRPr="00065144">
        <w:rPr>
          <w:rFonts w:cs="Times New Roman"/>
        </w:rPr>
        <w:t>%</w:t>
      </w:r>
      <w:r w:rsidR="00EA415A">
        <w:rPr>
          <w:rFonts w:cs="Times New Roman"/>
        </w:rPr>
        <w:t xml:space="preserve">). </w:t>
      </w:r>
      <w:r w:rsidR="00555997">
        <w:t xml:space="preserve">Figure 1 provides a visual </w:t>
      </w:r>
      <w:r w:rsidR="0097554D" w:rsidRPr="00EA025F">
        <w:t>comparison o</w:t>
      </w:r>
      <w:r w:rsidR="0097554D">
        <w:t>f</w:t>
      </w:r>
      <w:r w:rsidR="0097554D" w:rsidRPr="00EA025F">
        <w:t xml:space="preserve"> perceived strengths and weaknesses </w:t>
      </w:r>
      <w:r w:rsidR="0097554D">
        <w:t>between cohorts</w:t>
      </w:r>
      <w:r w:rsidR="0097554D" w:rsidRPr="00EA025F">
        <w:t xml:space="preserve"> on</w:t>
      </w:r>
      <w:r w:rsidR="0097554D">
        <w:t xml:space="preserve"> the</w:t>
      </w:r>
      <w:r w:rsidR="0097554D" w:rsidRPr="00EA025F">
        <w:t xml:space="preserve"> </w:t>
      </w:r>
      <w:r w:rsidR="0097554D">
        <w:t>competency and confidence</w:t>
      </w:r>
      <w:r w:rsidR="0097554D" w:rsidRPr="00EA025F">
        <w:t xml:space="preserve"> questions</w:t>
      </w:r>
      <w:r w:rsidR="00555997">
        <w:t>.</w:t>
      </w:r>
    </w:p>
    <w:p w14:paraId="7821542A" w14:textId="11809A13" w:rsidR="00535852" w:rsidRPr="00965EBF" w:rsidRDefault="00650D82" w:rsidP="00261542">
      <w:r>
        <w:t>T</w:t>
      </w:r>
      <w:r w:rsidR="000E1B32">
        <w:t xml:space="preserve">he </w:t>
      </w:r>
      <w:r>
        <w:t>most notable weaknesses reported by</w:t>
      </w:r>
      <w:r w:rsidR="002A41B1">
        <w:t xml:space="preserve"> </w:t>
      </w:r>
      <w:r w:rsidR="00616228">
        <w:t>over</w:t>
      </w:r>
      <w:r w:rsidR="002A41B1">
        <w:t xml:space="preserve"> a third of</w:t>
      </w:r>
      <w:r>
        <w:t xml:space="preserve"> </w:t>
      </w:r>
      <w:r w:rsidR="000E1B32">
        <w:t>pre-2016 participants in</w:t>
      </w:r>
      <w:r>
        <w:t>volved</w:t>
      </w:r>
      <w:r w:rsidR="000E1B32">
        <w:t xml:space="preserve"> the assessment of perception and</w:t>
      </w:r>
      <w:r w:rsidR="002A41B1">
        <w:t xml:space="preserve"> object</w:t>
      </w:r>
      <w:r w:rsidR="000E1B32">
        <w:t xml:space="preserve"> recognition, the </w:t>
      </w:r>
      <w:r w:rsidR="009B7FC0">
        <w:t>understanding</w:t>
      </w:r>
      <w:r w:rsidR="000E1B32">
        <w:t xml:space="preserve"> of </w:t>
      </w:r>
      <w:r w:rsidR="000E1B32" w:rsidRPr="00446CEB">
        <w:t>neuroimaging reports</w:t>
      </w:r>
      <w:r w:rsidR="000E1B32">
        <w:t xml:space="preserve">, and </w:t>
      </w:r>
      <w:r w:rsidR="000E1B32" w:rsidRPr="00446CEB">
        <w:t>the process of providing expert neuropsychological opinion and advice, including the preparation and presentation of evidence in formal settings</w:t>
      </w:r>
      <w:r w:rsidR="000E1B32">
        <w:t xml:space="preserve"> (e.g., courts of law). On the other hand, </w:t>
      </w:r>
      <w:r>
        <w:t>the weakness reported by</w:t>
      </w:r>
      <w:r w:rsidR="001B0084">
        <w:t xml:space="preserve"> </w:t>
      </w:r>
      <w:r w:rsidR="002A41B1">
        <w:t xml:space="preserve">more than a third of </w:t>
      </w:r>
      <w:r>
        <w:t>the</w:t>
      </w:r>
      <w:r w:rsidR="001B0084">
        <w:t xml:space="preserve"> </w:t>
      </w:r>
      <w:r w:rsidR="000E1B32">
        <w:t xml:space="preserve">post-2016 participants </w:t>
      </w:r>
      <w:r>
        <w:t xml:space="preserve">was </w:t>
      </w:r>
      <w:r w:rsidR="000E1B32">
        <w:t xml:space="preserve">the supervision of trainees or assistant psychologists </w:t>
      </w:r>
      <w:r w:rsidR="001B0084">
        <w:t>with</w:t>
      </w:r>
      <w:r w:rsidR="000E1B32">
        <w:t>in a neuropsychological context</w:t>
      </w:r>
      <w:r w:rsidR="001B0084">
        <w:t>.</w:t>
      </w:r>
      <w:r w:rsidR="000E1B32">
        <w:t xml:space="preserve"> </w:t>
      </w:r>
      <w:r w:rsidR="000E1B32">
        <w:rPr>
          <w:rFonts w:cs="Times New Roman"/>
        </w:rPr>
        <w:t xml:space="preserve">Common </w:t>
      </w:r>
      <w:r>
        <w:rPr>
          <w:rFonts w:cs="Times New Roman"/>
        </w:rPr>
        <w:t xml:space="preserve">notable </w:t>
      </w:r>
      <w:r w:rsidR="000E1B32">
        <w:rPr>
          <w:rFonts w:cs="Times New Roman"/>
        </w:rPr>
        <w:t xml:space="preserve">weaknesses </w:t>
      </w:r>
      <w:r>
        <w:rPr>
          <w:rFonts w:cs="Times New Roman"/>
        </w:rPr>
        <w:t xml:space="preserve">reported by </w:t>
      </w:r>
      <w:r w:rsidR="00253C34">
        <w:rPr>
          <w:rFonts w:cs="Times New Roman"/>
        </w:rPr>
        <w:t xml:space="preserve">over a third of </w:t>
      </w:r>
      <w:r>
        <w:rPr>
          <w:rFonts w:cs="Times New Roman"/>
        </w:rPr>
        <w:t xml:space="preserve">both </w:t>
      </w:r>
      <w:r w:rsidR="000E1B32">
        <w:rPr>
          <w:rFonts w:cs="Times New Roman"/>
        </w:rPr>
        <w:t xml:space="preserve">cohorts included </w:t>
      </w:r>
      <w:r w:rsidR="000E1B32">
        <w:t xml:space="preserve">the assessment of language and the development and delivery of neurorehabilitation interventions. </w:t>
      </w:r>
    </w:p>
    <w:p w14:paraId="6BB7A5CC" w14:textId="19C17032" w:rsidR="00233B0A" w:rsidRPr="00065144" w:rsidRDefault="00233B0A" w:rsidP="00BB24FC">
      <w:pPr>
        <w:pStyle w:val="Heading2"/>
        <w:rPr>
          <w:rFonts w:cs="Times New Roman"/>
        </w:rPr>
      </w:pPr>
      <w:r w:rsidRPr="00065144">
        <w:rPr>
          <w:rFonts w:cs="Times New Roman"/>
        </w:rPr>
        <w:t>Discussion</w:t>
      </w:r>
    </w:p>
    <w:p w14:paraId="67D83A2D" w14:textId="1F72FEA3" w:rsidR="0038511F" w:rsidRPr="00065144" w:rsidRDefault="0038511F" w:rsidP="0038511F">
      <w:pPr>
        <w:rPr>
          <w:rFonts w:cs="Times New Roman"/>
        </w:rPr>
      </w:pPr>
      <w:r w:rsidRPr="00065144">
        <w:rPr>
          <w:rFonts w:cs="Times New Roman"/>
        </w:rPr>
        <w:t xml:space="preserve">This evaluation aimed to carry out a first assessment of the impact of changes to the neuropsychological components of the UEA </w:t>
      </w:r>
      <w:proofErr w:type="spellStart"/>
      <w:r w:rsidRPr="00065144">
        <w:rPr>
          <w:rFonts w:cs="Times New Roman"/>
        </w:rPr>
        <w:t>ClinPsyD</w:t>
      </w:r>
      <w:proofErr w:type="spellEnd"/>
      <w:r w:rsidRPr="00065144">
        <w:rPr>
          <w:rFonts w:cs="Times New Roman"/>
        </w:rPr>
        <w:t xml:space="preserve"> Programme over the past six years on </w:t>
      </w:r>
      <w:r w:rsidRPr="00065144">
        <w:rPr>
          <w:rFonts w:cs="Times New Roman"/>
        </w:rPr>
        <w:lastRenderedPageBreak/>
        <w:t xml:space="preserve">the self-rated competency and confidence in neuropsychology of UEA-qualified </w:t>
      </w:r>
      <w:r>
        <w:rPr>
          <w:rFonts w:cs="Times New Roman"/>
        </w:rPr>
        <w:t>c</w:t>
      </w:r>
      <w:r w:rsidRPr="00065144">
        <w:rPr>
          <w:rFonts w:cs="Times New Roman"/>
        </w:rPr>
        <w:t xml:space="preserve">linical </w:t>
      </w:r>
      <w:r>
        <w:rPr>
          <w:rFonts w:cs="Times New Roman"/>
        </w:rPr>
        <w:t>p</w:t>
      </w:r>
      <w:r w:rsidRPr="00065144">
        <w:rPr>
          <w:rFonts w:cs="Times New Roman"/>
        </w:rPr>
        <w:t xml:space="preserve">sychologists working in East Anglia. </w:t>
      </w:r>
    </w:p>
    <w:p w14:paraId="6D3CCA1B" w14:textId="704CBFF7" w:rsidR="0038511F" w:rsidRDefault="0038511F" w:rsidP="0038511F">
      <w:pPr>
        <w:rPr>
          <w:rFonts w:cs="Times New Roman"/>
        </w:rPr>
      </w:pPr>
      <w:r w:rsidRPr="00065144">
        <w:rPr>
          <w:rFonts w:cs="Times New Roman"/>
        </w:rPr>
        <w:t xml:space="preserve">The results from </w:t>
      </w:r>
      <w:r>
        <w:rPr>
          <w:rFonts w:cs="Times New Roman"/>
        </w:rPr>
        <w:t>this</w:t>
      </w:r>
      <w:r w:rsidRPr="00065144">
        <w:rPr>
          <w:rFonts w:cs="Times New Roman"/>
        </w:rPr>
        <w:t xml:space="preserve"> first stage</w:t>
      </w:r>
      <w:r>
        <w:rPr>
          <w:rFonts w:cs="Times New Roman"/>
        </w:rPr>
        <w:t xml:space="preserve"> indicate</w:t>
      </w:r>
      <w:r w:rsidR="002E0652">
        <w:rPr>
          <w:rFonts w:cs="Times New Roman"/>
        </w:rPr>
        <w:t>d</w:t>
      </w:r>
      <w:r>
        <w:rPr>
          <w:rFonts w:cs="Times New Roman"/>
        </w:rPr>
        <w:t xml:space="preserve"> </w:t>
      </w:r>
      <w:r w:rsidRPr="00065144">
        <w:rPr>
          <w:rFonts w:cs="Times New Roman"/>
        </w:rPr>
        <w:t xml:space="preserve">that </w:t>
      </w:r>
      <w:r>
        <w:rPr>
          <w:rFonts w:cs="Times New Roman"/>
        </w:rPr>
        <w:t>the majority of c</w:t>
      </w:r>
      <w:r w:rsidRPr="00065144">
        <w:rPr>
          <w:rFonts w:cs="Times New Roman"/>
        </w:rPr>
        <w:t xml:space="preserve">linical </w:t>
      </w:r>
      <w:r>
        <w:rPr>
          <w:rFonts w:cs="Times New Roman"/>
        </w:rPr>
        <w:t>p</w:t>
      </w:r>
      <w:r w:rsidRPr="00065144">
        <w:rPr>
          <w:rFonts w:cs="Times New Roman"/>
        </w:rPr>
        <w:t>sychologists who started training at UEA before the curricular changes reported lower historical and current levels of self-rated competency and confidence in neuropsychology. On the other hand, fewer perceived weaknesses and a considerably higher number</w:t>
      </w:r>
      <w:r>
        <w:rPr>
          <w:rFonts w:cs="Times New Roman"/>
        </w:rPr>
        <w:t xml:space="preserve"> of perceived</w:t>
      </w:r>
      <w:r w:rsidRPr="00065144">
        <w:rPr>
          <w:rFonts w:cs="Times New Roman"/>
        </w:rPr>
        <w:t xml:space="preserve"> strengths were </w:t>
      </w:r>
      <w:r>
        <w:rPr>
          <w:rFonts w:cs="Times New Roman"/>
        </w:rPr>
        <w:t>reported</w:t>
      </w:r>
      <w:r w:rsidRPr="00065144">
        <w:rPr>
          <w:rFonts w:cs="Times New Roman"/>
        </w:rPr>
        <w:t xml:space="preserve"> </w:t>
      </w:r>
      <w:r>
        <w:rPr>
          <w:rFonts w:cs="Times New Roman"/>
        </w:rPr>
        <w:t>by</w:t>
      </w:r>
      <w:r w:rsidRPr="00065144">
        <w:rPr>
          <w:rFonts w:cs="Times New Roman"/>
        </w:rPr>
        <w:t xml:space="preserve"> </w:t>
      </w:r>
      <w:r w:rsidR="0016529B">
        <w:rPr>
          <w:rFonts w:cs="Times New Roman"/>
        </w:rPr>
        <w:t xml:space="preserve">the </w:t>
      </w:r>
      <w:r w:rsidRPr="00065144">
        <w:rPr>
          <w:rFonts w:cs="Times New Roman"/>
        </w:rPr>
        <w:t>post-2016 cohorts</w:t>
      </w:r>
      <w:r w:rsidR="00197DAC">
        <w:rPr>
          <w:rFonts w:cs="Times New Roman"/>
        </w:rPr>
        <w:t xml:space="preserve"> </w:t>
      </w:r>
      <w:r w:rsidR="0016529B">
        <w:t>in a</w:t>
      </w:r>
      <w:r w:rsidR="0018698E">
        <w:t xml:space="preserve"> number of fundamental neuropsychological knowledge areas, skills, and activities. </w:t>
      </w:r>
      <w:r w:rsidR="00FD3A12" w:rsidRPr="00FD3A12">
        <w:t>These findings appear to suggest a positive impact of the curricular changes implemented by the UEA course</w:t>
      </w:r>
      <w:r w:rsidRPr="00065144">
        <w:rPr>
          <w:rFonts w:cs="Times New Roman"/>
        </w:rPr>
        <w:t xml:space="preserve">. In particular, the alignment of the curriculum to the specifics of the </w:t>
      </w:r>
      <w:proofErr w:type="spellStart"/>
      <w:r w:rsidRPr="00065144">
        <w:rPr>
          <w:rFonts w:cs="Times New Roman"/>
        </w:rPr>
        <w:t>DoN</w:t>
      </w:r>
      <w:proofErr w:type="spellEnd"/>
      <w:r w:rsidRPr="00065144">
        <w:rPr>
          <w:rFonts w:cs="Times New Roman"/>
        </w:rPr>
        <w:t xml:space="preserve"> Competency Framework may have facilitated the development of increased competency and confidence across a wider range of domains, including different types of cognitive assessment </w:t>
      </w:r>
      <w:r w:rsidR="00B3288C">
        <w:rPr>
          <w:rFonts w:cs="Times New Roman"/>
        </w:rPr>
        <w:t xml:space="preserve">and </w:t>
      </w:r>
      <w:r w:rsidRPr="00065144">
        <w:rPr>
          <w:rFonts w:cs="Times New Roman"/>
        </w:rPr>
        <w:t>the use of neuropsychological formulations.</w:t>
      </w:r>
    </w:p>
    <w:p w14:paraId="50224E04" w14:textId="490E5AC0" w:rsidR="0038511F" w:rsidRPr="002A0940" w:rsidRDefault="0038511F" w:rsidP="0038511F">
      <w:r>
        <w:t>The present findings also show the potential to allow for the identification of areas where further changes may be necessary, including those which, by representing common weaknesses between pre- and post-2016 participants</w:t>
      </w:r>
      <w:r w:rsidR="00197DAC">
        <w:t xml:space="preserve"> (e.g., assessment of language, neurorehabilitation interventions)</w:t>
      </w:r>
      <w:r>
        <w:t xml:space="preserve">, may have been overlooked by the curricular reviews implemented to date. The provision of continuing professional development (CPD) courses and/or events may also be considered by the </w:t>
      </w:r>
      <w:r w:rsidR="00197DAC">
        <w:t>P</w:t>
      </w:r>
      <w:r>
        <w:t xml:space="preserve">rogramme to address the specific weaknesses currently experienced by </w:t>
      </w:r>
      <w:r w:rsidR="001B0084">
        <w:t>over a third of either the</w:t>
      </w:r>
      <w:r>
        <w:t xml:space="preserve"> pre-</w:t>
      </w:r>
      <w:r w:rsidR="002E0652">
        <w:t xml:space="preserve">2016 (e.g., understanding neuroimaging reports) </w:t>
      </w:r>
      <w:r w:rsidR="001B0084">
        <w:t xml:space="preserve"> and post-2016 cohorts</w:t>
      </w:r>
      <w:r w:rsidR="002E0652">
        <w:t xml:space="preserve"> (e.g., offering supervision in neuropsychology)</w:t>
      </w:r>
      <w:r w:rsidR="001B0084">
        <w:t xml:space="preserve">. </w:t>
      </w:r>
    </w:p>
    <w:p w14:paraId="4F17D1FC" w14:textId="00E98431" w:rsidR="0038511F" w:rsidRDefault="0038511F" w:rsidP="0038511F">
      <w:pPr>
        <w:rPr>
          <w:rFonts w:cs="Times New Roman"/>
        </w:rPr>
      </w:pPr>
      <w:r>
        <w:rPr>
          <w:rFonts w:cs="Times New Roman"/>
        </w:rPr>
        <w:t xml:space="preserve">The potential for the </w:t>
      </w:r>
      <w:r w:rsidR="00D44737">
        <w:rPr>
          <w:rFonts w:cs="Times New Roman"/>
        </w:rPr>
        <w:t xml:space="preserve">UEA </w:t>
      </w:r>
      <w:r w:rsidR="00964B1E">
        <w:rPr>
          <w:rFonts w:cs="Times New Roman"/>
        </w:rPr>
        <w:t>P</w:t>
      </w:r>
      <w:r>
        <w:rPr>
          <w:rFonts w:cs="Times New Roman"/>
        </w:rPr>
        <w:t xml:space="preserve">rogramme to continue to contribute to </w:t>
      </w:r>
      <w:r w:rsidR="007C2C5D">
        <w:rPr>
          <w:rFonts w:cs="Times New Roman"/>
        </w:rPr>
        <w:t xml:space="preserve">effective </w:t>
      </w:r>
      <w:r w:rsidR="00D44737">
        <w:rPr>
          <w:rFonts w:cs="Times New Roman"/>
        </w:rPr>
        <w:t>neuropsycholog</w:t>
      </w:r>
      <w:r w:rsidR="007C2C5D">
        <w:rPr>
          <w:rFonts w:cs="Times New Roman"/>
        </w:rPr>
        <w:t>ical education</w:t>
      </w:r>
      <w:r>
        <w:rPr>
          <w:rFonts w:cs="Times New Roman"/>
        </w:rPr>
        <w:t xml:space="preserve"> will therefore in part depend on the availability of clinical opportunities and expertise in East Anglia. Current challenges in this respect include an absence of consultant neuropsycholog</w:t>
      </w:r>
      <w:r w:rsidR="00D44737">
        <w:rPr>
          <w:rFonts w:cs="Times New Roman"/>
        </w:rPr>
        <w:t>ical</w:t>
      </w:r>
      <w:r>
        <w:rPr>
          <w:rFonts w:cs="Times New Roman"/>
        </w:rPr>
        <w:t xml:space="preserve"> leadership across services in the region, </w:t>
      </w:r>
      <w:r w:rsidR="00BA29AE">
        <w:rPr>
          <w:rFonts w:cs="Times New Roman"/>
        </w:rPr>
        <w:t xml:space="preserve">ongoing </w:t>
      </w:r>
      <w:r w:rsidR="00BA29AE">
        <w:rPr>
          <w:rFonts w:cs="Times New Roman"/>
        </w:rPr>
        <w:lastRenderedPageBreak/>
        <w:t>commissioning pressures resulting in closure or reduction in provision for people with neuropsychological needs (</w:t>
      </w:r>
      <w:r w:rsidR="00603CA4">
        <w:rPr>
          <w:rFonts w:cs="Times New Roman"/>
        </w:rPr>
        <w:t>e.g.,</w:t>
      </w:r>
      <w:r w:rsidR="00BA29AE">
        <w:rPr>
          <w:rFonts w:cs="Times New Roman"/>
        </w:rPr>
        <w:t xml:space="preserve"> the closure of the Oliver Zangwill Centre)</w:t>
      </w:r>
      <w:r>
        <w:rPr>
          <w:rFonts w:cs="Times New Roman"/>
        </w:rPr>
        <w:t xml:space="preserve">, and </w:t>
      </w:r>
      <w:r w:rsidR="00D44737">
        <w:rPr>
          <w:rFonts w:cs="Times New Roman"/>
        </w:rPr>
        <w:t>a paucity</w:t>
      </w:r>
      <w:r w:rsidR="0016529B">
        <w:rPr>
          <w:rFonts w:cs="Times New Roman"/>
        </w:rPr>
        <w:t xml:space="preserve"> or complete lack</w:t>
      </w:r>
      <w:r w:rsidR="00D44737">
        <w:rPr>
          <w:rFonts w:cs="Times New Roman"/>
        </w:rPr>
        <w:t xml:space="preserve"> of</w:t>
      </w:r>
      <w:r>
        <w:rPr>
          <w:rFonts w:cs="Times New Roman"/>
        </w:rPr>
        <w:t xml:space="preserve"> neuropsychological provision for those with neurodegenerative conditions </w:t>
      </w:r>
      <w:r>
        <w:rPr>
          <w:rFonts w:cs="Times New Roman"/>
        </w:rPr>
        <w:fldChar w:fldCharType="begin" w:fldLock="1"/>
      </w:r>
      <w:r w:rsidR="00660A42">
        <w:rPr>
          <w:rFonts w:cs="Times New Roman"/>
        </w:rPr>
        <w:instrText>ADDIN CSL_CITATION {"citationItems":[{"id":"ITEM-1","itemData":{"DOI":"https://doi.org/10.5281/zenodo.4593883","abstract":"Purpose: Multiple sclerosis (MS) is a chronic condition linked to a wide range of psychological difficulties. While traditional cognitive behavioural therapy has been studied extensively with people with MS, much less is known about more recent “third wave” approaches. Methods: A scoping review was carried out by performing a systematic search across MEDLINE Complete, PsycINFO, CINAHL, Academic Search Ultimate, and Cochrane Library up to January 2022. Results: From an initial return of 8306 citations, 35 studies were included, 20 of which were randomised controlled trials (RCTs). These showed that four third wave approaches have been investigated with people with MS to date: acceptance and commitment therapy (ACT), dialectical behaviour therapy (DBT), mindfulness-based stress reduction (MBSR), and mindfulness-based cognitive therapy (MBCT). MBSR and MBCT may be helpful to address a range of psychological difficulties up to three months post-intervention. However, MS-specific adaptations may be required, and more evidence is needed on longer-term effectiveness. Limited evidence is also available for DBT and ACT, but additional research is warranted before any recommendation can be made. Conclusions: As third wave approaches keep being refined, further more rigorous investigations are needed to implement them to the benefit of people with MS.","author":[{"dropping-particle":"","family":"Simpson","given":"Jane","non-dropping-particle":"","parse-names":false,"suffix":""},{"dropping-particle":"","family":"Eccles","given":"Fiona JR","non-dropping-particle":"","parse-names":false,"suffix":""},{"dropping-particle":"","family":"Zarotti","given":"Nicolò","non-dropping-particle":"","parse-names":false,"suffix":""}],"id":"ITEM-1","issued":{"date-parts":[["2021"]]},"title":"Extended evidence-based guidance on psychological interventions for psychological difficulties in individuals with Huntington's disease, Parkinson's disease, motor neurone disease, and multiple sclerosis","type":"report"},"uris":["http://www.mendeley.com/documents/?uuid=0f635e69-33da-4e61-8fcb-00f9d4709a65"]},{"id":"ITEM-2","itemData":{"DOI":"10.3390/jpm12010064","ISSN":"2075-4426","abstract":"Huntington’s disease (HD) is a rare and complex condition where affected individuals, family members, caregivers, and clinicians face a number of both long-term and fluctuating challenges. The predominant biomedical framework adopted in HD to date has traditionally viewed it as a brain disorder first and foremost. As a consequence, one of the most challenging aspects of the condition—psychological difficulties and their care—is often not given the emphasis it deserves in everyday clinical practice. Here, we propose a manifesto outlining five points to address the quality, effectiveness, availability, and accessibility of psychological care in HD. These include (1) Listening to People with HD, (2) Reformulating Difficulties Psychologically, (3) Exploring New Interventions, (4) Increasing Psychological Provision, and (5) Learning from Other Conditions. As the search for a cure continues, we hope that this manifesto will create a new impetus towards refining the current approach to psychological difficulties in HD and ultimately improve the quality of life of the tens of thousands of families affected by HD worldwide.","author":[{"dropping-particle":"","family":"Zarotti","given":"Nicolò","non-dropping-particle":"","parse-names":false,"suffix":""},{"dropping-particle":"","family":"Dale","given":"Maria","non-dropping-particle":"","parse-names":false,"suffix":""},{"dropping-particle":"","family":"Eccles","given":"Fiona J R","non-dropping-particle":"","parse-names":false,"suffix":""},{"dropping-particle":"","family":"Simpson","given":"Jane","non-dropping-particle":"","parse-names":false,"suffix":""}],"container-title":"Journal of Personalized Medicine","id":"ITEM-2","issue":"1","issued":{"date-parts":[["2022","1","7"]]},"page":"64","title":"More than Just a Brain Disorder: A Five-Point Manifesto for Psychological Care for People with Huntington’s Disease","type":"article-journal","volume":"12"},"uris":["http://www.mendeley.com/documents/?uuid=0621f865-8000-40db-9e2f-47819b3fc169"]}],"mendeley":{"formattedCitation":"(Simpson et al., 2021; Zarotti et al., 2022)","plainTextFormattedCitation":"(Simpson et al., 2021; Zarotti et al., 2022)","previouslyFormattedCitation":"(Simpson et al., 2021)"},"properties":{"noteIndex":0},"schema":"https://github.com/citation-style-language/schema/raw/master/csl-citation.json"}</w:instrText>
      </w:r>
      <w:r>
        <w:rPr>
          <w:rFonts w:cs="Times New Roman"/>
        </w:rPr>
        <w:fldChar w:fldCharType="separate"/>
      </w:r>
      <w:r w:rsidR="00660A42" w:rsidRPr="00660A42">
        <w:rPr>
          <w:rFonts w:cs="Times New Roman"/>
          <w:noProof/>
        </w:rPr>
        <w:t>(Simpson et al., 2021; Zarotti et al., 2022)</w:t>
      </w:r>
      <w:r>
        <w:rPr>
          <w:rFonts w:cs="Times New Roman"/>
        </w:rPr>
        <w:fldChar w:fldCharType="end"/>
      </w:r>
      <w:r>
        <w:rPr>
          <w:rFonts w:cs="Times New Roman"/>
        </w:rPr>
        <w:t>.</w:t>
      </w:r>
    </w:p>
    <w:p w14:paraId="5FDF84EA" w14:textId="77777777" w:rsidR="0038511F" w:rsidRPr="00065144" w:rsidRDefault="0038511F" w:rsidP="0038511F">
      <w:pPr>
        <w:pStyle w:val="Heading3"/>
      </w:pPr>
      <w:r>
        <w:t>Limitations and Future Directions</w:t>
      </w:r>
    </w:p>
    <w:p w14:paraId="419AF3A9" w14:textId="0D4E76A6" w:rsidR="00DB47A7" w:rsidRDefault="0038511F" w:rsidP="00B25663">
      <w:r>
        <w:rPr>
          <w:rFonts w:cs="Times New Roman"/>
        </w:rPr>
        <w:t>W</w:t>
      </w:r>
      <w:r w:rsidRPr="00065144">
        <w:rPr>
          <w:rFonts w:cs="Times New Roman"/>
        </w:rPr>
        <w:t xml:space="preserve">hile these results are promising, a number of caveats and limitations should </w:t>
      </w:r>
      <w:r>
        <w:rPr>
          <w:rFonts w:cs="Times New Roman"/>
        </w:rPr>
        <w:t>inform their interpretation</w:t>
      </w:r>
      <w:r w:rsidRPr="00065144">
        <w:rPr>
          <w:rFonts w:cs="Times New Roman"/>
        </w:rPr>
        <w:t xml:space="preserve">. </w:t>
      </w:r>
      <w:r w:rsidR="00B25663">
        <w:t xml:space="preserve">First, as mentioned, the disparity in sample sizes between participants who started training before and after 2016 – most likely due to the small number of </w:t>
      </w:r>
      <w:r w:rsidR="004436C7">
        <w:t xml:space="preserve">post-2016 qualified clinical psychologists currently working in East Anglia </w:t>
      </w:r>
      <w:r w:rsidR="00B25663">
        <w:t>– had a considerable impact on the analysis at this stage. In particular, it precluded any inferential testing, limiting the analysis to a descriptive comparison between groups, which should be considered when interpreting the findings from the present report.</w:t>
      </w:r>
      <w:r>
        <w:t xml:space="preserve"> </w:t>
      </w:r>
    </w:p>
    <w:p w14:paraId="3129CF6D" w14:textId="77777777" w:rsidR="00BA3A70" w:rsidRDefault="00BA3A70" w:rsidP="00DB47A7">
      <w:r>
        <w:t>In addition, s</w:t>
      </w:r>
      <w:r w:rsidR="0038511F">
        <w:t xml:space="preserve">ome results may be partially explained by the </w:t>
      </w:r>
      <w:r w:rsidR="003E58C8" w:rsidRPr="003E58C8">
        <w:t>existence of pre-training differences between groups</w:t>
      </w:r>
      <w:r w:rsidR="0038511F">
        <w:t xml:space="preserve">. For instance, clinical psychologists who trained </w:t>
      </w:r>
      <w:r w:rsidR="003E58C8">
        <w:t xml:space="preserve">relatively </w:t>
      </w:r>
      <w:r w:rsidR="0038511F">
        <w:t>long</w:t>
      </w:r>
      <w:r w:rsidR="003E58C8">
        <w:t>er</w:t>
      </w:r>
      <w:r w:rsidR="0038511F">
        <w:t xml:space="preserve"> ago and worked relatively little in neuropsychology </w:t>
      </w:r>
      <w:r w:rsidR="0038511F" w:rsidRPr="00D90426">
        <w:t xml:space="preserve">may feel less competent and confident </w:t>
      </w:r>
      <w:r w:rsidR="0038511F">
        <w:t>due to</w:t>
      </w:r>
      <w:r w:rsidR="0038511F" w:rsidRPr="00D90426">
        <w:t xml:space="preserve"> the </w:t>
      </w:r>
      <w:r w:rsidR="0038511F">
        <w:t>specific complexity of some of the competencies involved</w:t>
      </w:r>
      <w:r w:rsidR="0038511F" w:rsidRPr="00D90426">
        <w:t xml:space="preserve"> (e.g.</w:t>
      </w:r>
      <w:r w:rsidR="0038511F">
        <w:t>,</w:t>
      </w:r>
      <w:r w:rsidR="0038511F" w:rsidRPr="00D90426">
        <w:t xml:space="preserve"> understanding neurological condition</w:t>
      </w:r>
      <w:r w:rsidR="0038511F">
        <w:t>s or</w:t>
      </w:r>
      <w:r w:rsidR="0038511F" w:rsidRPr="00D90426">
        <w:t xml:space="preserve"> neuroimaging reports)</w:t>
      </w:r>
      <w:r w:rsidR="0038511F">
        <w:t>,</w:t>
      </w:r>
      <w:r w:rsidR="0038511F" w:rsidRPr="00D90426">
        <w:t xml:space="preserve"> </w:t>
      </w:r>
      <w:r w:rsidR="0038511F">
        <w:t xml:space="preserve">which may not be practised at all outside of specialist settings. On the other hand, the </w:t>
      </w:r>
      <w:r w:rsidR="000501F7">
        <w:t xml:space="preserve">post-2016 participants may feel less confident </w:t>
      </w:r>
      <w:r w:rsidR="00A56BF6">
        <w:t>with supervision in general</w:t>
      </w:r>
      <w:r w:rsidR="000501F7">
        <w:t xml:space="preserve"> due to their </w:t>
      </w:r>
      <w:r w:rsidR="0038511F">
        <w:t>limited professional experience.</w:t>
      </w:r>
      <w:r w:rsidR="00DB47A7">
        <w:t xml:space="preserve"> </w:t>
      </w:r>
    </w:p>
    <w:p w14:paraId="0215EF85" w14:textId="68BC90FE" w:rsidR="00DB47A7" w:rsidRDefault="00BA3A70" w:rsidP="00DB47A7">
      <w:pPr>
        <w:rPr>
          <w:rFonts w:cs="Times New Roman"/>
        </w:rPr>
      </w:pPr>
      <w:r>
        <w:rPr>
          <w:rFonts w:cs="Times New Roman"/>
        </w:rPr>
        <w:t>Similarly</w:t>
      </w:r>
      <w:r w:rsidR="0038511F">
        <w:rPr>
          <w:rFonts w:cs="Times New Roman"/>
        </w:rPr>
        <w:t xml:space="preserve">, the majority of pre-2106 </w:t>
      </w:r>
      <w:r w:rsidR="00A56BF6">
        <w:rPr>
          <w:rFonts w:cs="Times New Roman"/>
        </w:rPr>
        <w:t>clinicians</w:t>
      </w:r>
      <w:r w:rsidR="0038511F">
        <w:rPr>
          <w:rFonts w:cs="Times New Roman"/>
        </w:rPr>
        <w:t xml:space="preserve"> felt they only had ‘slightly developed’ competency</w:t>
      </w:r>
      <w:r w:rsidR="0038511F" w:rsidRPr="00065144">
        <w:rPr>
          <w:rFonts w:cs="Times New Roman"/>
        </w:rPr>
        <w:t xml:space="preserve"> </w:t>
      </w:r>
      <w:r w:rsidR="0038511F">
        <w:rPr>
          <w:rFonts w:cs="Times New Roman"/>
        </w:rPr>
        <w:t>and confidence in neuropsychology compared to t</w:t>
      </w:r>
      <w:r w:rsidR="00A56BF6">
        <w:rPr>
          <w:rFonts w:cs="Times New Roman"/>
        </w:rPr>
        <w:t>he post-2016 participants</w:t>
      </w:r>
      <w:r w:rsidR="0038511F">
        <w:rPr>
          <w:rFonts w:cs="Times New Roman"/>
        </w:rPr>
        <w:t>, who reported ‘moderately developed’ skills. This may suggest that the latter might have been more driven towards neuropsychology even before joining the UEA Programme</w:t>
      </w:r>
      <w:r w:rsidR="003E58C8">
        <w:rPr>
          <w:rFonts w:cs="Times New Roman"/>
        </w:rPr>
        <w:t xml:space="preserve">, which in turn may at least partially explain </w:t>
      </w:r>
      <w:r w:rsidR="00142A93">
        <w:rPr>
          <w:rFonts w:cs="Times New Roman"/>
        </w:rPr>
        <w:t>their</w:t>
      </w:r>
      <w:r w:rsidR="003E58C8">
        <w:rPr>
          <w:rFonts w:cs="Times New Roman"/>
        </w:rPr>
        <w:t xml:space="preserve"> increased neuropsychological competency and confidence </w:t>
      </w:r>
      <w:r w:rsidR="003E58C8">
        <w:rPr>
          <w:rFonts w:cs="Times New Roman"/>
        </w:rPr>
        <w:lastRenderedPageBreak/>
        <w:t>compared to the pre-2016 cohorts</w:t>
      </w:r>
      <w:r w:rsidR="0038511F">
        <w:rPr>
          <w:rFonts w:cs="Times New Roman"/>
        </w:rPr>
        <w:t xml:space="preserve">. However, again due to the major discrepancy between </w:t>
      </w:r>
      <w:r w:rsidR="00A56BF6">
        <w:rPr>
          <w:rFonts w:cs="Times New Roman"/>
        </w:rPr>
        <w:t>groups</w:t>
      </w:r>
      <w:r w:rsidR="0038511F">
        <w:rPr>
          <w:rFonts w:cs="Times New Roman"/>
        </w:rPr>
        <w:t xml:space="preserve">, this currently represents an unanswered question. </w:t>
      </w:r>
    </w:p>
    <w:p w14:paraId="1C7E68BC" w14:textId="7BD7D4E3" w:rsidR="0038511F" w:rsidRPr="001A5A85" w:rsidRDefault="00613EB2" w:rsidP="00C1730A">
      <w:r>
        <w:t>Finally, although the focus of this evaluation was on self-ratings, the lower accuracy of self-report indicators of neuropsychological competency compared to more objective measures should also be noted as a limitation.</w:t>
      </w:r>
      <w:r w:rsidR="00C1730A">
        <w:t xml:space="preserve"> </w:t>
      </w:r>
      <w:r w:rsidR="00F54238">
        <w:t>Therefore, in order to confirm these preliminary findings, additional data are strongly warranted,</w:t>
      </w:r>
      <w:r w:rsidR="00F54238" w:rsidRPr="00C5732B">
        <w:t xml:space="preserve"> </w:t>
      </w:r>
      <w:r w:rsidR="00F54238">
        <w:t>based on further iterations of the present survey with UEA-trained clinicians working outside of East Anglia as well as new post-2016 cohorts once they will have qualified from Programme, thus also allowing for the adoption of inferential statistics.</w:t>
      </w:r>
      <w:r w:rsidR="0038511F">
        <w:t xml:space="preserve"> Such iterations might also benefit from a within-subject longitudinal design which would allow for the comparison between trainees’ perceived competency and confidence in neuropsychology at the start of training and upon qualification.</w:t>
      </w:r>
    </w:p>
    <w:p w14:paraId="60EA6580" w14:textId="0D011A1D" w:rsidR="00B228BA" w:rsidRPr="00065144" w:rsidRDefault="00E71D5C" w:rsidP="00BB24FC">
      <w:pPr>
        <w:pStyle w:val="Heading2"/>
        <w:rPr>
          <w:rFonts w:cs="Times New Roman"/>
        </w:rPr>
      </w:pPr>
      <w:r w:rsidRPr="00065144">
        <w:rPr>
          <w:rFonts w:cs="Times New Roman"/>
        </w:rPr>
        <w:t>References</w:t>
      </w:r>
    </w:p>
    <w:p w14:paraId="5954B62F" w14:textId="5EAE3CBB" w:rsidR="00660A42" w:rsidRPr="00660A42" w:rsidRDefault="001F3AC6" w:rsidP="00660A42">
      <w:pPr>
        <w:widowControl w:val="0"/>
        <w:autoSpaceDE w:val="0"/>
        <w:autoSpaceDN w:val="0"/>
        <w:adjustRightInd w:val="0"/>
        <w:ind w:left="480" w:hanging="480"/>
        <w:rPr>
          <w:rFonts w:cs="Times New Roman"/>
          <w:noProof/>
        </w:rPr>
      </w:pPr>
      <w:r w:rsidRPr="00065144">
        <w:rPr>
          <w:rFonts w:cs="Times New Roman"/>
          <w:b/>
          <w:bCs/>
        </w:rPr>
        <w:fldChar w:fldCharType="begin" w:fldLock="1"/>
      </w:r>
      <w:r w:rsidRPr="00065144">
        <w:rPr>
          <w:rFonts w:cs="Times New Roman"/>
          <w:b/>
          <w:bCs/>
        </w:rPr>
        <w:instrText xml:space="preserve">ADDIN Mendeley Bibliography CSL_BIBLIOGRAPHY </w:instrText>
      </w:r>
      <w:r w:rsidRPr="00065144">
        <w:rPr>
          <w:rFonts w:cs="Times New Roman"/>
          <w:b/>
          <w:bCs/>
        </w:rPr>
        <w:fldChar w:fldCharType="separate"/>
      </w:r>
      <w:r w:rsidR="00660A42" w:rsidRPr="00660A42">
        <w:rPr>
          <w:rFonts w:cs="Times New Roman"/>
          <w:noProof/>
        </w:rPr>
        <w:t xml:space="preserve">British Psychological Society. (2016). </w:t>
      </w:r>
      <w:r w:rsidR="00660A42" w:rsidRPr="00660A42">
        <w:rPr>
          <w:rFonts w:cs="Times New Roman"/>
          <w:i/>
          <w:iCs/>
          <w:noProof/>
        </w:rPr>
        <w:t>Qualification in Clinical Neuropsychology Candidate Handbook</w:t>
      </w:r>
      <w:r w:rsidR="00660A42" w:rsidRPr="00660A42">
        <w:rPr>
          <w:rFonts w:cs="Times New Roman"/>
          <w:noProof/>
        </w:rPr>
        <w:t xml:space="preserve"> (Issue February).</w:t>
      </w:r>
    </w:p>
    <w:p w14:paraId="21DE02D7" w14:textId="77777777" w:rsidR="00660A42" w:rsidRPr="00660A42" w:rsidRDefault="00660A42" w:rsidP="00660A42">
      <w:pPr>
        <w:widowControl w:val="0"/>
        <w:autoSpaceDE w:val="0"/>
        <w:autoSpaceDN w:val="0"/>
        <w:adjustRightInd w:val="0"/>
        <w:ind w:left="480" w:hanging="480"/>
        <w:rPr>
          <w:rFonts w:cs="Times New Roman"/>
          <w:noProof/>
        </w:rPr>
      </w:pPr>
      <w:r w:rsidRPr="00660A42">
        <w:rPr>
          <w:rFonts w:cs="Times New Roman"/>
          <w:noProof/>
        </w:rPr>
        <w:t xml:space="preserve">British Psychological Society. (2020). </w:t>
      </w:r>
      <w:r w:rsidRPr="00660A42">
        <w:rPr>
          <w:rFonts w:cs="Times New Roman"/>
          <w:i/>
          <w:iCs/>
          <w:noProof/>
        </w:rPr>
        <w:t>Guidance for BPS accredited neuropsychology training programmes in relation to the Covid-19 outbreak</w:t>
      </w:r>
      <w:r w:rsidRPr="00660A42">
        <w:rPr>
          <w:rFonts w:cs="Times New Roman"/>
          <w:noProof/>
        </w:rPr>
        <w:t>.</w:t>
      </w:r>
    </w:p>
    <w:p w14:paraId="5D1FBCCF" w14:textId="77777777" w:rsidR="00660A42" w:rsidRPr="00660A42" w:rsidRDefault="00660A42" w:rsidP="00660A42">
      <w:pPr>
        <w:widowControl w:val="0"/>
        <w:autoSpaceDE w:val="0"/>
        <w:autoSpaceDN w:val="0"/>
        <w:adjustRightInd w:val="0"/>
        <w:ind w:left="480" w:hanging="480"/>
        <w:rPr>
          <w:rFonts w:cs="Times New Roman"/>
          <w:noProof/>
        </w:rPr>
      </w:pPr>
      <w:r w:rsidRPr="00660A42">
        <w:rPr>
          <w:rFonts w:cs="Times New Roman"/>
          <w:noProof/>
        </w:rPr>
        <w:t xml:space="preserve">Connelly, L. M. (2008). Pilot studies. </w:t>
      </w:r>
      <w:r w:rsidRPr="00660A42">
        <w:rPr>
          <w:rFonts w:cs="Times New Roman"/>
          <w:i/>
          <w:iCs/>
          <w:noProof/>
        </w:rPr>
        <w:t>MEDSURG Nursing: Official Journal of the Academy of Medical-Surgical Nurses</w:t>
      </w:r>
      <w:r w:rsidRPr="00660A42">
        <w:rPr>
          <w:rFonts w:cs="Times New Roman"/>
          <w:noProof/>
        </w:rPr>
        <w:t xml:space="preserve">, </w:t>
      </w:r>
      <w:r w:rsidRPr="00660A42">
        <w:rPr>
          <w:rFonts w:cs="Times New Roman"/>
          <w:i/>
          <w:iCs/>
          <w:noProof/>
        </w:rPr>
        <w:t>17</w:t>
      </w:r>
      <w:r w:rsidRPr="00660A42">
        <w:rPr>
          <w:rFonts w:cs="Times New Roman"/>
          <w:noProof/>
        </w:rPr>
        <w:t>(6), 411–412. https://doi.org/10.1145/3081016.3081020</w:t>
      </w:r>
    </w:p>
    <w:p w14:paraId="259B2EB6" w14:textId="77777777" w:rsidR="00660A42" w:rsidRPr="00660A42" w:rsidRDefault="00660A42" w:rsidP="00660A42">
      <w:pPr>
        <w:widowControl w:val="0"/>
        <w:autoSpaceDE w:val="0"/>
        <w:autoSpaceDN w:val="0"/>
        <w:adjustRightInd w:val="0"/>
        <w:ind w:left="480" w:hanging="480"/>
        <w:rPr>
          <w:rFonts w:cs="Times New Roman"/>
          <w:noProof/>
        </w:rPr>
      </w:pPr>
      <w:r w:rsidRPr="009B62C0">
        <w:rPr>
          <w:rFonts w:cs="Times New Roman"/>
          <w:noProof/>
          <w:lang w:val="it-IT"/>
        </w:rPr>
        <w:t xml:space="preserve">Simpson, J., Eccles, F. J., &amp; Zarotti, N. (2021). </w:t>
      </w:r>
      <w:r w:rsidRPr="00660A42">
        <w:rPr>
          <w:rFonts w:cs="Times New Roman"/>
          <w:i/>
          <w:iCs/>
          <w:noProof/>
        </w:rPr>
        <w:t>Extended evidence-based guidance on psychological interventions for psychological difficulties in individuals with Huntington’s disease, Parkinson’s disease, motor neurone disease, and multiple sclerosis</w:t>
      </w:r>
      <w:r w:rsidRPr="00660A42">
        <w:rPr>
          <w:rFonts w:cs="Times New Roman"/>
          <w:noProof/>
        </w:rPr>
        <w:t>. https://doi.org/https://doi.org/10.5281/zenodo.4593883</w:t>
      </w:r>
    </w:p>
    <w:p w14:paraId="4D5BC9F8" w14:textId="77777777" w:rsidR="00660A42" w:rsidRPr="00660A42" w:rsidRDefault="00660A42" w:rsidP="00660A42">
      <w:pPr>
        <w:widowControl w:val="0"/>
        <w:autoSpaceDE w:val="0"/>
        <w:autoSpaceDN w:val="0"/>
        <w:adjustRightInd w:val="0"/>
        <w:ind w:left="480" w:hanging="480"/>
        <w:rPr>
          <w:rFonts w:cs="Times New Roman"/>
          <w:noProof/>
        </w:rPr>
      </w:pPr>
      <w:r w:rsidRPr="009B62C0">
        <w:rPr>
          <w:rFonts w:cs="Times New Roman"/>
          <w:noProof/>
          <w:lang w:val="it-IT"/>
        </w:rPr>
        <w:lastRenderedPageBreak/>
        <w:t xml:space="preserve">Zarotti, N., Dale, M., Eccles, F. J. R., &amp; Simpson, J. (2022). </w:t>
      </w:r>
      <w:r w:rsidRPr="00660A42">
        <w:rPr>
          <w:rFonts w:cs="Times New Roman"/>
          <w:noProof/>
        </w:rPr>
        <w:t xml:space="preserve">More than Just a Brain Disorder: A Five-Point Manifesto for Psychological Care for People with Huntington’s Disease. </w:t>
      </w:r>
      <w:r w:rsidRPr="00660A42">
        <w:rPr>
          <w:rFonts w:cs="Times New Roman"/>
          <w:i/>
          <w:iCs/>
          <w:noProof/>
        </w:rPr>
        <w:t>Journal of Personalized Medicine</w:t>
      </w:r>
      <w:r w:rsidRPr="00660A42">
        <w:rPr>
          <w:rFonts w:cs="Times New Roman"/>
          <w:noProof/>
        </w:rPr>
        <w:t xml:space="preserve">, </w:t>
      </w:r>
      <w:r w:rsidRPr="00660A42">
        <w:rPr>
          <w:rFonts w:cs="Times New Roman"/>
          <w:i/>
          <w:iCs/>
          <w:noProof/>
        </w:rPr>
        <w:t>12</w:t>
      </w:r>
      <w:r w:rsidRPr="00660A42">
        <w:rPr>
          <w:rFonts w:cs="Times New Roman"/>
          <w:noProof/>
        </w:rPr>
        <w:t>(1), 64. https://doi.org/10.3390/jpm12010064</w:t>
      </w:r>
    </w:p>
    <w:p w14:paraId="13CD905C" w14:textId="555FFE5E" w:rsidR="00565B8D" w:rsidRDefault="001F3AC6" w:rsidP="00660A42">
      <w:pPr>
        <w:widowControl w:val="0"/>
        <w:autoSpaceDE w:val="0"/>
        <w:autoSpaceDN w:val="0"/>
        <w:adjustRightInd w:val="0"/>
        <w:ind w:left="480" w:hanging="480"/>
        <w:rPr>
          <w:rFonts w:cs="Times New Roman"/>
        </w:rPr>
        <w:sectPr w:rsidR="00565B8D" w:rsidSect="0064069E">
          <w:footerReference w:type="default" r:id="rId10"/>
          <w:footnotePr>
            <w:numFmt w:val="chicago"/>
          </w:footnotePr>
          <w:pgSz w:w="11906" w:h="16838"/>
          <w:pgMar w:top="1418" w:right="1440" w:bottom="1418" w:left="1440" w:header="709" w:footer="709" w:gutter="0"/>
          <w:cols w:space="708"/>
          <w:docGrid w:linePitch="360"/>
        </w:sectPr>
      </w:pPr>
      <w:r w:rsidRPr="00065144">
        <w:rPr>
          <w:rFonts w:cs="Times New Roman"/>
        </w:rPr>
        <w:fldChar w:fldCharType="end"/>
      </w:r>
    </w:p>
    <w:p w14:paraId="5027D789" w14:textId="533A7B3F" w:rsidR="00565B8D" w:rsidRPr="002508F6" w:rsidRDefault="00565B8D" w:rsidP="00565B8D">
      <w:pPr>
        <w:pStyle w:val="Caption"/>
        <w:keepNext/>
        <w:ind w:firstLine="0"/>
        <w:rPr>
          <w:rFonts w:cs="Times New Roman"/>
          <w:b/>
          <w:bCs/>
          <w:i w:val="0"/>
          <w:iCs w:val="0"/>
          <w:color w:val="000000" w:themeColor="text1"/>
          <w:sz w:val="22"/>
          <w:szCs w:val="22"/>
        </w:rPr>
      </w:pPr>
      <w:r w:rsidRPr="002508F6">
        <w:rPr>
          <w:rFonts w:cs="Times New Roman"/>
          <w:b/>
          <w:bCs/>
          <w:i w:val="0"/>
          <w:iCs w:val="0"/>
          <w:color w:val="000000" w:themeColor="text1"/>
          <w:sz w:val="22"/>
          <w:szCs w:val="22"/>
        </w:rPr>
        <w:lastRenderedPageBreak/>
        <w:t xml:space="preserve">Table </w:t>
      </w:r>
      <w:r w:rsidRPr="002508F6">
        <w:rPr>
          <w:rFonts w:cs="Times New Roman"/>
          <w:b/>
          <w:bCs/>
          <w:i w:val="0"/>
          <w:iCs w:val="0"/>
          <w:color w:val="000000" w:themeColor="text1"/>
          <w:sz w:val="22"/>
          <w:szCs w:val="22"/>
        </w:rPr>
        <w:fldChar w:fldCharType="begin"/>
      </w:r>
      <w:r w:rsidRPr="002508F6">
        <w:rPr>
          <w:rFonts w:cs="Times New Roman"/>
          <w:b/>
          <w:bCs/>
          <w:i w:val="0"/>
          <w:iCs w:val="0"/>
          <w:color w:val="000000" w:themeColor="text1"/>
          <w:sz w:val="22"/>
          <w:szCs w:val="22"/>
        </w:rPr>
        <w:instrText xml:space="preserve"> SEQ Table \* ARABIC </w:instrText>
      </w:r>
      <w:r w:rsidRPr="002508F6">
        <w:rPr>
          <w:rFonts w:cs="Times New Roman"/>
          <w:b/>
          <w:bCs/>
          <w:i w:val="0"/>
          <w:iCs w:val="0"/>
          <w:color w:val="000000" w:themeColor="text1"/>
          <w:sz w:val="22"/>
          <w:szCs w:val="22"/>
        </w:rPr>
        <w:fldChar w:fldCharType="separate"/>
      </w:r>
      <w:r w:rsidR="00C60BA4">
        <w:rPr>
          <w:rFonts w:cs="Times New Roman"/>
          <w:b/>
          <w:bCs/>
          <w:i w:val="0"/>
          <w:iCs w:val="0"/>
          <w:noProof/>
          <w:color w:val="000000" w:themeColor="text1"/>
          <w:sz w:val="22"/>
          <w:szCs w:val="22"/>
        </w:rPr>
        <w:t>1</w:t>
      </w:r>
      <w:r w:rsidRPr="002508F6">
        <w:rPr>
          <w:rFonts w:cs="Times New Roman"/>
          <w:b/>
          <w:bCs/>
          <w:i w:val="0"/>
          <w:iCs w:val="0"/>
          <w:color w:val="000000" w:themeColor="text1"/>
          <w:sz w:val="22"/>
          <w:szCs w:val="22"/>
        </w:rPr>
        <w:fldChar w:fldCharType="end"/>
      </w:r>
    </w:p>
    <w:p w14:paraId="238492DD" w14:textId="0495CCD5" w:rsidR="00565B8D" w:rsidRPr="002508F6" w:rsidRDefault="00565B8D" w:rsidP="00565B8D">
      <w:pPr>
        <w:pStyle w:val="Caption"/>
        <w:keepNext/>
        <w:ind w:firstLine="0"/>
        <w:rPr>
          <w:rFonts w:cs="Times New Roman"/>
          <w:color w:val="000000" w:themeColor="text1"/>
          <w:sz w:val="22"/>
          <w:szCs w:val="22"/>
        </w:rPr>
      </w:pPr>
      <w:r w:rsidRPr="002508F6">
        <w:rPr>
          <w:rFonts w:cs="Times New Roman"/>
          <w:color w:val="000000" w:themeColor="text1"/>
          <w:sz w:val="22"/>
          <w:szCs w:val="22"/>
        </w:rPr>
        <w:t>Sample Characteristics.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gridCol w:w="3156"/>
        <w:gridCol w:w="2210"/>
        <w:gridCol w:w="2400"/>
      </w:tblGrid>
      <w:tr w:rsidR="00565B8D" w:rsidRPr="00065144" w14:paraId="0E2433DC" w14:textId="77777777" w:rsidTr="00134992">
        <w:tc>
          <w:tcPr>
            <w:tcW w:w="2227" w:type="pct"/>
            <w:tcBorders>
              <w:bottom w:val="single" w:sz="4" w:space="0" w:color="auto"/>
            </w:tcBorders>
          </w:tcPr>
          <w:p w14:paraId="3002F7EF" w14:textId="77777777" w:rsidR="00565B8D" w:rsidRPr="00065144" w:rsidRDefault="00565B8D" w:rsidP="00134992">
            <w:pPr>
              <w:spacing w:before="60" w:after="60" w:line="240" w:lineRule="auto"/>
              <w:ind w:firstLine="0"/>
              <w:rPr>
                <w:rFonts w:cs="Times New Roman"/>
                <w:sz w:val="20"/>
                <w:szCs w:val="20"/>
              </w:rPr>
            </w:pPr>
          </w:p>
        </w:tc>
        <w:tc>
          <w:tcPr>
            <w:tcW w:w="1127" w:type="pct"/>
            <w:tcBorders>
              <w:bottom w:val="single" w:sz="4" w:space="0" w:color="auto"/>
            </w:tcBorders>
          </w:tcPr>
          <w:p w14:paraId="7CEE68E2"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Whole sample</w:t>
            </w:r>
          </w:p>
          <w:p w14:paraId="613A96DE" w14:textId="77777777" w:rsidR="00565B8D" w:rsidRPr="00065144" w:rsidRDefault="00565B8D" w:rsidP="00134992">
            <w:pPr>
              <w:spacing w:before="60" w:after="60" w:line="240" w:lineRule="auto"/>
              <w:ind w:firstLine="0"/>
              <w:rPr>
                <w:rFonts w:cs="Times New Roman"/>
                <w:sz w:val="20"/>
                <w:szCs w:val="20"/>
              </w:rPr>
            </w:pPr>
            <w:r w:rsidRPr="00065144">
              <w:rPr>
                <w:rFonts w:cs="Times New Roman"/>
                <w:sz w:val="20"/>
                <w:szCs w:val="20"/>
              </w:rPr>
              <w:t>N (%)</w:t>
            </w:r>
          </w:p>
        </w:tc>
        <w:tc>
          <w:tcPr>
            <w:tcW w:w="789" w:type="pct"/>
            <w:tcBorders>
              <w:bottom w:val="single" w:sz="4" w:space="0" w:color="auto"/>
            </w:tcBorders>
          </w:tcPr>
          <w:p w14:paraId="1FBAAABA"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Pre-2016</w:t>
            </w:r>
          </w:p>
          <w:p w14:paraId="57346082"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N (%)</w:t>
            </w:r>
          </w:p>
        </w:tc>
        <w:tc>
          <w:tcPr>
            <w:tcW w:w="857" w:type="pct"/>
            <w:tcBorders>
              <w:bottom w:val="single" w:sz="4" w:space="0" w:color="auto"/>
            </w:tcBorders>
          </w:tcPr>
          <w:p w14:paraId="0F674B3F"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Post-2016</w:t>
            </w:r>
          </w:p>
          <w:p w14:paraId="08BE7892"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N (%)</w:t>
            </w:r>
          </w:p>
        </w:tc>
      </w:tr>
      <w:tr w:rsidR="00565B8D" w:rsidRPr="00065144" w14:paraId="19E8D4A0" w14:textId="77777777" w:rsidTr="00134992">
        <w:tc>
          <w:tcPr>
            <w:tcW w:w="2227" w:type="pct"/>
            <w:tcBorders>
              <w:top w:val="single" w:sz="4" w:space="0" w:color="auto"/>
            </w:tcBorders>
          </w:tcPr>
          <w:p w14:paraId="1DE648F4" w14:textId="77777777" w:rsidR="00565B8D" w:rsidRPr="00065144" w:rsidRDefault="00565B8D" w:rsidP="00134992">
            <w:pPr>
              <w:spacing w:before="60" w:after="60" w:line="240" w:lineRule="auto"/>
              <w:ind w:firstLine="0"/>
              <w:rPr>
                <w:rFonts w:cs="Times New Roman"/>
                <w:sz w:val="20"/>
                <w:szCs w:val="20"/>
              </w:rPr>
            </w:pPr>
            <w:r w:rsidRPr="00065144">
              <w:rPr>
                <w:rFonts w:cs="Times New Roman"/>
                <w:sz w:val="20"/>
                <w:szCs w:val="20"/>
              </w:rPr>
              <w:t>Start of training</w:t>
            </w:r>
          </w:p>
          <w:p w14:paraId="26897DCD" w14:textId="77777777" w:rsidR="00565B8D" w:rsidRPr="00065144" w:rsidRDefault="00565B8D" w:rsidP="00134992">
            <w:pPr>
              <w:spacing w:before="60" w:after="60" w:line="240" w:lineRule="auto"/>
              <w:ind w:left="359" w:firstLine="0"/>
              <w:rPr>
                <w:rFonts w:cs="Times New Roman"/>
                <w:sz w:val="20"/>
                <w:szCs w:val="20"/>
              </w:rPr>
            </w:pPr>
            <w:r w:rsidRPr="00065144">
              <w:rPr>
                <w:rFonts w:cs="Times New Roman"/>
                <w:sz w:val="20"/>
                <w:szCs w:val="20"/>
              </w:rPr>
              <w:t>Before 2016</w:t>
            </w:r>
          </w:p>
          <w:p w14:paraId="03ABEE0E" w14:textId="77777777" w:rsidR="00565B8D" w:rsidRPr="00065144" w:rsidRDefault="00565B8D" w:rsidP="00134992">
            <w:pPr>
              <w:spacing w:before="60" w:after="60" w:line="240" w:lineRule="auto"/>
              <w:ind w:left="359" w:firstLine="0"/>
              <w:rPr>
                <w:rFonts w:cs="Times New Roman"/>
                <w:sz w:val="20"/>
                <w:szCs w:val="20"/>
              </w:rPr>
            </w:pPr>
            <w:r w:rsidRPr="00065144">
              <w:rPr>
                <w:rFonts w:cs="Times New Roman"/>
                <w:sz w:val="20"/>
                <w:szCs w:val="20"/>
              </w:rPr>
              <w:t>After 2016</w:t>
            </w:r>
          </w:p>
        </w:tc>
        <w:tc>
          <w:tcPr>
            <w:tcW w:w="1127" w:type="pct"/>
            <w:tcBorders>
              <w:top w:val="single" w:sz="4" w:space="0" w:color="auto"/>
            </w:tcBorders>
          </w:tcPr>
          <w:p w14:paraId="75D8349F" w14:textId="77777777" w:rsidR="00565B8D" w:rsidRPr="00065144" w:rsidRDefault="00565B8D" w:rsidP="00134992">
            <w:pPr>
              <w:spacing w:before="60" w:after="60" w:line="240" w:lineRule="auto"/>
              <w:ind w:firstLine="0"/>
              <w:jc w:val="left"/>
              <w:rPr>
                <w:rFonts w:cs="Times New Roman"/>
                <w:sz w:val="20"/>
                <w:szCs w:val="20"/>
              </w:rPr>
            </w:pPr>
          </w:p>
          <w:p w14:paraId="0267B80B"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62 (81.6)</w:t>
            </w:r>
          </w:p>
          <w:p w14:paraId="600C3045"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14 (18.4)</w:t>
            </w:r>
          </w:p>
        </w:tc>
        <w:tc>
          <w:tcPr>
            <w:tcW w:w="789" w:type="pct"/>
            <w:tcBorders>
              <w:top w:val="single" w:sz="4" w:space="0" w:color="auto"/>
            </w:tcBorders>
          </w:tcPr>
          <w:p w14:paraId="4EA4C2B3" w14:textId="77777777" w:rsidR="00565B8D" w:rsidRPr="00065144" w:rsidRDefault="00565B8D" w:rsidP="00134992">
            <w:pPr>
              <w:spacing w:before="60" w:after="60" w:line="240" w:lineRule="auto"/>
              <w:ind w:firstLine="0"/>
              <w:jc w:val="left"/>
              <w:rPr>
                <w:rFonts w:cs="Times New Roman"/>
                <w:sz w:val="20"/>
                <w:szCs w:val="20"/>
              </w:rPr>
            </w:pPr>
          </w:p>
          <w:p w14:paraId="21CE32A2"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62 (100)</w:t>
            </w:r>
          </w:p>
          <w:p w14:paraId="7E793003" w14:textId="77777777" w:rsidR="00565B8D" w:rsidRPr="00065144" w:rsidRDefault="00565B8D" w:rsidP="00134992">
            <w:pPr>
              <w:spacing w:before="60" w:after="60" w:line="240" w:lineRule="auto"/>
              <w:ind w:firstLine="0"/>
              <w:jc w:val="left"/>
              <w:rPr>
                <w:rFonts w:cs="Times New Roman"/>
                <w:sz w:val="20"/>
                <w:szCs w:val="20"/>
              </w:rPr>
            </w:pPr>
          </w:p>
        </w:tc>
        <w:tc>
          <w:tcPr>
            <w:tcW w:w="857" w:type="pct"/>
            <w:tcBorders>
              <w:top w:val="single" w:sz="4" w:space="0" w:color="auto"/>
            </w:tcBorders>
          </w:tcPr>
          <w:p w14:paraId="0A33E804" w14:textId="77777777" w:rsidR="00565B8D" w:rsidRPr="00065144" w:rsidRDefault="00565B8D" w:rsidP="00134992">
            <w:pPr>
              <w:spacing w:before="60" w:after="60" w:line="240" w:lineRule="auto"/>
              <w:ind w:firstLine="0"/>
              <w:jc w:val="left"/>
              <w:rPr>
                <w:rFonts w:cs="Times New Roman"/>
                <w:sz w:val="20"/>
                <w:szCs w:val="20"/>
              </w:rPr>
            </w:pPr>
          </w:p>
          <w:p w14:paraId="04589DED" w14:textId="77777777" w:rsidR="00565B8D" w:rsidRPr="00065144" w:rsidRDefault="00565B8D" w:rsidP="00134992">
            <w:pPr>
              <w:spacing w:before="60" w:after="60" w:line="240" w:lineRule="auto"/>
              <w:ind w:firstLine="0"/>
              <w:jc w:val="left"/>
              <w:rPr>
                <w:rFonts w:cs="Times New Roman"/>
                <w:sz w:val="20"/>
                <w:szCs w:val="20"/>
              </w:rPr>
            </w:pPr>
          </w:p>
          <w:p w14:paraId="56AF309D"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14 (100)</w:t>
            </w:r>
          </w:p>
        </w:tc>
      </w:tr>
      <w:tr w:rsidR="00565B8D" w:rsidRPr="00065144" w14:paraId="43788FD3" w14:textId="77777777" w:rsidTr="00134992">
        <w:tc>
          <w:tcPr>
            <w:tcW w:w="2227" w:type="pct"/>
          </w:tcPr>
          <w:p w14:paraId="1431AC95" w14:textId="77777777" w:rsidR="00565B8D" w:rsidRPr="00065144" w:rsidRDefault="00565B8D" w:rsidP="00134992">
            <w:pPr>
              <w:spacing w:before="60" w:after="60" w:line="240" w:lineRule="auto"/>
              <w:ind w:firstLine="0"/>
              <w:rPr>
                <w:rFonts w:cs="Times New Roman"/>
                <w:sz w:val="20"/>
                <w:szCs w:val="20"/>
              </w:rPr>
            </w:pPr>
            <w:r w:rsidRPr="00065144">
              <w:rPr>
                <w:rFonts w:cs="Times New Roman"/>
                <w:sz w:val="20"/>
                <w:szCs w:val="20"/>
              </w:rPr>
              <w:t>Gender</w:t>
            </w:r>
          </w:p>
          <w:p w14:paraId="50B69B48" w14:textId="77777777" w:rsidR="00565B8D" w:rsidRPr="00065144" w:rsidRDefault="00565B8D" w:rsidP="00134992">
            <w:pPr>
              <w:spacing w:before="60" w:after="60" w:line="240" w:lineRule="auto"/>
              <w:ind w:left="359" w:firstLine="0"/>
              <w:rPr>
                <w:rFonts w:cs="Times New Roman"/>
                <w:sz w:val="20"/>
                <w:szCs w:val="20"/>
              </w:rPr>
            </w:pPr>
            <w:r w:rsidRPr="00065144">
              <w:rPr>
                <w:rFonts w:cs="Times New Roman"/>
                <w:sz w:val="20"/>
                <w:szCs w:val="20"/>
              </w:rPr>
              <w:t>Female</w:t>
            </w:r>
          </w:p>
          <w:p w14:paraId="086FFA1E" w14:textId="77777777" w:rsidR="00565B8D" w:rsidRPr="00065144" w:rsidRDefault="00565B8D" w:rsidP="00134992">
            <w:pPr>
              <w:spacing w:before="60" w:after="60" w:line="240" w:lineRule="auto"/>
              <w:ind w:left="359" w:firstLine="0"/>
              <w:rPr>
                <w:rFonts w:cs="Times New Roman"/>
                <w:sz w:val="20"/>
                <w:szCs w:val="20"/>
              </w:rPr>
            </w:pPr>
            <w:r w:rsidRPr="00065144">
              <w:rPr>
                <w:rFonts w:cs="Times New Roman"/>
                <w:sz w:val="20"/>
                <w:szCs w:val="20"/>
              </w:rPr>
              <w:t>Male</w:t>
            </w:r>
          </w:p>
        </w:tc>
        <w:tc>
          <w:tcPr>
            <w:tcW w:w="1127" w:type="pct"/>
          </w:tcPr>
          <w:p w14:paraId="4ADB0606" w14:textId="77777777" w:rsidR="00565B8D" w:rsidRPr="00065144" w:rsidRDefault="00565B8D" w:rsidP="00134992">
            <w:pPr>
              <w:spacing w:before="60" w:after="60" w:line="240" w:lineRule="auto"/>
              <w:ind w:firstLine="0"/>
              <w:jc w:val="left"/>
              <w:rPr>
                <w:rFonts w:cs="Times New Roman"/>
                <w:sz w:val="20"/>
                <w:szCs w:val="20"/>
              </w:rPr>
            </w:pPr>
          </w:p>
          <w:p w14:paraId="4F82E5B3"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66 (86.6)</w:t>
            </w:r>
          </w:p>
          <w:p w14:paraId="6BB2F5D7"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10 (13.2)</w:t>
            </w:r>
          </w:p>
        </w:tc>
        <w:tc>
          <w:tcPr>
            <w:tcW w:w="789" w:type="pct"/>
          </w:tcPr>
          <w:p w14:paraId="4B8E35F0" w14:textId="77777777" w:rsidR="00565B8D" w:rsidRPr="00065144" w:rsidRDefault="00565B8D" w:rsidP="00134992">
            <w:pPr>
              <w:spacing w:before="60" w:after="60" w:line="240" w:lineRule="auto"/>
              <w:ind w:firstLine="0"/>
              <w:jc w:val="left"/>
              <w:rPr>
                <w:rFonts w:cs="Times New Roman"/>
                <w:sz w:val="20"/>
                <w:szCs w:val="20"/>
              </w:rPr>
            </w:pPr>
          </w:p>
          <w:p w14:paraId="29B80358"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52 (83.9)</w:t>
            </w:r>
          </w:p>
          <w:p w14:paraId="13650191"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10 (16.1)</w:t>
            </w:r>
          </w:p>
        </w:tc>
        <w:tc>
          <w:tcPr>
            <w:tcW w:w="857" w:type="pct"/>
          </w:tcPr>
          <w:p w14:paraId="24F9CCCD" w14:textId="77777777" w:rsidR="00565B8D" w:rsidRPr="00065144" w:rsidRDefault="00565B8D" w:rsidP="00134992">
            <w:pPr>
              <w:spacing w:before="60" w:after="60" w:line="240" w:lineRule="auto"/>
              <w:ind w:firstLine="0"/>
              <w:jc w:val="left"/>
              <w:rPr>
                <w:rFonts w:cs="Times New Roman"/>
                <w:sz w:val="20"/>
                <w:szCs w:val="20"/>
              </w:rPr>
            </w:pPr>
          </w:p>
          <w:p w14:paraId="1E32A5FF"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14 (100)</w:t>
            </w:r>
          </w:p>
          <w:p w14:paraId="1816F318" w14:textId="77777777" w:rsidR="00565B8D" w:rsidRPr="00065144" w:rsidRDefault="00565B8D" w:rsidP="00134992">
            <w:pPr>
              <w:spacing w:before="60" w:after="60" w:line="240" w:lineRule="auto"/>
              <w:ind w:firstLine="0"/>
              <w:jc w:val="left"/>
              <w:rPr>
                <w:rFonts w:cs="Times New Roman"/>
                <w:sz w:val="20"/>
                <w:szCs w:val="20"/>
              </w:rPr>
            </w:pPr>
          </w:p>
        </w:tc>
      </w:tr>
      <w:tr w:rsidR="00565B8D" w:rsidRPr="00065144" w14:paraId="413D7FBD" w14:textId="77777777" w:rsidTr="00134992">
        <w:tc>
          <w:tcPr>
            <w:tcW w:w="2227" w:type="pct"/>
          </w:tcPr>
          <w:p w14:paraId="03325CA9" w14:textId="77777777" w:rsidR="00565B8D" w:rsidRPr="00065144" w:rsidRDefault="00565B8D" w:rsidP="00134992">
            <w:pPr>
              <w:spacing w:before="60" w:after="60" w:line="240" w:lineRule="auto"/>
              <w:ind w:firstLine="0"/>
              <w:rPr>
                <w:rFonts w:cs="Times New Roman"/>
                <w:sz w:val="20"/>
                <w:szCs w:val="20"/>
              </w:rPr>
            </w:pPr>
            <w:r w:rsidRPr="00065144">
              <w:rPr>
                <w:rFonts w:cs="Times New Roman"/>
                <w:sz w:val="20"/>
                <w:szCs w:val="20"/>
              </w:rPr>
              <w:t>Age</w:t>
            </w:r>
          </w:p>
          <w:p w14:paraId="3E196C0D" w14:textId="77777777" w:rsidR="00565B8D" w:rsidRPr="00065144" w:rsidRDefault="00565B8D" w:rsidP="00134992">
            <w:pPr>
              <w:spacing w:before="60" w:after="60" w:line="240" w:lineRule="auto"/>
              <w:ind w:left="359" w:firstLine="0"/>
              <w:rPr>
                <w:rFonts w:cs="Times New Roman"/>
                <w:sz w:val="20"/>
                <w:szCs w:val="20"/>
              </w:rPr>
            </w:pPr>
            <w:r w:rsidRPr="00065144">
              <w:rPr>
                <w:rFonts w:cs="Times New Roman"/>
                <w:sz w:val="20"/>
                <w:szCs w:val="20"/>
              </w:rPr>
              <w:t>20-29</w:t>
            </w:r>
          </w:p>
          <w:p w14:paraId="70531274" w14:textId="77777777" w:rsidR="00565B8D" w:rsidRPr="00065144" w:rsidRDefault="00565B8D" w:rsidP="00134992">
            <w:pPr>
              <w:spacing w:before="60" w:after="60" w:line="240" w:lineRule="auto"/>
              <w:ind w:left="359" w:firstLine="0"/>
              <w:rPr>
                <w:rFonts w:cs="Times New Roman"/>
                <w:sz w:val="20"/>
                <w:szCs w:val="20"/>
              </w:rPr>
            </w:pPr>
            <w:r w:rsidRPr="00065144">
              <w:rPr>
                <w:rFonts w:cs="Times New Roman"/>
                <w:sz w:val="20"/>
                <w:szCs w:val="20"/>
              </w:rPr>
              <w:t>30-39</w:t>
            </w:r>
          </w:p>
          <w:p w14:paraId="3DF7D3EB" w14:textId="77777777" w:rsidR="00565B8D" w:rsidRPr="00065144" w:rsidRDefault="00565B8D" w:rsidP="00134992">
            <w:pPr>
              <w:spacing w:before="60" w:after="60" w:line="240" w:lineRule="auto"/>
              <w:ind w:left="359" w:firstLine="0"/>
              <w:rPr>
                <w:rFonts w:cs="Times New Roman"/>
                <w:sz w:val="20"/>
                <w:szCs w:val="20"/>
              </w:rPr>
            </w:pPr>
            <w:r w:rsidRPr="00065144">
              <w:rPr>
                <w:rFonts w:cs="Times New Roman"/>
                <w:sz w:val="20"/>
                <w:szCs w:val="20"/>
              </w:rPr>
              <w:t>40-49</w:t>
            </w:r>
          </w:p>
          <w:p w14:paraId="6789A7E0" w14:textId="77777777" w:rsidR="00565B8D" w:rsidRPr="00065144" w:rsidRDefault="00565B8D" w:rsidP="00134992">
            <w:pPr>
              <w:spacing w:before="60" w:after="60" w:line="240" w:lineRule="auto"/>
              <w:ind w:left="359" w:firstLine="0"/>
              <w:rPr>
                <w:rFonts w:cs="Times New Roman"/>
                <w:sz w:val="20"/>
                <w:szCs w:val="20"/>
              </w:rPr>
            </w:pPr>
            <w:r w:rsidRPr="00065144">
              <w:rPr>
                <w:rFonts w:cs="Times New Roman"/>
                <w:sz w:val="20"/>
                <w:szCs w:val="20"/>
              </w:rPr>
              <w:t>50-59</w:t>
            </w:r>
          </w:p>
        </w:tc>
        <w:tc>
          <w:tcPr>
            <w:tcW w:w="1127" w:type="pct"/>
          </w:tcPr>
          <w:p w14:paraId="26FA1D7C" w14:textId="77777777" w:rsidR="00565B8D" w:rsidRPr="00065144" w:rsidRDefault="00565B8D" w:rsidP="00134992">
            <w:pPr>
              <w:spacing w:before="60" w:after="60" w:line="240" w:lineRule="auto"/>
              <w:ind w:firstLine="0"/>
              <w:jc w:val="left"/>
              <w:rPr>
                <w:rFonts w:cs="Times New Roman"/>
                <w:sz w:val="20"/>
                <w:szCs w:val="20"/>
              </w:rPr>
            </w:pPr>
          </w:p>
          <w:p w14:paraId="6449E11B"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5 (6.6)</w:t>
            </w:r>
          </w:p>
          <w:p w14:paraId="014DB875"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35 (46.1)</w:t>
            </w:r>
          </w:p>
          <w:p w14:paraId="1DAA0658"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31 (40.8)</w:t>
            </w:r>
          </w:p>
          <w:p w14:paraId="1EC22D65"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5 (6.6)</w:t>
            </w:r>
          </w:p>
        </w:tc>
        <w:tc>
          <w:tcPr>
            <w:tcW w:w="789" w:type="pct"/>
          </w:tcPr>
          <w:p w14:paraId="1A544F5A" w14:textId="77777777" w:rsidR="00565B8D" w:rsidRPr="00065144" w:rsidRDefault="00565B8D" w:rsidP="00134992">
            <w:pPr>
              <w:spacing w:before="60" w:after="60" w:line="240" w:lineRule="auto"/>
              <w:ind w:firstLine="0"/>
              <w:jc w:val="left"/>
              <w:rPr>
                <w:rFonts w:cs="Times New Roman"/>
                <w:sz w:val="20"/>
                <w:szCs w:val="20"/>
              </w:rPr>
            </w:pPr>
          </w:p>
          <w:p w14:paraId="2F74EEC0"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26 (41.9)</w:t>
            </w:r>
          </w:p>
          <w:p w14:paraId="33F7FCAD"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31 (50)</w:t>
            </w:r>
          </w:p>
          <w:p w14:paraId="4BA54E87"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5 (8.1)</w:t>
            </w:r>
          </w:p>
          <w:p w14:paraId="1FC272CA" w14:textId="77777777" w:rsidR="00565B8D" w:rsidRPr="00065144" w:rsidRDefault="00565B8D" w:rsidP="00134992">
            <w:pPr>
              <w:spacing w:before="60" w:after="60" w:line="240" w:lineRule="auto"/>
              <w:ind w:firstLine="0"/>
              <w:jc w:val="left"/>
              <w:rPr>
                <w:rFonts w:cs="Times New Roman"/>
                <w:sz w:val="20"/>
                <w:szCs w:val="20"/>
              </w:rPr>
            </w:pPr>
          </w:p>
        </w:tc>
        <w:tc>
          <w:tcPr>
            <w:tcW w:w="857" w:type="pct"/>
          </w:tcPr>
          <w:p w14:paraId="01BA742C" w14:textId="77777777" w:rsidR="00565B8D" w:rsidRPr="00065144" w:rsidRDefault="00565B8D" w:rsidP="00134992">
            <w:pPr>
              <w:spacing w:before="60" w:after="60" w:line="240" w:lineRule="auto"/>
              <w:ind w:firstLine="0"/>
              <w:jc w:val="left"/>
              <w:rPr>
                <w:rFonts w:cs="Times New Roman"/>
                <w:sz w:val="20"/>
                <w:szCs w:val="20"/>
              </w:rPr>
            </w:pPr>
          </w:p>
          <w:p w14:paraId="690765B8"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5 (35.7)</w:t>
            </w:r>
          </w:p>
          <w:p w14:paraId="5BD6245A"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9 (64.3)</w:t>
            </w:r>
          </w:p>
        </w:tc>
      </w:tr>
      <w:tr w:rsidR="00565B8D" w:rsidRPr="00065144" w14:paraId="4FC58ADB" w14:textId="77777777" w:rsidTr="00134992">
        <w:tc>
          <w:tcPr>
            <w:tcW w:w="2227" w:type="pct"/>
          </w:tcPr>
          <w:p w14:paraId="6F5A56D7" w14:textId="77777777" w:rsidR="00565B8D" w:rsidRPr="00065144" w:rsidRDefault="00565B8D" w:rsidP="00134992">
            <w:pPr>
              <w:spacing w:before="60" w:after="60" w:line="240" w:lineRule="auto"/>
              <w:ind w:firstLine="0"/>
              <w:rPr>
                <w:rFonts w:cs="Times New Roman"/>
                <w:sz w:val="20"/>
                <w:szCs w:val="20"/>
              </w:rPr>
            </w:pPr>
            <w:r w:rsidRPr="00065144">
              <w:rPr>
                <w:rFonts w:cs="Times New Roman"/>
                <w:sz w:val="20"/>
                <w:szCs w:val="20"/>
              </w:rPr>
              <w:t>Occupation</w:t>
            </w:r>
          </w:p>
          <w:p w14:paraId="77C2667F" w14:textId="77777777" w:rsidR="00565B8D" w:rsidRPr="00065144" w:rsidRDefault="00565B8D" w:rsidP="00134992">
            <w:pPr>
              <w:spacing w:before="60" w:after="60" w:line="240" w:lineRule="auto"/>
              <w:ind w:left="359" w:firstLine="0"/>
              <w:rPr>
                <w:rFonts w:cs="Times New Roman"/>
                <w:sz w:val="20"/>
                <w:szCs w:val="20"/>
              </w:rPr>
            </w:pPr>
            <w:r w:rsidRPr="00065144">
              <w:rPr>
                <w:rFonts w:cs="Times New Roman"/>
                <w:sz w:val="20"/>
                <w:szCs w:val="20"/>
              </w:rPr>
              <w:t>NHS</w:t>
            </w:r>
          </w:p>
          <w:p w14:paraId="77E301A8" w14:textId="77777777" w:rsidR="00565B8D" w:rsidRPr="00065144" w:rsidRDefault="00565B8D" w:rsidP="00134992">
            <w:pPr>
              <w:spacing w:before="60" w:after="60" w:line="240" w:lineRule="auto"/>
              <w:ind w:left="359" w:firstLine="0"/>
              <w:rPr>
                <w:rFonts w:cs="Times New Roman"/>
                <w:sz w:val="20"/>
                <w:szCs w:val="20"/>
              </w:rPr>
            </w:pPr>
            <w:proofErr w:type="gramStart"/>
            <w:r w:rsidRPr="00065144">
              <w:rPr>
                <w:rFonts w:cs="Times New Roman"/>
                <w:sz w:val="20"/>
                <w:szCs w:val="20"/>
              </w:rPr>
              <w:t>Other</w:t>
            </w:r>
            <w:proofErr w:type="gramEnd"/>
            <w:r w:rsidRPr="00065144">
              <w:rPr>
                <w:rFonts w:cs="Times New Roman"/>
                <w:sz w:val="20"/>
                <w:szCs w:val="20"/>
              </w:rPr>
              <w:t xml:space="preserve"> public-funded sector</w:t>
            </w:r>
          </w:p>
          <w:p w14:paraId="5AC37D0B" w14:textId="77777777" w:rsidR="00565B8D" w:rsidRPr="00065144" w:rsidRDefault="00565B8D" w:rsidP="00134992">
            <w:pPr>
              <w:spacing w:before="60" w:after="60" w:line="240" w:lineRule="auto"/>
              <w:ind w:left="359" w:firstLine="0"/>
              <w:rPr>
                <w:rFonts w:cs="Times New Roman"/>
                <w:sz w:val="20"/>
                <w:szCs w:val="20"/>
              </w:rPr>
            </w:pPr>
            <w:proofErr w:type="gramStart"/>
            <w:r w:rsidRPr="00065144">
              <w:rPr>
                <w:rFonts w:cs="Times New Roman"/>
                <w:sz w:val="20"/>
                <w:szCs w:val="20"/>
              </w:rPr>
              <w:t>Other</w:t>
            </w:r>
            <w:proofErr w:type="gramEnd"/>
            <w:r w:rsidRPr="00065144">
              <w:rPr>
                <w:rFonts w:cs="Times New Roman"/>
                <w:sz w:val="20"/>
                <w:szCs w:val="20"/>
              </w:rPr>
              <w:t xml:space="preserve"> sector (e.g., private)</w:t>
            </w:r>
          </w:p>
        </w:tc>
        <w:tc>
          <w:tcPr>
            <w:tcW w:w="1127" w:type="pct"/>
          </w:tcPr>
          <w:p w14:paraId="18A1084F" w14:textId="77777777" w:rsidR="00565B8D" w:rsidRPr="00065144" w:rsidRDefault="00565B8D" w:rsidP="00134992">
            <w:pPr>
              <w:spacing w:before="60" w:after="60" w:line="240" w:lineRule="auto"/>
              <w:ind w:firstLine="0"/>
              <w:jc w:val="left"/>
              <w:rPr>
                <w:rFonts w:cs="Times New Roman"/>
                <w:sz w:val="20"/>
                <w:szCs w:val="20"/>
              </w:rPr>
            </w:pPr>
          </w:p>
          <w:p w14:paraId="74C87518"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71 (93.4)</w:t>
            </w:r>
          </w:p>
          <w:p w14:paraId="494114FA"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2 (2.6)</w:t>
            </w:r>
          </w:p>
          <w:p w14:paraId="60CE8D04"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3 (3.9)</w:t>
            </w:r>
          </w:p>
        </w:tc>
        <w:tc>
          <w:tcPr>
            <w:tcW w:w="789" w:type="pct"/>
          </w:tcPr>
          <w:p w14:paraId="6F04B641" w14:textId="77777777" w:rsidR="00565B8D" w:rsidRPr="00065144" w:rsidRDefault="00565B8D" w:rsidP="00134992">
            <w:pPr>
              <w:spacing w:before="60" w:after="60" w:line="240" w:lineRule="auto"/>
              <w:ind w:firstLine="0"/>
              <w:jc w:val="left"/>
              <w:rPr>
                <w:rFonts w:cs="Times New Roman"/>
                <w:sz w:val="20"/>
                <w:szCs w:val="20"/>
              </w:rPr>
            </w:pPr>
          </w:p>
          <w:p w14:paraId="22D0D9B8"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58 (93.5)</w:t>
            </w:r>
          </w:p>
          <w:p w14:paraId="413D364B"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2 (3.2)</w:t>
            </w:r>
          </w:p>
          <w:p w14:paraId="6458BBE7"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2 (3.2)</w:t>
            </w:r>
          </w:p>
        </w:tc>
        <w:tc>
          <w:tcPr>
            <w:tcW w:w="857" w:type="pct"/>
          </w:tcPr>
          <w:p w14:paraId="3B2D72E5" w14:textId="77777777" w:rsidR="00565B8D" w:rsidRPr="00065144" w:rsidRDefault="00565B8D" w:rsidP="00134992">
            <w:pPr>
              <w:spacing w:before="60" w:after="60" w:line="240" w:lineRule="auto"/>
              <w:ind w:firstLine="0"/>
              <w:jc w:val="left"/>
              <w:rPr>
                <w:rFonts w:cs="Times New Roman"/>
                <w:sz w:val="20"/>
                <w:szCs w:val="20"/>
              </w:rPr>
            </w:pPr>
          </w:p>
          <w:p w14:paraId="599D9D32"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13 (92.9)</w:t>
            </w:r>
          </w:p>
          <w:p w14:paraId="0EA4777C" w14:textId="77777777" w:rsidR="00565B8D" w:rsidRPr="00065144" w:rsidRDefault="00565B8D" w:rsidP="00134992">
            <w:pPr>
              <w:spacing w:before="60" w:after="60" w:line="240" w:lineRule="auto"/>
              <w:ind w:firstLine="0"/>
              <w:jc w:val="left"/>
              <w:rPr>
                <w:rFonts w:cs="Times New Roman"/>
                <w:sz w:val="20"/>
                <w:szCs w:val="20"/>
              </w:rPr>
            </w:pPr>
          </w:p>
          <w:p w14:paraId="56888E3C"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1 (7.1)</w:t>
            </w:r>
          </w:p>
        </w:tc>
      </w:tr>
      <w:tr w:rsidR="00565B8D" w:rsidRPr="00065144" w14:paraId="1577217E" w14:textId="77777777" w:rsidTr="00134992">
        <w:tc>
          <w:tcPr>
            <w:tcW w:w="2227" w:type="pct"/>
          </w:tcPr>
          <w:p w14:paraId="686CE573" w14:textId="77777777" w:rsidR="00565B8D" w:rsidRPr="00065144" w:rsidRDefault="00565B8D" w:rsidP="00134992">
            <w:pPr>
              <w:spacing w:before="60" w:after="60" w:line="240" w:lineRule="auto"/>
              <w:ind w:firstLine="0"/>
              <w:rPr>
                <w:rFonts w:cs="Times New Roman"/>
                <w:sz w:val="20"/>
                <w:szCs w:val="20"/>
              </w:rPr>
            </w:pPr>
            <w:r w:rsidRPr="00065144">
              <w:rPr>
                <w:rFonts w:cs="Times New Roman"/>
                <w:sz w:val="20"/>
                <w:szCs w:val="20"/>
              </w:rPr>
              <w:t>Setting</w:t>
            </w:r>
          </w:p>
          <w:p w14:paraId="34AB4A37" w14:textId="77777777" w:rsidR="00565B8D" w:rsidRPr="00065144" w:rsidRDefault="00565B8D" w:rsidP="00134992">
            <w:pPr>
              <w:spacing w:before="60" w:after="60" w:line="240" w:lineRule="auto"/>
              <w:ind w:left="359" w:firstLine="0"/>
              <w:rPr>
                <w:rFonts w:cs="Times New Roman"/>
                <w:sz w:val="20"/>
                <w:szCs w:val="20"/>
              </w:rPr>
            </w:pPr>
            <w:r w:rsidRPr="00065144">
              <w:rPr>
                <w:rFonts w:cs="Times New Roman"/>
                <w:sz w:val="20"/>
                <w:szCs w:val="20"/>
              </w:rPr>
              <w:t>Inpatient</w:t>
            </w:r>
          </w:p>
          <w:p w14:paraId="2A4AE6DD" w14:textId="77777777" w:rsidR="00565B8D" w:rsidRPr="00065144" w:rsidRDefault="00565B8D" w:rsidP="00134992">
            <w:pPr>
              <w:spacing w:before="60" w:after="60" w:line="240" w:lineRule="auto"/>
              <w:ind w:left="359" w:firstLine="0"/>
              <w:rPr>
                <w:rFonts w:cs="Times New Roman"/>
                <w:sz w:val="20"/>
                <w:szCs w:val="20"/>
              </w:rPr>
            </w:pPr>
            <w:r w:rsidRPr="00065144">
              <w:rPr>
                <w:rFonts w:cs="Times New Roman"/>
                <w:sz w:val="20"/>
                <w:szCs w:val="20"/>
              </w:rPr>
              <w:t>Community</w:t>
            </w:r>
          </w:p>
        </w:tc>
        <w:tc>
          <w:tcPr>
            <w:tcW w:w="1127" w:type="pct"/>
          </w:tcPr>
          <w:p w14:paraId="16877FAF" w14:textId="77777777" w:rsidR="00565B8D" w:rsidRPr="00065144" w:rsidRDefault="00565B8D" w:rsidP="00134992">
            <w:pPr>
              <w:spacing w:before="60" w:after="60" w:line="240" w:lineRule="auto"/>
              <w:ind w:firstLine="0"/>
              <w:jc w:val="left"/>
              <w:rPr>
                <w:rFonts w:cs="Times New Roman"/>
                <w:sz w:val="20"/>
                <w:szCs w:val="20"/>
              </w:rPr>
            </w:pPr>
          </w:p>
          <w:p w14:paraId="673A166B"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13 (17.1)</w:t>
            </w:r>
          </w:p>
          <w:p w14:paraId="3A7AE967"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63 (82.9)</w:t>
            </w:r>
          </w:p>
        </w:tc>
        <w:tc>
          <w:tcPr>
            <w:tcW w:w="789" w:type="pct"/>
          </w:tcPr>
          <w:p w14:paraId="1858E8CA" w14:textId="77777777" w:rsidR="00565B8D" w:rsidRPr="00065144" w:rsidRDefault="00565B8D" w:rsidP="00134992">
            <w:pPr>
              <w:spacing w:before="60" w:after="60" w:line="240" w:lineRule="auto"/>
              <w:ind w:firstLine="0"/>
              <w:jc w:val="left"/>
              <w:rPr>
                <w:rFonts w:cs="Times New Roman"/>
                <w:sz w:val="20"/>
                <w:szCs w:val="20"/>
              </w:rPr>
            </w:pPr>
          </w:p>
          <w:p w14:paraId="25E75517"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10 (16.1)</w:t>
            </w:r>
          </w:p>
          <w:p w14:paraId="36B826AD"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52 (83.9)</w:t>
            </w:r>
          </w:p>
        </w:tc>
        <w:tc>
          <w:tcPr>
            <w:tcW w:w="857" w:type="pct"/>
          </w:tcPr>
          <w:p w14:paraId="51B09416" w14:textId="77777777" w:rsidR="00565B8D" w:rsidRPr="00065144" w:rsidRDefault="00565B8D" w:rsidP="00134992">
            <w:pPr>
              <w:spacing w:before="60" w:after="60" w:line="240" w:lineRule="auto"/>
              <w:ind w:firstLine="0"/>
              <w:jc w:val="left"/>
              <w:rPr>
                <w:rFonts w:cs="Times New Roman"/>
                <w:sz w:val="20"/>
                <w:szCs w:val="20"/>
              </w:rPr>
            </w:pPr>
          </w:p>
          <w:p w14:paraId="7E2DF6A4"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3 (21.4)</w:t>
            </w:r>
          </w:p>
          <w:p w14:paraId="445BEBF0"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11 (78.6)</w:t>
            </w:r>
          </w:p>
        </w:tc>
      </w:tr>
      <w:tr w:rsidR="00565B8D" w:rsidRPr="00065144" w14:paraId="427B4B36" w14:textId="77777777" w:rsidTr="00134992">
        <w:tc>
          <w:tcPr>
            <w:tcW w:w="2227" w:type="pct"/>
          </w:tcPr>
          <w:p w14:paraId="164CA74F" w14:textId="77777777" w:rsidR="00565B8D" w:rsidRPr="00065144" w:rsidRDefault="00565B8D" w:rsidP="00134992">
            <w:pPr>
              <w:spacing w:before="60" w:after="60" w:line="240" w:lineRule="auto"/>
              <w:ind w:firstLine="0"/>
              <w:rPr>
                <w:rFonts w:cs="Times New Roman"/>
                <w:sz w:val="20"/>
                <w:szCs w:val="20"/>
              </w:rPr>
            </w:pPr>
            <w:r w:rsidRPr="00065144">
              <w:rPr>
                <w:rFonts w:cs="Times New Roman"/>
                <w:sz w:val="20"/>
                <w:szCs w:val="20"/>
              </w:rPr>
              <w:t>Specialism</w:t>
            </w:r>
          </w:p>
          <w:p w14:paraId="15BB2E96" w14:textId="77777777" w:rsidR="00565B8D" w:rsidRPr="00065144" w:rsidRDefault="00565B8D" w:rsidP="00134992">
            <w:pPr>
              <w:spacing w:before="60" w:after="60" w:line="240" w:lineRule="auto"/>
              <w:ind w:left="359" w:firstLine="0"/>
              <w:rPr>
                <w:rFonts w:cs="Times New Roman"/>
                <w:sz w:val="20"/>
                <w:szCs w:val="20"/>
              </w:rPr>
            </w:pPr>
            <w:r w:rsidRPr="00065144">
              <w:rPr>
                <w:rFonts w:cs="Times New Roman"/>
                <w:sz w:val="20"/>
                <w:szCs w:val="20"/>
              </w:rPr>
              <w:t>Adult</w:t>
            </w:r>
          </w:p>
          <w:p w14:paraId="48F6DC66" w14:textId="77777777" w:rsidR="00565B8D" w:rsidRPr="00065144" w:rsidRDefault="00565B8D" w:rsidP="00134992">
            <w:pPr>
              <w:spacing w:before="60" w:after="60" w:line="240" w:lineRule="auto"/>
              <w:ind w:left="359" w:firstLine="0"/>
              <w:rPr>
                <w:rFonts w:cs="Times New Roman"/>
                <w:sz w:val="20"/>
                <w:szCs w:val="20"/>
              </w:rPr>
            </w:pPr>
            <w:r w:rsidRPr="00065144">
              <w:rPr>
                <w:rFonts w:cs="Times New Roman"/>
                <w:sz w:val="20"/>
                <w:szCs w:val="20"/>
              </w:rPr>
              <w:t>Older Adult</w:t>
            </w:r>
          </w:p>
          <w:p w14:paraId="41721FD4" w14:textId="77777777" w:rsidR="00565B8D" w:rsidRPr="00065144" w:rsidRDefault="00565B8D" w:rsidP="00134992">
            <w:pPr>
              <w:spacing w:before="60" w:after="60" w:line="240" w:lineRule="auto"/>
              <w:ind w:left="359" w:firstLine="0"/>
              <w:rPr>
                <w:rFonts w:cs="Times New Roman"/>
                <w:sz w:val="20"/>
                <w:szCs w:val="20"/>
              </w:rPr>
            </w:pPr>
            <w:r w:rsidRPr="00065144">
              <w:rPr>
                <w:rFonts w:cs="Times New Roman"/>
                <w:sz w:val="20"/>
                <w:szCs w:val="20"/>
              </w:rPr>
              <w:t>Child and Adolescent</w:t>
            </w:r>
          </w:p>
          <w:p w14:paraId="523BDBA3" w14:textId="77777777" w:rsidR="00565B8D" w:rsidRPr="00065144" w:rsidRDefault="00565B8D" w:rsidP="00134992">
            <w:pPr>
              <w:spacing w:before="60" w:after="60" w:line="240" w:lineRule="auto"/>
              <w:ind w:left="359" w:firstLine="0"/>
              <w:rPr>
                <w:rFonts w:cs="Times New Roman"/>
                <w:sz w:val="20"/>
                <w:szCs w:val="20"/>
              </w:rPr>
            </w:pPr>
            <w:r w:rsidRPr="00065144">
              <w:rPr>
                <w:rFonts w:cs="Times New Roman"/>
                <w:sz w:val="20"/>
                <w:szCs w:val="20"/>
              </w:rPr>
              <w:t>Learning Disabilities</w:t>
            </w:r>
          </w:p>
          <w:p w14:paraId="5D65CAF7" w14:textId="77777777" w:rsidR="00565B8D" w:rsidRPr="00065144" w:rsidRDefault="00565B8D" w:rsidP="00134992">
            <w:pPr>
              <w:spacing w:before="60" w:after="60" w:line="240" w:lineRule="auto"/>
              <w:ind w:left="359" w:firstLine="0"/>
              <w:rPr>
                <w:rFonts w:cs="Times New Roman"/>
                <w:sz w:val="20"/>
                <w:szCs w:val="20"/>
              </w:rPr>
            </w:pPr>
            <w:r w:rsidRPr="00065144">
              <w:rPr>
                <w:rFonts w:cs="Times New Roman"/>
                <w:sz w:val="20"/>
                <w:szCs w:val="20"/>
              </w:rPr>
              <w:t>Other/Specialist</w:t>
            </w:r>
          </w:p>
        </w:tc>
        <w:tc>
          <w:tcPr>
            <w:tcW w:w="1127" w:type="pct"/>
          </w:tcPr>
          <w:p w14:paraId="25283BE6" w14:textId="77777777" w:rsidR="00565B8D" w:rsidRPr="00065144" w:rsidRDefault="00565B8D" w:rsidP="00134992">
            <w:pPr>
              <w:spacing w:before="60" w:after="60" w:line="240" w:lineRule="auto"/>
              <w:ind w:firstLine="0"/>
              <w:jc w:val="left"/>
              <w:rPr>
                <w:rFonts w:cs="Times New Roman"/>
                <w:sz w:val="20"/>
                <w:szCs w:val="20"/>
              </w:rPr>
            </w:pPr>
          </w:p>
          <w:p w14:paraId="138EBC0D"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16 (21.1)</w:t>
            </w:r>
          </w:p>
          <w:p w14:paraId="65D0FBDD"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10 (13.2)</w:t>
            </w:r>
          </w:p>
          <w:p w14:paraId="1D5B2F85"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23 (30.3)</w:t>
            </w:r>
          </w:p>
          <w:p w14:paraId="4E3AB9D0"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8 (10.5)</w:t>
            </w:r>
          </w:p>
          <w:p w14:paraId="3DF738C1"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19 (25)</w:t>
            </w:r>
          </w:p>
        </w:tc>
        <w:tc>
          <w:tcPr>
            <w:tcW w:w="789" w:type="pct"/>
          </w:tcPr>
          <w:p w14:paraId="504915EF" w14:textId="77777777" w:rsidR="00565B8D" w:rsidRPr="00065144" w:rsidRDefault="00565B8D" w:rsidP="00134992">
            <w:pPr>
              <w:spacing w:before="60" w:after="60" w:line="240" w:lineRule="auto"/>
              <w:ind w:firstLine="0"/>
              <w:jc w:val="left"/>
              <w:rPr>
                <w:rFonts w:cs="Times New Roman"/>
                <w:sz w:val="20"/>
                <w:szCs w:val="20"/>
              </w:rPr>
            </w:pPr>
          </w:p>
          <w:p w14:paraId="1EDB5927"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13 (21)</w:t>
            </w:r>
          </w:p>
          <w:p w14:paraId="5FF7F326"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9 (14.5)</w:t>
            </w:r>
          </w:p>
          <w:p w14:paraId="4637EBAB"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20 (32.3)</w:t>
            </w:r>
          </w:p>
          <w:p w14:paraId="6A58EA6B"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5 (8.1)</w:t>
            </w:r>
          </w:p>
          <w:p w14:paraId="7025E8E7"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15 (24.2)</w:t>
            </w:r>
          </w:p>
        </w:tc>
        <w:tc>
          <w:tcPr>
            <w:tcW w:w="857" w:type="pct"/>
          </w:tcPr>
          <w:p w14:paraId="7964E48B" w14:textId="77777777" w:rsidR="00565B8D" w:rsidRPr="00065144" w:rsidRDefault="00565B8D" w:rsidP="00134992">
            <w:pPr>
              <w:spacing w:before="60" w:after="60" w:line="240" w:lineRule="auto"/>
              <w:ind w:firstLine="0"/>
              <w:jc w:val="left"/>
              <w:rPr>
                <w:rFonts w:cs="Times New Roman"/>
                <w:sz w:val="20"/>
                <w:szCs w:val="20"/>
              </w:rPr>
            </w:pPr>
          </w:p>
          <w:p w14:paraId="2EA0A7CD"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3 (21.4)</w:t>
            </w:r>
          </w:p>
          <w:p w14:paraId="64522E53"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1 (7.1)</w:t>
            </w:r>
          </w:p>
          <w:p w14:paraId="3FC8119A"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3 (21.4)</w:t>
            </w:r>
          </w:p>
          <w:p w14:paraId="7958068D"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3 (21.4)</w:t>
            </w:r>
          </w:p>
          <w:p w14:paraId="4100459C" w14:textId="77777777" w:rsidR="00565B8D" w:rsidRPr="00065144" w:rsidRDefault="00565B8D" w:rsidP="00134992">
            <w:pPr>
              <w:spacing w:before="60" w:after="60" w:line="240" w:lineRule="auto"/>
              <w:ind w:firstLine="0"/>
              <w:jc w:val="left"/>
              <w:rPr>
                <w:rFonts w:cs="Times New Roman"/>
                <w:sz w:val="20"/>
                <w:szCs w:val="20"/>
              </w:rPr>
            </w:pPr>
            <w:r w:rsidRPr="00065144">
              <w:rPr>
                <w:rFonts w:cs="Times New Roman"/>
                <w:sz w:val="20"/>
                <w:szCs w:val="20"/>
              </w:rPr>
              <w:t>4 (28.6)</w:t>
            </w:r>
          </w:p>
        </w:tc>
      </w:tr>
      <w:tr w:rsidR="00C60BA4" w:rsidRPr="00065144" w14:paraId="063A68F1" w14:textId="77777777" w:rsidTr="00134992">
        <w:tc>
          <w:tcPr>
            <w:tcW w:w="2227" w:type="pct"/>
          </w:tcPr>
          <w:p w14:paraId="34FF334D" w14:textId="2778E091" w:rsidR="00C60BA4" w:rsidRPr="00065144" w:rsidRDefault="005A3AD1" w:rsidP="00C60BA4">
            <w:pPr>
              <w:spacing w:before="60" w:after="60" w:line="240" w:lineRule="auto"/>
              <w:ind w:firstLine="0"/>
              <w:rPr>
                <w:rFonts w:cs="Times New Roman"/>
                <w:sz w:val="20"/>
                <w:szCs w:val="20"/>
              </w:rPr>
            </w:pPr>
            <w:r>
              <w:rPr>
                <w:rFonts w:cs="Times New Roman"/>
                <w:sz w:val="20"/>
                <w:szCs w:val="20"/>
              </w:rPr>
              <w:lastRenderedPageBreak/>
              <w:t>T</w:t>
            </w:r>
            <w:r w:rsidR="00C60BA4">
              <w:rPr>
                <w:rFonts w:cs="Times New Roman"/>
                <w:sz w:val="20"/>
                <w:szCs w:val="20"/>
              </w:rPr>
              <w:t>ime spent doing neuropsychological work</w:t>
            </w:r>
          </w:p>
          <w:p w14:paraId="19CB1A3D" w14:textId="4A9ECD41" w:rsidR="00C60BA4" w:rsidRDefault="00C60BA4" w:rsidP="00C60BA4">
            <w:pPr>
              <w:spacing w:before="60" w:after="60" w:line="240" w:lineRule="auto"/>
              <w:ind w:left="359" w:firstLine="0"/>
              <w:rPr>
                <w:rFonts w:cs="Times New Roman"/>
                <w:sz w:val="20"/>
                <w:szCs w:val="20"/>
              </w:rPr>
            </w:pPr>
            <w:r>
              <w:rPr>
                <w:rFonts w:cs="Times New Roman"/>
                <w:sz w:val="20"/>
                <w:szCs w:val="20"/>
              </w:rPr>
              <w:t>0%</w:t>
            </w:r>
          </w:p>
          <w:p w14:paraId="3D5FEFE8" w14:textId="63F71AC6" w:rsidR="00C60BA4" w:rsidRPr="00065144" w:rsidRDefault="00C60BA4" w:rsidP="00C60BA4">
            <w:pPr>
              <w:spacing w:before="60" w:after="60" w:line="240" w:lineRule="auto"/>
              <w:ind w:left="359" w:firstLine="0"/>
              <w:rPr>
                <w:rFonts w:cs="Times New Roman"/>
                <w:sz w:val="20"/>
                <w:szCs w:val="20"/>
              </w:rPr>
            </w:pPr>
            <w:r>
              <w:rPr>
                <w:rFonts w:cs="Times New Roman"/>
                <w:sz w:val="20"/>
                <w:szCs w:val="20"/>
              </w:rPr>
              <w:t>10%</w:t>
            </w:r>
          </w:p>
          <w:p w14:paraId="24837671" w14:textId="57AC133F" w:rsidR="00C60BA4" w:rsidRPr="00065144" w:rsidRDefault="00C60BA4" w:rsidP="00C60BA4">
            <w:pPr>
              <w:spacing w:before="60" w:after="60" w:line="240" w:lineRule="auto"/>
              <w:ind w:left="359" w:firstLine="0"/>
              <w:rPr>
                <w:rFonts w:cs="Times New Roman"/>
                <w:sz w:val="20"/>
                <w:szCs w:val="20"/>
              </w:rPr>
            </w:pPr>
            <w:r>
              <w:rPr>
                <w:rFonts w:cs="Times New Roman"/>
                <w:sz w:val="20"/>
                <w:szCs w:val="20"/>
              </w:rPr>
              <w:t>20%</w:t>
            </w:r>
          </w:p>
          <w:p w14:paraId="62639AC0" w14:textId="0D809070" w:rsidR="00C60BA4" w:rsidRPr="00065144" w:rsidRDefault="00C60BA4" w:rsidP="00C60BA4">
            <w:pPr>
              <w:spacing w:before="60" w:after="60" w:line="240" w:lineRule="auto"/>
              <w:ind w:left="359" w:firstLine="0"/>
              <w:rPr>
                <w:rFonts w:cs="Times New Roman"/>
                <w:sz w:val="20"/>
                <w:szCs w:val="20"/>
              </w:rPr>
            </w:pPr>
            <w:r>
              <w:rPr>
                <w:rFonts w:cs="Times New Roman"/>
                <w:sz w:val="20"/>
                <w:szCs w:val="20"/>
              </w:rPr>
              <w:t>30%</w:t>
            </w:r>
          </w:p>
          <w:p w14:paraId="22349F74" w14:textId="1831E21F" w:rsidR="00C60BA4" w:rsidRDefault="00C60BA4" w:rsidP="00C60BA4">
            <w:pPr>
              <w:spacing w:before="60" w:after="60" w:line="240" w:lineRule="auto"/>
              <w:ind w:left="359" w:firstLine="0"/>
              <w:rPr>
                <w:rFonts w:cs="Times New Roman"/>
                <w:sz w:val="20"/>
                <w:szCs w:val="20"/>
              </w:rPr>
            </w:pPr>
            <w:r>
              <w:rPr>
                <w:rFonts w:cs="Times New Roman"/>
                <w:sz w:val="20"/>
                <w:szCs w:val="20"/>
              </w:rPr>
              <w:t>40%</w:t>
            </w:r>
          </w:p>
          <w:p w14:paraId="1E6D7F40" w14:textId="4CBC7309" w:rsidR="00C60BA4" w:rsidRDefault="00C60BA4" w:rsidP="00C60BA4">
            <w:pPr>
              <w:spacing w:before="60" w:after="60" w:line="240" w:lineRule="auto"/>
              <w:ind w:left="359" w:firstLine="0"/>
              <w:rPr>
                <w:rFonts w:cs="Times New Roman"/>
                <w:sz w:val="20"/>
                <w:szCs w:val="20"/>
              </w:rPr>
            </w:pPr>
            <w:r>
              <w:rPr>
                <w:rFonts w:cs="Times New Roman"/>
                <w:sz w:val="20"/>
                <w:szCs w:val="20"/>
              </w:rPr>
              <w:t>50%</w:t>
            </w:r>
          </w:p>
          <w:p w14:paraId="42672E9C" w14:textId="74960DD0" w:rsidR="00C60BA4" w:rsidRDefault="00C60BA4" w:rsidP="00C60BA4">
            <w:pPr>
              <w:spacing w:before="60" w:after="60" w:line="240" w:lineRule="auto"/>
              <w:ind w:left="359" w:firstLine="0"/>
              <w:rPr>
                <w:rFonts w:cs="Times New Roman"/>
                <w:sz w:val="20"/>
                <w:szCs w:val="20"/>
              </w:rPr>
            </w:pPr>
            <w:r>
              <w:rPr>
                <w:rFonts w:cs="Times New Roman"/>
                <w:sz w:val="20"/>
                <w:szCs w:val="20"/>
              </w:rPr>
              <w:t>60%</w:t>
            </w:r>
          </w:p>
          <w:p w14:paraId="6F5B2C5A" w14:textId="3B9CD3D5" w:rsidR="00C60BA4" w:rsidRDefault="00C60BA4" w:rsidP="00C60BA4">
            <w:pPr>
              <w:spacing w:before="60" w:after="60" w:line="240" w:lineRule="auto"/>
              <w:ind w:left="359" w:firstLine="0"/>
              <w:rPr>
                <w:rFonts w:cs="Times New Roman"/>
                <w:sz w:val="20"/>
                <w:szCs w:val="20"/>
              </w:rPr>
            </w:pPr>
            <w:r>
              <w:rPr>
                <w:rFonts w:cs="Times New Roman"/>
                <w:sz w:val="20"/>
                <w:szCs w:val="20"/>
              </w:rPr>
              <w:t>70%</w:t>
            </w:r>
          </w:p>
          <w:p w14:paraId="744F2A36" w14:textId="556A6F7E" w:rsidR="00C60BA4" w:rsidRDefault="00C60BA4" w:rsidP="00C60BA4">
            <w:pPr>
              <w:spacing w:before="60" w:after="60" w:line="240" w:lineRule="auto"/>
              <w:ind w:left="359" w:firstLine="0"/>
              <w:rPr>
                <w:rFonts w:cs="Times New Roman"/>
                <w:sz w:val="20"/>
                <w:szCs w:val="20"/>
              </w:rPr>
            </w:pPr>
            <w:r>
              <w:rPr>
                <w:rFonts w:cs="Times New Roman"/>
                <w:sz w:val="20"/>
                <w:szCs w:val="20"/>
              </w:rPr>
              <w:t>80%</w:t>
            </w:r>
          </w:p>
          <w:p w14:paraId="1FC37C92" w14:textId="21ED3F76" w:rsidR="00C60BA4" w:rsidRDefault="00C60BA4" w:rsidP="00C60BA4">
            <w:pPr>
              <w:spacing w:before="60" w:after="60" w:line="240" w:lineRule="auto"/>
              <w:ind w:left="359" w:firstLine="0"/>
              <w:rPr>
                <w:rFonts w:cs="Times New Roman"/>
                <w:sz w:val="20"/>
                <w:szCs w:val="20"/>
              </w:rPr>
            </w:pPr>
            <w:r>
              <w:rPr>
                <w:rFonts w:cs="Times New Roman"/>
                <w:sz w:val="20"/>
                <w:szCs w:val="20"/>
              </w:rPr>
              <w:t>90%</w:t>
            </w:r>
          </w:p>
          <w:p w14:paraId="756C1AEC" w14:textId="101D81F8" w:rsidR="00C60BA4" w:rsidRPr="00065144" w:rsidRDefault="00C60BA4" w:rsidP="00C60BA4">
            <w:pPr>
              <w:spacing w:before="60" w:after="60" w:line="240" w:lineRule="auto"/>
              <w:ind w:left="359" w:firstLine="0"/>
              <w:rPr>
                <w:rFonts w:cs="Times New Roman"/>
                <w:sz w:val="20"/>
                <w:szCs w:val="20"/>
              </w:rPr>
            </w:pPr>
            <w:r>
              <w:rPr>
                <w:rFonts w:cs="Times New Roman"/>
                <w:sz w:val="20"/>
                <w:szCs w:val="20"/>
              </w:rPr>
              <w:t>100%</w:t>
            </w:r>
          </w:p>
        </w:tc>
        <w:tc>
          <w:tcPr>
            <w:tcW w:w="1127" w:type="pct"/>
          </w:tcPr>
          <w:p w14:paraId="4422DD35" w14:textId="77777777" w:rsidR="00C60BA4" w:rsidRPr="00065144" w:rsidRDefault="00C60BA4" w:rsidP="00C60BA4">
            <w:pPr>
              <w:spacing w:before="60" w:after="60" w:line="240" w:lineRule="auto"/>
              <w:ind w:firstLine="0"/>
              <w:jc w:val="left"/>
              <w:rPr>
                <w:rFonts w:cs="Times New Roman"/>
                <w:sz w:val="20"/>
                <w:szCs w:val="20"/>
              </w:rPr>
            </w:pPr>
          </w:p>
          <w:p w14:paraId="14DBD745" w14:textId="721C1A2A" w:rsidR="00C60BA4" w:rsidRDefault="00C60BA4" w:rsidP="00C60BA4">
            <w:pPr>
              <w:spacing w:before="60" w:after="60" w:line="240" w:lineRule="auto"/>
              <w:ind w:firstLine="0"/>
              <w:jc w:val="left"/>
              <w:rPr>
                <w:rFonts w:cs="Times New Roman"/>
                <w:sz w:val="20"/>
                <w:szCs w:val="20"/>
              </w:rPr>
            </w:pPr>
            <w:r>
              <w:rPr>
                <w:rFonts w:cs="Times New Roman"/>
                <w:sz w:val="20"/>
                <w:szCs w:val="20"/>
              </w:rPr>
              <w:t>15 (19.7)</w:t>
            </w:r>
          </w:p>
          <w:p w14:paraId="68C882C4" w14:textId="7153E72C" w:rsidR="00C60BA4" w:rsidRPr="00C60BA4" w:rsidRDefault="00C60BA4" w:rsidP="00C60BA4">
            <w:pPr>
              <w:spacing w:before="60" w:after="60" w:line="240" w:lineRule="auto"/>
              <w:ind w:firstLine="0"/>
              <w:jc w:val="left"/>
              <w:rPr>
                <w:rFonts w:cs="Times New Roman"/>
                <w:sz w:val="20"/>
                <w:szCs w:val="20"/>
              </w:rPr>
            </w:pPr>
            <w:r w:rsidRPr="00C60BA4">
              <w:rPr>
                <w:rFonts w:cs="Times New Roman"/>
                <w:sz w:val="20"/>
                <w:szCs w:val="20"/>
              </w:rPr>
              <w:t>34</w:t>
            </w:r>
            <w:r>
              <w:rPr>
                <w:rFonts w:cs="Times New Roman"/>
                <w:sz w:val="20"/>
                <w:szCs w:val="20"/>
              </w:rPr>
              <w:t xml:space="preserve"> (44.7)</w:t>
            </w:r>
          </w:p>
          <w:p w14:paraId="6F4D8446" w14:textId="3154F49D" w:rsidR="00C60BA4" w:rsidRPr="00C60BA4" w:rsidRDefault="00C60BA4" w:rsidP="00C60BA4">
            <w:pPr>
              <w:spacing w:before="60" w:after="60" w:line="240" w:lineRule="auto"/>
              <w:ind w:firstLine="0"/>
              <w:jc w:val="left"/>
              <w:rPr>
                <w:rFonts w:cs="Times New Roman"/>
                <w:sz w:val="20"/>
                <w:szCs w:val="20"/>
              </w:rPr>
            </w:pPr>
            <w:r w:rsidRPr="00C60BA4">
              <w:rPr>
                <w:rFonts w:cs="Times New Roman"/>
                <w:sz w:val="20"/>
                <w:szCs w:val="20"/>
              </w:rPr>
              <w:t>10</w:t>
            </w:r>
            <w:r>
              <w:rPr>
                <w:rFonts w:cs="Times New Roman"/>
                <w:sz w:val="20"/>
                <w:szCs w:val="20"/>
              </w:rPr>
              <w:t xml:space="preserve"> (13.2)</w:t>
            </w:r>
          </w:p>
          <w:p w14:paraId="51322173" w14:textId="60C3788A" w:rsidR="00C60BA4" w:rsidRDefault="00C60BA4" w:rsidP="00C60BA4">
            <w:pPr>
              <w:spacing w:before="60" w:after="60" w:line="240" w:lineRule="auto"/>
              <w:ind w:firstLine="0"/>
              <w:jc w:val="left"/>
              <w:rPr>
                <w:rFonts w:cs="Times New Roman"/>
                <w:sz w:val="20"/>
                <w:szCs w:val="20"/>
              </w:rPr>
            </w:pPr>
            <w:r w:rsidRPr="00C60BA4">
              <w:rPr>
                <w:rFonts w:cs="Times New Roman"/>
                <w:sz w:val="20"/>
                <w:szCs w:val="20"/>
              </w:rPr>
              <w:t>7</w:t>
            </w:r>
            <w:r>
              <w:rPr>
                <w:rFonts w:cs="Times New Roman"/>
                <w:sz w:val="20"/>
                <w:szCs w:val="20"/>
              </w:rPr>
              <w:t xml:space="preserve"> (9.2)</w:t>
            </w:r>
          </w:p>
          <w:p w14:paraId="50E5A6AB" w14:textId="77777777" w:rsidR="00C60BA4" w:rsidRDefault="00C60BA4" w:rsidP="00C60BA4">
            <w:pPr>
              <w:spacing w:before="60" w:after="60" w:line="240" w:lineRule="auto"/>
              <w:ind w:firstLine="0"/>
              <w:jc w:val="left"/>
              <w:rPr>
                <w:rFonts w:cs="Times New Roman"/>
                <w:sz w:val="20"/>
                <w:szCs w:val="20"/>
              </w:rPr>
            </w:pPr>
          </w:p>
          <w:p w14:paraId="45F3F139" w14:textId="7C0A471E" w:rsidR="00C60BA4" w:rsidRPr="00C60BA4" w:rsidRDefault="00C60BA4" w:rsidP="00C60BA4">
            <w:pPr>
              <w:spacing w:before="60" w:after="60" w:line="240" w:lineRule="auto"/>
              <w:ind w:firstLine="0"/>
              <w:jc w:val="left"/>
              <w:rPr>
                <w:rFonts w:cs="Times New Roman"/>
                <w:sz w:val="20"/>
                <w:szCs w:val="20"/>
              </w:rPr>
            </w:pPr>
            <w:r w:rsidRPr="00C60BA4">
              <w:rPr>
                <w:rFonts w:cs="Times New Roman"/>
                <w:sz w:val="20"/>
                <w:szCs w:val="20"/>
              </w:rPr>
              <w:t>3</w:t>
            </w:r>
            <w:r>
              <w:rPr>
                <w:rFonts w:cs="Times New Roman"/>
                <w:sz w:val="20"/>
                <w:szCs w:val="20"/>
              </w:rPr>
              <w:t xml:space="preserve"> (3.9)</w:t>
            </w:r>
          </w:p>
          <w:p w14:paraId="3A79ECD4" w14:textId="7D280C00" w:rsidR="00C60BA4" w:rsidRPr="00C60BA4" w:rsidRDefault="00C60BA4" w:rsidP="00C60BA4">
            <w:pPr>
              <w:spacing w:before="60" w:after="60" w:line="240" w:lineRule="auto"/>
              <w:ind w:firstLine="0"/>
              <w:jc w:val="left"/>
              <w:rPr>
                <w:rFonts w:cs="Times New Roman"/>
                <w:sz w:val="20"/>
                <w:szCs w:val="20"/>
              </w:rPr>
            </w:pPr>
            <w:r w:rsidRPr="00C60BA4">
              <w:rPr>
                <w:rFonts w:cs="Times New Roman"/>
                <w:sz w:val="20"/>
                <w:szCs w:val="20"/>
              </w:rPr>
              <w:t>2</w:t>
            </w:r>
            <w:r>
              <w:rPr>
                <w:rFonts w:cs="Times New Roman"/>
                <w:sz w:val="20"/>
                <w:szCs w:val="20"/>
              </w:rPr>
              <w:t xml:space="preserve"> (2.6)</w:t>
            </w:r>
          </w:p>
          <w:p w14:paraId="15E096B7" w14:textId="61222F36" w:rsidR="00C60BA4" w:rsidRDefault="00C60BA4" w:rsidP="00C60BA4">
            <w:pPr>
              <w:spacing w:before="60" w:after="60" w:line="240" w:lineRule="auto"/>
              <w:ind w:firstLine="0"/>
              <w:jc w:val="left"/>
              <w:rPr>
                <w:rFonts w:cs="Times New Roman"/>
                <w:sz w:val="20"/>
                <w:szCs w:val="20"/>
              </w:rPr>
            </w:pPr>
            <w:r w:rsidRPr="00C60BA4">
              <w:rPr>
                <w:rFonts w:cs="Times New Roman"/>
                <w:sz w:val="20"/>
                <w:szCs w:val="20"/>
              </w:rPr>
              <w:t>2</w:t>
            </w:r>
            <w:r>
              <w:rPr>
                <w:rFonts w:cs="Times New Roman"/>
                <w:sz w:val="20"/>
                <w:szCs w:val="20"/>
              </w:rPr>
              <w:t xml:space="preserve"> (2.6)</w:t>
            </w:r>
          </w:p>
          <w:p w14:paraId="522DC04A" w14:textId="77777777" w:rsidR="00C60BA4" w:rsidRDefault="00C60BA4" w:rsidP="00C60BA4">
            <w:pPr>
              <w:spacing w:before="60" w:after="60" w:line="240" w:lineRule="auto"/>
              <w:ind w:firstLine="0"/>
              <w:jc w:val="left"/>
              <w:rPr>
                <w:rFonts w:cs="Times New Roman"/>
                <w:sz w:val="20"/>
                <w:szCs w:val="20"/>
              </w:rPr>
            </w:pPr>
          </w:p>
          <w:p w14:paraId="0DE1527A" w14:textId="77777777" w:rsidR="00C60BA4" w:rsidRDefault="00C60BA4" w:rsidP="00C60BA4">
            <w:pPr>
              <w:spacing w:before="60" w:after="60" w:line="240" w:lineRule="auto"/>
              <w:ind w:firstLine="0"/>
              <w:jc w:val="left"/>
              <w:rPr>
                <w:rFonts w:cs="Times New Roman"/>
                <w:sz w:val="20"/>
                <w:szCs w:val="20"/>
              </w:rPr>
            </w:pPr>
          </w:p>
          <w:p w14:paraId="4F51B3C3" w14:textId="44CDCEA2" w:rsidR="00C60BA4" w:rsidRPr="00065144" w:rsidRDefault="00C60BA4" w:rsidP="00C60BA4">
            <w:pPr>
              <w:spacing w:before="60" w:after="60" w:line="240" w:lineRule="auto"/>
              <w:ind w:firstLine="0"/>
              <w:jc w:val="left"/>
              <w:rPr>
                <w:rFonts w:cs="Times New Roman"/>
                <w:sz w:val="20"/>
                <w:szCs w:val="20"/>
              </w:rPr>
            </w:pPr>
            <w:r>
              <w:rPr>
                <w:rFonts w:cs="Times New Roman"/>
                <w:sz w:val="20"/>
                <w:szCs w:val="20"/>
              </w:rPr>
              <w:t>3 (3.9)</w:t>
            </w:r>
          </w:p>
        </w:tc>
        <w:tc>
          <w:tcPr>
            <w:tcW w:w="789" w:type="pct"/>
          </w:tcPr>
          <w:p w14:paraId="4D92CCFD" w14:textId="77777777" w:rsidR="00C60BA4" w:rsidRPr="00065144" w:rsidRDefault="00C60BA4" w:rsidP="00C60BA4">
            <w:pPr>
              <w:spacing w:before="60" w:after="60" w:line="240" w:lineRule="auto"/>
              <w:ind w:firstLine="0"/>
              <w:jc w:val="left"/>
              <w:rPr>
                <w:rFonts w:cs="Times New Roman"/>
                <w:sz w:val="20"/>
                <w:szCs w:val="20"/>
              </w:rPr>
            </w:pPr>
          </w:p>
          <w:p w14:paraId="773A1B6D" w14:textId="1FAAB47C" w:rsidR="000F66DE" w:rsidRPr="000F66DE" w:rsidRDefault="000F66DE" w:rsidP="000F66DE">
            <w:pPr>
              <w:spacing w:before="60" w:after="60" w:line="240" w:lineRule="auto"/>
              <w:ind w:firstLine="0"/>
              <w:jc w:val="left"/>
              <w:rPr>
                <w:rFonts w:cs="Times New Roman"/>
                <w:sz w:val="20"/>
                <w:szCs w:val="20"/>
              </w:rPr>
            </w:pPr>
            <w:r w:rsidRPr="000F66DE">
              <w:rPr>
                <w:rFonts w:cs="Times New Roman"/>
                <w:sz w:val="20"/>
                <w:szCs w:val="20"/>
              </w:rPr>
              <w:t>14</w:t>
            </w:r>
            <w:r>
              <w:rPr>
                <w:rFonts w:cs="Times New Roman"/>
                <w:sz w:val="20"/>
                <w:szCs w:val="20"/>
              </w:rPr>
              <w:t xml:space="preserve"> (22.6)</w:t>
            </w:r>
          </w:p>
          <w:p w14:paraId="0B3B2F25" w14:textId="572266D3" w:rsidR="000F66DE" w:rsidRPr="000F66DE" w:rsidRDefault="000F66DE" w:rsidP="000F66DE">
            <w:pPr>
              <w:spacing w:before="60" w:after="60" w:line="240" w:lineRule="auto"/>
              <w:ind w:firstLine="0"/>
              <w:jc w:val="left"/>
              <w:rPr>
                <w:rFonts w:cs="Times New Roman"/>
                <w:sz w:val="20"/>
                <w:szCs w:val="20"/>
              </w:rPr>
            </w:pPr>
            <w:r w:rsidRPr="000F66DE">
              <w:rPr>
                <w:rFonts w:cs="Times New Roman"/>
                <w:sz w:val="20"/>
                <w:szCs w:val="20"/>
              </w:rPr>
              <w:t>32</w:t>
            </w:r>
            <w:r>
              <w:rPr>
                <w:rFonts w:cs="Times New Roman"/>
                <w:sz w:val="20"/>
                <w:szCs w:val="20"/>
              </w:rPr>
              <w:t xml:space="preserve"> (51.6)</w:t>
            </w:r>
          </w:p>
          <w:p w14:paraId="788C4C5F" w14:textId="4367E75B" w:rsidR="000F66DE" w:rsidRPr="000F66DE" w:rsidRDefault="000F66DE" w:rsidP="000F66DE">
            <w:pPr>
              <w:spacing w:before="60" w:after="60" w:line="240" w:lineRule="auto"/>
              <w:ind w:firstLine="0"/>
              <w:jc w:val="left"/>
              <w:rPr>
                <w:rFonts w:cs="Times New Roman"/>
                <w:sz w:val="20"/>
                <w:szCs w:val="20"/>
              </w:rPr>
            </w:pPr>
            <w:r w:rsidRPr="000F66DE">
              <w:rPr>
                <w:rFonts w:cs="Times New Roman"/>
                <w:sz w:val="20"/>
                <w:szCs w:val="20"/>
              </w:rPr>
              <w:t>5</w:t>
            </w:r>
            <w:r>
              <w:rPr>
                <w:rFonts w:cs="Times New Roman"/>
                <w:sz w:val="20"/>
                <w:szCs w:val="20"/>
              </w:rPr>
              <w:t xml:space="preserve"> (8.1)</w:t>
            </w:r>
          </w:p>
          <w:p w14:paraId="6E97087C" w14:textId="1D063E0B" w:rsidR="00C60BA4" w:rsidRDefault="000F66DE" w:rsidP="00C60BA4">
            <w:pPr>
              <w:spacing w:before="60" w:after="60" w:line="240" w:lineRule="auto"/>
              <w:ind w:firstLine="0"/>
              <w:jc w:val="left"/>
              <w:rPr>
                <w:rFonts w:cs="Times New Roman"/>
                <w:sz w:val="20"/>
                <w:szCs w:val="20"/>
              </w:rPr>
            </w:pPr>
            <w:r>
              <w:rPr>
                <w:rFonts w:cs="Times New Roman"/>
                <w:sz w:val="20"/>
                <w:szCs w:val="20"/>
              </w:rPr>
              <w:t>5 (8.1)</w:t>
            </w:r>
          </w:p>
          <w:p w14:paraId="70B26E72" w14:textId="77777777" w:rsidR="000F66DE" w:rsidRDefault="000F66DE" w:rsidP="00C60BA4">
            <w:pPr>
              <w:spacing w:before="60" w:after="60" w:line="240" w:lineRule="auto"/>
              <w:ind w:firstLine="0"/>
              <w:jc w:val="left"/>
              <w:rPr>
                <w:rFonts w:cs="Times New Roman"/>
                <w:sz w:val="20"/>
                <w:szCs w:val="20"/>
              </w:rPr>
            </w:pPr>
          </w:p>
          <w:p w14:paraId="4EF54AB6" w14:textId="142F8586" w:rsidR="000F66DE" w:rsidRDefault="000F66DE" w:rsidP="00C60BA4">
            <w:pPr>
              <w:spacing w:before="60" w:after="60" w:line="240" w:lineRule="auto"/>
              <w:ind w:firstLine="0"/>
              <w:jc w:val="left"/>
              <w:rPr>
                <w:rFonts w:cs="Times New Roman"/>
                <w:sz w:val="20"/>
                <w:szCs w:val="20"/>
              </w:rPr>
            </w:pPr>
            <w:r>
              <w:rPr>
                <w:rFonts w:cs="Times New Roman"/>
                <w:sz w:val="20"/>
                <w:szCs w:val="20"/>
              </w:rPr>
              <w:t>2 (3.2)</w:t>
            </w:r>
          </w:p>
          <w:p w14:paraId="7D300776" w14:textId="313ADEB0" w:rsidR="000F66DE" w:rsidRDefault="000F66DE" w:rsidP="00C60BA4">
            <w:pPr>
              <w:spacing w:before="60" w:after="60" w:line="240" w:lineRule="auto"/>
              <w:ind w:firstLine="0"/>
              <w:jc w:val="left"/>
              <w:rPr>
                <w:rFonts w:cs="Times New Roman"/>
                <w:sz w:val="20"/>
                <w:szCs w:val="20"/>
              </w:rPr>
            </w:pPr>
            <w:r>
              <w:rPr>
                <w:rFonts w:cs="Times New Roman"/>
                <w:sz w:val="20"/>
                <w:szCs w:val="20"/>
              </w:rPr>
              <w:t>2 (3.2)</w:t>
            </w:r>
          </w:p>
          <w:p w14:paraId="7D152A97" w14:textId="77777777" w:rsidR="000F66DE" w:rsidRDefault="000F66DE" w:rsidP="00C60BA4">
            <w:pPr>
              <w:spacing w:before="60" w:after="60" w:line="240" w:lineRule="auto"/>
              <w:ind w:firstLine="0"/>
              <w:jc w:val="left"/>
              <w:rPr>
                <w:rFonts w:cs="Times New Roman"/>
                <w:sz w:val="20"/>
                <w:szCs w:val="20"/>
              </w:rPr>
            </w:pPr>
          </w:p>
          <w:p w14:paraId="6A16C455" w14:textId="77777777" w:rsidR="000F66DE" w:rsidRDefault="000F66DE" w:rsidP="00C60BA4">
            <w:pPr>
              <w:spacing w:before="60" w:after="60" w:line="240" w:lineRule="auto"/>
              <w:ind w:firstLine="0"/>
              <w:jc w:val="left"/>
              <w:rPr>
                <w:rFonts w:cs="Times New Roman"/>
                <w:sz w:val="20"/>
                <w:szCs w:val="20"/>
              </w:rPr>
            </w:pPr>
          </w:p>
          <w:p w14:paraId="1A1A3AAD" w14:textId="77777777" w:rsidR="000F66DE" w:rsidRDefault="000F66DE" w:rsidP="00C60BA4">
            <w:pPr>
              <w:spacing w:before="60" w:after="60" w:line="240" w:lineRule="auto"/>
              <w:ind w:firstLine="0"/>
              <w:jc w:val="left"/>
              <w:rPr>
                <w:rFonts w:cs="Times New Roman"/>
                <w:sz w:val="20"/>
                <w:szCs w:val="20"/>
              </w:rPr>
            </w:pPr>
          </w:p>
          <w:p w14:paraId="0C6A2C90" w14:textId="0A88A0C3" w:rsidR="000F66DE" w:rsidRPr="00065144" w:rsidRDefault="000F66DE" w:rsidP="00C60BA4">
            <w:pPr>
              <w:spacing w:before="60" w:after="60" w:line="240" w:lineRule="auto"/>
              <w:ind w:firstLine="0"/>
              <w:jc w:val="left"/>
              <w:rPr>
                <w:rFonts w:cs="Times New Roman"/>
                <w:sz w:val="20"/>
                <w:szCs w:val="20"/>
              </w:rPr>
            </w:pPr>
            <w:r>
              <w:rPr>
                <w:rFonts w:cs="Times New Roman"/>
                <w:sz w:val="20"/>
                <w:szCs w:val="20"/>
              </w:rPr>
              <w:t>2 (3.2)</w:t>
            </w:r>
          </w:p>
        </w:tc>
        <w:tc>
          <w:tcPr>
            <w:tcW w:w="857" w:type="pct"/>
          </w:tcPr>
          <w:p w14:paraId="49AE106B" w14:textId="77777777" w:rsidR="00C60BA4" w:rsidRPr="00065144" w:rsidRDefault="00C60BA4" w:rsidP="00C60BA4">
            <w:pPr>
              <w:spacing w:before="60" w:after="60" w:line="240" w:lineRule="auto"/>
              <w:ind w:firstLine="0"/>
              <w:jc w:val="left"/>
              <w:rPr>
                <w:rFonts w:cs="Times New Roman"/>
                <w:sz w:val="20"/>
                <w:szCs w:val="20"/>
              </w:rPr>
            </w:pPr>
          </w:p>
          <w:p w14:paraId="36DA11F2" w14:textId="1BE5E23A" w:rsidR="000F66DE" w:rsidRPr="000F66DE" w:rsidRDefault="000F66DE" w:rsidP="000F66DE">
            <w:pPr>
              <w:spacing w:before="60" w:after="60" w:line="240" w:lineRule="auto"/>
              <w:ind w:firstLine="0"/>
              <w:jc w:val="left"/>
              <w:rPr>
                <w:rFonts w:cs="Times New Roman"/>
                <w:sz w:val="20"/>
                <w:szCs w:val="20"/>
              </w:rPr>
            </w:pPr>
            <w:r w:rsidRPr="000F66DE">
              <w:rPr>
                <w:rFonts w:cs="Times New Roman"/>
                <w:sz w:val="20"/>
                <w:szCs w:val="20"/>
              </w:rPr>
              <w:t>1</w:t>
            </w:r>
            <w:r>
              <w:rPr>
                <w:rFonts w:cs="Times New Roman"/>
                <w:sz w:val="20"/>
                <w:szCs w:val="20"/>
              </w:rPr>
              <w:t xml:space="preserve"> (7.1)</w:t>
            </w:r>
          </w:p>
          <w:p w14:paraId="66EF54DE" w14:textId="4482863C" w:rsidR="000F66DE" w:rsidRPr="000F66DE" w:rsidRDefault="000F66DE" w:rsidP="000F66DE">
            <w:pPr>
              <w:spacing w:before="60" w:after="60" w:line="240" w:lineRule="auto"/>
              <w:ind w:firstLine="0"/>
              <w:jc w:val="left"/>
              <w:rPr>
                <w:rFonts w:cs="Times New Roman"/>
                <w:sz w:val="20"/>
                <w:szCs w:val="20"/>
              </w:rPr>
            </w:pPr>
            <w:r w:rsidRPr="000F66DE">
              <w:rPr>
                <w:rFonts w:cs="Times New Roman"/>
                <w:sz w:val="20"/>
                <w:szCs w:val="20"/>
              </w:rPr>
              <w:t>2</w:t>
            </w:r>
            <w:r>
              <w:rPr>
                <w:rFonts w:cs="Times New Roman"/>
                <w:sz w:val="20"/>
                <w:szCs w:val="20"/>
              </w:rPr>
              <w:t xml:space="preserve"> (14.3)</w:t>
            </w:r>
          </w:p>
          <w:p w14:paraId="0697AE54" w14:textId="0D4CC28A" w:rsidR="000F66DE" w:rsidRPr="000F66DE" w:rsidRDefault="000F66DE" w:rsidP="000F66DE">
            <w:pPr>
              <w:spacing w:before="60" w:after="60" w:line="240" w:lineRule="auto"/>
              <w:ind w:firstLine="0"/>
              <w:jc w:val="left"/>
              <w:rPr>
                <w:rFonts w:cs="Times New Roman"/>
                <w:sz w:val="20"/>
                <w:szCs w:val="20"/>
              </w:rPr>
            </w:pPr>
            <w:r w:rsidRPr="000F66DE">
              <w:rPr>
                <w:rFonts w:cs="Times New Roman"/>
                <w:sz w:val="20"/>
                <w:szCs w:val="20"/>
              </w:rPr>
              <w:t>5</w:t>
            </w:r>
            <w:r>
              <w:rPr>
                <w:rFonts w:cs="Times New Roman"/>
                <w:sz w:val="20"/>
                <w:szCs w:val="20"/>
              </w:rPr>
              <w:t xml:space="preserve"> (35.7)</w:t>
            </w:r>
          </w:p>
          <w:p w14:paraId="40359014" w14:textId="37EF25AB" w:rsidR="00C60BA4" w:rsidRDefault="000F66DE" w:rsidP="000F66DE">
            <w:pPr>
              <w:spacing w:before="60" w:after="60" w:line="240" w:lineRule="auto"/>
              <w:ind w:firstLine="0"/>
              <w:jc w:val="left"/>
              <w:rPr>
                <w:rFonts w:cs="Times New Roman"/>
                <w:sz w:val="20"/>
                <w:szCs w:val="20"/>
              </w:rPr>
            </w:pPr>
            <w:r w:rsidRPr="000F66DE">
              <w:rPr>
                <w:rFonts w:cs="Times New Roman"/>
                <w:sz w:val="20"/>
                <w:szCs w:val="20"/>
              </w:rPr>
              <w:t>2</w:t>
            </w:r>
            <w:r>
              <w:rPr>
                <w:rFonts w:cs="Times New Roman"/>
                <w:sz w:val="20"/>
                <w:szCs w:val="20"/>
              </w:rPr>
              <w:t xml:space="preserve"> (14.3)</w:t>
            </w:r>
          </w:p>
          <w:p w14:paraId="302479F2" w14:textId="77777777" w:rsidR="000F66DE" w:rsidRDefault="000F66DE" w:rsidP="000F66DE">
            <w:pPr>
              <w:spacing w:before="60" w:after="60" w:line="240" w:lineRule="auto"/>
              <w:ind w:firstLine="0"/>
              <w:jc w:val="left"/>
              <w:rPr>
                <w:rFonts w:cs="Times New Roman"/>
                <w:sz w:val="20"/>
                <w:szCs w:val="20"/>
              </w:rPr>
            </w:pPr>
          </w:p>
          <w:p w14:paraId="2E4C4119" w14:textId="60E0BBCE" w:rsidR="000F66DE" w:rsidRDefault="000F66DE" w:rsidP="000F66DE">
            <w:pPr>
              <w:spacing w:before="60" w:after="60" w:line="240" w:lineRule="auto"/>
              <w:ind w:firstLine="0"/>
              <w:jc w:val="left"/>
              <w:rPr>
                <w:rFonts w:cs="Times New Roman"/>
                <w:sz w:val="20"/>
                <w:szCs w:val="20"/>
              </w:rPr>
            </w:pPr>
            <w:r>
              <w:rPr>
                <w:rFonts w:cs="Times New Roman"/>
                <w:sz w:val="20"/>
                <w:szCs w:val="20"/>
              </w:rPr>
              <w:t>1 (7.1)</w:t>
            </w:r>
          </w:p>
          <w:p w14:paraId="0A6CFE61" w14:textId="77777777" w:rsidR="000F66DE" w:rsidRDefault="000F66DE" w:rsidP="000F66DE">
            <w:pPr>
              <w:spacing w:before="60" w:after="60" w:line="240" w:lineRule="auto"/>
              <w:ind w:firstLine="0"/>
              <w:jc w:val="left"/>
              <w:rPr>
                <w:rFonts w:cs="Times New Roman"/>
                <w:sz w:val="20"/>
                <w:szCs w:val="20"/>
              </w:rPr>
            </w:pPr>
          </w:p>
          <w:p w14:paraId="36DCFB9D" w14:textId="3EA77A09" w:rsidR="000F66DE" w:rsidRDefault="000F66DE" w:rsidP="000F66DE">
            <w:pPr>
              <w:spacing w:before="60" w:after="60" w:line="240" w:lineRule="auto"/>
              <w:ind w:firstLine="0"/>
              <w:jc w:val="left"/>
              <w:rPr>
                <w:rFonts w:cs="Times New Roman"/>
                <w:sz w:val="20"/>
                <w:szCs w:val="20"/>
              </w:rPr>
            </w:pPr>
            <w:r>
              <w:rPr>
                <w:rFonts w:cs="Times New Roman"/>
                <w:sz w:val="20"/>
                <w:szCs w:val="20"/>
              </w:rPr>
              <w:t>2 (14.3)</w:t>
            </w:r>
          </w:p>
          <w:p w14:paraId="5830DBAE" w14:textId="77777777" w:rsidR="000F66DE" w:rsidRDefault="000F66DE" w:rsidP="000F66DE">
            <w:pPr>
              <w:spacing w:before="60" w:after="60" w:line="240" w:lineRule="auto"/>
              <w:ind w:firstLine="0"/>
              <w:jc w:val="left"/>
              <w:rPr>
                <w:rFonts w:cs="Times New Roman"/>
                <w:sz w:val="20"/>
                <w:szCs w:val="20"/>
              </w:rPr>
            </w:pPr>
          </w:p>
          <w:p w14:paraId="75D8DFF8" w14:textId="77777777" w:rsidR="000F66DE" w:rsidRDefault="000F66DE" w:rsidP="000F66DE">
            <w:pPr>
              <w:spacing w:before="60" w:after="60" w:line="240" w:lineRule="auto"/>
              <w:ind w:firstLine="0"/>
              <w:jc w:val="left"/>
              <w:rPr>
                <w:rFonts w:cs="Times New Roman"/>
                <w:sz w:val="20"/>
                <w:szCs w:val="20"/>
              </w:rPr>
            </w:pPr>
          </w:p>
          <w:p w14:paraId="603C594B" w14:textId="3AA500E5" w:rsidR="000F66DE" w:rsidRPr="00065144" w:rsidRDefault="000F66DE" w:rsidP="000F66DE">
            <w:pPr>
              <w:spacing w:before="60" w:after="60" w:line="240" w:lineRule="auto"/>
              <w:ind w:firstLine="0"/>
              <w:jc w:val="left"/>
              <w:rPr>
                <w:rFonts w:cs="Times New Roman"/>
                <w:sz w:val="20"/>
                <w:szCs w:val="20"/>
              </w:rPr>
            </w:pPr>
            <w:r>
              <w:rPr>
                <w:rFonts w:cs="Times New Roman"/>
                <w:sz w:val="20"/>
                <w:szCs w:val="20"/>
              </w:rPr>
              <w:t>1 (7.1)</w:t>
            </w:r>
          </w:p>
        </w:tc>
      </w:tr>
    </w:tbl>
    <w:p w14:paraId="527E2015" w14:textId="77777777" w:rsidR="00565B8D" w:rsidRDefault="00565B8D" w:rsidP="00565B8D">
      <w:pPr>
        <w:pStyle w:val="Caption"/>
        <w:keepNext/>
        <w:ind w:firstLine="0"/>
        <w:rPr>
          <w:rFonts w:cs="Times New Roman"/>
          <w:i w:val="0"/>
          <w:iCs w:val="0"/>
          <w:color w:val="000000" w:themeColor="text1"/>
          <w:sz w:val="20"/>
          <w:szCs w:val="20"/>
        </w:rPr>
        <w:sectPr w:rsidR="00565B8D" w:rsidSect="00565B8D">
          <w:footnotePr>
            <w:numFmt w:val="chicago"/>
          </w:footnotePr>
          <w:pgSz w:w="16838" w:h="11906" w:orient="landscape"/>
          <w:pgMar w:top="1440" w:right="1418" w:bottom="1440" w:left="1418" w:header="709" w:footer="709" w:gutter="0"/>
          <w:cols w:space="708"/>
          <w:docGrid w:linePitch="360"/>
        </w:sectPr>
      </w:pPr>
    </w:p>
    <w:p w14:paraId="1E898FD2" w14:textId="4CEA45A1" w:rsidR="00565B8D" w:rsidRDefault="00565B8D" w:rsidP="00565B8D">
      <w:pPr>
        <w:pStyle w:val="Caption"/>
        <w:keepNext/>
        <w:ind w:firstLine="0"/>
        <w:rPr>
          <w:rFonts w:cs="Times New Roman"/>
          <w:i w:val="0"/>
          <w:iCs w:val="0"/>
          <w:color w:val="000000" w:themeColor="text1"/>
          <w:sz w:val="20"/>
          <w:szCs w:val="20"/>
        </w:rPr>
        <w:sectPr w:rsidR="00565B8D" w:rsidSect="00565B8D">
          <w:footnotePr>
            <w:numFmt w:val="chicago"/>
          </w:footnotePr>
          <w:type w:val="continuous"/>
          <w:pgSz w:w="16838" w:h="11906" w:orient="landscape"/>
          <w:pgMar w:top="1440" w:right="1418" w:bottom="1440" w:left="1418" w:header="709" w:footer="709" w:gutter="0"/>
          <w:cols w:space="708"/>
          <w:docGrid w:linePitch="360"/>
        </w:sectPr>
      </w:pPr>
    </w:p>
    <w:p w14:paraId="5FD1B217" w14:textId="21976A41" w:rsidR="00565B8D" w:rsidRPr="002508F6" w:rsidRDefault="00565B8D" w:rsidP="00565B8D">
      <w:pPr>
        <w:pStyle w:val="Caption"/>
        <w:keepNext/>
        <w:ind w:firstLine="0"/>
        <w:rPr>
          <w:rFonts w:cs="Times New Roman"/>
          <w:b/>
          <w:bCs/>
          <w:i w:val="0"/>
          <w:iCs w:val="0"/>
          <w:color w:val="000000" w:themeColor="text1"/>
          <w:sz w:val="22"/>
          <w:szCs w:val="22"/>
        </w:rPr>
      </w:pPr>
      <w:r w:rsidRPr="002508F6">
        <w:rPr>
          <w:rFonts w:cs="Times New Roman"/>
          <w:b/>
          <w:bCs/>
          <w:i w:val="0"/>
          <w:iCs w:val="0"/>
          <w:color w:val="000000" w:themeColor="text1"/>
          <w:sz w:val="22"/>
          <w:szCs w:val="22"/>
        </w:rPr>
        <w:lastRenderedPageBreak/>
        <w:t>Figure 1</w:t>
      </w:r>
    </w:p>
    <w:p w14:paraId="0AAA0B67" w14:textId="2E6029B3" w:rsidR="00565B8D" w:rsidRPr="002508F6" w:rsidRDefault="0097554D" w:rsidP="00565B8D">
      <w:pPr>
        <w:pStyle w:val="Caption"/>
        <w:keepNext/>
        <w:ind w:firstLine="0"/>
        <w:rPr>
          <w:rFonts w:cs="Times New Roman"/>
          <w:color w:val="000000" w:themeColor="text1"/>
          <w:sz w:val="22"/>
          <w:szCs w:val="22"/>
        </w:rPr>
      </w:pPr>
      <w:r>
        <w:rPr>
          <w:rFonts w:cs="Times New Roman"/>
          <w:color w:val="000000" w:themeColor="text1"/>
          <w:sz w:val="22"/>
          <w:szCs w:val="22"/>
        </w:rPr>
        <w:t>Comparison of</w:t>
      </w:r>
      <w:r w:rsidR="00565B8D" w:rsidRPr="002508F6">
        <w:rPr>
          <w:rFonts w:cs="Times New Roman"/>
          <w:color w:val="000000" w:themeColor="text1"/>
          <w:sz w:val="22"/>
          <w:szCs w:val="22"/>
        </w:rPr>
        <w:t xml:space="preserve"> perceived </w:t>
      </w:r>
      <w:r w:rsidR="00667F4E" w:rsidRPr="002508F6">
        <w:rPr>
          <w:rFonts w:cs="Times New Roman"/>
          <w:color w:val="000000" w:themeColor="text1"/>
          <w:sz w:val="22"/>
          <w:szCs w:val="22"/>
        </w:rPr>
        <w:t xml:space="preserve">strengths and </w:t>
      </w:r>
      <w:r w:rsidR="00E22291" w:rsidRPr="002508F6">
        <w:rPr>
          <w:rFonts w:cs="Times New Roman"/>
          <w:color w:val="000000" w:themeColor="text1"/>
          <w:sz w:val="22"/>
          <w:szCs w:val="22"/>
        </w:rPr>
        <w:t>weaknesses</w:t>
      </w:r>
      <w:r w:rsidR="00BA3A70">
        <w:rPr>
          <w:rFonts w:cs="Times New Roman"/>
          <w:color w:val="000000" w:themeColor="text1"/>
          <w:sz w:val="22"/>
          <w:szCs w:val="22"/>
        </w:rPr>
        <w:t xml:space="preserve"> in neuropsychological competency and confidence</w:t>
      </w:r>
      <w:r>
        <w:rPr>
          <w:rFonts w:cs="Times New Roman"/>
          <w:color w:val="000000" w:themeColor="text1"/>
          <w:sz w:val="22"/>
          <w:szCs w:val="22"/>
        </w:rPr>
        <w:t xml:space="preserve"> between pre-2016 and post-2016 participants</w:t>
      </w:r>
      <w:r w:rsidR="00E22291" w:rsidRPr="002508F6">
        <w:rPr>
          <w:rFonts w:cs="Times New Roman"/>
          <w:color w:val="000000" w:themeColor="text1"/>
          <w:sz w:val="22"/>
          <w:szCs w:val="22"/>
        </w:rPr>
        <w:t>.</w:t>
      </w:r>
    </w:p>
    <w:p w14:paraId="3884293D" w14:textId="64BE597E" w:rsidR="00565B8D" w:rsidRPr="00065144" w:rsidRDefault="00A94E63" w:rsidP="00A94E63">
      <w:pPr>
        <w:keepNext/>
        <w:spacing w:after="120"/>
        <w:ind w:firstLine="0"/>
        <w:jc w:val="center"/>
        <w:rPr>
          <w:rFonts w:cs="Times New Roman"/>
        </w:rPr>
      </w:pPr>
      <w:r>
        <w:rPr>
          <w:rFonts w:cs="Times New Roman"/>
          <w:noProof/>
        </w:rPr>
        <w:drawing>
          <wp:inline distT="0" distB="0" distL="0" distR="0" wp14:anchorId="757C2238" wp14:editId="2E05FA8C">
            <wp:extent cx="5547166" cy="376428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5551541" cy="3767249"/>
                    </a:xfrm>
                    <a:prstGeom prst="rect">
                      <a:avLst/>
                    </a:prstGeom>
                  </pic:spPr>
                </pic:pic>
              </a:graphicData>
            </a:graphic>
          </wp:inline>
        </w:drawing>
      </w:r>
    </w:p>
    <w:p w14:paraId="44965D51" w14:textId="3EEF4C9A" w:rsidR="00C059B0" w:rsidRPr="00C059B0" w:rsidRDefault="00565B8D" w:rsidP="00E34EB9">
      <w:pPr>
        <w:spacing w:before="120" w:after="120" w:line="360" w:lineRule="auto"/>
        <w:ind w:firstLine="0"/>
        <w:rPr>
          <w:rFonts w:cs="Times New Roman"/>
          <w:b/>
          <w:bCs/>
          <w:color w:val="000000" w:themeColor="text1"/>
        </w:rPr>
      </w:pPr>
      <w:r w:rsidRPr="00065144">
        <w:rPr>
          <w:rFonts w:cs="Times New Roman"/>
          <w:i/>
          <w:iCs/>
          <w:color w:val="000000" w:themeColor="text1"/>
          <w:sz w:val="18"/>
          <w:szCs w:val="18"/>
        </w:rPr>
        <w:t>Note.</w:t>
      </w:r>
      <w:r w:rsidRPr="00065144">
        <w:rPr>
          <w:rFonts w:cs="Times New Roman"/>
          <w:color w:val="000000" w:themeColor="text1"/>
          <w:sz w:val="18"/>
          <w:szCs w:val="18"/>
        </w:rPr>
        <w:t xml:space="preserve"> Strength = </w:t>
      </w:r>
      <w:r w:rsidR="00667F4E">
        <w:rPr>
          <w:rFonts w:cs="Times New Roman"/>
          <w:color w:val="000000" w:themeColor="text1"/>
          <w:sz w:val="18"/>
          <w:szCs w:val="18"/>
        </w:rPr>
        <w:t>self-</w:t>
      </w:r>
      <w:r w:rsidRPr="00065144">
        <w:rPr>
          <w:rFonts w:cs="Times New Roman"/>
          <w:color w:val="000000" w:themeColor="text1"/>
          <w:sz w:val="18"/>
          <w:szCs w:val="18"/>
        </w:rPr>
        <w:t xml:space="preserve">rated as either ‘well developed’ or ‘very well developed’ by 33.3% or more participants. Weakness = </w:t>
      </w:r>
      <w:r w:rsidR="00667F4E">
        <w:rPr>
          <w:rFonts w:cs="Times New Roman"/>
          <w:color w:val="000000" w:themeColor="text1"/>
          <w:sz w:val="18"/>
          <w:szCs w:val="18"/>
        </w:rPr>
        <w:t>self-</w:t>
      </w:r>
      <w:r w:rsidRPr="00065144">
        <w:rPr>
          <w:rFonts w:cs="Times New Roman"/>
          <w:color w:val="000000" w:themeColor="text1"/>
          <w:sz w:val="18"/>
          <w:szCs w:val="18"/>
        </w:rPr>
        <w:t>rated as either ‘not developed’ or ‘slightly developed’ by 33.3% or more participants.</w:t>
      </w:r>
    </w:p>
    <w:sectPr w:rsidR="00C059B0" w:rsidRPr="00C059B0" w:rsidSect="00E34EB9">
      <w:footnotePr>
        <w:numFmt w:val="chicago"/>
      </w:footnotePr>
      <w:pgSz w:w="11901" w:h="16817"/>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7C37" w14:textId="77777777" w:rsidR="005907BA" w:rsidRDefault="005907BA" w:rsidP="002779FE">
      <w:r>
        <w:separator/>
      </w:r>
    </w:p>
    <w:p w14:paraId="418E21CC" w14:textId="77777777" w:rsidR="005907BA" w:rsidRDefault="005907BA" w:rsidP="002779FE"/>
    <w:p w14:paraId="04B36475" w14:textId="77777777" w:rsidR="005907BA" w:rsidRDefault="005907BA" w:rsidP="002779FE"/>
  </w:endnote>
  <w:endnote w:type="continuationSeparator" w:id="0">
    <w:p w14:paraId="2EF9893A" w14:textId="77777777" w:rsidR="005907BA" w:rsidRDefault="005907BA" w:rsidP="002779FE">
      <w:r>
        <w:continuationSeparator/>
      </w:r>
    </w:p>
    <w:p w14:paraId="36125442" w14:textId="77777777" w:rsidR="005907BA" w:rsidRDefault="005907BA" w:rsidP="002779FE"/>
    <w:p w14:paraId="783727D0" w14:textId="77777777" w:rsidR="005907BA" w:rsidRDefault="005907BA" w:rsidP="002779FE"/>
  </w:endnote>
  <w:endnote w:type="continuationNotice" w:id="1">
    <w:p w14:paraId="3B4BFEFD" w14:textId="77777777" w:rsidR="005907BA" w:rsidRDefault="005907BA" w:rsidP="002779FE"/>
    <w:p w14:paraId="6D81F644" w14:textId="77777777" w:rsidR="005907BA" w:rsidRDefault="005907BA" w:rsidP="00277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7712144"/>
      <w:docPartObj>
        <w:docPartGallery w:val="Page Numbers (Bottom of Page)"/>
        <w:docPartUnique/>
      </w:docPartObj>
    </w:sdtPr>
    <w:sdtEndPr>
      <w:rPr>
        <w:rStyle w:val="PageNumber"/>
      </w:rPr>
    </w:sdtEndPr>
    <w:sdtContent>
      <w:p w14:paraId="6AA5A9E7" w14:textId="39A86A2D" w:rsidR="00E25892" w:rsidRDefault="00E25892" w:rsidP="009943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68F9743E" w14:textId="6BAF2CAB" w:rsidR="00CD730D" w:rsidRDefault="00CD730D" w:rsidP="00E25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36B7" w14:textId="77777777" w:rsidR="005907BA" w:rsidRDefault="005907BA" w:rsidP="00655CEA">
      <w:r>
        <w:separator/>
      </w:r>
    </w:p>
  </w:footnote>
  <w:footnote w:type="continuationSeparator" w:id="0">
    <w:p w14:paraId="411A040A" w14:textId="77777777" w:rsidR="005907BA" w:rsidRDefault="005907BA" w:rsidP="002779FE">
      <w:r>
        <w:continuationSeparator/>
      </w:r>
    </w:p>
    <w:p w14:paraId="1E19D6C4" w14:textId="77777777" w:rsidR="005907BA" w:rsidRDefault="005907BA" w:rsidP="002779FE"/>
    <w:p w14:paraId="6050DC97" w14:textId="77777777" w:rsidR="005907BA" w:rsidRDefault="005907BA" w:rsidP="002779FE"/>
  </w:footnote>
  <w:footnote w:type="continuationNotice" w:id="1">
    <w:p w14:paraId="34E6A01C" w14:textId="77777777" w:rsidR="005907BA" w:rsidRDefault="005907BA" w:rsidP="002779FE"/>
    <w:p w14:paraId="0E990F3E" w14:textId="77777777" w:rsidR="005907BA" w:rsidRDefault="005907BA" w:rsidP="002779FE"/>
  </w:footnote>
  <w:footnote w:id="2">
    <w:p w14:paraId="7F8D5587" w14:textId="388B9B61" w:rsidR="00065144" w:rsidRPr="00065144" w:rsidRDefault="00065144" w:rsidP="00223845">
      <w:pPr>
        <w:pStyle w:val="FootnoteText"/>
        <w:spacing w:before="0" w:line="360" w:lineRule="auto"/>
        <w:ind w:firstLine="0"/>
        <w:rPr>
          <w:rFonts w:cs="Times New Roman"/>
          <w:sz w:val="18"/>
          <w:szCs w:val="18"/>
        </w:rPr>
      </w:pPr>
      <w:r w:rsidRPr="008E3897">
        <w:rPr>
          <w:rStyle w:val="FootnoteReference"/>
        </w:rPr>
        <w:footnoteRef/>
      </w:r>
      <w:r w:rsidRPr="00065144">
        <w:rPr>
          <w:rFonts w:cs="Times New Roman"/>
          <w:sz w:val="18"/>
          <w:szCs w:val="18"/>
        </w:rPr>
        <w:t xml:space="preserve"> Corresponding author. </w:t>
      </w:r>
      <w:r w:rsidRPr="00C275CA">
        <w:rPr>
          <w:rFonts w:cs="Times New Roman"/>
          <w:sz w:val="18"/>
          <w:szCs w:val="18"/>
        </w:rPr>
        <w:t xml:space="preserve">E-mail: </w:t>
      </w:r>
      <w:hyperlink r:id="rId1" w:history="1">
        <w:r w:rsidR="004C38AF" w:rsidRPr="00CF1BBB">
          <w:rPr>
            <w:rStyle w:val="Hyperlink"/>
          </w:rPr>
          <w:t>nicolo.zarotti@nca.nhs.uk</w:t>
        </w:r>
      </w:hyperlink>
      <w:r w:rsidR="004C38AF">
        <w:t xml:space="preserve">; </w:t>
      </w:r>
      <w:hyperlink r:id="rId2" w:history="1">
        <w:r w:rsidR="004C38AF" w:rsidRPr="00CF1BBB">
          <w:rPr>
            <w:rStyle w:val="Hyperlink"/>
          </w:rPr>
          <w:t>nicolozarotti@gmail.com</w:t>
        </w:r>
      </w:hyperlink>
      <w:r w:rsidR="00C275CA">
        <w:rPr>
          <w:rFonts w:cs="Times New Roman"/>
          <w:sz w:val="18"/>
          <w:szCs w:val="18"/>
        </w:rPr>
        <w:t>;</w:t>
      </w:r>
      <w:r w:rsidRPr="00C275CA">
        <w:rPr>
          <w:rFonts w:cs="Times New Roman"/>
          <w:sz w:val="18"/>
          <w:szCs w:val="18"/>
        </w:rPr>
        <w:t xml:space="preserve"> </w:t>
      </w:r>
      <w:r w:rsidRPr="00065144">
        <w:rPr>
          <w:rFonts w:cs="Times New Roman"/>
          <w:sz w:val="18"/>
          <w:szCs w:val="18"/>
        </w:rPr>
        <w:t xml:space="preserve">Address: </w:t>
      </w:r>
      <w:r w:rsidR="003F4989" w:rsidRPr="003F4989">
        <w:rPr>
          <w:rFonts w:cs="Times New Roman"/>
          <w:sz w:val="18"/>
          <w:szCs w:val="18"/>
        </w:rPr>
        <w:t xml:space="preserve">Department of Clinical Neuropsychology, Manchester Centre for Clinical Neurosciences, </w:t>
      </w:r>
      <w:r w:rsidR="004C38AF">
        <w:rPr>
          <w:rFonts w:cs="Times New Roman"/>
          <w:sz w:val="18"/>
          <w:szCs w:val="18"/>
        </w:rPr>
        <w:t xml:space="preserve">Salford Royal Hospital, </w:t>
      </w:r>
      <w:r w:rsidR="003F4989">
        <w:rPr>
          <w:rFonts w:cs="Times New Roman"/>
          <w:sz w:val="18"/>
          <w:szCs w:val="18"/>
        </w:rPr>
        <w:t>Stott Lane</w:t>
      </w:r>
      <w:r w:rsidR="003F4989" w:rsidRPr="003F4989">
        <w:rPr>
          <w:rFonts w:cs="Times New Roman"/>
          <w:sz w:val="18"/>
          <w:szCs w:val="18"/>
        </w:rPr>
        <w:t>,</w:t>
      </w:r>
      <w:r w:rsidR="003F4989">
        <w:rPr>
          <w:rFonts w:cs="Times New Roman"/>
          <w:sz w:val="18"/>
          <w:szCs w:val="18"/>
        </w:rPr>
        <w:t xml:space="preserve"> </w:t>
      </w:r>
      <w:r w:rsidR="003F4989" w:rsidRPr="003F4989">
        <w:rPr>
          <w:rFonts w:cs="Times New Roman"/>
          <w:sz w:val="18"/>
          <w:szCs w:val="18"/>
        </w:rPr>
        <w:t>M6 8HD</w:t>
      </w:r>
      <w:r w:rsidR="003F4989">
        <w:rPr>
          <w:rFonts w:cs="Times New Roman"/>
          <w:sz w:val="18"/>
          <w:szCs w:val="18"/>
        </w:rPr>
        <w:t>,</w:t>
      </w:r>
      <w:r w:rsidR="003F4989" w:rsidRPr="003F4989">
        <w:rPr>
          <w:rFonts w:cs="Times New Roman"/>
          <w:sz w:val="18"/>
          <w:szCs w:val="18"/>
        </w:rPr>
        <w:t xml:space="preserve"> Salford</w:t>
      </w:r>
      <w:r w:rsidR="003F4989">
        <w:rPr>
          <w:rFonts w:cs="Times New Roman"/>
          <w:sz w:val="18"/>
          <w:szCs w:val="18"/>
        </w:rPr>
        <w:t>,</w:t>
      </w:r>
      <w:r w:rsidR="003F4989" w:rsidRPr="003F4989">
        <w:rPr>
          <w:rFonts w:cs="Times New Roman"/>
          <w:sz w:val="18"/>
          <w:szCs w:val="18"/>
        </w:rPr>
        <w:t xml:space="preserve"> UK</w:t>
      </w:r>
      <w:r w:rsidRPr="00065144">
        <w:rPr>
          <w:rFonts w:cs="Times New Roman"/>
          <w:sz w:val="18"/>
          <w:szCs w:val="18"/>
        </w:rPr>
        <w:t>.</w:t>
      </w:r>
    </w:p>
  </w:footnote>
  <w:footnote w:id="3">
    <w:p w14:paraId="2DD3BDA5" w14:textId="77777777" w:rsidR="00AE370D" w:rsidRPr="00E55711" w:rsidRDefault="00AE370D" w:rsidP="00AE370D">
      <w:pPr>
        <w:pStyle w:val="FootnoteText"/>
        <w:spacing w:before="0"/>
        <w:ind w:firstLine="0"/>
      </w:pPr>
      <w:r w:rsidRPr="008E3897">
        <w:rPr>
          <w:rStyle w:val="FootnoteReference"/>
        </w:rPr>
        <w:footnoteRef/>
      </w:r>
      <w:r>
        <w:t xml:space="preserve"> </w:t>
      </w:r>
      <w:r>
        <w:rPr>
          <w:i/>
          <w:iCs/>
        </w:rPr>
        <w:t xml:space="preserve">n </w:t>
      </w:r>
      <w:r w:rsidRPr="00C44224">
        <w:t xml:space="preserve">= specific </w:t>
      </w:r>
      <w:r>
        <w:t xml:space="preserve">number of participants being referred to; </w:t>
      </w:r>
      <w:r>
        <w:rPr>
          <w:i/>
          <w:iCs/>
        </w:rPr>
        <w:t xml:space="preserve">N = </w:t>
      </w:r>
      <w:r>
        <w:t xml:space="preserve">whole sample or cohort subsample being referred to; % = percentage of </w:t>
      </w:r>
      <w:r>
        <w:rPr>
          <w:i/>
          <w:iCs/>
        </w:rPr>
        <w:t xml:space="preserve">N </w:t>
      </w:r>
      <w:r>
        <w:t xml:space="preserve">represented by </w:t>
      </w:r>
      <w:r>
        <w:rPr>
          <w:i/>
          <w:iCs/>
        </w:rPr>
        <w:t xml:space="preserv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5A5"/>
    <w:multiLevelType w:val="hybridMultilevel"/>
    <w:tmpl w:val="D27EA29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D2466E"/>
    <w:multiLevelType w:val="hybridMultilevel"/>
    <w:tmpl w:val="EB92F9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A6085"/>
    <w:multiLevelType w:val="hybridMultilevel"/>
    <w:tmpl w:val="BC627056"/>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3316D0E"/>
    <w:multiLevelType w:val="hybridMultilevel"/>
    <w:tmpl w:val="16DEADD6"/>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DF78DD"/>
    <w:multiLevelType w:val="hybridMultilevel"/>
    <w:tmpl w:val="0082EB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8853E8"/>
    <w:multiLevelType w:val="hybridMultilevel"/>
    <w:tmpl w:val="F8929C76"/>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570EE"/>
    <w:multiLevelType w:val="hybridMultilevel"/>
    <w:tmpl w:val="FEAC9E3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4C28DE"/>
    <w:multiLevelType w:val="hybridMultilevel"/>
    <w:tmpl w:val="E3F82820"/>
    <w:lvl w:ilvl="0" w:tplc="0410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9D5F5A"/>
    <w:multiLevelType w:val="hybridMultilevel"/>
    <w:tmpl w:val="ACD6388A"/>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22A07"/>
    <w:multiLevelType w:val="multilevel"/>
    <w:tmpl w:val="B1464082"/>
    <w:styleLink w:val="CurrentList1"/>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2B337113"/>
    <w:multiLevelType w:val="hybridMultilevel"/>
    <w:tmpl w:val="884E91B0"/>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770A4"/>
    <w:multiLevelType w:val="hybridMultilevel"/>
    <w:tmpl w:val="35DA32A2"/>
    <w:lvl w:ilvl="0" w:tplc="0410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2B6738AC"/>
    <w:multiLevelType w:val="hybridMultilevel"/>
    <w:tmpl w:val="A1B42862"/>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65739"/>
    <w:multiLevelType w:val="hybridMultilevel"/>
    <w:tmpl w:val="81946CA0"/>
    <w:lvl w:ilvl="0" w:tplc="0410000F">
      <w:start w:val="1"/>
      <w:numFmt w:val="decimal"/>
      <w:lvlText w:val="%1."/>
      <w:lvlJc w:val="left"/>
      <w:pPr>
        <w:ind w:left="360" w:hanging="360"/>
      </w:pPr>
    </w:lvl>
    <w:lvl w:ilvl="1" w:tplc="517A376E">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8E08E3"/>
    <w:multiLevelType w:val="hybridMultilevel"/>
    <w:tmpl w:val="723CF6CC"/>
    <w:lvl w:ilvl="0" w:tplc="8466A1D0">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2E5CBF"/>
    <w:multiLevelType w:val="hybridMultilevel"/>
    <w:tmpl w:val="87229DAA"/>
    <w:lvl w:ilvl="0" w:tplc="0410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39B33AEF"/>
    <w:multiLevelType w:val="hybridMultilevel"/>
    <w:tmpl w:val="0F06C894"/>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41045"/>
    <w:multiLevelType w:val="hybridMultilevel"/>
    <w:tmpl w:val="9DA2D708"/>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3B50FF"/>
    <w:multiLevelType w:val="multilevel"/>
    <w:tmpl w:val="FEAC9E3C"/>
    <w:styleLink w:val="CurrentList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43EE440C"/>
    <w:multiLevelType w:val="hybridMultilevel"/>
    <w:tmpl w:val="6436E826"/>
    <w:lvl w:ilvl="0" w:tplc="0410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8937728"/>
    <w:multiLevelType w:val="hybridMultilevel"/>
    <w:tmpl w:val="2EB079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62A70"/>
    <w:multiLevelType w:val="hybridMultilevel"/>
    <w:tmpl w:val="A5F8B6F6"/>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1827F9"/>
    <w:multiLevelType w:val="hybridMultilevel"/>
    <w:tmpl w:val="7C5EB9CA"/>
    <w:lvl w:ilvl="0" w:tplc="0410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2997567"/>
    <w:multiLevelType w:val="hybridMultilevel"/>
    <w:tmpl w:val="9126EE6A"/>
    <w:lvl w:ilvl="0" w:tplc="3B8CC00C">
      <w:start w:val="1"/>
      <w:numFmt w:val="decimal"/>
      <w:lvlText w:val="%1."/>
      <w:lvlJc w:val="left"/>
      <w:pPr>
        <w:ind w:left="360" w:hanging="360"/>
      </w:pPr>
      <w:rPr>
        <w:b/>
        <w:bCs/>
      </w:rPr>
    </w:lvl>
    <w:lvl w:ilvl="1" w:tplc="0809000F">
      <w:start w:val="1"/>
      <w:numFmt w:val="decimal"/>
      <w:lvlText w:val="%2."/>
      <w:lvlJc w:val="left"/>
      <w:pPr>
        <w:ind w:left="1080" w:hanging="360"/>
      </w:pPr>
    </w:lvl>
    <w:lvl w:ilvl="2" w:tplc="04100003">
      <w:start w:val="1"/>
      <w:numFmt w:val="bullet"/>
      <w:lvlText w:val="o"/>
      <w:lvlJc w:val="left"/>
      <w:pPr>
        <w:ind w:left="1980" w:hanging="360"/>
      </w:pPr>
      <w:rPr>
        <w:rFonts w:ascii="Courier New" w:hAnsi="Courier New" w:cs="Courier New"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A2760E"/>
    <w:multiLevelType w:val="hybridMultilevel"/>
    <w:tmpl w:val="777898CE"/>
    <w:lvl w:ilvl="0" w:tplc="08090005">
      <w:start w:val="1"/>
      <w:numFmt w:val="bullet"/>
      <w:lvlText w:val=""/>
      <w:lvlJc w:val="left"/>
      <w:pPr>
        <w:ind w:left="1431" w:hanging="360"/>
      </w:pPr>
      <w:rPr>
        <w:rFonts w:ascii="Wingdings" w:hAnsi="Wingdings" w:hint="default"/>
      </w:rPr>
    </w:lvl>
    <w:lvl w:ilvl="1" w:tplc="08090003">
      <w:start w:val="1"/>
      <w:numFmt w:val="bullet"/>
      <w:lvlText w:val="o"/>
      <w:lvlJc w:val="left"/>
      <w:pPr>
        <w:ind w:left="2151" w:hanging="360"/>
      </w:pPr>
      <w:rPr>
        <w:rFonts w:ascii="Courier New" w:hAnsi="Courier New" w:cs="Courier New" w:hint="default"/>
      </w:rPr>
    </w:lvl>
    <w:lvl w:ilvl="2" w:tplc="08090005">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25" w15:restartNumberingAfterBreak="0">
    <w:nsid w:val="5D1115E9"/>
    <w:multiLevelType w:val="hybridMultilevel"/>
    <w:tmpl w:val="5FB067A0"/>
    <w:lvl w:ilvl="0" w:tplc="04100005">
      <w:start w:val="1"/>
      <w:numFmt w:val="bullet"/>
      <w:lvlText w:val=""/>
      <w:lvlJc w:val="left"/>
      <w:pPr>
        <w:ind w:left="1437" w:hanging="360"/>
      </w:pPr>
      <w:rPr>
        <w:rFonts w:ascii="Wingdings" w:hAnsi="Wingdings" w:hint="default"/>
      </w:rPr>
    </w:lvl>
    <w:lvl w:ilvl="1" w:tplc="0410000F">
      <w:start w:val="1"/>
      <w:numFmt w:val="decimal"/>
      <w:lvlText w:val="%2."/>
      <w:lvlJc w:val="left"/>
      <w:pPr>
        <w:ind w:left="2157" w:hanging="360"/>
      </w:pPr>
      <w:rPr>
        <w:rFonts w:hint="default"/>
      </w:rPr>
    </w:lvl>
    <w:lvl w:ilvl="2" w:tplc="04100003">
      <w:start w:val="1"/>
      <w:numFmt w:val="bullet"/>
      <w:lvlText w:val="o"/>
      <w:lvlJc w:val="left"/>
      <w:pPr>
        <w:ind w:left="3057" w:hanging="360"/>
      </w:pPr>
      <w:rPr>
        <w:rFonts w:ascii="Courier New" w:hAnsi="Courier New" w:cs="Courier New" w:hint="default"/>
      </w:r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6" w15:restartNumberingAfterBreak="0">
    <w:nsid w:val="5E27365E"/>
    <w:multiLevelType w:val="hybridMultilevel"/>
    <w:tmpl w:val="05945F76"/>
    <w:lvl w:ilvl="0" w:tplc="0410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60892355"/>
    <w:multiLevelType w:val="hybridMultilevel"/>
    <w:tmpl w:val="6D20E1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8A967BF"/>
    <w:multiLevelType w:val="hybridMultilevel"/>
    <w:tmpl w:val="CD56D6B4"/>
    <w:lvl w:ilvl="0" w:tplc="0410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6B1C6E70"/>
    <w:multiLevelType w:val="hybridMultilevel"/>
    <w:tmpl w:val="DF8215EC"/>
    <w:lvl w:ilvl="0" w:tplc="10EEE4A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6EB845D4"/>
    <w:multiLevelType w:val="hybridMultilevel"/>
    <w:tmpl w:val="C2FEFCAA"/>
    <w:lvl w:ilvl="0" w:tplc="0410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F502B83"/>
    <w:multiLevelType w:val="hybridMultilevel"/>
    <w:tmpl w:val="1DC8C516"/>
    <w:lvl w:ilvl="0" w:tplc="04100005">
      <w:start w:val="1"/>
      <w:numFmt w:val="bullet"/>
      <w:lvlText w:val=""/>
      <w:lvlJc w:val="left"/>
      <w:pPr>
        <w:ind w:left="714" w:hanging="360"/>
      </w:pPr>
      <w:rPr>
        <w:rFonts w:ascii="Wingdings" w:hAnsi="Wingdings"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32" w15:restartNumberingAfterBreak="0">
    <w:nsid w:val="7AA443BC"/>
    <w:multiLevelType w:val="hybridMultilevel"/>
    <w:tmpl w:val="9AF2C1E2"/>
    <w:lvl w:ilvl="0" w:tplc="0410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472336043">
    <w:abstractNumId w:val="14"/>
  </w:num>
  <w:num w:numId="2" w16cid:durableId="1141460161">
    <w:abstractNumId w:val="20"/>
  </w:num>
  <w:num w:numId="3" w16cid:durableId="167527085">
    <w:abstractNumId w:val="1"/>
  </w:num>
  <w:num w:numId="4" w16cid:durableId="1371491880">
    <w:abstractNumId w:val="13"/>
  </w:num>
  <w:num w:numId="5" w16cid:durableId="805319747">
    <w:abstractNumId w:val="23"/>
  </w:num>
  <w:num w:numId="6" w16cid:durableId="1593127739">
    <w:abstractNumId w:val="0"/>
  </w:num>
  <w:num w:numId="7" w16cid:durableId="29380558">
    <w:abstractNumId w:val="6"/>
  </w:num>
  <w:num w:numId="8" w16cid:durableId="1039282054">
    <w:abstractNumId w:val="24"/>
  </w:num>
  <w:num w:numId="9" w16cid:durableId="2141801036">
    <w:abstractNumId w:val="30"/>
  </w:num>
  <w:num w:numId="10" w16cid:durableId="1009019518">
    <w:abstractNumId w:val="7"/>
  </w:num>
  <w:num w:numId="11" w16cid:durableId="1356999392">
    <w:abstractNumId w:val="25"/>
  </w:num>
  <w:num w:numId="12" w16cid:durableId="1435981146">
    <w:abstractNumId w:val="19"/>
  </w:num>
  <w:num w:numId="13" w16cid:durableId="1646231113">
    <w:abstractNumId w:val="3"/>
  </w:num>
  <w:num w:numId="14" w16cid:durableId="387075606">
    <w:abstractNumId w:val="4"/>
  </w:num>
  <w:num w:numId="15" w16cid:durableId="1410233037">
    <w:abstractNumId w:val="27"/>
  </w:num>
  <w:num w:numId="16" w16cid:durableId="1340547722">
    <w:abstractNumId w:val="11"/>
  </w:num>
  <w:num w:numId="17" w16cid:durableId="1901557470">
    <w:abstractNumId w:val="15"/>
  </w:num>
  <w:num w:numId="18" w16cid:durableId="1536235321">
    <w:abstractNumId w:val="26"/>
  </w:num>
  <w:num w:numId="19" w16cid:durableId="1320578654">
    <w:abstractNumId w:val="31"/>
  </w:num>
  <w:num w:numId="20" w16cid:durableId="701055086">
    <w:abstractNumId w:val="16"/>
  </w:num>
  <w:num w:numId="21" w16cid:durableId="1136219242">
    <w:abstractNumId w:val="17"/>
  </w:num>
  <w:num w:numId="22" w16cid:durableId="1294558843">
    <w:abstractNumId w:val="5"/>
  </w:num>
  <w:num w:numId="23" w16cid:durableId="1893347553">
    <w:abstractNumId w:val="8"/>
  </w:num>
  <w:num w:numId="24" w16cid:durableId="963193967">
    <w:abstractNumId w:val="10"/>
  </w:num>
  <w:num w:numId="25" w16cid:durableId="1429961639">
    <w:abstractNumId w:val="12"/>
  </w:num>
  <w:num w:numId="26" w16cid:durableId="2103337602">
    <w:abstractNumId w:val="21"/>
  </w:num>
  <w:num w:numId="27" w16cid:durableId="1240872875">
    <w:abstractNumId w:val="22"/>
  </w:num>
  <w:num w:numId="28" w16cid:durableId="1663658504">
    <w:abstractNumId w:val="32"/>
  </w:num>
  <w:num w:numId="29" w16cid:durableId="1115753617">
    <w:abstractNumId w:val="28"/>
  </w:num>
  <w:num w:numId="30" w16cid:durableId="441337643">
    <w:abstractNumId w:val="29"/>
  </w:num>
  <w:num w:numId="31" w16cid:durableId="2014912671">
    <w:abstractNumId w:val="9"/>
  </w:num>
  <w:num w:numId="32" w16cid:durableId="302468097">
    <w:abstractNumId w:val="18"/>
  </w:num>
  <w:num w:numId="33" w16cid:durableId="495851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3B4"/>
    <w:rsid w:val="00001084"/>
    <w:rsid w:val="00003668"/>
    <w:rsid w:val="00010B5F"/>
    <w:rsid w:val="00011F9C"/>
    <w:rsid w:val="000126D8"/>
    <w:rsid w:val="00016121"/>
    <w:rsid w:val="000209D1"/>
    <w:rsid w:val="000212E2"/>
    <w:rsid w:val="00021806"/>
    <w:rsid w:val="0003011C"/>
    <w:rsid w:val="00032E34"/>
    <w:rsid w:val="00033480"/>
    <w:rsid w:val="00034C23"/>
    <w:rsid w:val="0003526D"/>
    <w:rsid w:val="000364A3"/>
    <w:rsid w:val="00041EA8"/>
    <w:rsid w:val="000429F0"/>
    <w:rsid w:val="00043FB5"/>
    <w:rsid w:val="00044FCE"/>
    <w:rsid w:val="00045E11"/>
    <w:rsid w:val="0004680E"/>
    <w:rsid w:val="00046D2A"/>
    <w:rsid w:val="00047DEB"/>
    <w:rsid w:val="000501F7"/>
    <w:rsid w:val="0005111D"/>
    <w:rsid w:val="00052900"/>
    <w:rsid w:val="00054085"/>
    <w:rsid w:val="0005427D"/>
    <w:rsid w:val="00055039"/>
    <w:rsid w:val="000604D5"/>
    <w:rsid w:val="000605E3"/>
    <w:rsid w:val="00060F95"/>
    <w:rsid w:val="000619F8"/>
    <w:rsid w:val="00064169"/>
    <w:rsid w:val="00064E59"/>
    <w:rsid w:val="00065144"/>
    <w:rsid w:val="0006529F"/>
    <w:rsid w:val="000654E7"/>
    <w:rsid w:val="000669C2"/>
    <w:rsid w:val="00067FAB"/>
    <w:rsid w:val="00070212"/>
    <w:rsid w:val="00070E72"/>
    <w:rsid w:val="00071608"/>
    <w:rsid w:val="00071C0D"/>
    <w:rsid w:val="00073D8D"/>
    <w:rsid w:val="00074282"/>
    <w:rsid w:val="00077AE0"/>
    <w:rsid w:val="00081FE0"/>
    <w:rsid w:val="0008227A"/>
    <w:rsid w:val="0008762C"/>
    <w:rsid w:val="00087FEC"/>
    <w:rsid w:val="000907E5"/>
    <w:rsid w:val="000932F9"/>
    <w:rsid w:val="00094ACE"/>
    <w:rsid w:val="000A08D2"/>
    <w:rsid w:val="000A28F7"/>
    <w:rsid w:val="000A4B3B"/>
    <w:rsid w:val="000A6474"/>
    <w:rsid w:val="000A6EA8"/>
    <w:rsid w:val="000A744C"/>
    <w:rsid w:val="000A75C9"/>
    <w:rsid w:val="000B19E8"/>
    <w:rsid w:val="000B3665"/>
    <w:rsid w:val="000B48CC"/>
    <w:rsid w:val="000C478F"/>
    <w:rsid w:val="000C4E49"/>
    <w:rsid w:val="000C6BFC"/>
    <w:rsid w:val="000C719A"/>
    <w:rsid w:val="000D077B"/>
    <w:rsid w:val="000D125E"/>
    <w:rsid w:val="000D199A"/>
    <w:rsid w:val="000D27ED"/>
    <w:rsid w:val="000D3AAC"/>
    <w:rsid w:val="000D54DA"/>
    <w:rsid w:val="000D6733"/>
    <w:rsid w:val="000D6964"/>
    <w:rsid w:val="000E1B32"/>
    <w:rsid w:val="000E2621"/>
    <w:rsid w:val="000E32FF"/>
    <w:rsid w:val="000E739A"/>
    <w:rsid w:val="000F49F6"/>
    <w:rsid w:val="000F66DE"/>
    <w:rsid w:val="000F79C1"/>
    <w:rsid w:val="000F79DF"/>
    <w:rsid w:val="00101149"/>
    <w:rsid w:val="001012A9"/>
    <w:rsid w:val="001017C1"/>
    <w:rsid w:val="00101990"/>
    <w:rsid w:val="00102249"/>
    <w:rsid w:val="00103261"/>
    <w:rsid w:val="00104385"/>
    <w:rsid w:val="001047F3"/>
    <w:rsid w:val="00104948"/>
    <w:rsid w:val="001063AA"/>
    <w:rsid w:val="00106853"/>
    <w:rsid w:val="00107A57"/>
    <w:rsid w:val="001118E3"/>
    <w:rsid w:val="00113C19"/>
    <w:rsid w:val="00116575"/>
    <w:rsid w:val="0011658C"/>
    <w:rsid w:val="001171DD"/>
    <w:rsid w:val="0011785C"/>
    <w:rsid w:val="00117C06"/>
    <w:rsid w:val="0012222E"/>
    <w:rsid w:val="00122AC7"/>
    <w:rsid w:val="00123DBA"/>
    <w:rsid w:val="001257D4"/>
    <w:rsid w:val="00127E83"/>
    <w:rsid w:val="00130692"/>
    <w:rsid w:val="00140197"/>
    <w:rsid w:val="00142A93"/>
    <w:rsid w:val="00150778"/>
    <w:rsid w:val="00154563"/>
    <w:rsid w:val="00156464"/>
    <w:rsid w:val="001564DE"/>
    <w:rsid w:val="00157378"/>
    <w:rsid w:val="001605F6"/>
    <w:rsid w:val="00162C7D"/>
    <w:rsid w:val="00162D8B"/>
    <w:rsid w:val="00163462"/>
    <w:rsid w:val="00164685"/>
    <w:rsid w:val="0016529B"/>
    <w:rsid w:val="001717BD"/>
    <w:rsid w:val="00173C87"/>
    <w:rsid w:val="00173D40"/>
    <w:rsid w:val="00174B36"/>
    <w:rsid w:val="001753ED"/>
    <w:rsid w:val="00176078"/>
    <w:rsid w:val="00177255"/>
    <w:rsid w:val="00177C35"/>
    <w:rsid w:val="00181E40"/>
    <w:rsid w:val="00184615"/>
    <w:rsid w:val="00184645"/>
    <w:rsid w:val="0018698E"/>
    <w:rsid w:val="00187E8D"/>
    <w:rsid w:val="001900C7"/>
    <w:rsid w:val="00193577"/>
    <w:rsid w:val="00193C30"/>
    <w:rsid w:val="00193EA8"/>
    <w:rsid w:val="00194A3F"/>
    <w:rsid w:val="00195D5F"/>
    <w:rsid w:val="00197DAC"/>
    <w:rsid w:val="001A13FA"/>
    <w:rsid w:val="001A194D"/>
    <w:rsid w:val="001A2490"/>
    <w:rsid w:val="001A5A85"/>
    <w:rsid w:val="001B0084"/>
    <w:rsid w:val="001B1615"/>
    <w:rsid w:val="001B194E"/>
    <w:rsid w:val="001B304D"/>
    <w:rsid w:val="001B3DCE"/>
    <w:rsid w:val="001B610A"/>
    <w:rsid w:val="001B7968"/>
    <w:rsid w:val="001C02B6"/>
    <w:rsid w:val="001C2F39"/>
    <w:rsid w:val="001C3BB7"/>
    <w:rsid w:val="001C3C02"/>
    <w:rsid w:val="001C514B"/>
    <w:rsid w:val="001C5254"/>
    <w:rsid w:val="001C6F42"/>
    <w:rsid w:val="001D1223"/>
    <w:rsid w:val="001D4F7D"/>
    <w:rsid w:val="001D600F"/>
    <w:rsid w:val="001E31BD"/>
    <w:rsid w:val="001E3FCA"/>
    <w:rsid w:val="001E6006"/>
    <w:rsid w:val="001E6029"/>
    <w:rsid w:val="001E66D8"/>
    <w:rsid w:val="001F0965"/>
    <w:rsid w:val="001F1310"/>
    <w:rsid w:val="001F1CE4"/>
    <w:rsid w:val="001F2A1E"/>
    <w:rsid w:val="001F32F3"/>
    <w:rsid w:val="001F3AC6"/>
    <w:rsid w:val="001F7088"/>
    <w:rsid w:val="001F7B94"/>
    <w:rsid w:val="002000A7"/>
    <w:rsid w:val="00200102"/>
    <w:rsid w:val="00200194"/>
    <w:rsid w:val="00214C9E"/>
    <w:rsid w:val="00223845"/>
    <w:rsid w:val="00223C79"/>
    <w:rsid w:val="00227824"/>
    <w:rsid w:val="00227DE0"/>
    <w:rsid w:val="0023032B"/>
    <w:rsid w:val="00231264"/>
    <w:rsid w:val="00233AE0"/>
    <w:rsid w:val="00233B0A"/>
    <w:rsid w:val="002340B8"/>
    <w:rsid w:val="00237282"/>
    <w:rsid w:val="002376FE"/>
    <w:rsid w:val="002405A6"/>
    <w:rsid w:val="00241BC1"/>
    <w:rsid w:val="002429FA"/>
    <w:rsid w:val="00244863"/>
    <w:rsid w:val="002463C0"/>
    <w:rsid w:val="00246824"/>
    <w:rsid w:val="00246EA7"/>
    <w:rsid w:val="002471FF"/>
    <w:rsid w:val="00247BEE"/>
    <w:rsid w:val="002500D2"/>
    <w:rsid w:val="002508F6"/>
    <w:rsid w:val="00250DD6"/>
    <w:rsid w:val="00252679"/>
    <w:rsid w:val="00253C34"/>
    <w:rsid w:val="00254620"/>
    <w:rsid w:val="00254E18"/>
    <w:rsid w:val="00257481"/>
    <w:rsid w:val="002576A8"/>
    <w:rsid w:val="00261542"/>
    <w:rsid w:val="002615F3"/>
    <w:rsid w:val="00261909"/>
    <w:rsid w:val="00261DE1"/>
    <w:rsid w:val="00261E96"/>
    <w:rsid w:val="002623BD"/>
    <w:rsid w:val="0026419F"/>
    <w:rsid w:val="0026738B"/>
    <w:rsid w:val="0026775D"/>
    <w:rsid w:val="00267C67"/>
    <w:rsid w:val="00271FAD"/>
    <w:rsid w:val="0027432C"/>
    <w:rsid w:val="00274482"/>
    <w:rsid w:val="00275654"/>
    <w:rsid w:val="002764D8"/>
    <w:rsid w:val="0027697F"/>
    <w:rsid w:val="00276BCE"/>
    <w:rsid w:val="002779FE"/>
    <w:rsid w:val="00280516"/>
    <w:rsid w:val="00283281"/>
    <w:rsid w:val="00284F81"/>
    <w:rsid w:val="002864A6"/>
    <w:rsid w:val="00286541"/>
    <w:rsid w:val="00286FDC"/>
    <w:rsid w:val="00287A20"/>
    <w:rsid w:val="00287B10"/>
    <w:rsid w:val="0029352D"/>
    <w:rsid w:val="00295689"/>
    <w:rsid w:val="002971B1"/>
    <w:rsid w:val="00297921"/>
    <w:rsid w:val="00297E30"/>
    <w:rsid w:val="002A054B"/>
    <w:rsid w:val="002A4094"/>
    <w:rsid w:val="002A41B1"/>
    <w:rsid w:val="002A550C"/>
    <w:rsid w:val="002B0483"/>
    <w:rsid w:val="002B304F"/>
    <w:rsid w:val="002B34C7"/>
    <w:rsid w:val="002B368E"/>
    <w:rsid w:val="002B3E7B"/>
    <w:rsid w:val="002B4763"/>
    <w:rsid w:val="002B4FC3"/>
    <w:rsid w:val="002B53D4"/>
    <w:rsid w:val="002B5E5A"/>
    <w:rsid w:val="002B7DE2"/>
    <w:rsid w:val="002C58D0"/>
    <w:rsid w:val="002C5C01"/>
    <w:rsid w:val="002D0FAE"/>
    <w:rsid w:val="002D463F"/>
    <w:rsid w:val="002D5286"/>
    <w:rsid w:val="002D5BF7"/>
    <w:rsid w:val="002D5D80"/>
    <w:rsid w:val="002D7280"/>
    <w:rsid w:val="002D7C98"/>
    <w:rsid w:val="002E0652"/>
    <w:rsid w:val="002E10C2"/>
    <w:rsid w:val="002E1EE1"/>
    <w:rsid w:val="002E2930"/>
    <w:rsid w:val="002E58AF"/>
    <w:rsid w:val="002E69D3"/>
    <w:rsid w:val="002F0215"/>
    <w:rsid w:val="002F0363"/>
    <w:rsid w:val="002F19C8"/>
    <w:rsid w:val="002F4383"/>
    <w:rsid w:val="002F4CDF"/>
    <w:rsid w:val="002F5A07"/>
    <w:rsid w:val="002F6E06"/>
    <w:rsid w:val="0030089D"/>
    <w:rsid w:val="00301D18"/>
    <w:rsid w:val="003049DB"/>
    <w:rsid w:val="00304B90"/>
    <w:rsid w:val="003060E9"/>
    <w:rsid w:val="00306331"/>
    <w:rsid w:val="00307EBA"/>
    <w:rsid w:val="00310CCE"/>
    <w:rsid w:val="00311397"/>
    <w:rsid w:val="00314810"/>
    <w:rsid w:val="0032144D"/>
    <w:rsid w:val="00321702"/>
    <w:rsid w:val="00321A44"/>
    <w:rsid w:val="0032414A"/>
    <w:rsid w:val="00325FED"/>
    <w:rsid w:val="00326BEA"/>
    <w:rsid w:val="00326C2D"/>
    <w:rsid w:val="00326D03"/>
    <w:rsid w:val="00326D78"/>
    <w:rsid w:val="0032784C"/>
    <w:rsid w:val="00331998"/>
    <w:rsid w:val="00331D1B"/>
    <w:rsid w:val="00332676"/>
    <w:rsid w:val="00333A16"/>
    <w:rsid w:val="003349CD"/>
    <w:rsid w:val="003361C7"/>
    <w:rsid w:val="00336804"/>
    <w:rsid w:val="003379FC"/>
    <w:rsid w:val="00337B8D"/>
    <w:rsid w:val="003408F7"/>
    <w:rsid w:val="003415A0"/>
    <w:rsid w:val="00341DFF"/>
    <w:rsid w:val="003440F6"/>
    <w:rsid w:val="00351859"/>
    <w:rsid w:val="00351E00"/>
    <w:rsid w:val="003520D4"/>
    <w:rsid w:val="003561BA"/>
    <w:rsid w:val="00360805"/>
    <w:rsid w:val="00366C2F"/>
    <w:rsid w:val="0037238C"/>
    <w:rsid w:val="00375341"/>
    <w:rsid w:val="0037795F"/>
    <w:rsid w:val="0038073C"/>
    <w:rsid w:val="0038172E"/>
    <w:rsid w:val="0038511F"/>
    <w:rsid w:val="003875B2"/>
    <w:rsid w:val="0038778C"/>
    <w:rsid w:val="003910E0"/>
    <w:rsid w:val="00394999"/>
    <w:rsid w:val="00397F19"/>
    <w:rsid w:val="003A0CA3"/>
    <w:rsid w:val="003A18D1"/>
    <w:rsid w:val="003A1BB8"/>
    <w:rsid w:val="003A220F"/>
    <w:rsid w:val="003A3A35"/>
    <w:rsid w:val="003A716E"/>
    <w:rsid w:val="003A7F55"/>
    <w:rsid w:val="003B0E02"/>
    <w:rsid w:val="003B232E"/>
    <w:rsid w:val="003B34BD"/>
    <w:rsid w:val="003B3B00"/>
    <w:rsid w:val="003B43E6"/>
    <w:rsid w:val="003B4B8E"/>
    <w:rsid w:val="003C0120"/>
    <w:rsid w:val="003C558C"/>
    <w:rsid w:val="003C7240"/>
    <w:rsid w:val="003C7B2D"/>
    <w:rsid w:val="003D0474"/>
    <w:rsid w:val="003D5077"/>
    <w:rsid w:val="003D57AE"/>
    <w:rsid w:val="003E0D85"/>
    <w:rsid w:val="003E1485"/>
    <w:rsid w:val="003E1A9C"/>
    <w:rsid w:val="003E2EC6"/>
    <w:rsid w:val="003E405A"/>
    <w:rsid w:val="003E471C"/>
    <w:rsid w:val="003E589C"/>
    <w:rsid w:val="003E58C8"/>
    <w:rsid w:val="003E788C"/>
    <w:rsid w:val="003E7C3D"/>
    <w:rsid w:val="003E7D62"/>
    <w:rsid w:val="003F101D"/>
    <w:rsid w:val="003F3902"/>
    <w:rsid w:val="003F46AA"/>
    <w:rsid w:val="003F4989"/>
    <w:rsid w:val="003F74BF"/>
    <w:rsid w:val="003F761F"/>
    <w:rsid w:val="003F7A58"/>
    <w:rsid w:val="00400385"/>
    <w:rsid w:val="004004AC"/>
    <w:rsid w:val="004009BB"/>
    <w:rsid w:val="00401ACE"/>
    <w:rsid w:val="00401DB4"/>
    <w:rsid w:val="004078EE"/>
    <w:rsid w:val="00407A69"/>
    <w:rsid w:val="00407B8C"/>
    <w:rsid w:val="00411053"/>
    <w:rsid w:val="00414F61"/>
    <w:rsid w:val="0042023E"/>
    <w:rsid w:val="00420C48"/>
    <w:rsid w:val="00423C4D"/>
    <w:rsid w:val="0042445A"/>
    <w:rsid w:val="00425E6D"/>
    <w:rsid w:val="00425FD7"/>
    <w:rsid w:val="0042671B"/>
    <w:rsid w:val="00427522"/>
    <w:rsid w:val="00430321"/>
    <w:rsid w:val="004305F2"/>
    <w:rsid w:val="00430669"/>
    <w:rsid w:val="00432A5B"/>
    <w:rsid w:val="00433095"/>
    <w:rsid w:val="004347F7"/>
    <w:rsid w:val="00435DF3"/>
    <w:rsid w:val="00436205"/>
    <w:rsid w:val="00436399"/>
    <w:rsid w:val="00436658"/>
    <w:rsid w:val="00442E74"/>
    <w:rsid w:val="004436C7"/>
    <w:rsid w:val="00446CEB"/>
    <w:rsid w:val="00446ED3"/>
    <w:rsid w:val="004471A7"/>
    <w:rsid w:val="00447D3E"/>
    <w:rsid w:val="004549EF"/>
    <w:rsid w:val="00454AFF"/>
    <w:rsid w:val="00455910"/>
    <w:rsid w:val="00460370"/>
    <w:rsid w:val="00460941"/>
    <w:rsid w:val="00460CF2"/>
    <w:rsid w:val="004670B9"/>
    <w:rsid w:val="004674B5"/>
    <w:rsid w:val="00481917"/>
    <w:rsid w:val="00481BF2"/>
    <w:rsid w:val="004823FD"/>
    <w:rsid w:val="00482FB7"/>
    <w:rsid w:val="0048444E"/>
    <w:rsid w:val="00485CE1"/>
    <w:rsid w:val="004878F1"/>
    <w:rsid w:val="00490A84"/>
    <w:rsid w:val="004919E5"/>
    <w:rsid w:val="00493ABC"/>
    <w:rsid w:val="004A23CA"/>
    <w:rsid w:val="004A4A6C"/>
    <w:rsid w:val="004A7FC8"/>
    <w:rsid w:val="004B0D45"/>
    <w:rsid w:val="004B1808"/>
    <w:rsid w:val="004B1F39"/>
    <w:rsid w:val="004B476E"/>
    <w:rsid w:val="004B4785"/>
    <w:rsid w:val="004B5B2E"/>
    <w:rsid w:val="004B6837"/>
    <w:rsid w:val="004C0F64"/>
    <w:rsid w:val="004C281F"/>
    <w:rsid w:val="004C2CE4"/>
    <w:rsid w:val="004C2EEB"/>
    <w:rsid w:val="004C38AF"/>
    <w:rsid w:val="004C3B3E"/>
    <w:rsid w:val="004C47A8"/>
    <w:rsid w:val="004C67EB"/>
    <w:rsid w:val="004C69B2"/>
    <w:rsid w:val="004D1738"/>
    <w:rsid w:val="004D3835"/>
    <w:rsid w:val="004D4004"/>
    <w:rsid w:val="004D58A9"/>
    <w:rsid w:val="004D5B26"/>
    <w:rsid w:val="004D6A13"/>
    <w:rsid w:val="004E0351"/>
    <w:rsid w:val="004E0C65"/>
    <w:rsid w:val="004E28E1"/>
    <w:rsid w:val="004E591C"/>
    <w:rsid w:val="004F1574"/>
    <w:rsid w:val="004F1F16"/>
    <w:rsid w:val="004F20B9"/>
    <w:rsid w:val="004F2445"/>
    <w:rsid w:val="004F2AC3"/>
    <w:rsid w:val="004F4C4A"/>
    <w:rsid w:val="004F7052"/>
    <w:rsid w:val="004F759C"/>
    <w:rsid w:val="0050107A"/>
    <w:rsid w:val="0050218C"/>
    <w:rsid w:val="005031F9"/>
    <w:rsid w:val="005039AA"/>
    <w:rsid w:val="00503F75"/>
    <w:rsid w:val="005040CF"/>
    <w:rsid w:val="00505F45"/>
    <w:rsid w:val="00507989"/>
    <w:rsid w:val="00511FB8"/>
    <w:rsid w:val="00513F59"/>
    <w:rsid w:val="00515175"/>
    <w:rsid w:val="00516BCD"/>
    <w:rsid w:val="00522029"/>
    <w:rsid w:val="00523039"/>
    <w:rsid w:val="00523A85"/>
    <w:rsid w:val="00526C9E"/>
    <w:rsid w:val="00526CE4"/>
    <w:rsid w:val="005323D3"/>
    <w:rsid w:val="005326EB"/>
    <w:rsid w:val="00535852"/>
    <w:rsid w:val="005362F4"/>
    <w:rsid w:val="005379A3"/>
    <w:rsid w:val="00543E35"/>
    <w:rsid w:val="005440F3"/>
    <w:rsid w:val="005445AE"/>
    <w:rsid w:val="005455DB"/>
    <w:rsid w:val="0054704A"/>
    <w:rsid w:val="00547655"/>
    <w:rsid w:val="00555997"/>
    <w:rsid w:val="005614BB"/>
    <w:rsid w:val="00561A3C"/>
    <w:rsid w:val="00561A4A"/>
    <w:rsid w:val="00563086"/>
    <w:rsid w:val="0056372D"/>
    <w:rsid w:val="00565B8D"/>
    <w:rsid w:val="00566675"/>
    <w:rsid w:val="00573B16"/>
    <w:rsid w:val="00574F45"/>
    <w:rsid w:val="00576846"/>
    <w:rsid w:val="00576A17"/>
    <w:rsid w:val="00580F56"/>
    <w:rsid w:val="00581342"/>
    <w:rsid w:val="00582287"/>
    <w:rsid w:val="005826AC"/>
    <w:rsid w:val="005838DF"/>
    <w:rsid w:val="00583D8C"/>
    <w:rsid w:val="00584F52"/>
    <w:rsid w:val="00586F66"/>
    <w:rsid w:val="0058753E"/>
    <w:rsid w:val="005907BA"/>
    <w:rsid w:val="00592467"/>
    <w:rsid w:val="00593DA5"/>
    <w:rsid w:val="005A0F9F"/>
    <w:rsid w:val="005A3AD1"/>
    <w:rsid w:val="005A3B7A"/>
    <w:rsid w:val="005A3FF8"/>
    <w:rsid w:val="005A45EC"/>
    <w:rsid w:val="005A7337"/>
    <w:rsid w:val="005A7C6F"/>
    <w:rsid w:val="005B023A"/>
    <w:rsid w:val="005B1391"/>
    <w:rsid w:val="005B21A9"/>
    <w:rsid w:val="005B4519"/>
    <w:rsid w:val="005B4C20"/>
    <w:rsid w:val="005B4EAE"/>
    <w:rsid w:val="005B5E52"/>
    <w:rsid w:val="005B64C6"/>
    <w:rsid w:val="005B6869"/>
    <w:rsid w:val="005B6E66"/>
    <w:rsid w:val="005C343F"/>
    <w:rsid w:val="005C43C7"/>
    <w:rsid w:val="005C56F5"/>
    <w:rsid w:val="005D1069"/>
    <w:rsid w:val="005D1FF8"/>
    <w:rsid w:val="005D3855"/>
    <w:rsid w:val="005D5BC0"/>
    <w:rsid w:val="005D692F"/>
    <w:rsid w:val="005D74AF"/>
    <w:rsid w:val="005E0057"/>
    <w:rsid w:val="005E12A6"/>
    <w:rsid w:val="005E1F52"/>
    <w:rsid w:val="005E38BA"/>
    <w:rsid w:val="005E39B4"/>
    <w:rsid w:val="005E3C1D"/>
    <w:rsid w:val="005E4ADC"/>
    <w:rsid w:val="005E4DCA"/>
    <w:rsid w:val="005E64E2"/>
    <w:rsid w:val="005F0570"/>
    <w:rsid w:val="005F0DCF"/>
    <w:rsid w:val="005F25FB"/>
    <w:rsid w:val="005F2ABF"/>
    <w:rsid w:val="005F56BF"/>
    <w:rsid w:val="005F7B1F"/>
    <w:rsid w:val="006000ED"/>
    <w:rsid w:val="00601015"/>
    <w:rsid w:val="00603CA4"/>
    <w:rsid w:val="00604593"/>
    <w:rsid w:val="0060465B"/>
    <w:rsid w:val="00604A0E"/>
    <w:rsid w:val="00605366"/>
    <w:rsid w:val="00607C49"/>
    <w:rsid w:val="006117C4"/>
    <w:rsid w:val="00612513"/>
    <w:rsid w:val="00612932"/>
    <w:rsid w:val="006136DE"/>
    <w:rsid w:val="00613961"/>
    <w:rsid w:val="00613E02"/>
    <w:rsid w:val="00613EB2"/>
    <w:rsid w:val="00614F67"/>
    <w:rsid w:val="0061504F"/>
    <w:rsid w:val="00615CB4"/>
    <w:rsid w:val="00616228"/>
    <w:rsid w:val="00624513"/>
    <w:rsid w:val="0063103E"/>
    <w:rsid w:val="00632526"/>
    <w:rsid w:val="00633E35"/>
    <w:rsid w:val="00635FC6"/>
    <w:rsid w:val="0063684E"/>
    <w:rsid w:val="0063747E"/>
    <w:rsid w:val="00637A8D"/>
    <w:rsid w:val="00640312"/>
    <w:rsid w:val="0064069E"/>
    <w:rsid w:val="00642A22"/>
    <w:rsid w:val="0064437C"/>
    <w:rsid w:val="00644D38"/>
    <w:rsid w:val="00644E6F"/>
    <w:rsid w:val="00647381"/>
    <w:rsid w:val="00650255"/>
    <w:rsid w:val="00650D82"/>
    <w:rsid w:val="00652F66"/>
    <w:rsid w:val="00654C9B"/>
    <w:rsid w:val="006554F1"/>
    <w:rsid w:val="00655CEA"/>
    <w:rsid w:val="00655DA0"/>
    <w:rsid w:val="00660A42"/>
    <w:rsid w:val="00661143"/>
    <w:rsid w:val="00661829"/>
    <w:rsid w:val="00662925"/>
    <w:rsid w:val="00662BFE"/>
    <w:rsid w:val="00662C22"/>
    <w:rsid w:val="00667F4E"/>
    <w:rsid w:val="0067352D"/>
    <w:rsid w:val="0067455A"/>
    <w:rsid w:val="006750DE"/>
    <w:rsid w:val="00676150"/>
    <w:rsid w:val="00681642"/>
    <w:rsid w:val="00682A11"/>
    <w:rsid w:val="00686325"/>
    <w:rsid w:val="00686FE6"/>
    <w:rsid w:val="00687160"/>
    <w:rsid w:val="0068727E"/>
    <w:rsid w:val="00687AC9"/>
    <w:rsid w:val="006909F1"/>
    <w:rsid w:val="00691D2A"/>
    <w:rsid w:val="00691F74"/>
    <w:rsid w:val="006922FE"/>
    <w:rsid w:val="0069533A"/>
    <w:rsid w:val="00695D7B"/>
    <w:rsid w:val="006A08AD"/>
    <w:rsid w:val="006A41E2"/>
    <w:rsid w:val="006B0186"/>
    <w:rsid w:val="006B0FE9"/>
    <w:rsid w:val="006B1431"/>
    <w:rsid w:val="006B4621"/>
    <w:rsid w:val="006B5F5B"/>
    <w:rsid w:val="006B7064"/>
    <w:rsid w:val="006C081F"/>
    <w:rsid w:val="006C14D2"/>
    <w:rsid w:val="006C3B03"/>
    <w:rsid w:val="006C43FD"/>
    <w:rsid w:val="006C458D"/>
    <w:rsid w:val="006C5895"/>
    <w:rsid w:val="006D229B"/>
    <w:rsid w:val="006D5EF3"/>
    <w:rsid w:val="006D6F73"/>
    <w:rsid w:val="006D7C00"/>
    <w:rsid w:val="006E12FD"/>
    <w:rsid w:val="006E22D9"/>
    <w:rsid w:val="006E2863"/>
    <w:rsid w:val="006E443D"/>
    <w:rsid w:val="006E60BE"/>
    <w:rsid w:val="006E6DC6"/>
    <w:rsid w:val="006E6F25"/>
    <w:rsid w:val="006E77F3"/>
    <w:rsid w:val="006F037B"/>
    <w:rsid w:val="006F1ACD"/>
    <w:rsid w:val="006F3080"/>
    <w:rsid w:val="006F73B4"/>
    <w:rsid w:val="0070287B"/>
    <w:rsid w:val="00703894"/>
    <w:rsid w:val="00706060"/>
    <w:rsid w:val="0070611D"/>
    <w:rsid w:val="007076FC"/>
    <w:rsid w:val="00710913"/>
    <w:rsid w:val="007157DD"/>
    <w:rsid w:val="007177D3"/>
    <w:rsid w:val="0072217F"/>
    <w:rsid w:val="00722A1C"/>
    <w:rsid w:val="00723587"/>
    <w:rsid w:val="00724C24"/>
    <w:rsid w:val="00726883"/>
    <w:rsid w:val="00731BAB"/>
    <w:rsid w:val="00733120"/>
    <w:rsid w:val="0073448E"/>
    <w:rsid w:val="00734ECE"/>
    <w:rsid w:val="00735CD3"/>
    <w:rsid w:val="00736412"/>
    <w:rsid w:val="00741D86"/>
    <w:rsid w:val="007428D2"/>
    <w:rsid w:val="00750208"/>
    <w:rsid w:val="0075060C"/>
    <w:rsid w:val="0075112E"/>
    <w:rsid w:val="007519F9"/>
    <w:rsid w:val="00751E6E"/>
    <w:rsid w:val="007524EC"/>
    <w:rsid w:val="00752CAB"/>
    <w:rsid w:val="007542A3"/>
    <w:rsid w:val="00755C08"/>
    <w:rsid w:val="007566DF"/>
    <w:rsid w:val="00757D8D"/>
    <w:rsid w:val="00762E2E"/>
    <w:rsid w:val="00767126"/>
    <w:rsid w:val="00771783"/>
    <w:rsid w:val="00771EAA"/>
    <w:rsid w:val="00773CBC"/>
    <w:rsid w:val="00774A89"/>
    <w:rsid w:val="0077569B"/>
    <w:rsid w:val="007756BD"/>
    <w:rsid w:val="007850BA"/>
    <w:rsid w:val="00787A1F"/>
    <w:rsid w:val="00790D48"/>
    <w:rsid w:val="00792146"/>
    <w:rsid w:val="007930BD"/>
    <w:rsid w:val="00795D64"/>
    <w:rsid w:val="0079627C"/>
    <w:rsid w:val="007A007F"/>
    <w:rsid w:val="007A03D2"/>
    <w:rsid w:val="007A13F5"/>
    <w:rsid w:val="007A4322"/>
    <w:rsid w:val="007A7CD6"/>
    <w:rsid w:val="007B0FDD"/>
    <w:rsid w:val="007B17D7"/>
    <w:rsid w:val="007B2465"/>
    <w:rsid w:val="007B6906"/>
    <w:rsid w:val="007B74DF"/>
    <w:rsid w:val="007C146B"/>
    <w:rsid w:val="007C27F4"/>
    <w:rsid w:val="007C2C5D"/>
    <w:rsid w:val="007C31F2"/>
    <w:rsid w:val="007C3E47"/>
    <w:rsid w:val="007C4A36"/>
    <w:rsid w:val="007C6A8A"/>
    <w:rsid w:val="007C7885"/>
    <w:rsid w:val="007D1D43"/>
    <w:rsid w:val="007D7115"/>
    <w:rsid w:val="007E489F"/>
    <w:rsid w:val="007E5CAB"/>
    <w:rsid w:val="007E5D05"/>
    <w:rsid w:val="007F0167"/>
    <w:rsid w:val="007F5FB0"/>
    <w:rsid w:val="007F6A96"/>
    <w:rsid w:val="007F75AB"/>
    <w:rsid w:val="00803FC1"/>
    <w:rsid w:val="008109C6"/>
    <w:rsid w:val="00811486"/>
    <w:rsid w:val="00811A1E"/>
    <w:rsid w:val="00812A40"/>
    <w:rsid w:val="00814247"/>
    <w:rsid w:val="008143DD"/>
    <w:rsid w:val="00815076"/>
    <w:rsid w:val="00820A5F"/>
    <w:rsid w:val="0082167E"/>
    <w:rsid w:val="00822B81"/>
    <w:rsid w:val="00824547"/>
    <w:rsid w:val="00824E74"/>
    <w:rsid w:val="00830F00"/>
    <w:rsid w:val="00833D5E"/>
    <w:rsid w:val="0083506A"/>
    <w:rsid w:val="008352DE"/>
    <w:rsid w:val="008437BC"/>
    <w:rsid w:val="008455EC"/>
    <w:rsid w:val="00846463"/>
    <w:rsid w:val="00850908"/>
    <w:rsid w:val="00851595"/>
    <w:rsid w:val="00851E49"/>
    <w:rsid w:val="00852201"/>
    <w:rsid w:val="00852A55"/>
    <w:rsid w:val="00853157"/>
    <w:rsid w:val="00854BBA"/>
    <w:rsid w:val="00855A46"/>
    <w:rsid w:val="0086084C"/>
    <w:rsid w:val="00861535"/>
    <w:rsid w:val="008653E2"/>
    <w:rsid w:val="00866A07"/>
    <w:rsid w:val="00866DA4"/>
    <w:rsid w:val="008673AE"/>
    <w:rsid w:val="00871264"/>
    <w:rsid w:val="00872DD8"/>
    <w:rsid w:val="00873313"/>
    <w:rsid w:val="00873AE4"/>
    <w:rsid w:val="008808BA"/>
    <w:rsid w:val="00882272"/>
    <w:rsid w:val="00886465"/>
    <w:rsid w:val="00886C45"/>
    <w:rsid w:val="0088704C"/>
    <w:rsid w:val="008879E9"/>
    <w:rsid w:val="00887AD2"/>
    <w:rsid w:val="00890394"/>
    <w:rsid w:val="00892B1C"/>
    <w:rsid w:val="00892B48"/>
    <w:rsid w:val="00895F4B"/>
    <w:rsid w:val="008A1259"/>
    <w:rsid w:val="008A2E7C"/>
    <w:rsid w:val="008A2FE0"/>
    <w:rsid w:val="008A3A22"/>
    <w:rsid w:val="008A64F5"/>
    <w:rsid w:val="008A6F44"/>
    <w:rsid w:val="008B0808"/>
    <w:rsid w:val="008B3242"/>
    <w:rsid w:val="008B35EC"/>
    <w:rsid w:val="008B37F0"/>
    <w:rsid w:val="008B3E1D"/>
    <w:rsid w:val="008B51C6"/>
    <w:rsid w:val="008B5989"/>
    <w:rsid w:val="008B74A5"/>
    <w:rsid w:val="008B7E22"/>
    <w:rsid w:val="008C0796"/>
    <w:rsid w:val="008C0D27"/>
    <w:rsid w:val="008C0F18"/>
    <w:rsid w:val="008C1F3E"/>
    <w:rsid w:val="008C3C47"/>
    <w:rsid w:val="008C594F"/>
    <w:rsid w:val="008D0390"/>
    <w:rsid w:val="008D5533"/>
    <w:rsid w:val="008D7575"/>
    <w:rsid w:val="008E3897"/>
    <w:rsid w:val="008E458B"/>
    <w:rsid w:val="008F073B"/>
    <w:rsid w:val="008F0B57"/>
    <w:rsid w:val="008F2140"/>
    <w:rsid w:val="008F34E5"/>
    <w:rsid w:val="008F3C52"/>
    <w:rsid w:val="008F5E70"/>
    <w:rsid w:val="008F6490"/>
    <w:rsid w:val="009021F7"/>
    <w:rsid w:val="00903099"/>
    <w:rsid w:val="00904A77"/>
    <w:rsid w:val="009114EF"/>
    <w:rsid w:val="00912433"/>
    <w:rsid w:val="00913B2A"/>
    <w:rsid w:val="00916738"/>
    <w:rsid w:val="00920B34"/>
    <w:rsid w:val="00922993"/>
    <w:rsid w:val="009259CC"/>
    <w:rsid w:val="00925F63"/>
    <w:rsid w:val="00926817"/>
    <w:rsid w:val="00930067"/>
    <w:rsid w:val="00931170"/>
    <w:rsid w:val="00932857"/>
    <w:rsid w:val="00933F7B"/>
    <w:rsid w:val="00934FCE"/>
    <w:rsid w:val="009429DE"/>
    <w:rsid w:val="0094305D"/>
    <w:rsid w:val="0094385E"/>
    <w:rsid w:val="00943E1E"/>
    <w:rsid w:val="00944060"/>
    <w:rsid w:val="00944A29"/>
    <w:rsid w:val="009458F5"/>
    <w:rsid w:val="00946571"/>
    <w:rsid w:val="00946D45"/>
    <w:rsid w:val="00950AD9"/>
    <w:rsid w:val="00951B0B"/>
    <w:rsid w:val="0095298A"/>
    <w:rsid w:val="00953204"/>
    <w:rsid w:val="00953C6C"/>
    <w:rsid w:val="009551A4"/>
    <w:rsid w:val="00956AD6"/>
    <w:rsid w:val="0096131C"/>
    <w:rsid w:val="00961DBE"/>
    <w:rsid w:val="00963A03"/>
    <w:rsid w:val="00964938"/>
    <w:rsid w:val="00964B1E"/>
    <w:rsid w:val="00965C2B"/>
    <w:rsid w:val="00965EBF"/>
    <w:rsid w:val="00966BE0"/>
    <w:rsid w:val="00973B33"/>
    <w:rsid w:val="009740E1"/>
    <w:rsid w:val="009749B4"/>
    <w:rsid w:val="0097554D"/>
    <w:rsid w:val="00976E25"/>
    <w:rsid w:val="00980853"/>
    <w:rsid w:val="0098186D"/>
    <w:rsid w:val="00983123"/>
    <w:rsid w:val="00985DDD"/>
    <w:rsid w:val="009926A9"/>
    <w:rsid w:val="0099349E"/>
    <w:rsid w:val="00993819"/>
    <w:rsid w:val="009959DF"/>
    <w:rsid w:val="00996589"/>
    <w:rsid w:val="009A6E8D"/>
    <w:rsid w:val="009B1454"/>
    <w:rsid w:val="009B2111"/>
    <w:rsid w:val="009B3CAF"/>
    <w:rsid w:val="009B4B0D"/>
    <w:rsid w:val="009B4F0A"/>
    <w:rsid w:val="009B5FBD"/>
    <w:rsid w:val="009B62C0"/>
    <w:rsid w:val="009B6376"/>
    <w:rsid w:val="009B678D"/>
    <w:rsid w:val="009B6D44"/>
    <w:rsid w:val="009B7FC0"/>
    <w:rsid w:val="009C12DF"/>
    <w:rsid w:val="009C1413"/>
    <w:rsid w:val="009C336B"/>
    <w:rsid w:val="009C39E7"/>
    <w:rsid w:val="009D2C4C"/>
    <w:rsid w:val="009D3B99"/>
    <w:rsid w:val="009E0487"/>
    <w:rsid w:val="009E243E"/>
    <w:rsid w:val="009E4789"/>
    <w:rsid w:val="009E601A"/>
    <w:rsid w:val="009F2287"/>
    <w:rsid w:val="009F2D00"/>
    <w:rsid w:val="009F4B3E"/>
    <w:rsid w:val="009F5610"/>
    <w:rsid w:val="009F56A9"/>
    <w:rsid w:val="009F5F3C"/>
    <w:rsid w:val="00A006A1"/>
    <w:rsid w:val="00A032F0"/>
    <w:rsid w:val="00A05651"/>
    <w:rsid w:val="00A057B3"/>
    <w:rsid w:val="00A05B8C"/>
    <w:rsid w:val="00A063F1"/>
    <w:rsid w:val="00A07E04"/>
    <w:rsid w:val="00A10E6F"/>
    <w:rsid w:val="00A112CF"/>
    <w:rsid w:val="00A125CD"/>
    <w:rsid w:val="00A14A3B"/>
    <w:rsid w:val="00A14E4A"/>
    <w:rsid w:val="00A152E1"/>
    <w:rsid w:val="00A172EB"/>
    <w:rsid w:val="00A2077B"/>
    <w:rsid w:val="00A20861"/>
    <w:rsid w:val="00A20E8D"/>
    <w:rsid w:val="00A20F5C"/>
    <w:rsid w:val="00A21E8D"/>
    <w:rsid w:val="00A23069"/>
    <w:rsid w:val="00A23DA7"/>
    <w:rsid w:val="00A2431D"/>
    <w:rsid w:val="00A25509"/>
    <w:rsid w:val="00A3313B"/>
    <w:rsid w:val="00A34DEA"/>
    <w:rsid w:val="00A35988"/>
    <w:rsid w:val="00A3697F"/>
    <w:rsid w:val="00A36A58"/>
    <w:rsid w:val="00A37635"/>
    <w:rsid w:val="00A41668"/>
    <w:rsid w:val="00A435F4"/>
    <w:rsid w:val="00A43829"/>
    <w:rsid w:val="00A438CF"/>
    <w:rsid w:val="00A439FB"/>
    <w:rsid w:val="00A43D74"/>
    <w:rsid w:val="00A44EF1"/>
    <w:rsid w:val="00A53740"/>
    <w:rsid w:val="00A5516B"/>
    <w:rsid w:val="00A551FD"/>
    <w:rsid w:val="00A55898"/>
    <w:rsid w:val="00A56BF6"/>
    <w:rsid w:val="00A604CA"/>
    <w:rsid w:val="00A61097"/>
    <w:rsid w:val="00A61650"/>
    <w:rsid w:val="00A637D4"/>
    <w:rsid w:val="00A64C0B"/>
    <w:rsid w:val="00A67F25"/>
    <w:rsid w:val="00A70C77"/>
    <w:rsid w:val="00A70FCE"/>
    <w:rsid w:val="00A71D08"/>
    <w:rsid w:val="00A77616"/>
    <w:rsid w:val="00A814E7"/>
    <w:rsid w:val="00A81A69"/>
    <w:rsid w:val="00A87D9A"/>
    <w:rsid w:val="00A91AD9"/>
    <w:rsid w:val="00A940C8"/>
    <w:rsid w:val="00A94E63"/>
    <w:rsid w:val="00A953D2"/>
    <w:rsid w:val="00A97D56"/>
    <w:rsid w:val="00AA0EB2"/>
    <w:rsid w:val="00AA192F"/>
    <w:rsid w:val="00AA38F1"/>
    <w:rsid w:val="00AA390D"/>
    <w:rsid w:val="00AA5CD4"/>
    <w:rsid w:val="00AA726F"/>
    <w:rsid w:val="00AB3E63"/>
    <w:rsid w:val="00AB7106"/>
    <w:rsid w:val="00AC08AB"/>
    <w:rsid w:val="00AC7065"/>
    <w:rsid w:val="00AD076A"/>
    <w:rsid w:val="00AD150E"/>
    <w:rsid w:val="00AD774D"/>
    <w:rsid w:val="00AE1C37"/>
    <w:rsid w:val="00AE2247"/>
    <w:rsid w:val="00AE3480"/>
    <w:rsid w:val="00AE370D"/>
    <w:rsid w:val="00AE429D"/>
    <w:rsid w:val="00AE4870"/>
    <w:rsid w:val="00AF2A57"/>
    <w:rsid w:val="00AF4CB4"/>
    <w:rsid w:val="00AF5904"/>
    <w:rsid w:val="00AF7CEF"/>
    <w:rsid w:val="00B021E1"/>
    <w:rsid w:val="00B02D9F"/>
    <w:rsid w:val="00B066CF"/>
    <w:rsid w:val="00B137ED"/>
    <w:rsid w:val="00B1509E"/>
    <w:rsid w:val="00B15D6A"/>
    <w:rsid w:val="00B16A62"/>
    <w:rsid w:val="00B2145F"/>
    <w:rsid w:val="00B21C04"/>
    <w:rsid w:val="00B22602"/>
    <w:rsid w:val="00B22743"/>
    <w:rsid w:val="00B228BA"/>
    <w:rsid w:val="00B235DF"/>
    <w:rsid w:val="00B25663"/>
    <w:rsid w:val="00B27B90"/>
    <w:rsid w:val="00B32082"/>
    <w:rsid w:val="00B3288C"/>
    <w:rsid w:val="00B32F2E"/>
    <w:rsid w:val="00B4015C"/>
    <w:rsid w:val="00B41685"/>
    <w:rsid w:val="00B41921"/>
    <w:rsid w:val="00B4241F"/>
    <w:rsid w:val="00B438F8"/>
    <w:rsid w:val="00B43D07"/>
    <w:rsid w:val="00B44765"/>
    <w:rsid w:val="00B4500F"/>
    <w:rsid w:val="00B46B77"/>
    <w:rsid w:val="00B511FC"/>
    <w:rsid w:val="00B51958"/>
    <w:rsid w:val="00B54ABB"/>
    <w:rsid w:val="00B57EFF"/>
    <w:rsid w:val="00B613AE"/>
    <w:rsid w:val="00B615D7"/>
    <w:rsid w:val="00B63693"/>
    <w:rsid w:val="00B6395B"/>
    <w:rsid w:val="00B6540B"/>
    <w:rsid w:val="00B6606B"/>
    <w:rsid w:val="00B6759D"/>
    <w:rsid w:val="00B72444"/>
    <w:rsid w:val="00B7244D"/>
    <w:rsid w:val="00B7413E"/>
    <w:rsid w:val="00B74469"/>
    <w:rsid w:val="00B76718"/>
    <w:rsid w:val="00B77D9E"/>
    <w:rsid w:val="00B85D36"/>
    <w:rsid w:val="00B90D7E"/>
    <w:rsid w:val="00B92D6A"/>
    <w:rsid w:val="00B92EC1"/>
    <w:rsid w:val="00B94BE4"/>
    <w:rsid w:val="00B94F5B"/>
    <w:rsid w:val="00B95662"/>
    <w:rsid w:val="00B96039"/>
    <w:rsid w:val="00BA0B8E"/>
    <w:rsid w:val="00BA2446"/>
    <w:rsid w:val="00BA29AE"/>
    <w:rsid w:val="00BA3A70"/>
    <w:rsid w:val="00BA5718"/>
    <w:rsid w:val="00BA6A68"/>
    <w:rsid w:val="00BA6B6F"/>
    <w:rsid w:val="00BB1875"/>
    <w:rsid w:val="00BB198F"/>
    <w:rsid w:val="00BB201D"/>
    <w:rsid w:val="00BB24FC"/>
    <w:rsid w:val="00BB32B6"/>
    <w:rsid w:val="00BB4BD9"/>
    <w:rsid w:val="00BB4C9B"/>
    <w:rsid w:val="00BB65D0"/>
    <w:rsid w:val="00BB7930"/>
    <w:rsid w:val="00BC2D60"/>
    <w:rsid w:val="00BC493D"/>
    <w:rsid w:val="00BC4DF9"/>
    <w:rsid w:val="00BC6312"/>
    <w:rsid w:val="00BC74C0"/>
    <w:rsid w:val="00BD0BBA"/>
    <w:rsid w:val="00BD1A79"/>
    <w:rsid w:val="00BD3063"/>
    <w:rsid w:val="00BD5AEA"/>
    <w:rsid w:val="00BE0320"/>
    <w:rsid w:val="00BE2E34"/>
    <w:rsid w:val="00BE46E6"/>
    <w:rsid w:val="00BE4EE9"/>
    <w:rsid w:val="00BE544F"/>
    <w:rsid w:val="00BE644E"/>
    <w:rsid w:val="00BF23EF"/>
    <w:rsid w:val="00BF5330"/>
    <w:rsid w:val="00BF635F"/>
    <w:rsid w:val="00BF63AF"/>
    <w:rsid w:val="00C0102F"/>
    <w:rsid w:val="00C02CE0"/>
    <w:rsid w:val="00C059B0"/>
    <w:rsid w:val="00C05D8F"/>
    <w:rsid w:val="00C07A68"/>
    <w:rsid w:val="00C11917"/>
    <w:rsid w:val="00C1392A"/>
    <w:rsid w:val="00C1456C"/>
    <w:rsid w:val="00C15226"/>
    <w:rsid w:val="00C15538"/>
    <w:rsid w:val="00C1730A"/>
    <w:rsid w:val="00C20FF8"/>
    <w:rsid w:val="00C226DF"/>
    <w:rsid w:val="00C2284C"/>
    <w:rsid w:val="00C22D0E"/>
    <w:rsid w:val="00C231E8"/>
    <w:rsid w:val="00C23672"/>
    <w:rsid w:val="00C237F7"/>
    <w:rsid w:val="00C275CA"/>
    <w:rsid w:val="00C30361"/>
    <w:rsid w:val="00C304B2"/>
    <w:rsid w:val="00C3300F"/>
    <w:rsid w:val="00C3615D"/>
    <w:rsid w:val="00C40E86"/>
    <w:rsid w:val="00C41591"/>
    <w:rsid w:val="00C41CEA"/>
    <w:rsid w:val="00C4559B"/>
    <w:rsid w:val="00C50D84"/>
    <w:rsid w:val="00C516F4"/>
    <w:rsid w:val="00C53A2D"/>
    <w:rsid w:val="00C56557"/>
    <w:rsid w:val="00C5703E"/>
    <w:rsid w:val="00C5797B"/>
    <w:rsid w:val="00C60BA4"/>
    <w:rsid w:val="00C61928"/>
    <w:rsid w:val="00C626B1"/>
    <w:rsid w:val="00C63BCD"/>
    <w:rsid w:val="00C65C3C"/>
    <w:rsid w:val="00C6645A"/>
    <w:rsid w:val="00C737C9"/>
    <w:rsid w:val="00C73C46"/>
    <w:rsid w:val="00C776A3"/>
    <w:rsid w:val="00C776EB"/>
    <w:rsid w:val="00C81548"/>
    <w:rsid w:val="00C81B7A"/>
    <w:rsid w:val="00C82A3C"/>
    <w:rsid w:val="00C83F3E"/>
    <w:rsid w:val="00C86247"/>
    <w:rsid w:val="00C86527"/>
    <w:rsid w:val="00C91C57"/>
    <w:rsid w:val="00C92590"/>
    <w:rsid w:val="00C9463A"/>
    <w:rsid w:val="00C94B20"/>
    <w:rsid w:val="00C95B53"/>
    <w:rsid w:val="00CA0292"/>
    <w:rsid w:val="00CA2377"/>
    <w:rsid w:val="00CA28EE"/>
    <w:rsid w:val="00CA6558"/>
    <w:rsid w:val="00CB0701"/>
    <w:rsid w:val="00CB2AD8"/>
    <w:rsid w:val="00CB3113"/>
    <w:rsid w:val="00CB3DD3"/>
    <w:rsid w:val="00CB3F4B"/>
    <w:rsid w:val="00CB5025"/>
    <w:rsid w:val="00CC189E"/>
    <w:rsid w:val="00CD22F9"/>
    <w:rsid w:val="00CD5147"/>
    <w:rsid w:val="00CD730D"/>
    <w:rsid w:val="00CD7ED5"/>
    <w:rsid w:val="00CE1BA8"/>
    <w:rsid w:val="00CE24F3"/>
    <w:rsid w:val="00CE298B"/>
    <w:rsid w:val="00CE4F6E"/>
    <w:rsid w:val="00CF1A03"/>
    <w:rsid w:val="00CF285E"/>
    <w:rsid w:val="00CF2ACA"/>
    <w:rsid w:val="00CF3860"/>
    <w:rsid w:val="00CF412B"/>
    <w:rsid w:val="00CF4283"/>
    <w:rsid w:val="00CF6B8A"/>
    <w:rsid w:val="00D006D7"/>
    <w:rsid w:val="00D024F2"/>
    <w:rsid w:val="00D02670"/>
    <w:rsid w:val="00D055C0"/>
    <w:rsid w:val="00D07A85"/>
    <w:rsid w:val="00D107A3"/>
    <w:rsid w:val="00D11ACB"/>
    <w:rsid w:val="00D11BD2"/>
    <w:rsid w:val="00D12913"/>
    <w:rsid w:val="00D15540"/>
    <w:rsid w:val="00D20D04"/>
    <w:rsid w:val="00D2144D"/>
    <w:rsid w:val="00D2279B"/>
    <w:rsid w:val="00D2307C"/>
    <w:rsid w:val="00D2356B"/>
    <w:rsid w:val="00D276E5"/>
    <w:rsid w:val="00D30C9C"/>
    <w:rsid w:val="00D33EE9"/>
    <w:rsid w:val="00D3464B"/>
    <w:rsid w:val="00D37695"/>
    <w:rsid w:val="00D37AFD"/>
    <w:rsid w:val="00D40EB7"/>
    <w:rsid w:val="00D40F59"/>
    <w:rsid w:val="00D41E80"/>
    <w:rsid w:val="00D446E3"/>
    <w:rsid w:val="00D44737"/>
    <w:rsid w:val="00D457E8"/>
    <w:rsid w:val="00D4745F"/>
    <w:rsid w:val="00D47ED6"/>
    <w:rsid w:val="00D50E9F"/>
    <w:rsid w:val="00D51E2D"/>
    <w:rsid w:val="00D52427"/>
    <w:rsid w:val="00D54502"/>
    <w:rsid w:val="00D551E9"/>
    <w:rsid w:val="00D55347"/>
    <w:rsid w:val="00D6232A"/>
    <w:rsid w:val="00D65E12"/>
    <w:rsid w:val="00D702BD"/>
    <w:rsid w:val="00D70752"/>
    <w:rsid w:val="00D72BE3"/>
    <w:rsid w:val="00D73DA9"/>
    <w:rsid w:val="00D81F78"/>
    <w:rsid w:val="00D83011"/>
    <w:rsid w:val="00D83CF9"/>
    <w:rsid w:val="00D84C50"/>
    <w:rsid w:val="00D90426"/>
    <w:rsid w:val="00D90F4E"/>
    <w:rsid w:val="00D93BB3"/>
    <w:rsid w:val="00D9412A"/>
    <w:rsid w:val="00D948D9"/>
    <w:rsid w:val="00D95280"/>
    <w:rsid w:val="00D961E7"/>
    <w:rsid w:val="00D96CFD"/>
    <w:rsid w:val="00DA0AC5"/>
    <w:rsid w:val="00DA2A84"/>
    <w:rsid w:val="00DA3409"/>
    <w:rsid w:val="00DA4A83"/>
    <w:rsid w:val="00DA5658"/>
    <w:rsid w:val="00DA67EA"/>
    <w:rsid w:val="00DB1458"/>
    <w:rsid w:val="00DB200D"/>
    <w:rsid w:val="00DB330D"/>
    <w:rsid w:val="00DB3A3D"/>
    <w:rsid w:val="00DB47A7"/>
    <w:rsid w:val="00DB7EDD"/>
    <w:rsid w:val="00DC0911"/>
    <w:rsid w:val="00DC2449"/>
    <w:rsid w:val="00DC2EC4"/>
    <w:rsid w:val="00DC3D1D"/>
    <w:rsid w:val="00DC4EFC"/>
    <w:rsid w:val="00DD2FB2"/>
    <w:rsid w:val="00DD4D9F"/>
    <w:rsid w:val="00DD6DE4"/>
    <w:rsid w:val="00DD7386"/>
    <w:rsid w:val="00DE15C4"/>
    <w:rsid w:val="00DE2E58"/>
    <w:rsid w:val="00DE4D6F"/>
    <w:rsid w:val="00DE7971"/>
    <w:rsid w:val="00DF0945"/>
    <w:rsid w:val="00DF1067"/>
    <w:rsid w:val="00DF1531"/>
    <w:rsid w:val="00DF59D7"/>
    <w:rsid w:val="00DF6F4E"/>
    <w:rsid w:val="00DF7A6D"/>
    <w:rsid w:val="00E000C1"/>
    <w:rsid w:val="00E026FA"/>
    <w:rsid w:val="00E12DE7"/>
    <w:rsid w:val="00E12ED5"/>
    <w:rsid w:val="00E21BD5"/>
    <w:rsid w:val="00E21F7E"/>
    <w:rsid w:val="00E22291"/>
    <w:rsid w:val="00E22889"/>
    <w:rsid w:val="00E25892"/>
    <w:rsid w:val="00E278CC"/>
    <w:rsid w:val="00E31D28"/>
    <w:rsid w:val="00E322EB"/>
    <w:rsid w:val="00E32596"/>
    <w:rsid w:val="00E3389F"/>
    <w:rsid w:val="00E33B76"/>
    <w:rsid w:val="00E34EB9"/>
    <w:rsid w:val="00E3587E"/>
    <w:rsid w:val="00E3605C"/>
    <w:rsid w:val="00E36FC4"/>
    <w:rsid w:val="00E372EC"/>
    <w:rsid w:val="00E40146"/>
    <w:rsid w:val="00E42DE4"/>
    <w:rsid w:val="00E44BCE"/>
    <w:rsid w:val="00E45CEE"/>
    <w:rsid w:val="00E471D1"/>
    <w:rsid w:val="00E50C0B"/>
    <w:rsid w:val="00E50F1B"/>
    <w:rsid w:val="00E513B7"/>
    <w:rsid w:val="00E55189"/>
    <w:rsid w:val="00E57154"/>
    <w:rsid w:val="00E575C8"/>
    <w:rsid w:val="00E601A3"/>
    <w:rsid w:val="00E61367"/>
    <w:rsid w:val="00E61CEE"/>
    <w:rsid w:val="00E61E48"/>
    <w:rsid w:val="00E637C6"/>
    <w:rsid w:val="00E6655E"/>
    <w:rsid w:val="00E70D64"/>
    <w:rsid w:val="00E7171E"/>
    <w:rsid w:val="00E71D5C"/>
    <w:rsid w:val="00E7209C"/>
    <w:rsid w:val="00E72B6D"/>
    <w:rsid w:val="00E75B32"/>
    <w:rsid w:val="00E760B6"/>
    <w:rsid w:val="00E76707"/>
    <w:rsid w:val="00E76A95"/>
    <w:rsid w:val="00E7786B"/>
    <w:rsid w:val="00E907F8"/>
    <w:rsid w:val="00E908E8"/>
    <w:rsid w:val="00E924A3"/>
    <w:rsid w:val="00E93A08"/>
    <w:rsid w:val="00E9535F"/>
    <w:rsid w:val="00E966E8"/>
    <w:rsid w:val="00EA025F"/>
    <w:rsid w:val="00EA151A"/>
    <w:rsid w:val="00EA1EE7"/>
    <w:rsid w:val="00EA34AC"/>
    <w:rsid w:val="00EA415A"/>
    <w:rsid w:val="00EA4240"/>
    <w:rsid w:val="00EA44FA"/>
    <w:rsid w:val="00EA7349"/>
    <w:rsid w:val="00EB1899"/>
    <w:rsid w:val="00EB3071"/>
    <w:rsid w:val="00EB3A97"/>
    <w:rsid w:val="00EB3FA9"/>
    <w:rsid w:val="00EB64BD"/>
    <w:rsid w:val="00EB6DB7"/>
    <w:rsid w:val="00EC26C0"/>
    <w:rsid w:val="00EC39ED"/>
    <w:rsid w:val="00EC482F"/>
    <w:rsid w:val="00EC5D31"/>
    <w:rsid w:val="00ED1716"/>
    <w:rsid w:val="00ED2543"/>
    <w:rsid w:val="00ED46ED"/>
    <w:rsid w:val="00ED4FBE"/>
    <w:rsid w:val="00ED5B5F"/>
    <w:rsid w:val="00ED5C4F"/>
    <w:rsid w:val="00ED7EFC"/>
    <w:rsid w:val="00EE115B"/>
    <w:rsid w:val="00EE5646"/>
    <w:rsid w:val="00EE66EB"/>
    <w:rsid w:val="00EE6F75"/>
    <w:rsid w:val="00EE7BED"/>
    <w:rsid w:val="00EE7DA6"/>
    <w:rsid w:val="00EE7E8A"/>
    <w:rsid w:val="00EF032A"/>
    <w:rsid w:val="00EF1272"/>
    <w:rsid w:val="00EF2906"/>
    <w:rsid w:val="00EF29AF"/>
    <w:rsid w:val="00EF3184"/>
    <w:rsid w:val="00EF4F54"/>
    <w:rsid w:val="00EF53A1"/>
    <w:rsid w:val="00EF5CA6"/>
    <w:rsid w:val="00F00E09"/>
    <w:rsid w:val="00F022A8"/>
    <w:rsid w:val="00F067AE"/>
    <w:rsid w:val="00F105FC"/>
    <w:rsid w:val="00F1104C"/>
    <w:rsid w:val="00F11E26"/>
    <w:rsid w:val="00F126BF"/>
    <w:rsid w:val="00F14F9F"/>
    <w:rsid w:val="00F16FAB"/>
    <w:rsid w:val="00F200D9"/>
    <w:rsid w:val="00F20741"/>
    <w:rsid w:val="00F21F6B"/>
    <w:rsid w:val="00F22CF3"/>
    <w:rsid w:val="00F253BC"/>
    <w:rsid w:val="00F325DE"/>
    <w:rsid w:val="00F35AD9"/>
    <w:rsid w:val="00F41C51"/>
    <w:rsid w:val="00F4462E"/>
    <w:rsid w:val="00F44C88"/>
    <w:rsid w:val="00F45087"/>
    <w:rsid w:val="00F51988"/>
    <w:rsid w:val="00F528E2"/>
    <w:rsid w:val="00F52FFD"/>
    <w:rsid w:val="00F53AC2"/>
    <w:rsid w:val="00F54238"/>
    <w:rsid w:val="00F54B93"/>
    <w:rsid w:val="00F57C3D"/>
    <w:rsid w:val="00F606E8"/>
    <w:rsid w:val="00F616A3"/>
    <w:rsid w:val="00F6234E"/>
    <w:rsid w:val="00F62967"/>
    <w:rsid w:val="00F62BDF"/>
    <w:rsid w:val="00F632D2"/>
    <w:rsid w:val="00F64151"/>
    <w:rsid w:val="00F65D2C"/>
    <w:rsid w:val="00F667AB"/>
    <w:rsid w:val="00F70063"/>
    <w:rsid w:val="00F709DB"/>
    <w:rsid w:val="00F71260"/>
    <w:rsid w:val="00F71591"/>
    <w:rsid w:val="00F7260F"/>
    <w:rsid w:val="00F731E0"/>
    <w:rsid w:val="00F739C8"/>
    <w:rsid w:val="00F7574E"/>
    <w:rsid w:val="00F75DF0"/>
    <w:rsid w:val="00F77D5F"/>
    <w:rsid w:val="00F800AB"/>
    <w:rsid w:val="00F806E7"/>
    <w:rsid w:val="00F83526"/>
    <w:rsid w:val="00F83AF4"/>
    <w:rsid w:val="00F83C6B"/>
    <w:rsid w:val="00F861E6"/>
    <w:rsid w:val="00F87A7A"/>
    <w:rsid w:val="00F90BCC"/>
    <w:rsid w:val="00F91E2C"/>
    <w:rsid w:val="00F94F83"/>
    <w:rsid w:val="00F95FB1"/>
    <w:rsid w:val="00FA3BBC"/>
    <w:rsid w:val="00FA6902"/>
    <w:rsid w:val="00FA6ED9"/>
    <w:rsid w:val="00FB1250"/>
    <w:rsid w:val="00FB21F4"/>
    <w:rsid w:val="00FB2D24"/>
    <w:rsid w:val="00FB43ED"/>
    <w:rsid w:val="00FB66C1"/>
    <w:rsid w:val="00FC0B02"/>
    <w:rsid w:val="00FC1758"/>
    <w:rsid w:val="00FC729B"/>
    <w:rsid w:val="00FD0A15"/>
    <w:rsid w:val="00FD2047"/>
    <w:rsid w:val="00FD3A12"/>
    <w:rsid w:val="00FD4C91"/>
    <w:rsid w:val="00FD52E7"/>
    <w:rsid w:val="00FE024C"/>
    <w:rsid w:val="00FE0A78"/>
    <w:rsid w:val="00FE2A68"/>
    <w:rsid w:val="00FE38AD"/>
    <w:rsid w:val="00FE3AC7"/>
    <w:rsid w:val="00FE482E"/>
    <w:rsid w:val="00FE5E0C"/>
    <w:rsid w:val="00FE6DB5"/>
    <w:rsid w:val="00FE75EB"/>
    <w:rsid w:val="00FE7A9E"/>
    <w:rsid w:val="00FF1C0A"/>
    <w:rsid w:val="00FF1D10"/>
    <w:rsid w:val="00FF1F4B"/>
    <w:rsid w:val="00FF21DF"/>
    <w:rsid w:val="00FF395C"/>
    <w:rsid w:val="00FF5577"/>
    <w:rsid w:val="00FF76FE"/>
    <w:rsid w:val="015FBAB0"/>
    <w:rsid w:val="05879F63"/>
    <w:rsid w:val="0C1032F7"/>
    <w:rsid w:val="120B5D1E"/>
    <w:rsid w:val="1676859B"/>
    <w:rsid w:val="1C963072"/>
    <w:rsid w:val="20559C3D"/>
    <w:rsid w:val="29F74419"/>
    <w:rsid w:val="2D11BDC0"/>
    <w:rsid w:val="2F93C93E"/>
    <w:rsid w:val="39BF2CEF"/>
    <w:rsid w:val="3A75D502"/>
    <w:rsid w:val="3B1D1158"/>
    <w:rsid w:val="3CBFAE4E"/>
    <w:rsid w:val="43A8D0CE"/>
    <w:rsid w:val="48999C94"/>
    <w:rsid w:val="49B26B22"/>
    <w:rsid w:val="4C5A6430"/>
    <w:rsid w:val="53C81949"/>
    <w:rsid w:val="544AF810"/>
    <w:rsid w:val="59D5AEA2"/>
    <w:rsid w:val="7019AFAD"/>
    <w:rsid w:val="7331F3E7"/>
    <w:rsid w:val="7701635F"/>
    <w:rsid w:val="7B0C2253"/>
    <w:rsid w:val="7B4755A6"/>
    <w:rsid w:val="7C7103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4C23E1"/>
  <w15:docId w15:val="{D07D9B91-81B9-4B2C-AE39-B1626A0D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845"/>
    <w:pPr>
      <w:tabs>
        <w:tab w:val="left" w:pos="3780"/>
      </w:tabs>
      <w:spacing w:before="240" w:after="240" w:line="480" w:lineRule="auto"/>
      <w:ind w:firstLine="709"/>
      <w:jc w:val="both"/>
    </w:pPr>
    <w:rPr>
      <w:rFonts w:ascii="Times New Roman" w:hAnsi="Times New Roman" w:cs="Arial"/>
      <w:sz w:val="24"/>
      <w:szCs w:val="24"/>
    </w:rPr>
  </w:style>
  <w:style w:type="paragraph" w:styleId="Heading1">
    <w:name w:val="heading 1"/>
    <w:basedOn w:val="Normal"/>
    <w:next w:val="Normal"/>
    <w:link w:val="Heading1Char"/>
    <w:uiPriority w:val="9"/>
    <w:qFormat/>
    <w:rsid w:val="005A0F9F"/>
    <w:pPr>
      <w:keepNext/>
      <w:keepLines/>
      <w:spacing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Subtitle"/>
    <w:next w:val="Normal"/>
    <w:link w:val="Heading2Char"/>
    <w:uiPriority w:val="99"/>
    <w:unhideWhenUsed/>
    <w:qFormat/>
    <w:rsid w:val="00BB24FC"/>
    <w:pPr>
      <w:spacing w:before="480" w:after="480"/>
      <w:ind w:firstLine="0"/>
      <w:jc w:val="center"/>
      <w:outlineLvl w:val="1"/>
    </w:pPr>
    <w:rPr>
      <w:b/>
      <w:bCs/>
      <w:sz w:val="28"/>
      <w:szCs w:val="28"/>
    </w:rPr>
  </w:style>
  <w:style w:type="paragraph" w:styleId="Heading3">
    <w:name w:val="heading 3"/>
    <w:basedOn w:val="Subtitle"/>
    <w:next w:val="Normal"/>
    <w:link w:val="Heading3Char"/>
    <w:uiPriority w:val="99"/>
    <w:unhideWhenUsed/>
    <w:qFormat/>
    <w:rsid w:val="00BB24FC"/>
    <w:pPr>
      <w:ind w:firstLine="0"/>
      <w:outlineLvl w:val="2"/>
    </w:pPr>
    <w:rPr>
      <w:b/>
      <w:bCs/>
    </w:rPr>
  </w:style>
  <w:style w:type="paragraph" w:styleId="Heading4">
    <w:name w:val="heading 4"/>
    <w:basedOn w:val="Normal"/>
    <w:next w:val="Normal"/>
    <w:link w:val="Heading4Char"/>
    <w:uiPriority w:val="9"/>
    <w:unhideWhenUsed/>
    <w:qFormat/>
    <w:rsid w:val="00BB65D0"/>
    <w:pPr>
      <w:spacing w:before="360"/>
      <w:ind w:firstLine="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5658"/>
    <w:pPr>
      <w:spacing w:after="0" w:line="240" w:lineRule="auto"/>
    </w:pPr>
  </w:style>
  <w:style w:type="paragraph" w:styleId="BalloonText">
    <w:name w:val="Balloon Text"/>
    <w:basedOn w:val="Normal"/>
    <w:link w:val="BalloonTextChar"/>
    <w:uiPriority w:val="99"/>
    <w:semiHidden/>
    <w:unhideWhenUsed/>
    <w:rsid w:val="00326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C2D"/>
    <w:rPr>
      <w:rFonts w:ascii="Tahoma" w:hAnsi="Tahoma" w:cs="Tahoma"/>
      <w:sz w:val="16"/>
      <w:szCs w:val="16"/>
    </w:rPr>
  </w:style>
  <w:style w:type="paragraph" w:styleId="Header">
    <w:name w:val="header"/>
    <w:basedOn w:val="Normal"/>
    <w:link w:val="HeaderChar"/>
    <w:uiPriority w:val="99"/>
    <w:unhideWhenUsed/>
    <w:rsid w:val="0032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C2D"/>
  </w:style>
  <w:style w:type="paragraph" w:styleId="Footer">
    <w:name w:val="footer"/>
    <w:basedOn w:val="Normal"/>
    <w:link w:val="FooterChar"/>
    <w:uiPriority w:val="99"/>
    <w:unhideWhenUsed/>
    <w:rsid w:val="0032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C2D"/>
  </w:style>
  <w:style w:type="character" w:styleId="CommentReference">
    <w:name w:val="annotation reference"/>
    <w:basedOn w:val="DefaultParagraphFont"/>
    <w:uiPriority w:val="99"/>
    <w:semiHidden/>
    <w:unhideWhenUsed/>
    <w:rsid w:val="00A063F1"/>
    <w:rPr>
      <w:sz w:val="18"/>
      <w:szCs w:val="18"/>
    </w:rPr>
  </w:style>
  <w:style w:type="paragraph" w:styleId="CommentText">
    <w:name w:val="annotation text"/>
    <w:basedOn w:val="Normal"/>
    <w:link w:val="CommentTextChar"/>
    <w:uiPriority w:val="99"/>
    <w:unhideWhenUsed/>
    <w:rsid w:val="00A063F1"/>
    <w:pPr>
      <w:spacing w:line="240" w:lineRule="auto"/>
    </w:pPr>
  </w:style>
  <w:style w:type="character" w:customStyle="1" w:styleId="CommentTextChar">
    <w:name w:val="Comment Text Char"/>
    <w:basedOn w:val="DefaultParagraphFont"/>
    <w:link w:val="CommentText"/>
    <w:uiPriority w:val="99"/>
    <w:rsid w:val="00A063F1"/>
    <w:rPr>
      <w:sz w:val="24"/>
      <w:szCs w:val="24"/>
    </w:rPr>
  </w:style>
  <w:style w:type="paragraph" w:styleId="CommentSubject">
    <w:name w:val="annotation subject"/>
    <w:basedOn w:val="CommentText"/>
    <w:next w:val="CommentText"/>
    <w:link w:val="CommentSubjectChar"/>
    <w:uiPriority w:val="99"/>
    <w:semiHidden/>
    <w:unhideWhenUsed/>
    <w:rsid w:val="00A063F1"/>
    <w:rPr>
      <w:b/>
      <w:bCs/>
      <w:sz w:val="20"/>
      <w:szCs w:val="20"/>
    </w:rPr>
  </w:style>
  <w:style w:type="character" w:customStyle="1" w:styleId="CommentSubjectChar">
    <w:name w:val="Comment Subject Char"/>
    <w:basedOn w:val="CommentTextChar"/>
    <w:link w:val="CommentSubject"/>
    <w:uiPriority w:val="99"/>
    <w:semiHidden/>
    <w:rsid w:val="00A063F1"/>
    <w:rPr>
      <w:b/>
      <w:bCs/>
      <w:sz w:val="20"/>
      <w:szCs w:val="20"/>
    </w:rPr>
  </w:style>
  <w:style w:type="paragraph" w:styleId="Revision">
    <w:name w:val="Revision"/>
    <w:hidden/>
    <w:uiPriority w:val="99"/>
    <w:semiHidden/>
    <w:rsid w:val="00F14F9F"/>
    <w:pPr>
      <w:spacing w:after="0" w:line="240" w:lineRule="auto"/>
    </w:pPr>
  </w:style>
  <w:style w:type="paragraph" w:styleId="Subtitle">
    <w:name w:val="Subtitle"/>
    <w:basedOn w:val="Normal"/>
    <w:next w:val="Normal"/>
    <w:link w:val="SubtitleChar"/>
    <w:uiPriority w:val="11"/>
    <w:qFormat/>
    <w:rsid w:val="00593DA5"/>
  </w:style>
  <w:style w:type="character" w:customStyle="1" w:styleId="SubtitleChar">
    <w:name w:val="Subtitle Char"/>
    <w:basedOn w:val="DefaultParagraphFont"/>
    <w:link w:val="Subtitle"/>
    <w:uiPriority w:val="11"/>
    <w:rsid w:val="00593DA5"/>
    <w:rPr>
      <w:rFonts w:ascii="Arial" w:hAnsi="Arial" w:cs="Arial"/>
      <w:sz w:val="24"/>
      <w:szCs w:val="24"/>
    </w:rPr>
  </w:style>
  <w:style w:type="character" w:customStyle="1" w:styleId="Heading2Char">
    <w:name w:val="Heading 2 Char"/>
    <w:basedOn w:val="DefaultParagraphFont"/>
    <w:link w:val="Heading2"/>
    <w:uiPriority w:val="9"/>
    <w:rsid w:val="00BB24FC"/>
    <w:rPr>
      <w:rFonts w:ascii="Arial" w:hAnsi="Arial" w:cs="Arial"/>
      <w:b/>
      <w:bCs/>
      <w:sz w:val="28"/>
      <w:szCs w:val="28"/>
    </w:rPr>
  </w:style>
  <w:style w:type="paragraph" w:styleId="ListParagraph">
    <w:name w:val="List Paragraph"/>
    <w:basedOn w:val="Normal"/>
    <w:uiPriority w:val="34"/>
    <w:qFormat/>
    <w:rsid w:val="00ED46ED"/>
    <w:pPr>
      <w:ind w:left="720"/>
      <w:contextualSpacing/>
    </w:pPr>
  </w:style>
  <w:style w:type="paragraph" w:styleId="FootnoteText">
    <w:name w:val="footnote text"/>
    <w:basedOn w:val="Normal"/>
    <w:link w:val="FootnoteTextChar"/>
    <w:uiPriority w:val="99"/>
    <w:unhideWhenUsed/>
    <w:rsid w:val="009E601A"/>
    <w:pPr>
      <w:spacing w:after="0" w:line="240" w:lineRule="auto"/>
    </w:pPr>
    <w:rPr>
      <w:sz w:val="20"/>
      <w:szCs w:val="20"/>
    </w:rPr>
  </w:style>
  <w:style w:type="character" w:customStyle="1" w:styleId="FootnoteTextChar">
    <w:name w:val="Footnote Text Char"/>
    <w:basedOn w:val="DefaultParagraphFont"/>
    <w:link w:val="FootnoteText"/>
    <w:uiPriority w:val="99"/>
    <w:rsid w:val="009E601A"/>
    <w:rPr>
      <w:sz w:val="20"/>
      <w:szCs w:val="20"/>
    </w:rPr>
  </w:style>
  <w:style w:type="character" w:styleId="FootnoteReference">
    <w:name w:val="footnote reference"/>
    <w:basedOn w:val="DefaultParagraphFont"/>
    <w:uiPriority w:val="99"/>
    <w:semiHidden/>
    <w:unhideWhenUsed/>
    <w:rsid w:val="009E601A"/>
    <w:rPr>
      <w:vertAlign w:val="superscript"/>
    </w:rPr>
  </w:style>
  <w:style w:type="character" w:customStyle="1" w:styleId="Heading1Char">
    <w:name w:val="Heading 1 Char"/>
    <w:basedOn w:val="DefaultParagraphFont"/>
    <w:link w:val="Heading1"/>
    <w:uiPriority w:val="9"/>
    <w:rsid w:val="005A0F9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A0F9F"/>
    <w:rPr>
      <w:color w:val="0000FF" w:themeColor="hyperlink"/>
      <w:u w:val="single"/>
    </w:rPr>
  </w:style>
  <w:style w:type="character" w:styleId="UnresolvedMention">
    <w:name w:val="Unresolved Mention"/>
    <w:basedOn w:val="DefaultParagraphFont"/>
    <w:uiPriority w:val="99"/>
    <w:semiHidden/>
    <w:unhideWhenUsed/>
    <w:rsid w:val="005A0F9F"/>
    <w:rPr>
      <w:color w:val="605E5C"/>
      <w:shd w:val="clear" w:color="auto" w:fill="E1DFDD"/>
    </w:rPr>
  </w:style>
  <w:style w:type="paragraph" w:styleId="Title">
    <w:name w:val="Title"/>
    <w:basedOn w:val="Normal"/>
    <w:next w:val="Normal"/>
    <w:link w:val="TitleChar"/>
    <w:uiPriority w:val="10"/>
    <w:qFormat/>
    <w:rsid w:val="0067455A"/>
    <w:pPr>
      <w:shd w:val="clear" w:color="auto" w:fill="FFFFFF"/>
      <w:spacing w:before="120" w:after="120"/>
      <w:ind w:firstLine="720"/>
      <w:jc w:val="center"/>
    </w:pPr>
    <w:rPr>
      <w:rFonts w:eastAsiaTheme="minorHAnsi"/>
      <w:b/>
      <w:bCs/>
      <w:lang w:eastAsia="en-GB"/>
    </w:rPr>
  </w:style>
  <w:style w:type="character" w:customStyle="1" w:styleId="TitleChar">
    <w:name w:val="Title Char"/>
    <w:basedOn w:val="DefaultParagraphFont"/>
    <w:link w:val="Title"/>
    <w:uiPriority w:val="10"/>
    <w:rsid w:val="0067455A"/>
    <w:rPr>
      <w:rFonts w:ascii="Times New Roman" w:eastAsiaTheme="minorHAnsi" w:hAnsi="Times New Roman" w:cs="Arial"/>
      <w:b/>
      <w:bCs/>
      <w:sz w:val="24"/>
      <w:szCs w:val="24"/>
      <w:shd w:val="clear" w:color="auto" w:fill="FFFFFF"/>
      <w:lang w:eastAsia="en-GB"/>
    </w:rPr>
  </w:style>
  <w:style w:type="character" w:styleId="PageNumber">
    <w:name w:val="page number"/>
    <w:basedOn w:val="DefaultParagraphFont"/>
    <w:uiPriority w:val="99"/>
    <w:semiHidden/>
    <w:unhideWhenUsed/>
    <w:rsid w:val="0067455A"/>
  </w:style>
  <w:style w:type="character" w:customStyle="1" w:styleId="Heading3Char">
    <w:name w:val="Heading 3 Char"/>
    <w:basedOn w:val="DefaultParagraphFont"/>
    <w:link w:val="Heading3"/>
    <w:uiPriority w:val="9"/>
    <w:rsid w:val="00BB24FC"/>
    <w:rPr>
      <w:rFonts w:ascii="Arial" w:hAnsi="Arial" w:cs="Arial"/>
      <w:b/>
      <w:bCs/>
      <w:sz w:val="24"/>
      <w:szCs w:val="24"/>
    </w:rPr>
  </w:style>
  <w:style w:type="character" w:customStyle="1" w:styleId="Heading4Char">
    <w:name w:val="Heading 4 Char"/>
    <w:basedOn w:val="DefaultParagraphFont"/>
    <w:link w:val="Heading4"/>
    <w:uiPriority w:val="9"/>
    <w:rsid w:val="00BB65D0"/>
    <w:rPr>
      <w:rFonts w:ascii="Arial" w:hAnsi="Arial" w:cs="Arial"/>
      <w:i/>
      <w:iCs/>
      <w:sz w:val="24"/>
      <w:szCs w:val="24"/>
    </w:rPr>
  </w:style>
  <w:style w:type="table" w:styleId="TableGrid">
    <w:name w:val="Table Grid"/>
    <w:basedOn w:val="TableNormal"/>
    <w:uiPriority w:val="39"/>
    <w:rsid w:val="005B4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50C0B"/>
    <w:pPr>
      <w:spacing w:before="0" w:after="200" w:line="240" w:lineRule="auto"/>
    </w:pPr>
    <w:rPr>
      <w:i/>
      <w:iCs/>
      <w:color w:val="1F497D" w:themeColor="text2"/>
      <w:sz w:val="18"/>
      <w:szCs w:val="18"/>
    </w:rPr>
  </w:style>
  <w:style w:type="character" w:styleId="EndnoteReference">
    <w:name w:val="endnote reference"/>
    <w:basedOn w:val="DefaultParagraphFont"/>
    <w:uiPriority w:val="99"/>
    <w:semiHidden/>
    <w:unhideWhenUsed/>
    <w:rsid w:val="00F4462E"/>
    <w:rPr>
      <w:vertAlign w:val="superscript"/>
    </w:rPr>
  </w:style>
  <w:style w:type="table" w:customStyle="1" w:styleId="APA">
    <w:name w:val="APA"/>
    <w:basedOn w:val="TableNormal"/>
    <w:uiPriority w:val="99"/>
    <w:rsid w:val="007F75AB"/>
    <w:pPr>
      <w:spacing w:after="0" w:line="240" w:lineRule="auto"/>
    </w:pPr>
    <w:tblPr>
      <w:tblBorders>
        <w:bottom w:val="single" w:sz="4" w:space="0" w:color="auto"/>
      </w:tblBorders>
    </w:tblPr>
  </w:style>
  <w:style w:type="paragraph" w:customStyle="1" w:styleId="Affiliation">
    <w:name w:val="Affiliation"/>
    <w:basedOn w:val="Normal"/>
    <w:qFormat/>
    <w:rsid w:val="00065144"/>
    <w:pPr>
      <w:tabs>
        <w:tab w:val="clear" w:pos="3780"/>
      </w:tabs>
      <w:spacing w:after="0"/>
      <w:ind w:firstLine="0"/>
    </w:pPr>
    <w:rPr>
      <w:rFonts w:eastAsia="Times New Roman" w:cs="Times New Roman"/>
      <w:i/>
      <w:lang w:eastAsia="en-GB"/>
    </w:rPr>
  </w:style>
  <w:style w:type="numbering" w:customStyle="1" w:styleId="CurrentList1">
    <w:name w:val="Current List1"/>
    <w:uiPriority w:val="99"/>
    <w:rsid w:val="00586F66"/>
    <w:pPr>
      <w:numPr>
        <w:numId w:val="31"/>
      </w:numPr>
    </w:pPr>
  </w:style>
  <w:style w:type="numbering" w:customStyle="1" w:styleId="CurrentList2">
    <w:name w:val="Current List2"/>
    <w:uiPriority w:val="99"/>
    <w:rsid w:val="00586F66"/>
    <w:pPr>
      <w:numPr>
        <w:numId w:val="32"/>
      </w:numPr>
    </w:pPr>
  </w:style>
  <w:style w:type="character" w:styleId="FollowedHyperlink">
    <w:name w:val="FollowedHyperlink"/>
    <w:basedOn w:val="DefaultParagraphFont"/>
    <w:uiPriority w:val="99"/>
    <w:semiHidden/>
    <w:unhideWhenUsed/>
    <w:rsid w:val="00246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0412">
      <w:bodyDiv w:val="1"/>
      <w:marLeft w:val="0"/>
      <w:marRight w:val="0"/>
      <w:marTop w:val="0"/>
      <w:marBottom w:val="0"/>
      <w:divBdr>
        <w:top w:val="none" w:sz="0" w:space="0" w:color="auto"/>
        <w:left w:val="none" w:sz="0" w:space="0" w:color="auto"/>
        <w:bottom w:val="none" w:sz="0" w:space="0" w:color="auto"/>
        <w:right w:val="none" w:sz="0" w:space="0" w:color="auto"/>
      </w:divBdr>
    </w:div>
    <w:div w:id="325936367">
      <w:bodyDiv w:val="1"/>
      <w:marLeft w:val="0"/>
      <w:marRight w:val="0"/>
      <w:marTop w:val="0"/>
      <w:marBottom w:val="0"/>
      <w:divBdr>
        <w:top w:val="none" w:sz="0" w:space="0" w:color="auto"/>
        <w:left w:val="none" w:sz="0" w:space="0" w:color="auto"/>
        <w:bottom w:val="none" w:sz="0" w:space="0" w:color="auto"/>
        <w:right w:val="none" w:sz="0" w:space="0" w:color="auto"/>
      </w:divBdr>
    </w:div>
    <w:div w:id="360134332">
      <w:bodyDiv w:val="1"/>
      <w:marLeft w:val="0"/>
      <w:marRight w:val="0"/>
      <w:marTop w:val="0"/>
      <w:marBottom w:val="0"/>
      <w:divBdr>
        <w:top w:val="none" w:sz="0" w:space="0" w:color="auto"/>
        <w:left w:val="none" w:sz="0" w:space="0" w:color="auto"/>
        <w:bottom w:val="none" w:sz="0" w:space="0" w:color="auto"/>
        <w:right w:val="none" w:sz="0" w:space="0" w:color="auto"/>
      </w:divBdr>
    </w:div>
    <w:div w:id="474642595">
      <w:bodyDiv w:val="1"/>
      <w:marLeft w:val="0"/>
      <w:marRight w:val="0"/>
      <w:marTop w:val="0"/>
      <w:marBottom w:val="0"/>
      <w:divBdr>
        <w:top w:val="none" w:sz="0" w:space="0" w:color="auto"/>
        <w:left w:val="none" w:sz="0" w:space="0" w:color="auto"/>
        <w:bottom w:val="none" w:sz="0" w:space="0" w:color="auto"/>
        <w:right w:val="none" w:sz="0" w:space="0" w:color="auto"/>
      </w:divBdr>
      <w:divsChild>
        <w:div w:id="1256473272">
          <w:marLeft w:val="0"/>
          <w:marRight w:val="0"/>
          <w:marTop w:val="0"/>
          <w:marBottom w:val="0"/>
          <w:divBdr>
            <w:top w:val="none" w:sz="0" w:space="0" w:color="auto"/>
            <w:left w:val="none" w:sz="0" w:space="0" w:color="auto"/>
            <w:bottom w:val="none" w:sz="0" w:space="0" w:color="auto"/>
            <w:right w:val="none" w:sz="0" w:space="0" w:color="auto"/>
          </w:divBdr>
          <w:divsChild>
            <w:div w:id="1707288010">
              <w:marLeft w:val="0"/>
              <w:marRight w:val="0"/>
              <w:marTop w:val="0"/>
              <w:marBottom w:val="0"/>
              <w:divBdr>
                <w:top w:val="none" w:sz="0" w:space="0" w:color="auto"/>
                <w:left w:val="none" w:sz="0" w:space="0" w:color="auto"/>
                <w:bottom w:val="none" w:sz="0" w:space="0" w:color="auto"/>
                <w:right w:val="none" w:sz="0" w:space="0" w:color="auto"/>
              </w:divBdr>
              <w:divsChild>
                <w:div w:id="15175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73044">
      <w:bodyDiv w:val="1"/>
      <w:marLeft w:val="0"/>
      <w:marRight w:val="0"/>
      <w:marTop w:val="0"/>
      <w:marBottom w:val="0"/>
      <w:divBdr>
        <w:top w:val="none" w:sz="0" w:space="0" w:color="auto"/>
        <w:left w:val="none" w:sz="0" w:space="0" w:color="auto"/>
        <w:bottom w:val="none" w:sz="0" w:space="0" w:color="auto"/>
        <w:right w:val="none" w:sz="0" w:space="0" w:color="auto"/>
      </w:divBdr>
    </w:div>
    <w:div w:id="564071660">
      <w:bodyDiv w:val="1"/>
      <w:marLeft w:val="0"/>
      <w:marRight w:val="0"/>
      <w:marTop w:val="0"/>
      <w:marBottom w:val="0"/>
      <w:divBdr>
        <w:top w:val="none" w:sz="0" w:space="0" w:color="auto"/>
        <w:left w:val="none" w:sz="0" w:space="0" w:color="auto"/>
        <w:bottom w:val="none" w:sz="0" w:space="0" w:color="auto"/>
        <w:right w:val="none" w:sz="0" w:space="0" w:color="auto"/>
      </w:divBdr>
    </w:div>
    <w:div w:id="637497715">
      <w:bodyDiv w:val="1"/>
      <w:marLeft w:val="0"/>
      <w:marRight w:val="0"/>
      <w:marTop w:val="0"/>
      <w:marBottom w:val="0"/>
      <w:divBdr>
        <w:top w:val="none" w:sz="0" w:space="0" w:color="auto"/>
        <w:left w:val="none" w:sz="0" w:space="0" w:color="auto"/>
        <w:bottom w:val="none" w:sz="0" w:space="0" w:color="auto"/>
        <w:right w:val="none" w:sz="0" w:space="0" w:color="auto"/>
      </w:divBdr>
    </w:div>
    <w:div w:id="673336743">
      <w:bodyDiv w:val="1"/>
      <w:marLeft w:val="0"/>
      <w:marRight w:val="0"/>
      <w:marTop w:val="0"/>
      <w:marBottom w:val="0"/>
      <w:divBdr>
        <w:top w:val="none" w:sz="0" w:space="0" w:color="auto"/>
        <w:left w:val="none" w:sz="0" w:space="0" w:color="auto"/>
        <w:bottom w:val="none" w:sz="0" w:space="0" w:color="auto"/>
        <w:right w:val="none" w:sz="0" w:space="0" w:color="auto"/>
      </w:divBdr>
    </w:div>
    <w:div w:id="677924401">
      <w:bodyDiv w:val="1"/>
      <w:marLeft w:val="0"/>
      <w:marRight w:val="0"/>
      <w:marTop w:val="0"/>
      <w:marBottom w:val="0"/>
      <w:divBdr>
        <w:top w:val="none" w:sz="0" w:space="0" w:color="auto"/>
        <w:left w:val="none" w:sz="0" w:space="0" w:color="auto"/>
        <w:bottom w:val="none" w:sz="0" w:space="0" w:color="auto"/>
        <w:right w:val="none" w:sz="0" w:space="0" w:color="auto"/>
      </w:divBdr>
    </w:div>
    <w:div w:id="818808418">
      <w:bodyDiv w:val="1"/>
      <w:marLeft w:val="0"/>
      <w:marRight w:val="0"/>
      <w:marTop w:val="0"/>
      <w:marBottom w:val="0"/>
      <w:divBdr>
        <w:top w:val="none" w:sz="0" w:space="0" w:color="auto"/>
        <w:left w:val="none" w:sz="0" w:space="0" w:color="auto"/>
        <w:bottom w:val="none" w:sz="0" w:space="0" w:color="auto"/>
        <w:right w:val="none" w:sz="0" w:space="0" w:color="auto"/>
      </w:divBdr>
    </w:div>
    <w:div w:id="1271082312">
      <w:bodyDiv w:val="1"/>
      <w:marLeft w:val="0"/>
      <w:marRight w:val="0"/>
      <w:marTop w:val="0"/>
      <w:marBottom w:val="0"/>
      <w:divBdr>
        <w:top w:val="none" w:sz="0" w:space="0" w:color="auto"/>
        <w:left w:val="none" w:sz="0" w:space="0" w:color="auto"/>
        <w:bottom w:val="none" w:sz="0" w:space="0" w:color="auto"/>
        <w:right w:val="none" w:sz="0" w:space="0" w:color="auto"/>
      </w:divBdr>
    </w:div>
    <w:div w:id="1411003378">
      <w:bodyDiv w:val="1"/>
      <w:marLeft w:val="0"/>
      <w:marRight w:val="0"/>
      <w:marTop w:val="0"/>
      <w:marBottom w:val="0"/>
      <w:divBdr>
        <w:top w:val="none" w:sz="0" w:space="0" w:color="auto"/>
        <w:left w:val="none" w:sz="0" w:space="0" w:color="auto"/>
        <w:bottom w:val="none" w:sz="0" w:space="0" w:color="auto"/>
        <w:right w:val="none" w:sz="0" w:space="0" w:color="auto"/>
      </w:divBdr>
    </w:div>
    <w:div w:id="1553884078">
      <w:bodyDiv w:val="1"/>
      <w:marLeft w:val="0"/>
      <w:marRight w:val="0"/>
      <w:marTop w:val="0"/>
      <w:marBottom w:val="0"/>
      <w:divBdr>
        <w:top w:val="none" w:sz="0" w:space="0" w:color="auto"/>
        <w:left w:val="none" w:sz="0" w:space="0" w:color="auto"/>
        <w:bottom w:val="none" w:sz="0" w:space="0" w:color="auto"/>
        <w:right w:val="none" w:sz="0" w:space="0" w:color="auto"/>
      </w:divBdr>
    </w:div>
    <w:div w:id="1566381213">
      <w:bodyDiv w:val="1"/>
      <w:marLeft w:val="0"/>
      <w:marRight w:val="0"/>
      <w:marTop w:val="0"/>
      <w:marBottom w:val="0"/>
      <w:divBdr>
        <w:top w:val="none" w:sz="0" w:space="0" w:color="auto"/>
        <w:left w:val="none" w:sz="0" w:space="0" w:color="auto"/>
        <w:bottom w:val="none" w:sz="0" w:space="0" w:color="auto"/>
        <w:right w:val="none" w:sz="0" w:space="0" w:color="auto"/>
      </w:divBdr>
    </w:div>
    <w:div w:id="1658608226">
      <w:bodyDiv w:val="1"/>
      <w:marLeft w:val="0"/>
      <w:marRight w:val="0"/>
      <w:marTop w:val="0"/>
      <w:marBottom w:val="0"/>
      <w:divBdr>
        <w:top w:val="none" w:sz="0" w:space="0" w:color="auto"/>
        <w:left w:val="none" w:sz="0" w:space="0" w:color="auto"/>
        <w:bottom w:val="none" w:sz="0" w:space="0" w:color="auto"/>
        <w:right w:val="none" w:sz="0" w:space="0" w:color="auto"/>
      </w:divBdr>
    </w:div>
    <w:div w:id="1825466622">
      <w:bodyDiv w:val="1"/>
      <w:marLeft w:val="0"/>
      <w:marRight w:val="0"/>
      <w:marTop w:val="0"/>
      <w:marBottom w:val="0"/>
      <w:divBdr>
        <w:top w:val="none" w:sz="0" w:space="0" w:color="auto"/>
        <w:left w:val="none" w:sz="0" w:space="0" w:color="auto"/>
        <w:bottom w:val="none" w:sz="0" w:space="0" w:color="auto"/>
        <w:right w:val="none" w:sz="0" w:space="0" w:color="auto"/>
      </w:divBdr>
    </w:div>
    <w:div w:id="1919056539">
      <w:bodyDiv w:val="1"/>
      <w:marLeft w:val="0"/>
      <w:marRight w:val="0"/>
      <w:marTop w:val="0"/>
      <w:marBottom w:val="0"/>
      <w:divBdr>
        <w:top w:val="none" w:sz="0" w:space="0" w:color="auto"/>
        <w:left w:val="none" w:sz="0" w:space="0" w:color="auto"/>
        <w:bottom w:val="none" w:sz="0" w:space="0" w:color="auto"/>
        <w:right w:val="none" w:sz="0" w:space="0" w:color="auto"/>
      </w:divBdr>
    </w:div>
    <w:div w:id="1947694006">
      <w:bodyDiv w:val="1"/>
      <w:marLeft w:val="0"/>
      <w:marRight w:val="0"/>
      <w:marTop w:val="0"/>
      <w:marBottom w:val="0"/>
      <w:divBdr>
        <w:top w:val="none" w:sz="0" w:space="0" w:color="auto"/>
        <w:left w:val="none" w:sz="0" w:space="0" w:color="auto"/>
        <w:bottom w:val="none" w:sz="0" w:space="0" w:color="auto"/>
        <w:right w:val="none" w:sz="0" w:space="0" w:color="auto"/>
      </w:divBdr>
    </w:div>
    <w:div w:id="1949657982">
      <w:bodyDiv w:val="1"/>
      <w:marLeft w:val="0"/>
      <w:marRight w:val="0"/>
      <w:marTop w:val="0"/>
      <w:marBottom w:val="0"/>
      <w:divBdr>
        <w:top w:val="none" w:sz="0" w:space="0" w:color="auto"/>
        <w:left w:val="none" w:sz="0" w:space="0" w:color="auto"/>
        <w:bottom w:val="none" w:sz="0" w:space="0" w:color="auto"/>
        <w:right w:val="none" w:sz="0" w:space="0" w:color="auto"/>
      </w:divBdr>
      <w:divsChild>
        <w:div w:id="1886288651">
          <w:marLeft w:val="0"/>
          <w:marRight w:val="0"/>
          <w:marTop w:val="0"/>
          <w:marBottom w:val="0"/>
          <w:divBdr>
            <w:top w:val="none" w:sz="0" w:space="0" w:color="auto"/>
            <w:left w:val="none" w:sz="0" w:space="0" w:color="auto"/>
            <w:bottom w:val="none" w:sz="0" w:space="0" w:color="auto"/>
            <w:right w:val="none" w:sz="0" w:space="0" w:color="auto"/>
          </w:divBdr>
          <w:divsChild>
            <w:div w:id="576019996">
              <w:marLeft w:val="0"/>
              <w:marRight w:val="0"/>
              <w:marTop w:val="0"/>
              <w:marBottom w:val="0"/>
              <w:divBdr>
                <w:top w:val="none" w:sz="0" w:space="0" w:color="auto"/>
                <w:left w:val="none" w:sz="0" w:space="0" w:color="auto"/>
                <w:bottom w:val="none" w:sz="0" w:space="0" w:color="auto"/>
                <w:right w:val="none" w:sz="0" w:space="0" w:color="auto"/>
              </w:divBdr>
              <w:divsChild>
                <w:div w:id="6838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3247">
      <w:bodyDiv w:val="1"/>
      <w:marLeft w:val="0"/>
      <w:marRight w:val="0"/>
      <w:marTop w:val="0"/>
      <w:marBottom w:val="0"/>
      <w:divBdr>
        <w:top w:val="none" w:sz="0" w:space="0" w:color="auto"/>
        <w:left w:val="none" w:sz="0" w:space="0" w:color="auto"/>
        <w:bottom w:val="none" w:sz="0" w:space="0" w:color="auto"/>
        <w:right w:val="none" w:sz="0" w:space="0" w:color="auto"/>
      </w:divBdr>
    </w:div>
    <w:div w:id="197409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7uvy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sf.io/y5pm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nicolozarotti@gmail.com" TargetMode="External"/><Relationship Id="rId1" Type="http://schemas.openxmlformats.org/officeDocument/2006/relationships/hyperlink" Target="mailto:nicolo.zarotti@nca.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BF80-3387-D548-B319-35814960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4857</Words>
  <Characters>27691</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frp11wsu</dc:creator>
  <cp:keywords/>
  <cp:lastModifiedBy>John Stewart Rayner (RIN - Staff)</cp:lastModifiedBy>
  <cp:revision>2</cp:revision>
  <cp:lastPrinted>2023-01-09T02:13:00Z</cp:lastPrinted>
  <dcterms:created xsi:type="dcterms:W3CDTF">2023-03-03T08:51:00Z</dcterms:created>
  <dcterms:modified xsi:type="dcterms:W3CDTF">2023-03-03T08:51:00Z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ndeley Document_1">
    <vt:lpwstr>True</vt:lpwstr>
  </property>
  <property fmtid="{D5CDD505-2E9C-101B-9397-08002B2CF9AE}" pid="4" name="Mendeley Unique User Id_1">
    <vt:lpwstr>2fd7fdac-e30a-3668-95c5-a94267ada65b</vt:lpwstr>
  </property>
  <property fmtid="{D5CDD505-2E9C-101B-9397-08002B2CF9AE}" pid="5" name="Mendeley Citation Style_1">
    <vt:lpwstr>http://www.zotero.org/styles/apa</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http://www.zotero.org/styles/harvard-cite-them-right</vt:lpwstr>
  </property>
  <property fmtid="{D5CDD505-2E9C-101B-9397-08002B2CF9AE}" pid="9" name="Mendeley Recent Style Name 1_1">
    <vt:lpwstr>Cite Them Right 10th edition - Harvard</vt:lpwstr>
  </property>
  <property fmtid="{D5CDD505-2E9C-101B-9397-08002B2CF9AE}" pid="10" name="Mendeley Recent Style Id 2_1">
    <vt:lpwstr>http://www.zotero.org/styles/disability-and-health-journal</vt:lpwstr>
  </property>
  <property fmtid="{D5CDD505-2E9C-101B-9397-08002B2CF9AE}" pid="11" name="Mendeley Recent Style Name 2_1">
    <vt:lpwstr>Disability and Health Journal</vt:lpwstr>
  </property>
  <property fmtid="{D5CDD505-2E9C-101B-9397-08002B2CF9AE}" pid="12" name="Mendeley Recent Style Id 3_1">
    <vt:lpwstr>http://www.zotero.org/styles/disability-and-rehabilitation</vt:lpwstr>
  </property>
  <property fmtid="{D5CDD505-2E9C-101B-9397-08002B2CF9AE}" pid="13" name="Mendeley Recent Style Name 3_1">
    <vt:lpwstr>Disability and Rehabilitation</vt:lpwstr>
  </property>
  <property fmtid="{D5CDD505-2E9C-101B-9397-08002B2CF9AE}" pid="14" name="Mendeley Recent Style Id 4_1">
    <vt:lpwstr>http://www.zotero.org/styles/ieee</vt:lpwstr>
  </property>
  <property fmtid="{D5CDD505-2E9C-101B-9397-08002B2CF9AE}" pid="15" name="Mendeley Recent Style Name 4_1">
    <vt:lpwstr>IEEE</vt:lpwstr>
  </property>
  <property fmtid="{D5CDD505-2E9C-101B-9397-08002B2CF9AE}" pid="16" name="Mendeley Recent Style Id 5_1">
    <vt:lpwstr>http://www.zotero.org/styles/journal-of-personalized-medicine</vt:lpwstr>
  </property>
  <property fmtid="{D5CDD505-2E9C-101B-9397-08002B2CF9AE}" pid="17" name="Mendeley Recent Style Name 5_1">
    <vt:lpwstr>Journal of Personalized Medicine</vt:lpwstr>
  </property>
  <property fmtid="{D5CDD505-2E9C-101B-9397-08002B2CF9AE}" pid="18" name="Mendeley Recent Style Id 6_1">
    <vt:lpwstr>http://www.zotero.org/styles/parkinsonism-and-related-disorders</vt:lpwstr>
  </property>
  <property fmtid="{D5CDD505-2E9C-101B-9397-08002B2CF9AE}" pid="19" name="Mendeley Recent Style Name 6_1">
    <vt:lpwstr>Parkinsonism and Related Disorders</vt:lpwstr>
  </property>
  <property fmtid="{D5CDD505-2E9C-101B-9397-08002B2CF9AE}" pid="20" name="Mendeley Recent Style Id 7_1">
    <vt:lpwstr>http://www.zotero.org/styles/pilot-and-feasibility-studies</vt:lpwstr>
  </property>
  <property fmtid="{D5CDD505-2E9C-101B-9397-08002B2CF9AE}" pid="21" name="Mendeley Recent Style Name 7_1">
    <vt:lpwstr>Pilot and Feasibility Studies</vt:lpwstr>
  </property>
  <property fmtid="{D5CDD505-2E9C-101B-9397-08002B2CF9AE}" pid="22" name="Mendeley Recent Style Id 8_1">
    <vt:lpwstr>http://www.zotero.org/styles/sage-vancouver</vt:lpwstr>
  </property>
  <property fmtid="{D5CDD505-2E9C-101B-9397-08002B2CF9AE}" pid="23" name="Mendeley Recent Style Name 8_1">
    <vt:lpwstr>SAGE - Vancouver</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