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DF65" w14:textId="373D5D05" w:rsidR="00AF05DF" w:rsidRPr="006453D9" w:rsidRDefault="001B2E3D" w:rsidP="00AF05DF">
      <w:pPr>
        <w:pStyle w:val="MDPI11articletype"/>
      </w:pPr>
      <w:r>
        <w:t>Article</w:t>
      </w:r>
    </w:p>
    <w:p w14:paraId="07A122B0" w14:textId="77777777" w:rsidR="001B2E3D" w:rsidRDefault="001B2E3D" w:rsidP="001B2E3D">
      <w:pPr>
        <w:pStyle w:val="MDPI13authornames"/>
        <w:rPr>
          <w:snapToGrid w:val="0"/>
          <w:sz w:val="36"/>
          <w:szCs w:val="20"/>
          <w:lang w:val="en-GB"/>
        </w:rPr>
      </w:pPr>
      <w:r w:rsidRPr="00A53DDD">
        <w:rPr>
          <w:snapToGrid w:val="0"/>
          <w:sz w:val="36"/>
          <w:szCs w:val="20"/>
          <w:lang w:val="en-GB"/>
        </w:rPr>
        <w:t>Combining molecular subtypes with multivariable clinical models has the potential to improve prediction of treatment outcomes in prostate cancer</w:t>
      </w:r>
      <w:r>
        <w:rPr>
          <w:snapToGrid w:val="0"/>
          <w:sz w:val="36"/>
          <w:szCs w:val="20"/>
          <w:lang w:val="en-GB"/>
        </w:rPr>
        <w:t xml:space="preserve"> at diagnosis</w:t>
      </w:r>
    </w:p>
    <w:p w14:paraId="7FFA3DC6" w14:textId="2B1FCA26" w:rsidR="001B2E3D" w:rsidRPr="004C768D" w:rsidRDefault="001B2E3D" w:rsidP="001B2E3D">
      <w:pPr>
        <w:pStyle w:val="MDPI13authornames"/>
        <w:rPr>
          <w:lang w:val="en-GB"/>
        </w:rPr>
      </w:pPr>
      <w:r w:rsidRPr="004C768D">
        <w:rPr>
          <w:lang w:val="en-GB"/>
        </w:rPr>
        <w:t>Lewis Wardale</w:t>
      </w:r>
      <w:r>
        <w:rPr>
          <w:lang w:val="en-GB"/>
        </w:rPr>
        <w:t xml:space="preserve"> </w:t>
      </w:r>
      <w:r w:rsidRPr="004C768D">
        <w:rPr>
          <w:vertAlign w:val="superscript"/>
          <w:lang w:val="en-GB"/>
        </w:rPr>
        <w:t>1</w:t>
      </w:r>
      <w:r w:rsidRPr="004C768D">
        <w:rPr>
          <w:lang w:val="en-GB"/>
        </w:rPr>
        <w:t>, Ryan Cardenas</w:t>
      </w:r>
      <w:r>
        <w:rPr>
          <w:lang w:val="en-GB"/>
        </w:rPr>
        <w:t xml:space="preserve"> </w:t>
      </w:r>
      <w:r w:rsidRPr="004C768D">
        <w:rPr>
          <w:vertAlign w:val="superscript"/>
          <w:lang w:val="en-GB"/>
        </w:rPr>
        <w:t>1</w:t>
      </w:r>
      <w:r w:rsidRPr="004C768D">
        <w:rPr>
          <w:lang w:val="en-GB"/>
        </w:rPr>
        <w:t>, Vincent J</w:t>
      </w:r>
      <w:r>
        <w:rPr>
          <w:lang w:val="en-GB"/>
        </w:rPr>
        <w:t>.</w:t>
      </w:r>
      <w:r w:rsidRPr="004C768D">
        <w:rPr>
          <w:lang w:val="en-GB"/>
        </w:rPr>
        <w:t xml:space="preserve"> Gnanapragasam</w:t>
      </w:r>
      <w:r>
        <w:rPr>
          <w:lang w:val="en-GB"/>
        </w:rPr>
        <w:t xml:space="preserve"> </w:t>
      </w:r>
      <w:r w:rsidRPr="004C768D">
        <w:rPr>
          <w:vertAlign w:val="superscript"/>
          <w:lang w:val="en-GB"/>
        </w:rPr>
        <w:t>2,3</w:t>
      </w:r>
      <w:r w:rsidRPr="004C768D">
        <w:rPr>
          <w:lang w:val="en-GB"/>
        </w:rPr>
        <w:t>, Colin S</w:t>
      </w:r>
      <w:r>
        <w:rPr>
          <w:lang w:val="en-GB"/>
        </w:rPr>
        <w:t>.</w:t>
      </w:r>
      <w:r w:rsidRPr="004C768D">
        <w:rPr>
          <w:lang w:val="en-GB"/>
        </w:rPr>
        <w:t xml:space="preserve"> Cooper</w:t>
      </w:r>
      <w:r>
        <w:rPr>
          <w:lang w:val="en-GB"/>
        </w:rPr>
        <w:t xml:space="preserve"> </w:t>
      </w:r>
      <w:r w:rsidRPr="004C768D">
        <w:rPr>
          <w:vertAlign w:val="superscript"/>
          <w:lang w:val="en-GB"/>
        </w:rPr>
        <w:t>1</w:t>
      </w:r>
      <w:r w:rsidRPr="004C768D">
        <w:rPr>
          <w:lang w:val="en-GB"/>
        </w:rPr>
        <w:t>, Jeremy Clark</w:t>
      </w:r>
      <w:r>
        <w:rPr>
          <w:lang w:val="en-GB"/>
        </w:rPr>
        <w:t xml:space="preserve"> </w:t>
      </w:r>
      <w:r w:rsidRPr="004C768D">
        <w:rPr>
          <w:vertAlign w:val="superscript"/>
          <w:lang w:val="en-GB"/>
        </w:rPr>
        <w:t>1</w:t>
      </w:r>
      <w:r w:rsidRPr="004C768D">
        <w:rPr>
          <w:lang w:val="en-GB"/>
        </w:rPr>
        <w:t>, Daniel S</w:t>
      </w:r>
      <w:r>
        <w:rPr>
          <w:lang w:val="en-GB"/>
        </w:rPr>
        <w:t>.</w:t>
      </w:r>
      <w:r w:rsidRPr="004C768D">
        <w:rPr>
          <w:lang w:val="en-GB"/>
        </w:rPr>
        <w:t xml:space="preserve"> Brewer</w:t>
      </w:r>
      <w:r>
        <w:rPr>
          <w:lang w:val="en-GB"/>
        </w:rPr>
        <w:t xml:space="preserve"> </w:t>
      </w:r>
      <w:r w:rsidRPr="004C768D">
        <w:rPr>
          <w:vertAlign w:val="superscript"/>
          <w:lang w:val="en-GB"/>
        </w:rPr>
        <w:t>1,4</w:t>
      </w:r>
      <w:r>
        <w:rPr>
          <w:vertAlign w:val="superscript"/>
          <w:lang w:val="en-GB"/>
        </w:rPr>
        <w:t>,*</w:t>
      </w:r>
    </w:p>
    <w:tbl>
      <w:tblPr>
        <w:tblpPr w:leftFromText="198" w:rightFromText="198" w:vertAnchor="page" w:horzAnchor="margin" w:tblpY="11036"/>
        <w:tblW w:w="2410" w:type="dxa"/>
        <w:tblLayout w:type="fixed"/>
        <w:tblCellMar>
          <w:left w:w="0" w:type="dxa"/>
          <w:right w:w="0" w:type="dxa"/>
        </w:tblCellMar>
        <w:tblLook w:val="04A0" w:firstRow="1" w:lastRow="0" w:firstColumn="1" w:lastColumn="0" w:noHBand="0" w:noVBand="1"/>
      </w:tblPr>
      <w:tblGrid>
        <w:gridCol w:w="2410"/>
      </w:tblGrid>
      <w:tr w:rsidR="00507849" w:rsidRPr="00D70D4F" w14:paraId="7FB9BE60" w14:textId="77777777" w:rsidTr="00A52C1C">
        <w:tc>
          <w:tcPr>
            <w:tcW w:w="2410" w:type="dxa"/>
            <w:shd w:val="clear" w:color="auto" w:fill="auto"/>
          </w:tcPr>
          <w:p w14:paraId="643556B2" w14:textId="77777777" w:rsidR="00507849" w:rsidRPr="008E5180" w:rsidRDefault="00507849" w:rsidP="00A52C1C">
            <w:pPr>
              <w:pStyle w:val="MDPI61Citation"/>
              <w:spacing w:after="120" w:line="240" w:lineRule="exact"/>
            </w:pPr>
            <w:r w:rsidRPr="00606C3F">
              <w:rPr>
                <w:b/>
              </w:rPr>
              <w:t>Citation:</w:t>
            </w:r>
            <w:r>
              <w:rPr>
                <w:b/>
              </w:rPr>
              <w:t xml:space="preserve"> </w:t>
            </w:r>
            <w:r>
              <w:t>To be added by editorial staff during production.</w:t>
            </w:r>
          </w:p>
          <w:p w14:paraId="6D4BC7CC" w14:textId="77777777" w:rsidR="00507849" w:rsidRPr="00550626" w:rsidRDefault="00507849" w:rsidP="00A52C1C">
            <w:pPr>
              <w:pStyle w:val="MDPI14history"/>
              <w:spacing w:before="120"/>
              <w:rPr>
                <w:szCs w:val="14"/>
              </w:rPr>
            </w:pPr>
            <w:r w:rsidRPr="00550626">
              <w:rPr>
                <w:szCs w:val="14"/>
              </w:rPr>
              <w:t xml:space="preserve">Received: </w:t>
            </w:r>
            <w:r w:rsidRPr="00D945EC">
              <w:rPr>
                <w:szCs w:val="14"/>
              </w:rPr>
              <w:t>date</w:t>
            </w:r>
          </w:p>
          <w:p w14:paraId="0F3CD4D9" w14:textId="77777777" w:rsidR="00507849" w:rsidRPr="00550626" w:rsidRDefault="00507849" w:rsidP="00A52C1C">
            <w:pPr>
              <w:pStyle w:val="MDPI14history"/>
              <w:rPr>
                <w:szCs w:val="14"/>
              </w:rPr>
            </w:pPr>
            <w:r w:rsidRPr="00550626">
              <w:rPr>
                <w:szCs w:val="14"/>
              </w:rPr>
              <w:t xml:space="preserve">Accepted: </w:t>
            </w:r>
            <w:r w:rsidRPr="00D945EC">
              <w:rPr>
                <w:szCs w:val="14"/>
              </w:rPr>
              <w:t>date</w:t>
            </w:r>
          </w:p>
          <w:p w14:paraId="2BBE4680" w14:textId="77777777" w:rsidR="00507849" w:rsidRPr="00550626" w:rsidRDefault="00507849" w:rsidP="00A52C1C">
            <w:pPr>
              <w:pStyle w:val="MDPI14history"/>
              <w:spacing w:after="120"/>
              <w:rPr>
                <w:szCs w:val="14"/>
              </w:rPr>
            </w:pPr>
            <w:r w:rsidRPr="00550626">
              <w:rPr>
                <w:szCs w:val="14"/>
              </w:rPr>
              <w:t xml:space="preserve">Published: </w:t>
            </w:r>
            <w:r w:rsidRPr="00D945EC">
              <w:rPr>
                <w:szCs w:val="14"/>
              </w:rPr>
              <w:t>date</w:t>
            </w:r>
          </w:p>
          <w:p w14:paraId="3DA362C9" w14:textId="77777777" w:rsidR="00507849" w:rsidRPr="00D70D4F" w:rsidRDefault="00507849" w:rsidP="00A52C1C">
            <w:pPr>
              <w:pStyle w:val="MDPI63Notes"/>
              <w:jc w:val="both"/>
            </w:pPr>
            <w:r w:rsidRPr="00D70D4F">
              <w:rPr>
                <w:b/>
              </w:rPr>
              <w:t>Publisher’s Note:</w:t>
            </w:r>
            <w:r w:rsidRPr="00D70D4F">
              <w:t xml:space="preserve"> MDPI stays neutral with regard to jurisdictional claims in published maps and institutional affiliations.</w:t>
            </w:r>
          </w:p>
          <w:p w14:paraId="40117B08" w14:textId="77777777" w:rsidR="00507849" w:rsidRPr="00D70D4F" w:rsidRDefault="00507849" w:rsidP="00A52C1C">
            <w:pPr>
              <w:adjustRightInd w:val="0"/>
              <w:snapToGrid w:val="0"/>
              <w:spacing w:before="120" w:line="240" w:lineRule="atLeast"/>
              <w:ind w:right="113"/>
              <w:jc w:val="left"/>
              <w:rPr>
                <w:rFonts w:eastAsia="DengXian"/>
                <w:bCs/>
                <w:sz w:val="14"/>
                <w:szCs w:val="14"/>
                <w:lang w:bidi="en-US"/>
              </w:rPr>
            </w:pPr>
            <w:r w:rsidRPr="00D70D4F">
              <w:rPr>
                <w:rFonts w:eastAsia="DengXian"/>
              </w:rPr>
              <w:drawing>
                <wp:inline distT="0" distB="0" distL="0" distR="0" wp14:anchorId="0C2FFF82" wp14:editId="2869E470">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79A9BCB7" w14:textId="77777777" w:rsidR="00507849" w:rsidRPr="00D70D4F" w:rsidRDefault="00507849" w:rsidP="00A52C1C">
            <w:pPr>
              <w:adjustRightInd w:val="0"/>
              <w:snapToGrid w:val="0"/>
              <w:spacing w:before="60" w:line="240" w:lineRule="atLeast"/>
              <w:ind w:right="113"/>
              <w:rPr>
                <w:rFonts w:eastAsia="DengXian"/>
                <w:bCs/>
                <w:sz w:val="14"/>
                <w:szCs w:val="14"/>
                <w:lang w:bidi="en-US"/>
              </w:rPr>
            </w:pPr>
            <w:r w:rsidRPr="00D70D4F">
              <w:rPr>
                <w:rFonts w:eastAsia="DengXian"/>
                <w:b/>
                <w:bCs/>
                <w:sz w:val="14"/>
                <w:szCs w:val="14"/>
                <w:lang w:bidi="en-US"/>
              </w:rPr>
              <w:t>Copyright:</w:t>
            </w:r>
            <w:r w:rsidRPr="00D70D4F">
              <w:rPr>
                <w:rFonts w:eastAsia="DengXian"/>
                <w:bCs/>
                <w:sz w:val="14"/>
                <w:szCs w:val="14"/>
                <w:lang w:bidi="en-US"/>
              </w:rPr>
              <w:t xml:space="preserve"> </w:t>
            </w:r>
            <w:r>
              <w:rPr>
                <w:rFonts w:eastAsia="DengXian"/>
                <w:bCs/>
                <w:sz w:val="14"/>
                <w:szCs w:val="14"/>
                <w:lang w:bidi="en-US"/>
              </w:rPr>
              <w:t>© 2022</w:t>
            </w:r>
            <w:r w:rsidRPr="00D70D4F">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D70D4F">
              <w:rPr>
                <w:rFonts w:eastAsia="DengXian"/>
                <w:bCs/>
                <w:sz w:val="14"/>
                <w:szCs w:val="14"/>
                <w:lang w:bidi="en-US"/>
              </w:rPr>
              <w:t>Attribution (CC BY) license (</w:t>
            </w:r>
            <w:r>
              <w:rPr>
                <w:rFonts w:eastAsia="DengXian"/>
                <w:bCs/>
                <w:sz w:val="14"/>
                <w:szCs w:val="14"/>
                <w:lang w:bidi="en-US"/>
              </w:rPr>
              <w:t>https://</w:t>
            </w:r>
            <w:r w:rsidRPr="00D70D4F">
              <w:rPr>
                <w:rFonts w:eastAsia="DengXian"/>
                <w:bCs/>
                <w:sz w:val="14"/>
                <w:szCs w:val="14"/>
                <w:lang w:bidi="en-US"/>
              </w:rPr>
              <w:t>creativecommons.org/licenses/by/4.0/).</w:t>
            </w:r>
          </w:p>
        </w:tc>
      </w:tr>
    </w:tbl>
    <w:p w14:paraId="344F074B" w14:textId="77777777" w:rsidR="001B2E3D" w:rsidRDefault="001B2E3D" w:rsidP="001B2E3D">
      <w:pPr>
        <w:pStyle w:val="MDPI16affiliation"/>
      </w:pPr>
      <w:r w:rsidRPr="00035FC3">
        <w:rPr>
          <w:vertAlign w:val="superscript"/>
        </w:rPr>
        <w:t>1</w:t>
      </w:r>
      <w:r w:rsidRPr="00D945EC">
        <w:tab/>
      </w:r>
      <w:r w:rsidRPr="004C768D">
        <w:t xml:space="preserve">Norwich Medical School, University of East Anglia, Norwich Research Park, Norwich, </w:t>
      </w:r>
      <w:r>
        <w:t>NR4 7TJ,</w:t>
      </w:r>
      <w:r w:rsidRPr="004C768D">
        <w:t xml:space="preserve"> UK</w:t>
      </w:r>
      <w:r w:rsidRPr="00D945EC">
        <w:t xml:space="preserve">; </w:t>
      </w:r>
    </w:p>
    <w:p w14:paraId="56D7862C" w14:textId="77777777" w:rsidR="001B2E3D" w:rsidRPr="00BE3819" w:rsidRDefault="001B2E3D" w:rsidP="001B2E3D">
      <w:pPr>
        <w:pStyle w:val="MDPI16affiliation"/>
        <w:rPr>
          <w:vertAlign w:val="superscript"/>
          <w:lang w:val="en-GB"/>
        </w:rPr>
      </w:pPr>
      <w:r w:rsidRPr="00D945EC">
        <w:rPr>
          <w:vertAlign w:val="superscript"/>
        </w:rPr>
        <w:t>2</w:t>
      </w:r>
      <w:r w:rsidRPr="00D945EC">
        <w:tab/>
      </w:r>
      <w:r w:rsidRPr="00BE3819">
        <w:rPr>
          <w:lang w:val="en-GB"/>
        </w:rPr>
        <w:t>Department of Urology, Cambridge University Hospitals NHS Foundation Trust, Cambridge</w:t>
      </w:r>
      <w:r>
        <w:rPr>
          <w:lang w:val="en-GB"/>
        </w:rPr>
        <w:t xml:space="preserve">, </w:t>
      </w:r>
      <w:r w:rsidRPr="00E8198F">
        <w:rPr>
          <w:lang w:val="en-GB"/>
        </w:rPr>
        <w:t>CB2 0QQ</w:t>
      </w:r>
      <w:r w:rsidRPr="00BE3819">
        <w:rPr>
          <w:lang w:val="en-GB"/>
        </w:rPr>
        <w:t>, U</w:t>
      </w:r>
      <w:r>
        <w:rPr>
          <w:lang w:val="en-GB"/>
        </w:rPr>
        <w:t>K;</w:t>
      </w:r>
    </w:p>
    <w:p w14:paraId="254337D7" w14:textId="77777777" w:rsidR="001B2E3D" w:rsidRPr="00D945EC" w:rsidRDefault="001B2E3D" w:rsidP="001B2E3D">
      <w:pPr>
        <w:pStyle w:val="MDPI16affiliation"/>
      </w:pPr>
      <w:r>
        <w:rPr>
          <w:vertAlign w:val="superscript"/>
        </w:rPr>
        <w:t>3</w:t>
      </w:r>
      <w:r w:rsidRPr="00D945EC">
        <w:tab/>
      </w:r>
      <w:r w:rsidRPr="00BE3819">
        <w:t xml:space="preserve">Division of Urology, Department of Surgery, University of Cambridge, Cambridge, </w:t>
      </w:r>
      <w:r w:rsidRPr="00E8198F">
        <w:t>CB2 0QQ</w:t>
      </w:r>
      <w:r>
        <w:t>,</w:t>
      </w:r>
      <w:r w:rsidRPr="00E8198F">
        <w:t xml:space="preserve"> </w:t>
      </w:r>
      <w:r w:rsidRPr="00BE3819">
        <w:t>UK</w:t>
      </w:r>
      <w:r>
        <w:t>;</w:t>
      </w:r>
    </w:p>
    <w:p w14:paraId="1EC1F9D7" w14:textId="77777777" w:rsidR="001B2E3D" w:rsidRPr="00D945EC" w:rsidRDefault="001B2E3D" w:rsidP="001B2E3D">
      <w:pPr>
        <w:pStyle w:val="MDPI16affiliation"/>
      </w:pPr>
      <w:r>
        <w:rPr>
          <w:vertAlign w:val="superscript"/>
        </w:rPr>
        <w:t>4</w:t>
      </w:r>
      <w:r w:rsidRPr="00D945EC">
        <w:tab/>
      </w:r>
      <w:r w:rsidRPr="00BB2860">
        <w:rPr>
          <w:lang w:val="en-GB"/>
        </w:rPr>
        <w:t>The Earlham Institute, Norwich Research Park</w:t>
      </w:r>
      <w:r w:rsidRPr="00BE3819">
        <w:rPr>
          <w:lang w:val="en-GB"/>
        </w:rPr>
        <w:t>, Norwich</w:t>
      </w:r>
      <w:r>
        <w:rPr>
          <w:lang w:val="en-GB"/>
        </w:rPr>
        <w:t>,</w:t>
      </w:r>
      <w:r w:rsidRPr="00BE3819">
        <w:rPr>
          <w:lang w:val="en-GB"/>
        </w:rPr>
        <w:t xml:space="preserve"> </w:t>
      </w:r>
      <w:r w:rsidRPr="00BE3819">
        <w:rPr>
          <w:rFonts w:ascii="Calibri" w:hAnsi="Calibri" w:cs="Calibri"/>
          <w:lang w:val="en-GB"/>
        </w:rPr>
        <w:t>﻿</w:t>
      </w:r>
      <w:r w:rsidRPr="007D3D41">
        <w:rPr>
          <w:lang w:val="en-GB"/>
        </w:rPr>
        <w:t>NR4 7UZ</w:t>
      </w:r>
      <w:r>
        <w:rPr>
          <w:lang w:val="en-GB"/>
        </w:rPr>
        <w:t>,</w:t>
      </w:r>
      <w:r w:rsidRPr="00BB2860">
        <w:rPr>
          <w:lang w:val="en-GB"/>
        </w:rPr>
        <w:t xml:space="preserve"> UK</w:t>
      </w:r>
    </w:p>
    <w:p w14:paraId="129A7291" w14:textId="35A9E318" w:rsidR="001B2E3D" w:rsidRPr="00550626" w:rsidRDefault="001B2E3D" w:rsidP="001B2E3D">
      <w:pPr>
        <w:pStyle w:val="MDPI16affiliation"/>
      </w:pPr>
      <w:r w:rsidRPr="006A74F9">
        <w:rPr>
          <w:b/>
        </w:rPr>
        <w:t>*</w:t>
      </w:r>
      <w:r w:rsidRPr="00D945EC">
        <w:tab/>
        <w:t xml:space="preserve">Correspondence: </w:t>
      </w:r>
      <w:r>
        <w:rPr>
          <w:lang w:val="en-GB"/>
        </w:rPr>
        <w:t>daniel.brewer</w:t>
      </w:r>
      <w:r w:rsidRPr="004C768D">
        <w:rPr>
          <w:lang w:val="en-GB"/>
        </w:rPr>
        <w:t>@uea.ac.uk (J.C</w:t>
      </w:r>
      <w:r>
        <w:rPr>
          <w:lang w:val="en-GB"/>
        </w:rPr>
        <w:t>.)</w:t>
      </w:r>
    </w:p>
    <w:p w14:paraId="2DFE7349" w14:textId="77777777" w:rsidR="001B2E3D" w:rsidRPr="00550626" w:rsidRDefault="001B2E3D" w:rsidP="001B2E3D">
      <w:pPr>
        <w:pStyle w:val="MDPI17abstract"/>
        <w:rPr>
          <w:szCs w:val="18"/>
        </w:rPr>
      </w:pPr>
      <w:r w:rsidRPr="00550626">
        <w:rPr>
          <w:b/>
          <w:szCs w:val="18"/>
        </w:rPr>
        <w:t xml:space="preserve">Abstract: </w:t>
      </w:r>
      <w:r>
        <w:t>C</w:t>
      </w:r>
      <w:r w:rsidRPr="00360C99">
        <w:t xml:space="preserve">linical management </w:t>
      </w:r>
      <w:r>
        <w:t xml:space="preserve">of prostate cancer </w:t>
      </w:r>
      <w:r w:rsidRPr="00360C99">
        <w:t xml:space="preserve">is challenging because of its highly variable natural </w:t>
      </w:r>
      <w:r>
        <w:t>history and so there is a need for improved predictors of outcome in non-metastatic men at the time of diagnosis.</w:t>
      </w:r>
      <w:r w:rsidRPr="002360CF">
        <w:t xml:space="preserve"> </w:t>
      </w:r>
      <w:r w:rsidRPr="0084638A">
        <w:t xml:space="preserve">In this </w:t>
      </w:r>
      <w:r>
        <w:t xml:space="preserve">study we calculated the model score from the leading </w:t>
      </w:r>
      <w:r>
        <w:rPr>
          <w:rFonts w:cs="Arial"/>
        </w:rPr>
        <w:t xml:space="preserve">clinical </w:t>
      </w:r>
      <w:r>
        <w:t>multivariable</w:t>
      </w:r>
      <w:r w:rsidRPr="0084638A">
        <w:t xml:space="preserve"> model</w:t>
      </w:r>
      <w:r>
        <w:t>, PREDICT prostate, and the poor prognosis DESNT molecular subtype, in a combined expression and clinical dataset that were taken from malignant tissue at prostatectomy (</w:t>
      </w:r>
      <w:r w:rsidRPr="0068170E">
        <w:rPr>
          <w:i/>
          <w:iCs/>
        </w:rPr>
        <w:t>n</w:t>
      </w:r>
      <w:r>
        <w:t xml:space="preserve"> = 359). Both PREDICT score (</w:t>
      </w:r>
      <w:r w:rsidRPr="00FA2005">
        <w:rPr>
          <w:i/>
          <w:iCs/>
        </w:rPr>
        <w:t>p</w:t>
      </w:r>
      <w:r>
        <w:t xml:space="preserve"> &lt; 0.0001, IQR </w:t>
      </w:r>
      <w:r w:rsidRPr="00814E69">
        <w:t>HR</w:t>
      </w:r>
      <w:r>
        <w:t xml:space="preserve"> = </w:t>
      </w:r>
      <w:r w:rsidRPr="00FA2005">
        <w:t>1.59</w:t>
      </w:r>
      <w:r>
        <w:t>) and DESNT score (</w:t>
      </w:r>
      <w:r w:rsidRPr="00FA2005">
        <w:rPr>
          <w:i/>
          <w:iCs/>
        </w:rPr>
        <w:t>p</w:t>
      </w:r>
      <w:r>
        <w:t xml:space="preserve"> &lt; 0.0001, IQR </w:t>
      </w:r>
      <w:r w:rsidRPr="00814E69">
        <w:t>HR</w:t>
      </w:r>
      <w:r>
        <w:t xml:space="preserve"> = 2.08) were significant predictors for time to biochemical recurrence. A joint model combining the continuous PREDICT and DESNT score (</w:t>
      </w:r>
      <w:r w:rsidRPr="00FA2005">
        <w:rPr>
          <w:i/>
          <w:iCs/>
        </w:rPr>
        <w:t>p</w:t>
      </w:r>
      <w:r>
        <w:t xml:space="preserve"> &lt; 0.0001, IQR </w:t>
      </w:r>
      <w:r w:rsidRPr="00814E69">
        <w:t>HR</w:t>
      </w:r>
      <w:r>
        <w:t>= 1.53 and 1.79 respectively) produced a significantly improved predictor than either model alone (</w:t>
      </w:r>
      <w:r w:rsidRPr="00F54B45">
        <w:rPr>
          <w:i/>
          <w:iCs/>
        </w:rPr>
        <w:t>p</w:t>
      </w:r>
      <w:r w:rsidRPr="00F54B45">
        <w:t xml:space="preserve"> &lt; 0.001</w:t>
      </w:r>
      <w:r>
        <w:t>). An increased probability of mortality after diagnosis, as estimated by PREDICT, was characterised by upregulation of cell-cycle related pathways</w:t>
      </w:r>
      <w:r w:rsidRPr="00E5652B">
        <w:t xml:space="preserve"> </w:t>
      </w:r>
      <w:r>
        <w:t>and the downregulation of metabolism and cholesterol biosynthesis. The DESNT molecular subtype has distinct biological characteristics to those associated with the PREDICT model. We conclude that the inclusion of biological information alongside current clinical prognostic tools has the potential to improve the ability to choose the optimal treatment pathway for a patient.</w:t>
      </w:r>
    </w:p>
    <w:p w14:paraId="15998B24" w14:textId="77777777" w:rsidR="001B2E3D" w:rsidRPr="00550626" w:rsidRDefault="001B2E3D" w:rsidP="001B2E3D">
      <w:pPr>
        <w:pStyle w:val="MDPI18keywords"/>
        <w:rPr>
          <w:szCs w:val="18"/>
        </w:rPr>
      </w:pPr>
      <w:r w:rsidRPr="00550626">
        <w:rPr>
          <w:b/>
          <w:szCs w:val="18"/>
        </w:rPr>
        <w:t xml:space="preserve">Keywords: </w:t>
      </w:r>
      <w:r>
        <w:t>prostate cancer; clinical models; predictive models; molecular subtypes; transcriptome; expression; statistical model</w:t>
      </w:r>
    </w:p>
    <w:p w14:paraId="4B1F6759" w14:textId="77777777" w:rsidR="00AF05DF" w:rsidRPr="00550626" w:rsidRDefault="00AF05DF" w:rsidP="00AF05DF">
      <w:pPr>
        <w:pStyle w:val="MDPI19line"/>
      </w:pPr>
    </w:p>
    <w:p w14:paraId="13EB7A47" w14:textId="77777777" w:rsidR="001B2E3D" w:rsidRDefault="001B2E3D" w:rsidP="001B2E3D">
      <w:pPr>
        <w:pStyle w:val="MDPI21heading1"/>
        <w:rPr>
          <w:lang w:eastAsia="zh-CN"/>
        </w:rPr>
      </w:pPr>
      <w:r w:rsidRPr="007F2582">
        <w:rPr>
          <w:lang w:eastAsia="zh-CN"/>
        </w:rPr>
        <w:t>1. Introduction</w:t>
      </w:r>
    </w:p>
    <w:p w14:paraId="4BBEB961" w14:textId="77777777" w:rsidR="001B2E3D" w:rsidRDefault="001B2E3D" w:rsidP="001B2E3D">
      <w:pPr>
        <w:pStyle w:val="MDPI31text"/>
        <w:spacing w:before="240" w:after="60"/>
        <w:outlineLvl w:val="0"/>
        <w:rPr>
          <w:lang w:val="en-GB"/>
        </w:rPr>
      </w:pPr>
      <w:r w:rsidRPr="00E8198F">
        <w:rPr>
          <w:lang w:val="en-GB"/>
        </w:rPr>
        <w:t>Prostate cancer is distressingly common (diagnosed in 48,487 of men in UK per year)</w:t>
      </w:r>
    </w:p>
    <w:p w14:paraId="6EDA91EE" w14:textId="65978FEB" w:rsidR="001B2E3D" w:rsidRPr="004D5009" w:rsidRDefault="001B2E3D" w:rsidP="001B2E3D">
      <w:pPr>
        <w:pStyle w:val="MDPI31text"/>
        <w:ind w:left="0" w:firstLine="0"/>
        <w:rPr>
          <w:lang w:val="en-GB"/>
        </w:rPr>
      </w:pPr>
      <w:r w:rsidRPr="00E8198F">
        <w:rPr>
          <w:lang w:val="en-GB"/>
        </w:rPr>
        <w:t xml:space="preserve">but not frequently fatal (13% of male cancer deaths) </w:t>
      </w:r>
      <w:r w:rsidRPr="00E8198F">
        <w:rPr>
          <w:lang w:val="en-GB"/>
        </w:rPr>
        <w:fldChar w:fldCharType="begin" w:fldLock="1"/>
      </w:r>
      <w:r w:rsidR="005949F0">
        <w:rPr>
          <w:lang w:val="en-GB"/>
        </w:rPr>
        <w:instrText xml:space="preserve"> ADDIN ZOTERO_ITEM CSL_CITATION {"citationID":"45tc55Nv","properties":{"formattedCitation":"[1]","plainCitation":"[1]","noteIndex":0},"citationItems":[{"id":"OyO8BWdL/ZHhIZcV0","uris":["http://www.mendeley.com/documents/?uuid=dd5fad4f-41ef-417e-955a-11d2ef7e89c3"],"itemData":{"URL":"https://www.cancerresearchuk.org/health-professional/cancer-statistics/statistics-by-cancer-type/prostate-cancer","accessed":{"date-parts":[["2021","8","17"]]},"author":[{"dropping-particle":"","family":"Cancer Research UK","given":"","non-dropping-particle":"","parse-names":false,"suffix":""}],"id":"ITEM-1","issued":{"date-parts":[["2021"]]},"title":"Prostate cancer statistics","type":"webpage"}}],"schema":"https://github.com/citation-style-language/schema/raw/master/csl-citation.json"} </w:instrText>
      </w:r>
      <w:r w:rsidRPr="00E8198F">
        <w:rPr>
          <w:lang w:val="en-GB"/>
        </w:rPr>
        <w:fldChar w:fldCharType="separate"/>
      </w:r>
      <w:r>
        <w:rPr>
          <w:lang w:val="en-GB"/>
        </w:rPr>
        <w:t>[1]</w:t>
      </w:r>
      <w:r w:rsidRPr="00E8198F">
        <w:fldChar w:fldCharType="end"/>
      </w:r>
      <w:r w:rsidRPr="00E8198F">
        <w:rPr>
          <w:lang w:val="en-GB"/>
        </w:rPr>
        <w:t xml:space="preserve">. The progression of prostate cancer is highly heterogeneous </w:t>
      </w:r>
      <w:r w:rsidRPr="00E8198F">
        <w:rPr>
          <w:lang w:val="en-GB"/>
        </w:rPr>
        <w:fldChar w:fldCharType="begin" w:fldLock="1"/>
      </w:r>
      <w:r w:rsidR="005949F0">
        <w:rPr>
          <w:lang w:val="en-GB"/>
        </w:rPr>
        <w:instrText xml:space="preserve"> ADDIN ZOTERO_ITEM CSL_CITATION {"citationID":"g9z83pFS","properties":{"formattedCitation":"[2]","plainCitation":"[2]","noteIndex":0},"citationItems":[{"id":"OyO8BWdL/TSlGYypt","uris":["http://www.mendeley.com/documents/?uuid=aa324fa9-888c-472c-a3fd-c180c9b4cf90"],"itemData":{"DOI":"10.1200/JCO.2003.01.075","ISSN":"0732-183X","PMID":"12775742","abstract":"Purpose: To determine whether pretreatment risk groups shown to predict time to prostate cancer–specific mortality (PCSM) after treatment at a single institution retained that ability in a multi-institutional setting. Patients and Methods: From 1988 to 2002, 7,316 patients treated in the United States at 44 institutions with either surgery (n = 4,946) or radiation (n = 2,370) for clinical stage T1c-2, N0 or NX, M0 prostate cancer made up the study cohort. A Cox regression analysis was performed to determine the ability of pretreatment risk groups to predict time to PCSM after treatment. The relative risk (RR) of PCSM and 95% confidence intervals (CIs) were calculated for the intermediate- and high-risk groups relative to the low-risk group. Results: Estimates of non-PCSM 8 years after prostate-specific antigen (PSA) failure were 4% v 15% (surgery versus radiation; Plog rank = .002) compared with 13% v 18% (surgery versus radiation; Plog rank = .35) for patients whose age at the time of PSA failure was les...","author":[{"dropping-particle":"V","family":"D’Amico","given":"Anthony","non-dropping-particle":"","parse-names":false,"suffix":""},{"dropping-particle":"","family":"Moul","given":"Judd","non-dropping-particle":"","parse-names":false,"suffix":""},{"dropping-particle":"","family":"Carroll","given":"Peter R","non-dropping-particle":"","parse-names":false,"suffix":""},{"dropping-particle":"","family":"Sun","given":"Leon","non-dropping-particle":"","parse-names":false,"suffix":""},{"dropping-particle":"","family":"Lubeck","given":"Deborah","non-dropping-particle":"","parse-names":false,"suffix":""},{"dropping-particle":"","family":"Chen","given":"Ming-Hui","non-dropping-particle":"","parse-names":false,"suffix":""},{"dropping-particle":"V","family":"D'Amico","given":"Anthony","non-dropping-particle":"","parse-names":false,"suffix":""},{"dropping-particle":"","family":"Moul","given":"Judd","non-dropping-particle":"","parse-names":false,"suffix":""},{"dropping-particle":"","family":"Carroll","given":"Peter R","non-dropping-particle":"","parse-names":false,"suffix":""},{"dropping-particle":"","family":"Sun","given":"Leon","non-dropping-particle":"","parse-names":false,"suffix":""},{"dropping-particle":"","family":"Lubeck","given":"Deborah","non-dropping-particle":"","parse-names":false,"suffix":""},{"dropping-particle":"","family":"Chen","given":"Ming-Hui","non-dropping-particle":"","parse-names":false,"suffix":""},{"dropping-particle":"V","family":"D’Amico","given":"Anthony","non-dropping-particle":"","parse-names":false,"suffix":""},{"dropping-particle":"","family":"Moul","given":"Judd","non-dropping-particle":"","parse-names":false,"suffix":""},{"dropping-particle":"","family":"Carroll","given":"Peter R","non-dropping-particle":"","parse-names":false,"suffix":""},{"dropping-particle":"","family":"Sun","given":"Leon","non-dropping-particle":"","parse-names":false,"suffix":""},{"dropping-particle":"","family":"Lubeck","given":"Deborah","non-dropping-particle":"","parse-names":false,"suffix":""},{"dropping-particle":"","family":"Chen","given":"Ming-Hui","non-dropping-particle":"","parse-names":false,"suffix":""}],"container-title":"Journal of Clinical Oncology","id":"ITEM-1","issue":"11","issued":{"date-parts":[["2003","6","1"]]},"language":"English","page":"2163-2172","publisher":"American Society of Clinical Oncology","title":"Cancer-Specific Mortality After Surgery or Radiation for Patients With Clinically Localized Prostate Cancer Managed During the Prostate-Specific Antigen Era","type":"article-journal","volume":"21"}}],"schema":"https://github.com/citation-style-language/schema/raw/master/csl-citation.json"} </w:instrText>
      </w:r>
      <w:r w:rsidRPr="00E8198F">
        <w:rPr>
          <w:lang w:val="en-GB"/>
        </w:rPr>
        <w:fldChar w:fldCharType="separate"/>
      </w:r>
      <w:r w:rsidR="005949F0">
        <w:t>[2]</w:t>
      </w:r>
      <w:r w:rsidRPr="00E8198F">
        <w:fldChar w:fldCharType="end"/>
      </w:r>
      <w:r w:rsidRPr="00E8198F">
        <w:rPr>
          <w:lang w:val="en-GB"/>
        </w:rPr>
        <w:t xml:space="preserve">, and </w:t>
      </w:r>
      <w:r w:rsidR="005949F0">
        <w:rPr>
          <w:lang w:val="en-GB"/>
        </w:rPr>
        <w:t xml:space="preserve">clinical management is challenging </w:t>
      </w:r>
      <w:r w:rsidR="005949F0" w:rsidRPr="00E8198F">
        <w:rPr>
          <w:lang w:val="en-GB"/>
        </w:rPr>
        <w:fldChar w:fldCharType="begin" w:fldLock="1"/>
      </w:r>
      <w:r w:rsidR="005949F0">
        <w:rPr>
          <w:lang w:val="en-GB"/>
        </w:rPr>
        <w:instrText xml:space="preserve"> ADDIN ZOTERO_ITEM CSL_CITATION {"citationID":"GddvTCyl","properties":{"formattedCitation":"[3,4]","plainCitation":"[3,4]","noteIndex":0},"citationItems":[{"id":"OyO8BWdL/NshtsSyA","uris":["http://www.mendeley.com/documents/?uuid=c7ec32cf-a77e-4729-90de-95b8a9490128"],"itemData":{"DOI":"10.1016/j.ccr.2009.11.006","ISBN":"1535-6108","ISSN":"15356108","PMID":"19962664","abstract":"The clinical data from abiraterone acetate and MDV-3100 confirm continued androgen receptor (AR) addiction in a significant proportion of castration-resistant prostate cancers (CRPC). However, patients nearly invariably progress with a rise in prostate-specific antigen, suggesting resumption of transcription of hormone-regulated genes. If CRPC remains addicted to steroid receptor signaling, including, but not exclusive, to AR, how does reactivation occur? Or if cancers lose this addiction, do they remain driven by the same oncogenic mechanisms? The future development of therapeutics for CRPC should be informed by an understanding of the mechanisms underlying disease progression following treatment with these novel agents. © 2009 Elsevier Inc. All rights reserved.","author":[{"dropping-particle":"","family":"Attard","given":"Gerhardt","non-dropping-particle":"","parse-names":false,"suffix":""},{"dropping-particle":"","family":"Cooper","given":"Colin S.","non-dropping-particle":"","parse-names":false,"suffix":""},{"dropping-particle":"","family":"Bono","given":"Johann S.","non-dropping-particle":"de","parse-names":false,"suffix":""}],"container-title":"Cancer Cell","id":"ITEM-1","issue":"6","issued":{"date-parts":[["2009","12","8"]]},"page":"458-462","publisher":"Elsevier Inc.","title":"Steroid Hormone Receptors in Prostate Cancer: A Hard Habit to Break?","type":"article-journal","volume":"16"}},{"id":"OyO8BWdL/uFhDGpVn","uris":["http://www.mendeley.com/documents/?uuid=cc941d37-ed3d-48fd-b83b-a5c7d082f645"],"itemData":{"DOI":"10.1016/j.urolonc.2015.04.004","ISSN":"1873-2496","PMID":"25960411","abstract":"BACKGROUND: To date, no study has examined clinical, pathological, and surgical characteristics of D</w:instrText>
      </w:r>
      <w:r w:rsidR="005949F0">
        <w:rPr>
          <w:rFonts w:ascii="Times New Roman" w:hAnsi="Times New Roman"/>
          <w:lang w:val="en-GB"/>
        </w:rPr>
        <w:instrText>׳</w:instrText>
      </w:r>
      <w:r w:rsidR="005949F0">
        <w:rPr>
          <w:lang w:val="en-GB"/>
        </w:rPr>
        <w:instrText>Amico low-risk patients according to active surveillance (AS) eligibility.\n\nMATERIAL AND METHODS: We relied on patients with low-risk prostate cancer, who were classified based on the D</w:instrText>
      </w:r>
      <w:r w:rsidR="005949F0">
        <w:rPr>
          <w:rFonts w:ascii="Times New Roman" w:hAnsi="Times New Roman"/>
          <w:lang w:val="en-GB"/>
        </w:rPr>
        <w:instrText>׳</w:instrText>
      </w:r>
      <w:r w:rsidR="005949F0">
        <w:rPr>
          <w:lang w:val="en-GB"/>
        </w:rPr>
        <w:instrText>Amico classification, treated with radical prostatectomy (RP) between 2008 and 2013 at the Martini-Clinic Prostate Cancer Center. We assessed differences in clinical, pathological, and surgical characteristics in D</w:instrText>
      </w:r>
      <w:r w:rsidR="005949F0">
        <w:rPr>
          <w:rFonts w:ascii="Times New Roman" w:hAnsi="Times New Roman"/>
          <w:lang w:val="en-GB"/>
        </w:rPr>
        <w:instrText>׳</w:instrText>
      </w:r>
      <w:r w:rsidR="005949F0">
        <w:rPr>
          <w:lang w:val="en-GB"/>
        </w:rPr>
        <w:instrText>Amico low-risk patients according to AS eligibility (prostate-specific antigen [PSA]≤ 10 ng/ml, Gleason score ≤ 3 + 3, ≤ 2 positive cores,≤5 0% tumor content per core, and ≤ cT1-2a). Multivariable logistic regression analyses targeted 2 end points: (1) presence of either intermediate- or high-risk characteristics (Gleason score ≥ 3+4 or ≥ pT3 or pN1) or (2) exclusive presence of high-risk characteristics (Gleason score ≥ 4+4 or ≥ pT3 or pN1) at RP.\n\nRESULTS: Of 1,331 patients low-risk prostate cancer classified based on the D</w:instrText>
      </w:r>
      <w:r w:rsidR="005949F0">
        <w:rPr>
          <w:rFonts w:ascii="Times New Roman" w:hAnsi="Times New Roman"/>
          <w:lang w:val="en-GB"/>
        </w:rPr>
        <w:instrText>׳</w:instrText>
      </w:r>
      <w:r w:rsidR="005949F0">
        <w:rPr>
          <w:lang w:val="en-GB"/>
        </w:rPr>
        <w:instrText>Amico classification, 825 (62%) men were eligible for AS. AS candidates were less frequently either upgraded (55% vs. 78%, P&lt;0.001) or upstaged (8% vs. 15%, P&lt;0.001). Similarly, at final pathology, AS candidates less frequently harbored either intermediate- or high-risk (56% vs. 78%, P&lt;0.001), or exclusive high-risk characteristics (9% vs. 16%, P&lt;0.001). Tumor involvement per core (&gt;50%) (most powerful), number of positive cores, PSA values, and age were independent predictors for either intermediate- or high-risk characteristics at RP. Tumor involvement per core and PSA values were independent predictors for exclusive high-risk characteristics at RP.\n\nCONCLUSIONS: D</w:instrText>
      </w:r>
      <w:r w:rsidR="005949F0">
        <w:rPr>
          <w:rFonts w:ascii="Times New Roman" w:hAnsi="Times New Roman"/>
          <w:lang w:val="en-GB"/>
        </w:rPr>
        <w:instrText>׳</w:instrText>
      </w:r>
      <w:r w:rsidR="005949F0">
        <w:rPr>
          <w:lang w:val="en-GB"/>
        </w:rPr>
        <w:instrText xml:space="preserve">Amico low-risk patients did not have a homogeneous histology at RP. Especially, non-AS candidates were at a higher risk of either upgrading or upstaging at final pathology. Tumor involvement greater than 50% per core was the most powerful indicator of adverse pathology. Therefore, D'Amico low-risk criteria are not safe enough to identify AS candidates.","author":[{"dropping-particle":"","family":"Schiffmann","given":"Jonas","non-dropping-particle":"","parse-names":false,"suffix":""},{"dropping-particle":"","family":"Wenzel","given":"Philipp","non-dropping-particle":"","parse-names":false,"suffix":""},{"dropping-particle":"","family":"Salomon","given":"Georg","non-dropping-particle":"","parse-names":false,"suffix":""},{"dropping-particle":"","family":"Budäus","given":"Lars","non-dropping-particle":"","parse-names":false,"suffix":""},{"dropping-particle":"","family":"Schlomm","given":"Thorsten","non-dropping-particle":"","parse-names":false,"suffix":""},{"dropping-particle":"","family":"Minner","given":"Sarah","non-dropping-particle":"","parse-names":false,"suffix":""},{"dropping-particle":"","family":"Wittmer","given":"Corinna","non-dropping-particle":"","parse-names":false,"suffix":""},{"dropping-particle":"","family":"Kraft","given":"Stefan","non-dropping-particle":"","parse-names":false,"suffix":""},{"dropping-particle":"","family":"Krech","given":"Till","non-dropping-particle":"","parse-names":false,"suffix":""},{"dropping-particle":"","family":"Steurer","given":"Stefan","non-dropping-particle":"","parse-names":false,"suffix":""},{"dropping-particle":"","family":"Sauter","given":"Guido","non-dropping-particle":"","parse-names":false,"suffix":""},{"dropping-particle":"","family":"Beyer","given":"Burkhard","non-dropping-particle":"","parse-names":false,"suffix":""},{"dropping-particle":"","family":"Boehm","given":"Katharina","non-dropping-particle":"","parse-names":false,"suffix":""},{"dropping-particle":"","family":"Tilki","given":"Derya","non-dropping-particle":"","parse-names":false,"suffix":""},{"dropping-particle":"","family":"Michl","given":"Uwe","non-dropping-particle":"","parse-names":false,"suffix":""},{"dropping-particle":"","family":"Huland","given":"Hartwig","non-dropping-particle":"","parse-names":false,"suffix":""},{"dropping-particle":"","family":"Graefen","given":"Markus","non-dropping-particle":"","parse-names":false,"suffix":""},{"dropping-particle":"","family":"Karakiewicz","given":"Pierre I","non-dropping-particle":"","parse-names":false,"suffix":""}],"container-title":"Urologic oncology","id":"ITEM-2","issue":"7","issued":{"date-parts":[["2015","7"]]},"page":"329.e13-9","title":"Heterogeneity in D'Amico classification-based low-risk prostate cancer: Differences in upgrading and upstaging according to active surveillance eligibility.","type":"article-journal","volume":"33"}}],"schema":"https://github.com/citation-style-language/schema/raw/master/csl-citation.json"} </w:instrText>
      </w:r>
      <w:r w:rsidR="005949F0" w:rsidRPr="00E8198F">
        <w:rPr>
          <w:lang w:val="en-GB"/>
        </w:rPr>
        <w:fldChar w:fldCharType="separate"/>
      </w:r>
      <w:r w:rsidR="005949F0">
        <w:rPr>
          <w:lang w:val="en-GB"/>
        </w:rPr>
        <w:t>[3,4]</w:t>
      </w:r>
      <w:r w:rsidR="005949F0" w:rsidRPr="00E8198F">
        <w:fldChar w:fldCharType="end"/>
      </w:r>
      <w:r w:rsidRPr="00E8198F">
        <w:rPr>
          <w:lang w:val="en-GB"/>
        </w:rPr>
        <w:t xml:space="preserve">. It is also estimated, that as many as 50-80% of PSA-detected prostate cancers are clinically irrelevant, that is, even without treatment, they would never have caused any symptoms </w:t>
      </w:r>
      <w:r w:rsidRPr="00E8198F">
        <w:rPr>
          <w:lang w:val="en-GB"/>
        </w:rPr>
        <w:fldChar w:fldCharType="begin" w:fldLock="1"/>
      </w:r>
      <w:r w:rsidR="005949F0">
        <w:rPr>
          <w:lang w:val="en-GB"/>
        </w:rPr>
        <w:instrText xml:space="preserve"> ADDIN ZOTERO_ITEM CSL_CITATION {"citationID":"FPW9sN8A","properties":{"formattedCitation":"[5]","plainCitation":"[5]","noteIndex":0},"citationItems":[{"id":"OyO8BWdL/a89iFjYN","uris":["http://www.mendeley.com/documents/?uuid=e6c5e517-f2d3-4337-bd7f-ad86f1e96d36"],"itemData":{"DOI":"10.1056/NEJMoa1606220","ISBN":"1533-4406\\r0028-4793","ISSN":"0028-4793","PMID":"27626136","abstract":"BackgroundThe comparative effectiveness of treatments for prostate cancer that is detected by prostate-specific antigen (PSA) testing remains uncertain. MethodsWe compared active monitoring, radical prostatectomy, and external-beam radiotherapy for the treatment of clinically localized prostate cancer. Between 1999 and 2009, a total of 82,429 men 50 to 69 years of age received a PSA test; 2664 received a diagnosis of localized prostate cancer, and 1643 agreed to undergo randomization to active monitoring (545 men), surgery (553), or radiotherapy (545). The primary outcome was prostate-cancer mortality at a median of 10 years of follow-up. Secondary outcomes included the rates of disease progression, metastases, and all-cause deaths. ResultsThere were 17 prostate-cancer–specific deaths overall: 8 in the active-monitoring group (1.5 deaths per 1000 person-years; 95% confidence interval [CI], 0.7 to 3.0), 5 in the surgery group (0.9 per 1000 person-years; 95% CI, 0.4 to 2.2), and 4 in the radiotherapy group ...","author":[{"dropping-particle":"","family":"Hamdy","given":"Freddie C","non-dropping-particle":"","parse-names":false,"suffix":""},{"dropping-particle":"","family":"Donovan","given":"Jenny L","non-dropping-particle":"","parse-names":false,"suffix":""},{"dropping-particle":"","family":"Lane","given":"J Athene","non-dropping-particle":"","parse-names":false,"suffix":""},{"dropping-particle":"","family":"Mason","given":"Malcolm","non-dropping-particle":"","parse-names":false,"suffix":""},{"dropping-particle":"","family":"Metcalfe","given":"Chris","non-dropping-particle":"","parse-names":false,"suffix":""},{"dropping-particle":"","family":"Holding","given":"Peter","non-dropping-particle":"","parse-names":false,"suffix":""},{"dropping-particle":"","family":"Davis","given":"Michael","non-dropping-particle":"","parse-names":false,"suffix":""},{"dropping-particle":"","family":"Peters","given":"Tim J","non-dropping-particle":"","parse-names":false,"suffix":""},{"dropping-particle":"","family":"Turner","given":"Emma L","non-dropping-particle":"","parse-names":false,"suffix":""},{"dropping-particle":"","family":"Martin","given":"Richard M","non-dropping-particle":"","parse-names":false,"suffix":""},{"dropping-particle":"","family":"Oxley","given":"Jon","non-dropping-particle":"","parse-names":false,"suffix":""},{"dropping-particle":"","family":"Robinson","given":"Mary","non-dropping-particle":"","parse-names":false,"suffix":""},{"dropping-particle":"","family":"Staffurth","given":"John","non-dropping-particle":"","parse-names":false,"suffix":""},{"dropping-particle":"","family":"Walsh","given":"Eleanor","non-dropping-particle":"","parse-names":false,"suffix":""},{"dropping-particle":"","family":"Bollina","given":"Prasad","non-dropping-particle":"","parse-names":false,"suffix":""},{"dropping-particle":"","family":"Catto","given":"James","non-dropping-particle":"","parse-names":false,"suffix":""},{"dropping-particle":"","family":"Doble","given":"Andrew","non-dropping-particle":"","parse-names":false,"suffix":""},{"dropping-particle":"","family":"Doherty","given":"Alan","non-dropping-particle":"","parse-names":false,"suffix":""},{"dropping-particle":"","family":"Gillatt","given":"David","non-dropping-particle":"","parse-names":false,"suffix":""},{"dropping-particle":"","family":"Kockelbergh","given":"Roger","non-dropping-particle":"","parse-names":false,"suffix":""},{"dropping-particle":"","family":"Kynaston","given":"Howard","non-dropping-particle":"","parse-names":false,"suffix":""},{"dropping-particle":"","family":"Paul","given":"Alan","non-dropping-particle":"","parse-names":false,"suffix":""},{"dropping-particle":"","family":"Powell","given":"Philip","non-dropping-particle":"","parse-names":false,"suffix":""},{"dropping-particle":"","family":"Prescott","given":"Stephen","non-dropping-particle":"","parse-names":false,"suffix":""},{"dropping-particle":"","family":"Rosario","given":"Derek J","non-dropping-particle":"","parse-names":false,"suffix":""},{"dropping-particle":"","family":"Rowe","given":"Edward","non-dropping-particle":"","parse-names":false,"suffix":""},{"dropping-particle":"","family":"Neal","given":"David E","non-dropping-particle":"","parse-names":false,"suffix":""}],"container-title":"New England Journal of Medicine","id":"ITEM-1","issue":"15","issued":{"date-parts":[["2016","10"]]},"page":"1415-1424","publisher":"Massachusetts Medical Society","title":"10-Year Outcomes after Monitoring, Surgery, or Radiotherapy for Localized Prostate Cancer","type":"article-journal","volume":"375"}}],"schema":"https://github.com/citation-style-language/schema/raw/master/csl-citation.json"} </w:instrText>
      </w:r>
      <w:r w:rsidRPr="00E8198F">
        <w:rPr>
          <w:lang w:val="en-GB"/>
        </w:rPr>
        <w:fldChar w:fldCharType="separate"/>
      </w:r>
      <w:r>
        <w:rPr>
          <w:lang w:val="en-GB"/>
        </w:rPr>
        <w:t>[5]</w:t>
      </w:r>
      <w:r w:rsidRPr="00E8198F">
        <w:fldChar w:fldCharType="end"/>
      </w:r>
      <w:r w:rsidRPr="00E8198F">
        <w:rPr>
          <w:lang w:val="en-GB"/>
        </w:rPr>
        <w:t xml:space="preserve">. This has confounded attempts to develop a consistent and reliable approach to identify aggressive disease. Radical treatment of early prostate cancer, with surgery or radiotherapy, </w:t>
      </w:r>
      <w:r w:rsidR="005949F0">
        <w:rPr>
          <w:lang w:val="en-GB"/>
        </w:rPr>
        <w:t>can lead to</w:t>
      </w:r>
      <w:r w:rsidRPr="00E8198F">
        <w:rPr>
          <w:lang w:val="en-GB"/>
        </w:rPr>
        <w:t xml:space="preserve"> life changing side-effects of treatment such as impotence or incontinence </w:t>
      </w:r>
      <w:r w:rsidRPr="00E8198F">
        <w:rPr>
          <w:lang w:val="en-GB"/>
        </w:rPr>
        <w:fldChar w:fldCharType="begin" w:fldLock="1"/>
      </w:r>
      <w:r w:rsidR="005949F0">
        <w:rPr>
          <w:lang w:val="en-GB"/>
        </w:rPr>
        <w:instrText xml:space="preserve"> ADDIN ZOTERO_ITEM CSL_CITATION {"citationID":"pwLQP463","properties":{"formattedCitation":"[6]","plainCitation":"[6]","noteIndex":0},"citationItems":[{"id":"OyO8BWdL/Aur3fcQK","uris":["http://www.mendeley.com/documents/?uuid=640567b6-3be7-47d6-98f7-ff302c218950"],"itemData":{"abstract":"Background: Screening can detect prostate cancer at earlier, asymptomatic stages, when treatments might be more effective. Purpose: To update the 2002 and 2008 U.S. Preventive Services Task Force evidence reviews on screening and treatments for prostate cancer. Data Sources: MEDLINE (2002 to July 2011) and the Cochrane Library Database (through second quarter of 2011). Study Selection: Randomized trials of prostate-specific antigen– based screening, randomized trials and cohort studies of prostatectomy or radiation therapy versus watchful waiting, and large observational studies of perioperative harms. Data Extraction: Investigators abstracted and checked study details and quality using predefined criteria. Data Synthesis: Of 5 screening trials, the 2 largest and highest-quality studies reported conflicting results. One found that screening was associated with reduced prostate cancer– specific mortality compared with no screening in a subgroup of men aged 55 to 69 years after 9 years (relative risk, 0.80 [95% CI, 0.65 to 0.98]; absolute risk reduction, 0.07 percentage point). The other found no statistically significant effect after 10 years (relative risk, 1.1 [CI, 0.80 to 1.5]). After 3 or 4 screening rounds, 12% to 13% of screened men had falsepositive results. Serious infections or urine retention occurred after 0.5% to 1.0% of prostate biopsies. There were 3 randomized trials and 23 cohort studies of treatments. One good-quality trial found that prostatectomy for localized prostate cancer decreased risk for prostate cancer–specific mortality compared with watchful waiting through 13 years of follow-up (relative risk, 0.62 [CI, 0.44 to 0.87]; absolute risk reduction, 6.1%). Benefits seemed to be limited to men younger than 65 years. Treating approximately 3 men with prostatectomy or 7 men with radiation therapy instead of watchful waiting would each result in 1 additional case of erectile dysfunction. Treating approximately 5 men with prostatectomy would result in 1 additional case of urinary incontinence. Prostatectomy was associated with perioperative death (about 0.5%) and cardiovascular events (0.6% to 3%), and radiation therapy was associated with bowel dysfunction. Limitations: Only English-language articles were included. Few studies evaluated newer therapies. Conclusion: Prostate-specific antigen–based screening results in small or no reduction in prostate cancer–specific mortality and is associated with harms related to subsequent evaluatio…","author":[{"dropping-particle":"","family":"Chou","given":"Roger","non-dropping-particle":"","parse-names":false,"suffix":""},{"dropping-particle":"","family":"Croswell","given":"Jennifer M","non-dropping-particle":"","parse-names":false,"suffix":""},{"dropping-particle":"","family":"Dana","given":"Tracy","non-dropping-particle":"","parse-names":false,"suffix":""},{"dropping-particle":"","family":"Bougatsos","given":"Christina","non-dropping-particle":"","parse-names":false,"suffix":""},{"dropping-particle":"","family":"Blazina","given":"Ian","non-dropping-particle":"","parse-names":false,"suffix":""},{"dropping-particle":"","family":"Fu","given":"Rongwei","non-dropping-particle":"","parse-names":false,"suffix":""}],"container-title":"Ann Intern Med","id":"ITEM-1","issued":{"date-parts":[["2011"]]},"page":"762-771","title":"Review Annals of Internal Medicine Screening for Prostate Cancer : A Review of the Evidence for the U.S. Preventative Services Task Force","type":"article-journal","volume":"155"}}],"schema":"https://github.com/citation-style-language/schema/raw/master/csl-citation.json"} </w:instrText>
      </w:r>
      <w:r w:rsidRPr="00E8198F">
        <w:rPr>
          <w:lang w:val="en-GB"/>
        </w:rPr>
        <w:fldChar w:fldCharType="separate"/>
      </w:r>
      <w:r>
        <w:rPr>
          <w:lang w:val="en-GB"/>
        </w:rPr>
        <w:t>[6]</w:t>
      </w:r>
      <w:r w:rsidRPr="00E8198F">
        <w:fldChar w:fldCharType="end"/>
      </w:r>
      <w:r w:rsidRPr="00E8198F">
        <w:rPr>
          <w:lang w:val="en-GB"/>
        </w:rPr>
        <w:t>. There is a need for improved predictors of outcome in non-metastatic men at the time of diagnosis.</w:t>
      </w:r>
    </w:p>
    <w:p w14:paraId="521D538B" w14:textId="786114C0" w:rsidR="001B2E3D" w:rsidRPr="00E8198F" w:rsidRDefault="001B2E3D" w:rsidP="001B2E3D">
      <w:pPr>
        <w:pStyle w:val="MDPI31text"/>
        <w:spacing w:before="240" w:after="60"/>
        <w:outlineLvl w:val="0"/>
        <w:rPr>
          <w:lang w:val="en-GB"/>
        </w:rPr>
      </w:pPr>
      <w:r w:rsidRPr="00E8198F">
        <w:rPr>
          <w:lang w:val="en-GB"/>
        </w:rPr>
        <w:t xml:space="preserve">One approach is to use the information that is already collected at the point of diagnosis and before treatment to assess prognosis and the value of treatment. Thurtle </w:t>
      </w:r>
      <w:r w:rsidRPr="00E8198F">
        <w:rPr>
          <w:i/>
          <w:iCs/>
          <w:lang w:val="en-GB"/>
        </w:rPr>
        <w:t>et al</w:t>
      </w:r>
      <w:r w:rsidRPr="00E8198F">
        <w:rPr>
          <w:lang w:val="en-GB"/>
        </w:rPr>
        <w:t xml:space="preserve">. </w:t>
      </w:r>
      <w:r w:rsidRPr="00E8198F">
        <w:rPr>
          <w:lang w:val="en-GB"/>
        </w:rPr>
        <w:lastRenderedPageBreak/>
        <w:t>(2019) developed an approach, termed ‘PREDICT Prostate</w:t>
      </w:r>
      <w:r w:rsidRPr="00E8198F">
        <w:rPr>
          <w:i/>
          <w:iCs/>
          <w:lang w:val="en-GB"/>
        </w:rPr>
        <w:t>’</w:t>
      </w:r>
      <w:r w:rsidRPr="00E8198F">
        <w:rPr>
          <w:lang w:val="en-GB"/>
        </w:rPr>
        <w:t xml:space="preserve">, that modelled, at the time of diagnosis, prostate cancer specific mortality (PCSM) and non-prostate cancer mortality (NPCM) using separate multivariable Cox models within a competing risks framework </w:t>
      </w:r>
      <w:r w:rsidRPr="00E8198F">
        <w:rPr>
          <w:lang w:val="en-GB"/>
        </w:rPr>
        <w:fldChar w:fldCharType="begin"/>
      </w:r>
      <w:r>
        <w:rPr>
          <w:lang w:val="en-GB"/>
        </w:rPr>
        <w:instrText xml:space="preserve"> ADDIN ZOTERO_ITEM CSL_CITATION {"citationID":"35N3HPE2","properties":{"formattedCitation":"[7]","plainCitation":"[7]","noteIndex":0},"citationItems":[{"id":6385,"uris":["http://zotero.org/users/9745539/items/CY6RCJSV"],"itemData":{"id":6385,"type":"article-journal","abstract":"by David R. Thurtle, David C. Greenberg, Lui S. Lee, Hong H. Huang, Paul D. Pharoah, Vincent J. Gnanapragasam Background Prognostic stratification is the cornerstone of management in nonmetastatic prostate cancer (PCa). However, existing prognostic models are inadequate—often using treatment outcomes rather than survival, stratifying by broad heterogeneous groups and using heavily treated cohorts. To address this unmet need, we developed an individualised prognostic model that contextualises PCa-specific mortality (PCSM) against other cause mortality, and estimates the impact of treatment on survival. Methods and findings Using records from the United Kingdom National Cancer Registration and Analysis Service (NCRAS), data were collated for 10,089 men diagnosed with nonmetastatic PCa between 2000 and 2010 in Eastern England. Median follow-up was 9.8 years with 3,829 deaths (1,202 PCa specific). Totals of 19.8%, 14.1%, 34.6%, and 31.5% of men underwent conservative management, prostatectomy, radiotherapy (RT), and androgen deprivation monotherapy, respectively. A total of 2,546 men diagnosed in Singapore over a similar time period represented an external validation cohort. Data were randomly split 70:30 into model development and validation cohorts. Fifteen-year PCSM and non-PCa mortality (NPCM) were explored using separate multivariable Cox models within a competing risks framework. Fractional polynomials (FPs) were utilised to fit continuous variables and baseline hazards. Model accuracy was assessed by discrimination and calibration using the Harrell C-index and chi-squared goodness of fit, respectively, within both validation cohorts. A multivariable model estimating individualised 10- and 15-year survival outcomes was constructed combining age, prostate-specific antigen (PSA), histological grade, biopsy core involvement, stage, and primary treatment, which were each independent prognostic factors for PCSM, and age and comorbidity, which were prognostic for NPCM. The model demonstrated good discrimination, with a C-index of 0.84 (95% CI: 0.82–0.86) and 0.84 (95% CI: 0.80–0.87) for 15-year PCSM in the UK and Singapore validation cohorts, respectively, comparing favourably to international risk-stratification criteria. Discrimination was maintained for overall mortality, with C-index 0.77 (95% CI: 0.75–0.78) and 0.76 (95% CI: 0.73–0.78). The model was well calibrated with no significant difference between predicted and observed PCa-specific (p = 0.19) or overall deaths (p = 0.43) in the UK cohort. Key study limitations were a relatively small external validation cohort, an inability to account for delayed changes to treatment beyond 12 months, and an absence of tumour-stage subclassifications. Conclusions 'PREDICT Prostate' is an individualised multivariable PCa prognostic model built from baseline diagnostic information and the first to our knowledge that models potential treatment benefits on overall survival. Prognostic power is high despite using only routinely collected clinicopathological information.","container-title":"PLoS Medicine","DOI":"10.1371/journal.pmed.1002758","ISSN":"1549-1676","issue":"3","note":"publisher: Public Library of Science\nCitation Key: Thurtle2019","page":"e1002758","title":"Individual prognosis at diagnosis in nonmetastatic prostate cancer: Development and external validation of the PREDICT Prostate multivariable model","URL":"http://dx.plos.org/10.1371/journal.pmed.1002758","volume":"16","author":[{"family":"Thurtle","given":"David R"},{"family":"Greenberg","given":"David C"},{"family":"Lee","given":"Lui S"},{"family":"Huang","given":"Hong H"},{"family":"Pharoah","given":"Paul D"},{"family":"Gnanapragasam","given":"Vincent J"}],"editor":[{"family":"Johnstone","given":"Ricky W"}],"issued":{"date-parts":[["2019",3]]}}}],"schema":"https://github.com/citation-style-language/schema/raw/master/csl-citation.json"} </w:instrText>
      </w:r>
      <w:r w:rsidRPr="00E8198F">
        <w:rPr>
          <w:lang w:val="en-GB"/>
        </w:rPr>
        <w:fldChar w:fldCharType="separate"/>
      </w:r>
      <w:r>
        <w:rPr>
          <w:lang w:val="en-GB"/>
        </w:rPr>
        <w:t>[7]</w:t>
      </w:r>
      <w:r w:rsidRPr="00E8198F">
        <w:fldChar w:fldCharType="end"/>
      </w:r>
      <w:r w:rsidRPr="00E8198F">
        <w:rPr>
          <w:lang w:val="en-GB"/>
        </w:rPr>
        <w:t>. The NPCM model utilises the variables age and comorbidity, while the PCSM model combines age, PSA, Gleason grade, clinical T stage, and proportion of positive biopsy cores at the time of diagnosis. The model shows good discrimination in large validation datasets from the UK (</w:t>
      </w:r>
      <w:r w:rsidRPr="00E8198F">
        <w:rPr>
          <w:i/>
          <w:iCs/>
          <w:lang w:val="en-GB"/>
        </w:rPr>
        <w:t>n</w:t>
      </w:r>
      <w:r w:rsidRPr="00E8198F">
        <w:rPr>
          <w:lang w:val="en-GB"/>
        </w:rPr>
        <w:t xml:space="preserve"> = 3000; C-index = 0.84; 95% CI: 0.82–0.86) </w:t>
      </w:r>
      <w:r w:rsidRPr="00E8198F">
        <w:rPr>
          <w:lang w:val="en-GB"/>
        </w:rPr>
        <w:fldChar w:fldCharType="begin"/>
      </w:r>
      <w:r>
        <w:rPr>
          <w:lang w:val="en-GB"/>
        </w:rPr>
        <w:instrText xml:space="preserve"> ADDIN ZOTERO_ITEM CSL_CITATION {"citationID":"YP3ug1al","properties":{"formattedCitation":"[7]","plainCitation":"[7]","noteIndex":0},"citationItems":[{"id":6385,"uris":["http://zotero.org/users/9745539/items/CY6RCJSV"],"itemData":{"id":6385,"type":"article-journal","abstract":"by David R. Thurtle, David C. Greenberg, Lui S. Lee, Hong H. Huang, Paul D. Pharoah, Vincent J. Gnanapragasam Background Prognostic stratification is the cornerstone of management in nonmetastatic prostate cancer (PCa). However, existing prognostic models are inadequate—often using treatment outcomes rather than survival, stratifying by broad heterogeneous groups and using heavily treated cohorts. To address this unmet need, we developed an individualised prognostic model that contextualises PCa-specific mortality (PCSM) against other cause mortality, and estimates the impact of treatment on survival. Methods and findings Using records from the United Kingdom National Cancer Registration and Analysis Service (NCRAS), data were collated for 10,089 men diagnosed with nonmetastatic PCa between 2000 and 2010 in Eastern England. Median follow-up was 9.8 years with 3,829 deaths (1,202 PCa specific). Totals of 19.8%, 14.1%, 34.6%, and 31.5% of men underwent conservative management, prostatectomy, radiotherapy (RT), and androgen deprivation monotherapy, respectively. A total of 2,546 men diagnosed in Singapore over a similar time period represented an external validation cohort. Data were randomly split 70:30 into model development and validation cohorts. Fifteen-year PCSM and non-PCa mortality (NPCM) were explored using separate multivariable Cox models within a competing risks framework. Fractional polynomials (FPs) were utilised to fit continuous variables and baseline hazards. Model accuracy was assessed by discrimination and calibration using the Harrell C-index and chi-squared goodness of fit, respectively, within both validation cohorts. A multivariable model estimating individualised 10- and 15-year survival outcomes was constructed combining age, prostate-specific antigen (PSA), histological grade, biopsy core involvement, stage, and primary treatment, which were each independent prognostic factors for PCSM, and age and comorbidity, which were prognostic for NPCM. The model demonstrated good discrimination, with a C-index of 0.84 (95% CI: 0.82–0.86) and 0.84 (95% CI: 0.80–0.87) for 15-year PCSM in the UK and Singapore validation cohorts, respectively, comparing favourably to international risk-stratification criteria. Discrimination was maintained for overall mortality, with C-index 0.77 (95% CI: 0.75–0.78) and 0.76 (95% CI: 0.73–0.78). The model was well calibrated with no significant difference between predicted and observed PCa-specific (p = 0.19) or overall deaths (p = 0.43) in the UK cohort. Key study limitations were a relatively small external validation cohort, an inability to account for delayed changes to treatment beyond 12 months, and an absence of tumour-stage subclassifications. Conclusions 'PREDICT Prostate' is an individualised multivariable PCa prognostic model built from baseline diagnostic information and the first to our knowledge that models potential treatment benefits on overall survival. Prognostic power is high despite using only routinely collected clinicopathological information.","container-title":"PLoS Medicine","DOI":"10.1371/journal.pmed.1002758","ISSN":"1549-1676","issue":"3","note":"publisher: Public Library of Science\nCitation Key: Thurtle2019","page":"e1002758","title":"Individual prognosis at diagnosis in nonmetastatic prostate cancer: Development and external validation of the PREDICT Prostate multivariable model","URL":"http://dx.plos.org/10.1371/journal.pmed.1002758","volume":"16","author":[{"family":"Thurtle","given":"David R"},{"family":"Greenberg","given":"David C"},{"family":"Lee","given":"Lui S"},{"family":"Huang","given":"Hong H"},{"family":"Pharoah","given":"Paul D"},{"family":"Gnanapragasam","given":"Vincent J"}],"editor":[{"family":"Johnstone","given":"Ricky W"}],"issued":{"date-parts":[["2019",3]]}}}],"schema":"https://github.com/citation-style-language/schema/raw/master/csl-citation.json"} </w:instrText>
      </w:r>
      <w:r w:rsidRPr="00E8198F">
        <w:rPr>
          <w:lang w:val="en-GB"/>
        </w:rPr>
        <w:fldChar w:fldCharType="separate"/>
      </w:r>
      <w:r>
        <w:rPr>
          <w:lang w:val="en-GB"/>
        </w:rPr>
        <w:t>[7]</w:t>
      </w:r>
      <w:r w:rsidRPr="00E8198F">
        <w:fldChar w:fldCharType="end"/>
      </w:r>
      <w:r w:rsidRPr="00E8198F">
        <w:rPr>
          <w:lang w:val="en-GB"/>
        </w:rPr>
        <w:t>, Singapore (</w:t>
      </w:r>
      <w:r w:rsidRPr="00E8198F">
        <w:rPr>
          <w:i/>
          <w:iCs/>
          <w:lang w:val="en-GB"/>
        </w:rPr>
        <w:t>n</w:t>
      </w:r>
      <w:r w:rsidRPr="00E8198F">
        <w:rPr>
          <w:lang w:val="en-GB"/>
        </w:rPr>
        <w:t xml:space="preserve"> = 2546; C-index = 0.84; 95% CI: 0.80–0.87) </w:t>
      </w:r>
      <w:r w:rsidRPr="00E8198F">
        <w:rPr>
          <w:lang w:val="en-GB"/>
        </w:rPr>
        <w:fldChar w:fldCharType="begin"/>
      </w:r>
      <w:r>
        <w:rPr>
          <w:lang w:val="en-GB"/>
        </w:rPr>
        <w:instrText xml:space="preserve"> ADDIN ZOTERO_ITEM CSL_CITATION {"citationID":"ICyMZ0jI","properties":{"formattedCitation":"[7]","plainCitation":"[7]","noteIndex":0},"citationItems":[{"id":6385,"uris":["http://zotero.org/users/9745539/items/CY6RCJSV"],"itemData":{"id":6385,"type":"article-journal","abstract":"by David R. Thurtle, David C. Greenberg, Lui S. Lee, Hong H. Huang, Paul D. Pharoah, Vincent J. Gnanapragasam Background Prognostic stratification is the cornerstone of management in nonmetastatic prostate cancer (PCa). However, existing prognostic models are inadequate—often using treatment outcomes rather than survival, stratifying by broad heterogeneous groups and using heavily treated cohorts. To address this unmet need, we developed an individualised prognostic model that contextualises PCa-specific mortality (PCSM) against other cause mortality, and estimates the impact of treatment on survival. Methods and findings Using records from the United Kingdom National Cancer Registration and Analysis Service (NCRAS), data were collated for 10,089 men diagnosed with nonmetastatic PCa between 2000 and 2010 in Eastern England. Median follow-up was 9.8 years with 3,829 deaths (1,202 PCa specific). Totals of 19.8%, 14.1%, 34.6%, and 31.5% of men underwent conservative management, prostatectomy, radiotherapy (RT), and androgen deprivation monotherapy, respectively. A total of 2,546 men diagnosed in Singapore over a similar time period represented an external validation cohort. Data were randomly split 70:30 into model development and validation cohorts. Fifteen-year PCSM and non-PCa mortality (NPCM) were explored using separate multivariable Cox models within a competing risks framework. Fractional polynomials (FPs) were utilised to fit continuous variables and baseline hazards. Model accuracy was assessed by discrimination and calibration using the Harrell C-index and chi-squared goodness of fit, respectively, within both validation cohorts. A multivariable model estimating individualised 10- and 15-year survival outcomes was constructed combining age, prostate-specific antigen (PSA), histological grade, biopsy core involvement, stage, and primary treatment, which were each independent prognostic factors for PCSM, and age and comorbidity, which were prognostic for NPCM. The model demonstrated good discrimination, with a C-index of 0.84 (95% CI: 0.82–0.86) and 0.84 (95% CI: 0.80–0.87) for 15-year PCSM in the UK and Singapore validation cohorts, respectively, comparing favourably to international risk-stratification criteria. Discrimination was maintained for overall mortality, with C-index 0.77 (95% CI: 0.75–0.78) and 0.76 (95% CI: 0.73–0.78). The model was well calibrated with no significant difference between predicted and observed PCa-specific (p = 0.19) or overall deaths (p = 0.43) in the UK cohort. Key study limitations were a relatively small external validation cohort, an inability to account for delayed changes to treatment beyond 12 months, and an absence of tumour-stage subclassifications. Conclusions 'PREDICT Prostate' is an individualised multivariable PCa prognostic model built from baseline diagnostic information and the first to our knowledge that models potential treatment benefits on overall survival. Prognostic power is high despite using only routinely collected clinicopathological information.","container-title":"PLoS Medicine","DOI":"10.1371/journal.pmed.1002758","ISSN":"1549-1676","issue":"3","note":"publisher: Public Library of Science\nCitation Key: Thurtle2019","page":"e1002758","title":"Individual prognosis at diagnosis in nonmetastatic prostate cancer: Development and external validation of the PREDICT Prostate multivariable model","URL":"http://dx.plos.org/10.1371/journal.pmed.1002758","volume":"16","author":[{"family":"Thurtle","given":"David R"},{"family":"Greenberg","given":"David C"},{"family":"Lee","given":"Lui S"},{"family":"Huang","given":"Hong H"},{"family":"Pharoah","given":"Paul D"},{"family":"Gnanapragasam","given":"Vincent J"}],"editor":[{"family":"Johnstone","given":"Ricky W"}],"issued":{"date-parts":[["2019",3]]}}}],"schema":"https://github.com/citation-style-language/schema/raw/master/csl-citation.json"} </w:instrText>
      </w:r>
      <w:r w:rsidRPr="00E8198F">
        <w:rPr>
          <w:lang w:val="en-GB"/>
        </w:rPr>
        <w:fldChar w:fldCharType="separate"/>
      </w:r>
      <w:r>
        <w:rPr>
          <w:lang w:val="en-GB"/>
        </w:rPr>
        <w:t>[7]</w:t>
      </w:r>
      <w:r w:rsidRPr="00E8198F">
        <w:fldChar w:fldCharType="end"/>
      </w:r>
      <w:r w:rsidRPr="00E8198F">
        <w:rPr>
          <w:lang w:val="en-GB"/>
        </w:rPr>
        <w:t>, Sweden (</w:t>
      </w:r>
      <w:r w:rsidRPr="00E8198F">
        <w:rPr>
          <w:i/>
          <w:iCs/>
          <w:lang w:val="en-GB"/>
        </w:rPr>
        <w:t>n</w:t>
      </w:r>
      <w:r w:rsidRPr="00E8198F">
        <w:rPr>
          <w:lang w:val="en-GB"/>
        </w:rPr>
        <w:t xml:space="preserve"> = 69,206; C-index = 0.85; 95% CI 0.85–0.86) </w:t>
      </w:r>
      <w:r w:rsidRPr="00E8198F">
        <w:rPr>
          <w:lang w:val="en-GB"/>
        </w:rPr>
        <w:fldChar w:fldCharType="begin"/>
      </w:r>
      <w:r>
        <w:rPr>
          <w:lang w:val="en-GB"/>
        </w:rPr>
        <w:instrText xml:space="preserve"> ADDIN ZOTERO_ITEM CSL_CITATION {"citationID":"WFQt2S19","properties":{"formattedCitation":"[8]","plainCitation":"[8]","noteIndex":0},"citationItems":[{"id":7897,"uris":["http://zotero.org/users/9745539/items/T89MKF3M"],"itemData":{"id":7897,"type":"article-journal","abstract":"PREDICT Prostate is an endorsed prognostic model that provides individualised long-term prostate cancer-specific and overall survival estimates. The model, derived from UK data, estimates potential treatment benefit on overall survival. In this study, we externally validated the model in a large independent dataset and compared performance to existing models and within treatment groups.","container-title":"BMC Medicine","DOI":"10.1186/s12916-020-01606-w","ISSN":"1741-7015","issue":"1","journalAbbreviation":"BMC Medicine","page":"139","source":"BioMed Central","title":"Comparative performance and external validation of the multivariable PREDICT Prostate tool for non-metastatic prostate cancer: a study in 69,206 men from Prostate Cancer data Base Sweden (PCBaSe)","title-short":"Comparative performance and external validation of the multivariable PREDICT Prostate tool for non-metastatic prostate cancer","URL":"https://doi.org/10.1186/s12916-020-01606-w","volume":"18","author":[{"family":"Thurtle","given":"David"},{"family":"Bratt","given":"Ola"},{"family":"Stattin","given":"Pär"},{"family":"Pharoah","given":"Paul"},{"family":"Gnanapragasam","given":"Vincent"}],"accessed":{"date-parts":[["2022",10,17]]},"issued":{"date-parts":[["2020",6,16]]}}}],"schema":"https://github.com/citation-style-language/schema/raw/master/csl-citation.json"} </w:instrText>
      </w:r>
      <w:r w:rsidRPr="00E8198F">
        <w:rPr>
          <w:lang w:val="en-GB"/>
        </w:rPr>
        <w:fldChar w:fldCharType="separate"/>
      </w:r>
      <w:r>
        <w:rPr>
          <w:lang w:val="en-GB"/>
        </w:rPr>
        <w:t>[8]</w:t>
      </w:r>
      <w:r w:rsidRPr="00E8198F">
        <w:fldChar w:fldCharType="end"/>
      </w:r>
      <w:r w:rsidRPr="00E8198F">
        <w:rPr>
          <w:lang w:val="en-GB"/>
        </w:rPr>
        <w:t>, and the United States of America (</w:t>
      </w:r>
      <w:r w:rsidRPr="00E8198F">
        <w:rPr>
          <w:i/>
          <w:iCs/>
          <w:lang w:val="en-GB"/>
        </w:rPr>
        <w:t>n</w:t>
      </w:r>
      <w:r w:rsidRPr="00E8198F">
        <w:rPr>
          <w:lang w:val="en-GB"/>
        </w:rPr>
        <w:t xml:space="preserve"> = 171,942; C-index = 0.82; 95% CI 0.81–0.83) </w:t>
      </w:r>
      <w:r w:rsidRPr="00E8198F">
        <w:rPr>
          <w:lang w:val="en-GB"/>
        </w:rPr>
        <w:fldChar w:fldCharType="begin"/>
      </w:r>
      <w:r>
        <w:rPr>
          <w:lang w:val="en-GB"/>
        </w:rPr>
        <w:instrText xml:space="preserve"> ADDIN ZOTERO_ITEM CSL_CITATION {"citationID":"BDpDCGRT","properties":{"formattedCitation":"[9]","plainCitation":"[9]","noteIndex":0},"citationItems":[{"id":7964,"uris":["http://zotero.org/users/9745539/items/B3GZW2EU"],"itemData":{"id":7964,"type":"article-journal","container-title":"The Lancet Digital Health","DOI":"10.1016/S2589-7500(20)30314-9","ISSN":"2589-7500","issue":"3","journalAbbreviation":"The Lancet Digital Health","language":"English","note":"publisher: Elsevier\nPMID: 33549512","page":"e158-e165","source":"www.thelancet.com","title":"Application of a novel machine learning framework for predicting non-metastatic prostate cancer-specific mortality in men using the Surveillance, Epidemiology, and End Results (SEER) database","URL":"https://www.thelancet.com/journals/landig/article/PIIS2589-7500(20)30314-9/fulltext","volume":"3","author":[{"family":"Lee","given":"Changhee"},{"family":"Light","given":"Alexander"},{"family":"Alaa","given":"Ahmed"},{"family":"Thurtle","given":"David"},{"family":"Schaar","given":"Mihaela","dropping-particle":"van der"},{"family":"Gnanapragasam","given":"Vincent J."}],"accessed":{"date-parts":[["2022",10,24]]},"issued":{"date-parts":[["2021",3,1]]}}}],"schema":"https://github.com/citation-style-language/schema/raw/master/csl-citation.json"} </w:instrText>
      </w:r>
      <w:r w:rsidRPr="00E8198F">
        <w:rPr>
          <w:lang w:val="en-GB"/>
        </w:rPr>
        <w:fldChar w:fldCharType="separate"/>
      </w:r>
      <w:r>
        <w:rPr>
          <w:lang w:val="en-GB"/>
        </w:rPr>
        <w:t>[9]</w:t>
      </w:r>
      <w:r w:rsidRPr="00E8198F">
        <w:fldChar w:fldCharType="end"/>
      </w:r>
      <w:r w:rsidRPr="00E8198F">
        <w:rPr>
          <w:lang w:val="en-GB"/>
        </w:rPr>
        <w:t xml:space="preserve">. It has been endorsed by the National Institute for Health and Care Excellence (NICE) </w:t>
      </w:r>
      <w:r w:rsidRPr="00E8198F">
        <w:rPr>
          <w:lang w:val="en-GB"/>
        </w:rPr>
        <w:fldChar w:fldCharType="begin"/>
      </w:r>
      <w:r>
        <w:rPr>
          <w:lang w:val="en-GB"/>
        </w:rPr>
        <w:instrText xml:space="preserve"> ADDIN ZOTERO_ITEM CSL_CITATION {"citationID":"DfmNmtgi","properties":{"formattedCitation":"[10]","plainCitation":"[10]","noteIndex":0},"citationItems":[{"id":6094,"uris":["http://zotero.org/users/9745539/items/D9AWAF2R"],"itemData":{"id":6094,"type":"book","event-place":"London","note":"container-title: NICE guidelines","publisher":"National Institute for Health and Care Excellence","publisher-place":"London","title":"Prostate cancer: diagnosis and management","URL":"https://www.nice.org.uk/guidance/cg175","author":[{"literal":"NICE"}],"issued":{"date-parts":[["2019"]]}}}],"schema":"https://github.com/citation-style-language/schema/raw/master/csl-citation.json"} </w:instrText>
      </w:r>
      <w:r w:rsidRPr="00E8198F">
        <w:rPr>
          <w:lang w:val="en-GB"/>
        </w:rPr>
        <w:fldChar w:fldCharType="separate"/>
      </w:r>
      <w:r>
        <w:rPr>
          <w:lang w:val="en-GB"/>
        </w:rPr>
        <w:t>[10]</w:t>
      </w:r>
      <w:r w:rsidRPr="00E8198F">
        <w:fldChar w:fldCharType="end"/>
      </w:r>
      <w:r w:rsidRPr="00E8198F">
        <w:rPr>
          <w:lang w:val="en-GB"/>
        </w:rPr>
        <w:t xml:space="preserve"> and is available in a user-friendly web interface (</w:t>
      </w:r>
      <w:hyperlink r:id="rId8" w:history="1">
        <w:r w:rsidR="00C03416" w:rsidRPr="00CD45D2">
          <w:rPr>
            <w:rStyle w:val="Hyperlink"/>
            <w:lang w:val="en-GB"/>
          </w:rPr>
          <w:t>https://prostate.predict.nhs.uk/</w:t>
        </w:r>
      </w:hyperlink>
      <w:r w:rsidRPr="00E8198F">
        <w:rPr>
          <w:lang w:val="en-GB"/>
        </w:rPr>
        <w:t>).</w:t>
      </w:r>
      <w:r w:rsidR="00C03416">
        <w:rPr>
          <w:lang w:val="en-GB"/>
        </w:rPr>
        <w:t xml:space="preserve"> </w:t>
      </w:r>
      <w:r w:rsidR="00C03416">
        <w:rPr>
          <w:lang w:val="en-GB"/>
        </w:rPr>
        <w:t xml:space="preserve">Another approach to improve prediction of outcome is to use </w:t>
      </w:r>
      <w:r w:rsidR="00C03416">
        <w:rPr>
          <w:lang w:val="en-GB"/>
        </w:rPr>
        <w:t>addi</w:t>
      </w:r>
      <w:r w:rsidR="00BB29B9">
        <w:rPr>
          <w:lang w:val="en-GB"/>
        </w:rPr>
        <w:t>ti</w:t>
      </w:r>
      <w:r w:rsidR="00C03416">
        <w:rPr>
          <w:lang w:val="en-GB"/>
        </w:rPr>
        <w:t xml:space="preserve">onal </w:t>
      </w:r>
      <w:r w:rsidR="00C03416">
        <w:rPr>
          <w:lang w:val="en-GB"/>
        </w:rPr>
        <w:t>novel biomarkers</w:t>
      </w:r>
      <w:r w:rsidR="00C03416">
        <w:rPr>
          <w:lang w:val="en-GB"/>
        </w:rPr>
        <w:t xml:space="preserve"> </w:t>
      </w:r>
      <w:r w:rsidR="00C03416">
        <w:rPr>
          <w:lang w:val="en-GB"/>
        </w:rPr>
        <w:fldChar w:fldCharType="begin"/>
      </w:r>
      <w:r w:rsidR="00C03416">
        <w:rPr>
          <w:lang w:val="en-GB"/>
        </w:rPr>
        <w:instrText xml:space="preserve"> ADDIN ZOTERO_ITEM CSL_CITATION {"citationID":"onwoEUt4","properties":{"formattedCitation":"[11]","plainCitation":"[11]","noteIndex":0},"citationItems":[{"id":8174,"uris":["http://zotero.org/users/9745539/items/BXDBJSNQ"],"itemData":{"id":8174,"type":"article-journal","abstract":"OBJECTIVE: In recent years, several biomarkers alternative to standard prostate specific antigen (PSA) for prostate cancer (PCa) diagnosis have become available. The aim of this systematic review is to assess the current knowledge about alternative serum and urinary biomarkers for the diagnosis of PCa.\nMATERIAL AND METHODS: A research was conducted in Medline, restricted to English language articles published between December 2014 and June 2018 with the aim to update previously published series on PCa biomarkers. The preferred reporting items for systematic reviews and meta-analyses (PRISMA) criteria were used for selecting studies with the lowest risk of bias.\nRESULTS: Emerging role and actual controversies on serum and urine alternative biomarkers to standard PSA for PCa diagnosis, staging and prognosis assessment, such as prostate health index (PHI), PCA3, ConfirmMDx, Aberrant PSA glycosylation, MiPS, miRNAs are critically presented in the current review.\nCONCLUSION: Although the use of several biomarkers has been recommended or questioned by different international guidelines, larger prospective randomized studies are still necessary to validate their efficacy in PCa detection, discrimination, prognosis and treatment effectiveness. To date, only PHI and 4Kscore have shown clinical relevance for discriminating more aggressive PCa. Furthermore, a new grading classification based on molecular features relevant for PCa risk-stratification and tailoring treatment is still needed.","container-title":"Current Medicinal Chemistry","DOI":"10.2174/0929867325666180914115416","ISSN":"1875-533X","issue":"6","journalAbbreviation":"Curr Med Chem","language":"eng","note":"PMID: 30215331","page":"1045-1058","source":"PubMed","title":"Novel Diagnostic Biomarkers of Prostate Cancer: An Update","title-short":"Novel Diagnostic Biomarkers of Prostate Cancer","volume":"26","author":[{"family":"Anceschi","given":"Umberto"},{"family":"Tuderti","given":"Gabriele"},{"family":"Lugnani","given":"Franco"},{"family":"Biava","given":"Pier Mario"},{"family":"Malossini","given":"Gianni"},{"family":"Luciani","given":"Lorenzo"},{"family":"Cai","given":"Tommaso"},{"family":"Marsiliani","given":"Davide"},{"family":"Filianoti","given":"Alessio"},{"family":"Mattevi","given":"Daniele"},{"family":"Costantini","given":"Manuela"},{"family":"Misuraca","given":"Leonardo"},{"family":"Simone","given":"Giuseppe"}],"issued":{"date-parts":[["2019"]]}}}],"schema":"https://github.com/citation-style-language/schema/raw/master/csl-citation.json"} </w:instrText>
      </w:r>
      <w:r w:rsidR="00C03416">
        <w:rPr>
          <w:lang w:val="en-GB"/>
        </w:rPr>
        <w:fldChar w:fldCharType="separate"/>
      </w:r>
      <w:r w:rsidR="00C03416">
        <w:rPr>
          <w:noProof/>
          <w:lang w:val="en-GB"/>
        </w:rPr>
        <w:t>[11]</w:t>
      </w:r>
      <w:r w:rsidR="00C03416">
        <w:rPr>
          <w:lang w:val="en-GB"/>
        </w:rPr>
        <w:fldChar w:fldCharType="end"/>
      </w:r>
      <w:r w:rsidR="00C03416">
        <w:rPr>
          <w:lang w:val="en-GB"/>
        </w:rPr>
        <w:t>.</w:t>
      </w:r>
    </w:p>
    <w:p w14:paraId="014C235E" w14:textId="27B7FBFE" w:rsidR="001B2E3D" w:rsidRDefault="001B2E3D" w:rsidP="005949F0">
      <w:pPr>
        <w:pStyle w:val="MDPI31text"/>
        <w:spacing w:before="240" w:after="60"/>
        <w:outlineLvl w:val="0"/>
        <w:rPr>
          <w:lang w:val="en-GB"/>
        </w:rPr>
      </w:pPr>
      <w:r w:rsidRPr="00E8198F">
        <w:rPr>
          <w:lang w:val="en-GB"/>
        </w:rPr>
        <w:t>Within any single cancer disease type, sub-classification using molecular markers can be an important way to accurately determine prognosis, optimise treatment pathways, and help develop targeted drugs.</w:t>
      </w:r>
      <w:r w:rsidR="00C03416">
        <w:rPr>
          <w:lang w:val="en-GB"/>
        </w:rPr>
        <w:t xml:space="preserve"> </w:t>
      </w:r>
      <w:r w:rsidRPr="00E8198F">
        <w:rPr>
          <w:lang w:val="en-GB"/>
        </w:rPr>
        <w:t xml:space="preserve">In previous work, we have successfully identified a novel aggressive molecular subtype of human prostate cancer, called DESNT, that can predict outcome after radical surgery (prostatectomy) and is associated with metastasis.  This was discovered by applying the Bayesian clustering method Latent Process Decomposition to transcriptome data </w:t>
      </w:r>
      <w:r w:rsidRPr="00E8198F">
        <w:rPr>
          <w:lang w:val="en-GB"/>
        </w:rPr>
        <w:fldChar w:fldCharType="begin" w:fldLock="1"/>
      </w:r>
      <w:r w:rsidR="00C03416">
        <w:rPr>
          <w:lang w:val="en-GB"/>
        </w:rPr>
        <w:instrText xml:space="preserve"> ADDIN ZOTERO_ITEM CSL_CITATION {"citationID":"MhcYC3P7","properties":{"formattedCitation":"[12\\uc0\\u8211{}14]","plainCitation":"[12–14]","noteIndex":0},"citationItems":[{"id":"OyO8BWdL/66igkMwV","uris":["http://www.mendeley.com/documents/?uuid=c3f059a1-fe27-49bc-a839-c2b4fe1404cf"],"itemData":{"DOI":"10.1016/j.euf.2017.01.016","ISSN":"2405-4569","PMID":"28753852","abstract":"BACKGROUND A critical problem in the clinical management of prostate cancer is that it is highly heterogeneous. Accurate prediction of individual cancer behaviour is therefore not achievable at the time of diagnosis leading to substantial overtreatment. It remains an enigma that, in contrast to breast cancer, unsupervised analyses of global expression profiles have not currently defined robust categories of prostate cancer with distinct clinical outcomes. OBJECTIVE To devise a novel classification framework for human prostate cancer based on unsupervised mathematical approaches. DESIGN, SETTING, AND PARTICIPANTS Our analyses are based on the hypothesis that previous attempts to classify prostate cancer have been unsuccessful because individual samples of prostate cancer frequently have heterogeneous compositions. To address this issue, we applied an unsupervised Bayesian procedure called Latent Process Decomposition to four independent prostate cancer transcriptome datasets obtained using samples from prostatectomy patients and containing between 78 and 182 participants. OUTCOME MEASUREMENTS AND STATISTICAL ANALYSIS Biochemical failure was assessed using log-rank analysis and Cox regression analysis. RESULTS AND LIMITATIONS Application of Latent Process Decomposition identified a common process in all four independent datasets examined. Cancers assigned to this process (designated DESNT cancers) are characterized by low expression of a core set of 45 genes, many encoding proteins involved in the cytoskeleton machinery, ion transport, and cell adhesion. For the three datasets with linked prostate-specific antigen failure data following prostatectomy, patients with DESNT cancer exhibited poor outcome relative to other patients (p=2.65×10-5, p=4.28×10-5, and p=2.98×10-8). When these three datasets were combined the independent predictive value of DESNT membership was p=1.61×10-7 compared with p=1.00×10-5 for Gleason sum. A limitation of the study is that only prediction of prostate-specific antigen failure was examined. CONCLUSIONS Our results demonstrate the existence of a novel poor prognosis category of human prostate cancer and will assist in the targeting of therapy, helping avoid treatment-associated morbidity in men with indolent disease. PATIENT SUMMARY Prostate cancer, unlike breast cancer, does not have a robust classification framework. We propose that this failure has occurred because prostate cancer samples selected for analysis frequently hav…","author":[{"dropping-particle":"","family":"Luca","given":"Bogdan-alexandru","non-dropping-particle":"","parse-names":false,"suffix":""},{"dropping-particle":"","family":"Brewer","given":"Daniel S","non-dropping-particle":"","parse-names":false,"suffix":""},{"dropping-particle":"","family":"Edwards","given":"Dylan R","non-dropping-particle":"","parse-names":false,"suffix":""},{"dropping-particle":"","family":"Edwards","given":"Sandra","non-dropping-particle":"","parse-names":false,"suffix":""},{"dropping-particle":"","family":"Whitaker","given":"Hayley C","non-dropping-particle":"","parse-names":false,"suffix":""},{"dropping-particle":"","family":"Merson","given":"Sue","non-dropping-particle":"","parse-names":false,"suffix":""},{"dropping-particle":"","family":"Dennis","given":"Nening","non-dropping-particle":"","parse-names":false,"suffix":""},{"dropping-particle":"","family":"Cooper","given":"Rosalin A","non-dropping-particle":"","parse-names":false,"suffix":""},{"dropping-particle":"","family":"Hazell","given":"Steven","non-dropping-particle":"","parse-names":false,"suffix":""},{"dropping-particle":"","family":"Warren","given":"Anne Y","non-dropping-particle":"","parse-names":false,"suffix":""},{"dropping-particle":"","family":"CancerMap Group","given":"","non-dropping-particle":"","parse-names":false,"suffix":""},{"dropping-particle":"","family":"Eeles","given":"Rosalind","non-dropping-particle":"","parse-names":false,"suffix":""},{"dropping-particle":"","family":"Lynch","given":"Andy G","non-dropping-particle":"","parse-names":false,"suffix":""},{"dropping-particle":"","family":"Ross-Adams","given":"Helen","non-dropping-particle":"","parse-names":false,"suffix":""},{"dropping-particle":"","family":"Lamb","given":"Alastair D","non-dropping-particle":"","parse-names":false,"suffix":""},{"dropping-particle":"","family":"Neal","given":"David E","non-dropping-particle":"","parse-names":false,"suffix":""},{"dropping-particle":"","family":"Sethia","given":"Krishna","non-dropping-particle":"","parse-names":false,"suffix":""},{"dropping-particle":"","family":"Mills","given":"Robert D","non-dropping-particle":"","parse-names":false,"suffix":""},{"dropping-particle":"","family":"Ball","given":"Richard Y","non-dropping-particle":"","parse-names":false,"suffix":""},{"dropping-particle":"","family":"Curley","given":"Helen","non-dropping-particle":"","parse-names":false,"suffix":""},{"dropping-particle":"","family":"Clark","given":"Jeremy","non-dropping-particle":"","parse-names":false,"suffix":""},{"dropping-particle":"","family":"Moulton","given":"Vincent","non-dropping-particle":"","parse-names":false,"suffix":""},{"dropping-particle":"","family":"Cooper","given":"Colin S","non-dropping-particle":"","parse-names":false,"suffix":""}],"container-title":"European urology focus","id":"ITEM-1","issue":"6","issued":{"date-parts":[["2018","12","6"]]},"language":"English","page":"842-850","publisher":"European Association of Urology","title":"DESNT: A Poor Prognosis Category of Human Prostate Cancer.","type":"article-journal","volume":"4"}},{"id":6641,"uris":["http://zotero.org/users/9745539/items/B853YM3N"],"itemData":{"id":6641,"type":"article-journal","abstract":"BACKGROUND Unsupervised learning methods, such as Hierarchical Cluster Analysis, are commonly used for the analysis of genomic platform data. Unfortunately, such approaches ignore the well-documented heterogeneous composition of prostate cancer samples. Our aim is to use more sophisticated analytical approaches to deconvolute the structure of prostate cancer transcriptome data, providing novel clinically actionable information for this disease. METHODS We apply an unsupervised model called Latent Process Decomposition (LPD), which can handle heterogeneity within individual cancer samples, to genome-wide expression data from eight prostate cancer clinical series, including 1,785 malignant samples with the clinical endpoints of PSA failure and metastasis. RESULTS We show that PSA failure is correlated with the level of an expression signature called DESNT (HR = 1.52, 95% CI = [1.36, 1.7], P = 9.0 × 10-14, Cox model), and that patients with a majority DESNT signature have an increased metastatic risk (X2 test, P = 0.0017, and P = 0.0019). In addition, we develop a stratification framework that incorporates DESNT and identifies three novel molecular subtypes of prostate cancer. CONCLUSIONS These results highlight the importance of using more complex approaches for the analysis of genomic data, may assist drug targeting, and have allowed the construction of a nomogram combining DESNT with other clinical factors for use in clinical management.","container-title":"British journal of cancer","DOI":"10.1038/s41416-020-0799-5","ISSN":"1532-1827","issue":"10","note":"PMID: 32203215\npublisher: Springer US\nCitation Key: Luca2020","page":"1467-1476","title":"A novel stratification framework for predicting outcome in patients with prostate cancer.","URL":"http://dx.doi.org/10.1038/s41416-020-0799-5","volume":"122","author":[{"family":"Luca","given":"Bogdan-alexandru"},{"family":"Moulton","given":"Vincent"},{"family":"Ellis","given":"Christopher"},{"family":"Edwards","given":"Dylan R"},{"family":"Campbell","given":"Colin"},{"family":"Cooper","given":"Rosalin A"},{"family":"Clark","given":"Jeremy"},{"family":"Brewer","given":"Daniel S"},{"family":"Cooper","given":"Colin S"}],"issued":{"date-parts":[["2020",5,20]]}}},{"id":6624,"uris":["http://zotero.org/users/9745539/items/4RVXZX7C"],"itemData":{"id":6624,"type":"article-journal","abstract":"The highly heterogeneous clinical course of human prostate cancer has prompted the development of multiple RNA biomarkers and diagnostic tools to predict outcome for individual patients. Biomarker discovery is often unstable with, for example, small changes in discovery dataset configuration resulting in large alterations in biomarker composition. Our hypothesis, which forms the basis of this current study, is that highly significant overlaps occurring between gene signatures obtained using entirely different approaches indicate genes fundamental for controlling cancer progression. For prostate cancer, we found two sets of signatures that had significant overlaps suggesting important genes (p &lt; 10−34 for paired overlaps, hypergeometrical test). These overlapping signatures defined a core set of genes linking hormone signalling (HES6-AR), cell cycle progression (Prolaris) and a molecular subgroup of patients (PCS1) derived by Non Negative Matrix Factorization (NNMF) of control pathways, together designated as SIG-HES6. The second set (designated SIG-DESNT) consisted of the DESNT diagnostic signature and a second NNMF signature PCS3. Stratifications using SIG-HES6 (HES6, PCS1, Prolaris) and SIG-DESNT (DESNT) classifiers frequently detected the same individual high-risk cancers, indicating that the underlying mechanisms associated with SIG-HES6 and SIG-DESNT may act together to promote aggressive cancer development. We show that the use of combinations of a SIG-HES6 signature together with DESNT substantially increases the ability to predict poor outcome, and we propose a model for prostate cancer development involving co-operation between the SIG-HES6 and SIG-DESNT pathways that has implication for therapeutic design.","container-title":"Genes","DOI":"10.3390/GENES11070802","issue":"7","note":"publisher: Multidisciplinary Digital Publishing Institute\nCitation Key: Luca2020a","page":"802","title":"Convergence of Prognostic Gene Signatures Suggests Underlying Mechanisms of Human Prostate Cancer Progression","URL":"https://www.mdpi.com/770232","volume":"11","author":[{"family":"Luca","given":"Bogdan-Alexandru"},{"family":"Moulton","given":"Vincent"},{"family":"Ellis","given":"Christopher"},{"family":"Connell","given":"Shea P."},{"family":"Brewer","given":"Daniel S."},{"family":"Cooper","given":"Colin S."}],"accessed":{"date-parts":[["2020",7,16]]},"issued":{"date-parts":[["2020",7,16]]}}}],"schema":"https://github.com/citation-style-language/schema/raw/master/csl-citation.json"} </w:instrText>
      </w:r>
      <w:r w:rsidRPr="00E8198F">
        <w:rPr>
          <w:lang w:val="en-GB"/>
        </w:rPr>
        <w:fldChar w:fldCharType="separate"/>
      </w:r>
      <w:r w:rsidR="00C03416" w:rsidRPr="00C03416">
        <w:t>[12–14]</w:t>
      </w:r>
      <w:r w:rsidRPr="00E8198F">
        <w:fldChar w:fldCharType="end"/>
      </w:r>
      <w:r w:rsidRPr="00E8198F">
        <w:rPr>
          <w:lang w:val="en-GB"/>
        </w:rPr>
        <w:t xml:space="preserve"> – this takes into account the heterogeneous composition of prostate cancer. Prostatectomy patients with most of their expression assigned to the DESNT type exhibit poor outcomes relative to other patients (</w:t>
      </w:r>
      <w:r w:rsidRPr="00E8198F">
        <w:rPr>
          <w:i/>
          <w:iCs/>
          <w:lang w:val="en-GB"/>
        </w:rPr>
        <w:t>p </w:t>
      </w:r>
      <w:r w:rsidRPr="00E8198F">
        <w:rPr>
          <w:lang w:val="en-GB"/>
        </w:rPr>
        <w:t>&lt; 4.28 x 10</w:t>
      </w:r>
      <w:r w:rsidRPr="00E8198F">
        <w:rPr>
          <w:vertAlign w:val="superscript"/>
          <w:lang w:val="en-GB"/>
        </w:rPr>
        <w:t>-5</w:t>
      </w:r>
      <w:r w:rsidRPr="00E8198F">
        <w:rPr>
          <w:lang w:val="en-GB"/>
        </w:rPr>
        <w:t>; Log-rank test) and has been validated in eight independent transcriptome datasets. Cancers assigned to the DESNT group have an increased risk of developing metastasis (</w:t>
      </w:r>
      <w:r w:rsidRPr="00E8198F">
        <w:rPr>
          <w:i/>
          <w:lang w:val="en-GB"/>
        </w:rPr>
        <w:t>X</w:t>
      </w:r>
      <w:r w:rsidRPr="00E8198F">
        <w:rPr>
          <w:i/>
          <w:vertAlign w:val="superscript"/>
          <w:lang w:val="en-GB"/>
        </w:rPr>
        <w:t>2</w:t>
      </w:r>
      <w:r w:rsidRPr="00E8198F">
        <w:rPr>
          <w:i/>
          <w:lang w:val="en-GB"/>
        </w:rPr>
        <w:noBreakHyphen/>
      </w:r>
      <w:r w:rsidRPr="00E8198F">
        <w:rPr>
          <w:lang w:val="en-GB"/>
        </w:rPr>
        <w:t>test</w:t>
      </w:r>
      <w:r w:rsidRPr="00E8198F">
        <w:rPr>
          <w:i/>
          <w:lang w:val="en"/>
        </w:rPr>
        <w:t>, p </w:t>
      </w:r>
      <w:r w:rsidRPr="00E8198F">
        <w:rPr>
          <w:lang w:val="en"/>
        </w:rPr>
        <w:t>= 1.86x10</w:t>
      </w:r>
      <w:r w:rsidRPr="00E8198F">
        <w:rPr>
          <w:vertAlign w:val="superscript"/>
          <w:lang w:val="en"/>
        </w:rPr>
        <w:t>-3</w:t>
      </w:r>
      <w:r w:rsidRPr="00E8198F">
        <w:rPr>
          <w:lang w:val="en-GB"/>
        </w:rPr>
        <w:t xml:space="preserve">) </w:t>
      </w:r>
      <w:r w:rsidRPr="00E8198F">
        <w:rPr>
          <w:lang w:val="en-GB"/>
        </w:rPr>
        <w:fldChar w:fldCharType="begin"/>
      </w:r>
      <w:r w:rsidR="00C03416">
        <w:rPr>
          <w:lang w:val="en-GB"/>
        </w:rPr>
        <w:instrText xml:space="preserve"> ADDIN ZOTERO_ITEM CSL_CITATION {"citationID":"FCFZzstm","properties":{"formattedCitation":"[13]","plainCitation":"[13]","noteIndex":0},"citationItems":[{"id":6641,"uris":["http://zotero.org/users/9745539/items/B853YM3N"],"itemData":{"id":6641,"type":"article-journal","abstract":"BACKGROUND Unsupervised learning methods, such as Hierarchical Cluster Analysis, are commonly used for the analysis of genomic platform data. Unfortunately, such approaches ignore the well-documented heterogeneous composition of prostate cancer samples. Our aim is to use more sophisticated analytical approaches to deconvolute the structure of prostate cancer transcriptome data, providing novel clinically actionable information for this disease. METHODS We apply an unsupervised model called Latent Process Decomposition (LPD), which can handle heterogeneity within individual cancer samples, to genome-wide expression data from eight prostate cancer clinical series, including 1,785 malignant samples with the clinical endpoints of PSA failure and metastasis. RESULTS We show that PSA failure is correlated with the level of an expression signature called DESNT (HR = 1.52, 95% CI = [1.36, 1.7], P = 9.0 × 10-14, Cox model), and that patients with a majority DESNT signature have an increased metastatic risk (X2 test, P = 0.0017, and P = 0.0019). In addition, we develop a stratification framework that incorporates DESNT and identifies three novel molecular subtypes of prostate cancer. CONCLUSIONS These results highlight the importance of using more complex approaches for the analysis of genomic data, may assist drug targeting, and have allowed the construction of a nomogram combining DESNT with other clinical factors for use in clinical management.","container-title":"British journal of cancer","DOI":"10.1038/s41416-020-0799-5","ISSN":"1532-1827","issue":"10","note":"PMID: 32203215\npublisher: Springer US\nCitation Key: Luca2020","page":"1467-1476","title":"A novel stratification framework for predicting outcome in patients with prostate cancer.","URL":"http://dx.doi.org/10.1038/s41416-020-0799-5","volume":"122","author":[{"family":"Luca","given":"Bogdan-alexandru"},{"family":"Moulton","given":"Vincent"},{"family":"Ellis","given":"Christopher"},{"family":"Edwards","given":"Dylan R"},{"family":"Campbell","given":"Colin"},{"family":"Cooper","given":"Rosalin A"},{"family":"Clark","given":"Jeremy"},{"family":"Brewer","given":"Daniel S"},{"family":"Cooper","given":"Colin S"}],"issued":{"date-parts":[["2020",5,20]]}}}],"schema":"https://github.com/citation-style-language/schema/raw/master/csl-citation.json"} </w:instrText>
      </w:r>
      <w:r w:rsidRPr="00E8198F">
        <w:rPr>
          <w:lang w:val="en-GB"/>
        </w:rPr>
        <w:fldChar w:fldCharType="separate"/>
      </w:r>
      <w:r w:rsidR="00C03416">
        <w:rPr>
          <w:lang w:val="en-GB"/>
        </w:rPr>
        <w:t>[13]</w:t>
      </w:r>
      <w:r w:rsidRPr="00E8198F">
        <w:fldChar w:fldCharType="end"/>
      </w:r>
      <w:r w:rsidRPr="00E8198F">
        <w:rPr>
          <w:lang w:val="en-GB"/>
        </w:rPr>
        <w:t xml:space="preserve">. The amount of the DESNT signature is an independent prognostic predictor of time to biochemical recurrence (HR = 1.52, 95% CI = [1.36, 1.7], </w:t>
      </w:r>
      <w:r w:rsidRPr="00E8198F">
        <w:rPr>
          <w:i/>
          <w:iCs/>
          <w:lang w:val="en-GB"/>
        </w:rPr>
        <w:t>p</w:t>
      </w:r>
      <w:r w:rsidRPr="00E8198F">
        <w:rPr>
          <w:lang w:val="en-GB"/>
        </w:rPr>
        <w:t xml:space="preserve"> = 9.0 × 10</w:t>
      </w:r>
      <w:r w:rsidRPr="00E8198F">
        <w:rPr>
          <w:vertAlign w:val="superscript"/>
          <w:lang w:val="en-GB"/>
        </w:rPr>
        <w:t>−14</w:t>
      </w:r>
      <w:r w:rsidRPr="00E8198F">
        <w:rPr>
          <w:lang w:val="en-GB"/>
        </w:rPr>
        <w:t xml:space="preserve">, Cox regression model) </w:t>
      </w:r>
      <w:r w:rsidRPr="00E8198F">
        <w:rPr>
          <w:lang w:val="en-GB"/>
        </w:rPr>
        <w:fldChar w:fldCharType="begin"/>
      </w:r>
      <w:r w:rsidR="00C03416">
        <w:rPr>
          <w:lang w:val="en-GB"/>
        </w:rPr>
        <w:instrText xml:space="preserve"> ADDIN ZOTERO_ITEM CSL_CITATION {"citationID":"S1zgkHaV","properties":{"formattedCitation":"[13]","plainCitation":"[13]","noteIndex":0},"citationItems":[{"id":6641,"uris":["http://zotero.org/users/9745539/items/B853YM3N"],"itemData":{"id":6641,"type":"article-journal","abstract":"BACKGROUND Unsupervised learning methods, such as Hierarchical Cluster Analysis, are commonly used for the analysis of genomic platform data. Unfortunately, such approaches ignore the well-documented heterogeneous composition of prostate cancer samples. Our aim is to use more sophisticated analytical approaches to deconvolute the structure of prostate cancer transcriptome data, providing novel clinically actionable information for this disease. METHODS We apply an unsupervised model called Latent Process Decomposition (LPD), which can handle heterogeneity within individual cancer samples, to genome-wide expression data from eight prostate cancer clinical series, including 1,785 malignant samples with the clinical endpoints of PSA failure and metastasis. RESULTS We show that PSA failure is correlated with the level of an expression signature called DESNT (HR = 1.52, 95% CI = [1.36, 1.7], P = 9.0 × 10-14, Cox model), and that patients with a majority DESNT signature have an increased metastatic risk (X2 test, P = 0.0017, and P = 0.0019). In addition, we develop a stratification framework that incorporates DESNT and identifies three novel molecular subtypes of prostate cancer. CONCLUSIONS These results highlight the importance of using more complex approaches for the analysis of genomic data, may assist drug targeting, and have allowed the construction of a nomogram combining DESNT with other clinical factors for use in clinical management.","container-title":"British journal of cancer","DOI":"10.1038/s41416-020-0799-5","ISSN":"1532-1827","issue":"10","note":"PMID: 32203215\npublisher: Springer US\nCitation Key: Luca2020","page":"1467-1476","title":"A novel stratification framework for predicting outcome in patients with prostate cancer.","URL":"http://dx.doi.org/10.1038/s41416-020-0799-5","volume":"122","author":[{"family":"Luca","given":"Bogdan-alexandru"},{"family":"Moulton","given":"Vincent"},{"family":"Ellis","given":"Christopher"},{"family":"Edwards","given":"Dylan R"},{"family":"Campbell","given":"Colin"},{"family":"Cooper","given":"Rosalin A"},{"family":"Clark","given":"Jeremy"},{"family":"Brewer","given":"Daniel S"},{"family":"Cooper","given":"Colin S"}],"issued":{"date-parts":[["2020",5,20]]}}}],"schema":"https://github.com/citation-style-language/schema/raw/master/csl-citation.json"} </w:instrText>
      </w:r>
      <w:r w:rsidRPr="00E8198F">
        <w:rPr>
          <w:lang w:val="en-GB"/>
        </w:rPr>
        <w:fldChar w:fldCharType="separate"/>
      </w:r>
      <w:r w:rsidR="00C03416">
        <w:rPr>
          <w:lang w:val="en-GB"/>
        </w:rPr>
        <w:t>[13]</w:t>
      </w:r>
      <w:r w:rsidRPr="00E8198F">
        <w:fldChar w:fldCharType="end"/>
      </w:r>
      <w:r w:rsidRPr="00E8198F">
        <w:rPr>
          <w:lang w:val="en-GB"/>
        </w:rPr>
        <w:t xml:space="preserve">. This framework was developed from samples taken at prostatectomy, but we have preliminary data to suggest it’s applicability to biopsies </w:t>
      </w:r>
      <w:r w:rsidRPr="00E8198F">
        <w:rPr>
          <w:lang w:val="en-GB"/>
        </w:rPr>
        <w:fldChar w:fldCharType="begin"/>
      </w:r>
      <w:r w:rsidR="00C03416">
        <w:rPr>
          <w:lang w:val="en-GB"/>
        </w:rPr>
        <w:instrText xml:space="preserve"> ADDIN ZOTERO_ITEM CSL_CITATION {"citationID":"qBykSyny","properties":{"formattedCitation":"[15]","plainCitation":"[15]","noteIndex":0},"citationItems":[{"id":7904,"uris":["http://zotero.org/users/9745539/items/NF53KMRT"],"itemData":{"id":7904,"type":"thesis","event-place":"School of Computing Sciences","language":"en","publisher":"University of East Anglia","publisher-place":"School of Computing Sciences","source":"Zotero","title":"Using Latent Process Decomposition to Classify Prostate and Colorectal Cancers","author":[{"family":"Ellis","given":"Christopher"}],"issued":{"date-parts":[["2021",4]]}}}],"schema":"https://github.com/citation-style-language/schema/raw/master/csl-citation.json"} </w:instrText>
      </w:r>
      <w:r w:rsidRPr="00E8198F">
        <w:rPr>
          <w:lang w:val="en-GB"/>
        </w:rPr>
        <w:fldChar w:fldCharType="separate"/>
      </w:r>
      <w:r w:rsidR="00C03416">
        <w:rPr>
          <w:lang w:val="en-GB"/>
        </w:rPr>
        <w:t>[15]</w:t>
      </w:r>
      <w:r w:rsidRPr="00E8198F">
        <w:fldChar w:fldCharType="end"/>
      </w:r>
      <w:r w:rsidRPr="00E8198F">
        <w:rPr>
          <w:lang w:val="en-GB"/>
        </w:rPr>
        <w:t>. We are in the process of developing a diagnostic lab to utilise the DESNT framework as an accredited clinical test.</w:t>
      </w:r>
    </w:p>
    <w:p w14:paraId="60F586C4" w14:textId="552D6252" w:rsidR="001B2E3D" w:rsidRDefault="001B2E3D" w:rsidP="001B2E3D">
      <w:pPr>
        <w:pStyle w:val="MDPI31text"/>
        <w:spacing w:before="240" w:after="60"/>
        <w:outlineLvl w:val="0"/>
        <w:rPr>
          <w:lang w:val="en-GB"/>
        </w:rPr>
      </w:pPr>
      <w:r w:rsidRPr="00E8198F">
        <w:rPr>
          <w:lang w:val="en-GB"/>
        </w:rPr>
        <w:t>In this work we modelled whether adding the poor prognosis DESNT signature to the PREDICT Prostate</w:t>
      </w:r>
      <w:r w:rsidRPr="00E8198F">
        <w:rPr>
          <w:i/>
          <w:iCs/>
          <w:lang w:val="en-GB"/>
        </w:rPr>
        <w:t xml:space="preserve"> </w:t>
      </w:r>
      <w:r w:rsidRPr="00E8198F">
        <w:rPr>
          <w:lang w:val="en-GB"/>
        </w:rPr>
        <w:t xml:space="preserve">algorithm has the potential to improve our ability to predict the overall </w:t>
      </w:r>
      <w:r>
        <w:rPr>
          <w:lang w:val="en-GB"/>
        </w:rPr>
        <w:t>progress</w:t>
      </w:r>
      <w:r w:rsidRPr="00E8198F">
        <w:rPr>
          <w:lang w:val="en-GB"/>
        </w:rPr>
        <w:t xml:space="preserve"> of prostate cancer. Transcriptome data from tumour tissue collected at an initial treatment of proctectomy were used as a proxy for the information that could be gathered from cancerous biopsy tissue at the time of diagnosis. Secondary aims are to determine whether the PREDICT Prostate</w:t>
      </w:r>
      <w:r w:rsidRPr="00E8198F">
        <w:rPr>
          <w:i/>
          <w:iCs/>
          <w:lang w:val="en-GB"/>
        </w:rPr>
        <w:t xml:space="preserve"> </w:t>
      </w:r>
      <w:r>
        <w:rPr>
          <w:lang w:val="en-GB"/>
        </w:rPr>
        <w:t>clinical</w:t>
      </w:r>
      <w:r w:rsidRPr="00E8198F">
        <w:rPr>
          <w:lang w:val="en-GB"/>
        </w:rPr>
        <w:t xml:space="preserve"> model can predict disease prognosis after surgical treatment of prostate cancer; and find the similarities and differences in the genes and molecular pathways which drive a higher PREDICT score and characterise the DESNT molecular subtype.</w:t>
      </w:r>
    </w:p>
    <w:p w14:paraId="06FC627D" w14:textId="2BE0FD5E" w:rsidR="001B2E3D" w:rsidRDefault="001B2E3D" w:rsidP="001B2E3D">
      <w:pPr>
        <w:pStyle w:val="MDPI21heading1"/>
      </w:pPr>
      <w:r>
        <w:rPr>
          <w:lang w:eastAsia="zh-CN"/>
        </w:rPr>
        <w:t xml:space="preserve">2. </w:t>
      </w:r>
      <w:r>
        <w:t>Materials and Methods</w:t>
      </w:r>
    </w:p>
    <w:p w14:paraId="1B5AFA21" w14:textId="4081FCAB" w:rsidR="001B2E3D" w:rsidRDefault="001B2E3D" w:rsidP="001B2E3D">
      <w:pPr>
        <w:pStyle w:val="MDPI22heading2"/>
      </w:pPr>
      <w:r>
        <w:t>2.1 Datasets and filtering</w:t>
      </w:r>
    </w:p>
    <w:p w14:paraId="0C3A779E" w14:textId="154C5ADE" w:rsidR="001B2E3D" w:rsidRDefault="001B2E3D" w:rsidP="001B2E3D">
      <w:pPr>
        <w:pStyle w:val="MDPI31text"/>
      </w:pPr>
      <w:r>
        <w:t xml:space="preserve">Microarray datasets from prostate tissue were processed and normalised as described in Luca </w:t>
      </w:r>
      <w:r w:rsidRPr="001041FC">
        <w:rPr>
          <w:i/>
          <w:iCs/>
        </w:rPr>
        <w:t>et al.</w:t>
      </w:r>
      <w:r>
        <w:t xml:space="preserve"> (2020) (Table 1). In brief, </w:t>
      </w:r>
      <w:r w:rsidRPr="00B15A79">
        <w:t>Affymetrix microarray dataset was normalised using the RMA algorithm</w:t>
      </w:r>
      <w:r>
        <w:t xml:space="preserve"> </w:t>
      </w:r>
      <w:r>
        <w:fldChar w:fldCharType="begin"/>
      </w:r>
      <w:r w:rsidR="00C03416">
        <w:instrText xml:space="preserve"> ADDIN ZOTERO_ITEM CSL_CITATION {"citationID":"8VYgKz2W","properties":{"formattedCitation":"[16]","plainCitation":"[16]","noteIndex":0},"citationItems":[{"id":4708,"uris":["http://zotero.org/users/9745539/items/9MINLJWU"],"itemData":{"id":4708,"type":"article-journal","container-title":"Biostatistics","DOI":"10.1093/biostatistics/4.2.249","ISSN":"1465-4644","issue":"2","note":"publisher: Biometrika Trust","page":"249-264","title":"Exploration, normalization, and summaries of high density oligonucleotide array probe level data","volume":"4","author":[{"family":"Irizarry","given":"Rafael A"},{"family":"Hobbs","given":"Bridget"},{"family":"Collin","given":"Francois"},{"family":"Beazer‐Barclay","given":"Yasmin D"},{"family":"Antonellis","given":"Kristen J"},{"family":"Scherf","given":"Uwe"},{"family":"Speed","given":"Terence P"}],"issued":{"date-parts":[["2003"]]}}}],"schema":"https://github.com/citation-style-language/schema/raw/master/csl-citation.json"} </w:instrText>
      </w:r>
      <w:r>
        <w:fldChar w:fldCharType="separate"/>
      </w:r>
      <w:r w:rsidR="00C03416">
        <w:rPr>
          <w:noProof/>
        </w:rPr>
        <w:t>[16]</w:t>
      </w:r>
      <w:r>
        <w:fldChar w:fldCharType="end"/>
      </w:r>
      <w:r>
        <w:t xml:space="preserve"> or </w:t>
      </w:r>
      <w:r w:rsidRPr="00B15A79">
        <w:t>previous normalised values were used</w:t>
      </w:r>
      <w:r>
        <w:t xml:space="preserve">. </w:t>
      </w:r>
      <w:r w:rsidRPr="004E430D">
        <w:t xml:space="preserve">Only probes corresponding to genes measured by all platforms were retained. </w:t>
      </w:r>
      <w:r w:rsidRPr="00B15A79">
        <w:t>The CamCap and CancerMap</w:t>
      </w:r>
      <w:r w:rsidRPr="00B15A79">
        <w:fldChar w:fldCharType="begin"/>
      </w:r>
      <w:r w:rsidRPr="00B15A79">
        <w:instrText xml:space="preserve"> ADDIN PAPERS2_CITATIONS &lt;citation&gt;&lt;uuid&gt;86B02E10-A8DC-4F53-8542-220AC89C39D0&lt;/uuid&gt;&lt;priority&gt;0&lt;/priority&gt;&lt;publications&gt;&lt;publication&gt;&lt;volume&gt;0&lt;/volume&gt;&lt;publication_date&gt;99201700001200000000200000&lt;/publication_date&gt;&lt;number&gt;0&lt;/number&gt;&lt;subtitle&gt;European Urology Focus&lt;/subtitle&gt;&lt;doi&gt;10.1016/j.euf.2017.01.016&lt;/doi&gt;&lt;title&gt;DESNT: A Poor Prognosis Category of Human Prostate Cancer&lt;/title&gt;&lt;uuid&gt;07C5BEC4-737D-4641-8DF6-24BA67295E92&lt;/uuid&gt;&lt;subtype&gt;400&lt;/subtype&gt;&lt;publisher&gt;Elsevier&lt;/publisher&gt;&lt;type&gt;400&lt;/type&gt;&lt;url&gt;http://www.eu-focus.europeanurology.com/article/S2405456917300251/fulltext&lt;/url&gt;&lt;bundle&gt;&lt;publication&gt;&lt;publisher&gt;Elsevier&lt;/publisher&gt;&lt;title&gt;European Urology Focus&lt;/title&gt;&lt;type&gt;-100&lt;/type&gt;&lt;subtype&gt;-100&lt;/subtype&gt;&lt;uuid&gt;3A1A2140-2CCE-47C6-9A59-E391733A73EB&lt;/uuid&gt;&lt;/publication&gt;&lt;/bundle&gt;&lt;authors&gt;&lt;author&gt;&lt;firstName&gt;Bogdan-Alexandru&lt;/firstName&gt;&lt;lastName&gt;Luca&lt;/lastName&gt;&lt;/author&gt;&lt;author&gt;&lt;firstName&gt;Daniel&lt;/firstName&gt;&lt;middleNames&gt;S&lt;/middleNames&gt;&lt;lastName&gt;Brewer&lt;/lastName&gt;&lt;/author&gt;&lt;author&gt;&lt;firstName&gt;Dylan&lt;/firstName&gt;&lt;middleNames&gt;R&lt;/middleNames&gt;&lt;lastName&gt;Edwards&lt;/lastName&gt;&lt;/author&gt;&lt;author&gt;&lt;firstName&gt;Sandra&lt;/firstName&gt;&lt;lastName&gt;Edwards&lt;/lastName&gt;&lt;/author&gt;&lt;author&gt;&lt;firstName&gt;Hayley&lt;/firstName&gt;&lt;middleNames&gt;C&lt;/middleNames&gt;&lt;lastName&gt;Whitaker&lt;/lastName&gt;&lt;/author&gt;&lt;author&gt;&lt;firstName&gt;Sue&lt;/firstName&gt;&lt;lastName&gt;Merson&lt;/lastName&gt;&lt;/author&gt;&lt;author&gt;&lt;firstName&gt;Nening&lt;/firstName&gt;&lt;lastName&gt;Dennis&lt;/lastName&gt;&lt;/author&gt;&lt;author&gt;&lt;firstName&gt;Rosalin&lt;/firstName&gt;&lt;middleNames&gt;A&lt;/middleNames&gt;&lt;lastName&gt;Cooper&lt;/lastName&gt;&lt;/author&gt;&lt;author&gt;&lt;firstName&gt;Steven&lt;/firstName&gt;&lt;lastName&gt;Hazell&lt;/lastName&gt;&lt;/author&gt;&lt;author&gt;&lt;firstName&gt;Anne&lt;/firstName&gt;&lt;middleNames&gt;Y&lt;/middleNames&gt;&lt;lastName&gt;Warren&lt;/lastName&gt;&lt;/author&gt;&lt;author&gt;&lt;firstName&gt;Rosalind&lt;/firstName&gt;&lt;lastName&gt;Eeles&lt;/lastName&gt;&lt;/author&gt;&lt;author&gt;&lt;firstName&gt;Andy&lt;/firstName&gt;&lt;middleNames&gt;G&lt;/middleNames&gt;&lt;lastName&gt;Lynch&lt;/lastName&gt;&lt;/author&gt;&lt;author&gt;&lt;firstName&gt;Helen&lt;/firstName&gt;&lt;lastName&gt;Ross-Adams&lt;/lastName&gt;&lt;/author&gt;&lt;author&gt;&lt;firstName&gt;Alastair&lt;/firstName&gt;&lt;middleNames&gt;D&lt;/middleNames&gt;&lt;lastName&gt;Lamb&lt;/lastName&gt;&lt;/author&gt;&lt;author&gt;&lt;firstName&gt;David&lt;/firstName&gt;&lt;middleNames&gt;E&lt;/middleNames&gt;&lt;lastName&gt;Neal&lt;/lastName&gt;&lt;/author&gt;&lt;author&gt;&lt;firstName&gt;Krishna&lt;/firstName&gt;&lt;lastName&gt;Sethia&lt;/lastName&gt;&lt;/author&gt;&lt;author&gt;&lt;firstName&gt;Robert&lt;/firstName&gt;&lt;middleNames&gt;D&lt;/middleNames&gt;&lt;lastName&gt;Mills&lt;/lastName&gt;&lt;/author&gt;&lt;author&gt;&lt;firstName&gt;Richard&lt;/firstName&gt;&lt;middleNames&gt;Y&lt;/middleNames&gt;&lt;lastName&gt;Ball&lt;/lastName&gt;&lt;/author&gt;&lt;author&gt;&lt;firstName&gt;Helen&lt;/firstName&gt;&lt;lastName&gt;Curley&lt;/lastName&gt;&lt;/author&gt;&lt;author&gt;&lt;firstName&gt;Jeremy&lt;/firstName&gt;&lt;lastName&gt;Clark&lt;/lastName&gt;&lt;/author&gt;&lt;author&gt;&lt;firstName&gt;Vincent&lt;/firstName&gt;&lt;lastName&gt;Moulton&lt;/lastName&gt;&lt;/author&gt;&lt;author&gt;&lt;firstName&gt;Colin&lt;/firstName&gt;&lt;middleNames&gt;S&lt;/middleNames&gt;&lt;lastName&gt;Cooper&lt;/lastName&gt;&lt;/author&gt;&lt;/authors&gt;&lt;/publication&gt;&lt;/publications&gt;&lt;cites&gt;&lt;/cites&gt;&lt;/citation&gt;</w:instrText>
      </w:r>
      <w:r w:rsidR="00000000">
        <w:fldChar w:fldCharType="separate"/>
      </w:r>
      <w:r w:rsidRPr="00B15A79">
        <w:fldChar w:fldCharType="end"/>
      </w:r>
      <w:r w:rsidRPr="00B15A79">
        <w:t xml:space="preserve"> datasets have 40 patients in common and thus 20 of the common samples were excluded at random from each dataset. </w:t>
      </w:r>
      <w:r w:rsidRPr="004E430D">
        <w:t>The ComBat algorithm</w:t>
      </w:r>
      <w:r>
        <w:t xml:space="preserve"> </w:t>
      </w:r>
      <w:r>
        <w:fldChar w:fldCharType="begin"/>
      </w:r>
      <w:r w:rsidR="00C03416">
        <w:instrText xml:space="preserve"> ADDIN ZOTERO_ITEM CSL_CITATION {"citationID":"fCcOZwAt","properties":{"formattedCitation":"[17]","plainCitation":"[17]","noteIndex":0},"citationItems":[{"id":5743,"uris":["http://zotero.org/users/9745539/items/TFED6B5F"],"itemData":{"id":5743,"type":"article-journal","abstract":"Non-biological experimental variation or &amp;quot;batch effects&amp;quot; are commonly observed across multiple batches of microarray experiments, often rendering the task of combining data from these batches difficult. The ability to combine microarray data sets is advantageous to researchers to increase statistical power to detect biological phenomena from studies where logistical considerations restrict sample size or in studies that require the sequential hybridization of arrays. In general, it is inappropriate to combine data sets without adjusting for batch effects. Methods have been proposed to filter batch effects from data, but these are often complicated and require large batch sizes ( &amp;gt; 25) to implement. Because the majority of microarray studies are conducted using much smaller sample sizes, existing methods are not sufficient. We propose parametric and non-parametric empirical Bayes frameworks for adjusting data for batch effects that is robust to outliers in small sample sizes and performs comparable to existing methods for large samples. We illustrate our methods using two example data sets and show that our methods are justifiable, easy to apply, and useful in practice. Software for our method is freely available at: http://biosun1.harvard.edu/complab/batch/.","container-title":"Biostatistics (Oxford, England)","DOI":"10.1093/biostatistics/kxj037","issue":"1","language":"English","note":"PMID: 16632515","page":"118-127","title":"Adjusting batch effects in microarray expression data using empirical Bayes methods.","URL":"https://academic.oup.com/biostatistics/article-lookup/doi/10.1093/biostatistics/kxj037","volume":"8","author":[{"family":"Johnson","given":"W Evan"},{"family":"Li","given":"Cheng"},{"family":"Rabinovic","given":"Ariel"}],"issued":{"date-parts":[["2007"]]}}}],"schema":"https://github.com/citation-style-language/schema/raw/master/csl-citation.json"} </w:instrText>
      </w:r>
      <w:r>
        <w:fldChar w:fldCharType="separate"/>
      </w:r>
      <w:r w:rsidR="00C03416">
        <w:rPr>
          <w:noProof/>
        </w:rPr>
        <w:t>[17]</w:t>
      </w:r>
      <w:r>
        <w:fldChar w:fldCharType="end"/>
      </w:r>
      <w:r w:rsidRPr="004E430D">
        <w:t xml:space="preserve"> from the sva R package and quantile transformation, was used to mitigate </w:t>
      </w:r>
      <w:r>
        <w:t>study</w:t>
      </w:r>
      <w:r w:rsidRPr="004E430D">
        <w:t>-specific effects. The ethical approvals obtained for each dataset are listed in the original publications.</w:t>
      </w:r>
    </w:p>
    <w:p w14:paraId="3A0BA1A5" w14:textId="77777777" w:rsidR="001B2E3D" w:rsidRDefault="001B2E3D" w:rsidP="001B2E3D">
      <w:pPr>
        <w:pStyle w:val="MDPI31text"/>
      </w:pPr>
      <w:r w:rsidRPr="007359B0">
        <w:t xml:space="preserve">The combined dataset was filtered to remove samples that were missing one or more of the clinical variables required for </w:t>
      </w:r>
      <w:r>
        <w:t xml:space="preserve">the Prostate </w:t>
      </w:r>
      <w:r w:rsidRPr="007359B0">
        <w:t>PREDICT</w:t>
      </w:r>
      <w:r>
        <w:t xml:space="preserve"> model</w:t>
      </w:r>
      <w:r w:rsidRPr="007359B0">
        <w:t xml:space="preserve"> (patient’s age, T- stage, </w:t>
      </w:r>
      <w:r w:rsidRPr="007359B0">
        <w:lastRenderedPageBreak/>
        <w:t xml:space="preserve">PSA and the </w:t>
      </w:r>
      <w:r>
        <w:t xml:space="preserve">Gleason </w:t>
      </w:r>
      <w:r w:rsidRPr="007359B0">
        <w:t>histological grade group</w:t>
      </w:r>
      <w:r>
        <w:t>)</w:t>
      </w:r>
      <w:r w:rsidRPr="007359B0">
        <w:t xml:space="preserve">. </w:t>
      </w:r>
      <w:r>
        <w:t xml:space="preserve">Only primary tumour tissue from the prostate were included. </w:t>
      </w:r>
      <w:r w:rsidRPr="007359B0">
        <w:t>Duplicate samples were also removed.</w:t>
      </w:r>
      <w:r>
        <w:t xml:space="preserve"> For the Stephenson dataset only Gleason sum was available, so 44 samples were removed that had a Gleason sum of seven. The resulting dataset consists of 359 samples.</w:t>
      </w:r>
    </w:p>
    <w:p w14:paraId="6B450816" w14:textId="77777777" w:rsidR="001B2E3D" w:rsidRPr="001041FC" w:rsidRDefault="001B2E3D" w:rsidP="001B2E3D"/>
    <w:p w14:paraId="52542954" w14:textId="21FC017C" w:rsidR="001B2E3D" w:rsidRDefault="001B2E3D" w:rsidP="001B2E3D">
      <w:pPr>
        <w:pStyle w:val="MDPI22heading2"/>
      </w:pPr>
      <w:r>
        <w:t>2.2 R implementation of the Prostate PREDICT model</w:t>
      </w:r>
    </w:p>
    <w:p w14:paraId="01C266BE" w14:textId="54C17B59" w:rsidR="001B2E3D" w:rsidRPr="00FB3801" w:rsidRDefault="001B2E3D" w:rsidP="001B2E3D">
      <w:pPr>
        <w:pStyle w:val="MDPI31text"/>
        <w:rPr>
          <w:rFonts w:eastAsiaTheme="minorHAnsi" w:cstheme="minorBidi"/>
          <w:lang w:eastAsia="en-US"/>
        </w:rPr>
      </w:pPr>
      <w:r w:rsidRPr="00FB3801">
        <w:t xml:space="preserve">The Prostate PREDICT model was originally implemented in the language STRATA </w:t>
      </w:r>
      <w:r w:rsidRPr="00FB3801">
        <w:fldChar w:fldCharType="begin"/>
      </w:r>
      <w:r>
        <w:instrText xml:space="preserve"> ADDIN ZOTERO_ITEM CSL_CITATION {"citationID":"cZbI7FQ4","properties":{"formattedCitation":"[7]","plainCitation":"[7]","noteIndex":0},"citationItems":[{"id":6385,"uris":["http://zotero.org/users/9745539/items/CY6RCJSV"],"itemData":{"id":6385,"type":"article-journal","abstract":"by David R. Thurtle, David C. Greenberg, Lui S. Lee, Hong H. Huang, Paul D. Pharoah, Vincent J. Gnanapragasam Background Prognostic stratification is the cornerstone of management in nonmetastatic prostate cancer (PCa). However, existing prognostic models are inadequate—often using treatment outcomes rather than survival, stratifying by broad heterogeneous groups and using heavily treated cohorts. To address this unmet need, we developed an individualised prognostic model that contextualises PCa-specific mortality (PCSM) against other cause mortality, and estimates the impact of treatment on survival. Methods and findings Using records from the United Kingdom National Cancer Registration and Analysis Service (NCRAS), data were collated for 10,089 men diagnosed with nonmetastatic PCa between 2000 and 2010 in Eastern England. Median follow-up was 9.8 years with 3,829 deaths (1,202 PCa specific). Totals of 19.8%, 14.1%, 34.6%, and 31.5% of men underwent conservative management, prostatectomy, radiotherapy (RT), and androgen deprivation monotherapy, respectively. A total of 2,546 men diagnosed in Singapore over a similar time period represented an external validation cohort. Data were randomly split 70:30 into model development and validation cohorts. Fifteen-year PCSM and non-PCa mortality (NPCM) were explored using separate multivariable Cox models within a competing risks framework. Fractional polynomials (FPs) were utilised to fit continuous variables and baseline hazards. Model accuracy was assessed by discrimination and calibration using the Harrell C-index and chi-squared goodness of fit, respectively, within both validation cohorts. A multivariable model estimating individualised 10- and 15-year survival outcomes was constructed combining age, prostate-specific antigen (PSA), histological grade, biopsy core involvement, stage, and primary treatment, which were each independent prognostic factors for PCSM, and age and comorbidity, which were prognostic for NPCM. The model demonstrated good discrimination, with a C-index of 0.84 (95% CI: 0.82–0.86) and 0.84 (95% CI: 0.80–0.87) for 15-year PCSM in the UK and Singapore validation cohorts, respectively, comparing favourably to international risk-stratification criteria. Discrimination was maintained for overall mortality, with C-index 0.77 (95% CI: 0.75–0.78) and 0.76 (95% CI: 0.73–0.78). The model was well calibrated with no significant difference between predicted and observed PCa-specific (p = 0.19) or overall deaths (p = 0.43) in the UK cohort. Key study limitations were a relatively small external validation cohort, an inability to account for delayed changes to treatment beyond 12 months, and an absence of tumour-stage subclassifications. Conclusions 'PREDICT Prostate' is an individualised multivariable PCa prognostic model built from baseline diagnostic information and the first to our knowledge that models potential treatment benefits on overall survival. Prognostic power is high despite using only routinely collected clinicopathological information.","container-title":"PLoS Medicine","DOI":"10.1371/journal.pmed.1002758","ISSN":"1549-1676","issue":"3","note":"publisher: Public Library of Science\nCitation Key: Thurtle2019","page":"e1002758","title":"Individual prognosis at diagnosis in nonmetastatic prostate cancer: Development and external validation of the PREDICT Prostate multivariable model","URL":"http://dx.plos.org/10.1371/journal.pmed.1002758","volume":"16","author":[{"family":"Thurtle","given":"David R"},{"family":"Greenberg","given":"David C"},{"family":"Lee","given":"Lui S"},{"family":"Huang","given":"Hong H"},{"family":"Pharoah","given":"Paul D"},{"family":"Gnanapragasam","given":"Vincent J"}],"editor":[{"family":"Johnstone","given":"Ricky W"}],"issued":{"date-parts":[["2019",3]]}}}],"schema":"https://github.com/citation-style-language/schema/raw/master/csl-citation.json"} </w:instrText>
      </w:r>
      <w:r w:rsidRPr="00FB3801">
        <w:fldChar w:fldCharType="separate"/>
      </w:r>
      <w:r>
        <w:rPr>
          <w:noProof/>
        </w:rPr>
        <w:t>[7]</w:t>
      </w:r>
      <w:r w:rsidRPr="00FB3801">
        <w:fldChar w:fldCharType="end"/>
      </w:r>
      <w:r w:rsidRPr="00FB3801">
        <w:t xml:space="preserve">. We have translated this to the freely available open-source R statistical programming language </w:t>
      </w:r>
      <w:r w:rsidRPr="00FB3801">
        <w:fldChar w:fldCharType="begin"/>
      </w:r>
      <w:r w:rsidR="00C03416">
        <w:instrText xml:space="preserve"> ADDIN ZOTERO_ITEM CSL_CITATION {"citationID":"STHuLXGh","properties":{"formattedCitation":"[18]","plainCitation":"[18]","noteIndex":0},"citationItems":[{"id":6963,"uris":["http://zotero.org/users/9745539/items/W8G4FK27"],"itemData":{"id":6963,"type":"webpage","note":"publisher: R Foundation for Statistical Computing\npublisher-place: Vienna, Austria, Austria\nCitation Key: RCoreTeam2019","title":"R: A Language and Environment for Statistical Computing","URL":"https://www.r-project.org/","author":[{"literal":"R Core Team"}],"accessed":{"date-parts":[["2020",4,7]]},"issued":{"date-parts":[["2015"]]}}}],"schema":"https://github.com/citation-style-language/schema/raw/master/csl-citation.json"} </w:instrText>
      </w:r>
      <w:r w:rsidRPr="00FB3801">
        <w:fldChar w:fldCharType="separate"/>
      </w:r>
      <w:r w:rsidR="00C03416">
        <w:rPr>
          <w:noProof/>
        </w:rPr>
        <w:t>[18]</w:t>
      </w:r>
      <w:r w:rsidRPr="00FB3801">
        <w:fldChar w:fldCharType="end"/>
      </w:r>
      <w:r w:rsidRPr="00FB3801">
        <w:t xml:space="preserve"> (</w:t>
      </w:r>
      <w:r w:rsidRPr="00B73B0C">
        <w:t>https://doi.org/10.5281/zenodo.7248417</w:t>
      </w:r>
      <w:r w:rsidRPr="00FB3801">
        <w:t>). Our implementation of the Prostate PREDICT model was extensively verified by comparing the results produced by t</w:t>
      </w:r>
      <w:r w:rsidRPr="00FB3801">
        <w:rPr>
          <w:rFonts w:eastAsiaTheme="minorHAnsi" w:cstheme="minorBidi"/>
          <w:lang w:eastAsia="en-US"/>
        </w:rPr>
        <w:t xml:space="preserve">hose of the PREDICT </w:t>
      </w:r>
      <w:r w:rsidRPr="00FB3801">
        <w:rPr>
          <w:rFonts w:eastAsiaTheme="minorHAnsi" w:cstheme="minorBidi"/>
          <w:i/>
          <w:iCs/>
          <w:lang w:eastAsia="en-US"/>
        </w:rPr>
        <w:t xml:space="preserve">Prostate </w:t>
      </w:r>
      <w:r w:rsidRPr="00FB3801">
        <w:rPr>
          <w:rFonts w:eastAsiaTheme="minorHAnsi" w:cstheme="minorBidi"/>
          <w:lang w:eastAsia="en-US"/>
        </w:rPr>
        <w:t xml:space="preserve">webpage tool (https://prostate.predict.nhs.uk/tool) </w:t>
      </w:r>
      <w:r w:rsidRPr="00FB3801">
        <w:t>for a wide variety of inputs. The results were identical, f</w:t>
      </w:r>
      <w:r w:rsidRPr="00FB3801">
        <w:rPr>
          <w:rFonts w:eastAsiaTheme="minorHAnsi" w:cstheme="minorBidi"/>
          <w:lang w:eastAsia="en-US"/>
        </w:rPr>
        <w:t>or example, when age = 75, T-stage = 2, PSA = 25 and Gleason score = 4+3, the 10-year predicted survival from initial conservative management was 55% via the webpage tool and</w:t>
      </w:r>
      <w:r w:rsidRPr="00FB3801">
        <w:t xml:space="preserve"> </w:t>
      </w:r>
      <w:r w:rsidRPr="00FB3801">
        <w:rPr>
          <w:rFonts w:eastAsiaTheme="minorHAnsi" w:cstheme="minorBidi"/>
          <w:lang w:eastAsia="en-US"/>
        </w:rPr>
        <w:t>0.549 in R</w:t>
      </w:r>
      <w:r w:rsidRPr="00FB3801">
        <w:t>.</w:t>
      </w:r>
      <w:r w:rsidRPr="00FB3801">
        <w:rPr>
          <w:rFonts w:eastAsiaTheme="minorHAnsi" w:cstheme="minorBidi"/>
          <w:lang w:eastAsia="en-US"/>
        </w:rPr>
        <w:t xml:space="preserve"> </w:t>
      </w:r>
      <w:r w:rsidRPr="00FB3801">
        <w:t>We also examined how the R version PREDICT results vary with clinical variables to ensure that they made logical sense.</w:t>
      </w:r>
    </w:p>
    <w:p w14:paraId="19EC37BB" w14:textId="77777777" w:rsidR="001B2E3D" w:rsidRPr="00690F4D" w:rsidRDefault="001B2E3D" w:rsidP="001B2E3D">
      <w:pPr>
        <w:pStyle w:val="MDPI31text"/>
      </w:pPr>
    </w:p>
    <w:p w14:paraId="1622B6F6" w14:textId="77777777" w:rsidR="001B2E3D" w:rsidRDefault="001B2E3D" w:rsidP="001B2E3D">
      <w:pPr>
        <w:pStyle w:val="MDPI31text"/>
        <w:rPr>
          <w:rFonts w:cstheme="minorHAnsi"/>
        </w:rPr>
      </w:pPr>
      <w:r w:rsidRPr="00DD6E7B">
        <w:t xml:space="preserve">As we are interested in reducing radical treatment in prostate cancer the </w:t>
      </w:r>
      <w:r w:rsidRPr="00690F4D">
        <w:t>results</w:t>
      </w:r>
      <w:r w:rsidRPr="00DD6E7B">
        <w:t xml:space="preserve"> from the PREDICT model used the treatment strategy selected was initial conservative management rather than radical treatment. For the datasets used here, comorbidity (</w:t>
      </w:r>
      <w:r w:rsidRPr="00DD6E7B">
        <w:rPr>
          <w:rFonts w:eastAsiaTheme="minorHAnsi" w:cstheme="minorBidi"/>
          <w:lang w:eastAsia="en-US"/>
        </w:rPr>
        <w:t xml:space="preserve">the patient had not </w:t>
      </w:r>
      <w:r w:rsidRPr="00DD6E7B">
        <w:t xml:space="preserve">experienced a hospital admission in the last 2 years for something other than prostate cancer) and detailed biopsy histopathology results were unavailable and so are set to zero, as is done in the online implementation when this information is unavailable. </w:t>
      </w:r>
      <w:r w:rsidRPr="00E0525F">
        <w:t xml:space="preserve">For each sample, the </w:t>
      </w:r>
      <w:r w:rsidRPr="00E0525F">
        <w:rPr>
          <w:rFonts w:cstheme="minorHAnsi"/>
        </w:rPr>
        <w:t>prostate cancer specific mortality probability (PCSM)</w:t>
      </w:r>
      <w:r>
        <w:rPr>
          <w:rFonts w:cstheme="minorHAnsi"/>
        </w:rPr>
        <w:t xml:space="preserve"> </w:t>
      </w:r>
      <w:r w:rsidRPr="00E0525F">
        <w:rPr>
          <w:rFonts w:cstheme="minorHAnsi"/>
        </w:rPr>
        <w:t>at ten years after diagnosis</w:t>
      </w:r>
      <w:r>
        <w:rPr>
          <w:rFonts w:cstheme="minorHAnsi"/>
        </w:rPr>
        <w:t xml:space="preserve"> (as a percentage)</w:t>
      </w:r>
      <w:r w:rsidRPr="00E0525F">
        <w:rPr>
          <w:rFonts w:cstheme="minorHAnsi"/>
        </w:rPr>
        <w:t xml:space="preserve"> was calculated</w:t>
      </w:r>
      <w:r>
        <w:rPr>
          <w:rFonts w:cstheme="minorHAnsi"/>
        </w:rPr>
        <w:t xml:space="preserve"> using as input the associated clinical variables age at diagnosis, PSA at diagnosis, T stage, and prostatectomy </w:t>
      </w:r>
      <w:r w:rsidRPr="007A2E8D">
        <w:rPr>
          <w:rFonts w:eastAsia="Helvetica" w:cs="Helvetica"/>
        </w:rPr>
        <w:t xml:space="preserve">Gleason </w:t>
      </w:r>
      <w:r>
        <w:rPr>
          <w:rFonts w:eastAsia="Helvetica" w:cs="Helvetica"/>
        </w:rPr>
        <w:t xml:space="preserve">grade </w:t>
      </w:r>
      <w:r w:rsidRPr="007A2E8D">
        <w:rPr>
          <w:rFonts w:eastAsia="Helvetica" w:cs="Helvetica"/>
        </w:rPr>
        <w:t>group</w:t>
      </w:r>
      <w:r>
        <w:rPr>
          <w:rFonts w:eastAsia="Helvetica" w:cs="Helvetica"/>
        </w:rPr>
        <w:t xml:space="preserve"> (as a proxy for biopsy Gleason grade group.</w:t>
      </w:r>
      <w:r>
        <w:rPr>
          <w:rFonts w:cstheme="minorHAnsi"/>
        </w:rPr>
        <w:t xml:space="preserve"> The </w:t>
      </w:r>
      <w:r w:rsidRPr="00E0525F">
        <w:rPr>
          <w:rFonts w:cstheme="minorHAnsi"/>
        </w:rPr>
        <w:t xml:space="preserve">non-prostate cancer mortality </w:t>
      </w:r>
      <w:r>
        <w:rPr>
          <w:rFonts w:cstheme="minorHAnsi"/>
        </w:rPr>
        <w:t xml:space="preserve">probability </w:t>
      </w:r>
      <w:r w:rsidRPr="00E0525F">
        <w:rPr>
          <w:rFonts w:cstheme="minorHAnsi"/>
        </w:rPr>
        <w:t>(NPCM</w:t>
      </w:r>
      <w:r>
        <w:rPr>
          <w:rFonts w:cstheme="minorHAnsi"/>
        </w:rPr>
        <w:t>, as a percentage</w:t>
      </w:r>
      <w:r w:rsidRPr="00E0525F">
        <w:rPr>
          <w:rFonts w:cstheme="minorHAnsi"/>
        </w:rPr>
        <w:t>)</w:t>
      </w:r>
      <w:r>
        <w:rPr>
          <w:rFonts w:cstheme="minorHAnsi"/>
        </w:rPr>
        <w:t xml:space="preserve"> </w:t>
      </w:r>
      <w:r w:rsidRPr="00E0525F">
        <w:rPr>
          <w:rFonts w:cstheme="minorHAnsi"/>
        </w:rPr>
        <w:t xml:space="preserve">was calculated </w:t>
      </w:r>
      <w:r>
        <w:rPr>
          <w:rFonts w:cstheme="minorHAnsi"/>
        </w:rPr>
        <w:t>using age at diagnosis</w:t>
      </w:r>
      <w:r w:rsidRPr="00E0525F">
        <w:rPr>
          <w:rFonts w:cstheme="minorHAnsi"/>
        </w:rPr>
        <w:t xml:space="preserve">. The PREDICT score, the </w:t>
      </w:r>
      <w:r>
        <w:rPr>
          <w:rFonts w:cstheme="minorHAnsi"/>
        </w:rPr>
        <w:t xml:space="preserve">increase in </w:t>
      </w:r>
      <w:r w:rsidRPr="00E0525F">
        <w:rPr>
          <w:rFonts w:cstheme="minorHAnsi"/>
        </w:rPr>
        <w:t xml:space="preserve">probability of mortality </w:t>
      </w:r>
      <w:r>
        <w:rPr>
          <w:rFonts w:cstheme="minorHAnsi"/>
        </w:rPr>
        <w:t xml:space="preserve">at 10 years </w:t>
      </w:r>
      <w:r w:rsidRPr="00E0525F">
        <w:rPr>
          <w:rFonts w:cstheme="minorHAnsi"/>
        </w:rPr>
        <w:t>from having prostate cancer, was defined as NPCM - PCSM.</w:t>
      </w:r>
    </w:p>
    <w:p w14:paraId="4CD1C46C" w14:textId="77777777" w:rsidR="001B2E3D" w:rsidRDefault="001B2E3D" w:rsidP="001B2E3D">
      <w:pPr>
        <w:pStyle w:val="MDPI31text"/>
      </w:pPr>
    </w:p>
    <w:p w14:paraId="266940E6" w14:textId="49734884" w:rsidR="001B2E3D" w:rsidRDefault="001B2E3D" w:rsidP="001B2E3D">
      <w:pPr>
        <w:pStyle w:val="MDPI22heading2"/>
      </w:pPr>
      <w:r>
        <w:t>2.3 DESNT score and assignment</w:t>
      </w:r>
    </w:p>
    <w:p w14:paraId="2EEB6CFB" w14:textId="6EF187EA" w:rsidR="001B2E3D" w:rsidRDefault="001B2E3D" w:rsidP="001B2E3D">
      <w:pPr>
        <w:pStyle w:val="MDPI31text"/>
      </w:pPr>
      <w:r>
        <w:t>Latent Process Decomposition (LPD) was applied to the MSKCC dataset</w:t>
      </w:r>
      <w:r w:rsidRPr="005558E9">
        <w:t xml:space="preserve"> </w:t>
      </w:r>
      <w:r w:rsidRPr="005558E9">
        <w:fldChar w:fldCharType="begin" w:fldLock="1"/>
      </w:r>
      <w:r w:rsidR="00C03416">
        <w:instrText xml:space="preserve"> ADDIN ZOTERO_ITEM CSL_CITATION {"citationID":"vcsE8MMJ","properties":{"formattedCitation":"[19]","plainCitation":"[19]","noteIndex":0},"citationItems":[{"id":"OyO8BWdL/hINmM09Y","uris":["http://www.mendeley.com/documents/?uuid=9b3913dd-71ae-4aa1-9f00-1485d0fde29f"],"itemData":{"DOI":"10.1016/j.ccr.2010.05.026","ISSN":"1878-3686","PMID":"20579941","abstract":"Annotation of prostate cancer genomes provides a foundation for discoveries that can impact disease understanding and treatment. Concordant assessment of DNA copy number, mRNA expression, and focused exon resequencing in 218 prostate cancer tumors identified the nuclear receptor coactivator NCOA2 as an oncogene in approximately 11% of tumors. Additionally, the androgen-driven TMPRSS2-ERG fusion was associated with a previously unrecognized, prostate-specific deletion at chromosome 3p14 that implicates FOXP1, RYBP, and SHQ1 as potential cooperative tumor suppressors. DNA copy-number data from primary tumors revealed that copy-number alterations robustly define clusters of low- and high-risk disease beyond that achieved by Gleason score. The genomic and clinical outcome data from these patients are now made available as a public resource.","author":[{"dropping-particle":"","family":"Taylor","given":"Barry S","non-dropping-particle":"","parse-names":false,"suffix":""},{"dropping-particle":"","family":"Schultz","given":"Nikolaus","non-dropping-particle":"","parse-names":false,"suffix":""},{"dropping-particle":"","family":"Hieronymus","given":"Haley","non-dropping-particle":"","parse-names":false,"suffix":""},{"dropping-particle":"","family":"Gopalan","given":"Anuradha","non-dropping-particle":"","parse-names":false,"suffix":""},{"dropping-particle":"","family":"Xiao","given":"Yonghong","non-dropping-particle":"","parse-names":false,"suffix":""},{"dropping-particle":"","family":"Carver","given":"Brett S","non-dropping-particle":"","parse-names":false,"suffix":""},{"dropping-particle":"","family":"Arora","given":"Vivek K","non-dropping-particle":"","parse-names":false,"suffix":""},{"dropping-particle":"","family":"Kaushik","given":"Poorvi","non-dropping-particle":"","parse-names":false,"suffix":""},{"dropping-particle":"","family":"Cerami","given":"Ethan","non-dropping-particle":"","parse-names":false,"suffix":""},{"dropping-particle":"","family":"Reva","given":"Boris","non-dropping-particle":"","parse-names":false,"suffix":""},{"dropping-particle":"","family":"Antipin","given":"Yevgeniy","non-dropping-particle":"","parse-names":false,"suffix":""},{"dropping-particle":"","family":"Mitsiades","given":"Nicholas","non-dropping-particle":"","parse-names":false,"suffix":""},{"dropping-particle":"","family":"Landers","given":"Thomas","non-dropping-particle":"","parse-names":false,"suffix":""},{"dropping-particle":"","family":"Dolgalev","given":"Igor","non-dropping-particle":"","parse-names":false,"suffix":""},{"dropping-particle":"","family":"Major","given":"John E","non-dropping-particle":"","parse-names":false,"suffix":""},{"dropping-particle":"","family":"Wilson","given":"Manda","non-dropping-particle":"","parse-names":false,"suffix":""},{"dropping-particle":"","family":"Socci","given":"Nicholas D","non-dropping-particle":"","parse-names":false,"suffix":""},{"dropping-particle":"","family":"Lash","given":"Alex E","non-dropping-particle":"","parse-names":false,"suffix":""},{"dropping-particle":"","family":"Heguy","given":"Adriana","non-dropping-particle":"","parse-names":false,"suffix":""},{"dropping-particle":"","family":"Eastham","given":"James A","non-dropping-particle":"","parse-names":false,"suffix":""},{"dropping-particle":"","family":"Scher","given":"Howard I","non-dropping-particle":"","parse-names":false,"suffix":""},{"dropping-particle":"","family":"Reuter","given":"Victor E","non-dropping-particle":"","parse-names":false,"suffix":""},{"dropping-particle":"","family":"Scardino","given":"Peter T","non-dropping-particle":"","parse-names":false,"suffix":""},{"dropping-particle":"","family":"Sander","given":"Chris","non-dropping-particle":"","parse-names":false,"suffix":""},{"dropping-particle":"","family":"Sawyers","given":"Charles L","non-dropping-particle":"","parse-names":false,"suffix":""},{"dropping-particle":"","family":"Gerald","given":"William L","non-dropping-particle":"","parse-names":false,"suffix":""}],"container-title":"Cancer cell","id":"ITEM-1","issue":"1","issued":{"date-parts":[["2010","6","13"]]},"note":"From Duplicate 1 (Integrative Genomic Profiling of Human Prostate Cancer. - Taylor, Barry S; Schultz, Nikolaus; Hieronymus, Haley; Gopalan, Anuradha; Xiao, Yonghong; Carver, Brett S; Arora, Vivek K; Kaushik, Poorvi; Cerami, Ethan; Reva, Boris; Antipin, Yevgeniy; Mitsiades, Nicholas; Landers, Thomas; Dolgalev, Igor; Major, John E; Wilson, Manda; Socci, Nicholas D; Lash, Alex E; Heguy, Adriana; Eastham, James A; Scher, Howard I; Reuter, Victor E; Scardino, Peter T; Sander, Chris; Sawyers, Charles L; Gerald, William L)\n\nFrom Duplicate 1 (Integrative genomic profiling of human prostate cancer. - Taylor, Barry S; Schultz, Nikolaus; Hieronymus, Haley; Gopalan, Anuradha; Xiao, Yonghong; Carver, Brett S; Arora, Vivek K; Kaushik, Poorvi; Cerami, Ethan; Reva, Boris; Antipin, Yevgeniy; Mitsiades, Nicholas; Landers, Thomas; Dolgalev, Igor; Major, John E; Wilson, Manda; Socci, Nicholas D; Lash, Alex E; Heguy, Adriana; Eastham, James A; Scher, Howard I; Reuter, Victor E; Scardino, Peter T; Sander, Chris; Sawyers, Charles L; Gerald, William L)\n\nTaylor, Barry S Schultz, Nikolaus Hieronymus, Haley Gopalan, Anuradha Xiao, Yonghong Carver, Brett S Arora, Vivek K Kaushik, Poorvi Cerami, Ethan Reva, Boris Antipin, Yevgeniy Mitsiades, Nicholas Landers, Thomas Dolgalev, Igor Major, John E Wilson, Manda Socci, Nicholas D Lash, Alex E Heguy, Adriana Eastham, James A Scher, Howard I Reuter, Victor E Scardino, Peter T Sander, Chris Sawyers, Charles L Gerald, William L","page":"11-22","publisher":"Elsevier Ltd","title":"Integrative Genomic Profiling of Human Prostate Cancer.","type":"article-journal","volume":"18"}}],"schema":"https://github.com/citation-style-language/schema/raw/master/csl-citation.json"} </w:instrText>
      </w:r>
      <w:r w:rsidRPr="005558E9">
        <w:fldChar w:fldCharType="separate"/>
      </w:r>
      <w:r w:rsidR="00C03416">
        <w:t>[19]</w:t>
      </w:r>
      <w:r w:rsidRPr="005558E9">
        <w:fldChar w:fldCharType="end"/>
      </w:r>
      <w:r>
        <w:t xml:space="preserve"> to produce the DESNT framework model, exactly as described in Luca </w:t>
      </w:r>
      <w:r w:rsidRPr="005558E9">
        <w:rPr>
          <w:i/>
          <w:iCs/>
        </w:rPr>
        <w:t>et al.</w:t>
      </w:r>
      <w:r>
        <w:t xml:space="preserve"> (2020) </w:t>
      </w:r>
      <w:r>
        <w:fldChar w:fldCharType="begin"/>
      </w:r>
      <w:r w:rsidR="00C03416">
        <w:instrText xml:space="preserve"> ADDIN ZOTERO_ITEM CSL_CITATION {"citationID":"YG8GKwVX","properties":{"formattedCitation":"[13]","plainCitation":"[13]","noteIndex":0},"citationItems":[{"id":6641,"uris":["http://zotero.org/users/9745539/items/B853YM3N"],"itemData":{"id":6641,"type":"article-journal","abstract":"BACKGROUND Unsupervised learning methods, such as Hierarchical Cluster Analysis, are commonly used for the analysis of genomic platform data. Unfortunately, such approaches ignore the well-documented heterogeneous composition of prostate cancer samples. Our aim is to use more sophisticated analytical approaches to deconvolute the structure of prostate cancer transcriptome data, providing novel clinically actionable information for this disease. METHODS We apply an unsupervised model called Latent Process Decomposition (LPD), which can handle heterogeneity within individual cancer samples, to genome-wide expression data from eight prostate cancer clinical series, including 1,785 malignant samples with the clinical endpoints of PSA failure and metastasis. RESULTS We show that PSA failure is correlated with the level of an expression signature called DESNT (HR = 1.52, 95% CI = [1.36, 1.7], P = 9.0 × 10-14, Cox model), and that patients with a majority DESNT signature have an increased metastatic risk (X2 test, P = 0.0017, and P = 0.0019). In addition, we develop a stratification framework that incorporates DESNT and identifies three novel molecular subtypes of prostate cancer. CONCLUSIONS These results highlight the importance of using more complex approaches for the analysis of genomic data, may assist drug targeting, and have allowed the construction of a nomogram combining DESNT with other clinical factors for use in clinical management.","container-title":"British journal of cancer","DOI":"10.1038/s41416-020-0799-5","ISSN":"1532-1827","issue":"10","note":"PMID: 32203215\npublisher: Springer US\nCitation Key: Luca2020","page":"1467-1476","title":"A novel stratification framework for predicting outcome in patients with prostate cancer.","URL":"http://dx.doi.org/10.1038/s41416-020-0799-5","volume":"122","author":[{"family":"Luca","given":"Bogdan-alexandru"},{"family":"Moulton","given":"Vincent"},{"family":"Ellis","given":"Christopher"},{"family":"Edwards","given":"Dylan R"},{"family":"Campbell","given":"Colin"},{"family":"Cooper","given":"Rosalin A"},{"family":"Clark","given":"Jeremy"},{"family":"Brewer","given":"Daniel S"},{"family":"Cooper","given":"Colin S"}],"issued":{"date-parts":[["2020",5,20]]}}}],"schema":"https://github.com/citation-style-language/schema/raw/master/csl-citation.json"} </w:instrText>
      </w:r>
      <w:r>
        <w:fldChar w:fldCharType="separate"/>
      </w:r>
      <w:r w:rsidR="00C03416">
        <w:rPr>
          <w:noProof/>
        </w:rPr>
        <w:t>[13]</w:t>
      </w:r>
      <w:r>
        <w:fldChar w:fldCharType="end"/>
      </w:r>
      <w:r>
        <w:t>. This model was then applied to the other datasets using t</w:t>
      </w:r>
      <w:r w:rsidRPr="005558E9">
        <w:t>he OAS-LPD algorithm</w:t>
      </w:r>
      <w:r>
        <w:t xml:space="preserve">, </w:t>
      </w:r>
      <w:r w:rsidRPr="005558E9">
        <w:t>a modified version of the LPD algorithm in which new sample(s) are decomposed into LPD signatures, without retraining the model</w:t>
      </w:r>
      <w:r>
        <w:t xml:space="preserve">. Again, as described in Luca </w:t>
      </w:r>
      <w:r w:rsidRPr="005558E9">
        <w:rPr>
          <w:i/>
          <w:iCs/>
        </w:rPr>
        <w:t>et al.</w:t>
      </w:r>
      <w:r>
        <w:t xml:space="preserve"> (2020). LPD is an </w:t>
      </w:r>
      <w:r w:rsidRPr="005558E9">
        <w:t>unsupervised Bayesian approach which decomposes each sample</w:t>
      </w:r>
      <w:r>
        <w:t xml:space="preserve">’s expression </w:t>
      </w:r>
      <w:r w:rsidRPr="005558E9">
        <w:t>into signature</w:t>
      </w:r>
      <w:r>
        <w:t xml:space="preserve"> expression profiles of each molecular subtype</w:t>
      </w:r>
      <w:r w:rsidRPr="005558E9">
        <w:t>.</w:t>
      </w:r>
      <w:r>
        <w:t xml:space="preserve"> For each sample a score between 0 and 1 is given for each subtype which represents the proportion of a sample’s expression that is explained by the signature expression profile for that subtype. Here, the proportion of expression assigned to the DESNT subtype is termed the DESNT score and are the exact scores produced for previous work </w:t>
      </w:r>
      <w:r>
        <w:fldChar w:fldCharType="begin"/>
      </w:r>
      <w:r w:rsidR="00C03416">
        <w:instrText xml:space="preserve"> ADDIN ZOTERO_ITEM CSL_CITATION {"citationID":"GGqlDOEN","properties":{"formattedCitation":"[13]","plainCitation":"[13]","noteIndex":0},"citationItems":[{"id":6641,"uris":["http://zotero.org/users/9745539/items/B853YM3N"],"itemData":{"id":6641,"type":"article-journal","abstract":"BACKGROUND Unsupervised learning methods, such as Hierarchical Cluster Analysis, are commonly used for the analysis of genomic platform data. Unfortunately, such approaches ignore the well-documented heterogeneous composition of prostate cancer samples. Our aim is to use more sophisticated analytical approaches to deconvolute the structure of prostate cancer transcriptome data, providing novel clinically actionable information for this disease. METHODS We apply an unsupervised model called Latent Process Decomposition (LPD), which can handle heterogeneity within individual cancer samples, to genome-wide expression data from eight prostate cancer clinical series, including 1,785 malignant samples with the clinical endpoints of PSA failure and metastasis. RESULTS We show that PSA failure is correlated with the level of an expression signature called DESNT (HR = 1.52, 95% CI = [1.36, 1.7], P = 9.0 × 10-14, Cox model), and that patients with a majority DESNT signature have an increased metastatic risk (X2 test, P = 0.0017, and P = 0.0019). In addition, we develop a stratification framework that incorporates DESNT and identifies three novel molecular subtypes of prostate cancer. CONCLUSIONS These results highlight the importance of using more complex approaches for the analysis of genomic data, may assist drug targeting, and have allowed the construction of a nomogram combining DESNT with other clinical factors for use in clinical management.","container-title":"British journal of cancer","DOI":"10.1038/s41416-020-0799-5","ISSN":"1532-1827","issue":"10","note":"PMID: 32203215\npublisher: Springer US\nCitation Key: Luca2020","page":"1467-1476","title":"A novel stratification framework for predicting outcome in patients with prostate cancer.","URL":"http://dx.doi.org/10.1038/s41416-020-0799-5","volume":"122","author":[{"family":"Luca","given":"Bogdan-alexandru"},{"family":"Moulton","given":"Vincent"},{"family":"Ellis","given":"Christopher"},{"family":"Edwards","given":"Dylan R"},{"family":"Campbell","given":"Colin"},{"family":"Cooper","given":"Rosalin A"},{"family":"Clark","given":"Jeremy"},{"family":"Brewer","given":"Daniel S"},{"family":"Cooper","given":"Colin S"}],"issued":{"date-parts":[["2020",5,20]]}}}],"schema":"https://github.com/citation-style-language/schema/raw/master/csl-citation.json"} </w:instrText>
      </w:r>
      <w:r>
        <w:fldChar w:fldCharType="separate"/>
      </w:r>
      <w:r w:rsidR="00C03416">
        <w:rPr>
          <w:noProof/>
        </w:rPr>
        <w:t>[13]</w:t>
      </w:r>
      <w:r>
        <w:fldChar w:fldCharType="end"/>
      </w:r>
      <w:r>
        <w:t>. If the DESNT score is the largest score across the subtypes, the sample is considered a member of the DESNT subtype.</w:t>
      </w:r>
    </w:p>
    <w:p w14:paraId="18C0A038" w14:textId="77777777" w:rsidR="001B2E3D" w:rsidRPr="005558E9" w:rsidRDefault="001B2E3D" w:rsidP="001B2E3D">
      <w:pPr>
        <w:pStyle w:val="MDPI31text"/>
      </w:pPr>
    </w:p>
    <w:p w14:paraId="30CF3F50" w14:textId="44827582" w:rsidR="001B2E3D" w:rsidRDefault="001B2E3D" w:rsidP="001B2E3D">
      <w:pPr>
        <w:pStyle w:val="MDPI22heading2"/>
      </w:pPr>
      <w:r>
        <w:t>2.4 Differential Gene Expression analysis</w:t>
      </w:r>
    </w:p>
    <w:p w14:paraId="19BCB808" w14:textId="524B64F3" w:rsidR="001B2E3D" w:rsidRDefault="001B2E3D" w:rsidP="001B2E3D">
      <w:pPr>
        <w:pStyle w:val="MDPI31text"/>
      </w:pPr>
      <w:r w:rsidRPr="00CA438A">
        <w:t xml:space="preserve">Differentially expressed </w:t>
      </w:r>
      <w:r>
        <w:t xml:space="preserve">genes </w:t>
      </w:r>
      <w:r w:rsidRPr="00CA438A">
        <w:t xml:space="preserve">were identified for each </w:t>
      </w:r>
      <w:r>
        <w:t>comparison</w:t>
      </w:r>
      <w:r w:rsidRPr="00CA438A">
        <w:t xml:space="preserve"> using a moderated </w:t>
      </w:r>
      <w:r w:rsidRPr="00CA438A">
        <w:rPr>
          <w:i/>
        </w:rPr>
        <w:t>t</w:t>
      </w:r>
      <w:r w:rsidRPr="00CA438A">
        <w:t>-test implemented in the limma (v 3.52.0)</w:t>
      </w:r>
      <w:r>
        <w:t xml:space="preserve"> </w:t>
      </w:r>
      <w:r w:rsidRPr="00CA438A">
        <w:t>R package</w:t>
      </w:r>
      <w:r>
        <w:t xml:space="preserve"> </w:t>
      </w:r>
      <w:r>
        <w:fldChar w:fldCharType="begin"/>
      </w:r>
      <w:r w:rsidR="00C03416">
        <w:instrText xml:space="preserve"> ADDIN ZOTERO_ITEM CSL_CITATION {"citationID":"k1ap2OVx","properties":{"formattedCitation":"[20]","plainCitation":"[20]","noteIndex":0},"citationItems":[{"id":4712,"uris":["http://zotero.org/users/9745539/items/4Z6WNBF3"],"itemData":{"id":4712,"type":"article-journal","container-title":"Nucleic acids research","DOI":"10.1093/nar/gkv007","ISSN":"0305-1048","note":"publisher: Oxford Univ Press","page":"gkv007","title":"limma powers differential expression analyses for RNA-sequencing and microarray studies","author":[{"family":"Ritchie","given":"Matthew E"},{"family":"Phipson","given":"Belinda"},{"family":"Wu","given":"Di"},{"family":"Hu","given":"Yifang"},{"family":"Law","given":"Charity W"},{"family":"Shi","given":"Wei"},{"family":"Smyth","given":"Gordon K"}],"issued":{"date-parts":[["2015"]]}}}],"schema":"https://github.com/citation-style-language/schema/raw/master/csl-citation.json"} </w:instrText>
      </w:r>
      <w:r>
        <w:fldChar w:fldCharType="separate"/>
      </w:r>
      <w:r w:rsidR="00C03416">
        <w:rPr>
          <w:noProof/>
        </w:rPr>
        <w:t>[20]</w:t>
      </w:r>
      <w:r>
        <w:fldChar w:fldCharType="end"/>
      </w:r>
      <w:r>
        <w:t xml:space="preserve"> with a threshold of </w:t>
      </w:r>
      <w:r w:rsidRPr="00CA438A">
        <w:t>Benjamin-Hoc</w:t>
      </w:r>
      <w:r>
        <w:t>h</w:t>
      </w:r>
      <w:r w:rsidRPr="00CA438A">
        <w:t>berg false discovery rate &lt; 0.05.</w:t>
      </w:r>
    </w:p>
    <w:p w14:paraId="77ECC7D2" w14:textId="77777777" w:rsidR="001B2E3D" w:rsidRPr="00CA438A" w:rsidRDefault="001B2E3D" w:rsidP="001B2E3D">
      <w:pPr>
        <w:pStyle w:val="MDPI31text"/>
      </w:pPr>
    </w:p>
    <w:p w14:paraId="51BAB6FA" w14:textId="23D35937" w:rsidR="001B2E3D" w:rsidRDefault="001B2E3D" w:rsidP="001B2E3D">
      <w:pPr>
        <w:pStyle w:val="MDPI22heading2"/>
      </w:pPr>
      <w:r>
        <w:t xml:space="preserve">2.5 Functional </w:t>
      </w:r>
      <w:r w:rsidRPr="00690F4D">
        <w:t>enrichment</w:t>
      </w:r>
      <w:r>
        <w:t xml:space="preserve"> analysis</w:t>
      </w:r>
    </w:p>
    <w:p w14:paraId="030A800C" w14:textId="5AF88F0D" w:rsidR="001B2E3D" w:rsidRPr="00D273C5" w:rsidRDefault="001B2E3D" w:rsidP="001B2E3D">
      <w:pPr>
        <w:pStyle w:val="MDPI31text"/>
      </w:pPr>
      <w:r>
        <w:t>Functional enrichment</w:t>
      </w:r>
      <w:r w:rsidRPr="001B2987">
        <w:t xml:space="preserve"> analysis was performed using the </w:t>
      </w:r>
      <w:r w:rsidRPr="00690F4D">
        <w:t>gProfiler2</w:t>
      </w:r>
      <w:r w:rsidRPr="001B2987">
        <w:t xml:space="preserve"> (v0.</w:t>
      </w:r>
      <w:r>
        <w:t>2</w:t>
      </w:r>
      <w:r w:rsidRPr="001B2987">
        <w:t>.</w:t>
      </w:r>
      <w:r>
        <w:t>1</w:t>
      </w:r>
      <w:r w:rsidRPr="001B2987">
        <w:t>)</w:t>
      </w:r>
      <w:r>
        <w:t xml:space="preserve"> </w:t>
      </w:r>
      <w:r>
        <w:fldChar w:fldCharType="begin"/>
      </w:r>
      <w:r w:rsidR="00C03416">
        <w:instrText xml:space="preserve"> ADDIN ZOTERO_ITEM CSL_CITATION {"citationID":"8PuMfkIH","properties":{"formattedCitation":"[21]","plainCitation":"[21]","noteIndex":0},"citationItems":[{"id":7909,"uris":["http://zotero.org/users/9745539/items/PEDNE9XY"],"itemData":{"id":7909,"type":"article-journal","abstract":"g:Profiler ( https://biit.cs.ut.ee/gprofiler) is a widely used gene list functional profiling and namespace conversion toolset that has been contributing to reproducible biological data analysis already since 2007. Here we introduce the accompanying R package, gprofiler2, developed to facilitate programmatic access to g:Profiler computations and databases via REST API. The gprofiler2 package provides an easy-to-use functionality that enables researchers to incorporate functional enrichment analysis into automated analysis pipelines written in R. The package also implements interactive visualisation methods to help to interpret the enrichment results and to illustrate them for publications. In addition, gprofiler2 gives access to the versatile gene/protein identifier conversion functionality in g:Profiler enabling to map between hundreds of different identifier types or orthologous species. The gprofiler2 package is freely available at the CRAN repository.","container-title":"F1000Research","DOI":"10.12688/f1000research.24956.2","ISSN":"2046-1402","journalAbbreviation":"F1000Res","language":"eng","note":"PMID: 33564394\nPMCID: PMC7859841","page":"ELIXIR-709","source":"PubMed","title":"gprofiler2 -- an R package for gene list functional enrichment analysis and namespace conversion toolset g:Profiler","title-short":"gprofiler2 -- an R package for gene list functional enrichment analysis and namespace conversion toolset g","volume":"9","author":[{"family":"Kolberg","given":"Liis"},{"family":"Raudvere","given":"Uku"},{"family":"Kuzmin","given":"Ivan"},{"family":"Vilo","given":"Jaak"},{"family":"Peterson","given":"Hedi"}],"issued":{"date-parts":[["2020"]]}},"locator":"2"}],"schema":"https://github.com/citation-style-language/schema/raw/master/csl-citation.json"} </w:instrText>
      </w:r>
      <w:r>
        <w:fldChar w:fldCharType="separate"/>
      </w:r>
      <w:r w:rsidR="00C03416">
        <w:rPr>
          <w:noProof/>
        </w:rPr>
        <w:t>[21]</w:t>
      </w:r>
      <w:r>
        <w:fldChar w:fldCharType="end"/>
      </w:r>
      <w:r>
        <w:t xml:space="preserve"> R package </w:t>
      </w:r>
      <w:r w:rsidRPr="001B2987">
        <w:t>utilising the KEGG, RECTOME</w:t>
      </w:r>
      <w:r>
        <w:t xml:space="preserve">, </w:t>
      </w:r>
      <w:r w:rsidRPr="001B2987">
        <w:t xml:space="preserve">and </w:t>
      </w:r>
      <w:r>
        <w:t>Gene Ontology</w:t>
      </w:r>
      <w:r w:rsidRPr="001B2987">
        <w:t xml:space="preserve"> database for </w:t>
      </w:r>
      <w:r>
        <w:t xml:space="preserve">biological </w:t>
      </w:r>
      <w:r>
        <w:lastRenderedPageBreak/>
        <w:t xml:space="preserve">process </w:t>
      </w:r>
      <w:r w:rsidRPr="001B2987">
        <w:t xml:space="preserve">terms. The gSCS (Set Counts and Sizes) correction method </w:t>
      </w:r>
      <w:r>
        <w:t xml:space="preserve">was used to determine significantly enriched pathways and ontology terms </w:t>
      </w:r>
      <w:r w:rsidRPr="001B2987">
        <w:t xml:space="preserve">with significance </w:t>
      </w:r>
      <w:r w:rsidRPr="00DD31CB">
        <w:rPr>
          <w:i/>
          <w:iCs/>
        </w:rPr>
        <w:t>p</w:t>
      </w:r>
      <w:r>
        <w:t xml:space="preserve"> </w:t>
      </w:r>
      <w:r w:rsidRPr="001B2987">
        <w:t>&lt;</w:t>
      </w:r>
      <w:r>
        <w:t xml:space="preserve"> </w:t>
      </w:r>
      <w:r w:rsidRPr="001B2987">
        <w:t>0.05.</w:t>
      </w:r>
    </w:p>
    <w:p w14:paraId="0098BFBE" w14:textId="77777777" w:rsidR="001B2E3D" w:rsidRDefault="001B2E3D" w:rsidP="001B2E3D">
      <w:pPr>
        <w:pStyle w:val="MDPI31text"/>
      </w:pPr>
    </w:p>
    <w:p w14:paraId="44DEFD10" w14:textId="51CB556B" w:rsidR="001B2E3D" w:rsidRDefault="001B2E3D" w:rsidP="001B2E3D">
      <w:pPr>
        <w:pStyle w:val="MDPI22heading2"/>
      </w:pPr>
      <w:r>
        <w:t>2.6 Statistical tests</w:t>
      </w:r>
    </w:p>
    <w:p w14:paraId="4921CFB0" w14:textId="397BD8AD" w:rsidR="001B2E3D" w:rsidRPr="001B2E3D" w:rsidRDefault="001B2E3D" w:rsidP="001B2E3D">
      <w:pPr>
        <w:pStyle w:val="MDPI31text"/>
      </w:pPr>
      <w:r w:rsidRPr="007359B0">
        <w:t xml:space="preserve">All analyses were performed in R (version 4.1.2) </w:t>
      </w:r>
      <w:r>
        <w:t xml:space="preserve">using default parameters unless otherwise stated. </w:t>
      </w:r>
      <w:r w:rsidRPr="00D273C5">
        <w:t xml:space="preserve">Survival analyses were performed using Cox proportional hazards </w:t>
      </w:r>
      <w:r>
        <w:t xml:space="preserve">regression </w:t>
      </w:r>
      <w:r w:rsidRPr="00D273C5">
        <w:t xml:space="preserve">models, the log-rank test, and Kaplan-Meier estimator, </w:t>
      </w:r>
      <w:r w:rsidRPr="00CA438A">
        <w:t xml:space="preserve">as implemented in the survival R package </w:t>
      </w:r>
      <w:r w:rsidRPr="00D273C5">
        <w:t>with biochemical recurrence after prostatectomy as the end point.</w:t>
      </w:r>
      <w:r>
        <w:t xml:space="preserve"> </w:t>
      </w:r>
      <w:r w:rsidRPr="005E6BDA">
        <w:t xml:space="preserve">Pairwise comparisons </w:t>
      </w:r>
      <w:r>
        <w:t xml:space="preserve">of Kaplan-Meier curves </w:t>
      </w:r>
      <w:r w:rsidRPr="005E6BDA">
        <w:t xml:space="preserve">using Log-Rank test </w:t>
      </w:r>
      <w:r>
        <w:t xml:space="preserve">were performed using the SurvMiner (v 0.4.9), with </w:t>
      </w:r>
      <w:r w:rsidRPr="006251BE">
        <w:rPr>
          <w:i/>
          <w:iCs/>
        </w:rPr>
        <w:t>p</w:t>
      </w:r>
      <w:r>
        <w:t xml:space="preserve">-values adjusted using the </w:t>
      </w:r>
      <w:r w:rsidRPr="006251BE">
        <w:t>Benjamini</w:t>
      </w:r>
      <w:r>
        <w:t xml:space="preserve">-Hochberg multiple testing correction.  All plots were created using ggplot2 </w:t>
      </w:r>
      <w:r w:rsidRPr="00CA438A">
        <w:t>(v 3.3.6)</w:t>
      </w:r>
      <w:r>
        <w:t>. All statistical tests performed were two-sided non-parametric tests unless otherwise stated.</w:t>
      </w:r>
    </w:p>
    <w:p w14:paraId="46400131" w14:textId="5BD9E56B" w:rsidR="001B2E3D" w:rsidRDefault="001B2E3D" w:rsidP="001B2E3D">
      <w:pPr>
        <w:pStyle w:val="MDPI31text"/>
        <w:spacing w:before="240" w:after="60"/>
        <w:ind w:firstLine="0"/>
        <w:jc w:val="left"/>
        <w:outlineLvl w:val="0"/>
        <w:rPr>
          <w:b/>
        </w:rPr>
      </w:pPr>
      <w:r>
        <w:rPr>
          <w:b/>
        </w:rPr>
        <w:t>3. Results</w:t>
      </w:r>
    </w:p>
    <w:p w14:paraId="207AA100" w14:textId="4929FC59" w:rsidR="001B2E3D" w:rsidRPr="0032014D" w:rsidRDefault="001B2E3D" w:rsidP="001B2E3D">
      <w:pPr>
        <w:pStyle w:val="MDPI22heading2"/>
        <w:rPr>
          <w:lang w:val="en-GB"/>
        </w:rPr>
      </w:pPr>
      <w:r>
        <w:rPr>
          <w:lang w:val="en-GB"/>
        </w:rPr>
        <w:t xml:space="preserve">3.1 </w:t>
      </w:r>
      <w:r w:rsidRPr="0032014D">
        <w:rPr>
          <w:lang w:val="en-GB"/>
        </w:rPr>
        <w:t xml:space="preserve">Data </w:t>
      </w:r>
      <w:r w:rsidRPr="0032014D">
        <w:t>overview</w:t>
      </w:r>
    </w:p>
    <w:p w14:paraId="1B7F3B91" w14:textId="2B6129C7" w:rsidR="001B2E3D" w:rsidRPr="0032014D" w:rsidRDefault="001B2E3D" w:rsidP="001B2E3D">
      <w:pPr>
        <w:pStyle w:val="MDPI31text"/>
        <w:rPr>
          <w:lang w:val="en-GB"/>
        </w:rPr>
      </w:pPr>
      <w:r w:rsidRPr="0032014D">
        <w:rPr>
          <w:lang w:val="en-GB"/>
        </w:rPr>
        <w:t xml:space="preserve">We combined transcriptome data from </w:t>
      </w:r>
      <w:r w:rsidRPr="0032014D">
        <w:t>malignant</w:t>
      </w:r>
      <w:r w:rsidRPr="0032014D">
        <w:rPr>
          <w:lang w:val="en-GB"/>
        </w:rPr>
        <w:t xml:space="preserve"> samples taken at an initial treatment of prostatectomy from four studies: the MSKCC </w:t>
      </w:r>
      <w:r w:rsidRPr="0032014D">
        <w:rPr>
          <w:lang w:val="en-GB"/>
        </w:rPr>
        <w:fldChar w:fldCharType="begin" w:fldLock="1"/>
      </w:r>
      <w:r w:rsidR="00C03416">
        <w:rPr>
          <w:lang w:val="en-GB"/>
        </w:rPr>
        <w:instrText xml:space="preserve"> ADDIN ZOTERO_ITEM CSL_CITATION {"citationID":"8uSrONty","properties":{"formattedCitation":"[19]","plainCitation":"[19]","noteIndex":0},"citationItems":[{"id":"OyO8BWdL/hINmM09Y","uris":["http://www.mendeley.com/documents/?uuid=9b3913dd-71ae-4aa1-9f00-1485d0fde29f"],"itemData":{"DOI":"10.1016/j.ccr.2010.05.026","ISSN":"1878-3686","PMID":"20579941","abstract":"Annotation of prostate cancer genomes provides a foundation for discoveries that can impact disease understanding and treatment. Concordant assessment of DNA copy number, mRNA expression, and focused exon resequencing in 218 prostate cancer tumors identified the nuclear receptor coactivator NCOA2 as an oncogene in approximately 11% of tumors. Additionally, the androgen-driven TMPRSS2-ERG fusion was associated with a previously unrecognized, prostate-specific deletion at chromosome 3p14 that implicates FOXP1, RYBP, and SHQ1 as potential cooperative tumor suppressors. DNA copy-number data from primary tumors revealed that copy-number alterations robustly define clusters of low- and high-risk disease beyond that achieved by Gleason score. The genomic and clinical outcome data from these patients are now made available as a public resource.","author":[{"dropping-particle":"","family":"Taylor","given":"Barry S","non-dropping-particle":"","parse-names":false,"suffix":""},{"dropping-particle":"","family":"Schultz","given":"Nikolaus","non-dropping-particle":"","parse-names":false,"suffix":""},{"dropping-particle":"","family":"Hieronymus","given":"Haley","non-dropping-particle":"","parse-names":false,"suffix":""},{"dropping-particle":"","family":"Gopalan","given":"Anuradha","non-dropping-particle":"","parse-names":false,"suffix":""},{"dropping-particle":"","family":"Xiao","given":"Yonghong","non-dropping-particle":"","parse-names":false,"suffix":""},{"dropping-particle":"","family":"Carver","given":"Brett S","non-dropping-particle":"","parse-names":false,"suffix":""},{"dropping-particle":"","family":"Arora","given":"Vivek K","non-dropping-particle":"","parse-names":false,"suffix":""},{"dropping-particle":"","family":"Kaushik","given":"Poorvi","non-dropping-particle":"","parse-names":false,"suffix":""},{"dropping-particle":"","family":"Cerami","given":"Ethan","non-dropping-particle":"","parse-names":false,"suffix":""},{"dropping-particle":"","family":"Reva","given":"Boris","non-dropping-particle":"","parse-names":false,"suffix":""},{"dropping-particle":"","family":"Antipin","given":"Yevgeniy","non-dropping-particle":"","parse-names":false,"suffix":""},{"dropping-particle":"","family":"Mitsiades","given":"Nicholas","non-dropping-particle":"","parse-names":false,"suffix":""},{"dropping-particle":"","family":"Landers","given":"Thomas","non-dropping-particle":"","parse-names":false,"suffix":""},{"dropping-particle":"","family":"Dolgalev","given":"Igor","non-dropping-particle":"","parse-names":false,"suffix":""},{"dropping-particle":"","family":"Major","given":"John E","non-dropping-particle":"","parse-names":false,"suffix":""},{"dropping-particle":"","family":"Wilson","given":"Manda","non-dropping-particle":"","parse-names":false,"suffix":""},{"dropping-particle":"","family":"Socci","given":"Nicholas D","non-dropping-particle":"","parse-names":false,"suffix":""},{"dropping-particle":"","family":"Lash","given":"Alex E","non-dropping-particle":"","parse-names":false,"suffix":""},{"dropping-particle":"","family":"Heguy","given":"Adriana","non-dropping-particle":"","parse-names":false,"suffix":""},{"dropping-particle":"","family":"Eastham","given":"James A","non-dropping-particle":"","parse-names":false,"suffix":""},{"dropping-particle":"","family":"Scher","given":"Howard I","non-dropping-particle":"","parse-names":false,"suffix":""},{"dropping-particle":"","family":"Reuter","given":"Victor E","non-dropping-particle":"","parse-names":false,"suffix":""},{"dropping-particle":"","family":"Scardino","given":"Peter T","non-dropping-particle":"","parse-names":false,"suffix":""},{"dropping-particle":"","family":"Sander","given":"Chris","non-dropping-particle":"","parse-names":false,"suffix":""},{"dropping-particle":"","family":"Sawyers","given":"Charles L","non-dropping-particle":"","parse-names":false,"suffix":""},{"dropping-particle":"","family":"Gerald","given":"William L","non-dropping-particle":"","parse-names":false,"suffix":""}],"container-title":"Cancer cell","id":"ITEM-1","issue":"1","issued":{"date-parts":[["2010","6","13"]]},"note":"From Duplicate 1 (Integrative Genomic Profiling of Human Prostate Cancer. - Taylor, Barry S; Schultz, Nikolaus; Hieronymus, Haley; Gopalan, Anuradha; Xiao, Yonghong; Carver, Brett S; Arora, Vivek K; Kaushik, Poorvi; Cerami, Ethan; Reva, Boris; Antipin, Yevgeniy; Mitsiades, Nicholas; Landers, Thomas; Dolgalev, Igor; Major, John E; Wilson, Manda; Socci, Nicholas D; Lash, Alex E; Heguy, Adriana; Eastham, James A; Scher, Howard I; Reuter, Victor E; Scardino, Peter T; Sander, Chris; Sawyers, Charles L; Gerald, William L)\n\nFrom Duplicate 1 (Integrative genomic profiling of human prostate cancer. - Taylor, Barry S; Schultz, Nikolaus; Hieronymus, Haley; Gopalan, Anuradha; Xiao, Yonghong; Carver, Brett S; Arora, Vivek K; Kaushik, Poorvi; Cerami, Ethan; Reva, Boris; Antipin, Yevgeniy; Mitsiades, Nicholas; Landers, Thomas; Dolgalev, Igor; Major, John E; Wilson, Manda; Socci, Nicholas D; Lash, Alex E; Heguy, Adriana; Eastham, James A; Scher, Howard I; Reuter, Victor E; Scardino, Peter T; Sander, Chris; Sawyers, Charles L; Gerald, William L)\n\nTaylor, Barry S Schultz, Nikolaus Hieronymus, Haley Gopalan, Anuradha Xiao, Yonghong Carver, Brett S Arora, Vivek K Kaushik, Poorvi Cerami, Ethan Reva, Boris Antipin, Yevgeniy Mitsiades, Nicholas Landers, Thomas Dolgalev, Igor Major, John E Wilson, Manda Socci, Nicholas D Lash, Alex E Heguy, Adriana Eastham, James A Scher, Howard I Reuter, Victor E Scardino, Peter T Sander, Chris Sawyers, Charles L Gerald, William L","page":"11-22","publisher":"Elsevier Ltd","title":"Integrative Genomic Profiling of Human Prostate Cancer.","type":"article-journal","volume":"18"}}],"schema":"https://github.com/citation-style-language/schema/raw/master/csl-citation.json"} </w:instrText>
      </w:r>
      <w:r w:rsidRPr="0032014D">
        <w:rPr>
          <w:lang w:val="en-GB"/>
        </w:rPr>
        <w:fldChar w:fldCharType="separate"/>
      </w:r>
      <w:r w:rsidR="00C03416">
        <w:rPr>
          <w:lang w:val="en-GB"/>
        </w:rPr>
        <w:t>[19]</w:t>
      </w:r>
      <w:r w:rsidRPr="0032014D">
        <w:fldChar w:fldCharType="end"/>
      </w:r>
      <w:r w:rsidRPr="0032014D">
        <w:rPr>
          <w:lang w:val="en-GB"/>
        </w:rPr>
        <w:t xml:space="preserve">, CancerMap </w:t>
      </w:r>
      <w:r w:rsidRPr="0032014D">
        <w:rPr>
          <w:lang w:val="en-GB"/>
        </w:rPr>
        <w:fldChar w:fldCharType="begin" w:fldLock="1"/>
      </w:r>
      <w:r w:rsidR="00C03416">
        <w:rPr>
          <w:lang w:val="en-GB"/>
        </w:rPr>
        <w:instrText xml:space="preserve"> ADDIN ZOTERO_ITEM CSL_CITATION {"citationID":"txv1kj3p","properties":{"formattedCitation":"[12]","plainCitation":"[12]","noteIndex":0},"citationItems":[{"id":"OyO8BWdL/66igkMwV","uris":["http://www.mendeley.com/documents/?uuid=c3f059a1-fe27-49bc-a839-c2b4fe1404cf"],"itemData":{"DOI":"10.1016/j.euf.2017.01.016","ISSN":"2405-4569","PMID":"28753852","abstract":"BACKGROUND A critical problem in the clinical management of prostate cancer is that it is highly heterogeneous. Accurate prediction of individual cancer behaviour is therefore not achievable at the time of diagnosis leading to substantial overtreatment. It remains an enigma that, in contrast to breast cancer, unsupervised analyses of global expression profiles have not currently defined robust categories of prostate cancer with distinct clinical outcomes. OBJECTIVE To devise a novel classification framework for human prostate cancer based on unsupervised mathematical approaches. DESIGN, SETTING, AND PARTICIPANTS Our analyses are based on the hypothesis that previous attempts to classify prostate cancer have been unsuccessful because individual samples of prostate cancer frequently have heterogeneous compositions. To address this issue, we applied an unsupervised Bayesian procedure called Latent Process Decomposition to four independent prostate cancer transcriptome datasets obtained using samples from prostatectomy patients and containing between 78 and 182 participants. OUTCOME MEASUREMENTS AND STATISTICAL ANALYSIS Biochemical failure was assessed using log-rank analysis and Cox regression analysis. RESULTS AND LIMITATIONS Application of Latent Process Decomposition identified a common process in all four independent datasets examined. Cancers assigned to this process (designated DESNT cancers) are characterized by low expression of a core set of 45 genes, many encoding proteins involved in the cytoskeleton machinery, ion transport, and cell adhesion. For the three datasets with linked prostate-specific antigen failure data following prostatectomy, patients with DESNT cancer exhibited poor outcome relative to other patients (p=2.65×10-5, p=4.28×10-5, and p=2.98×10-8). When these three datasets were combined the independent predictive value of DESNT membership was p=1.61×10-7 compared with p=1.00×10-5 for Gleason sum. A limitation of the study is that only prediction of prostate-specific antigen failure was examined. CONCLUSIONS Our results demonstrate the existence of a novel poor prognosis category of human prostate cancer and will assist in the targeting of therapy, helping avoid treatment-associated morbidity in men with indolent disease. PATIENT SUMMARY Prostate cancer, unlike breast cancer, does not have a robust classification framework. We propose that this failure has occurred because prostate cancer samples selected for analysis frequently hav…","author":[{"dropping-particle":"","family":"Luca","given":"Bogdan-alexandru","non-dropping-particle":"","parse-names":false,"suffix":""},{"dropping-particle":"","family":"Brewer","given":"Daniel S","non-dropping-particle":"","parse-names":false,"suffix":""},{"dropping-particle":"","family":"Edwards","given":"Dylan R","non-dropping-particle":"","parse-names":false,"suffix":""},{"dropping-particle":"","family":"Edwards","given":"Sandra","non-dropping-particle":"","parse-names":false,"suffix":""},{"dropping-particle":"","family":"Whitaker","given":"Hayley C","non-dropping-particle":"","parse-names":false,"suffix":""},{"dropping-particle":"","family":"Merson","given":"Sue","non-dropping-particle":"","parse-names":false,"suffix":""},{"dropping-particle":"","family":"Dennis","given":"Nening","non-dropping-particle":"","parse-names":false,"suffix":""},{"dropping-particle":"","family":"Cooper","given":"Rosalin A","non-dropping-particle":"","parse-names":false,"suffix":""},{"dropping-particle":"","family":"Hazell","given":"Steven","non-dropping-particle":"","parse-names":false,"suffix":""},{"dropping-particle":"","family":"Warren","given":"Anne Y","non-dropping-particle":"","parse-names":false,"suffix":""},{"dropping-particle":"","family":"CancerMap Group","given":"","non-dropping-particle":"","parse-names":false,"suffix":""},{"dropping-particle":"","family":"Eeles","given":"Rosalind","non-dropping-particle":"","parse-names":false,"suffix":""},{"dropping-particle":"","family":"Lynch","given":"Andy G","non-dropping-particle":"","parse-names":false,"suffix":""},{"dropping-particle":"","family":"Ross-Adams","given":"Helen","non-dropping-particle":"","parse-names":false,"suffix":""},{"dropping-particle":"","family":"Lamb","given":"Alastair D","non-dropping-particle":"","parse-names":false,"suffix":""},{"dropping-particle":"","family":"Neal","given":"David E","non-dropping-particle":"","parse-names":false,"suffix":""},{"dropping-particle":"","family":"Sethia","given":"Krishna","non-dropping-particle":"","parse-names":false,"suffix":""},{"dropping-particle":"","family":"Mills","given":"Robert D","non-dropping-particle":"","parse-names":false,"suffix":""},{"dropping-particle":"","family":"Ball","given":"Richard Y","non-dropping-particle":"","parse-names":false,"suffix":""},{"dropping-particle":"","family":"Curley","given":"Helen","non-dropping-particle":"","parse-names":false,"suffix":""},{"dropping-particle":"","family":"Clark","given":"Jeremy","non-dropping-particle":"","parse-names":false,"suffix":""},{"dropping-particle":"","family":"Moulton","given":"Vincent","non-dropping-particle":"","parse-names":false,"suffix":""},{"dropping-particle":"","family":"Cooper","given":"Colin S","non-dropping-particle":"","parse-names":false,"suffix":""}],"container-title":"European urology focus","id":"ITEM-1","issue":"6","issued":{"date-parts":[["2018","12","6"]]},"language":"English","page":"842-850","publisher":"European Association of Urology","title":"DESNT: A Poor Prognosis Category of Human Prostate Cancer.","type":"article-journal","volume":"4"}}],"schema":"https://github.com/citation-style-language/schema/raw/master/csl-citation.json"} </w:instrText>
      </w:r>
      <w:r w:rsidRPr="0032014D">
        <w:rPr>
          <w:lang w:val="en-GB"/>
        </w:rPr>
        <w:fldChar w:fldCharType="separate"/>
      </w:r>
      <w:r w:rsidR="00C03416">
        <w:rPr>
          <w:lang w:val="en-GB"/>
        </w:rPr>
        <w:t>[12]</w:t>
      </w:r>
      <w:r w:rsidRPr="0032014D">
        <w:fldChar w:fldCharType="end"/>
      </w:r>
      <w:r w:rsidRPr="0032014D">
        <w:rPr>
          <w:lang w:val="en-GB"/>
        </w:rPr>
        <w:t xml:space="preserve">, Stephenson </w:t>
      </w:r>
      <w:r w:rsidRPr="0032014D">
        <w:rPr>
          <w:lang w:val="en-GB"/>
        </w:rPr>
        <w:fldChar w:fldCharType="begin" w:fldLock="1"/>
      </w:r>
      <w:r w:rsidR="00C03416">
        <w:rPr>
          <w:lang w:val="en-GB"/>
        </w:rPr>
        <w:instrText xml:space="preserve"> ADDIN ZOTERO_ITEM CSL_CITATION {"citationID":"mbx1epHd","properties":{"formattedCitation":"[22]","plainCitation":"[22]","noteIndex":0},"citationItems":[{"id":"OyO8BWdL/pJbQ38aO","uris":["http://www.mendeley.com/documents/?uuid=4943b0a0-d670-4f4b-8c5f-d790e62d8bf5"],"itemData":{"author":[{"dropping-particle":"","family":"Stephenson","given":"Andrew J","non-dropping-particle":"","parse-names":false,"suffix":""},{"dropping-particle":"","family":"Smith","given":"Alex","non-dropping-particle":"","parse-names":false,"suffix":""},{"dropping-particle":"","family":"Kattan","given":"Michael W","non-dropping-particle":"","parse-names":false,"suffix":""},{"dropping-particle":"","family":"Satagopan","given":"Jaya","non-dropping-particle":"","parse-names":false,"suffix":""},{"dropping-particle":"","family":"Reuter","given":"Victor E","non-dropping-particle":"","parse-names":false,"suffix":""},{"dropping-particle":"","family":"Scardino","given":"Peter T","non-dropping-particle":"","parse-names":false,"suffix":""},{"dropping-particle":"","family":"Gerald","given":"William L","non-dropping-particle":"","parse-names":false,"suffix":""}],"container-title":"Cancer","id":"ITEM-1","issue":"2","issued":{"date-parts":[["2005"]]},"page":"290-298","publisher":"Wiley Online Library","title":"Integration of gene expression profiling and clinical variables to predict prostate carcinoma recurrence after radical prostatectomy","type":"article-journal","volume":"104"}}],"schema":"https://github.com/citation-style-language/schema/raw/master/csl-citation.json"} </w:instrText>
      </w:r>
      <w:r w:rsidRPr="0032014D">
        <w:rPr>
          <w:lang w:val="en-GB"/>
        </w:rPr>
        <w:fldChar w:fldCharType="separate"/>
      </w:r>
      <w:r w:rsidR="00C03416">
        <w:rPr>
          <w:lang w:val="en-GB"/>
        </w:rPr>
        <w:t>[22]</w:t>
      </w:r>
      <w:r w:rsidRPr="0032014D">
        <w:fldChar w:fldCharType="end"/>
      </w:r>
      <w:r w:rsidRPr="0032014D">
        <w:rPr>
          <w:lang w:val="en-GB"/>
        </w:rPr>
        <w:t xml:space="preserve"> and CamCap </w:t>
      </w:r>
      <w:r w:rsidRPr="0032014D">
        <w:rPr>
          <w:lang w:val="en-GB"/>
        </w:rPr>
        <w:fldChar w:fldCharType="begin" w:fldLock="1"/>
      </w:r>
      <w:r w:rsidR="00C03416">
        <w:rPr>
          <w:lang w:val="en-GB"/>
        </w:rPr>
        <w:instrText xml:space="preserve"> ADDIN ZOTERO_ITEM CSL_CITATION {"citationID":"M8JlJ2EB","properties":{"formattedCitation":"[23]","plainCitation":"[23]","noteIndex":0},"citationItems":[{"id":"OyO8BWdL/pbNjJPNl","uris":["http://www.mendeley.com/documents/?uuid=b978d695-f234-4358-b281-70487eabbbe9"],"itemData":{"DOI":"10.1016/j.ebiom.2015.07.017","ISSN":"23523964","author":[{"dropping-particle":"","family":"Ross-Adams","given":"H.","non-dropping-particle":"","parse-names":false,"suffix":""},{"dropping-particle":"","family":"Lamb","given":"A.D. D","non-dropping-particle":"","parse-names":false,"suffix":""},{"dropping-particle":"","family":"Dunning","given":"M.J. J","non-dropping-particle":"","parse-names":false,"suffix":""},{"dropping-particle":"","family":"Halim","given":"S.","non-dropping-particle":"","parse-names":false,"suffix":""},{"dropping-particle":"","family":"Lindberg","given":"J.","non-dropping-particle":"","parse-names":false,"suffix":""},{"dropping-particle":"","family":"Massie","given":"C.M. M","non-dropping-particle":"","parse-names":false,"suffix":""},{"dropping-particle":"","family":"Egevad","given":"L.A. A","non-dropping-particle":"","parse-names":false,"suffix":""},{"dropping-particle":"","family":"Russell","given":"R.","non-dropping-particle":"","parse-names":false,"suffix":""},{"dropping-particle":"","family":"Ramos-Montoya","given":"A.","non-dropping-particle":"","parse-names":false,"suffix":""},{"dropping-particle":"","family":"Vowler","given":"S.L. L","non-dropping-particle":"","parse-names":false,"suffix":""},{"dropping-particle":"","family":"others","given":"","non-dropping-particle":"","parse-names":false,"suffix":""},{"dropping-particle":"","family":"Sharma","given":"N.L. L","non-dropping-particle":"","parse-names":false,"suffix":""},{"dropping-particle":"","family":"Kay","given":"J.","non-dropping-particle":"","parse-names":false,"suffix":""},{"dropping-particle":"","family":"Whitaker","given":"H.","non-dropping-particle":"","parse-names":false,"suffix":""},{"dropping-particle":"","family":"Clark","given":"J.","non-dropping-particle":"","parse-names":false,"suffix":""},{"dropping-particle":"","family":"Hurst","given":"R.","non-dropping-particle":"","parse-names":false,"suffix":""},{"dropping-particle":"","family":"Gnanapragasam","given":"V.J. J","non-dropping-particle":"","parse-names":false,"suffix":""},{"dropping-particle":"","family":"Shah","given":"N.C. C","non-dropping-particle":"","parse-names":false,"suffix":""},{"dropping-particle":"","family":"Warren","given":"A.Y. Y","non-dropping-particle":"","parse-names":false,"suffix":""},{"dropping-particle":"","family":"Cooper","given":"C.S. S","non-dropping-particle":"","parse-names":false,"suffix":""},{"dropping-particle":"","family":"Lynch","given":"A.G. G","non-dropping-particle":"","parse-names":false,"suffix":""},{"dropping-particle":"","family":"Stark","given":"R.","non-dropping-particle":"","parse-names":false,"suffix":""},{"dropping-particle":"","family":"Mills","given":"I.G. G","non-dropping-particle":"","parse-names":false,"suffix":""},{"dropping-particle":"","family":"Grönberg","given":"H.","non-dropping-particle":"","parse-names":false,"suffix":""},{"dropping-particle":"","family":"Neal","given":"D.E. E","non-dropping-particle":"","parse-names":false,"suffix":""},{"dropping-particle":"","family":"Lamb","given":"A.D. D","non-dropping-particle":"","parse-names":false,"suffix":""},{"dropping-particle":"","family":"Sharma","given":"N.L. L","non-dropping-particle":"","parse-names":false,"suffix":""},{"dropping-particle":"","family":"Shaw","given":"G","non-dropping-particle":"","parse-names":false,"suffix":""},{"dropping-particle":"","family":"Hori","given":"S","non-dropping-particle":"","parse-names":false,"suffix":""},{"dropping-particle":"","family":"Baridi","given":"A","non-dropping-particle":"","parse-names":false,"suffix":""},{"dropping-particle":"","family":"Tran","given":"M","non-dropping-particle":"","parse-names":false,"suffix":""},{"dropping-particle":"","family":"Wadhwa","given":"K","non-dropping-particle":"","parse-names":false,"suffix":""},{"dropping-particle":"","family":"Nelson","given":"A","non-dropping-particle":"","parse-names":false,"suffix":""},{"dropping-particle":"","family":"Patel","given":"K","non-dropping-particle":"","parse-names":false,"suffix":""},{"dropping-particle":"","family":"Thomas","given":"B","non-dropping-particle":"","parse-names":false,"suffix":""},{"dropping-particle":"","family":"Luxton","given":"H","non-dropping-particle":"","parse-names":false,"suffix":""},{"dropping-particle":"","family":"Shah","given":"N.C. C","non-dropping-particle":"","parse-names":false,"suffix":""},{"dropping-particle":"","family":"Gnanpragasam","given":"V","non-dropping-particle":"","parse-names":false,"suffix":""},{"dropping-particle":"","family":"Doble","given":"A","non-dropping-particle":"","parse-names":false,"suffix":""},{"dropping-particle":"","family":"Kastner","given":"C","non-dropping-particle":"","parse-names":false,"suffix":""},{"dropping-particle":"","family":"Aho","given":"T","non-dropping-particle":"","parse-names":false,"suffix":""},{"dropping-particle":"","family":"Warren","given":"A.Y. Y","non-dropping-particle":"","parse-names":false,"suffix":""},{"dropping-particle":"","family":"Haynes","given":"B","non-dropping-particle":"","parse-names":false,"suffix":""},{"dropping-particle":"","family":"Partridge","given":"W","non-dropping-particle":"","parse-names":false,"suffix":""},{"dropping-particle":"","family":"Cromwell","given":"E","non-dropping-particle":"","parse-names":false,"suffix":""},{"dropping-particle":"","family":"Sangrasi","given":"A","non-dropping-particle":"","parse-names":false,"suffix":""},{"dropping-particle":"","family":"Burge","given":"J","non-dropping-particle":"","parse-names":false,"suffix":""},{"dropping-particle":"","family":"George","given":"A","non-dropping-particle":"","parse-names":false,"suffix":""},{"dropping-particle":"","family":"Stearn","given":"S","non-dropping-particle":"","parse-names":false,"suffix":""},{"dropping-particle":"","family":"Corcoran","given":"M","non-dropping-particle":"","parse-names":false,"suffix":""},{"dropping-particle":"","family":"Coret","given":"H","non-dropping-particle":"","parse-names":false,"suffix":""},{"dropping-particle":"","family":"Basnett","given":"G","non-dropping-particle":"","parse-names":false,"suffix":""},{"dropping-particle":"","family":"Francis","given":"I","non-dropping-particle":"","parse-names":false,"suffix":""},{"dropping-particle":"","family":"Egevad","given":"L.A. A","non-dropping-particle":"","parse-names":false,"suffix":""},{"dropping-particle":"","family":"Whitington","given":"T","non-dropping-particle":"","parse-names":false,"suffix":""},{"dropping-particle":"","family":"Neal","given":"D.E. E","non-dropping-particle":"","parse-names":false,"suffix":""},{"dropping-particle":"","family":"Mills","given":"I.G. G","non-dropping-particle":"","parse-names":false,"suffix":""},{"dropping-particle":"","family":"Dunning","given":"M.J. J","non-dropping-particle":"","parse-names":false,"suffix":""},{"dropping-particle":"","family":"Massie","given":"C.M. M","non-dropping-particle":"","parse-names":false,"suffix":""},{"dropping-particle":"","family":"Lynch","given":"A.G. G","non-dropping-particle":"","parse-names":false,"suffix":""},{"dropping-particle":"","family":"Vowler","given":"S.L. L","non-dropping-particle":"","parse-names":false,"suffix":""},{"dropping-particle":"","family":"Yuan","given":"Y","non-dropping-particle":"","parse-names":false,"suffix":""},{"dropping-particle":"","family":"Rueda","given":"O","non-dropping-particle":"","parse-names":false,"suffix":""},{"dropping-particle":"","family":"Hadfield","given":"J","non-dropping-particle":"","parse-names":false,"suffix":""},{"dropping-particle":"","family":"Howat","given":"W","non-dropping-particle":"","parse-names":false,"suffix":""},{"dropping-particle":"","family":"Miller","given":"J","non-dropping-particle":"","parse-names":false,"suffix":""},{"dropping-particle":"","family":"Cooper","given":"N C","non-dropping-particle":"","parse-names":false,"suffix":""},{"dropping-particle":"","family":"Brewer","given":"D","non-dropping-particle":"","parse-names":false,"suffix":""},{"dropping-particle":"","family":"others","given":"","non-dropping-particle":"","parse-names":false,"suffix":""}],"container-title":"EBioMedicine","id":"ITEM-1","issue":"9","issued":{"date-parts":[["2015"]]},"page":"1133-1144","publisher":"Elsevier B.V.","title":"Integration of copy number and transcriptomics provides risk stratification in prostate cancer: A discovery and validation cohort study","type":"article-journal","volume":"2"}}],"schema":"https://github.com/citation-style-language/schema/raw/master/csl-citation.json"} </w:instrText>
      </w:r>
      <w:r w:rsidRPr="0032014D">
        <w:rPr>
          <w:lang w:val="en-GB"/>
        </w:rPr>
        <w:fldChar w:fldCharType="separate"/>
      </w:r>
      <w:r w:rsidR="00C03416">
        <w:rPr>
          <w:lang w:val="en-GB"/>
        </w:rPr>
        <w:t>[23]</w:t>
      </w:r>
      <w:r w:rsidRPr="0032014D">
        <w:fldChar w:fldCharType="end"/>
      </w:r>
      <w:r w:rsidRPr="0032014D">
        <w:rPr>
          <w:lang w:val="en-GB"/>
        </w:rPr>
        <w:t xml:space="preserve"> studies (Table 1). These were filtered to have results from one primary sample per patient with the required clinical information required for the Prostate PREDICT model (</w:t>
      </w:r>
      <w:r w:rsidRPr="0032014D">
        <w:rPr>
          <w:i/>
          <w:iCs/>
          <w:lang w:val="en-GB"/>
        </w:rPr>
        <w:t>n</w:t>
      </w:r>
      <w:r w:rsidRPr="0032014D">
        <w:rPr>
          <w:lang w:val="en-GB"/>
        </w:rPr>
        <w:t xml:space="preserve"> = 359; Table 2). The proportion of expression assigned to the DESNT poor prognosis molecular subtype (DESNT score) were gathered from previous results </w:t>
      </w:r>
      <w:r w:rsidRPr="0032014D">
        <w:rPr>
          <w:lang w:val="en-GB"/>
        </w:rPr>
        <w:fldChar w:fldCharType="begin"/>
      </w:r>
      <w:r w:rsidR="00C03416">
        <w:rPr>
          <w:lang w:val="en-GB"/>
        </w:rPr>
        <w:instrText xml:space="preserve"> ADDIN ZOTERO_ITEM CSL_CITATION {"citationID":"xuqAVkbY","properties":{"formattedCitation":"[13]","plainCitation":"[13]","noteIndex":0},"citationItems":[{"id":6641,"uris":["http://zotero.org/users/9745539/items/B853YM3N"],"itemData":{"id":6641,"type":"article-journal","abstract":"BACKGROUND Unsupervised learning methods, such as Hierarchical Cluster Analysis, are commonly used for the analysis of genomic platform data. Unfortunately, such approaches ignore the well-documented heterogeneous composition of prostate cancer samples. Our aim is to use more sophisticated analytical approaches to deconvolute the structure of prostate cancer transcriptome data, providing novel clinically actionable information for this disease. METHODS We apply an unsupervised model called Latent Process Decomposition (LPD), which can handle heterogeneity within individual cancer samples, to genome-wide expression data from eight prostate cancer clinical series, including 1,785 malignant samples with the clinical endpoints of PSA failure and metastasis. RESULTS We show that PSA failure is correlated with the level of an expression signature called DESNT (HR = 1.52, 95% CI = [1.36, 1.7], P = 9.0 × 10-14, Cox model), and that patients with a majority DESNT signature have an increased metastatic risk (X2 test, P = 0.0017, and P = 0.0019). In addition, we develop a stratification framework that incorporates DESNT and identifies three novel molecular subtypes of prostate cancer. CONCLUSIONS These results highlight the importance of using more complex approaches for the analysis of genomic data, may assist drug targeting, and have allowed the construction of a nomogram combining DESNT with other clinical factors for use in clinical management.","container-title":"British journal of cancer","DOI":"10.1038/s41416-020-0799-5","ISSN":"1532-1827","issue":"10","note":"PMID: 32203215\npublisher: Springer US\nCitation Key: Luca2020","page":"1467-1476","title":"A novel stratification framework for predicting outcome in patients with prostate cancer.","URL":"http://dx.doi.org/10.1038/s41416-020-0799-5","volume":"122","author":[{"family":"Luca","given":"Bogdan-alexandru"},{"family":"Moulton","given":"Vincent"},{"family":"Ellis","given":"Christopher"},{"family":"Edwards","given":"Dylan R"},{"family":"Campbell","given":"Colin"},{"family":"Cooper","given":"Rosalin A"},{"family":"Clark","given":"Jeremy"},{"family":"Brewer","given":"Daniel S"},{"family":"Cooper","given":"Colin S"}],"issued":{"date-parts":[["2020",5,20]]}}}],"schema":"https://github.com/citation-style-language/schema/raw/master/csl-citation.json"} </w:instrText>
      </w:r>
      <w:r w:rsidRPr="0032014D">
        <w:rPr>
          <w:lang w:val="en-GB"/>
        </w:rPr>
        <w:fldChar w:fldCharType="separate"/>
      </w:r>
      <w:r w:rsidR="00C03416">
        <w:rPr>
          <w:lang w:val="en-GB"/>
        </w:rPr>
        <w:t>[13]</w:t>
      </w:r>
      <w:r w:rsidRPr="0032014D">
        <w:fldChar w:fldCharType="end"/>
      </w:r>
      <w:r w:rsidRPr="0032014D">
        <w:rPr>
          <w:lang w:val="en-GB"/>
        </w:rPr>
        <w:t xml:space="preserve">. For each sample, the prostate cancer specific mortality probability (PCSM) at ten years after diagnosis (as a percentage) was calculated using an implementation of the Prostate PREDICT model in R (see methods), under the assumption of initial conservative management, using as input the associated clinical variables age at diagnosis, PSA at diagnosis, </w:t>
      </w:r>
      <w:r>
        <w:rPr>
          <w:lang w:val="en-GB"/>
        </w:rPr>
        <w:t xml:space="preserve">clinical </w:t>
      </w:r>
      <w:r w:rsidRPr="0032014D">
        <w:rPr>
          <w:lang w:val="en-GB"/>
        </w:rPr>
        <w:t xml:space="preserve">T stage, and prostatectomy Gleason grade group (as a proxy for biopsy Gleason grade group. The </w:t>
      </w:r>
      <w:r>
        <w:rPr>
          <w:lang w:val="en-GB"/>
        </w:rPr>
        <w:t xml:space="preserve">equivalent expected </w:t>
      </w:r>
      <w:r w:rsidRPr="0032014D">
        <w:rPr>
          <w:lang w:val="en-GB"/>
        </w:rPr>
        <w:t xml:space="preserve">non-prostate cancer mortality (NPCM) was calculated using age at diagnosis. The PREDICT score, the </w:t>
      </w:r>
      <w:r>
        <w:rPr>
          <w:lang w:val="en-GB"/>
        </w:rPr>
        <w:t>increase</w:t>
      </w:r>
      <w:r w:rsidRPr="0032014D">
        <w:rPr>
          <w:lang w:val="en-GB"/>
        </w:rPr>
        <w:t xml:space="preserve"> in probability of mortality at 10 years </w:t>
      </w:r>
      <w:r>
        <w:rPr>
          <w:lang w:val="en-GB"/>
        </w:rPr>
        <w:t xml:space="preserve">caused </w:t>
      </w:r>
      <w:r w:rsidRPr="0032014D">
        <w:rPr>
          <w:lang w:val="en-GB"/>
        </w:rPr>
        <w:t>from having prostate cancer, was defined as NPCM - PCSM.</w:t>
      </w:r>
    </w:p>
    <w:p w14:paraId="7B1CF6D9" w14:textId="77777777" w:rsidR="001B2E3D" w:rsidRPr="0032014D" w:rsidRDefault="001B2E3D" w:rsidP="001B2E3D">
      <w:pPr>
        <w:pStyle w:val="MDPI41tablecaption"/>
        <w:rPr>
          <w:snapToGrid w:val="0"/>
          <w:lang w:val="en-GB"/>
        </w:rPr>
      </w:pPr>
      <w:r w:rsidRPr="00507BAB">
        <w:rPr>
          <w:b/>
          <w:snapToGrid w:val="0"/>
          <w:lang w:val="en-GB"/>
        </w:rPr>
        <w:t>Table 1.</w:t>
      </w:r>
      <w:r w:rsidRPr="0032014D">
        <w:rPr>
          <w:snapToGrid w:val="0"/>
          <w:lang w:val="en-GB"/>
        </w:rPr>
        <w:t xml:space="preserve"> </w:t>
      </w:r>
      <w:r w:rsidRPr="00507BAB">
        <w:t>Transcriptome</w:t>
      </w:r>
      <w:r w:rsidRPr="0032014D">
        <w:rPr>
          <w:snapToGrid w:val="0"/>
          <w:lang w:val="en-GB"/>
        </w:rPr>
        <w:t xml:space="preserve"> datasets used. </w:t>
      </w:r>
      <w:r w:rsidRPr="00507BAB">
        <w:t>FF</w:t>
      </w:r>
      <w:r w:rsidRPr="0032014D">
        <w:rPr>
          <w:snapToGrid w:val="0"/>
          <w:lang w:val="en-GB"/>
        </w:rPr>
        <w:t xml:space="preserve"> = Fresh Frozen.</w:t>
      </w:r>
    </w:p>
    <w:tbl>
      <w:tblPr>
        <w:tblStyle w:val="MDPI41threelinetable"/>
        <w:tblW w:w="10498" w:type="dxa"/>
        <w:tblLook w:val="04A0" w:firstRow="1" w:lastRow="0" w:firstColumn="1" w:lastColumn="0" w:noHBand="0" w:noVBand="1"/>
      </w:tblPr>
      <w:tblGrid>
        <w:gridCol w:w="1877"/>
        <w:gridCol w:w="1134"/>
        <w:gridCol w:w="1134"/>
        <w:gridCol w:w="683"/>
        <w:gridCol w:w="3119"/>
        <w:gridCol w:w="2551"/>
      </w:tblGrid>
      <w:tr w:rsidR="001B2E3D" w:rsidRPr="00507BAB" w14:paraId="087A0DE2" w14:textId="77777777" w:rsidTr="0054652C">
        <w:trPr>
          <w:cnfStyle w:val="100000000000" w:firstRow="1" w:lastRow="0" w:firstColumn="0" w:lastColumn="0" w:oddVBand="0" w:evenVBand="0" w:oddHBand="0" w:evenHBand="0" w:firstRowFirstColumn="0" w:firstRowLastColumn="0" w:lastRowFirstColumn="0" w:lastRowLastColumn="0"/>
          <w:trHeight w:val="292"/>
        </w:trPr>
        <w:tc>
          <w:tcPr>
            <w:tcW w:w="1877" w:type="dxa"/>
            <w:noWrap/>
            <w:hideMark/>
          </w:tcPr>
          <w:p w14:paraId="2136E67C" w14:textId="77777777" w:rsidR="001B2E3D" w:rsidRPr="00690F4D" w:rsidRDefault="001B2E3D" w:rsidP="0054652C">
            <w:pPr>
              <w:pStyle w:val="MDPI42tablebody"/>
            </w:pPr>
            <w:r w:rsidRPr="00690F4D">
              <w:t>Dataset</w:t>
            </w:r>
          </w:p>
        </w:tc>
        <w:tc>
          <w:tcPr>
            <w:tcW w:w="1134" w:type="dxa"/>
            <w:noWrap/>
            <w:hideMark/>
          </w:tcPr>
          <w:p w14:paraId="5234DC11" w14:textId="77777777" w:rsidR="001B2E3D" w:rsidRPr="00690F4D" w:rsidRDefault="001B2E3D" w:rsidP="0054652C">
            <w:pPr>
              <w:pStyle w:val="MDPI42tablebody"/>
            </w:pPr>
            <w:r w:rsidRPr="00690F4D">
              <w:t>Primary</w:t>
            </w:r>
          </w:p>
        </w:tc>
        <w:tc>
          <w:tcPr>
            <w:tcW w:w="1134" w:type="dxa"/>
            <w:noWrap/>
            <w:hideMark/>
          </w:tcPr>
          <w:p w14:paraId="50EB5AC8" w14:textId="77777777" w:rsidR="001B2E3D" w:rsidRPr="00690F4D" w:rsidRDefault="001B2E3D" w:rsidP="0054652C">
            <w:pPr>
              <w:pStyle w:val="MDPI42tablebody"/>
            </w:pPr>
            <w:r w:rsidRPr="00690F4D">
              <w:t>Normal</w:t>
            </w:r>
          </w:p>
        </w:tc>
        <w:tc>
          <w:tcPr>
            <w:tcW w:w="683" w:type="dxa"/>
            <w:noWrap/>
            <w:hideMark/>
          </w:tcPr>
          <w:p w14:paraId="700685FE" w14:textId="77777777" w:rsidR="001B2E3D" w:rsidRPr="00690F4D" w:rsidRDefault="001B2E3D" w:rsidP="0054652C">
            <w:pPr>
              <w:pStyle w:val="MDPI42tablebody"/>
            </w:pPr>
            <w:r w:rsidRPr="00690F4D">
              <w:t>Type</w:t>
            </w:r>
          </w:p>
        </w:tc>
        <w:tc>
          <w:tcPr>
            <w:tcW w:w="3119" w:type="dxa"/>
            <w:noWrap/>
            <w:hideMark/>
          </w:tcPr>
          <w:p w14:paraId="454F4B39" w14:textId="77777777" w:rsidR="001B2E3D" w:rsidRPr="00690F4D" w:rsidRDefault="001B2E3D" w:rsidP="0054652C">
            <w:pPr>
              <w:pStyle w:val="MDPI42tablebody"/>
            </w:pPr>
            <w:r w:rsidRPr="00690F4D">
              <w:t>Platform</w:t>
            </w:r>
          </w:p>
        </w:tc>
        <w:tc>
          <w:tcPr>
            <w:tcW w:w="2551" w:type="dxa"/>
            <w:noWrap/>
            <w:hideMark/>
          </w:tcPr>
          <w:p w14:paraId="0E059D8E" w14:textId="77777777" w:rsidR="001B2E3D" w:rsidRPr="00690F4D" w:rsidRDefault="001B2E3D" w:rsidP="0054652C">
            <w:pPr>
              <w:pStyle w:val="MDPI42tablebody"/>
            </w:pPr>
            <w:r w:rsidRPr="00690F4D">
              <w:t>Citation</w:t>
            </w:r>
          </w:p>
        </w:tc>
      </w:tr>
      <w:tr w:rsidR="001B2E3D" w:rsidRPr="00507BAB" w14:paraId="3438EFA5" w14:textId="77777777" w:rsidTr="0054652C">
        <w:trPr>
          <w:trHeight w:val="292"/>
        </w:trPr>
        <w:tc>
          <w:tcPr>
            <w:tcW w:w="1877" w:type="dxa"/>
            <w:noWrap/>
            <w:hideMark/>
          </w:tcPr>
          <w:p w14:paraId="4D733A8B" w14:textId="2BEFEA8A" w:rsidR="001B2E3D" w:rsidRPr="00507BAB" w:rsidRDefault="001B2E3D" w:rsidP="0054652C">
            <w:pPr>
              <w:pStyle w:val="MDPI42tablebody"/>
            </w:pPr>
            <w:r w:rsidRPr="00507BAB">
              <w:t xml:space="preserve">MSKCC </w:t>
            </w:r>
            <w:r w:rsidRPr="00507BAB">
              <w:fldChar w:fldCharType="begin" w:fldLock="1"/>
            </w:r>
            <w:r w:rsidR="00C03416">
              <w:instrText xml:space="preserve"> ADDIN ZOTERO_ITEM CSL_CITATION {"citationID":"OxgyCUmD","properties":{"formattedCitation":"[19]","plainCitation":"[19]","noteIndex":0},"citationItems":[{"id":"OyO8BWdL/hINmM09Y","uris":["http://www.mendeley.com/documents/?uuid=9b3913dd-71ae-4aa1-9f00-1485d0fde29f"],"itemData":{"DOI":"10.1016/j.ccr.2010.05.026","ISSN":"1878-3686","PMID":"20579941","abstract":"Annotation of prostate cancer genomes provides a foundation for discoveries that can impact disease understanding and treatment. Concordant assessment of DNA copy number, mRNA expression, and focused exon resequencing in 218 prostate cancer tumors identified the nuclear receptor coactivator NCOA2 as an oncogene in approximately 11% of tumors. Additionally, the androgen-driven TMPRSS2-ERG fusion was associated with a previously unrecognized, prostate-specific deletion at chromosome 3p14 that implicates FOXP1, RYBP, and SHQ1 as potential cooperative tumor suppressors. DNA copy-number data from primary tumors revealed that copy-number alterations robustly define clusters of low- and high-risk disease beyond that achieved by Gleason score. The genomic and clinical outcome data from these patients are now made available as a public resource.","author":[{"dropping-particle":"","family":"Taylor","given":"Barry S","non-dropping-particle":"","parse-names":false,"suffix":""},{"dropping-particle":"","family":"Schultz","given":"Nikolaus","non-dropping-particle":"","parse-names":false,"suffix":""},{"dropping-particle":"","family":"Hieronymus","given":"Haley","non-dropping-particle":"","parse-names":false,"suffix":""},{"dropping-particle":"","family":"Gopalan","given":"Anuradha","non-dropping-particle":"","parse-names":false,"suffix":""},{"dropping-particle":"","family":"Xiao","given":"Yonghong","non-dropping-particle":"","parse-names":false,"suffix":""},{"dropping-particle":"","family":"Carver","given":"Brett S","non-dropping-particle":"","parse-names":false,"suffix":""},{"dropping-particle":"","family":"Arora","given":"Vivek K","non-dropping-particle":"","parse-names":false,"suffix":""},{"dropping-particle":"","family":"Kaushik","given":"Poorvi","non-dropping-particle":"","parse-names":false,"suffix":""},{"dropping-particle":"","family":"Cerami","given":"Ethan","non-dropping-particle":"","parse-names":false,"suffix":""},{"dropping-particle":"","family":"Reva","given":"Boris","non-dropping-particle":"","parse-names":false,"suffix":""},{"dropping-particle":"","family":"Antipin","given":"Yevgeniy","non-dropping-particle":"","parse-names":false,"suffix":""},{"dropping-particle":"","family":"Mitsiades","given":"Nicholas","non-dropping-particle":"","parse-names":false,"suffix":""},{"dropping-particle":"","family":"Landers","given":"Thomas","non-dropping-particle":"","parse-names":false,"suffix":""},{"dropping-particle":"","family":"Dolgalev","given":"Igor","non-dropping-particle":"","parse-names":false,"suffix":""},{"dropping-particle":"","family":"Major","given":"John E","non-dropping-particle":"","parse-names":false,"suffix":""},{"dropping-particle":"","family":"Wilson","given":"Manda","non-dropping-particle":"","parse-names":false,"suffix":""},{"dropping-particle":"","family":"Socci","given":"Nicholas D","non-dropping-particle":"","parse-names":false,"suffix":""},{"dropping-particle":"","family":"Lash","given":"Alex E","non-dropping-particle":"","parse-names":false,"suffix":""},{"dropping-particle":"","family":"Heguy","given":"Adriana","non-dropping-particle":"","parse-names":false,"suffix":""},{"dropping-particle":"","family":"Eastham","given":"James A","non-dropping-particle":"","parse-names":false,"suffix":""},{"dropping-particle":"","family":"Scher","given":"Howard I","non-dropping-particle":"","parse-names":false,"suffix":""},{"dropping-particle":"","family":"Reuter","given":"Victor E","non-dropping-particle":"","parse-names":false,"suffix":""},{"dropping-particle":"","family":"Scardino","given":"Peter T","non-dropping-particle":"","parse-names":false,"suffix":""},{"dropping-particle":"","family":"Sander","given":"Chris","non-dropping-particle":"","parse-names":false,"suffix":""},{"dropping-particle":"","family":"Sawyers","given":"Charles L","non-dropping-particle":"","parse-names":false,"suffix":""},{"dropping-particle":"","family":"Gerald","given":"William L","non-dropping-particle":"","parse-names":false,"suffix":""}],"container-title":"Cancer cell","id":"ITEM-1","issue":"1","issued":{"date-parts":[["2010","6","13"]]},"note":"From Duplicate 1 (Integrative Genomic Profiling of Human Prostate Cancer. - Taylor, Barry S; Schultz, Nikolaus; Hieronymus, Haley; Gopalan, Anuradha; Xiao, Yonghong; Carver, Brett S; Arora, Vivek K; Kaushik, Poorvi; Cerami, Ethan; Reva, Boris; Antipin, Yevgeniy; Mitsiades, Nicholas; Landers, Thomas; Dolgalev, Igor; Major, John E; Wilson, Manda; Socci, Nicholas D; Lash, Alex E; Heguy, Adriana; Eastham, James A; Scher, Howard I; Reuter, Victor E; Scardino, Peter T; Sander, Chris; Sawyers, Charles L; Gerald, William L)\n\nFrom Duplicate 1 (Integrative genomic profiling of human prostate cancer. - Taylor, Barry S; Schultz, Nikolaus; Hieronymus, Haley; Gopalan, Anuradha; Xiao, Yonghong; Carver, Brett S; Arora, Vivek K; Kaushik, Poorvi; Cerami, Ethan; Reva, Boris; Antipin, Yevgeniy; Mitsiades, Nicholas; Landers, Thomas; Dolgalev, Igor; Major, John E; Wilson, Manda; Socci, Nicholas D; Lash, Alex E; Heguy, Adriana; Eastham, James A; Scher, Howard I; Reuter, Victor E; Scardino, Peter T; Sander, Chris; Sawyers, Charles L; Gerald, William L)\n\nTaylor, Barry S Schultz, Nikolaus Hieronymus, Haley Gopalan, Anuradha Xiao, Yonghong Carver, Brett S Arora, Vivek K Kaushik, Poorvi Cerami, Ethan Reva, Boris Antipin, Yevgeniy Mitsiades, Nicholas Landers, Thomas Dolgalev, Igor Major, John E Wilson, Manda Socci, Nicholas D Lash, Alex E Heguy, Adriana Eastham, James A Scher, Howard I Reuter, Victor E Scardino, Peter T Sander, Chris Sawyers, Charles L Gerald, William L","page":"11-22","publisher":"Elsevier Ltd","title":"Integrative Genomic Profiling of Human Prostate Cancer.","type":"article-journal","volume":"18"}}],"schema":"https://github.com/citation-style-language/schema/raw/master/csl-citation.json"} </w:instrText>
            </w:r>
            <w:r w:rsidRPr="00507BAB">
              <w:fldChar w:fldCharType="separate"/>
            </w:r>
            <w:r w:rsidR="00C03416">
              <w:t>[19]</w:t>
            </w:r>
            <w:r w:rsidRPr="00507BAB">
              <w:fldChar w:fldCharType="end"/>
            </w:r>
          </w:p>
        </w:tc>
        <w:tc>
          <w:tcPr>
            <w:tcW w:w="1134" w:type="dxa"/>
            <w:noWrap/>
            <w:hideMark/>
          </w:tcPr>
          <w:p w14:paraId="5899BD1D" w14:textId="77777777" w:rsidR="001B2E3D" w:rsidRPr="00507BAB" w:rsidRDefault="001B2E3D" w:rsidP="0054652C">
            <w:pPr>
              <w:pStyle w:val="MDPI42tablebody"/>
            </w:pPr>
            <w:r w:rsidRPr="00507BAB">
              <w:t>131</w:t>
            </w:r>
          </w:p>
        </w:tc>
        <w:tc>
          <w:tcPr>
            <w:tcW w:w="1134" w:type="dxa"/>
            <w:noWrap/>
            <w:hideMark/>
          </w:tcPr>
          <w:p w14:paraId="1CF8DA7A" w14:textId="77777777" w:rsidR="001B2E3D" w:rsidRPr="00507BAB" w:rsidRDefault="001B2E3D" w:rsidP="0054652C">
            <w:pPr>
              <w:pStyle w:val="MDPI42tablebody"/>
            </w:pPr>
            <w:r w:rsidRPr="00507BAB">
              <w:t>29</w:t>
            </w:r>
          </w:p>
        </w:tc>
        <w:tc>
          <w:tcPr>
            <w:tcW w:w="683" w:type="dxa"/>
            <w:noWrap/>
            <w:hideMark/>
          </w:tcPr>
          <w:p w14:paraId="11E2451A" w14:textId="77777777" w:rsidR="001B2E3D" w:rsidRPr="00507BAB" w:rsidRDefault="001B2E3D" w:rsidP="0054652C">
            <w:pPr>
              <w:pStyle w:val="MDPI42tablebody"/>
            </w:pPr>
            <w:r w:rsidRPr="00507BAB">
              <w:t>FF</w:t>
            </w:r>
          </w:p>
        </w:tc>
        <w:tc>
          <w:tcPr>
            <w:tcW w:w="3119" w:type="dxa"/>
            <w:noWrap/>
            <w:hideMark/>
          </w:tcPr>
          <w:p w14:paraId="3081B490" w14:textId="77777777" w:rsidR="001B2E3D" w:rsidRPr="00507BAB" w:rsidRDefault="001B2E3D" w:rsidP="0054652C">
            <w:pPr>
              <w:pStyle w:val="MDPI42tablebody"/>
            </w:pPr>
            <w:r w:rsidRPr="00507BAB">
              <w:t>Affymetrix Exon 1.0 ST v2</w:t>
            </w:r>
          </w:p>
        </w:tc>
        <w:tc>
          <w:tcPr>
            <w:tcW w:w="2551" w:type="dxa"/>
            <w:noWrap/>
            <w:hideMark/>
          </w:tcPr>
          <w:p w14:paraId="7AF8C20A" w14:textId="77777777" w:rsidR="001B2E3D" w:rsidRPr="00507BAB" w:rsidRDefault="001B2E3D" w:rsidP="0054652C">
            <w:pPr>
              <w:pStyle w:val="MDPI42tablebody"/>
            </w:pPr>
            <w:r w:rsidRPr="00507BAB">
              <w:t>Taylor et al. 2010</w:t>
            </w:r>
          </w:p>
        </w:tc>
      </w:tr>
      <w:tr w:rsidR="001B2E3D" w:rsidRPr="00507BAB" w14:paraId="03769894" w14:textId="77777777" w:rsidTr="0054652C">
        <w:trPr>
          <w:trHeight w:val="292"/>
        </w:trPr>
        <w:tc>
          <w:tcPr>
            <w:tcW w:w="1877" w:type="dxa"/>
            <w:noWrap/>
            <w:hideMark/>
          </w:tcPr>
          <w:p w14:paraId="074E6A15" w14:textId="4B72F678" w:rsidR="001B2E3D" w:rsidRPr="00507BAB" w:rsidRDefault="001B2E3D" w:rsidP="0054652C">
            <w:pPr>
              <w:pStyle w:val="MDPI42tablebody"/>
            </w:pPr>
            <w:r w:rsidRPr="00507BAB">
              <w:t xml:space="preserve">CancerMap </w:t>
            </w:r>
            <w:r w:rsidRPr="00507BAB">
              <w:fldChar w:fldCharType="begin" w:fldLock="1"/>
            </w:r>
            <w:r w:rsidR="00C03416">
              <w:instrText xml:space="preserve"> ADDIN ZOTERO_ITEM CSL_CITATION {"citationID":"0TfrL1vs","properties":{"formattedCitation":"[12]","plainCitation":"[12]","noteIndex":0},"citationItems":[{"id":"OyO8BWdL/66igkMwV","uris":["http://www.mendeley.com/documents/?uuid=c3f059a1-fe27-49bc-a839-c2b4fe1404cf"],"itemData":{"DOI":"10.1016/j.euf.2017.01.016","ISSN":"2405-4569","PMID":"28753852","abstract":"BACKGROUND A critical problem in the clinical management of prostate cancer is that it is highly heterogeneous. Accurate prediction of individual cancer behaviour is therefore not achievable at the time of diagnosis leading to substantial overtreatment. It remains an enigma that, in contrast to breast cancer, unsupervised analyses of global expression profiles have not currently defined robust categories of prostate cancer with distinct clinical outcomes. OBJECTIVE To devise a novel classification framework for human prostate cancer based on unsupervised mathematical approaches. DESIGN, SETTING, AND PARTICIPANTS Our analyses are based on the hypothesis that previous attempts to classify prostate cancer have been unsuccessful because individual samples of prostate cancer frequently have heterogeneous compositions. To address this issue, we applied an unsupervised Bayesian procedure called Latent Process Decomposition to four independent prostate cancer transcriptome datasets obtained using samples from prostatectomy patients and containing between 78 and 182 participants. OUTCOME MEASUREMENTS AND STATISTICAL ANALYSIS Biochemical failure was assessed using log-rank analysis and Cox regression analysis. RESULTS AND LIMITATIONS Application of Latent Process Decomposition identified a common process in all four independent datasets examined. Cancers assigned to this process (designated DESNT cancers) are characterized by low expression of a core set of 45 genes, many encoding proteins involved in the cytoskeleton machinery, ion transport, and cell adhesion. For the three datasets with linked prostate-specific antigen failure data following prostatectomy, patients with DESNT cancer exhibited poor outcome relative to other patients (p=2.65×10-5, p=4.28×10-5, and p=2.98×10-8). When these three datasets were combined the independent predictive value of DESNT membership was p=1.61×10-7 compared with p=1.00×10-5 for Gleason sum. A limitation of the study is that only prediction of prostate-specific antigen failure was examined. CONCLUSIONS Our results demonstrate the existence of a novel poor prognosis category of human prostate cancer and will assist in the targeting of therapy, helping avoid treatment-associated morbidity in men with indolent disease. PATIENT SUMMARY Prostate cancer, unlike breast cancer, does not have a robust classification framework. We propose that this failure has occurred because prostate cancer samples selected for analysis frequently hav…","author":[{"dropping-particle":"","family":"Luca","given":"Bogdan-alexandru","non-dropping-particle":"","parse-names":false,"suffix":""},{"dropping-particle":"","family":"Brewer","given":"Daniel S","non-dropping-particle":"","parse-names":false,"suffix":""},{"dropping-particle":"","family":"Edwards","given":"Dylan R","non-dropping-particle":"","parse-names":false,"suffix":""},{"dropping-particle":"","family":"Edwards","given":"Sandra","non-dropping-particle":"","parse-names":false,"suffix":""},{"dropping-particle":"","family":"Whitaker","given":"Hayley C","non-dropping-particle":"","parse-names":false,"suffix":""},{"dropping-particle":"","family":"Merson","given":"Sue","non-dropping-particle":"","parse-names":false,"suffix":""},{"dropping-particle":"","family":"Dennis","given":"Nening","non-dropping-particle":"","parse-names":false,"suffix":""},{"dropping-particle":"","family":"Cooper","given":"Rosalin A","non-dropping-particle":"","parse-names":false,"suffix":""},{"dropping-particle":"","family":"Hazell","given":"Steven","non-dropping-particle":"","parse-names":false,"suffix":""},{"dropping-particle":"","family":"Warren","given":"Anne Y","non-dropping-particle":"","parse-names":false,"suffix":""},{"dropping-particle":"","family":"CancerMap Group","given":"","non-dropping-particle":"","parse-names":false,"suffix":""},{"dropping-particle":"","family":"Eeles","given":"Rosalind","non-dropping-particle":"","parse-names":false,"suffix":""},{"dropping-particle":"","family":"Lynch","given":"Andy G","non-dropping-particle":"","parse-names":false,"suffix":""},{"dropping-particle":"","family":"Ross-Adams","given":"Helen","non-dropping-particle":"","parse-names":false,"suffix":""},{"dropping-particle":"","family":"Lamb","given":"Alastair D","non-dropping-particle":"","parse-names":false,"suffix":""},{"dropping-particle":"","family":"Neal","given":"David E","non-dropping-particle":"","parse-names":false,"suffix":""},{"dropping-particle":"","family":"Sethia","given":"Krishna","non-dropping-particle":"","parse-names":false,"suffix":""},{"dropping-particle":"","family":"Mills","given":"Robert D","non-dropping-particle":"","parse-names":false,"suffix":""},{"dropping-particle":"","family":"Ball","given":"Richard Y","non-dropping-particle":"","parse-names":false,"suffix":""},{"dropping-particle":"","family":"Curley","given":"Helen","non-dropping-particle":"","parse-names":false,"suffix":""},{"dropping-particle":"","family":"Clark","given":"Jeremy","non-dropping-particle":"","parse-names":false,"suffix":""},{"dropping-particle":"","family":"Moulton","given":"Vincent","non-dropping-particle":"","parse-names":false,"suffix":""},{"dropping-particle":"","family":"Cooper","given":"Colin S","non-dropping-particle":"","parse-names":false,"suffix":""}],"container-title":"European urology focus","id":"ITEM-1","issue":"6","issued":{"date-parts":[["2018","12","6"]]},"language":"English","page":"842-850","publisher":"European Association of Urology","title":"DESNT: A Poor Prognosis Category of Human Prostate Cancer.","type":"article-journal","volume":"4"}}],"schema":"https://github.com/citation-style-language/schema/raw/master/csl-citation.json"} </w:instrText>
            </w:r>
            <w:r w:rsidRPr="00507BAB">
              <w:fldChar w:fldCharType="separate"/>
            </w:r>
            <w:r w:rsidR="00C03416">
              <w:t>[12]</w:t>
            </w:r>
            <w:r w:rsidRPr="00507BAB">
              <w:fldChar w:fldCharType="end"/>
            </w:r>
          </w:p>
        </w:tc>
        <w:tc>
          <w:tcPr>
            <w:tcW w:w="1134" w:type="dxa"/>
            <w:noWrap/>
            <w:hideMark/>
          </w:tcPr>
          <w:p w14:paraId="664852A3" w14:textId="77777777" w:rsidR="001B2E3D" w:rsidRPr="00507BAB" w:rsidRDefault="001B2E3D" w:rsidP="0054652C">
            <w:pPr>
              <w:pStyle w:val="MDPI42tablebody"/>
            </w:pPr>
            <w:r w:rsidRPr="00507BAB">
              <w:t>137</w:t>
            </w:r>
          </w:p>
        </w:tc>
        <w:tc>
          <w:tcPr>
            <w:tcW w:w="1134" w:type="dxa"/>
            <w:noWrap/>
            <w:hideMark/>
          </w:tcPr>
          <w:p w14:paraId="7F971B17" w14:textId="77777777" w:rsidR="001B2E3D" w:rsidRPr="00507BAB" w:rsidRDefault="001B2E3D" w:rsidP="0054652C">
            <w:pPr>
              <w:pStyle w:val="MDPI42tablebody"/>
            </w:pPr>
            <w:r w:rsidRPr="00507BAB">
              <w:t>17</w:t>
            </w:r>
          </w:p>
        </w:tc>
        <w:tc>
          <w:tcPr>
            <w:tcW w:w="683" w:type="dxa"/>
            <w:noWrap/>
            <w:hideMark/>
          </w:tcPr>
          <w:p w14:paraId="62F7466D" w14:textId="77777777" w:rsidR="001B2E3D" w:rsidRPr="00507BAB" w:rsidRDefault="001B2E3D" w:rsidP="0054652C">
            <w:pPr>
              <w:pStyle w:val="MDPI42tablebody"/>
            </w:pPr>
            <w:r w:rsidRPr="00507BAB">
              <w:t>FF</w:t>
            </w:r>
          </w:p>
        </w:tc>
        <w:tc>
          <w:tcPr>
            <w:tcW w:w="3119" w:type="dxa"/>
            <w:noWrap/>
            <w:hideMark/>
          </w:tcPr>
          <w:p w14:paraId="4355B437" w14:textId="77777777" w:rsidR="001B2E3D" w:rsidRPr="00507BAB" w:rsidRDefault="001B2E3D" w:rsidP="0054652C">
            <w:pPr>
              <w:pStyle w:val="MDPI42tablebody"/>
            </w:pPr>
            <w:r w:rsidRPr="00507BAB">
              <w:t>Affymetrix Exon 1.0 ST v2</w:t>
            </w:r>
          </w:p>
        </w:tc>
        <w:tc>
          <w:tcPr>
            <w:tcW w:w="2551" w:type="dxa"/>
            <w:noWrap/>
            <w:hideMark/>
          </w:tcPr>
          <w:p w14:paraId="49EF7C0B" w14:textId="77777777" w:rsidR="001B2E3D" w:rsidRPr="00507BAB" w:rsidRDefault="001B2E3D" w:rsidP="0054652C">
            <w:pPr>
              <w:pStyle w:val="MDPI42tablebody"/>
            </w:pPr>
            <w:r w:rsidRPr="00507BAB">
              <w:t>Luca et al. 2018</w:t>
            </w:r>
          </w:p>
        </w:tc>
      </w:tr>
      <w:tr w:rsidR="001B2E3D" w:rsidRPr="00507BAB" w14:paraId="24674709" w14:textId="77777777" w:rsidTr="0054652C">
        <w:trPr>
          <w:trHeight w:val="292"/>
        </w:trPr>
        <w:tc>
          <w:tcPr>
            <w:tcW w:w="1877" w:type="dxa"/>
            <w:noWrap/>
            <w:hideMark/>
          </w:tcPr>
          <w:p w14:paraId="77C80C6D" w14:textId="31EEBCF6" w:rsidR="001B2E3D" w:rsidRPr="00507BAB" w:rsidRDefault="001B2E3D" w:rsidP="0054652C">
            <w:pPr>
              <w:pStyle w:val="MDPI42tablebody"/>
            </w:pPr>
            <w:r w:rsidRPr="00507BAB">
              <w:t xml:space="preserve">Stephenson </w:t>
            </w:r>
            <w:r w:rsidRPr="00507BAB">
              <w:fldChar w:fldCharType="begin" w:fldLock="1"/>
            </w:r>
            <w:r w:rsidR="00C03416">
              <w:instrText xml:space="preserve"> ADDIN ZOTERO_ITEM CSL_CITATION {"citationID":"sDNQ6ogx","properties":{"formattedCitation":"[22]","plainCitation":"[22]","noteIndex":0},"citationItems":[{"id":"OyO8BWdL/pJbQ38aO","uris":["http://www.mendeley.com/documents/?uuid=4943b0a0-d670-4f4b-8c5f-d790e62d8bf5"],"itemData":{"author":[{"dropping-particle":"","family":"Stephenson","given":"Andrew J","non-dropping-particle":"","parse-names":false,"suffix":""},{"dropping-particle":"","family":"Smith","given":"Alex","non-dropping-particle":"","parse-names":false,"suffix":""},{"dropping-particle":"","family":"Kattan","given":"Michael W","non-dropping-particle":"","parse-names":false,"suffix":""},{"dropping-particle":"","family":"Satagopan","given":"Jaya","non-dropping-particle":"","parse-names":false,"suffix":""},{"dropping-particle":"","family":"Reuter","given":"Victor E","non-dropping-particle":"","parse-names":false,"suffix":""},{"dropping-particle":"","family":"Scardino","given":"Peter T","non-dropping-particle":"","parse-names":false,"suffix":""},{"dropping-particle":"","family":"Gerald","given":"William L","non-dropping-particle":"","parse-names":false,"suffix":""}],"container-title":"Cancer","id":"ITEM-1","issue":"2","issued":{"date-parts":[["2005"]]},"page":"290-298","publisher":"Wiley Online Library","title":"Integration of gene expression profiling and clinical variables to predict prostate carcinoma recurrence after radical prostatectomy","type":"article-journal","volume":"104"}}],"schema":"https://github.com/citation-style-language/schema/raw/master/csl-citation.json"} </w:instrText>
            </w:r>
            <w:r w:rsidRPr="00507BAB">
              <w:fldChar w:fldCharType="separate"/>
            </w:r>
            <w:r w:rsidR="00C03416">
              <w:t>[22]</w:t>
            </w:r>
            <w:r w:rsidRPr="00507BAB">
              <w:fldChar w:fldCharType="end"/>
            </w:r>
          </w:p>
        </w:tc>
        <w:tc>
          <w:tcPr>
            <w:tcW w:w="1134" w:type="dxa"/>
            <w:noWrap/>
            <w:hideMark/>
          </w:tcPr>
          <w:p w14:paraId="5091A74F" w14:textId="77777777" w:rsidR="001B2E3D" w:rsidRPr="00507BAB" w:rsidRDefault="001B2E3D" w:rsidP="0054652C">
            <w:pPr>
              <w:pStyle w:val="MDPI42tablebody"/>
            </w:pPr>
            <w:r w:rsidRPr="00507BAB">
              <w:t>78</w:t>
            </w:r>
          </w:p>
        </w:tc>
        <w:tc>
          <w:tcPr>
            <w:tcW w:w="1134" w:type="dxa"/>
            <w:noWrap/>
            <w:hideMark/>
          </w:tcPr>
          <w:p w14:paraId="7ECC6952" w14:textId="77777777" w:rsidR="001B2E3D" w:rsidRPr="00507BAB" w:rsidRDefault="001B2E3D" w:rsidP="0054652C">
            <w:pPr>
              <w:pStyle w:val="MDPI42tablebody"/>
            </w:pPr>
            <w:r w:rsidRPr="00507BAB">
              <w:t>11</w:t>
            </w:r>
          </w:p>
        </w:tc>
        <w:tc>
          <w:tcPr>
            <w:tcW w:w="683" w:type="dxa"/>
            <w:noWrap/>
            <w:hideMark/>
          </w:tcPr>
          <w:p w14:paraId="02F17703" w14:textId="77777777" w:rsidR="001B2E3D" w:rsidRPr="00507BAB" w:rsidRDefault="001B2E3D" w:rsidP="0054652C">
            <w:pPr>
              <w:pStyle w:val="MDPI42tablebody"/>
            </w:pPr>
            <w:r w:rsidRPr="00507BAB">
              <w:t>FF</w:t>
            </w:r>
          </w:p>
        </w:tc>
        <w:tc>
          <w:tcPr>
            <w:tcW w:w="3119" w:type="dxa"/>
            <w:noWrap/>
            <w:hideMark/>
          </w:tcPr>
          <w:p w14:paraId="046F6A43" w14:textId="77777777" w:rsidR="001B2E3D" w:rsidRPr="00507BAB" w:rsidRDefault="001B2E3D" w:rsidP="0054652C">
            <w:pPr>
              <w:pStyle w:val="MDPI42tablebody"/>
            </w:pPr>
            <w:r w:rsidRPr="00507BAB">
              <w:t>Affymetrix U133A</w:t>
            </w:r>
          </w:p>
        </w:tc>
        <w:tc>
          <w:tcPr>
            <w:tcW w:w="2551" w:type="dxa"/>
            <w:noWrap/>
            <w:hideMark/>
          </w:tcPr>
          <w:p w14:paraId="414C3A59" w14:textId="77777777" w:rsidR="001B2E3D" w:rsidRPr="00507BAB" w:rsidRDefault="001B2E3D" w:rsidP="0054652C">
            <w:pPr>
              <w:pStyle w:val="MDPI42tablebody"/>
            </w:pPr>
            <w:r w:rsidRPr="00507BAB">
              <w:t>Stephenson et al. 2005</w:t>
            </w:r>
          </w:p>
        </w:tc>
      </w:tr>
      <w:tr w:rsidR="001B2E3D" w:rsidRPr="00507BAB" w14:paraId="7D455957" w14:textId="77777777" w:rsidTr="0054652C">
        <w:trPr>
          <w:trHeight w:val="292"/>
        </w:trPr>
        <w:tc>
          <w:tcPr>
            <w:tcW w:w="1877" w:type="dxa"/>
            <w:noWrap/>
            <w:hideMark/>
          </w:tcPr>
          <w:p w14:paraId="291CDF3D" w14:textId="4C38F113" w:rsidR="001B2E3D" w:rsidRPr="00507BAB" w:rsidRDefault="001B2E3D" w:rsidP="0054652C">
            <w:pPr>
              <w:pStyle w:val="MDPI42tablebody"/>
            </w:pPr>
            <w:r w:rsidRPr="00507BAB">
              <w:t xml:space="preserve">CamCap </w:t>
            </w:r>
            <w:r w:rsidRPr="00507BAB">
              <w:fldChar w:fldCharType="begin" w:fldLock="1"/>
            </w:r>
            <w:r w:rsidR="00C03416">
              <w:instrText xml:space="preserve"> ADDIN ZOTERO_ITEM CSL_CITATION {"citationID":"FiT6yrkM","properties":{"formattedCitation":"[23]","plainCitation":"[23]","noteIndex":0},"citationItems":[{"id":"OyO8BWdL/pbNjJPNl","uris":["http://www.mendeley.com/documents/?uuid=b978d695-f234-4358-b281-70487eabbbe9"],"itemData":{"DOI":"10.1016/j.ebiom.2015.07.017","ISSN":"23523964","author":[{"dropping-particle":"","family":"Ross-Adams","given":"H.","non-dropping-particle":"","parse-names":false,"suffix":""},{"dropping-particle":"","family":"Lamb","given":"A.D. D","non-dropping-particle":"","parse-names":false,"suffix":""},{"dropping-particle":"","family":"Dunning","given":"M.J. J","non-dropping-particle":"","parse-names":false,"suffix":""},{"dropping-particle":"","family":"Halim","given":"S.","non-dropping-particle":"","parse-names":false,"suffix":""},{"dropping-particle":"","family":"Lindberg","given":"J.","non-dropping-particle":"","parse-names":false,"suffix":""},{"dropping-particle":"","family":"Massie","given":"C.M. M","non-dropping-particle":"","parse-names":false,"suffix":""},{"dropping-particle":"","family":"Egevad","given":"L.A. A","non-dropping-particle":"","parse-names":false,"suffix":""},{"dropping-particle":"","family":"Russell","given":"R.","non-dropping-particle":"","parse-names":false,"suffix":""},{"dropping-particle":"","family":"Ramos-Montoya","given":"A.","non-dropping-particle":"","parse-names":false,"suffix":""},{"dropping-particle":"","family":"Vowler","given":"S.L. L","non-dropping-particle":"","parse-names":false,"suffix":""},{"dropping-particle":"","family":"others","given":"","non-dropping-particle":"","parse-names":false,"suffix":""},{"dropping-particle":"","family":"Sharma","given":"N.L. L","non-dropping-particle":"","parse-names":false,"suffix":""},{"dropping-particle":"","family":"Kay","given":"J.","non-dropping-particle":"","parse-names":false,"suffix":""},{"dropping-particle":"","family":"Whitaker","given":"H.","non-dropping-particle":"","parse-names":false,"suffix":""},{"dropping-particle":"","family":"Clark","given":"J.","non-dropping-particle":"","parse-names":false,"suffix":""},{"dropping-particle":"","family":"Hurst","given":"R.","non-dropping-particle":"","parse-names":false,"suffix":""},{"dropping-particle":"","family":"Gnanapragasam","given":"V.J. J","non-dropping-particle":"","parse-names":false,"suffix":""},{"dropping-particle":"","family":"Shah","given":"N.C. C","non-dropping-particle":"","parse-names":false,"suffix":""},{"dropping-particle":"","family":"Warren","given":"A.Y. Y","non-dropping-particle":"","parse-names":false,"suffix":""},{"dropping-particle":"","family":"Cooper","given":"C.S. S","non-dropping-particle":"","parse-names":false,"suffix":""},{"dropping-particle":"","family":"Lynch","given":"A.G. G","non-dropping-particle":"","parse-names":false,"suffix":""},{"dropping-particle":"","family":"Stark","given":"R.","non-dropping-particle":"","parse-names":false,"suffix":""},{"dropping-particle":"","family":"Mills","given":"I.G. G","non-dropping-particle":"","parse-names":false,"suffix":""},{"dropping-particle":"","family":"Grönberg","given":"H.","non-dropping-particle":"","parse-names":false,"suffix":""},{"dropping-particle":"","family":"Neal","given":"D.E. E","non-dropping-particle":"","parse-names":false,"suffix":""},{"dropping-particle":"","family":"Lamb","given":"A.D. D","non-dropping-particle":"","parse-names":false,"suffix":""},{"dropping-particle":"","family":"Sharma","given":"N.L. L","non-dropping-particle":"","parse-names":false,"suffix":""},{"dropping-particle":"","family":"Shaw","given":"G","non-dropping-particle":"","parse-names":false,"suffix":""},{"dropping-particle":"","family":"Hori","given":"S","non-dropping-particle":"","parse-names":false,"suffix":""},{"dropping-particle":"","family":"Baridi","given":"A","non-dropping-particle":"","parse-names":false,"suffix":""},{"dropping-particle":"","family":"Tran","given":"M","non-dropping-particle":"","parse-names":false,"suffix":""},{"dropping-particle":"","family":"Wadhwa","given":"K","non-dropping-particle":"","parse-names":false,"suffix":""},{"dropping-particle":"","family":"Nelson","given":"A","non-dropping-particle":"","parse-names":false,"suffix":""},{"dropping-particle":"","family":"Patel","given":"K","non-dropping-particle":"","parse-names":false,"suffix":""},{"dropping-particle":"","family":"Thomas","given":"B","non-dropping-particle":"","parse-names":false,"suffix":""},{"dropping-particle":"","family":"Luxton","given":"H","non-dropping-particle":"","parse-names":false,"suffix":""},{"dropping-particle":"","family":"Shah","given":"N.C. C","non-dropping-particle":"","parse-names":false,"suffix":""},{"dropping-particle":"","family":"Gnanpragasam","given":"V","non-dropping-particle":"","parse-names":false,"suffix":""},{"dropping-particle":"","family":"Doble","given":"A","non-dropping-particle":"","parse-names":false,"suffix":""},{"dropping-particle":"","family":"Kastner","given":"C","non-dropping-particle":"","parse-names":false,"suffix":""},{"dropping-particle":"","family":"Aho","given":"T","non-dropping-particle":"","parse-names":false,"suffix":""},{"dropping-particle":"","family":"Warren","given":"A.Y. Y","non-dropping-particle":"","parse-names":false,"suffix":""},{"dropping-particle":"","family":"Haynes","given":"B","non-dropping-particle":"","parse-names":false,"suffix":""},{"dropping-particle":"","family":"Partridge","given":"W","non-dropping-particle":"","parse-names":false,"suffix":""},{"dropping-particle":"","family":"Cromwell","given":"E","non-dropping-particle":"","parse-names":false,"suffix":""},{"dropping-particle":"","family":"Sangrasi","given":"A","non-dropping-particle":"","parse-names":false,"suffix":""},{"dropping-particle":"","family":"Burge","given":"J","non-dropping-particle":"","parse-names":false,"suffix":""},{"dropping-particle":"","family":"George","given":"A","non-dropping-particle":"","parse-names":false,"suffix":""},{"dropping-particle":"","family":"Stearn","given":"S","non-dropping-particle":"","parse-names":false,"suffix":""},{"dropping-particle":"","family":"Corcoran","given":"M","non-dropping-particle":"","parse-names":false,"suffix":""},{"dropping-particle":"","family":"Coret","given":"H","non-dropping-particle":"","parse-names":false,"suffix":""},{"dropping-particle":"","family":"Basnett","given":"G","non-dropping-particle":"","parse-names":false,"suffix":""},{"dropping-particle":"","family":"Francis","given":"I","non-dropping-particle":"","parse-names":false,"suffix":""},{"dropping-particle":"","family":"Egevad","given":"L.A. A","non-dropping-particle":"","parse-names":false,"suffix":""},{"dropping-particle":"","family":"Whitington","given":"T","non-dropping-particle":"","parse-names":false,"suffix":""},{"dropping-particle":"","family":"Neal","given":"D.E. E","non-dropping-particle":"","parse-names":false,"suffix":""},{"dropping-particle":"","family":"Mills","given":"I.G. G","non-dropping-particle":"","parse-names":false,"suffix":""},{"dropping-particle":"","family":"Dunning","given":"M.J. J","non-dropping-particle":"","parse-names":false,"suffix":""},{"dropping-particle":"","family":"Massie","given":"C.M. M","non-dropping-particle":"","parse-names":false,"suffix":""},{"dropping-particle":"","family":"Lynch","given":"A.G. G","non-dropping-particle":"","parse-names":false,"suffix":""},{"dropping-particle":"","family":"Vowler","given":"S.L. L","non-dropping-particle":"","parse-names":false,"suffix":""},{"dropping-particle":"","family":"Yuan","given":"Y","non-dropping-particle":"","parse-names":false,"suffix":""},{"dropping-particle":"","family":"Rueda","given":"O","non-dropping-particle":"","parse-names":false,"suffix":""},{"dropping-particle":"","family":"Hadfield","given":"J","non-dropping-particle":"","parse-names":false,"suffix":""},{"dropping-particle":"","family":"Howat","given":"W","non-dropping-particle":"","parse-names":false,"suffix":""},{"dropping-particle":"","family":"Miller","given":"J","non-dropping-particle":"","parse-names":false,"suffix":""},{"dropping-particle":"","family":"Cooper","given":"N C","non-dropping-particle":"","parse-names":false,"suffix":""},{"dropping-particle":"","family":"Brewer","given":"D","non-dropping-particle":"","parse-names":false,"suffix":""},{"dropping-particle":"","family":"others","given":"","non-dropping-particle":"","parse-names":false,"suffix":""}],"container-title":"EBioMedicine","id":"ITEM-1","issue":"9","issued":{"date-parts":[["2015"]]},"page":"1133-1144","publisher":"Elsevier B.V.","title":"Integration of copy number and transcriptomics provides risk stratification in prostate cancer: A discovery and validation cohort study","type":"article-journal","volume":"2"}}],"schema":"https://github.com/citation-style-language/schema/raw/master/csl-citation.json"} </w:instrText>
            </w:r>
            <w:r w:rsidRPr="00507BAB">
              <w:fldChar w:fldCharType="separate"/>
            </w:r>
            <w:r w:rsidR="00C03416">
              <w:t>[23]</w:t>
            </w:r>
            <w:r w:rsidRPr="00507BAB">
              <w:fldChar w:fldCharType="end"/>
            </w:r>
          </w:p>
        </w:tc>
        <w:tc>
          <w:tcPr>
            <w:tcW w:w="1134" w:type="dxa"/>
            <w:noWrap/>
            <w:hideMark/>
          </w:tcPr>
          <w:p w14:paraId="53ACFF20" w14:textId="77777777" w:rsidR="001B2E3D" w:rsidRPr="00507BAB" w:rsidRDefault="001B2E3D" w:rsidP="0054652C">
            <w:pPr>
              <w:pStyle w:val="MDPI42tablebody"/>
            </w:pPr>
            <w:r w:rsidRPr="00507BAB">
              <w:t>147</w:t>
            </w:r>
          </w:p>
        </w:tc>
        <w:tc>
          <w:tcPr>
            <w:tcW w:w="1134" w:type="dxa"/>
            <w:noWrap/>
            <w:hideMark/>
          </w:tcPr>
          <w:p w14:paraId="2EC451E8" w14:textId="77777777" w:rsidR="001B2E3D" w:rsidRPr="00507BAB" w:rsidRDefault="001B2E3D" w:rsidP="0054652C">
            <w:pPr>
              <w:pStyle w:val="MDPI42tablebody"/>
            </w:pPr>
            <w:r w:rsidRPr="00507BAB">
              <w:t>73</w:t>
            </w:r>
          </w:p>
        </w:tc>
        <w:tc>
          <w:tcPr>
            <w:tcW w:w="683" w:type="dxa"/>
            <w:noWrap/>
            <w:hideMark/>
          </w:tcPr>
          <w:p w14:paraId="3C86FE9C" w14:textId="77777777" w:rsidR="001B2E3D" w:rsidRPr="00507BAB" w:rsidRDefault="001B2E3D" w:rsidP="0054652C">
            <w:pPr>
              <w:pStyle w:val="MDPI42tablebody"/>
            </w:pPr>
            <w:r w:rsidRPr="00507BAB">
              <w:t>FF</w:t>
            </w:r>
          </w:p>
        </w:tc>
        <w:tc>
          <w:tcPr>
            <w:tcW w:w="3119" w:type="dxa"/>
            <w:noWrap/>
            <w:hideMark/>
          </w:tcPr>
          <w:p w14:paraId="21E26B88" w14:textId="77777777" w:rsidR="001B2E3D" w:rsidRPr="00507BAB" w:rsidRDefault="001B2E3D" w:rsidP="0054652C">
            <w:pPr>
              <w:pStyle w:val="MDPI42tablebody"/>
            </w:pPr>
            <w:r w:rsidRPr="00507BAB">
              <w:t>Illumina HT12 v4.0 BeadChip</w:t>
            </w:r>
          </w:p>
        </w:tc>
        <w:tc>
          <w:tcPr>
            <w:tcW w:w="2551" w:type="dxa"/>
            <w:noWrap/>
            <w:hideMark/>
          </w:tcPr>
          <w:p w14:paraId="0644177A" w14:textId="77777777" w:rsidR="001B2E3D" w:rsidRPr="00507BAB" w:rsidRDefault="001B2E3D" w:rsidP="0054652C">
            <w:pPr>
              <w:pStyle w:val="MDPI42tablebody"/>
            </w:pPr>
            <w:r w:rsidRPr="00507BAB">
              <w:t>Ross-Adams et al. 2015</w:t>
            </w:r>
          </w:p>
        </w:tc>
      </w:tr>
    </w:tbl>
    <w:p w14:paraId="68815D62" w14:textId="77777777" w:rsidR="001B2E3D" w:rsidRPr="0032014D" w:rsidRDefault="001B2E3D" w:rsidP="001B2E3D">
      <w:pPr>
        <w:pStyle w:val="MDPI41tablecaption"/>
        <w:rPr>
          <w:snapToGrid w:val="0"/>
          <w:lang w:val="en-GB"/>
        </w:rPr>
      </w:pPr>
      <w:r w:rsidRPr="00507BAB">
        <w:rPr>
          <w:b/>
          <w:snapToGrid w:val="0"/>
          <w:lang w:val="en-GB"/>
        </w:rPr>
        <w:t>Table 2.</w:t>
      </w:r>
      <w:r w:rsidRPr="0032014D">
        <w:rPr>
          <w:snapToGrid w:val="0"/>
          <w:lang w:val="en-GB"/>
        </w:rPr>
        <w:t xml:space="preserve"> Summary of clinical variables of cohorts. BCR = Biochemical recurrence after prostatectomy as defined by two PSA measurements at values greater than or equal to 0.2 ng/ml. </w:t>
      </w:r>
      <w:r>
        <w:rPr>
          <w:snapToGrid w:val="0"/>
          <w:lang w:val="en-GB"/>
        </w:rPr>
        <w:t xml:space="preserve">BCR/Follow up is time to biochemical recurrence or last clinical update. </w:t>
      </w:r>
      <w:r w:rsidRPr="0032014D">
        <w:rPr>
          <w:snapToGrid w:val="0"/>
          <w:lang w:val="en-GB"/>
        </w:rPr>
        <w:t xml:space="preserve">T-stage = clinical tumour stage. The PREDICT score, the percentage </w:t>
      </w:r>
      <w:r>
        <w:rPr>
          <w:snapToGrid w:val="0"/>
          <w:lang w:val="en-GB"/>
        </w:rPr>
        <w:t>increase</w:t>
      </w:r>
      <w:r w:rsidRPr="0032014D">
        <w:rPr>
          <w:snapToGrid w:val="0"/>
          <w:lang w:val="en-GB"/>
        </w:rPr>
        <w:t xml:space="preserve"> in probability of mortality at 10 years from having prostate cancer, is defined as the non-prostate cancer mortality minus prostate cancer specific mortality at 10 years. DESNT score is the proportion of expression assigned to the DESNT poor prognosis molecular subtype.</w:t>
      </w:r>
    </w:p>
    <w:tbl>
      <w:tblPr>
        <w:tblStyle w:val="MDPI41threelinetable"/>
        <w:tblW w:w="10348" w:type="dxa"/>
        <w:tblLayout w:type="fixed"/>
        <w:tblLook w:val="0420" w:firstRow="1" w:lastRow="0" w:firstColumn="0" w:lastColumn="0" w:noHBand="0" w:noVBand="1"/>
      </w:tblPr>
      <w:tblGrid>
        <w:gridCol w:w="1985"/>
        <w:gridCol w:w="1984"/>
        <w:gridCol w:w="2410"/>
        <w:gridCol w:w="1985"/>
        <w:gridCol w:w="1984"/>
      </w:tblGrid>
      <w:tr w:rsidR="001B2E3D" w:rsidRPr="00690F4D" w14:paraId="7EC4A16A" w14:textId="77777777" w:rsidTr="0054652C">
        <w:trPr>
          <w:cnfStyle w:val="100000000000" w:firstRow="1" w:lastRow="0" w:firstColumn="0" w:lastColumn="0" w:oddVBand="0" w:evenVBand="0" w:oddHBand="0" w:evenHBand="0" w:firstRowFirstColumn="0" w:firstRowLastColumn="0" w:lastRowFirstColumn="0" w:lastRowLastColumn="0"/>
        </w:trPr>
        <w:tc>
          <w:tcPr>
            <w:tcW w:w="1985" w:type="dxa"/>
          </w:tcPr>
          <w:p w14:paraId="45E85F54" w14:textId="77777777" w:rsidR="001B2E3D" w:rsidRPr="00690F4D" w:rsidRDefault="001B2E3D" w:rsidP="0054652C">
            <w:pPr>
              <w:pStyle w:val="MDPI42tablebody"/>
              <w:jc w:val="right"/>
              <w:rPr>
                <w:lang w:val="en-GB"/>
              </w:rPr>
            </w:pPr>
            <w:r w:rsidRPr="00690F4D">
              <w:rPr>
                <w:lang w:val="en-GB"/>
              </w:rPr>
              <w:t>Characteristic</w:t>
            </w:r>
          </w:p>
        </w:tc>
        <w:tc>
          <w:tcPr>
            <w:tcW w:w="1984" w:type="dxa"/>
          </w:tcPr>
          <w:p w14:paraId="7E9DF47A" w14:textId="77777777" w:rsidR="001B2E3D" w:rsidRPr="00690F4D" w:rsidRDefault="001B2E3D" w:rsidP="0054652C">
            <w:pPr>
              <w:pStyle w:val="MDPI42tablebody"/>
              <w:rPr>
                <w:lang w:val="en-GB"/>
              </w:rPr>
            </w:pPr>
            <w:r w:rsidRPr="00690F4D">
              <w:rPr>
                <w:lang w:val="en-GB"/>
              </w:rPr>
              <w:t xml:space="preserve">CamCap, </w:t>
            </w:r>
            <w:r w:rsidRPr="00690F4D">
              <w:rPr>
                <w:i/>
                <w:iCs/>
                <w:lang w:val="en-GB"/>
              </w:rPr>
              <w:t>n</w:t>
            </w:r>
            <w:r w:rsidRPr="00690F4D">
              <w:rPr>
                <w:lang w:val="en-GB"/>
              </w:rPr>
              <w:t xml:space="preserve"> = 89</w:t>
            </w:r>
            <w:r w:rsidRPr="00690F4D">
              <w:rPr>
                <w:vertAlign w:val="superscript"/>
                <w:lang w:val="en-GB"/>
              </w:rPr>
              <w:t>1</w:t>
            </w:r>
          </w:p>
        </w:tc>
        <w:tc>
          <w:tcPr>
            <w:tcW w:w="2410" w:type="dxa"/>
          </w:tcPr>
          <w:p w14:paraId="0CB8D9CB" w14:textId="77777777" w:rsidR="001B2E3D" w:rsidRPr="00690F4D" w:rsidRDefault="001B2E3D" w:rsidP="0054652C">
            <w:pPr>
              <w:pStyle w:val="MDPI42tablebody"/>
              <w:rPr>
                <w:lang w:val="en-GB"/>
              </w:rPr>
            </w:pPr>
            <w:r w:rsidRPr="00690F4D">
              <w:rPr>
                <w:lang w:val="en-GB"/>
              </w:rPr>
              <w:t xml:space="preserve">CancerMap, </w:t>
            </w:r>
            <w:r w:rsidRPr="00690F4D">
              <w:rPr>
                <w:i/>
                <w:iCs/>
                <w:lang w:val="en-GB"/>
              </w:rPr>
              <w:t>n</w:t>
            </w:r>
            <w:r w:rsidRPr="00690F4D">
              <w:rPr>
                <w:lang w:val="en-GB"/>
              </w:rPr>
              <w:t xml:space="preserve"> = 108</w:t>
            </w:r>
            <w:r w:rsidRPr="00690F4D">
              <w:rPr>
                <w:vertAlign w:val="superscript"/>
                <w:lang w:val="en-GB"/>
              </w:rPr>
              <w:t>1</w:t>
            </w:r>
          </w:p>
        </w:tc>
        <w:tc>
          <w:tcPr>
            <w:tcW w:w="1985" w:type="dxa"/>
          </w:tcPr>
          <w:p w14:paraId="2A8802C2" w14:textId="77777777" w:rsidR="001B2E3D" w:rsidRPr="00690F4D" w:rsidRDefault="001B2E3D" w:rsidP="0054652C">
            <w:pPr>
              <w:pStyle w:val="MDPI42tablebody"/>
              <w:rPr>
                <w:lang w:val="en-GB"/>
              </w:rPr>
            </w:pPr>
            <w:r w:rsidRPr="00690F4D">
              <w:rPr>
                <w:lang w:val="en-GB"/>
              </w:rPr>
              <w:t xml:space="preserve">Stephenson, </w:t>
            </w:r>
            <w:r w:rsidRPr="00690F4D">
              <w:rPr>
                <w:i/>
                <w:iCs/>
                <w:lang w:val="en-GB"/>
              </w:rPr>
              <w:t>n</w:t>
            </w:r>
            <w:r w:rsidRPr="00690F4D">
              <w:rPr>
                <w:lang w:val="en-GB"/>
              </w:rPr>
              <w:t xml:space="preserve"> = 33</w:t>
            </w:r>
            <w:r w:rsidRPr="00690F4D">
              <w:rPr>
                <w:vertAlign w:val="superscript"/>
                <w:lang w:val="en-GB"/>
              </w:rPr>
              <w:t>1</w:t>
            </w:r>
          </w:p>
        </w:tc>
        <w:tc>
          <w:tcPr>
            <w:tcW w:w="1984" w:type="dxa"/>
          </w:tcPr>
          <w:p w14:paraId="3EDEA74A" w14:textId="77777777" w:rsidR="001B2E3D" w:rsidRPr="00690F4D" w:rsidRDefault="001B2E3D" w:rsidP="0054652C">
            <w:pPr>
              <w:pStyle w:val="MDPI42tablebody"/>
              <w:rPr>
                <w:lang w:val="en-GB"/>
              </w:rPr>
            </w:pPr>
            <w:r w:rsidRPr="00690F4D">
              <w:rPr>
                <w:lang w:val="en-GB"/>
              </w:rPr>
              <w:t>MSKCC, N = 129</w:t>
            </w:r>
            <w:r w:rsidRPr="00690F4D">
              <w:rPr>
                <w:vertAlign w:val="superscript"/>
                <w:lang w:val="en-GB"/>
              </w:rPr>
              <w:t>1</w:t>
            </w:r>
          </w:p>
        </w:tc>
      </w:tr>
      <w:tr w:rsidR="001B2E3D" w:rsidRPr="00690F4D" w14:paraId="361447CA" w14:textId="77777777" w:rsidTr="0054652C">
        <w:tc>
          <w:tcPr>
            <w:tcW w:w="1985" w:type="dxa"/>
          </w:tcPr>
          <w:p w14:paraId="5871500D" w14:textId="77777777" w:rsidR="001B2E3D" w:rsidRPr="00690F4D" w:rsidRDefault="001B2E3D" w:rsidP="0054652C">
            <w:pPr>
              <w:pStyle w:val="MDPI42tablebody"/>
              <w:jc w:val="right"/>
              <w:rPr>
                <w:lang w:val="en-GB"/>
              </w:rPr>
            </w:pPr>
            <w:r w:rsidRPr="00690F4D">
              <w:rPr>
                <w:lang w:val="en-GB"/>
              </w:rPr>
              <w:t>Age at diagnosis</w:t>
            </w:r>
          </w:p>
        </w:tc>
        <w:tc>
          <w:tcPr>
            <w:tcW w:w="1984" w:type="dxa"/>
          </w:tcPr>
          <w:p w14:paraId="0E18D5F9" w14:textId="77777777" w:rsidR="001B2E3D" w:rsidRPr="00690F4D" w:rsidRDefault="001B2E3D" w:rsidP="0054652C">
            <w:pPr>
              <w:pStyle w:val="MDPI42tablebody"/>
              <w:rPr>
                <w:lang w:val="en-GB"/>
              </w:rPr>
            </w:pPr>
            <w:r w:rsidRPr="00690F4D">
              <w:rPr>
                <w:lang w:val="en-GB"/>
              </w:rPr>
              <w:t>61 (56, 65)</w:t>
            </w:r>
          </w:p>
        </w:tc>
        <w:tc>
          <w:tcPr>
            <w:tcW w:w="2410" w:type="dxa"/>
          </w:tcPr>
          <w:p w14:paraId="69D55D5D" w14:textId="77777777" w:rsidR="001B2E3D" w:rsidRPr="00690F4D" w:rsidRDefault="001B2E3D" w:rsidP="0054652C">
            <w:pPr>
              <w:pStyle w:val="MDPI42tablebody"/>
              <w:rPr>
                <w:lang w:val="en-GB"/>
              </w:rPr>
            </w:pPr>
            <w:r w:rsidRPr="00690F4D">
              <w:rPr>
                <w:lang w:val="en-GB"/>
              </w:rPr>
              <w:t>62 (56, 65)</w:t>
            </w:r>
          </w:p>
        </w:tc>
        <w:tc>
          <w:tcPr>
            <w:tcW w:w="1985" w:type="dxa"/>
          </w:tcPr>
          <w:p w14:paraId="396BA38F" w14:textId="77777777" w:rsidR="001B2E3D" w:rsidRPr="00690F4D" w:rsidRDefault="001B2E3D" w:rsidP="0054652C">
            <w:pPr>
              <w:pStyle w:val="MDPI42tablebody"/>
              <w:rPr>
                <w:lang w:val="en-GB"/>
              </w:rPr>
            </w:pPr>
            <w:r w:rsidRPr="00690F4D">
              <w:rPr>
                <w:lang w:val="en-GB"/>
              </w:rPr>
              <w:t>61 (55, 65)</w:t>
            </w:r>
          </w:p>
        </w:tc>
        <w:tc>
          <w:tcPr>
            <w:tcW w:w="1984" w:type="dxa"/>
          </w:tcPr>
          <w:p w14:paraId="716E7891" w14:textId="77777777" w:rsidR="001B2E3D" w:rsidRPr="00690F4D" w:rsidRDefault="001B2E3D" w:rsidP="0054652C">
            <w:pPr>
              <w:pStyle w:val="MDPI42tablebody"/>
              <w:rPr>
                <w:lang w:val="en-GB"/>
              </w:rPr>
            </w:pPr>
            <w:r w:rsidRPr="00690F4D">
              <w:rPr>
                <w:lang w:val="en-GB"/>
              </w:rPr>
              <w:t>58 (54, 62)</w:t>
            </w:r>
          </w:p>
        </w:tc>
      </w:tr>
      <w:tr w:rsidR="001B2E3D" w:rsidRPr="00690F4D" w14:paraId="72721C43" w14:textId="77777777" w:rsidTr="0054652C">
        <w:tc>
          <w:tcPr>
            <w:tcW w:w="1985" w:type="dxa"/>
            <w:shd w:val="clear" w:color="auto" w:fill="D9D9D9" w:themeFill="background1" w:themeFillShade="D9"/>
          </w:tcPr>
          <w:p w14:paraId="4312E6A0" w14:textId="77777777" w:rsidR="001B2E3D" w:rsidRPr="00690F4D" w:rsidRDefault="001B2E3D" w:rsidP="0054652C">
            <w:pPr>
              <w:pStyle w:val="MDPI42tablebody"/>
              <w:jc w:val="right"/>
              <w:rPr>
                <w:lang w:val="en-GB"/>
              </w:rPr>
            </w:pPr>
            <w:r w:rsidRPr="00690F4D">
              <w:rPr>
                <w:lang w:val="en-GB"/>
              </w:rPr>
              <w:t>PSA at diagnosis (ng/ml)</w:t>
            </w:r>
          </w:p>
        </w:tc>
        <w:tc>
          <w:tcPr>
            <w:tcW w:w="1984" w:type="dxa"/>
            <w:shd w:val="clear" w:color="auto" w:fill="D9D9D9" w:themeFill="background1" w:themeFillShade="D9"/>
          </w:tcPr>
          <w:p w14:paraId="47266496" w14:textId="77777777" w:rsidR="001B2E3D" w:rsidRPr="00690F4D" w:rsidRDefault="001B2E3D" w:rsidP="0054652C">
            <w:pPr>
              <w:pStyle w:val="MDPI42tablebody"/>
              <w:rPr>
                <w:lang w:val="en-GB"/>
              </w:rPr>
            </w:pPr>
            <w:r w:rsidRPr="00690F4D">
              <w:rPr>
                <w:lang w:val="en-GB"/>
              </w:rPr>
              <w:t>7.9 (6.1, 9.8)</w:t>
            </w:r>
          </w:p>
        </w:tc>
        <w:tc>
          <w:tcPr>
            <w:tcW w:w="2410" w:type="dxa"/>
            <w:shd w:val="clear" w:color="auto" w:fill="D9D9D9" w:themeFill="background1" w:themeFillShade="D9"/>
          </w:tcPr>
          <w:p w14:paraId="26EDADE1" w14:textId="77777777" w:rsidR="001B2E3D" w:rsidRPr="00690F4D" w:rsidRDefault="001B2E3D" w:rsidP="0054652C">
            <w:pPr>
              <w:pStyle w:val="MDPI42tablebody"/>
              <w:rPr>
                <w:lang w:val="en-GB"/>
              </w:rPr>
            </w:pPr>
            <w:r w:rsidRPr="00690F4D">
              <w:rPr>
                <w:lang w:val="en-GB"/>
              </w:rPr>
              <w:t>7.9 (5.8, 11.4)</w:t>
            </w:r>
          </w:p>
        </w:tc>
        <w:tc>
          <w:tcPr>
            <w:tcW w:w="1985" w:type="dxa"/>
            <w:shd w:val="clear" w:color="auto" w:fill="D9D9D9" w:themeFill="background1" w:themeFillShade="D9"/>
          </w:tcPr>
          <w:p w14:paraId="07344CFC" w14:textId="77777777" w:rsidR="001B2E3D" w:rsidRPr="00690F4D" w:rsidRDefault="001B2E3D" w:rsidP="0054652C">
            <w:pPr>
              <w:pStyle w:val="MDPI42tablebody"/>
              <w:rPr>
                <w:lang w:val="en-GB"/>
              </w:rPr>
            </w:pPr>
            <w:r w:rsidRPr="00690F4D">
              <w:rPr>
                <w:lang w:val="en-GB"/>
              </w:rPr>
              <w:t>9.8 (6.0, 18.4)</w:t>
            </w:r>
          </w:p>
        </w:tc>
        <w:tc>
          <w:tcPr>
            <w:tcW w:w="1984" w:type="dxa"/>
            <w:shd w:val="clear" w:color="auto" w:fill="D9D9D9" w:themeFill="background1" w:themeFillShade="D9"/>
          </w:tcPr>
          <w:p w14:paraId="7C7A1485" w14:textId="77777777" w:rsidR="001B2E3D" w:rsidRPr="00690F4D" w:rsidRDefault="001B2E3D" w:rsidP="0054652C">
            <w:pPr>
              <w:pStyle w:val="MDPI42tablebody"/>
              <w:rPr>
                <w:lang w:val="en-GB"/>
              </w:rPr>
            </w:pPr>
            <w:r w:rsidRPr="00690F4D">
              <w:rPr>
                <w:lang w:val="en-GB"/>
              </w:rPr>
              <w:t>5.9 (4.5, 9.3)</w:t>
            </w:r>
          </w:p>
        </w:tc>
      </w:tr>
      <w:tr w:rsidR="001B2E3D" w:rsidRPr="00690F4D" w14:paraId="2979768B" w14:textId="77777777" w:rsidTr="0054652C">
        <w:tc>
          <w:tcPr>
            <w:tcW w:w="1985" w:type="dxa"/>
          </w:tcPr>
          <w:p w14:paraId="1EB3308D" w14:textId="77777777" w:rsidR="001B2E3D" w:rsidRPr="00690F4D" w:rsidRDefault="001B2E3D" w:rsidP="0054652C">
            <w:pPr>
              <w:pStyle w:val="MDPI42tablebody"/>
              <w:jc w:val="right"/>
              <w:rPr>
                <w:lang w:val="en-GB"/>
              </w:rPr>
            </w:pPr>
            <w:r w:rsidRPr="00690F4D">
              <w:rPr>
                <w:lang w:val="en-GB"/>
              </w:rPr>
              <w:t>Gleason grade group</w:t>
            </w:r>
          </w:p>
        </w:tc>
        <w:tc>
          <w:tcPr>
            <w:tcW w:w="1984" w:type="dxa"/>
          </w:tcPr>
          <w:p w14:paraId="5B5A4E96" w14:textId="77777777" w:rsidR="001B2E3D" w:rsidRPr="00690F4D" w:rsidRDefault="001B2E3D" w:rsidP="0054652C">
            <w:pPr>
              <w:pStyle w:val="MDPI42tablebody"/>
              <w:rPr>
                <w:lang w:val="en-GB"/>
              </w:rPr>
            </w:pPr>
          </w:p>
        </w:tc>
        <w:tc>
          <w:tcPr>
            <w:tcW w:w="2410" w:type="dxa"/>
          </w:tcPr>
          <w:p w14:paraId="3285C7A1" w14:textId="77777777" w:rsidR="001B2E3D" w:rsidRPr="00690F4D" w:rsidRDefault="001B2E3D" w:rsidP="0054652C">
            <w:pPr>
              <w:pStyle w:val="MDPI42tablebody"/>
              <w:rPr>
                <w:lang w:val="en-GB"/>
              </w:rPr>
            </w:pPr>
          </w:p>
        </w:tc>
        <w:tc>
          <w:tcPr>
            <w:tcW w:w="1985" w:type="dxa"/>
          </w:tcPr>
          <w:p w14:paraId="51483DFC" w14:textId="77777777" w:rsidR="001B2E3D" w:rsidRPr="00690F4D" w:rsidRDefault="001B2E3D" w:rsidP="0054652C">
            <w:pPr>
              <w:pStyle w:val="MDPI42tablebody"/>
              <w:rPr>
                <w:lang w:val="en-GB"/>
              </w:rPr>
            </w:pPr>
          </w:p>
        </w:tc>
        <w:tc>
          <w:tcPr>
            <w:tcW w:w="1984" w:type="dxa"/>
          </w:tcPr>
          <w:p w14:paraId="5B7EC5DC" w14:textId="77777777" w:rsidR="001B2E3D" w:rsidRPr="00690F4D" w:rsidRDefault="001B2E3D" w:rsidP="0054652C">
            <w:pPr>
              <w:pStyle w:val="MDPI42tablebody"/>
              <w:rPr>
                <w:lang w:val="en-GB"/>
              </w:rPr>
            </w:pPr>
          </w:p>
        </w:tc>
      </w:tr>
      <w:tr w:rsidR="001B2E3D" w:rsidRPr="00690F4D" w14:paraId="79A425EF" w14:textId="77777777" w:rsidTr="0054652C">
        <w:tc>
          <w:tcPr>
            <w:tcW w:w="1985" w:type="dxa"/>
          </w:tcPr>
          <w:p w14:paraId="33C5825F" w14:textId="77777777" w:rsidR="001B2E3D" w:rsidRPr="00690F4D" w:rsidRDefault="001B2E3D" w:rsidP="0054652C">
            <w:pPr>
              <w:pStyle w:val="MDPI42tablebody"/>
              <w:jc w:val="right"/>
              <w:rPr>
                <w:lang w:val="en-GB"/>
              </w:rPr>
            </w:pPr>
            <w:r w:rsidRPr="00690F4D">
              <w:rPr>
                <w:lang w:val="en-GB"/>
              </w:rPr>
              <w:t>1</w:t>
            </w:r>
          </w:p>
        </w:tc>
        <w:tc>
          <w:tcPr>
            <w:tcW w:w="1984" w:type="dxa"/>
          </w:tcPr>
          <w:p w14:paraId="3B27421D" w14:textId="77777777" w:rsidR="001B2E3D" w:rsidRPr="00690F4D" w:rsidRDefault="001B2E3D" w:rsidP="0054652C">
            <w:pPr>
              <w:pStyle w:val="MDPI42tablebody"/>
              <w:rPr>
                <w:lang w:val="en-GB"/>
              </w:rPr>
            </w:pPr>
            <w:r w:rsidRPr="00690F4D">
              <w:rPr>
                <w:lang w:val="en-GB"/>
              </w:rPr>
              <w:t>12 (13%)</w:t>
            </w:r>
          </w:p>
        </w:tc>
        <w:tc>
          <w:tcPr>
            <w:tcW w:w="2410" w:type="dxa"/>
          </w:tcPr>
          <w:p w14:paraId="6C2036F0" w14:textId="77777777" w:rsidR="001B2E3D" w:rsidRPr="00690F4D" w:rsidRDefault="001B2E3D" w:rsidP="0054652C">
            <w:pPr>
              <w:pStyle w:val="MDPI42tablebody"/>
              <w:rPr>
                <w:lang w:val="en-GB"/>
              </w:rPr>
            </w:pPr>
            <w:r w:rsidRPr="00690F4D">
              <w:rPr>
                <w:lang w:val="en-GB"/>
              </w:rPr>
              <w:t>29 (27%)</w:t>
            </w:r>
          </w:p>
        </w:tc>
        <w:tc>
          <w:tcPr>
            <w:tcW w:w="1985" w:type="dxa"/>
          </w:tcPr>
          <w:p w14:paraId="2AE87E50" w14:textId="77777777" w:rsidR="001B2E3D" w:rsidRPr="00690F4D" w:rsidRDefault="001B2E3D" w:rsidP="0054652C">
            <w:pPr>
              <w:pStyle w:val="MDPI42tablebody"/>
              <w:rPr>
                <w:lang w:val="en-GB"/>
              </w:rPr>
            </w:pPr>
            <w:r w:rsidRPr="00690F4D">
              <w:rPr>
                <w:lang w:val="en-GB"/>
              </w:rPr>
              <w:t>15 (45%)</w:t>
            </w:r>
          </w:p>
        </w:tc>
        <w:tc>
          <w:tcPr>
            <w:tcW w:w="1984" w:type="dxa"/>
          </w:tcPr>
          <w:p w14:paraId="344296E9" w14:textId="77777777" w:rsidR="001B2E3D" w:rsidRPr="00690F4D" w:rsidRDefault="001B2E3D" w:rsidP="0054652C">
            <w:pPr>
              <w:pStyle w:val="MDPI42tablebody"/>
              <w:rPr>
                <w:lang w:val="en-GB"/>
              </w:rPr>
            </w:pPr>
            <w:r w:rsidRPr="00690F4D">
              <w:rPr>
                <w:lang w:val="en-GB"/>
              </w:rPr>
              <w:t>40 (31%)</w:t>
            </w:r>
          </w:p>
        </w:tc>
      </w:tr>
      <w:tr w:rsidR="001B2E3D" w:rsidRPr="00690F4D" w14:paraId="360D22E0" w14:textId="77777777" w:rsidTr="0054652C">
        <w:tc>
          <w:tcPr>
            <w:tcW w:w="1985" w:type="dxa"/>
          </w:tcPr>
          <w:p w14:paraId="295031FE" w14:textId="77777777" w:rsidR="001B2E3D" w:rsidRPr="00690F4D" w:rsidRDefault="001B2E3D" w:rsidP="0054652C">
            <w:pPr>
              <w:pStyle w:val="MDPI42tablebody"/>
              <w:jc w:val="right"/>
              <w:rPr>
                <w:lang w:val="en-GB"/>
              </w:rPr>
            </w:pPr>
            <w:r w:rsidRPr="00690F4D">
              <w:rPr>
                <w:lang w:val="en-GB"/>
              </w:rPr>
              <w:lastRenderedPageBreak/>
              <w:t>2</w:t>
            </w:r>
          </w:p>
        </w:tc>
        <w:tc>
          <w:tcPr>
            <w:tcW w:w="1984" w:type="dxa"/>
          </w:tcPr>
          <w:p w14:paraId="049AB3F8" w14:textId="77777777" w:rsidR="001B2E3D" w:rsidRPr="00690F4D" w:rsidRDefault="001B2E3D" w:rsidP="0054652C">
            <w:pPr>
              <w:pStyle w:val="MDPI42tablebody"/>
              <w:rPr>
                <w:lang w:val="en-GB"/>
              </w:rPr>
            </w:pPr>
            <w:r w:rsidRPr="00690F4D">
              <w:rPr>
                <w:lang w:val="en-GB"/>
              </w:rPr>
              <w:t>52 (58%)</w:t>
            </w:r>
          </w:p>
        </w:tc>
        <w:tc>
          <w:tcPr>
            <w:tcW w:w="2410" w:type="dxa"/>
          </w:tcPr>
          <w:p w14:paraId="3DF6EAA4" w14:textId="77777777" w:rsidR="001B2E3D" w:rsidRPr="00690F4D" w:rsidRDefault="001B2E3D" w:rsidP="0054652C">
            <w:pPr>
              <w:pStyle w:val="MDPI42tablebody"/>
              <w:rPr>
                <w:lang w:val="en-GB"/>
              </w:rPr>
            </w:pPr>
            <w:r w:rsidRPr="00690F4D">
              <w:rPr>
                <w:lang w:val="en-GB"/>
              </w:rPr>
              <w:t>59 (55%)</w:t>
            </w:r>
          </w:p>
        </w:tc>
        <w:tc>
          <w:tcPr>
            <w:tcW w:w="1985" w:type="dxa"/>
          </w:tcPr>
          <w:p w14:paraId="44945C3C" w14:textId="77777777" w:rsidR="001B2E3D" w:rsidRPr="00690F4D" w:rsidRDefault="001B2E3D" w:rsidP="0054652C">
            <w:pPr>
              <w:pStyle w:val="MDPI42tablebody"/>
              <w:rPr>
                <w:lang w:val="en-GB"/>
              </w:rPr>
            </w:pPr>
            <w:r w:rsidRPr="00690F4D">
              <w:rPr>
                <w:lang w:val="en-GB"/>
              </w:rPr>
              <w:t>0 (0%)</w:t>
            </w:r>
          </w:p>
        </w:tc>
        <w:tc>
          <w:tcPr>
            <w:tcW w:w="1984" w:type="dxa"/>
          </w:tcPr>
          <w:p w14:paraId="0AA34EA7" w14:textId="77777777" w:rsidR="001B2E3D" w:rsidRPr="00690F4D" w:rsidRDefault="001B2E3D" w:rsidP="0054652C">
            <w:pPr>
              <w:pStyle w:val="MDPI42tablebody"/>
              <w:rPr>
                <w:lang w:val="en-GB"/>
              </w:rPr>
            </w:pPr>
            <w:r w:rsidRPr="00690F4D">
              <w:rPr>
                <w:lang w:val="en-GB"/>
              </w:rPr>
              <w:t>53 (41%)</w:t>
            </w:r>
          </w:p>
        </w:tc>
      </w:tr>
      <w:tr w:rsidR="001B2E3D" w:rsidRPr="00690F4D" w14:paraId="21B4527A" w14:textId="77777777" w:rsidTr="0054652C">
        <w:tc>
          <w:tcPr>
            <w:tcW w:w="1985" w:type="dxa"/>
          </w:tcPr>
          <w:p w14:paraId="30FFCCC8" w14:textId="77777777" w:rsidR="001B2E3D" w:rsidRPr="00690F4D" w:rsidRDefault="001B2E3D" w:rsidP="0054652C">
            <w:pPr>
              <w:pStyle w:val="MDPI42tablebody"/>
              <w:jc w:val="right"/>
              <w:rPr>
                <w:lang w:val="en-GB"/>
              </w:rPr>
            </w:pPr>
            <w:r w:rsidRPr="00690F4D">
              <w:rPr>
                <w:lang w:val="en-GB"/>
              </w:rPr>
              <w:t>3</w:t>
            </w:r>
          </w:p>
        </w:tc>
        <w:tc>
          <w:tcPr>
            <w:tcW w:w="1984" w:type="dxa"/>
          </w:tcPr>
          <w:p w14:paraId="605FF397" w14:textId="77777777" w:rsidR="001B2E3D" w:rsidRPr="00690F4D" w:rsidRDefault="001B2E3D" w:rsidP="0054652C">
            <w:pPr>
              <w:pStyle w:val="MDPI42tablebody"/>
              <w:rPr>
                <w:lang w:val="en-GB"/>
              </w:rPr>
            </w:pPr>
            <w:r w:rsidRPr="00690F4D">
              <w:rPr>
                <w:lang w:val="en-GB"/>
              </w:rPr>
              <w:t>16 (18%)</w:t>
            </w:r>
          </w:p>
        </w:tc>
        <w:tc>
          <w:tcPr>
            <w:tcW w:w="2410" w:type="dxa"/>
          </w:tcPr>
          <w:p w14:paraId="5C10C703" w14:textId="77777777" w:rsidR="001B2E3D" w:rsidRPr="00690F4D" w:rsidRDefault="001B2E3D" w:rsidP="0054652C">
            <w:pPr>
              <w:pStyle w:val="MDPI42tablebody"/>
              <w:rPr>
                <w:lang w:val="en-GB"/>
              </w:rPr>
            </w:pPr>
            <w:r w:rsidRPr="00690F4D">
              <w:rPr>
                <w:lang w:val="en-GB"/>
              </w:rPr>
              <w:t>16 (15%)</w:t>
            </w:r>
          </w:p>
        </w:tc>
        <w:tc>
          <w:tcPr>
            <w:tcW w:w="1985" w:type="dxa"/>
          </w:tcPr>
          <w:p w14:paraId="0AAFB228" w14:textId="77777777" w:rsidR="001B2E3D" w:rsidRPr="00690F4D" w:rsidRDefault="001B2E3D" w:rsidP="0054652C">
            <w:pPr>
              <w:pStyle w:val="MDPI42tablebody"/>
              <w:rPr>
                <w:lang w:val="en-GB"/>
              </w:rPr>
            </w:pPr>
            <w:r w:rsidRPr="00690F4D">
              <w:rPr>
                <w:lang w:val="en-GB"/>
              </w:rPr>
              <w:t>0 (0%)</w:t>
            </w:r>
          </w:p>
        </w:tc>
        <w:tc>
          <w:tcPr>
            <w:tcW w:w="1984" w:type="dxa"/>
          </w:tcPr>
          <w:p w14:paraId="115269DF" w14:textId="77777777" w:rsidR="001B2E3D" w:rsidRPr="00690F4D" w:rsidRDefault="001B2E3D" w:rsidP="0054652C">
            <w:pPr>
              <w:pStyle w:val="MDPI42tablebody"/>
              <w:rPr>
                <w:lang w:val="en-GB"/>
              </w:rPr>
            </w:pPr>
            <w:r w:rsidRPr="00690F4D">
              <w:rPr>
                <w:lang w:val="en-GB"/>
              </w:rPr>
              <w:t>21 (16%)</w:t>
            </w:r>
          </w:p>
        </w:tc>
      </w:tr>
      <w:tr w:rsidR="001B2E3D" w:rsidRPr="00690F4D" w14:paraId="416A4E58" w14:textId="77777777" w:rsidTr="0054652C">
        <w:tc>
          <w:tcPr>
            <w:tcW w:w="1985" w:type="dxa"/>
          </w:tcPr>
          <w:p w14:paraId="1DCCCA38" w14:textId="77777777" w:rsidR="001B2E3D" w:rsidRPr="00690F4D" w:rsidRDefault="001B2E3D" w:rsidP="0054652C">
            <w:pPr>
              <w:pStyle w:val="MDPI42tablebody"/>
              <w:jc w:val="right"/>
              <w:rPr>
                <w:lang w:val="en-GB"/>
              </w:rPr>
            </w:pPr>
            <w:r w:rsidRPr="00690F4D">
              <w:rPr>
                <w:lang w:val="en-GB"/>
              </w:rPr>
              <w:t>4</w:t>
            </w:r>
          </w:p>
        </w:tc>
        <w:tc>
          <w:tcPr>
            <w:tcW w:w="1984" w:type="dxa"/>
          </w:tcPr>
          <w:p w14:paraId="54768D26" w14:textId="77777777" w:rsidR="001B2E3D" w:rsidRPr="00690F4D" w:rsidRDefault="001B2E3D" w:rsidP="0054652C">
            <w:pPr>
              <w:pStyle w:val="MDPI42tablebody"/>
              <w:rPr>
                <w:lang w:val="en-GB"/>
              </w:rPr>
            </w:pPr>
            <w:r w:rsidRPr="00690F4D">
              <w:rPr>
                <w:lang w:val="en-GB"/>
              </w:rPr>
              <w:t>8 (9.0%)</w:t>
            </w:r>
          </w:p>
        </w:tc>
        <w:tc>
          <w:tcPr>
            <w:tcW w:w="2410" w:type="dxa"/>
          </w:tcPr>
          <w:p w14:paraId="6311DD98" w14:textId="77777777" w:rsidR="001B2E3D" w:rsidRPr="00690F4D" w:rsidRDefault="001B2E3D" w:rsidP="0054652C">
            <w:pPr>
              <w:pStyle w:val="MDPI42tablebody"/>
              <w:rPr>
                <w:lang w:val="en-GB"/>
              </w:rPr>
            </w:pPr>
            <w:r w:rsidRPr="00690F4D">
              <w:rPr>
                <w:lang w:val="en-GB"/>
              </w:rPr>
              <w:t>1 (0.9%)</w:t>
            </w:r>
          </w:p>
        </w:tc>
        <w:tc>
          <w:tcPr>
            <w:tcW w:w="1985" w:type="dxa"/>
          </w:tcPr>
          <w:p w14:paraId="3F6EF48C" w14:textId="77777777" w:rsidR="001B2E3D" w:rsidRPr="00690F4D" w:rsidRDefault="001B2E3D" w:rsidP="0054652C">
            <w:pPr>
              <w:pStyle w:val="MDPI42tablebody"/>
              <w:rPr>
                <w:lang w:val="en-GB"/>
              </w:rPr>
            </w:pPr>
            <w:r w:rsidRPr="00690F4D">
              <w:rPr>
                <w:lang w:val="en-GB"/>
              </w:rPr>
              <w:t>10 (30%)</w:t>
            </w:r>
          </w:p>
        </w:tc>
        <w:tc>
          <w:tcPr>
            <w:tcW w:w="1984" w:type="dxa"/>
          </w:tcPr>
          <w:p w14:paraId="1EA88105" w14:textId="77777777" w:rsidR="001B2E3D" w:rsidRPr="00690F4D" w:rsidRDefault="001B2E3D" w:rsidP="0054652C">
            <w:pPr>
              <w:pStyle w:val="MDPI42tablebody"/>
              <w:rPr>
                <w:lang w:val="en-GB"/>
              </w:rPr>
            </w:pPr>
            <w:r w:rsidRPr="00690F4D">
              <w:rPr>
                <w:lang w:val="en-GB"/>
              </w:rPr>
              <w:t>8 (6.2%)</w:t>
            </w:r>
          </w:p>
        </w:tc>
      </w:tr>
      <w:tr w:rsidR="001B2E3D" w:rsidRPr="00690F4D" w14:paraId="6B4D4B8D" w14:textId="77777777" w:rsidTr="0054652C">
        <w:tc>
          <w:tcPr>
            <w:tcW w:w="1985" w:type="dxa"/>
          </w:tcPr>
          <w:p w14:paraId="264C6248" w14:textId="77777777" w:rsidR="001B2E3D" w:rsidRPr="00690F4D" w:rsidRDefault="001B2E3D" w:rsidP="0054652C">
            <w:pPr>
              <w:pStyle w:val="MDPI42tablebody"/>
              <w:jc w:val="right"/>
              <w:rPr>
                <w:lang w:val="en-GB"/>
              </w:rPr>
            </w:pPr>
            <w:r w:rsidRPr="00690F4D">
              <w:rPr>
                <w:lang w:val="en-GB"/>
              </w:rPr>
              <w:t>5</w:t>
            </w:r>
          </w:p>
        </w:tc>
        <w:tc>
          <w:tcPr>
            <w:tcW w:w="1984" w:type="dxa"/>
          </w:tcPr>
          <w:p w14:paraId="5B63359A" w14:textId="77777777" w:rsidR="001B2E3D" w:rsidRPr="00690F4D" w:rsidRDefault="001B2E3D" w:rsidP="0054652C">
            <w:pPr>
              <w:pStyle w:val="MDPI42tablebody"/>
              <w:rPr>
                <w:lang w:val="en-GB"/>
              </w:rPr>
            </w:pPr>
            <w:r w:rsidRPr="00690F4D">
              <w:rPr>
                <w:lang w:val="en-GB"/>
              </w:rPr>
              <w:t>1 (1.1%)</w:t>
            </w:r>
          </w:p>
        </w:tc>
        <w:tc>
          <w:tcPr>
            <w:tcW w:w="2410" w:type="dxa"/>
          </w:tcPr>
          <w:p w14:paraId="080C3FCC" w14:textId="77777777" w:rsidR="001B2E3D" w:rsidRPr="00690F4D" w:rsidRDefault="001B2E3D" w:rsidP="0054652C">
            <w:pPr>
              <w:pStyle w:val="MDPI42tablebody"/>
              <w:rPr>
                <w:lang w:val="en-GB"/>
              </w:rPr>
            </w:pPr>
            <w:r w:rsidRPr="00690F4D">
              <w:rPr>
                <w:lang w:val="en-GB"/>
              </w:rPr>
              <w:t>3 (2.8%)</w:t>
            </w:r>
          </w:p>
        </w:tc>
        <w:tc>
          <w:tcPr>
            <w:tcW w:w="1985" w:type="dxa"/>
          </w:tcPr>
          <w:p w14:paraId="58F82955" w14:textId="77777777" w:rsidR="001B2E3D" w:rsidRPr="00690F4D" w:rsidRDefault="001B2E3D" w:rsidP="0054652C">
            <w:pPr>
              <w:pStyle w:val="MDPI42tablebody"/>
              <w:rPr>
                <w:lang w:val="en-GB"/>
              </w:rPr>
            </w:pPr>
            <w:r w:rsidRPr="00690F4D">
              <w:rPr>
                <w:lang w:val="en-GB"/>
              </w:rPr>
              <w:t>8 (24%)</w:t>
            </w:r>
          </w:p>
        </w:tc>
        <w:tc>
          <w:tcPr>
            <w:tcW w:w="1984" w:type="dxa"/>
          </w:tcPr>
          <w:p w14:paraId="435692DF" w14:textId="77777777" w:rsidR="001B2E3D" w:rsidRPr="00690F4D" w:rsidRDefault="001B2E3D" w:rsidP="0054652C">
            <w:pPr>
              <w:pStyle w:val="MDPI42tablebody"/>
              <w:rPr>
                <w:lang w:val="en-GB"/>
              </w:rPr>
            </w:pPr>
            <w:r w:rsidRPr="00690F4D">
              <w:rPr>
                <w:lang w:val="en-GB"/>
              </w:rPr>
              <w:t>7 (5.4%)</w:t>
            </w:r>
          </w:p>
        </w:tc>
      </w:tr>
      <w:tr w:rsidR="001B2E3D" w:rsidRPr="00690F4D" w14:paraId="0B66635A" w14:textId="77777777" w:rsidTr="0054652C">
        <w:tc>
          <w:tcPr>
            <w:tcW w:w="1985" w:type="dxa"/>
            <w:shd w:val="clear" w:color="auto" w:fill="D9D9D9" w:themeFill="background1" w:themeFillShade="D9"/>
          </w:tcPr>
          <w:p w14:paraId="0F585890" w14:textId="77777777" w:rsidR="001B2E3D" w:rsidRPr="00690F4D" w:rsidRDefault="001B2E3D" w:rsidP="0054652C">
            <w:pPr>
              <w:pStyle w:val="MDPI42tablebody"/>
              <w:jc w:val="right"/>
              <w:rPr>
                <w:lang w:val="en-GB"/>
              </w:rPr>
            </w:pPr>
            <w:r w:rsidRPr="00690F4D">
              <w:rPr>
                <w:lang w:val="en-GB"/>
              </w:rPr>
              <w:t>T Stage</w:t>
            </w:r>
          </w:p>
        </w:tc>
        <w:tc>
          <w:tcPr>
            <w:tcW w:w="1984" w:type="dxa"/>
            <w:shd w:val="clear" w:color="auto" w:fill="D9D9D9" w:themeFill="background1" w:themeFillShade="D9"/>
          </w:tcPr>
          <w:p w14:paraId="4B4A3500" w14:textId="77777777" w:rsidR="001B2E3D" w:rsidRPr="00690F4D" w:rsidRDefault="001B2E3D" w:rsidP="0054652C">
            <w:pPr>
              <w:pStyle w:val="MDPI42tablebody"/>
              <w:rPr>
                <w:lang w:val="en-GB"/>
              </w:rPr>
            </w:pPr>
          </w:p>
        </w:tc>
        <w:tc>
          <w:tcPr>
            <w:tcW w:w="2410" w:type="dxa"/>
            <w:shd w:val="clear" w:color="auto" w:fill="D9D9D9" w:themeFill="background1" w:themeFillShade="D9"/>
          </w:tcPr>
          <w:p w14:paraId="78E00CAD" w14:textId="77777777" w:rsidR="001B2E3D" w:rsidRPr="00690F4D" w:rsidRDefault="001B2E3D" w:rsidP="0054652C">
            <w:pPr>
              <w:pStyle w:val="MDPI42tablebody"/>
              <w:rPr>
                <w:lang w:val="en-GB"/>
              </w:rPr>
            </w:pPr>
          </w:p>
        </w:tc>
        <w:tc>
          <w:tcPr>
            <w:tcW w:w="1985" w:type="dxa"/>
            <w:shd w:val="clear" w:color="auto" w:fill="D9D9D9" w:themeFill="background1" w:themeFillShade="D9"/>
          </w:tcPr>
          <w:p w14:paraId="46533438" w14:textId="77777777" w:rsidR="001B2E3D" w:rsidRPr="00690F4D" w:rsidRDefault="001B2E3D" w:rsidP="0054652C">
            <w:pPr>
              <w:pStyle w:val="MDPI42tablebody"/>
              <w:rPr>
                <w:lang w:val="en-GB"/>
              </w:rPr>
            </w:pPr>
          </w:p>
        </w:tc>
        <w:tc>
          <w:tcPr>
            <w:tcW w:w="1984" w:type="dxa"/>
            <w:shd w:val="clear" w:color="auto" w:fill="D9D9D9" w:themeFill="background1" w:themeFillShade="D9"/>
          </w:tcPr>
          <w:p w14:paraId="01072D6D" w14:textId="77777777" w:rsidR="001B2E3D" w:rsidRPr="00690F4D" w:rsidRDefault="001B2E3D" w:rsidP="0054652C">
            <w:pPr>
              <w:pStyle w:val="MDPI42tablebody"/>
              <w:rPr>
                <w:lang w:val="en-GB"/>
              </w:rPr>
            </w:pPr>
          </w:p>
        </w:tc>
      </w:tr>
      <w:tr w:rsidR="001B2E3D" w:rsidRPr="00690F4D" w14:paraId="77D919F7" w14:textId="77777777" w:rsidTr="0054652C">
        <w:tc>
          <w:tcPr>
            <w:tcW w:w="1985" w:type="dxa"/>
            <w:shd w:val="clear" w:color="auto" w:fill="D9D9D9" w:themeFill="background1" w:themeFillShade="D9"/>
          </w:tcPr>
          <w:p w14:paraId="71FE2260" w14:textId="77777777" w:rsidR="001B2E3D" w:rsidRPr="00690F4D" w:rsidRDefault="001B2E3D" w:rsidP="0054652C">
            <w:pPr>
              <w:pStyle w:val="MDPI42tablebody"/>
              <w:jc w:val="right"/>
              <w:rPr>
                <w:lang w:val="en-GB"/>
              </w:rPr>
            </w:pPr>
            <w:r w:rsidRPr="00690F4D">
              <w:rPr>
                <w:lang w:val="en-GB"/>
              </w:rPr>
              <w:t>1</w:t>
            </w:r>
          </w:p>
        </w:tc>
        <w:tc>
          <w:tcPr>
            <w:tcW w:w="1984" w:type="dxa"/>
            <w:shd w:val="clear" w:color="auto" w:fill="D9D9D9" w:themeFill="background1" w:themeFillShade="D9"/>
          </w:tcPr>
          <w:p w14:paraId="3D79A86F" w14:textId="77777777" w:rsidR="001B2E3D" w:rsidRPr="00690F4D" w:rsidRDefault="001B2E3D" w:rsidP="0054652C">
            <w:pPr>
              <w:pStyle w:val="MDPI42tablebody"/>
              <w:rPr>
                <w:lang w:val="en-GB"/>
              </w:rPr>
            </w:pPr>
            <w:r w:rsidRPr="00690F4D">
              <w:rPr>
                <w:lang w:val="en-GB"/>
              </w:rPr>
              <w:t>48 (54%)</w:t>
            </w:r>
          </w:p>
        </w:tc>
        <w:tc>
          <w:tcPr>
            <w:tcW w:w="2410" w:type="dxa"/>
            <w:shd w:val="clear" w:color="auto" w:fill="D9D9D9" w:themeFill="background1" w:themeFillShade="D9"/>
          </w:tcPr>
          <w:p w14:paraId="7F3F8D9A" w14:textId="77777777" w:rsidR="001B2E3D" w:rsidRPr="00690F4D" w:rsidRDefault="001B2E3D" w:rsidP="0054652C">
            <w:pPr>
              <w:pStyle w:val="MDPI42tablebody"/>
              <w:rPr>
                <w:lang w:val="en-GB"/>
              </w:rPr>
            </w:pPr>
            <w:r w:rsidRPr="00690F4D">
              <w:rPr>
                <w:lang w:val="en-GB"/>
              </w:rPr>
              <w:t>1 (0.9%)</w:t>
            </w:r>
          </w:p>
        </w:tc>
        <w:tc>
          <w:tcPr>
            <w:tcW w:w="1985" w:type="dxa"/>
            <w:shd w:val="clear" w:color="auto" w:fill="D9D9D9" w:themeFill="background1" w:themeFillShade="D9"/>
          </w:tcPr>
          <w:p w14:paraId="442840A2" w14:textId="77777777" w:rsidR="001B2E3D" w:rsidRPr="00690F4D" w:rsidRDefault="001B2E3D" w:rsidP="0054652C">
            <w:pPr>
              <w:pStyle w:val="MDPI42tablebody"/>
              <w:rPr>
                <w:lang w:val="en-GB"/>
              </w:rPr>
            </w:pPr>
            <w:r w:rsidRPr="00690F4D">
              <w:rPr>
                <w:lang w:val="en-GB"/>
              </w:rPr>
              <w:t>19 (58%)</w:t>
            </w:r>
          </w:p>
        </w:tc>
        <w:tc>
          <w:tcPr>
            <w:tcW w:w="1984" w:type="dxa"/>
            <w:shd w:val="clear" w:color="auto" w:fill="D9D9D9" w:themeFill="background1" w:themeFillShade="D9"/>
          </w:tcPr>
          <w:p w14:paraId="57447213" w14:textId="77777777" w:rsidR="001B2E3D" w:rsidRPr="00690F4D" w:rsidRDefault="001B2E3D" w:rsidP="0054652C">
            <w:pPr>
              <w:pStyle w:val="MDPI42tablebody"/>
              <w:rPr>
                <w:lang w:val="en-GB"/>
              </w:rPr>
            </w:pPr>
            <w:r w:rsidRPr="00690F4D">
              <w:rPr>
                <w:lang w:val="en-GB"/>
              </w:rPr>
              <w:t>0 (0%)</w:t>
            </w:r>
          </w:p>
        </w:tc>
      </w:tr>
      <w:tr w:rsidR="001B2E3D" w:rsidRPr="00690F4D" w14:paraId="5AB84874" w14:textId="77777777" w:rsidTr="0054652C">
        <w:tc>
          <w:tcPr>
            <w:tcW w:w="1985" w:type="dxa"/>
            <w:shd w:val="clear" w:color="auto" w:fill="D9D9D9" w:themeFill="background1" w:themeFillShade="D9"/>
          </w:tcPr>
          <w:p w14:paraId="5EC61B7B" w14:textId="77777777" w:rsidR="001B2E3D" w:rsidRPr="00690F4D" w:rsidRDefault="001B2E3D" w:rsidP="0054652C">
            <w:pPr>
              <w:pStyle w:val="MDPI42tablebody"/>
              <w:jc w:val="right"/>
              <w:rPr>
                <w:lang w:val="en-GB"/>
              </w:rPr>
            </w:pPr>
            <w:r w:rsidRPr="00690F4D">
              <w:rPr>
                <w:lang w:val="en-GB"/>
              </w:rPr>
              <w:t>2</w:t>
            </w:r>
          </w:p>
        </w:tc>
        <w:tc>
          <w:tcPr>
            <w:tcW w:w="1984" w:type="dxa"/>
            <w:shd w:val="clear" w:color="auto" w:fill="D9D9D9" w:themeFill="background1" w:themeFillShade="D9"/>
          </w:tcPr>
          <w:p w14:paraId="7119162C" w14:textId="77777777" w:rsidR="001B2E3D" w:rsidRPr="00690F4D" w:rsidRDefault="001B2E3D" w:rsidP="0054652C">
            <w:pPr>
              <w:pStyle w:val="MDPI42tablebody"/>
              <w:rPr>
                <w:lang w:val="en-GB"/>
              </w:rPr>
            </w:pPr>
            <w:r w:rsidRPr="00690F4D">
              <w:rPr>
                <w:lang w:val="en-GB"/>
              </w:rPr>
              <w:t>28 (31%)</w:t>
            </w:r>
          </w:p>
        </w:tc>
        <w:tc>
          <w:tcPr>
            <w:tcW w:w="2410" w:type="dxa"/>
            <w:shd w:val="clear" w:color="auto" w:fill="D9D9D9" w:themeFill="background1" w:themeFillShade="D9"/>
          </w:tcPr>
          <w:p w14:paraId="6A7483AD" w14:textId="77777777" w:rsidR="001B2E3D" w:rsidRPr="00690F4D" w:rsidRDefault="001B2E3D" w:rsidP="0054652C">
            <w:pPr>
              <w:pStyle w:val="MDPI42tablebody"/>
              <w:rPr>
                <w:lang w:val="en-GB"/>
              </w:rPr>
            </w:pPr>
            <w:r w:rsidRPr="00690F4D">
              <w:rPr>
                <w:lang w:val="en-GB"/>
              </w:rPr>
              <w:t>58 (54%)</w:t>
            </w:r>
          </w:p>
        </w:tc>
        <w:tc>
          <w:tcPr>
            <w:tcW w:w="1985" w:type="dxa"/>
            <w:shd w:val="clear" w:color="auto" w:fill="D9D9D9" w:themeFill="background1" w:themeFillShade="D9"/>
          </w:tcPr>
          <w:p w14:paraId="12EC810E" w14:textId="77777777" w:rsidR="001B2E3D" w:rsidRPr="00690F4D" w:rsidRDefault="001B2E3D" w:rsidP="0054652C">
            <w:pPr>
              <w:pStyle w:val="MDPI42tablebody"/>
              <w:rPr>
                <w:lang w:val="en-GB"/>
              </w:rPr>
            </w:pPr>
            <w:r w:rsidRPr="00690F4D">
              <w:rPr>
                <w:lang w:val="en-GB"/>
              </w:rPr>
              <w:t>13 (39%)</w:t>
            </w:r>
          </w:p>
        </w:tc>
        <w:tc>
          <w:tcPr>
            <w:tcW w:w="1984" w:type="dxa"/>
            <w:shd w:val="clear" w:color="auto" w:fill="D9D9D9" w:themeFill="background1" w:themeFillShade="D9"/>
          </w:tcPr>
          <w:p w14:paraId="161FBD92" w14:textId="77777777" w:rsidR="001B2E3D" w:rsidRPr="00690F4D" w:rsidRDefault="001B2E3D" w:rsidP="0054652C">
            <w:pPr>
              <w:pStyle w:val="MDPI42tablebody"/>
              <w:rPr>
                <w:lang w:val="en-GB"/>
              </w:rPr>
            </w:pPr>
            <w:r w:rsidRPr="00690F4D">
              <w:rPr>
                <w:lang w:val="en-GB"/>
              </w:rPr>
              <w:t>84 (65%)</w:t>
            </w:r>
          </w:p>
        </w:tc>
      </w:tr>
      <w:tr w:rsidR="001B2E3D" w:rsidRPr="00690F4D" w14:paraId="6DC2B49E" w14:textId="77777777" w:rsidTr="0054652C">
        <w:tc>
          <w:tcPr>
            <w:tcW w:w="1985" w:type="dxa"/>
            <w:shd w:val="clear" w:color="auto" w:fill="D9D9D9" w:themeFill="background1" w:themeFillShade="D9"/>
          </w:tcPr>
          <w:p w14:paraId="6AC06FBE" w14:textId="77777777" w:rsidR="001B2E3D" w:rsidRPr="00690F4D" w:rsidRDefault="001B2E3D" w:rsidP="0054652C">
            <w:pPr>
              <w:pStyle w:val="MDPI42tablebody"/>
              <w:jc w:val="right"/>
              <w:rPr>
                <w:lang w:val="en-GB"/>
              </w:rPr>
            </w:pPr>
            <w:r w:rsidRPr="00690F4D">
              <w:rPr>
                <w:lang w:val="en-GB"/>
              </w:rPr>
              <w:t>3</w:t>
            </w:r>
          </w:p>
        </w:tc>
        <w:tc>
          <w:tcPr>
            <w:tcW w:w="1984" w:type="dxa"/>
            <w:shd w:val="clear" w:color="auto" w:fill="D9D9D9" w:themeFill="background1" w:themeFillShade="D9"/>
          </w:tcPr>
          <w:p w14:paraId="738BB18C" w14:textId="77777777" w:rsidR="001B2E3D" w:rsidRPr="00690F4D" w:rsidRDefault="001B2E3D" w:rsidP="0054652C">
            <w:pPr>
              <w:pStyle w:val="MDPI42tablebody"/>
              <w:rPr>
                <w:lang w:val="en-GB"/>
              </w:rPr>
            </w:pPr>
            <w:r w:rsidRPr="00690F4D">
              <w:rPr>
                <w:lang w:val="en-GB"/>
              </w:rPr>
              <w:t>13 (15%)</w:t>
            </w:r>
          </w:p>
        </w:tc>
        <w:tc>
          <w:tcPr>
            <w:tcW w:w="2410" w:type="dxa"/>
            <w:shd w:val="clear" w:color="auto" w:fill="D9D9D9" w:themeFill="background1" w:themeFillShade="D9"/>
          </w:tcPr>
          <w:p w14:paraId="51274CC8" w14:textId="77777777" w:rsidR="001B2E3D" w:rsidRPr="00690F4D" w:rsidRDefault="001B2E3D" w:rsidP="0054652C">
            <w:pPr>
              <w:pStyle w:val="MDPI42tablebody"/>
              <w:rPr>
                <w:lang w:val="en-GB"/>
              </w:rPr>
            </w:pPr>
            <w:r w:rsidRPr="00690F4D">
              <w:rPr>
                <w:lang w:val="en-GB"/>
              </w:rPr>
              <w:t>49 (45%)</w:t>
            </w:r>
          </w:p>
        </w:tc>
        <w:tc>
          <w:tcPr>
            <w:tcW w:w="1985" w:type="dxa"/>
            <w:shd w:val="clear" w:color="auto" w:fill="D9D9D9" w:themeFill="background1" w:themeFillShade="D9"/>
          </w:tcPr>
          <w:p w14:paraId="6BB9777C" w14:textId="77777777" w:rsidR="001B2E3D" w:rsidRPr="00690F4D" w:rsidRDefault="001B2E3D" w:rsidP="0054652C">
            <w:pPr>
              <w:pStyle w:val="MDPI42tablebody"/>
              <w:rPr>
                <w:lang w:val="en-GB"/>
              </w:rPr>
            </w:pPr>
            <w:r w:rsidRPr="00690F4D">
              <w:rPr>
                <w:lang w:val="en-GB"/>
              </w:rPr>
              <w:t>1 (3.0%)</w:t>
            </w:r>
          </w:p>
        </w:tc>
        <w:tc>
          <w:tcPr>
            <w:tcW w:w="1984" w:type="dxa"/>
            <w:shd w:val="clear" w:color="auto" w:fill="D9D9D9" w:themeFill="background1" w:themeFillShade="D9"/>
          </w:tcPr>
          <w:p w14:paraId="4529C04A" w14:textId="77777777" w:rsidR="001B2E3D" w:rsidRPr="00690F4D" w:rsidRDefault="001B2E3D" w:rsidP="0054652C">
            <w:pPr>
              <w:pStyle w:val="MDPI42tablebody"/>
              <w:rPr>
                <w:lang w:val="en-GB"/>
              </w:rPr>
            </w:pPr>
            <w:r w:rsidRPr="00690F4D">
              <w:rPr>
                <w:lang w:val="en-GB"/>
              </w:rPr>
              <w:t>39 (30%)</w:t>
            </w:r>
          </w:p>
        </w:tc>
      </w:tr>
      <w:tr w:rsidR="001B2E3D" w:rsidRPr="00690F4D" w14:paraId="5D025115" w14:textId="77777777" w:rsidTr="0054652C">
        <w:tc>
          <w:tcPr>
            <w:tcW w:w="1985" w:type="dxa"/>
            <w:shd w:val="clear" w:color="auto" w:fill="D9D9D9" w:themeFill="background1" w:themeFillShade="D9"/>
          </w:tcPr>
          <w:p w14:paraId="6197F427" w14:textId="77777777" w:rsidR="001B2E3D" w:rsidRPr="00690F4D" w:rsidRDefault="001B2E3D" w:rsidP="0054652C">
            <w:pPr>
              <w:pStyle w:val="MDPI42tablebody"/>
              <w:jc w:val="right"/>
              <w:rPr>
                <w:lang w:val="en-GB"/>
              </w:rPr>
            </w:pPr>
            <w:r w:rsidRPr="00690F4D">
              <w:rPr>
                <w:lang w:val="en-GB"/>
              </w:rPr>
              <w:t>4</w:t>
            </w:r>
          </w:p>
        </w:tc>
        <w:tc>
          <w:tcPr>
            <w:tcW w:w="1984" w:type="dxa"/>
            <w:shd w:val="clear" w:color="auto" w:fill="D9D9D9" w:themeFill="background1" w:themeFillShade="D9"/>
          </w:tcPr>
          <w:p w14:paraId="1D7E6598" w14:textId="77777777" w:rsidR="001B2E3D" w:rsidRPr="00690F4D" w:rsidRDefault="001B2E3D" w:rsidP="0054652C">
            <w:pPr>
              <w:pStyle w:val="MDPI42tablebody"/>
              <w:rPr>
                <w:lang w:val="en-GB"/>
              </w:rPr>
            </w:pPr>
            <w:r w:rsidRPr="00690F4D">
              <w:rPr>
                <w:lang w:val="en-GB"/>
              </w:rPr>
              <w:t>0 (0%)</w:t>
            </w:r>
          </w:p>
        </w:tc>
        <w:tc>
          <w:tcPr>
            <w:tcW w:w="2410" w:type="dxa"/>
            <w:shd w:val="clear" w:color="auto" w:fill="D9D9D9" w:themeFill="background1" w:themeFillShade="D9"/>
          </w:tcPr>
          <w:p w14:paraId="150C4180" w14:textId="77777777" w:rsidR="001B2E3D" w:rsidRPr="00690F4D" w:rsidRDefault="001B2E3D" w:rsidP="0054652C">
            <w:pPr>
              <w:pStyle w:val="MDPI42tablebody"/>
              <w:rPr>
                <w:lang w:val="en-GB"/>
              </w:rPr>
            </w:pPr>
            <w:r w:rsidRPr="00690F4D">
              <w:rPr>
                <w:lang w:val="en-GB"/>
              </w:rPr>
              <w:t>0 (0%)</w:t>
            </w:r>
          </w:p>
        </w:tc>
        <w:tc>
          <w:tcPr>
            <w:tcW w:w="1985" w:type="dxa"/>
            <w:shd w:val="clear" w:color="auto" w:fill="D9D9D9" w:themeFill="background1" w:themeFillShade="D9"/>
          </w:tcPr>
          <w:p w14:paraId="123997B5" w14:textId="77777777" w:rsidR="001B2E3D" w:rsidRPr="00690F4D" w:rsidRDefault="001B2E3D" w:rsidP="0054652C">
            <w:pPr>
              <w:pStyle w:val="MDPI42tablebody"/>
              <w:rPr>
                <w:lang w:val="en-GB"/>
              </w:rPr>
            </w:pPr>
            <w:r w:rsidRPr="00690F4D">
              <w:rPr>
                <w:lang w:val="en-GB"/>
              </w:rPr>
              <w:t>0 (0%)</w:t>
            </w:r>
          </w:p>
        </w:tc>
        <w:tc>
          <w:tcPr>
            <w:tcW w:w="1984" w:type="dxa"/>
            <w:shd w:val="clear" w:color="auto" w:fill="D9D9D9" w:themeFill="background1" w:themeFillShade="D9"/>
          </w:tcPr>
          <w:p w14:paraId="467DA3D1" w14:textId="77777777" w:rsidR="001B2E3D" w:rsidRPr="00690F4D" w:rsidRDefault="001B2E3D" w:rsidP="0054652C">
            <w:pPr>
              <w:pStyle w:val="MDPI42tablebody"/>
              <w:rPr>
                <w:lang w:val="en-GB"/>
              </w:rPr>
            </w:pPr>
            <w:r w:rsidRPr="00690F4D">
              <w:rPr>
                <w:lang w:val="en-GB"/>
              </w:rPr>
              <w:t>6 (4.7%)</w:t>
            </w:r>
          </w:p>
        </w:tc>
      </w:tr>
      <w:tr w:rsidR="001B2E3D" w:rsidRPr="00690F4D" w14:paraId="3A00C8F0" w14:textId="77777777" w:rsidTr="0054652C">
        <w:tc>
          <w:tcPr>
            <w:tcW w:w="1985" w:type="dxa"/>
          </w:tcPr>
          <w:p w14:paraId="3CED6965" w14:textId="77777777" w:rsidR="001B2E3D" w:rsidRPr="00690F4D" w:rsidRDefault="001B2E3D" w:rsidP="0054652C">
            <w:pPr>
              <w:pStyle w:val="MDPI42tablebody"/>
              <w:jc w:val="right"/>
              <w:rPr>
                <w:lang w:val="en-GB"/>
              </w:rPr>
            </w:pPr>
            <w:r w:rsidRPr="00690F4D">
              <w:rPr>
                <w:lang w:val="en-GB"/>
              </w:rPr>
              <w:t>BCR/Follow up (in months)</w:t>
            </w:r>
          </w:p>
        </w:tc>
        <w:tc>
          <w:tcPr>
            <w:tcW w:w="1984" w:type="dxa"/>
          </w:tcPr>
          <w:p w14:paraId="7AF12E91" w14:textId="77777777" w:rsidR="001B2E3D" w:rsidRPr="00690F4D" w:rsidRDefault="001B2E3D" w:rsidP="0054652C">
            <w:pPr>
              <w:pStyle w:val="MDPI42tablebody"/>
              <w:rPr>
                <w:lang w:val="en-GB"/>
              </w:rPr>
            </w:pPr>
            <w:r w:rsidRPr="00690F4D">
              <w:rPr>
                <w:lang w:val="en-GB"/>
              </w:rPr>
              <w:t>23 (15, 41)</w:t>
            </w:r>
          </w:p>
        </w:tc>
        <w:tc>
          <w:tcPr>
            <w:tcW w:w="2410" w:type="dxa"/>
          </w:tcPr>
          <w:p w14:paraId="11945994" w14:textId="77777777" w:rsidR="001B2E3D" w:rsidRPr="00690F4D" w:rsidRDefault="001B2E3D" w:rsidP="0054652C">
            <w:pPr>
              <w:pStyle w:val="MDPI42tablebody"/>
              <w:rPr>
                <w:lang w:val="en-GB"/>
              </w:rPr>
            </w:pPr>
            <w:r w:rsidRPr="00690F4D">
              <w:rPr>
                <w:lang w:val="en-GB"/>
              </w:rPr>
              <w:t>55 (32, 64)</w:t>
            </w:r>
          </w:p>
        </w:tc>
        <w:tc>
          <w:tcPr>
            <w:tcW w:w="1985" w:type="dxa"/>
          </w:tcPr>
          <w:p w14:paraId="033D41A2" w14:textId="77777777" w:rsidR="001B2E3D" w:rsidRPr="00690F4D" w:rsidRDefault="001B2E3D" w:rsidP="0054652C">
            <w:pPr>
              <w:pStyle w:val="MDPI42tablebody"/>
              <w:rPr>
                <w:lang w:val="en-GB"/>
              </w:rPr>
            </w:pPr>
            <w:r w:rsidRPr="00690F4D">
              <w:rPr>
                <w:lang w:val="en-GB"/>
              </w:rPr>
              <w:t>56 (12, 70)</w:t>
            </w:r>
          </w:p>
        </w:tc>
        <w:tc>
          <w:tcPr>
            <w:tcW w:w="1984" w:type="dxa"/>
          </w:tcPr>
          <w:p w14:paraId="600BA689" w14:textId="77777777" w:rsidR="001B2E3D" w:rsidRPr="00690F4D" w:rsidRDefault="001B2E3D" w:rsidP="0054652C">
            <w:pPr>
              <w:pStyle w:val="MDPI42tablebody"/>
              <w:rPr>
                <w:lang w:val="en-GB"/>
              </w:rPr>
            </w:pPr>
            <w:r w:rsidRPr="00690F4D">
              <w:rPr>
                <w:lang w:val="en-GB"/>
              </w:rPr>
              <w:t>47 (28, 62)</w:t>
            </w:r>
          </w:p>
        </w:tc>
      </w:tr>
      <w:tr w:rsidR="001B2E3D" w:rsidRPr="00690F4D" w14:paraId="44A6DEF7" w14:textId="77777777" w:rsidTr="0054652C">
        <w:tc>
          <w:tcPr>
            <w:tcW w:w="1985" w:type="dxa"/>
            <w:shd w:val="clear" w:color="auto" w:fill="D9D9D9" w:themeFill="background1" w:themeFillShade="D9"/>
          </w:tcPr>
          <w:p w14:paraId="4B2970A2" w14:textId="77777777" w:rsidR="001B2E3D" w:rsidRPr="00690F4D" w:rsidRDefault="001B2E3D" w:rsidP="0054652C">
            <w:pPr>
              <w:pStyle w:val="MDPI42tablebody"/>
              <w:jc w:val="right"/>
              <w:rPr>
                <w:lang w:val="en-GB"/>
              </w:rPr>
            </w:pPr>
            <w:r w:rsidRPr="00690F4D">
              <w:rPr>
                <w:lang w:val="en-GB"/>
              </w:rPr>
              <w:t>BCR event</w:t>
            </w:r>
          </w:p>
        </w:tc>
        <w:tc>
          <w:tcPr>
            <w:tcW w:w="1984" w:type="dxa"/>
            <w:shd w:val="clear" w:color="auto" w:fill="D9D9D9" w:themeFill="background1" w:themeFillShade="D9"/>
          </w:tcPr>
          <w:p w14:paraId="0FD2E1B4" w14:textId="77777777" w:rsidR="001B2E3D" w:rsidRPr="00690F4D" w:rsidRDefault="001B2E3D" w:rsidP="0054652C">
            <w:pPr>
              <w:pStyle w:val="MDPI42tablebody"/>
              <w:rPr>
                <w:lang w:val="en-GB"/>
              </w:rPr>
            </w:pPr>
          </w:p>
        </w:tc>
        <w:tc>
          <w:tcPr>
            <w:tcW w:w="2410" w:type="dxa"/>
            <w:shd w:val="clear" w:color="auto" w:fill="D9D9D9" w:themeFill="background1" w:themeFillShade="D9"/>
          </w:tcPr>
          <w:p w14:paraId="28296A9E" w14:textId="77777777" w:rsidR="001B2E3D" w:rsidRPr="00690F4D" w:rsidRDefault="001B2E3D" w:rsidP="0054652C">
            <w:pPr>
              <w:pStyle w:val="MDPI42tablebody"/>
              <w:rPr>
                <w:lang w:val="en-GB"/>
              </w:rPr>
            </w:pPr>
          </w:p>
        </w:tc>
        <w:tc>
          <w:tcPr>
            <w:tcW w:w="1985" w:type="dxa"/>
            <w:shd w:val="clear" w:color="auto" w:fill="D9D9D9" w:themeFill="background1" w:themeFillShade="D9"/>
          </w:tcPr>
          <w:p w14:paraId="57EBFA07" w14:textId="77777777" w:rsidR="001B2E3D" w:rsidRPr="00690F4D" w:rsidRDefault="001B2E3D" w:rsidP="0054652C">
            <w:pPr>
              <w:pStyle w:val="MDPI42tablebody"/>
              <w:rPr>
                <w:lang w:val="en-GB"/>
              </w:rPr>
            </w:pPr>
          </w:p>
        </w:tc>
        <w:tc>
          <w:tcPr>
            <w:tcW w:w="1984" w:type="dxa"/>
            <w:shd w:val="clear" w:color="auto" w:fill="D9D9D9" w:themeFill="background1" w:themeFillShade="D9"/>
          </w:tcPr>
          <w:p w14:paraId="12E3B517" w14:textId="77777777" w:rsidR="001B2E3D" w:rsidRPr="00690F4D" w:rsidRDefault="001B2E3D" w:rsidP="0054652C">
            <w:pPr>
              <w:pStyle w:val="MDPI42tablebody"/>
              <w:rPr>
                <w:lang w:val="en-GB"/>
              </w:rPr>
            </w:pPr>
          </w:p>
        </w:tc>
      </w:tr>
      <w:tr w:rsidR="001B2E3D" w:rsidRPr="00690F4D" w14:paraId="28D89292" w14:textId="77777777" w:rsidTr="0054652C">
        <w:tc>
          <w:tcPr>
            <w:tcW w:w="1985" w:type="dxa"/>
            <w:shd w:val="clear" w:color="auto" w:fill="D9D9D9" w:themeFill="background1" w:themeFillShade="D9"/>
          </w:tcPr>
          <w:p w14:paraId="50C478A1" w14:textId="77777777" w:rsidR="001B2E3D" w:rsidRPr="00690F4D" w:rsidRDefault="001B2E3D" w:rsidP="0054652C">
            <w:pPr>
              <w:pStyle w:val="MDPI42tablebody"/>
              <w:jc w:val="right"/>
              <w:rPr>
                <w:lang w:val="en-GB"/>
              </w:rPr>
            </w:pPr>
            <w:r w:rsidRPr="00690F4D">
              <w:rPr>
                <w:lang w:val="en-GB"/>
              </w:rPr>
              <w:t>FALSE</w:t>
            </w:r>
          </w:p>
        </w:tc>
        <w:tc>
          <w:tcPr>
            <w:tcW w:w="1984" w:type="dxa"/>
            <w:shd w:val="clear" w:color="auto" w:fill="D9D9D9" w:themeFill="background1" w:themeFillShade="D9"/>
          </w:tcPr>
          <w:p w14:paraId="1C549C98" w14:textId="77777777" w:rsidR="001B2E3D" w:rsidRPr="00690F4D" w:rsidRDefault="001B2E3D" w:rsidP="0054652C">
            <w:pPr>
              <w:pStyle w:val="MDPI42tablebody"/>
              <w:rPr>
                <w:lang w:val="en-GB"/>
              </w:rPr>
            </w:pPr>
            <w:r w:rsidRPr="00690F4D">
              <w:rPr>
                <w:lang w:val="en-GB"/>
              </w:rPr>
              <w:t>74 (83%)</w:t>
            </w:r>
          </w:p>
        </w:tc>
        <w:tc>
          <w:tcPr>
            <w:tcW w:w="2410" w:type="dxa"/>
            <w:shd w:val="clear" w:color="auto" w:fill="D9D9D9" w:themeFill="background1" w:themeFillShade="D9"/>
          </w:tcPr>
          <w:p w14:paraId="75084078" w14:textId="77777777" w:rsidR="001B2E3D" w:rsidRPr="00690F4D" w:rsidRDefault="001B2E3D" w:rsidP="0054652C">
            <w:pPr>
              <w:pStyle w:val="MDPI42tablebody"/>
              <w:rPr>
                <w:lang w:val="en-GB"/>
              </w:rPr>
            </w:pPr>
            <w:r w:rsidRPr="00690F4D">
              <w:rPr>
                <w:lang w:val="en-GB"/>
              </w:rPr>
              <w:t>77 (71%)</w:t>
            </w:r>
          </w:p>
        </w:tc>
        <w:tc>
          <w:tcPr>
            <w:tcW w:w="1985" w:type="dxa"/>
            <w:shd w:val="clear" w:color="auto" w:fill="D9D9D9" w:themeFill="background1" w:themeFillShade="D9"/>
          </w:tcPr>
          <w:p w14:paraId="589E1FD9" w14:textId="77777777" w:rsidR="001B2E3D" w:rsidRPr="00690F4D" w:rsidRDefault="001B2E3D" w:rsidP="0054652C">
            <w:pPr>
              <w:pStyle w:val="MDPI42tablebody"/>
              <w:rPr>
                <w:lang w:val="en-GB"/>
              </w:rPr>
            </w:pPr>
            <w:r w:rsidRPr="00690F4D">
              <w:rPr>
                <w:lang w:val="en-GB"/>
              </w:rPr>
              <w:t>16 (48%)</w:t>
            </w:r>
          </w:p>
        </w:tc>
        <w:tc>
          <w:tcPr>
            <w:tcW w:w="1984" w:type="dxa"/>
            <w:shd w:val="clear" w:color="auto" w:fill="D9D9D9" w:themeFill="background1" w:themeFillShade="D9"/>
          </w:tcPr>
          <w:p w14:paraId="4538A32B" w14:textId="77777777" w:rsidR="001B2E3D" w:rsidRPr="00690F4D" w:rsidRDefault="001B2E3D" w:rsidP="0054652C">
            <w:pPr>
              <w:pStyle w:val="MDPI42tablebody"/>
              <w:rPr>
                <w:lang w:val="en-GB"/>
              </w:rPr>
            </w:pPr>
            <w:r w:rsidRPr="00690F4D">
              <w:rPr>
                <w:lang w:val="en-GB"/>
              </w:rPr>
              <w:t>102 (79%)</w:t>
            </w:r>
          </w:p>
        </w:tc>
      </w:tr>
      <w:tr w:rsidR="001B2E3D" w:rsidRPr="00690F4D" w14:paraId="426C432A" w14:textId="77777777" w:rsidTr="0054652C">
        <w:tc>
          <w:tcPr>
            <w:tcW w:w="1985" w:type="dxa"/>
            <w:shd w:val="clear" w:color="auto" w:fill="D9D9D9" w:themeFill="background1" w:themeFillShade="D9"/>
          </w:tcPr>
          <w:p w14:paraId="177BBEBD" w14:textId="77777777" w:rsidR="001B2E3D" w:rsidRPr="00690F4D" w:rsidRDefault="001B2E3D" w:rsidP="0054652C">
            <w:pPr>
              <w:pStyle w:val="MDPI42tablebody"/>
              <w:jc w:val="right"/>
              <w:rPr>
                <w:lang w:val="en-GB"/>
              </w:rPr>
            </w:pPr>
            <w:r w:rsidRPr="00690F4D">
              <w:rPr>
                <w:lang w:val="en-GB"/>
              </w:rPr>
              <w:t>TRUE</w:t>
            </w:r>
          </w:p>
        </w:tc>
        <w:tc>
          <w:tcPr>
            <w:tcW w:w="1984" w:type="dxa"/>
            <w:shd w:val="clear" w:color="auto" w:fill="D9D9D9" w:themeFill="background1" w:themeFillShade="D9"/>
          </w:tcPr>
          <w:p w14:paraId="01510805" w14:textId="77777777" w:rsidR="001B2E3D" w:rsidRPr="00690F4D" w:rsidRDefault="001B2E3D" w:rsidP="0054652C">
            <w:pPr>
              <w:pStyle w:val="MDPI42tablebody"/>
              <w:rPr>
                <w:lang w:val="en-GB"/>
              </w:rPr>
            </w:pPr>
            <w:r w:rsidRPr="00690F4D">
              <w:rPr>
                <w:lang w:val="en-GB"/>
              </w:rPr>
              <w:t>15 (17%)</w:t>
            </w:r>
          </w:p>
        </w:tc>
        <w:tc>
          <w:tcPr>
            <w:tcW w:w="2410" w:type="dxa"/>
            <w:shd w:val="clear" w:color="auto" w:fill="D9D9D9" w:themeFill="background1" w:themeFillShade="D9"/>
          </w:tcPr>
          <w:p w14:paraId="1CAD5381" w14:textId="77777777" w:rsidR="001B2E3D" w:rsidRPr="00690F4D" w:rsidRDefault="001B2E3D" w:rsidP="0054652C">
            <w:pPr>
              <w:pStyle w:val="MDPI42tablebody"/>
              <w:rPr>
                <w:lang w:val="en-GB"/>
              </w:rPr>
            </w:pPr>
            <w:r w:rsidRPr="00690F4D">
              <w:rPr>
                <w:lang w:val="en-GB"/>
              </w:rPr>
              <w:t>31 (29%)</w:t>
            </w:r>
          </w:p>
        </w:tc>
        <w:tc>
          <w:tcPr>
            <w:tcW w:w="1985" w:type="dxa"/>
            <w:shd w:val="clear" w:color="auto" w:fill="D9D9D9" w:themeFill="background1" w:themeFillShade="D9"/>
          </w:tcPr>
          <w:p w14:paraId="40692B5F" w14:textId="77777777" w:rsidR="001B2E3D" w:rsidRPr="00690F4D" w:rsidRDefault="001B2E3D" w:rsidP="0054652C">
            <w:pPr>
              <w:pStyle w:val="MDPI42tablebody"/>
              <w:rPr>
                <w:lang w:val="en-GB"/>
              </w:rPr>
            </w:pPr>
            <w:r w:rsidRPr="00690F4D">
              <w:rPr>
                <w:lang w:val="en-GB"/>
              </w:rPr>
              <w:t>17 (52%)</w:t>
            </w:r>
          </w:p>
        </w:tc>
        <w:tc>
          <w:tcPr>
            <w:tcW w:w="1984" w:type="dxa"/>
            <w:shd w:val="clear" w:color="auto" w:fill="D9D9D9" w:themeFill="background1" w:themeFillShade="D9"/>
          </w:tcPr>
          <w:p w14:paraId="1DB1A0A3" w14:textId="77777777" w:rsidR="001B2E3D" w:rsidRPr="00690F4D" w:rsidRDefault="001B2E3D" w:rsidP="0054652C">
            <w:pPr>
              <w:pStyle w:val="MDPI42tablebody"/>
              <w:rPr>
                <w:lang w:val="en-GB"/>
              </w:rPr>
            </w:pPr>
            <w:r w:rsidRPr="00690F4D">
              <w:rPr>
                <w:lang w:val="en-GB"/>
              </w:rPr>
              <w:t>27 (21%)</w:t>
            </w:r>
          </w:p>
        </w:tc>
      </w:tr>
      <w:tr w:rsidR="001B2E3D" w:rsidRPr="00690F4D" w14:paraId="2296EEA1" w14:textId="77777777" w:rsidTr="0054652C">
        <w:tc>
          <w:tcPr>
            <w:tcW w:w="1985" w:type="dxa"/>
          </w:tcPr>
          <w:p w14:paraId="4E5973B4" w14:textId="77777777" w:rsidR="001B2E3D" w:rsidRPr="00690F4D" w:rsidRDefault="001B2E3D" w:rsidP="0054652C">
            <w:pPr>
              <w:pStyle w:val="MDPI42tablebody"/>
              <w:jc w:val="right"/>
              <w:rPr>
                <w:lang w:val="en-GB"/>
              </w:rPr>
            </w:pPr>
            <w:r w:rsidRPr="00690F4D">
              <w:rPr>
                <w:lang w:val="en-GB"/>
              </w:rPr>
              <w:t>DESNT Score</w:t>
            </w:r>
          </w:p>
        </w:tc>
        <w:tc>
          <w:tcPr>
            <w:tcW w:w="1984" w:type="dxa"/>
          </w:tcPr>
          <w:p w14:paraId="58B8AB3D" w14:textId="77777777" w:rsidR="001B2E3D" w:rsidRPr="00690F4D" w:rsidRDefault="001B2E3D" w:rsidP="0054652C">
            <w:pPr>
              <w:pStyle w:val="MDPI42tablebody"/>
              <w:rPr>
                <w:lang w:val="en-GB"/>
              </w:rPr>
            </w:pPr>
            <w:r w:rsidRPr="00690F4D">
              <w:rPr>
                <w:lang w:val="en-GB"/>
              </w:rPr>
              <w:t>0.22 (0.10, 0.37)</w:t>
            </w:r>
          </w:p>
        </w:tc>
        <w:tc>
          <w:tcPr>
            <w:tcW w:w="2410" w:type="dxa"/>
          </w:tcPr>
          <w:p w14:paraId="3F8E1DC0" w14:textId="77777777" w:rsidR="001B2E3D" w:rsidRPr="00690F4D" w:rsidRDefault="001B2E3D" w:rsidP="0054652C">
            <w:pPr>
              <w:pStyle w:val="MDPI42tablebody"/>
              <w:rPr>
                <w:lang w:val="en-GB"/>
              </w:rPr>
            </w:pPr>
            <w:r w:rsidRPr="00690F4D">
              <w:rPr>
                <w:lang w:val="en-GB"/>
              </w:rPr>
              <w:t>0.09 (0.00, 0.31)</w:t>
            </w:r>
          </w:p>
        </w:tc>
        <w:tc>
          <w:tcPr>
            <w:tcW w:w="1985" w:type="dxa"/>
          </w:tcPr>
          <w:p w14:paraId="4A181961" w14:textId="77777777" w:rsidR="001B2E3D" w:rsidRPr="00690F4D" w:rsidRDefault="001B2E3D" w:rsidP="0054652C">
            <w:pPr>
              <w:pStyle w:val="MDPI42tablebody"/>
              <w:rPr>
                <w:lang w:val="en-GB"/>
              </w:rPr>
            </w:pPr>
            <w:r w:rsidRPr="00690F4D">
              <w:rPr>
                <w:lang w:val="en-GB"/>
              </w:rPr>
              <w:t>0.10 (0.02, 0.34)</w:t>
            </w:r>
          </w:p>
        </w:tc>
        <w:tc>
          <w:tcPr>
            <w:tcW w:w="1984" w:type="dxa"/>
          </w:tcPr>
          <w:p w14:paraId="199274C8" w14:textId="77777777" w:rsidR="001B2E3D" w:rsidRPr="00690F4D" w:rsidRDefault="001B2E3D" w:rsidP="0054652C">
            <w:pPr>
              <w:pStyle w:val="MDPI42tablebody"/>
              <w:rPr>
                <w:lang w:val="en-GB"/>
              </w:rPr>
            </w:pPr>
            <w:r w:rsidRPr="00690F4D">
              <w:rPr>
                <w:lang w:val="en-GB"/>
              </w:rPr>
              <w:t>0.00 (0.00, 0.18)</w:t>
            </w:r>
          </w:p>
        </w:tc>
      </w:tr>
      <w:tr w:rsidR="001B2E3D" w:rsidRPr="00690F4D" w14:paraId="7D507A6D" w14:textId="77777777" w:rsidTr="0054652C">
        <w:tc>
          <w:tcPr>
            <w:tcW w:w="1985" w:type="dxa"/>
            <w:shd w:val="clear" w:color="auto" w:fill="D9D9D9" w:themeFill="background1" w:themeFillShade="D9"/>
          </w:tcPr>
          <w:p w14:paraId="134D6564" w14:textId="77777777" w:rsidR="001B2E3D" w:rsidRPr="00690F4D" w:rsidRDefault="001B2E3D" w:rsidP="0054652C">
            <w:pPr>
              <w:pStyle w:val="MDPI42tablebody"/>
              <w:jc w:val="right"/>
              <w:rPr>
                <w:lang w:val="en-GB"/>
              </w:rPr>
            </w:pPr>
            <w:r w:rsidRPr="00690F4D">
              <w:rPr>
                <w:lang w:val="en-GB"/>
              </w:rPr>
              <w:t>PREDICT Score</w:t>
            </w:r>
          </w:p>
        </w:tc>
        <w:tc>
          <w:tcPr>
            <w:tcW w:w="1984" w:type="dxa"/>
            <w:shd w:val="clear" w:color="auto" w:fill="D9D9D9" w:themeFill="background1" w:themeFillShade="D9"/>
          </w:tcPr>
          <w:p w14:paraId="1B376B12" w14:textId="77777777" w:rsidR="001B2E3D" w:rsidRPr="00690F4D" w:rsidRDefault="001B2E3D" w:rsidP="0054652C">
            <w:pPr>
              <w:pStyle w:val="MDPI42tablebody"/>
              <w:rPr>
                <w:lang w:val="en-GB"/>
              </w:rPr>
            </w:pPr>
            <w:r w:rsidRPr="00690F4D">
              <w:rPr>
                <w:lang w:val="en-GB"/>
              </w:rPr>
              <w:t>5.5 (4.7, 7.0)</w:t>
            </w:r>
          </w:p>
        </w:tc>
        <w:tc>
          <w:tcPr>
            <w:tcW w:w="2410" w:type="dxa"/>
            <w:shd w:val="clear" w:color="auto" w:fill="D9D9D9" w:themeFill="background1" w:themeFillShade="D9"/>
          </w:tcPr>
          <w:p w14:paraId="38135ECA" w14:textId="77777777" w:rsidR="001B2E3D" w:rsidRPr="00690F4D" w:rsidRDefault="001B2E3D" w:rsidP="0054652C">
            <w:pPr>
              <w:pStyle w:val="MDPI42tablebody"/>
              <w:rPr>
                <w:lang w:val="en-GB"/>
              </w:rPr>
            </w:pPr>
            <w:r w:rsidRPr="00690F4D">
              <w:rPr>
                <w:lang w:val="en-GB"/>
              </w:rPr>
              <w:t>6.4 (5.0, 8.1)</w:t>
            </w:r>
          </w:p>
        </w:tc>
        <w:tc>
          <w:tcPr>
            <w:tcW w:w="1985" w:type="dxa"/>
            <w:shd w:val="clear" w:color="auto" w:fill="D9D9D9" w:themeFill="background1" w:themeFillShade="D9"/>
          </w:tcPr>
          <w:p w14:paraId="5A284FA3" w14:textId="77777777" w:rsidR="001B2E3D" w:rsidRPr="00690F4D" w:rsidRDefault="001B2E3D" w:rsidP="0054652C">
            <w:pPr>
              <w:pStyle w:val="MDPI42tablebody"/>
              <w:rPr>
                <w:lang w:val="en-GB"/>
              </w:rPr>
            </w:pPr>
            <w:r w:rsidRPr="00690F4D">
              <w:rPr>
                <w:lang w:val="en-GB"/>
              </w:rPr>
              <w:t>7.7 (3.6, 10.4)</w:t>
            </w:r>
          </w:p>
        </w:tc>
        <w:tc>
          <w:tcPr>
            <w:tcW w:w="1984" w:type="dxa"/>
            <w:shd w:val="clear" w:color="auto" w:fill="D9D9D9" w:themeFill="background1" w:themeFillShade="D9"/>
          </w:tcPr>
          <w:p w14:paraId="5783FB67" w14:textId="77777777" w:rsidR="001B2E3D" w:rsidRPr="00690F4D" w:rsidRDefault="001B2E3D" w:rsidP="0054652C">
            <w:pPr>
              <w:pStyle w:val="MDPI42tablebody"/>
              <w:rPr>
                <w:lang w:val="en-GB"/>
              </w:rPr>
            </w:pPr>
            <w:r w:rsidRPr="00690F4D">
              <w:rPr>
                <w:lang w:val="en-GB"/>
              </w:rPr>
              <w:t>5.6 (4.2, 7.2)</w:t>
            </w:r>
          </w:p>
        </w:tc>
      </w:tr>
    </w:tbl>
    <w:p w14:paraId="1375A9E7" w14:textId="77777777" w:rsidR="001B2E3D" w:rsidRDefault="001B2E3D" w:rsidP="001B2E3D">
      <w:pPr>
        <w:pStyle w:val="MDPI43tablefooter"/>
        <w:rPr>
          <w:lang w:val="en-GB"/>
        </w:rPr>
      </w:pPr>
      <w:r w:rsidRPr="0032014D">
        <w:rPr>
          <w:snapToGrid w:val="0"/>
          <w:vertAlign w:val="superscript"/>
          <w:lang w:val="en-GB"/>
        </w:rPr>
        <w:t>1</w:t>
      </w:r>
      <w:r w:rsidRPr="0032014D">
        <w:rPr>
          <w:snapToGrid w:val="0"/>
          <w:lang w:val="en-GB"/>
        </w:rPr>
        <w:t>Median (IQR); n (%)</w:t>
      </w:r>
    </w:p>
    <w:p w14:paraId="2403B19A" w14:textId="77777777" w:rsidR="001B2E3D" w:rsidRDefault="001B2E3D" w:rsidP="001B2E3D">
      <w:pPr>
        <w:pStyle w:val="MDPI31text"/>
        <w:ind w:firstLine="0"/>
        <w:rPr>
          <w:lang w:val="en-GB"/>
        </w:rPr>
      </w:pPr>
    </w:p>
    <w:p w14:paraId="3CC11AA4" w14:textId="77777777" w:rsidR="001B2E3D" w:rsidRDefault="001B2E3D" w:rsidP="001B2E3D">
      <w:pPr>
        <w:pStyle w:val="MDPI31text"/>
        <w:ind w:firstLine="0"/>
        <w:rPr>
          <w:lang w:val="en-GB"/>
        </w:rPr>
      </w:pPr>
      <w:r w:rsidRPr="0032014D">
        <w:rPr>
          <w:lang w:val="en-GB"/>
        </w:rPr>
        <w:t xml:space="preserve">DESNT scores from our combined dataset had a median value of 0.09 and an interquartile range of 0.32. PREDICT scores had a median value of 5.84 and an interquartile range of 3.24. There was a weak correlation between DESNT score and PREDICT score (Figure 1a; rho = 0.21; </w:t>
      </w:r>
      <w:r w:rsidRPr="0032014D">
        <w:rPr>
          <w:i/>
          <w:iCs/>
          <w:lang w:val="en-GB"/>
        </w:rPr>
        <w:t>p</w:t>
      </w:r>
      <w:r w:rsidRPr="0032014D">
        <w:rPr>
          <w:lang w:val="en-GB"/>
        </w:rPr>
        <w:t xml:space="preserve"> &lt; 0.05; Spearmen’s correlation). The DESNT score is very variable with respect to the PREDICT score (Figure 1b). The PREDICT score showed a statistically significant increase in samples that were DESNT cancers i.e. where the proportion assigned to the DESNT subtype was higher than all other subtypes in the framework (Figure 2; </w:t>
      </w:r>
      <w:r w:rsidRPr="0032014D">
        <w:rPr>
          <w:i/>
          <w:iCs/>
          <w:lang w:val="en-GB"/>
        </w:rPr>
        <w:t>p</w:t>
      </w:r>
      <w:r w:rsidRPr="0032014D">
        <w:rPr>
          <w:lang w:val="en-GB"/>
        </w:rPr>
        <w:t xml:space="preserve"> &lt; 0.001; Mann-Whitney U test; difference in medians = 1.93).</w:t>
      </w:r>
    </w:p>
    <w:p w14:paraId="5727DA2C" w14:textId="77777777" w:rsidR="001B2E3D" w:rsidRPr="0032014D" w:rsidRDefault="001B2E3D" w:rsidP="001B2E3D">
      <w:pPr>
        <w:pStyle w:val="MDPI31text"/>
        <w:ind w:firstLine="0"/>
        <w:rPr>
          <w:lang w:val="en-GB"/>
        </w:rPr>
      </w:pPr>
    </w:p>
    <w:p w14:paraId="2EE9A699" w14:textId="77777777" w:rsidR="001B2E3D" w:rsidRPr="0032014D" w:rsidRDefault="001B2E3D" w:rsidP="001B2E3D">
      <w:pPr>
        <w:pStyle w:val="MDPI52figure"/>
        <w:rPr>
          <w:lang w:val="en-GB"/>
        </w:rPr>
      </w:pPr>
      <w:r w:rsidRPr="0032014D">
        <w:rPr>
          <w:noProof/>
          <w:lang w:val="en-GB"/>
        </w:rPr>
        <w:drawing>
          <wp:inline distT="0" distB="0" distL="0" distR="0" wp14:anchorId="34A47EAD" wp14:editId="259C7C6E">
            <wp:extent cx="5727700" cy="29679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727700" cy="2967990"/>
                    </a:xfrm>
                    <a:prstGeom prst="rect">
                      <a:avLst/>
                    </a:prstGeom>
                  </pic:spPr>
                </pic:pic>
              </a:graphicData>
            </a:graphic>
          </wp:inline>
        </w:drawing>
      </w:r>
    </w:p>
    <w:p w14:paraId="54A9028A" w14:textId="77777777" w:rsidR="001B2E3D" w:rsidRPr="0032014D" w:rsidRDefault="001B2E3D" w:rsidP="001B2E3D">
      <w:pPr>
        <w:pStyle w:val="MDPI51figurecaption"/>
        <w:rPr>
          <w:snapToGrid w:val="0"/>
          <w:lang w:val="en-GB"/>
        </w:rPr>
      </w:pPr>
      <w:r w:rsidRPr="00507BAB">
        <w:rPr>
          <w:b/>
          <w:snapToGrid w:val="0"/>
          <w:lang w:val="en-GB"/>
        </w:rPr>
        <w:t>Figure 1.</w:t>
      </w:r>
      <w:r w:rsidRPr="0032014D">
        <w:rPr>
          <w:snapToGrid w:val="0"/>
          <w:lang w:val="en-GB"/>
        </w:rPr>
        <w:t xml:space="preserve"> The relationship between Prostate PREDICT score and DESNT score. A) Scatter plot and distribution. B) A waterfall plot showing how the DESNT score varies with PREDICT score. The horizontal line at 5.8 represents the median PREDICT score. The PREDICT score is the percentage </w:t>
      </w:r>
      <w:r>
        <w:rPr>
          <w:snapToGrid w:val="0"/>
          <w:lang w:val="en-GB"/>
        </w:rPr>
        <w:t>increase</w:t>
      </w:r>
      <w:r w:rsidRPr="0032014D">
        <w:rPr>
          <w:snapToGrid w:val="0"/>
          <w:lang w:val="en-GB"/>
        </w:rPr>
        <w:t xml:space="preserve"> in probability of mortality at 10 years from having prostate cancer defined as the non-prostate cancer mortality minus prostate cancer specific mortality at 10 years. DESNT score is the proportion of expression that is explained by the signature expression profile of the DESNT molecular subtype.</w:t>
      </w:r>
    </w:p>
    <w:p w14:paraId="72D3427E" w14:textId="77777777" w:rsidR="001B2E3D" w:rsidRPr="0032014D" w:rsidRDefault="001B2E3D" w:rsidP="001B2E3D">
      <w:pPr>
        <w:pStyle w:val="MDPI52figure"/>
        <w:rPr>
          <w:lang w:val="en-GB"/>
        </w:rPr>
      </w:pPr>
      <w:r w:rsidRPr="00507BAB">
        <w:rPr>
          <w:noProof/>
        </w:rPr>
        <w:lastRenderedPageBreak/>
        <w:drawing>
          <wp:inline distT="0" distB="0" distL="0" distR="0" wp14:anchorId="7F5E49AB" wp14:editId="5F3D30C9">
            <wp:extent cx="4709026" cy="363409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0">
                      <a:extLst>
                        <a:ext uri="{28A0092B-C50C-407E-A947-70E740481C1C}">
                          <a14:useLocalDpi xmlns:a14="http://schemas.microsoft.com/office/drawing/2010/main" val="0"/>
                        </a:ext>
                      </a:extLst>
                    </a:blip>
                    <a:stretch>
                      <a:fillRect/>
                    </a:stretch>
                  </pic:blipFill>
                  <pic:spPr>
                    <a:xfrm>
                      <a:off x="0" y="0"/>
                      <a:ext cx="4720170" cy="3642694"/>
                    </a:xfrm>
                    <a:prstGeom prst="rect">
                      <a:avLst/>
                    </a:prstGeom>
                  </pic:spPr>
                </pic:pic>
              </a:graphicData>
            </a:graphic>
          </wp:inline>
        </w:drawing>
      </w:r>
    </w:p>
    <w:p w14:paraId="2DAADE3A" w14:textId="77777777" w:rsidR="001B2E3D" w:rsidRPr="0032014D" w:rsidRDefault="001B2E3D" w:rsidP="001B2E3D">
      <w:pPr>
        <w:pStyle w:val="MDPI51figurecaption"/>
        <w:rPr>
          <w:snapToGrid w:val="0"/>
          <w:lang w:val="en-GB"/>
        </w:rPr>
      </w:pPr>
      <w:r w:rsidRPr="00507BAB">
        <w:rPr>
          <w:b/>
          <w:snapToGrid w:val="0"/>
          <w:lang w:val="en-GB"/>
        </w:rPr>
        <w:t>Figure 2.</w:t>
      </w:r>
      <w:r w:rsidRPr="0032014D">
        <w:rPr>
          <w:snapToGrid w:val="0"/>
          <w:lang w:val="en-GB"/>
        </w:rPr>
        <w:t xml:space="preserve"> Differences in PREDICT score between prostate cancer samples assigned to DESNT and those not. Samples assigned to DESNT are those where the largest proportion of expression is explained by the expression signature of the DESNT subtype. The PREDICT score is the </w:t>
      </w:r>
      <w:r>
        <w:rPr>
          <w:snapToGrid w:val="0"/>
          <w:lang w:val="en-GB"/>
        </w:rPr>
        <w:t>increase</w:t>
      </w:r>
      <w:r w:rsidRPr="0032014D">
        <w:rPr>
          <w:snapToGrid w:val="0"/>
          <w:lang w:val="en-GB"/>
        </w:rPr>
        <w:t xml:space="preserve"> in probability of mortality at 10 years </w:t>
      </w:r>
      <w:r>
        <w:rPr>
          <w:snapToGrid w:val="0"/>
          <w:lang w:val="en-GB"/>
        </w:rPr>
        <w:t>caused by</w:t>
      </w:r>
      <w:r w:rsidRPr="0032014D">
        <w:rPr>
          <w:snapToGrid w:val="0"/>
          <w:lang w:val="en-GB"/>
        </w:rPr>
        <w:t xml:space="preserve"> having prostate cancer defined as the non-prostate cancer mortality minus prostate cancer specific mortality at 10 years.</w:t>
      </w:r>
    </w:p>
    <w:p w14:paraId="0F1C13B1" w14:textId="265EBDF0" w:rsidR="001B2E3D" w:rsidRDefault="001B2E3D" w:rsidP="001B2E3D">
      <w:pPr>
        <w:pStyle w:val="MDPI22heading2"/>
      </w:pPr>
      <w:r>
        <w:t>3.2 Predictive ability of PREDICT and DESNT score to predict time to biochemical recurrence</w:t>
      </w:r>
    </w:p>
    <w:p w14:paraId="432C1EC1" w14:textId="77777777" w:rsidR="001B2E3D" w:rsidRDefault="001B2E3D" w:rsidP="001B2E3D">
      <w:pPr>
        <w:pStyle w:val="MDPI31text"/>
      </w:pPr>
      <w:r>
        <w:t xml:space="preserve">Both PREDICT score and DESNT score, when applied in separate models, have a significant association with time to biochemical recurrence (PREDICT: </w:t>
      </w:r>
      <w:r w:rsidRPr="00FA2005">
        <w:rPr>
          <w:i/>
          <w:iCs/>
        </w:rPr>
        <w:t>p</w:t>
      </w:r>
      <w:r>
        <w:t xml:space="preserve"> &lt; 0.0001, IQR </w:t>
      </w:r>
      <w:r w:rsidRPr="00814E69">
        <w:t>HR</w:t>
      </w:r>
      <w:r>
        <w:t xml:space="preserve"> = </w:t>
      </w:r>
      <w:r w:rsidRPr="00FA2005">
        <w:t>1.59</w:t>
      </w:r>
      <w:r>
        <w:t xml:space="preserve"> [95% CI </w:t>
      </w:r>
      <w:r w:rsidRPr="00FA2005">
        <w:t>1.43</w:t>
      </w:r>
      <w:r>
        <w:t>–</w:t>
      </w:r>
      <w:r w:rsidRPr="00FA2005">
        <w:t>1.76</w:t>
      </w:r>
      <w:r>
        <w:t xml:space="preserve">]; DESNT: </w:t>
      </w:r>
      <w:r w:rsidRPr="00FA2005">
        <w:rPr>
          <w:i/>
          <w:iCs/>
        </w:rPr>
        <w:t>p</w:t>
      </w:r>
      <w:r>
        <w:t xml:space="preserve"> &lt; 0.0001, IQR </w:t>
      </w:r>
      <w:r w:rsidRPr="00814E69">
        <w:t>HR</w:t>
      </w:r>
      <w:r>
        <w:t xml:space="preserve"> = 2.08 [95% CI </w:t>
      </w:r>
      <w:r w:rsidRPr="00FA2005">
        <w:t>1.</w:t>
      </w:r>
      <w:r>
        <w:t>58–2</w:t>
      </w:r>
      <w:r w:rsidRPr="00FA2005">
        <w:t>.76</w:t>
      </w:r>
      <w:r>
        <w:t>]; Cox proportional hazards regression). A joint Cox proportional hazards model built with the two continuous independent variables PREDICT and DESNT score (</w:t>
      </w:r>
      <w:r w:rsidRPr="00FA2005">
        <w:rPr>
          <w:i/>
          <w:iCs/>
        </w:rPr>
        <w:t>p</w:t>
      </w:r>
      <w:r>
        <w:t xml:space="preserve"> &lt; 0.0001, IQR </w:t>
      </w:r>
      <w:r w:rsidRPr="00814E69">
        <w:t>HR</w:t>
      </w:r>
      <w:r>
        <w:t>= 1.53 and 1.79 respectively; Table 3) wa</w:t>
      </w:r>
      <w:r w:rsidRPr="00F54B45">
        <w:t xml:space="preserve">s significantly better at predicting </w:t>
      </w:r>
      <w:r>
        <w:t xml:space="preserve">biochemical recurrence outcome </w:t>
      </w:r>
      <w:r w:rsidRPr="00F54B45">
        <w:t xml:space="preserve">than PREDICT </w:t>
      </w:r>
      <w:r>
        <w:t>score (</w:t>
      </w:r>
      <w:r w:rsidRPr="00F54B45">
        <w:rPr>
          <w:i/>
          <w:iCs/>
        </w:rPr>
        <w:t>p</w:t>
      </w:r>
      <w:r w:rsidRPr="00F54B45">
        <w:t xml:space="preserve"> &lt; 0.001; likelihood ratio test</w:t>
      </w:r>
      <w:r>
        <w:t>) or DESNT score (</w:t>
      </w:r>
      <w:r w:rsidRPr="00F54B45">
        <w:rPr>
          <w:i/>
          <w:iCs/>
        </w:rPr>
        <w:t>p</w:t>
      </w:r>
      <w:r w:rsidRPr="00F54B45">
        <w:t xml:space="preserve"> &lt; 0.001</w:t>
      </w:r>
      <w:r>
        <w:t xml:space="preserve">) alone. To illustrate this, samples were categorised into DESNT cancers or non-DESNT cancers, and upper PREDICT score or lower PREDICT score (split around the median; Table 4). A Kaplan-Meir plot shows clear delineation between each combination of groups (Figure 3; Log-rank </w:t>
      </w:r>
      <w:r w:rsidRPr="00637A16">
        <w:rPr>
          <w:i/>
          <w:iCs/>
        </w:rPr>
        <w:t>p</w:t>
      </w:r>
      <w:r>
        <w:t>-value &lt; 0.001). At five years, the estimated proportion that are biochemical recurrence free are 92% (</w:t>
      </w:r>
      <w:r w:rsidRPr="00684E56">
        <w:t>Lower</w:t>
      </w:r>
      <w:r>
        <w:t xml:space="preserve"> </w:t>
      </w:r>
      <w:r w:rsidRPr="00684E56">
        <w:t>P</w:t>
      </w:r>
      <w:r>
        <w:t>REDICT score &amp; Not DESNT), 65% (</w:t>
      </w:r>
      <w:r w:rsidRPr="00684E56">
        <w:t>Upper</w:t>
      </w:r>
      <w:r>
        <w:t xml:space="preserve"> </w:t>
      </w:r>
      <w:r w:rsidRPr="00684E56">
        <w:t>P</w:t>
      </w:r>
      <w:r>
        <w:t>REDICT score &amp; Not DESNT), 56% (</w:t>
      </w:r>
      <w:r w:rsidRPr="00684E56">
        <w:t>Lower</w:t>
      </w:r>
      <w:r>
        <w:t xml:space="preserve"> PREDICT score &amp; </w:t>
      </w:r>
      <w:r w:rsidRPr="00684E56">
        <w:t>DESNT</w:t>
      </w:r>
      <w:r>
        <w:t>), and 38% (U</w:t>
      </w:r>
      <w:r w:rsidRPr="00684E56">
        <w:t>pper</w:t>
      </w:r>
      <w:r>
        <w:t xml:space="preserve"> PREDICT score &amp; </w:t>
      </w:r>
      <w:r w:rsidRPr="00684E56">
        <w:t>DESNT</w:t>
      </w:r>
      <w:r>
        <w:t>).  Pair-wise, all Kaplan-Meier curves are significantly different (</w:t>
      </w:r>
      <w:r w:rsidRPr="00684E56">
        <w:rPr>
          <w:i/>
          <w:iCs/>
        </w:rPr>
        <w:t>p</w:t>
      </w:r>
      <w:r>
        <w:t xml:space="preserve"> &lt; 0.001; log-rank test; </w:t>
      </w:r>
      <w:r w:rsidRPr="006251BE">
        <w:t>Benjamini</w:t>
      </w:r>
      <w:r>
        <w:t xml:space="preserve">-Hochberg adjusted </w:t>
      </w:r>
      <w:r w:rsidRPr="00684E56">
        <w:rPr>
          <w:i/>
          <w:iCs/>
        </w:rPr>
        <w:t>p</w:t>
      </w:r>
      <w:r>
        <w:t>-values) apart from “</w:t>
      </w:r>
      <w:r w:rsidRPr="00684E56">
        <w:t>Lower</w:t>
      </w:r>
      <w:r>
        <w:t xml:space="preserve"> PREDICT score &amp; </w:t>
      </w:r>
      <w:r w:rsidRPr="00684E56">
        <w:t>DESNT</w:t>
      </w:r>
      <w:r>
        <w:t>” vs “U</w:t>
      </w:r>
      <w:r w:rsidRPr="00684E56">
        <w:t>pper</w:t>
      </w:r>
      <w:r>
        <w:t xml:space="preserve"> PREDICT score &amp; </w:t>
      </w:r>
      <w:r w:rsidRPr="00684E56">
        <w:t>DESNT</w:t>
      </w:r>
      <w:r>
        <w:t>” (</w:t>
      </w:r>
      <w:r w:rsidRPr="00684E56">
        <w:rPr>
          <w:i/>
          <w:iCs/>
        </w:rPr>
        <w:t>p</w:t>
      </w:r>
      <w:r>
        <w:t xml:space="preserve"> = 0.18) and “</w:t>
      </w:r>
      <w:r w:rsidRPr="00684E56">
        <w:t>Lower</w:t>
      </w:r>
      <w:r>
        <w:t xml:space="preserve"> PREDICT score &amp; </w:t>
      </w:r>
      <w:r w:rsidRPr="00684E56">
        <w:t>DESNT</w:t>
      </w:r>
      <w:r>
        <w:t>” vs “</w:t>
      </w:r>
      <w:r w:rsidRPr="00684E56">
        <w:t>Upper</w:t>
      </w:r>
      <w:r>
        <w:t xml:space="preserve"> </w:t>
      </w:r>
      <w:r w:rsidRPr="00684E56">
        <w:t>P</w:t>
      </w:r>
      <w:r>
        <w:t>REDICT score &amp; Not DESNT” (</w:t>
      </w:r>
      <w:r w:rsidRPr="00684E56">
        <w:rPr>
          <w:i/>
          <w:iCs/>
        </w:rPr>
        <w:t>p</w:t>
      </w:r>
      <w:r>
        <w:t xml:space="preserve"> = 0.53).</w:t>
      </w:r>
    </w:p>
    <w:p w14:paraId="0EA4A776" w14:textId="77777777" w:rsidR="001B2E3D" w:rsidRDefault="001B2E3D" w:rsidP="001B2E3D">
      <w:pPr>
        <w:pStyle w:val="MDPI41tablecaption"/>
      </w:pPr>
      <w:r w:rsidRPr="00254090">
        <w:rPr>
          <w:b/>
          <w:bCs/>
        </w:rPr>
        <w:t xml:space="preserve">Table </w:t>
      </w:r>
      <w:r>
        <w:rPr>
          <w:b/>
          <w:bCs/>
        </w:rPr>
        <w:t>3</w:t>
      </w:r>
      <w:r w:rsidRPr="00254090">
        <w:rPr>
          <w:b/>
          <w:bCs/>
        </w:rPr>
        <w:t>.</w:t>
      </w:r>
      <w:r w:rsidRPr="00637A16">
        <w:t xml:space="preserve"> Summary of Cox proportional hazard model</w:t>
      </w:r>
      <w:r>
        <w:t xml:space="preserve"> combining PREDICT score and DESNT score</w:t>
      </w:r>
      <w:r w:rsidRPr="00637A16">
        <w:t>.</w:t>
      </w:r>
      <w:r>
        <w:t xml:space="preserve"> Endpoint is time to biochemical recurrence.</w:t>
      </w:r>
    </w:p>
    <w:tbl>
      <w:tblPr>
        <w:tblStyle w:val="MDPI41threelinetable"/>
        <w:tblW w:w="0" w:type="auto"/>
        <w:tblLook w:val="04A0" w:firstRow="1" w:lastRow="0" w:firstColumn="1" w:lastColumn="0" w:noHBand="0" w:noVBand="1"/>
      </w:tblPr>
      <w:tblGrid>
        <w:gridCol w:w="1802"/>
        <w:gridCol w:w="1802"/>
        <w:gridCol w:w="1802"/>
        <w:gridCol w:w="1802"/>
        <w:gridCol w:w="1802"/>
      </w:tblGrid>
      <w:tr w:rsidR="001B2E3D" w:rsidRPr="00747737" w14:paraId="528509CE" w14:textId="77777777" w:rsidTr="0054652C">
        <w:trPr>
          <w:cnfStyle w:val="100000000000" w:firstRow="1" w:lastRow="0" w:firstColumn="0" w:lastColumn="0" w:oddVBand="0" w:evenVBand="0" w:oddHBand="0" w:evenHBand="0" w:firstRowFirstColumn="0" w:firstRowLastColumn="0" w:lastRowFirstColumn="0" w:lastRowLastColumn="0"/>
        </w:trPr>
        <w:tc>
          <w:tcPr>
            <w:tcW w:w="1802" w:type="dxa"/>
          </w:tcPr>
          <w:p w14:paraId="5DB90912" w14:textId="77777777" w:rsidR="001B2E3D" w:rsidRPr="00747737" w:rsidRDefault="001B2E3D" w:rsidP="0054652C">
            <w:pPr>
              <w:pStyle w:val="MDPI42tablebody"/>
            </w:pPr>
            <w:r w:rsidRPr="00747737">
              <w:t>Variable</w:t>
            </w:r>
          </w:p>
        </w:tc>
        <w:tc>
          <w:tcPr>
            <w:tcW w:w="1802" w:type="dxa"/>
          </w:tcPr>
          <w:p w14:paraId="1E9DE204" w14:textId="77777777" w:rsidR="001B2E3D" w:rsidRPr="00747737" w:rsidRDefault="001B2E3D" w:rsidP="0054652C">
            <w:pPr>
              <w:pStyle w:val="MDPI42tablebody"/>
            </w:pPr>
            <w:r w:rsidRPr="00747737">
              <w:t>IQR Hazard ratio (HR)</w:t>
            </w:r>
          </w:p>
        </w:tc>
        <w:tc>
          <w:tcPr>
            <w:tcW w:w="1802" w:type="dxa"/>
          </w:tcPr>
          <w:p w14:paraId="29F46B34" w14:textId="77777777" w:rsidR="001B2E3D" w:rsidRPr="00747737" w:rsidRDefault="001B2E3D" w:rsidP="0054652C">
            <w:pPr>
              <w:pStyle w:val="MDPI42tablebody"/>
            </w:pPr>
            <w:r w:rsidRPr="00747737">
              <w:t>HR lower 95% CI</w:t>
            </w:r>
          </w:p>
        </w:tc>
        <w:tc>
          <w:tcPr>
            <w:tcW w:w="1802" w:type="dxa"/>
          </w:tcPr>
          <w:p w14:paraId="20C162C3" w14:textId="77777777" w:rsidR="001B2E3D" w:rsidRPr="00747737" w:rsidRDefault="001B2E3D" w:rsidP="0054652C">
            <w:pPr>
              <w:pStyle w:val="MDPI42tablebody"/>
            </w:pPr>
            <w:r w:rsidRPr="00747737">
              <w:t>HR upper 95% CI</w:t>
            </w:r>
          </w:p>
        </w:tc>
        <w:tc>
          <w:tcPr>
            <w:tcW w:w="1802" w:type="dxa"/>
          </w:tcPr>
          <w:p w14:paraId="35F6A782" w14:textId="77777777" w:rsidR="001B2E3D" w:rsidRPr="00747737" w:rsidRDefault="001B2E3D" w:rsidP="0054652C">
            <w:pPr>
              <w:pStyle w:val="MDPI42tablebody"/>
            </w:pPr>
            <w:r w:rsidRPr="00747737">
              <w:rPr>
                <w:i/>
                <w:iCs/>
              </w:rPr>
              <w:t>p</w:t>
            </w:r>
            <w:r w:rsidRPr="00747737">
              <w:t>-value</w:t>
            </w:r>
          </w:p>
        </w:tc>
      </w:tr>
      <w:tr w:rsidR="001B2E3D" w:rsidRPr="00747737" w14:paraId="603C6DFC" w14:textId="77777777" w:rsidTr="0054652C">
        <w:tc>
          <w:tcPr>
            <w:tcW w:w="1802" w:type="dxa"/>
          </w:tcPr>
          <w:p w14:paraId="54D60D09" w14:textId="77777777" w:rsidR="001B2E3D" w:rsidRPr="00747737" w:rsidRDefault="001B2E3D" w:rsidP="0054652C">
            <w:pPr>
              <w:pStyle w:val="MDPI42tablebody"/>
            </w:pPr>
            <w:r w:rsidRPr="00747737">
              <w:t>PREDICT Score</w:t>
            </w:r>
          </w:p>
        </w:tc>
        <w:tc>
          <w:tcPr>
            <w:tcW w:w="1802" w:type="dxa"/>
          </w:tcPr>
          <w:p w14:paraId="32BEED02" w14:textId="77777777" w:rsidR="001B2E3D" w:rsidRPr="00747737" w:rsidRDefault="001B2E3D" w:rsidP="0054652C">
            <w:pPr>
              <w:pStyle w:val="MDPI42tablebody"/>
            </w:pPr>
            <w:r w:rsidRPr="00747737">
              <w:t>1.53</w:t>
            </w:r>
          </w:p>
        </w:tc>
        <w:tc>
          <w:tcPr>
            <w:tcW w:w="1802" w:type="dxa"/>
          </w:tcPr>
          <w:p w14:paraId="61973E4A" w14:textId="77777777" w:rsidR="001B2E3D" w:rsidRPr="00747737" w:rsidRDefault="001B2E3D" w:rsidP="0054652C">
            <w:pPr>
              <w:pStyle w:val="MDPI42tablebody"/>
            </w:pPr>
            <w:r w:rsidRPr="00747737">
              <w:t>1.37</w:t>
            </w:r>
          </w:p>
        </w:tc>
        <w:tc>
          <w:tcPr>
            <w:tcW w:w="1802" w:type="dxa"/>
          </w:tcPr>
          <w:p w14:paraId="023D918D" w14:textId="77777777" w:rsidR="001B2E3D" w:rsidRPr="00747737" w:rsidRDefault="001B2E3D" w:rsidP="0054652C">
            <w:pPr>
              <w:pStyle w:val="MDPI42tablebody"/>
            </w:pPr>
            <w:r w:rsidRPr="00747737">
              <w:t>1.70</w:t>
            </w:r>
          </w:p>
        </w:tc>
        <w:tc>
          <w:tcPr>
            <w:tcW w:w="1802" w:type="dxa"/>
          </w:tcPr>
          <w:p w14:paraId="0F057A95" w14:textId="77777777" w:rsidR="001B2E3D" w:rsidRPr="00747737" w:rsidRDefault="001B2E3D" w:rsidP="0054652C">
            <w:pPr>
              <w:pStyle w:val="MDPI42tablebody"/>
            </w:pPr>
            <w:r w:rsidRPr="00747737">
              <w:t>&lt; 0.0001</w:t>
            </w:r>
          </w:p>
        </w:tc>
      </w:tr>
      <w:tr w:rsidR="001B2E3D" w:rsidRPr="00747737" w14:paraId="482D96F9" w14:textId="77777777" w:rsidTr="0054652C">
        <w:tc>
          <w:tcPr>
            <w:tcW w:w="1802" w:type="dxa"/>
          </w:tcPr>
          <w:p w14:paraId="095454CF" w14:textId="77777777" w:rsidR="001B2E3D" w:rsidRPr="00747737" w:rsidRDefault="001B2E3D" w:rsidP="0054652C">
            <w:pPr>
              <w:pStyle w:val="MDPI42tablebody"/>
            </w:pPr>
            <w:r w:rsidRPr="00747737">
              <w:t>DESNT score</w:t>
            </w:r>
          </w:p>
        </w:tc>
        <w:tc>
          <w:tcPr>
            <w:tcW w:w="1802" w:type="dxa"/>
          </w:tcPr>
          <w:p w14:paraId="03465122" w14:textId="77777777" w:rsidR="001B2E3D" w:rsidRPr="00747737" w:rsidRDefault="001B2E3D" w:rsidP="0054652C">
            <w:pPr>
              <w:pStyle w:val="MDPI42tablebody"/>
            </w:pPr>
            <w:r w:rsidRPr="00747737">
              <w:t>1.79</w:t>
            </w:r>
          </w:p>
        </w:tc>
        <w:tc>
          <w:tcPr>
            <w:tcW w:w="1802" w:type="dxa"/>
          </w:tcPr>
          <w:p w14:paraId="3BA34737" w14:textId="77777777" w:rsidR="001B2E3D" w:rsidRPr="00747737" w:rsidRDefault="001B2E3D" w:rsidP="0054652C">
            <w:pPr>
              <w:pStyle w:val="MDPI42tablebody"/>
            </w:pPr>
            <w:r w:rsidRPr="00747737">
              <w:t>1.34</w:t>
            </w:r>
          </w:p>
        </w:tc>
        <w:tc>
          <w:tcPr>
            <w:tcW w:w="1802" w:type="dxa"/>
          </w:tcPr>
          <w:p w14:paraId="01EFD5DD" w14:textId="77777777" w:rsidR="001B2E3D" w:rsidRPr="00747737" w:rsidRDefault="001B2E3D" w:rsidP="0054652C">
            <w:pPr>
              <w:pStyle w:val="MDPI42tablebody"/>
            </w:pPr>
            <w:r w:rsidRPr="00747737">
              <w:t>2.40</w:t>
            </w:r>
          </w:p>
        </w:tc>
        <w:tc>
          <w:tcPr>
            <w:tcW w:w="1802" w:type="dxa"/>
          </w:tcPr>
          <w:p w14:paraId="68EC3156" w14:textId="77777777" w:rsidR="001B2E3D" w:rsidRPr="00747737" w:rsidRDefault="001B2E3D" w:rsidP="0054652C">
            <w:pPr>
              <w:pStyle w:val="MDPI42tablebody"/>
            </w:pPr>
            <w:r w:rsidRPr="00747737">
              <w:t>&lt; 0.0001</w:t>
            </w:r>
          </w:p>
        </w:tc>
      </w:tr>
    </w:tbl>
    <w:p w14:paraId="18059A10" w14:textId="77777777" w:rsidR="001B2E3D" w:rsidRDefault="001B2E3D" w:rsidP="001B2E3D">
      <w:pPr>
        <w:rPr>
          <w:b/>
          <w:bCs/>
          <w:sz w:val="21"/>
          <w:szCs w:val="21"/>
        </w:rPr>
      </w:pPr>
    </w:p>
    <w:p w14:paraId="29F415DB" w14:textId="77777777" w:rsidR="001B2E3D" w:rsidRPr="00254090" w:rsidRDefault="001B2E3D" w:rsidP="001B2E3D">
      <w:pPr>
        <w:rPr>
          <w:sz w:val="21"/>
          <w:szCs w:val="21"/>
        </w:rPr>
      </w:pPr>
      <w:r w:rsidRPr="00254090">
        <w:rPr>
          <w:b/>
          <w:bCs/>
          <w:sz w:val="21"/>
          <w:szCs w:val="21"/>
        </w:rPr>
        <w:t xml:space="preserve">Table </w:t>
      </w:r>
      <w:r>
        <w:rPr>
          <w:b/>
          <w:bCs/>
          <w:sz w:val="21"/>
          <w:szCs w:val="21"/>
        </w:rPr>
        <w:t>4</w:t>
      </w:r>
      <w:r w:rsidRPr="00254090">
        <w:rPr>
          <w:b/>
          <w:bCs/>
          <w:sz w:val="21"/>
          <w:szCs w:val="21"/>
        </w:rPr>
        <w:t xml:space="preserve">. </w:t>
      </w:r>
      <w:r w:rsidRPr="00637A16">
        <w:rPr>
          <w:sz w:val="21"/>
          <w:szCs w:val="21"/>
        </w:rPr>
        <w:t>Discretisation</w:t>
      </w:r>
      <w:r w:rsidRPr="00254090">
        <w:rPr>
          <w:sz w:val="21"/>
          <w:szCs w:val="21"/>
        </w:rPr>
        <w:t xml:space="preserve"> of samples </w:t>
      </w:r>
      <w:r w:rsidRPr="00637A16">
        <w:rPr>
          <w:sz w:val="21"/>
          <w:szCs w:val="21"/>
        </w:rPr>
        <w:t>into DESNT vs non-DESNT (based on the dominant subtype expression signature) and upper and lower PREDICT score (split around the median PREDICT score)</w:t>
      </w:r>
      <w:r w:rsidRPr="00254090">
        <w:rPr>
          <w:sz w:val="21"/>
          <w:szCs w:val="21"/>
        </w:rPr>
        <w:t>.</w:t>
      </w:r>
      <w:r w:rsidRPr="00254090">
        <w:rPr>
          <w:b/>
          <w:bCs/>
          <w:sz w:val="21"/>
          <w:szCs w:val="21"/>
        </w:rPr>
        <w:t xml:space="preserve"> </w:t>
      </w:r>
    </w:p>
    <w:tbl>
      <w:tblPr>
        <w:tblStyle w:val="MDPI41threelinetable"/>
        <w:tblW w:w="0" w:type="auto"/>
        <w:tblLook w:val="04A0" w:firstRow="1" w:lastRow="0" w:firstColumn="1" w:lastColumn="0" w:noHBand="0" w:noVBand="1"/>
      </w:tblPr>
      <w:tblGrid>
        <w:gridCol w:w="3003"/>
        <w:gridCol w:w="3003"/>
        <w:gridCol w:w="3004"/>
      </w:tblGrid>
      <w:tr w:rsidR="001B2E3D" w:rsidRPr="00690F4D" w14:paraId="35F2EB24" w14:textId="77777777" w:rsidTr="0054652C">
        <w:trPr>
          <w:cnfStyle w:val="100000000000" w:firstRow="1" w:lastRow="0" w:firstColumn="0" w:lastColumn="0" w:oddVBand="0" w:evenVBand="0" w:oddHBand="0" w:evenHBand="0" w:firstRowFirstColumn="0" w:firstRowLastColumn="0" w:lastRowFirstColumn="0" w:lastRowLastColumn="0"/>
        </w:trPr>
        <w:tc>
          <w:tcPr>
            <w:tcW w:w="3003" w:type="dxa"/>
          </w:tcPr>
          <w:p w14:paraId="13F73553" w14:textId="77777777" w:rsidR="001B2E3D" w:rsidRPr="00690F4D" w:rsidRDefault="001B2E3D" w:rsidP="0054652C"/>
        </w:tc>
        <w:tc>
          <w:tcPr>
            <w:tcW w:w="3003" w:type="dxa"/>
          </w:tcPr>
          <w:p w14:paraId="0DC55E90" w14:textId="77777777" w:rsidR="001B2E3D" w:rsidRPr="00690F4D" w:rsidRDefault="001B2E3D" w:rsidP="0054652C">
            <w:r w:rsidRPr="00690F4D">
              <w:t>DESNT</w:t>
            </w:r>
          </w:p>
        </w:tc>
        <w:tc>
          <w:tcPr>
            <w:tcW w:w="3004" w:type="dxa"/>
          </w:tcPr>
          <w:p w14:paraId="67C970A2" w14:textId="77777777" w:rsidR="001B2E3D" w:rsidRPr="00690F4D" w:rsidRDefault="001B2E3D" w:rsidP="0054652C">
            <w:r w:rsidRPr="00690F4D">
              <w:t>Non-DESNT</w:t>
            </w:r>
          </w:p>
        </w:tc>
      </w:tr>
      <w:tr w:rsidR="001B2E3D" w:rsidRPr="00690F4D" w14:paraId="07F0DF76" w14:textId="77777777" w:rsidTr="0054652C">
        <w:tc>
          <w:tcPr>
            <w:tcW w:w="3003" w:type="dxa"/>
          </w:tcPr>
          <w:p w14:paraId="43339A52" w14:textId="77777777" w:rsidR="001B2E3D" w:rsidRPr="00690F4D" w:rsidRDefault="001B2E3D" w:rsidP="0054652C">
            <w:r w:rsidRPr="00690F4D">
              <w:t>Upper PREDICT</w:t>
            </w:r>
          </w:p>
        </w:tc>
        <w:tc>
          <w:tcPr>
            <w:tcW w:w="3003" w:type="dxa"/>
          </w:tcPr>
          <w:p w14:paraId="2DB41841" w14:textId="77777777" w:rsidR="001B2E3D" w:rsidRPr="00690F4D" w:rsidRDefault="001B2E3D" w:rsidP="0054652C">
            <w:r w:rsidRPr="00690F4D">
              <w:t>53</w:t>
            </w:r>
          </w:p>
        </w:tc>
        <w:tc>
          <w:tcPr>
            <w:tcW w:w="3004" w:type="dxa"/>
          </w:tcPr>
          <w:p w14:paraId="71132EA2" w14:textId="77777777" w:rsidR="001B2E3D" w:rsidRPr="00690F4D" w:rsidRDefault="001B2E3D" w:rsidP="0054652C">
            <w:r w:rsidRPr="00690F4D">
              <w:t>126</w:t>
            </w:r>
          </w:p>
        </w:tc>
      </w:tr>
      <w:tr w:rsidR="001B2E3D" w:rsidRPr="00690F4D" w14:paraId="50773A60" w14:textId="77777777" w:rsidTr="0054652C">
        <w:tc>
          <w:tcPr>
            <w:tcW w:w="3003" w:type="dxa"/>
          </w:tcPr>
          <w:p w14:paraId="3EB966D8" w14:textId="77777777" w:rsidR="001B2E3D" w:rsidRPr="00690F4D" w:rsidRDefault="001B2E3D" w:rsidP="0054652C">
            <w:r w:rsidRPr="00690F4D">
              <w:t>Lower PREDICT</w:t>
            </w:r>
          </w:p>
        </w:tc>
        <w:tc>
          <w:tcPr>
            <w:tcW w:w="3003" w:type="dxa"/>
          </w:tcPr>
          <w:p w14:paraId="69AB300D" w14:textId="77777777" w:rsidR="001B2E3D" w:rsidRPr="00690F4D" w:rsidRDefault="001B2E3D" w:rsidP="0054652C">
            <w:r w:rsidRPr="00690F4D">
              <w:t>20</w:t>
            </w:r>
          </w:p>
        </w:tc>
        <w:tc>
          <w:tcPr>
            <w:tcW w:w="3004" w:type="dxa"/>
          </w:tcPr>
          <w:p w14:paraId="675F5CC7" w14:textId="77777777" w:rsidR="001B2E3D" w:rsidRPr="00690F4D" w:rsidRDefault="001B2E3D" w:rsidP="0054652C">
            <w:r w:rsidRPr="00690F4D">
              <w:t>160</w:t>
            </w:r>
          </w:p>
        </w:tc>
      </w:tr>
    </w:tbl>
    <w:p w14:paraId="090746ED" w14:textId="77777777" w:rsidR="001B2E3D" w:rsidRDefault="001B2E3D" w:rsidP="001B2E3D"/>
    <w:p w14:paraId="7738A199" w14:textId="77777777" w:rsidR="001B2E3D" w:rsidRDefault="001B2E3D" w:rsidP="001B2E3D">
      <w:pPr>
        <w:pStyle w:val="MDPI52figure"/>
      </w:pPr>
      <w:r w:rsidRPr="00A703CF">
        <w:rPr>
          <w:noProof/>
        </w:rPr>
        <w:drawing>
          <wp:inline distT="0" distB="0" distL="0" distR="0" wp14:anchorId="49857F09" wp14:editId="21676B51">
            <wp:extent cx="5735053" cy="4344853"/>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5742281" cy="4350329"/>
                    </a:xfrm>
                    <a:prstGeom prst="rect">
                      <a:avLst/>
                    </a:prstGeom>
                  </pic:spPr>
                </pic:pic>
              </a:graphicData>
            </a:graphic>
          </wp:inline>
        </w:drawing>
      </w:r>
    </w:p>
    <w:p w14:paraId="529C70ED" w14:textId="77777777" w:rsidR="001B2E3D" w:rsidRDefault="001B2E3D" w:rsidP="001B2E3D">
      <w:pPr>
        <w:pStyle w:val="MDPI51figurecaption"/>
      </w:pPr>
      <w:r w:rsidRPr="00637A16">
        <w:rPr>
          <w:b/>
          <w:bCs/>
        </w:rPr>
        <w:t xml:space="preserve">Figure </w:t>
      </w:r>
      <w:r>
        <w:rPr>
          <w:b/>
          <w:bCs/>
        </w:rPr>
        <w:t xml:space="preserve">3. </w:t>
      </w:r>
      <w:r w:rsidRPr="009B733B">
        <w:t>Kaplan-Meier plot</w:t>
      </w:r>
      <w:r>
        <w:t xml:space="preserve"> showing the survival curves for samples grouped by DESNT and Prostate PREDICT model status. Endpoint is time to biochemical recurrence (BCR). Samples are divided into DESNT vs non-DESNT and upper PREDICT vs lower PREDICT (split around the median PREDICT score). </w:t>
      </w:r>
      <w:r w:rsidRPr="001F02D2">
        <w:t xml:space="preserve">The </w:t>
      </w:r>
      <w:r>
        <w:t>“At R</w:t>
      </w:r>
      <w:r w:rsidRPr="001F02D2">
        <w:t>isk</w:t>
      </w:r>
      <w:r>
        <w:t>”</w:t>
      </w:r>
      <w:r w:rsidRPr="001F02D2">
        <w:t xml:space="preserve"> table below the plot shows the number of p</w:t>
      </w:r>
      <w:r>
        <w:t>atients in each group, at the corresponding time point, that have not had a biochemical recurrence event and have longer follow up than that time. The “Events” table shows the cumulative number of biochemical recurrence events observed in a group at that time point.</w:t>
      </w:r>
    </w:p>
    <w:p w14:paraId="56A52829" w14:textId="71A1CC97" w:rsidR="001B2E3D" w:rsidRDefault="001B2E3D" w:rsidP="001B2E3D">
      <w:pPr>
        <w:pStyle w:val="MDPI22heading2"/>
      </w:pPr>
      <w:r>
        <w:t>3.3 Characterisation of the genes and biological processes behind PREDICT and DESNT scores</w:t>
      </w:r>
    </w:p>
    <w:p w14:paraId="19029499" w14:textId="77777777" w:rsidR="001B2E3D" w:rsidRDefault="001B2E3D" w:rsidP="001B2E3D">
      <w:pPr>
        <w:pStyle w:val="MDPI31text"/>
      </w:pPr>
      <w:r>
        <w:t xml:space="preserve">To biologically characterise the PREDICT score we </w:t>
      </w:r>
      <w:r w:rsidRPr="00690F4D">
        <w:t>compared</w:t>
      </w:r>
      <w:r>
        <w:t xml:space="preserve"> the expression profiles from samples with the top 25% PREDICT score versus the bottom 25%. We found </w:t>
      </w:r>
      <w:r w:rsidRPr="008E5C22">
        <w:t xml:space="preserve">451 genes to be </w:t>
      </w:r>
      <w:r>
        <w:t xml:space="preserve">significantly </w:t>
      </w:r>
      <w:r w:rsidRPr="008E5C22">
        <w:t xml:space="preserve">differentially expressed (287 downregulated; 164 upregulated; adjusted </w:t>
      </w:r>
      <w:r w:rsidRPr="008E5C22">
        <w:rPr>
          <w:i/>
          <w:iCs/>
        </w:rPr>
        <w:t>p</w:t>
      </w:r>
      <w:r w:rsidRPr="008E5C22">
        <w:t xml:space="preserve">-values &lt; 0.05; adapted </w:t>
      </w:r>
      <w:r w:rsidRPr="008E5C22">
        <w:rPr>
          <w:i/>
          <w:iCs/>
        </w:rPr>
        <w:t>t</w:t>
      </w:r>
      <w:r w:rsidRPr="008E5C22">
        <w:t>-test</w:t>
      </w:r>
      <w:r>
        <w:t>; Table 5; Table S1</w:t>
      </w:r>
      <w:r w:rsidRPr="008E5C22">
        <w:t xml:space="preserve">). </w:t>
      </w:r>
      <w:r>
        <w:t>162 pathways or ontological terms were found to be significantly enriched in upregulated genes and 74 with downregulated genes (</w:t>
      </w:r>
      <w:r w:rsidRPr="006C66C1">
        <w:rPr>
          <w:i/>
          <w:iCs/>
        </w:rPr>
        <w:t>p</w:t>
      </w:r>
      <w:r w:rsidRPr="006C66C1">
        <w:t xml:space="preserve"> &lt; </w:t>
      </w:r>
      <w:r>
        <w:t>0.05</w:t>
      </w:r>
      <w:r w:rsidRPr="006C66C1">
        <w:t>;</w:t>
      </w:r>
      <w:r>
        <w:t xml:space="preserve"> Table S2). This corresponded to 63 GO biological process terms, six KEGG pathways, and five Reactome pathways for downregulated genes, and 143 GO biological process terms, four KEGG pathways, and 15 Reactome pathways for downregulated genes (see Table 6 for enriched Reactome pathways).</w:t>
      </w:r>
    </w:p>
    <w:p w14:paraId="130B740C" w14:textId="77777777" w:rsidR="001B2E3D" w:rsidRPr="002C1701" w:rsidRDefault="001B2E3D" w:rsidP="00C53C4A">
      <w:pPr>
        <w:pStyle w:val="MDPI41tablecaption"/>
        <w:keepNext/>
        <w:spacing w:line="240" w:lineRule="auto"/>
      </w:pPr>
      <w:r w:rsidRPr="002C1701">
        <w:rPr>
          <w:b/>
          <w:bCs/>
        </w:rPr>
        <w:lastRenderedPageBreak/>
        <w:t>Table 5</w:t>
      </w:r>
      <w:r w:rsidRPr="002C1701">
        <w:t>. The top ten differentially expressed genes between the samples with the 25% highest PREDICT scores versus the lowest 25% PREDICT scores, ranked by log</w:t>
      </w:r>
      <w:r w:rsidRPr="002C1701">
        <w:rPr>
          <w:vertAlign w:val="subscript"/>
        </w:rPr>
        <w:t>2</w:t>
      </w:r>
      <w:r w:rsidRPr="002C1701">
        <w:t xml:space="preserve"> fold change. </w:t>
      </w:r>
      <w:r w:rsidRPr="002C1701">
        <w:rPr>
          <w:i/>
          <w:iCs/>
        </w:rPr>
        <w:t>p</w:t>
      </w:r>
      <w:r w:rsidRPr="002C1701">
        <w:t xml:space="preserve"> values adjusted for multiple testing correction using the </w:t>
      </w:r>
      <w:r w:rsidRPr="006251BE">
        <w:t>Benjamini</w:t>
      </w:r>
      <w:r>
        <w:t xml:space="preserve">-Hochberg </w:t>
      </w:r>
      <w:r w:rsidRPr="002C1701">
        <w:t xml:space="preserve">algorithm. Whether these genes overlap with the 51 </w:t>
      </w:r>
      <w:r w:rsidRPr="0021601B">
        <w:t xml:space="preserve">significant differential expressed genes Luca </w:t>
      </w:r>
      <w:r w:rsidRPr="0021601B">
        <w:rPr>
          <w:i/>
          <w:iCs/>
        </w:rPr>
        <w:t>et al</w:t>
      </w:r>
      <w:r w:rsidRPr="0021601B">
        <w:t>. (20</w:t>
      </w:r>
      <w:r w:rsidRPr="002C1701">
        <w:t>20</w:t>
      </w:r>
      <w:r w:rsidRPr="0021601B">
        <w:t xml:space="preserve">) observed </w:t>
      </w:r>
      <w:r w:rsidRPr="002C1701">
        <w:t>as characteristic of the DESNT subtype and the differentially expressed genes for DESNT found in this study are also shown.</w:t>
      </w:r>
      <w:r>
        <w:t xml:space="preserve"> Full results in Table S1.</w:t>
      </w:r>
    </w:p>
    <w:tbl>
      <w:tblPr>
        <w:tblStyle w:val="MDPI41threelinetable"/>
        <w:tblW w:w="8789" w:type="dxa"/>
        <w:tblLook w:val="04A0" w:firstRow="1" w:lastRow="0" w:firstColumn="1" w:lastColumn="0" w:noHBand="0" w:noVBand="1"/>
      </w:tblPr>
      <w:tblGrid>
        <w:gridCol w:w="1300"/>
        <w:gridCol w:w="1300"/>
        <w:gridCol w:w="1300"/>
        <w:gridCol w:w="1300"/>
        <w:gridCol w:w="2030"/>
        <w:gridCol w:w="1559"/>
      </w:tblGrid>
      <w:tr w:rsidR="001B2E3D" w:rsidRPr="005D0E8C" w14:paraId="00CE3CE0" w14:textId="77777777" w:rsidTr="0054652C">
        <w:trPr>
          <w:cnfStyle w:val="100000000000" w:firstRow="1" w:lastRow="0" w:firstColumn="0" w:lastColumn="0" w:oddVBand="0" w:evenVBand="0" w:oddHBand="0" w:evenHBand="0" w:firstRowFirstColumn="0" w:firstRowLastColumn="0" w:lastRowFirstColumn="0" w:lastRowLastColumn="0"/>
          <w:trHeight w:val="340"/>
        </w:trPr>
        <w:tc>
          <w:tcPr>
            <w:tcW w:w="1300" w:type="dxa"/>
            <w:noWrap/>
            <w:hideMark/>
          </w:tcPr>
          <w:p w14:paraId="396FA842" w14:textId="77777777" w:rsidR="001B2E3D" w:rsidRPr="005D0E8C" w:rsidRDefault="001B2E3D" w:rsidP="00C53C4A">
            <w:pPr>
              <w:pStyle w:val="MDPI42tablebody"/>
              <w:keepNext/>
              <w:spacing w:line="240" w:lineRule="auto"/>
              <w:rPr>
                <w:b w:val="0"/>
              </w:rPr>
            </w:pPr>
            <w:r w:rsidRPr="005D0E8C">
              <w:t>Gene Symbol</w:t>
            </w:r>
          </w:p>
        </w:tc>
        <w:tc>
          <w:tcPr>
            <w:tcW w:w="1300" w:type="dxa"/>
            <w:noWrap/>
            <w:hideMark/>
          </w:tcPr>
          <w:p w14:paraId="0B96B2CA" w14:textId="77777777" w:rsidR="001B2E3D" w:rsidRPr="005D0E8C" w:rsidRDefault="001B2E3D" w:rsidP="00C53C4A">
            <w:pPr>
              <w:pStyle w:val="MDPI42tablebody"/>
              <w:keepNext/>
              <w:spacing w:line="240" w:lineRule="auto"/>
              <w:rPr>
                <w:b w:val="0"/>
              </w:rPr>
            </w:pPr>
            <w:r>
              <w:t>l</w:t>
            </w:r>
            <w:r w:rsidRPr="005D0E8C">
              <w:t>og</w:t>
            </w:r>
            <w:r w:rsidRPr="005D0E8C">
              <w:rPr>
                <w:vertAlign w:val="subscript"/>
              </w:rPr>
              <w:t>2</w:t>
            </w:r>
            <w:r>
              <w:t xml:space="preserve"> fold change</w:t>
            </w:r>
          </w:p>
        </w:tc>
        <w:tc>
          <w:tcPr>
            <w:tcW w:w="1300" w:type="dxa"/>
            <w:noWrap/>
            <w:hideMark/>
          </w:tcPr>
          <w:p w14:paraId="2F559573" w14:textId="77777777" w:rsidR="001B2E3D" w:rsidRPr="005D0E8C" w:rsidRDefault="001B2E3D" w:rsidP="00C53C4A">
            <w:pPr>
              <w:pStyle w:val="MDPI42tablebody"/>
              <w:keepNext/>
              <w:spacing w:line="240" w:lineRule="auto"/>
              <w:rPr>
                <w:b w:val="0"/>
              </w:rPr>
            </w:pPr>
            <w:r w:rsidRPr="005D0E8C">
              <w:rPr>
                <w:i/>
                <w:iCs/>
              </w:rPr>
              <w:t>p</w:t>
            </w:r>
            <w:r>
              <w:t xml:space="preserve"> value</w:t>
            </w:r>
          </w:p>
        </w:tc>
        <w:tc>
          <w:tcPr>
            <w:tcW w:w="1300" w:type="dxa"/>
            <w:noWrap/>
            <w:hideMark/>
          </w:tcPr>
          <w:p w14:paraId="01531ABF" w14:textId="77777777" w:rsidR="001B2E3D" w:rsidRPr="005D0E8C" w:rsidRDefault="001B2E3D" w:rsidP="00C53C4A">
            <w:pPr>
              <w:pStyle w:val="MDPI42tablebody"/>
              <w:keepNext/>
              <w:spacing w:line="240" w:lineRule="auto"/>
              <w:rPr>
                <w:b w:val="0"/>
              </w:rPr>
            </w:pPr>
            <w:r w:rsidRPr="005D0E8C">
              <w:t>Adj</w:t>
            </w:r>
            <w:r>
              <w:t xml:space="preserve">usted </w:t>
            </w:r>
            <w:r w:rsidRPr="005D0E8C">
              <w:rPr>
                <w:i/>
                <w:iCs/>
              </w:rPr>
              <w:t>p</w:t>
            </w:r>
            <w:r>
              <w:t xml:space="preserve"> value</w:t>
            </w:r>
          </w:p>
        </w:tc>
        <w:tc>
          <w:tcPr>
            <w:tcW w:w="2030" w:type="dxa"/>
            <w:noWrap/>
            <w:hideMark/>
          </w:tcPr>
          <w:p w14:paraId="6C35CD2D" w14:textId="77777777" w:rsidR="001B2E3D" w:rsidRPr="005D0E8C" w:rsidRDefault="001B2E3D" w:rsidP="00C53C4A">
            <w:pPr>
              <w:pStyle w:val="MDPI42tablebody"/>
              <w:keepNext/>
              <w:spacing w:line="240" w:lineRule="auto"/>
              <w:rPr>
                <w:b w:val="0"/>
              </w:rPr>
            </w:pPr>
            <w:r>
              <w:t xml:space="preserve">Overlap with Luca </w:t>
            </w:r>
            <w:r w:rsidRPr="005D0E8C">
              <w:rPr>
                <w:i/>
                <w:iCs/>
              </w:rPr>
              <w:t>et al.</w:t>
            </w:r>
            <w:r>
              <w:t xml:space="preserve"> DESNT genes</w:t>
            </w:r>
          </w:p>
        </w:tc>
        <w:tc>
          <w:tcPr>
            <w:tcW w:w="1559" w:type="dxa"/>
            <w:noWrap/>
            <w:hideMark/>
          </w:tcPr>
          <w:p w14:paraId="670D359A" w14:textId="77777777" w:rsidR="001B2E3D" w:rsidRPr="005D0E8C" w:rsidRDefault="001B2E3D" w:rsidP="00C53C4A">
            <w:pPr>
              <w:pStyle w:val="MDPI42tablebody"/>
              <w:keepNext/>
              <w:spacing w:line="240" w:lineRule="auto"/>
              <w:rPr>
                <w:b w:val="0"/>
              </w:rPr>
            </w:pPr>
            <w:r>
              <w:t xml:space="preserve">Overlap with </w:t>
            </w:r>
            <w:r w:rsidRPr="005D0E8C">
              <w:t>DESNT</w:t>
            </w:r>
            <w:r>
              <w:t xml:space="preserve"> </w:t>
            </w:r>
            <w:r w:rsidRPr="005D0E8C">
              <w:t>DEG</w:t>
            </w:r>
            <w:r>
              <w:t>s</w:t>
            </w:r>
          </w:p>
        </w:tc>
      </w:tr>
      <w:tr w:rsidR="001B2E3D" w:rsidRPr="005D0E8C" w14:paraId="1FC570D9" w14:textId="77777777" w:rsidTr="0054652C">
        <w:trPr>
          <w:trHeight w:val="340"/>
        </w:trPr>
        <w:tc>
          <w:tcPr>
            <w:tcW w:w="1300" w:type="dxa"/>
            <w:noWrap/>
            <w:hideMark/>
          </w:tcPr>
          <w:p w14:paraId="03020E62" w14:textId="77777777" w:rsidR="001B2E3D" w:rsidRPr="005D0E8C" w:rsidRDefault="001B2E3D" w:rsidP="00C53C4A">
            <w:pPr>
              <w:pStyle w:val="MDPI42tablebody"/>
              <w:keepNext/>
              <w:spacing w:line="240" w:lineRule="auto"/>
              <w:rPr>
                <w:i/>
                <w:iCs/>
              </w:rPr>
            </w:pPr>
            <w:r w:rsidRPr="005D0E8C">
              <w:rPr>
                <w:i/>
                <w:iCs/>
              </w:rPr>
              <w:t>ANPEP</w:t>
            </w:r>
          </w:p>
        </w:tc>
        <w:tc>
          <w:tcPr>
            <w:tcW w:w="1300" w:type="dxa"/>
            <w:noWrap/>
            <w:hideMark/>
          </w:tcPr>
          <w:p w14:paraId="00EE7124" w14:textId="77777777" w:rsidR="001B2E3D" w:rsidRPr="005D0E8C" w:rsidRDefault="001B2E3D" w:rsidP="00C53C4A">
            <w:pPr>
              <w:pStyle w:val="MDPI42tablebody"/>
              <w:keepNext/>
              <w:spacing w:line="240" w:lineRule="auto"/>
            </w:pPr>
            <w:r w:rsidRPr="005D0E8C">
              <w:t>-1.31</w:t>
            </w:r>
          </w:p>
        </w:tc>
        <w:tc>
          <w:tcPr>
            <w:tcW w:w="1300" w:type="dxa"/>
            <w:noWrap/>
            <w:hideMark/>
          </w:tcPr>
          <w:p w14:paraId="56771F25" w14:textId="77777777" w:rsidR="001B2E3D" w:rsidRPr="005D0E8C" w:rsidRDefault="001B2E3D" w:rsidP="00C53C4A">
            <w:pPr>
              <w:pStyle w:val="MDPI42tablebody"/>
              <w:keepNext/>
              <w:spacing w:line="240" w:lineRule="auto"/>
            </w:pPr>
            <w:r w:rsidRPr="005D0E8C">
              <w:t>1.54</w:t>
            </w:r>
            <w:r>
              <w:t>×10</w:t>
            </w:r>
            <w:r w:rsidRPr="000846CB">
              <w:rPr>
                <w:vertAlign w:val="superscript"/>
              </w:rPr>
              <w:t>-</w:t>
            </w:r>
            <w:r w:rsidRPr="005D0E8C">
              <w:rPr>
                <w:vertAlign w:val="superscript"/>
              </w:rPr>
              <w:t>08</w:t>
            </w:r>
          </w:p>
        </w:tc>
        <w:tc>
          <w:tcPr>
            <w:tcW w:w="1300" w:type="dxa"/>
            <w:noWrap/>
            <w:hideMark/>
          </w:tcPr>
          <w:p w14:paraId="32F2AE52" w14:textId="77777777" w:rsidR="001B2E3D" w:rsidRPr="005D0E8C" w:rsidRDefault="001B2E3D" w:rsidP="00C53C4A">
            <w:pPr>
              <w:pStyle w:val="MDPI42tablebody"/>
              <w:keepNext/>
              <w:spacing w:line="240" w:lineRule="auto"/>
            </w:pPr>
            <w:r w:rsidRPr="005D0E8C">
              <w:t>1.33</w:t>
            </w:r>
            <w:r>
              <w:t>×10</w:t>
            </w:r>
            <w:r w:rsidRPr="000846CB">
              <w:rPr>
                <w:vertAlign w:val="superscript"/>
              </w:rPr>
              <w:t>-</w:t>
            </w:r>
            <w:r w:rsidRPr="005D0E8C">
              <w:rPr>
                <w:vertAlign w:val="superscript"/>
              </w:rPr>
              <w:t>05</w:t>
            </w:r>
          </w:p>
        </w:tc>
        <w:tc>
          <w:tcPr>
            <w:tcW w:w="2030" w:type="dxa"/>
            <w:noWrap/>
            <w:hideMark/>
          </w:tcPr>
          <w:p w14:paraId="231659EE" w14:textId="77777777" w:rsidR="001B2E3D" w:rsidRPr="005D0E8C" w:rsidRDefault="001B2E3D" w:rsidP="00C53C4A">
            <w:pPr>
              <w:pStyle w:val="MDPI42tablebody"/>
              <w:keepNext/>
              <w:spacing w:line="240" w:lineRule="auto"/>
            </w:pPr>
            <w:r w:rsidRPr="005D0E8C">
              <w:t>TRUE</w:t>
            </w:r>
          </w:p>
        </w:tc>
        <w:tc>
          <w:tcPr>
            <w:tcW w:w="1559" w:type="dxa"/>
            <w:noWrap/>
            <w:hideMark/>
          </w:tcPr>
          <w:p w14:paraId="2B84C6A5" w14:textId="77777777" w:rsidR="001B2E3D" w:rsidRPr="005D0E8C" w:rsidRDefault="001B2E3D" w:rsidP="00C53C4A">
            <w:pPr>
              <w:pStyle w:val="MDPI42tablebody"/>
              <w:keepNext/>
              <w:spacing w:line="240" w:lineRule="auto"/>
            </w:pPr>
            <w:r w:rsidRPr="005D0E8C">
              <w:t>TRUE</w:t>
            </w:r>
          </w:p>
        </w:tc>
      </w:tr>
      <w:tr w:rsidR="001B2E3D" w:rsidRPr="005D0E8C" w14:paraId="1A4709C4" w14:textId="77777777" w:rsidTr="0054652C">
        <w:trPr>
          <w:trHeight w:val="340"/>
        </w:trPr>
        <w:tc>
          <w:tcPr>
            <w:tcW w:w="1300" w:type="dxa"/>
            <w:noWrap/>
            <w:hideMark/>
          </w:tcPr>
          <w:p w14:paraId="7487048E" w14:textId="77777777" w:rsidR="001B2E3D" w:rsidRPr="00047BFD" w:rsidRDefault="001B2E3D" w:rsidP="00C53C4A">
            <w:pPr>
              <w:pStyle w:val="MDPI42tablebody"/>
              <w:keepNext/>
              <w:spacing w:line="240" w:lineRule="auto"/>
              <w:rPr>
                <w:i/>
                <w:iCs/>
              </w:rPr>
            </w:pPr>
            <w:r w:rsidRPr="00047BFD">
              <w:rPr>
                <w:i/>
                <w:iCs/>
              </w:rPr>
              <w:t>CD38</w:t>
            </w:r>
          </w:p>
        </w:tc>
        <w:tc>
          <w:tcPr>
            <w:tcW w:w="1300" w:type="dxa"/>
            <w:noWrap/>
            <w:hideMark/>
          </w:tcPr>
          <w:p w14:paraId="7AC69F9D" w14:textId="77777777" w:rsidR="001B2E3D" w:rsidRPr="005D0E8C" w:rsidRDefault="001B2E3D" w:rsidP="00C53C4A">
            <w:pPr>
              <w:pStyle w:val="MDPI42tablebody"/>
              <w:keepNext/>
              <w:spacing w:line="240" w:lineRule="auto"/>
            </w:pPr>
            <w:r w:rsidRPr="005D0E8C">
              <w:t>-1.02</w:t>
            </w:r>
          </w:p>
        </w:tc>
        <w:tc>
          <w:tcPr>
            <w:tcW w:w="1300" w:type="dxa"/>
            <w:noWrap/>
            <w:hideMark/>
          </w:tcPr>
          <w:p w14:paraId="30E636C2" w14:textId="77777777" w:rsidR="001B2E3D" w:rsidRPr="005D0E8C" w:rsidRDefault="001B2E3D" w:rsidP="00C53C4A">
            <w:pPr>
              <w:pStyle w:val="MDPI42tablebody"/>
              <w:keepNext/>
              <w:spacing w:line="240" w:lineRule="auto"/>
            </w:pPr>
            <w:r w:rsidRPr="005D0E8C">
              <w:t>1.25</w:t>
            </w:r>
            <w:r>
              <w:t>×10</w:t>
            </w:r>
            <w:r w:rsidRPr="000846CB">
              <w:rPr>
                <w:vertAlign w:val="superscript"/>
              </w:rPr>
              <w:t>-</w:t>
            </w:r>
            <w:r w:rsidRPr="005D0E8C">
              <w:rPr>
                <w:vertAlign w:val="superscript"/>
              </w:rPr>
              <w:t>09</w:t>
            </w:r>
          </w:p>
        </w:tc>
        <w:tc>
          <w:tcPr>
            <w:tcW w:w="1300" w:type="dxa"/>
            <w:noWrap/>
            <w:hideMark/>
          </w:tcPr>
          <w:p w14:paraId="0ACF7989" w14:textId="77777777" w:rsidR="001B2E3D" w:rsidRPr="005D0E8C" w:rsidRDefault="001B2E3D" w:rsidP="00C53C4A">
            <w:pPr>
              <w:pStyle w:val="MDPI42tablebody"/>
              <w:keepNext/>
              <w:spacing w:line="240" w:lineRule="auto"/>
            </w:pPr>
            <w:r w:rsidRPr="005D0E8C">
              <w:t>2.17</w:t>
            </w:r>
            <w:r>
              <w:t>×10</w:t>
            </w:r>
            <w:r w:rsidRPr="000846CB">
              <w:rPr>
                <w:vertAlign w:val="superscript"/>
              </w:rPr>
              <w:t>-</w:t>
            </w:r>
            <w:r w:rsidRPr="005D0E8C">
              <w:rPr>
                <w:vertAlign w:val="superscript"/>
              </w:rPr>
              <w:t>06</w:t>
            </w:r>
          </w:p>
        </w:tc>
        <w:tc>
          <w:tcPr>
            <w:tcW w:w="2030" w:type="dxa"/>
            <w:noWrap/>
            <w:hideMark/>
          </w:tcPr>
          <w:p w14:paraId="54763411" w14:textId="77777777" w:rsidR="001B2E3D" w:rsidRPr="005D0E8C" w:rsidRDefault="001B2E3D" w:rsidP="00C53C4A">
            <w:pPr>
              <w:pStyle w:val="MDPI42tablebody"/>
              <w:keepNext/>
              <w:spacing w:line="240" w:lineRule="auto"/>
            </w:pPr>
            <w:r w:rsidRPr="005D0E8C">
              <w:t>FALSE</w:t>
            </w:r>
          </w:p>
        </w:tc>
        <w:tc>
          <w:tcPr>
            <w:tcW w:w="1559" w:type="dxa"/>
            <w:noWrap/>
            <w:hideMark/>
          </w:tcPr>
          <w:p w14:paraId="55B84BF6" w14:textId="77777777" w:rsidR="001B2E3D" w:rsidRPr="005D0E8C" w:rsidRDefault="001B2E3D" w:rsidP="00C53C4A">
            <w:pPr>
              <w:pStyle w:val="MDPI42tablebody"/>
              <w:keepNext/>
              <w:spacing w:line="240" w:lineRule="auto"/>
            </w:pPr>
            <w:r w:rsidRPr="005D0E8C">
              <w:t>TRUE</w:t>
            </w:r>
          </w:p>
        </w:tc>
      </w:tr>
      <w:tr w:rsidR="001B2E3D" w:rsidRPr="005D0E8C" w14:paraId="063807D6" w14:textId="77777777" w:rsidTr="0054652C">
        <w:trPr>
          <w:trHeight w:val="340"/>
        </w:trPr>
        <w:tc>
          <w:tcPr>
            <w:tcW w:w="1300" w:type="dxa"/>
            <w:noWrap/>
            <w:hideMark/>
          </w:tcPr>
          <w:p w14:paraId="324E5F2C" w14:textId="77777777" w:rsidR="001B2E3D" w:rsidRPr="005D0E8C" w:rsidRDefault="001B2E3D" w:rsidP="00C53C4A">
            <w:pPr>
              <w:pStyle w:val="MDPI42tablebody"/>
              <w:keepNext/>
              <w:spacing w:line="240" w:lineRule="auto"/>
              <w:rPr>
                <w:i/>
                <w:iCs/>
              </w:rPr>
            </w:pPr>
            <w:r w:rsidRPr="005D0E8C">
              <w:rPr>
                <w:i/>
                <w:iCs/>
              </w:rPr>
              <w:t>SLC22A3</w:t>
            </w:r>
          </w:p>
        </w:tc>
        <w:tc>
          <w:tcPr>
            <w:tcW w:w="1300" w:type="dxa"/>
            <w:noWrap/>
            <w:hideMark/>
          </w:tcPr>
          <w:p w14:paraId="03A5F2F4" w14:textId="77777777" w:rsidR="001B2E3D" w:rsidRPr="005D0E8C" w:rsidRDefault="001B2E3D" w:rsidP="00C53C4A">
            <w:pPr>
              <w:pStyle w:val="MDPI42tablebody"/>
              <w:keepNext/>
              <w:spacing w:line="240" w:lineRule="auto"/>
            </w:pPr>
            <w:r w:rsidRPr="005D0E8C">
              <w:t>-0.95</w:t>
            </w:r>
          </w:p>
        </w:tc>
        <w:tc>
          <w:tcPr>
            <w:tcW w:w="1300" w:type="dxa"/>
            <w:noWrap/>
            <w:hideMark/>
          </w:tcPr>
          <w:p w14:paraId="10663790" w14:textId="77777777" w:rsidR="001B2E3D" w:rsidRPr="005D0E8C" w:rsidRDefault="001B2E3D" w:rsidP="00C53C4A">
            <w:pPr>
              <w:pStyle w:val="MDPI42tablebody"/>
              <w:keepNext/>
              <w:spacing w:line="240" w:lineRule="auto"/>
            </w:pPr>
            <w:r w:rsidRPr="005D0E8C">
              <w:t>7.94</w:t>
            </w:r>
            <w:r>
              <w:t>×10</w:t>
            </w:r>
            <w:r w:rsidRPr="000846CB">
              <w:rPr>
                <w:vertAlign w:val="superscript"/>
              </w:rPr>
              <w:t>-</w:t>
            </w:r>
            <w:r w:rsidRPr="005D0E8C">
              <w:rPr>
                <w:vertAlign w:val="superscript"/>
              </w:rPr>
              <w:t>12</w:t>
            </w:r>
          </w:p>
        </w:tc>
        <w:tc>
          <w:tcPr>
            <w:tcW w:w="1300" w:type="dxa"/>
            <w:noWrap/>
            <w:hideMark/>
          </w:tcPr>
          <w:p w14:paraId="3C6E3647" w14:textId="77777777" w:rsidR="001B2E3D" w:rsidRPr="005D0E8C" w:rsidRDefault="001B2E3D" w:rsidP="00C53C4A">
            <w:pPr>
              <w:pStyle w:val="MDPI42tablebody"/>
              <w:keepNext/>
              <w:spacing w:line="240" w:lineRule="auto"/>
            </w:pPr>
            <w:r w:rsidRPr="005D0E8C">
              <w:t>8.28</w:t>
            </w:r>
            <w:r>
              <w:t>×10</w:t>
            </w:r>
            <w:r w:rsidRPr="000846CB">
              <w:rPr>
                <w:vertAlign w:val="superscript"/>
              </w:rPr>
              <w:t>-</w:t>
            </w:r>
            <w:r w:rsidRPr="005D0E8C">
              <w:rPr>
                <w:vertAlign w:val="superscript"/>
              </w:rPr>
              <w:t>08</w:t>
            </w:r>
          </w:p>
        </w:tc>
        <w:tc>
          <w:tcPr>
            <w:tcW w:w="2030" w:type="dxa"/>
            <w:noWrap/>
            <w:hideMark/>
          </w:tcPr>
          <w:p w14:paraId="6B2506A6" w14:textId="77777777" w:rsidR="001B2E3D" w:rsidRPr="005D0E8C" w:rsidRDefault="001B2E3D" w:rsidP="00C53C4A">
            <w:pPr>
              <w:pStyle w:val="MDPI42tablebody"/>
              <w:keepNext/>
              <w:spacing w:line="240" w:lineRule="auto"/>
            </w:pPr>
            <w:r w:rsidRPr="005D0E8C">
              <w:t>FALSE</w:t>
            </w:r>
          </w:p>
        </w:tc>
        <w:tc>
          <w:tcPr>
            <w:tcW w:w="1559" w:type="dxa"/>
            <w:noWrap/>
            <w:hideMark/>
          </w:tcPr>
          <w:p w14:paraId="067D0BBD" w14:textId="77777777" w:rsidR="001B2E3D" w:rsidRPr="005D0E8C" w:rsidRDefault="001B2E3D" w:rsidP="00C53C4A">
            <w:pPr>
              <w:pStyle w:val="MDPI42tablebody"/>
              <w:keepNext/>
              <w:spacing w:line="240" w:lineRule="auto"/>
            </w:pPr>
            <w:r w:rsidRPr="005D0E8C">
              <w:t>TRUE</w:t>
            </w:r>
          </w:p>
        </w:tc>
      </w:tr>
      <w:tr w:rsidR="001B2E3D" w:rsidRPr="005D0E8C" w14:paraId="60D2B782" w14:textId="77777777" w:rsidTr="0054652C">
        <w:trPr>
          <w:trHeight w:val="340"/>
        </w:trPr>
        <w:tc>
          <w:tcPr>
            <w:tcW w:w="1300" w:type="dxa"/>
            <w:noWrap/>
            <w:hideMark/>
          </w:tcPr>
          <w:p w14:paraId="2E915CBB" w14:textId="77777777" w:rsidR="001B2E3D" w:rsidRPr="005D0E8C" w:rsidRDefault="001B2E3D" w:rsidP="00C53C4A">
            <w:pPr>
              <w:pStyle w:val="MDPI42tablebody"/>
              <w:keepNext/>
              <w:spacing w:line="240" w:lineRule="auto"/>
              <w:rPr>
                <w:i/>
                <w:iCs/>
              </w:rPr>
            </w:pPr>
            <w:r w:rsidRPr="005D0E8C">
              <w:rPr>
                <w:i/>
                <w:iCs/>
              </w:rPr>
              <w:t>NPY</w:t>
            </w:r>
          </w:p>
        </w:tc>
        <w:tc>
          <w:tcPr>
            <w:tcW w:w="1300" w:type="dxa"/>
            <w:noWrap/>
            <w:hideMark/>
          </w:tcPr>
          <w:p w14:paraId="199F506C" w14:textId="77777777" w:rsidR="001B2E3D" w:rsidRPr="005D0E8C" w:rsidRDefault="001B2E3D" w:rsidP="00C53C4A">
            <w:pPr>
              <w:pStyle w:val="MDPI42tablebody"/>
              <w:keepNext/>
              <w:spacing w:line="240" w:lineRule="auto"/>
            </w:pPr>
            <w:r w:rsidRPr="005D0E8C">
              <w:t>-0.91</w:t>
            </w:r>
          </w:p>
        </w:tc>
        <w:tc>
          <w:tcPr>
            <w:tcW w:w="1300" w:type="dxa"/>
            <w:noWrap/>
            <w:hideMark/>
          </w:tcPr>
          <w:p w14:paraId="0FDCF496" w14:textId="77777777" w:rsidR="001B2E3D" w:rsidRPr="005D0E8C" w:rsidRDefault="001B2E3D" w:rsidP="00C53C4A">
            <w:pPr>
              <w:pStyle w:val="MDPI42tablebody"/>
              <w:keepNext/>
              <w:spacing w:line="240" w:lineRule="auto"/>
            </w:pPr>
            <w:r w:rsidRPr="005D0E8C">
              <w:t>2.84</w:t>
            </w:r>
            <w:r>
              <w:t>×10</w:t>
            </w:r>
            <w:r w:rsidRPr="000846CB">
              <w:rPr>
                <w:vertAlign w:val="superscript"/>
              </w:rPr>
              <w:t>-</w:t>
            </w:r>
            <w:r w:rsidRPr="005D0E8C">
              <w:rPr>
                <w:vertAlign w:val="superscript"/>
              </w:rPr>
              <w:t>04</w:t>
            </w:r>
          </w:p>
        </w:tc>
        <w:tc>
          <w:tcPr>
            <w:tcW w:w="1300" w:type="dxa"/>
            <w:noWrap/>
            <w:hideMark/>
          </w:tcPr>
          <w:p w14:paraId="2A9FDE8F" w14:textId="77777777" w:rsidR="001B2E3D" w:rsidRPr="005D0E8C" w:rsidRDefault="001B2E3D" w:rsidP="00C53C4A">
            <w:pPr>
              <w:pStyle w:val="MDPI42tablebody"/>
              <w:keepNext/>
              <w:spacing w:line="240" w:lineRule="auto"/>
            </w:pPr>
            <w:r w:rsidRPr="005D0E8C">
              <w:t>1.32</w:t>
            </w:r>
            <w:r>
              <w:t>×10</w:t>
            </w:r>
            <w:r w:rsidRPr="000846CB">
              <w:rPr>
                <w:vertAlign w:val="superscript"/>
              </w:rPr>
              <w:t>-</w:t>
            </w:r>
            <w:r w:rsidRPr="005D0E8C">
              <w:rPr>
                <w:vertAlign w:val="superscript"/>
              </w:rPr>
              <w:t>02</w:t>
            </w:r>
          </w:p>
        </w:tc>
        <w:tc>
          <w:tcPr>
            <w:tcW w:w="2030" w:type="dxa"/>
            <w:noWrap/>
            <w:hideMark/>
          </w:tcPr>
          <w:p w14:paraId="5229D30A" w14:textId="77777777" w:rsidR="001B2E3D" w:rsidRPr="005D0E8C" w:rsidRDefault="001B2E3D" w:rsidP="00C53C4A">
            <w:pPr>
              <w:pStyle w:val="MDPI42tablebody"/>
              <w:keepNext/>
              <w:spacing w:line="240" w:lineRule="auto"/>
            </w:pPr>
            <w:r w:rsidRPr="005D0E8C">
              <w:t>FALSE</w:t>
            </w:r>
          </w:p>
        </w:tc>
        <w:tc>
          <w:tcPr>
            <w:tcW w:w="1559" w:type="dxa"/>
            <w:noWrap/>
            <w:hideMark/>
          </w:tcPr>
          <w:p w14:paraId="2991FE3A" w14:textId="77777777" w:rsidR="001B2E3D" w:rsidRPr="005D0E8C" w:rsidRDefault="001B2E3D" w:rsidP="00C53C4A">
            <w:pPr>
              <w:pStyle w:val="MDPI42tablebody"/>
              <w:keepNext/>
              <w:spacing w:line="240" w:lineRule="auto"/>
            </w:pPr>
            <w:r w:rsidRPr="005D0E8C">
              <w:t>FALSE</w:t>
            </w:r>
          </w:p>
        </w:tc>
      </w:tr>
      <w:tr w:rsidR="001B2E3D" w:rsidRPr="005D0E8C" w14:paraId="39713A96" w14:textId="77777777" w:rsidTr="0054652C">
        <w:trPr>
          <w:trHeight w:val="340"/>
        </w:trPr>
        <w:tc>
          <w:tcPr>
            <w:tcW w:w="1300" w:type="dxa"/>
            <w:noWrap/>
            <w:hideMark/>
          </w:tcPr>
          <w:p w14:paraId="0ED6D829" w14:textId="77777777" w:rsidR="001B2E3D" w:rsidRPr="005D0E8C" w:rsidRDefault="001B2E3D" w:rsidP="00C53C4A">
            <w:pPr>
              <w:pStyle w:val="MDPI42tablebody"/>
              <w:keepNext/>
              <w:spacing w:line="240" w:lineRule="auto"/>
              <w:rPr>
                <w:i/>
                <w:iCs/>
              </w:rPr>
            </w:pPr>
            <w:r w:rsidRPr="005D0E8C">
              <w:rPr>
                <w:i/>
                <w:iCs/>
              </w:rPr>
              <w:t>MSMB</w:t>
            </w:r>
          </w:p>
        </w:tc>
        <w:tc>
          <w:tcPr>
            <w:tcW w:w="1300" w:type="dxa"/>
            <w:noWrap/>
            <w:hideMark/>
          </w:tcPr>
          <w:p w14:paraId="632F5FE1" w14:textId="77777777" w:rsidR="001B2E3D" w:rsidRPr="005D0E8C" w:rsidRDefault="001B2E3D" w:rsidP="00C53C4A">
            <w:pPr>
              <w:pStyle w:val="MDPI42tablebody"/>
              <w:keepNext/>
              <w:spacing w:line="240" w:lineRule="auto"/>
            </w:pPr>
            <w:r w:rsidRPr="005D0E8C">
              <w:t>-0.89</w:t>
            </w:r>
          </w:p>
        </w:tc>
        <w:tc>
          <w:tcPr>
            <w:tcW w:w="1300" w:type="dxa"/>
            <w:noWrap/>
            <w:hideMark/>
          </w:tcPr>
          <w:p w14:paraId="2B7E236A" w14:textId="77777777" w:rsidR="001B2E3D" w:rsidRPr="005D0E8C" w:rsidRDefault="001B2E3D" w:rsidP="00C53C4A">
            <w:pPr>
              <w:pStyle w:val="MDPI42tablebody"/>
              <w:keepNext/>
              <w:spacing w:line="240" w:lineRule="auto"/>
            </w:pPr>
            <w:r w:rsidRPr="005D0E8C">
              <w:t>1.22</w:t>
            </w:r>
            <w:r>
              <w:t>×10</w:t>
            </w:r>
            <w:r w:rsidRPr="000846CB">
              <w:rPr>
                <w:vertAlign w:val="superscript"/>
              </w:rPr>
              <w:t>-</w:t>
            </w:r>
            <w:r w:rsidRPr="005D0E8C">
              <w:rPr>
                <w:vertAlign w:val="superscript"/>
              </w:rPr>
              <w:t>05</w:t>
            </w:r>
          </w:p>
        </w:tc>
        <w:tc>
          <w:tcPr>
            <w:tcW w:w="1300" w:type="dxa"/>
            <w:noWrap/>
            <w:hideMark/>
          </w:tcPr>
          <w:p w14:paraId="212169D5" w14:textId="77777777" w:rsidR="001B2E3D" w:rsidRPr="005D0E8C" w:rsidRDefault="001B2E3D" w:rsidP="00C53C4A">
            <w:pPr>
              <w:pStyle w:val="MDPI42tablebody"/>
              <w:keepNext/>
              <w:spacing w:line="240" w:lineRule="auto"/>
            </w:pPr>
            <w:r w:rsidRPr="005D0E8C">
              <w:t>1.84</w:t>
            </w:r>
            <w:r>
              <w:t>×10</w:t>
            </w:r>
            <w:r w:rsidRPr="000846CB">
              <w:rPr>
                <w:vertAlign w:val="superscript"/>
              </w:rPr>
              <w:t>-</w:t>
            </w:r>
            <w:r w:rsidRPr="005D0E8C">
              <w:rPr>
                <w:vertAlign w:val="superscript"/>
              </w:rPr>
              <w:t>03</w:t>
            </w:r>
          </w:p>
        </w:tc>
        <w:tc>
          <w:tcPr>
            <w:tcW w:w="2030" w:type="dxa"/>
            <w:noWrap/>
            <w:hideMark/>
          </w:tcPr>
          <w:p w14:paraId="19E5DF6E" w14:textId="77777777" w:rsidR="001B2E3D" w:rsidRPr="005D0E8C" w:rsidRDefault="001B2E3D" w:rsidP="00C53C4A">
            <w:pPr>
              <w:pStyle w:val="MDPI42tablebody"/>
              <w:keepNext/>
              <w:spacing w:line="240" w:lineRule="auto"/>
            </w:pPr>
            <w:r w:rsidRPr="005D0E8C">
              <w:t>FALSE</w:t>
            </w:r>
          </w:p>
        </w:tc>
        <w:tc>
          <w:tcPr>
            <w:tcW w:w="1559" w:type="dxa"/>
            <w:noWrap/>
            <w:hideMark/>
          </w:tcPr>
          <w:p w14:paraId="22B94AA4" w14:textId="77777777" w:rsidR="001B2E3D" w:rsidRPr="005D0E8C" w:rsidRDefault="001B2E3D" w:rsidP="00C53C4A">
            <w:pPr>
              <w:pStyle w:val="MDPI42tablebody"/>
              <w:keepNext/>
              <w:spacing w:line="240" w:lineRule="auto"/>
            </w:pPr>
            <w:r w:rsidRPr="005D0E8C">
              <w:t>TRUE</w:t>
            </w:r>
          </w:p>
        </w:tc>
      </w:tr>
      <w:tr w:rsidR="001B2E3D" w:rsidRPr="005D0E8C" w14:paraId="5D37ED8F" w14:textId="77777777" w:rsidTr="0054652C">
        <w:trPr>
          <w:trHeight w:val="340"/>
        </w:trPr>
        <w:tc>
          <w:tcPr>
            <w:tcW w:w="1300" w:type="dxa"/>
            <w:noWrap/>
            <w:hideMark/>
          </w:tcPr>
          <w:p w14:paraId="47E1717F" w14:textId="77777777" w:rsidR="001B2E3D" w:rsidRPr="005D0E8C" w:rsidRDefault="001B2E3D" w:rsidP="00C53C4A">
            <w:pPr>
              <w:pStyle w:val="MDPI42tablebody"/>
              <w:keepNext/>
              <w:spacing w:line="240" w:lineRule="auto"/>
              <w:rPr>
                <w:i/>
                <w:iCs/>
              </w:rPr>
            </w:pPr>
            <w:r w:rsidRPr="005D0E8C">
              <w:rPr>
                <w:i/>
                <w:iCs/>
              </w:rPr>
              <w:t>MT1G</w:t>
            </w:r>
          </w:p>
        </w:tc>
        <w:tc>
          <w:tcPr>
            <w:tcW w:w="1300" w:type="dxa"/>
            <w:noWrap/>
            <w:hideMark/>
          </w:tcPr>
          <w:p w14:paraId="2ECBE948" w14:textId="77777777" w:rsidR="001B2E3D" w:rsidRPr="005D0E8C" w:rsidRDefault="001B2E3D" w:rsidP="00C53C4A">
            <w:pPr>
              <w:pStyle w:val="MDPI42tablebody"/>
              <w:keepNext/>
              <w:spacing w:line="240" w:lineRule="auto"/>
            </w:pPr>
            <w:r w:rsidRPr="005D0E8C">
              <w:t>-0.86</w:t>
            </w:r>
          </w:p>
        </w:tc>
        <w:tc>
          <w:tcPr>
            <w:tcW w:w="1300" w:type="dxa"/>
            <w:noWrap/>
            <w:hideMark/>
          </w:tcPr>
          <w:p w14:paraId="5FC14852" w14:textId="77777777" w:rsidR="001B2E3D" w:rsidRPr="005D0E8C" w:rsidRDefault="001B2E3D" w:rsidP="00C53C4A">
            <w:pPr>
              <w:pStyle w:val="MDPI42tablebody"/>
              <w:keepNext/>
              <w:spacing w:line="240" w:lineRule="auto"/>
            </w:pPr>
            <w:r w:rsidRPr="005D0E8C">
              <w:t>4.51</w:t>
            </w:r>
            <w:r>
              <w:t>×10</w:t>
            </w:r>
            <w:r w:rsidRPr="000846CB">
              <w:rPr>
                <w:vertAlign w:val="superscript"/>
              </w:rPr>
              <w:t>-</w:t>
            </w:r>
            <w:r w:rsidRPr="005D0E8C">
              <w:rPr>
                <w:vertAlign w:val="superscript"/>
              </w:rPr>
              <w:t>07</w:t>
            </w:r>
          </w:p>
        </w:tc>
        <w:tc>
          <w:tcPr>
            <w:tcW w:w="1300" w:type="dxa"/>
            <w:noWrap/>
            <w:hideMark/>
          </w:tcPr>
          <w:p w14:paraId="1500517A" w14:textId="77777777" w:rsidR="001B2E3D" w:rsidRPr="005D0E8C" w:rsidRDefault="001B2E3D" w:rsidP="00C53C4A">
            <w:pPr>
              <w:pStyle w:val="MDPI42tablebody"/>
              <w:keepNext/>
              <w:spacing w:line="240" w:lineRule="auto"/>
            </w:pPr>
            <w:r w:rsidRPr="005D0E8C">
              <w:t>1.54</w:t>
            </w:r>
            <w:r>
              <w:t>×10</w:t>
            </w:r>
            <w:r w:rsidRPr="000846CB">
              <w:rPr>
                <w:vertAlign w:val="superscript"/>
              </w:rPr>
              <w:t>-</w:t>
            </w:r>
            <w:r w:rsidRPr="005D0E8C">
              <w:rPr>
                <w:vertAlign w:val="superscript"/>
              </w:rPr>
              <w:t>04</w:t>
            </w:r>
          </w:p>
        </w:tc>
        <w:tc>
          <w:tcPr>
            <w:tcW w:w="2030" w:type="dxa"/>
            <w:noWrap/>
            <w:hideMark/>
          </w:tcPr>
          <w:p w14:paraId="48426713" w14:textId="77777777" w:rsidR="001B2E3D" w:rsidRPr="005D0E8C" w:rsidRDefault="001B2E3D" w:rsidP="00C53C4A">
            <w:pPr>
              <w:pStyle w:val="MDPI42tablebody"/>
              <w:keepNext/>
              <w:spacing w:line="240" w:lineRule="auto"/>
            </w:pPr>
            <w:r w:rsidRPr="005D0E8C">
              <w:t>FALSE</w:t>
            </w:r>
          </w:p>
        </w:tc>
        <w:tc>
          <w:tcPr>
            <w:tcW w:w="1559" w:type="dxa"/>
            <w:noWrap/>
            <w:hideMark/>
          </w:tcPr>
          <w:p w14:paraId="36790EC2" w14:textId="77777777" w:rsidR="001B2E3D" w:rsidRPr="005D0E8C" w:rsidRDefault="001B2E3D" w:rsidP="00C53C4A">
            <w:pPr>
              <w:pStyle w:val="MDPI42tablebody"/>
              <w:keepNext/>
              <w:spacing w:line="240" w:lineRule="auto"/>
            </w:pPr>
            <w:r w:rsidRPr="005D0E8C">
              <w:t>TRUE</w:t>
            </w:r>
          </w:p>
        </w:tc>
      </w:tr>
      <w:tr w:rsidR="001B2E3D" w:rsidRPr="005D0E8C" w14:paraId="31C9415A" w14:textId="77777777" w:rsidTr="0054652C">
        <w:trPr>
          <w:trHeight w:val="340"/>
        </w:trPr>
        <w:tc>
          <w:tcPr>
            <w:tcW w:w="1300" w:type="dxa"/>
            <w:noWrap/>
            <w:hideMark/>
          </w:tcPr>
          <w:p w14:paraId="45A172EC" w14:textId="77777777" w:rsidR="001B2E3D" w:rsidRPr="005D0E8C" w:rsidRDefault="001B2E3D" w:rsidP="00C53C4A">
            <w:pPr>
              <w:pStyle w:val="MDPI42tablebody"/>
              <w:keepNext/>
              <w:spacing w:line="240" w:lineRule="auto"/>
              <w:rPr>
                <w:i/>
                <w:iCs/>
              </w:rPr>
            </w:pPr>
            <w:r w:rsidRPr="005D0E8C">
              <w:rPr>
                <w:i/>
                <w:iCs/>
              </w:rPr>
              <w:t>MT1M</w:t>
            </w:r>
          </w:p>
        </w:tc>
        <w:tc>
          <w:tcPr>
            <w:tcW w:w="1300" w:type="dxa"/>
            <w:noWrap/>
            <w:hideMark/>
          </w:tcPr>
          <w:p w14:paraId="5DC297C2" w14:textId="77777777" w:rsidR="001B2E3D" w:rsidRPr="005D0E8C" w:rsidRDefault="001B2E3D" w:rsidP="00C53C4A">
            <w:pPr>
              <w:pStyle w:val="MDPI42tablebody"/>
              <w:keepNext/>
              <w:spacing w:line="240" w:lineRule="auto"/>
            </w:pPr>
            <w:r w:rsidRPr="005D0E8C">
              <w:t>-0.85</w:t>
            </w:r>
          </w:p>
        </w:tc>
        <w:tc>
          <w:tcPr>
            <w:tcW w:w="1300" w:type="dxa"/>
            <w:noWrap/>
            <w:hideMark/>
          </w:tcPr>
          <w:p w14:paraId="0D44C705" w14:textId="77777777" w:rsidR="001B2E3D" w:rsidRPr="005D0E8C" w:rsidRDefault="001B2E3D" w:rsidP="00C53C4A">
            <w:pPr>
              <w:pStyle w:val="MDPI42tablebody"/>
              <w:keepNext/>
              <w:spacing w:line="240" w:lineRule="auto"/>
            </w:pPr>
            <w:r w:rsidRPr="005D0E8C">
              <w:t>8.34</w:t>
            </w:r>
            <w:r>
              <w:t>×10</w:t>
            </w:r>
            <w:r w:rsidRPr="000846CB">
              <w:rPr>
                <w:vertAlign w:val="superscript"/>
              </w:rPr>
              <w:t>-</w:t>
            </w:r>
            <w:r w:rsidRPr="005D0E8C">
              <w:rPr>
                <w:vertAlign w:val="superscript"/>
              </w:rPr>
              <w:t>06</w:t>
            </w:r>
          </w:p>
        </w:tc>
        <w:tc>
          <w:tcPr>
            <w:tcW w:w="1300" w:type="dxa"/>
            <w:noWrap/>
            <w:hideMark/>
          </w:tcPr>
          <w:p w14:paraId="2293C09E" w14:textId="77777777" w:rsidR="001B2E3D" w:rsidRPr="005D0E8C" w:rsidRDefault="001B2E3D" w:rsidP="00C53C4A">
            <w:pPr>
              <w:pStyle w:val="MDPI42tablebody"/>
              <w:keepNext/>
              <w:spacing w:line="240" w:lineRule="auto"/>
            </w:pPr>
            <w:r w:rsidRPr="005D0E8C">
              <w:t>1.32</w:t>
            </w:r>
            <w:r>
              <w:t>×10</w:t>
            </w:r>
            <w:r w:rsidRPr="000846CB">
              <w:rPr>
                <w:vertAlign w:val="superscript"/>
              </w:rPr>
              <w:t>-</w:t>
            </w:r>
            <w:r w:rsidRPr="005D0E8C">
              <w:rPr>
                <w:vertAlign w:val="superscript"/>
              </w:rPr>
              <w:t>03</w:t>
            </w:r>
          </w:p>
        </w:tc>
        <w:tc>
          <w:tcPr>
            <w:tcW w:w="2030" w:type="dxa"/>
            <w:noWrap/>
            <w:hideMark/>
          </w:tcPr>
          <w:p w14:paraId="195130E9" w14:textId="77777777" w:rsidR="001B2E3D" w:rsidRPr="005D0E8C" w:rsidRDefault="001B2E3D" w:rsidP="00C53C4A">
            <w:pPr>
              <w:pStyle w:val="MDPI42tablebody"/>
              <w:keepNext/>
              <w:spacing w:line="240" w:lineRule="auto"/>
            </w:pPr>
            <w:r w:rsidRPr="005D0E8C">
              <w:t>TRUE</w:t>
            </w:r>
          </w:p>
        </w:tc>
        <w:tc>
          <w:tcPr>
            <w:tcW w:w="1559" w:type="dxa"/>
            <w:noWrap/>
            <w:hideMark/>
          </w:tcPr>
          <w:p w14:paraId="5ACE275F" w14:textId="77777777" w:rsidR="001B2E3D" w:rsidRPr="005D0E8C" w:rsidRDefault="001B2E3D" w:rsidP="00C53C4A">
            <w:pPr>
              <w:pStyle w:val="MDPI42tablebody"/>
              <w:keepNext/>
              <w:spacing w:line="240" w:lineRule="auto"/>
            </w:pPr>
            <w:r w:rsidRPr="005D0E8C">
              <w:t>TRUE</w:t>
            </w:r>
          </w:p>
        </w:tc>
      </w:tr>
      <w:tr w:rsidR="001B2E3D" w:rsidRPr="005D0E8C" w14:paraId="219D4FCA" w14:textId="77777777" w:rsidTr="0054652C">
        <w:trPr>
          <w:trHeight w:val="340"/>
        </w:trPr>
        <w:tc>
          <w:tcPr>
            <w:tcW w:w="1300" w:type="dxa"/>
            <w:noWrap/>
            <w:hideMark/>
          </w:tcPr>
          <w:p w14:paraId="10DCEB5F" w14:textId="77777777" w:rsidR="001B2E3D" w:rsidRPr="005D0E8C" w:rsidRDefault="001B2E3D" w:rsidP="00C53C4A">
            <w:pPr>
              <w:pStyle w:val="MDPI42tablebody"/>
              <w:keepNext/>
              <w:spacing w:line="240" w:lineRule="auto"/>
              <w:rPr>
                <w:i/>
                <w:iCs/>
              </w:rPr>
            </w:pPr>
            <w:r w:rsidRPr="005D0E8C">
              <w:rPr>
                <w:i/>
                <w:iCs/>
              </w:rPr>
              <w:t>COMP</w:t>
            </w:r>
          </w:p>
        </w:tc>
        <w:tc>
          <w:tcPr>
            <w:tcW w:w="1300" w:type="dxa"/>
            <w:noWrap/>
            <w:hideMark/>
          </w:tcPr>
          <w:p w14:paraId="063E4E8B" w14:textId="77777777" w:rsidR="001B2E3D" w:rsidRPr="005D0E8C" w:rsidRDefault="001B2E3D" w:rsidP="00C53C4A">
            <w:pPr>
              <w:pStyle w:val="MDPI42tablebody"/>
              <w:keepNext/>
              <w:spacing w:line="240" w:lineRule="auto"/>
            </w:pPr>
            <w:r w:rsidRPr="005D0E8C">
              <w:t>0.84</w:t>
            </w:r>
          </w:p>
        </w:tc>
        <w:tc>
          <w:tcPr>
            <w:tcW w:w="1300" w:type="dxa"/>
            <w:noWrap/>
            <w:hideMark/>
          </w:tcPr>
          <w:p w14:paraId="1F57D25C" w14:textId="77777777" w:rsidR="001B2E3D" w:rsidRPr="005D0E8C" w:rsidRDefault="001B2E3D" w:rsidP="00C53C4A">
            <w:pPr>
              <w:pStyle w:val="MDPI42tablebody"/>
              <w:keepNext/>
              <w:spacing w:line="240" w:lineRule="auto"/>
            </w:pPr>
            <w:r w:rsidRPr="005D0E8C">
              <w:t>8.81</w:t>
            </w:r>
            <w:r>
              <w:t>×10</w:t>
            </w:r>
            <w:r w:rsidRPr="000846CB">
              <w:rPr>
                <w:vertAlign w:val="superscript"/>
              </w:rPr>
              <w:t>-</w:t>
            </w:r>
            <w:r w:rsidRPr="005D0E8C">
              <w:rPr>
                <w:vertAlign w:val="superscript"/>
              </w:rPr>
              <w:t>09</w:t>
            </w:r>
          </w:p>
        </w:tc>
        <w:tc>
          <w:tcPr>
            <w:tcW w:w="1300" w:type="dxa"/>
            <w:noWrap/>
            <w:hideMark/>
          </w:tcPr>
          <w:p w14:paraId="072DDF2E" w14:textId="77777777" w:rsidR="001B2E3D" w:rsidRPr="005D0E8C" w:rsidRDefault="001B2E3D" w:rsidP="00C53C4A">
            <w:pPr>
              <w:pStyle w:val="MDPI42tablebody"/>
              <w:keepNext/>
              <w:spacing w:line="240" w:lineRule="auto"/>
            </w:pPr>
            <w:r w:rsidRPr="005D0E8C">
              <w:t>1.02</w:t>
            </w:r>
            <w:r>
              <w:t>×10</w:t>
            </w:r>
            <w:r w:rsidRPr="000846CB">
              <w:rPr>
                <w:vertAlign w:val="superscript"/>
              </w:rPr>
              <w:t>-</w:t>
            </w:r>
            <w:r w:rsidRPr="005D0E8C">
              <w:rPr>
                <w:vertAlign w:val="superscript"/>
              </w:rPr>
              <w:t>05</w:t>
            </w:r>
          </w:p>
        </w:tc>
        <w:tc>
          <w:tcPr>
            <w:tcW w:w="2030" w:type="dxa"/>
            <w:noWrap/>
            <w:hideMark/>
          </w:tcPr>
          <w:p w14:paraId="05D78D54" w14:textId="77777777" w:rsidR="001B2E3D" w:rsidRPr="005D0E8C" w:rsidRDefault="001B2E3D" w:rsidP="00C53C4A">
            <w:pPr>
              <w:pStyle w:val="MDPI42tablebody"/>
              <w:keepNext/>
              <w:spacing w:line="240" w:lineRule="auto"/>
            </w:pPr>
            <w:r w:rsidRPr="005D0E8C">
              <w:t>FALSE</w:t>
            </w:r>
          </w:p>
        </w:tc>
        <w:tc>
          <w:tcPr>
            <w:tcW w:w="1559" w:type="dxa"/>
            <w:noWrap/>
            <w:hideMark/>
          </w:tcPr>
          <w:p w14:paraId="39558A09" w14:textId="77777777" w:rsidR="001B2E3D" w:rsidRPr="005D0E8C" w:rsidRDefault="001B2E3D" w:rsidP="00C53C4A">
            <w:pPr>
              <w:pStyle w:val="MDPI42tablebody"/>
              <w:keepNext/>
              <w:spacing w:line="240" w:lineRule="auto"/>
            </w:pPr>
            <w:r w:rsidRPr="005D0E8C">
              <w:t>TRUE</w:t>
            </w:r>
          </w:p>
        </w:tc>
      </w:tr>
      <w:tr w:rsidR="001B2E3D" w:rsidRPr="005D0E8C" w14:paraId="61C2D729" w14:textId="77777777" w:rsidTr="0054652C">
        <w:trPr>
          <w:trHeight w:val="340"/>
        </w:trPr>
        <w:tc>
          <w:tcPr>
            <w:tcW w:w="1300" w:type="dxa"/>
            <w:noWrap/>
            <w:hideMark/>
          </w:tcPr>
          <w:p w14:paraId="2B0ACE07" w14:textId="77777777" w:rsidR="001B2E3D" w:rsidRPr="005D0E8C" w:rsidRDefault="001B2E3D" w:rsidP="00C53C4A">
            <w:pPr>
              <w:pStyle w:val="MDPI42tablebody"/>
              <w:keepNext/>
              <w:spacing w:line="240" w:lineRule="auto"/>
              <w:rPr>
                <w:i/>
                <w:iCs/>
              </w:rPr>
            </w:pPr>
            <w:r w:rsidRPr="005D0E8C">
              <w:rPr>
                <w:i/>
                <w:iCs/>
              </w:rPr>
              <w:t>KRT15</w:t>
            </w:r>
          </w:p>
        </w:tc>
        <w:tc>
          <w:tcPr>
            <w:tcW w:w="1300" w:type="dxa"/>
            <w:noWrap/>
            <w:hideMark/>
          </w:tcPr>
          <w:p w14:paraId="588EAD9F" w14:textId="77777777" w:rsidR="001B2E3D" w:rsidRPr="005D0E8C" w:rsidRDefault="001B2E3D" w:rsidP="00C53C4A">
            <w:pPr>
              <w:pStyle w:val="MDPI42tablebody"/>
              <w:keepNext/>
              <w:spacing w:line="240" w:lineRule="auto"/>
            </w:pPr>
            <w:r w:rsidRPr="005D0E8C">
              <w:t>-0.77</w:t>
            </w:r>
          </w:p>
        </w:tc>
        <w:tc>
          <w:tcPr>
            <w:tcW w:w="1300" w:type="dxa"/>
            <w:noWrap/>
            <w:hideMark/>
          </w:tcPr>
          <w:p w14:paraId="74A786BF" w14:textId="77777777" w:rsidR="001B2E3D" w:rsidRPr="005D0E8C" w:rsidRDefault="001B2E3D" w:rsidP="00C53C4A">
            <w:pPr>
              <w:pStyle w:val="MDPI42tablebody"/>
              <w:keepNext/>
              <w:spacing w:line="240" w:lineRule="auto"/>
            </w:pPr>
            <w:r w:rsidRPr="005D0E8C">
              <w:t>1.66</w:t>
            </w:r>
            <w:r>
              <w:t>×10</w:t>
            </w:r>
            <w:r w:rsidRPr="000846CB">
              <w:rPr>
                <w:vertAlign w:val="superscript"/>
              </w:rPr>
              <w:t>-</w:t>
            </w:r>
            <w:r w:rsidRPr="005D0E8C">
              <w:rPr>
                <w:vertAlign w:val="superscript"/>
              </w:rPr>
              <w:t>05</w:t>
            </w:r>
          </w:p>
        </w:tc>
        <w:tc>
          <w:tcPr>
            <w:tcW w:w="1300" w:type="dxa"/>
            <w:noWrap/>
            <w:hideMark/>
          </w:tcPr>
          <w:p w14:paraId="59E9535B" w14:textId="77777777" w:rsidR="001B2E3D" w:rsidRPr="005D0E8C" w:rsidRDefault="001B2E3D" w:rsidP="00C53C4A">
            <w:pPr>
              <w:pStyle w:val="MDPI42tablebody"/>
              <w:keepNext/>
              <w:spacing w:line="240" w:lineRule="auto"/>
            </w:pPr>
            <w:r w:rsidRPr="005D0E8C">
              <w:t>2.25</w:t>
            </w:r>
            <w:r>
              <w:t>×10</w:t>
            </w:r>
            <w:r w:rsidRPr="000846CB">
              <w:rPr>
                <w:vertAlign w:val="superscript"/>
              </w:rPr>
              <w:t>-</w:t>
            </w:r>
            <w:r w:rsidRPr="005D0E8C">
              <w:rPr>
                <w:vertAlign w:val="superscript"/>
              </w:rPr>
              <w:t>03</w:t>
            </w:r>
          </w:p>
        </w:tc>
        <w:tc>
          <w:tcPr>
            <w:tcW w:w="2030" w:type="dxa"/>
            <w:noWrap/>
            <w:hideMark/>
          </w:tcPr>
          <w:p w14:paraId="672FC191" w14:textId="77777777" w:rsidR="001B2E3D" w:rsidRPr="005D0E8C" w:rsidRDefault="001B2E3D" w:rsidP="00C53C4A">
            <w:pPr>
              <w:pStyle w:val="MDPI42tablebody"/>
              <w:keepNext/>
              <w:spacing w:line="240" w:lineRule="auto"/>
            </w:pPr>
            <w:r w:rsidRPr="005D0E8C">
              <w:t>FALSE</w:t>
            </w:r>
          </w:p>
        </w:tc>
        <w:tc>
          <w:tcPr>
            <w:tcW w:w="1559" w:type="dxa"/>
            <w:noWrap/>
            <w:hideMark/>
          </w:tcPr>
          <w:p w14:paraId="2E21CD04" w14:textId="77777777" w:rsidR="001B2E3D" w:rsidRPr="005D0E8C" w:rsidRDefault="001B2E3D" w:rsidP="00C53C4A">
            <w:pPr>
              <w:pStyle w:val="MDPI42tablebody"/>
              <w:keepNext/>
              <w:spacing w:line="240" w:lineRule="auto"/>
            </w:pPr>
            <w:r w:rsidRPr="005D0E8C">
              <w:t>TRUE</w:t>
            </w:r>
          </w:p>
        </w:tc>
      </w:tr>
      <w:tr w:rsidR="001B2E3D" w:rsidRPr="005D0E8C" w14:paraId="7F14383D" w14:textId="77777777" w:rsidTr="0054652C">
        <w:trPr>
          <w:trHeight w:val="340"/>
        </w:trPr>
        <w:tc>
          <w:tcPr>
            <w:tcW w:w="1300" w:type="dxa"/>
            <w:noWrap/>
            <w:hideMark/>
          </w:tcPr>
          <w:p w14:paraId="0AC52F64" w14:textId="77777777" w:rsidR="001B2E3D" w:rsidRPr="005D0E8C" w:rsidRDefault="001B2E3D" w:rsidP="00C53C4A">
            <w:pPr>
              <w:pStyle w:val="MDPI42tablebody"/>
              <w:keepNext/>
              <w:spacing w:line="240" w:lineRule="auto"/>
              <w:rPr>
                <w:i/>
                <w:iCs/>
              </w:rPr>
            </w:pPr>
            <w:r w:rsidRPr="005D0E8C">
              <w:rPr>
                <w:i/>
                <w:iCs/>
              </w:rPr>
              <w:t>SFRP4</w:t>
            </w:r>
          </w:p>
        </w:tc>
        <w:tc>
          <w:tcPr>
            <w:tcW w:w="1300" w:type="dxa"/>
            <w:noWrap/>
            <w:hideMark/>
          </w:tcPr>
          <w:p w14:paraId="49B7CD98" w14:textId="77777777" w:rsidR="001B2E3D" w:rsidRPr="005D0E8C" w:rsidRDefault="001B2E3D" w:rsidP="00C53C4A">
            <w:pPr>
              <w:pStyle w:val="MDPI42tablebody"/>
              <w:keepNext/>
              <w:spacing w:line="240" w:lineRule="auto"/>
            </w:pPr>
            <w:r w:rsidRPr="005D0E8C">
              <w:t>0.76</w:t>
            </w:r>
          </w:p>
        </w:tc>
        <w:tc>
          <w:tcPr>
            <w:tcW w:w="1300" w:type="dxa"/>
            <w:noWrap/>
            <w:hideMark/>
          </w:tcPr>
          <w:p w14:paraId="2B5717E3" w14:textId="77777777" w:rsidR="001B2E3D" w:rsidRPr="005D0E8C" w:rsidRDefault="001B2E3D" w:rsidP="00C53C4A">
            <w:pPr>
              <w:pStyle w:val="MDPI42tablebody"/>
              <w:keepNext/>
              <w:spacing w:line="240" w:lineRule="auto"/>
            </w:pPr>
            <w:r w:rsidRPr="005D0E8C">
              <w:t>2.39</w:t>
            </w:r>
            <w:r>
              <w:t>×10</w:t>
            </w:r>
            <w:r w:rsidRPr="000846CB">
              <w:rPr>
                <w:vertAlign w:val="superscript"/>
              </w:rPr>
              <w:t>-</w:t>
            </w:r>
            <w:r w:rsidRPr="005D0E8C">
              <w:rPr>
                <w:vertAlign w:val="superscript"/>
              </w:rPr>
              <w:t>08</w:t>
            </w:r>
          </w:p>
        </w:tc>
        <w:tc>
          <w:tcPr>
            <w:tcW w:w="1300" w:type="dxa"/>
            <w:noWrap/>
            <w:hideMark/>
          </w:tcPr>
          <w:p w14:paraId="473C26DF" w14:textId="77777777" w:rsidR="001B2E3D" w:rsidRPr="005D0E8C" w:rsidRDefault="001B2E3D" w:rsidP="00C53C4A">
            <w:pPr>
              <w:pStyle w:val="MDPI42tablebody"/>
              <w:keepNext/>
              <w:spacing w:line="240" w:lineRule="auto"/>
            </w:pPr>
            <w:r w:rsidRPr="005D0E8C">
              <w:t>1.66</w:t>
            </w:r>
            <w:r>
              <w:t>×10</w:t>
            </w:r>
            <w:r w:rsidRPr="000846CB">
              <w:rPr>
                <w:vertAlign w:val="superscript"/>
              </w:rPr>
              <w:t>-</w:t>
            </w:r>
            <w:r w:rsidRPr="005D0E8C">
              <w:rPr>
                <w:vertAlign w:val="superscript"/>
              </w:rPr>
              <w:t>05</w:t>
            </w:r>
          </w:p>
        </w:tc>
        <w:tc>
          <w:tcPr>
            <w:tcW w:w="2030" w:type="dxa"/>
            <w:noWrap/>
            <w:hideMark/>
          </w:tcPr>
          <w:p w14:paraId="69AC16D2" w14:textId="77777777" w:rsidR="001B2E3D" w:rsidRPr="005D0E8C" w:rsidRDefault="001B2E3D" w:rsidP="00C53C4A">
            <w:pPr>
              <w:pStyle w:val="MDPI42tablebody"/>
              <w:keepNext/>
              <w:spacing w:line="240" w:lineRule="auto"/>
            </w:pPr>
            <w:r w:rsidRPr="005D0E8C">
              <w:t>FALSE</w:t>
            </w:r>
          </w:p>
        </w:tc>
        <w:tc>
          <w:tcPr>
            <w:tcW w:w="1559" w:type="dxa"/>
            <w:noWrap/>
            <w:hideMark/>
          </w:tcPr>
          <w:p w14:paraId="09F46004" w14:textId="77777777" w:rsidR="001B2E3D" w:rsidRPr="005D0E8C" w:rsidRDefault="001B2E3D" w:rsidP="00C53C4A">
            <w:pPr>
              <w:pStyle w:val="MDPI42tablebody"/>
              <w:keepNext/>
              <w:spacing w:line="240" w:lineRule="auto"/>
            </w:pPr>
            <w:r w:rsidRPr="005D0E8C">
              <w:t>TRUE</w:t>
            </w:r>
          </w:p>
        </w:tc>
      </w:tr>
    </w:tbl>
    <w:p w14:paraId="45BE849B" w14:textId="77777777" w:rsidR="001B2E3D" w:rsidRDefault="001B2E3D" w:rsidP="001B2E3D"/>
    <w:p w14:paraId="38F1FF4F" w14:textId="77777777" w:rsidR="001B2E3D" w:rsidRPr="004F6BD1" w:rsidRDefault="001B2E3D" w:rsidP="001B2E3D">
      <w:pPr>
        <w:pStyle w:val="MDPI41tablecaption"/>
        <w:rPr>
          <w:b/>
          <w:bCs/>
        </w:rPr>
      </w:pPr>
      <w:r w:rsidRPr="002C1701">
        <w:rPr>
          <w:b/>
          <w:bCs/>
        </w:rPr>
        <w:t xml:space="preserve">Table </w:t>
      </w:r>
      <w:r>
        <w:rPr>
          <w:b/>
          <w:bCs/>
        </w:rPr>
        <w:t>6</w:t>
      </w:r>
      <w:r w:rsidRPr="002C1701">
        <w:t>.</w:t>
      </w:r>
      <w:r>
        <w:t xml:space="preserve"> Reactome pathways found to be significantly enriched for significantly upregulated or downregulated genes for PREDICT high score samples versus low score samples. Direction = whether pathway is enriched for downregulated or upregulated genes. Full results including KEGG pathway and GO BP terms in Table S2.</w:t>
      </w:r>
    </w:p>
    <w:tbl>
      <w:tblPr>
        <w:tblStyle w:val="MDPI41threelinetable"/>
        <w:tblW w:w="0" w:type="auto"/>
        <w:tblLook w:val="04A0" w:firstRow="1" w:lastRow="0" w:firstColumn="1" w:lastColumn="0" w:noHBand="0" w:noVBand="1"/>
      </w:tblPr>
      <w:tblGrid>
        <w:gridCol w:w="2340"/>
        <w:gridCol w:w="1179"/>
        <w:gridCol w:w="1296"/>
        <w:gridCol w:w="885"/>
        <w:gridCol w:w="1373"/>
        <w:gridCol w:w="1716"/>
      </w:tblGrid>
      <w:tr w:rsidR="001B2E3D" w:rsidRPr="00690F4D" w14:paraId="4614DD99" w14:textId="77777777" w:rsidTr="0054652C">
        <w:trPr>
          <w:cnfStyle w:val="100000000000" w:firstRow="1" w:lastRow="0" w:firstColumn="0" w:lastColumn="0" w:oddVBand="0" w:evenVBand="0" w:oddHBand="0" w:evenHBand="0" w:firstRowFirstColumn="0" w:firstRowLastColumn="0" w:lastRowFirstColumn="0" w:lastRowLastColumn="0"/>
          <w:trHeight w:val="320"/>
        </w:trPr>
        <w:tc>
          <w:tcPr>
            <w:tcW w:w="2340" w:type="dxa"/>
            <w:noWrap/>
            <w:hideMark/>
          </w:tcPr>
          <w:p w14:paraId="36DC3ABD" w14:textId="77777777" w:rsidR="001B2E3D" w:rsidRPr="00690F4D" w:rsidRDefault="001B2E3D" w:rsidP="0054652C">
            <w:pPr>
              <w:pStyle w:val="MDPI42tablebody"/>
            </w:pPr>
            <w:r w:rsidRPr="00690F4D">
              <w:t>Term Name</w:t>
            </w:r>
          </w:p>
        </w:tc>
        <w:tc>
          <w:tcPr>
            <w:tcW w:w="1179" w:type="dxa"/>
            <w:noWrap/>
            <w:hideMark/>
          </w:tcPr>
          <w:p w14:paraId="39C6319D" w14:textId="77777777" w:rsidR="001B2E3D" w:rsidRPr="00690F4D" w:rsidRDefault="001B2E3D" w:rsidP="0054652C">
            <w:pPr>
              <w:pStyle w:val="MDPI42tablebody"/>
            </w:pPr>
            <w:r w:rsidRPr="00690F4D">
              <w:t>direction</w:t>
            </w:r>
          </w:p>
        </w:tc>
        <w:tc>
          <w:tcPr>
            <w:tcW w:w="1296" w:type="dxa"/>
            <w:noWrap/>
            <w:hideMark/>
          </w:tcPr>
          <w:p w14:paraId="036A1C6B" w14:textId="77777777" w:rsidR="001B2E3D" w:rsidRPr="00690F4D" w:rsidRDefault="001B2E3D" w:rsidP="0054652C">
            <w:pPr>
              <w:pStyle w:val="MDPI42tablebody"/>
            </w:pPr>
            <w:r w:rsidRPr="00690F4D">
              <w:rPr>
                <w:rFonts w:cs="Calibri"/>
                <w:i/>
                <w:iCs/>
              </w:rPr>
              <w:t>p</w:t>
            </w:r>
            <w:r w:rsidRPr="00690F4D">
              <w:rPr>
                <w:rFonts w:cs="Calibri"/>
              </w:rPr>
              <w:t xml:space="preserve"> value</w:t>
            </w:r>
          </w:p>
        </w:tc>
        <w:tc>
          <w:tcPr>
            <w:tcW w:w="885" w:type="dxa"/>
            <w:noWrap/>
            <w:hideMark/>
          </w:tcPr>
          <w:p w14:paraId="18D0FA2F" w14:textId="77777777" w:rsidR="001B2E3D" w:rsidRPr="00690F4D" w:rsidRDefault="001B2E3D" w:rsidP="0054652C">
            <w:pPr>
              <w:pStyle w:val="MDPI42tablebody"/>
            </w:pPr>
            <w:r w:rsidRPr="00690F4D">
              <w:t>Term Size</w:t>
            </w:r>
          </w:p>
        </w:tc>
        <w:tc>
          <w:tcPr>
            <w:tcW w:w="1373" w:type="dxa"/>
            <w:noWrap/>
            <w:hideMark/>
          </w:tcPr>
          <w:p w14:paraId="241A913A" w14:textId="77777777" w:rsidR="001B2E3D" w:rsidRPr="00690F4D" w:rsidRDefault="001B2E3D" w:rsidP="0054652C">
            <w:pPr>
              <w:pStyle w:val="MDPI42tablebody"/>
            </w:pPr>
            <w:r w:rsidRPr="00690F4D">
              <w:t>Intersection Size</w:t>
            </w:r>
          </w:p>
        </w:tc>
        <w:tc>
          <w:tcPr>
            <w:tcW w:w="1716" w:type="dxa"/>
            <w:noWrap/>
            <w:hideMark/>
          </w:tcPr>
          <w:p w14:paraId="2A4221BB" w14:textId="77777777" w:rsidR="001B2E3D" w:rsidRPr="00690F4D" w:rsidRDefault="001B2E3D" w:rsidP="0054652C">
            <w:pPr>
              <w:pStyle w:val="MDPI42tablebody"/>
            </w:pPr>
            <w:r w:rsidRPr="00690F4D">
              <w:t>Overlap with DESNT enriched terms</w:t>
            </w:r>
          </w:p>
        </w:tc>
      </w:tr>
      <w:tr w:rsidR="001B2E3D" w:rsidRPr="00690F4D" w14:paraId="5C73D1CE" w14:textId="77777777" w:rsidTr="0054652C">
        <w:trPr>
          <w:trHeight w:val="320"/>
        </w:trPr>
        <w:tc>
          <w:tcPr>
            <w:tcW w:w="2340" w:type="dxa"/>
            <w:noWrap/>
            <w:hideMark/>
          </w:tcPr>
          <w:p w14:paraId="2986082E" w14:textId="77777777" w:rsidR="001B2E3D" w:rsidRPr="00690F4D" w:rsidRDefault="001B2E3D" w:rsidP="0054652C">
            <w:pPr>
              <w:pStyle w:val="MDPI42tablebody"/>
            </w:pPr>
            <w:r w:rsidRPr="00690F4D">
              <w:t>Cell Cycle, Mitotic</w:t>
            </w:r>
          </w:p>
        </w:tc>
        <w:tc>
          <w:tcPr>
            <w:tcW w:w="1179" w:type="dxa"/>
            <w:noWrap/>
            <w:hideMark/>
          </w:tcPr>
          <w:p w14:paraId="15F49F23" w14:textId="77777777" w:rsidR="001B2E3D" w:rsidRPr="00690F4D" w:rsidRDefault="001B2E3D" w:rsidP="0054652C">
            <w:pPr>
              <w:pStyle w:val="MDPI42tablebody"/>
            </w:pPr>
            <w:r w:rsidRPr="00690F4D">
              <w:t>Up</w:t>
            </w:r>
          </w:p>
        </w:tc>
        <w:tc>
          <w:tcPr>
            <w:tcW w:w="1296" w:type="dxa"/>
            <w:noWrap/>
            <w:hideMark/>
          </w:tcPr>
          <w:p w14:paraId="6489ADB2" w14:textId="77777777" w:rsidR="001B2E3D" w:rsidRPr="00690F4D" w:rsidRDefault="001B2E3D" w:rsidP="0054652C">
            <w:pPr>
              <w:pStyle w:val="MDPI42tablebody"/>
            </w:pPr>
            <w:r w:rsidRPr="00690F4D">
              <w:t>4.08</w:t>
            </w:r>
            <w:r w:rsidRPr="00690F4D">
              <w:rPr>
                <w:rFonts w:cs="Calibri"/>
              </w:rPr>
              <w:t>×10</w:t>
            </w:r>
            <w:r w:rsidRPr="00690F4D">
              <w:rPr>
                <w:rFonts w:cs="Calibri"/>
                <w:vertAlign w:val="superscript"/>
              </w:rPr>
              <w:t>-</w:t>
            </w:r>
            <w:r w:rsidRPr="00690F4D">
              <w:rPr>
                <w:vertAlign w:val="superscript"/>
              </w:rPr>
              <w:t>09</w:t>
            </w:r>
          </w:p>
        </w:tc>
        <w:tc>
          <w:tcPr>
            <w:tcW w:w="885" w:type="dxa"/>
            <w:noWrap/>
            <w:hideMark/>
          </w:tcPr>
          <w:p w14:paraId="10D97769" w14:textId="77777777" w:rsidR="001B2E3D" w:rsidRPr="00690F4D" w:rsidRDefault="001B2E3D" w:rsidP="0054652C">
            <w:pPr>
              <w:pStyle w:val="MDPI42tablebody"/>
            </w:pPr>
            <w:r w:rsidRPr="00690F4D">
              <w:t>548</w:t>
            </w:r>
          </w:p>
        </w:tc>
        <w:tc>
          <w:tcPr>
            <w:tcW w:w="1373" w:type="dxa"/>
            <w:noWrap/>
            <w:hideMark/>
          </w:tcPr>
          <w:p w14:paraId="01C6A049" w14:textId="77777777" w:rsidR="001B2E3D" w:rsidRPr="00690F4D" w:rsidRDefault="001B2E3D" w:rsidP="0054652C">
            <w:pPr>
              <w:pStyle w:val="MDPI42tablebody"/>
            </w:pPr>
            <w:r w:rsidRPr="00690F4D">
              <w:t>28</w:t>
            </w:r>
          </w:p>
        </w:tc>
        <w:tc>
          <w:tcPr>
            <w:tcW w:w="1716" w:type="dxa"/>
            <w:noWrap/>
            <w:hideMark/>
          </w:tcPr>
          <w:p w14:paraId="3BFFB948" w14:textId="77777777" w:rsidR="001B2E3D" w:rsidRPr="00690F4D" w:rsidRDefault="001B2E3D" w:rsidP="0054652C">
            <w:pPr>
              <w:pStyle w:val="MDPI42tablebody"/>
            </w:pPr>
            <w:r w:rsidRPr="00690F4D">
              <w:t>TRUE</w:t>
            </w:r>
          </w:p>
        </w:tc>
      </w:tr>
      <w:tr w:rsidR="001B2E3D" w:rsidRPr="00690F4D" w14:paraId="6B7BFC37" w14:textId="77777777" w:rsidTr="0054652C">
        <w:trPr>
          <w:trHeight w:val="320"/>
        </w:trPr>
        <w:tc>
          <w:tcPr>
            <w:tcW w:w="2340" w:type="dxa"/>
            <w:noWrap/>
            <w:hideMark/>
          </w:tcPr>
          <w:p w14:paraId="6244A3BA" w14:textId="77777777" w:rsidR="001B2E3D" w:rsidRPr="00690F4D" w:rsidRDefault="001B2E3D" w:rsidP="0054652C">
            <w:pPr>
              <w:pStyle w:val="MDPI42tablebody"/>
            </w:pPr>
            <w:r w:rsidRPr="00690F4D">
              <w:t>Cell Cycle</w:t>
            </w:r>
          </w:p>
        </w:tc>
        <w:tc>
          <w:tcPr>
            <w:tcW w:w="1179" w:type="dxa"/>
            <w:noWrap/>
            <w:hideMark/>
          </w:tcPr>
          <w:p w14:paraId="7E49F2E1" w14:textId="77777777" w:rsidR="001B2E3D" w:rsidRPr="00690F4D" w:rsidRDefault="001B2E3D" w:rsidP="0054652C">
            <w:pPr>
              <w:pStyle w:val="MDPI42tablebody"/>
            </w:pPr>
            <w:r w:rsidRPr="00690F4D">
              <w:t>Up</w:t>
            </w:r>
          </w:p>
        </w:tc>
        <w:tc>
          <w:tcPr>
            <w:tcW w:w="1296" w:type="dxa"/>
            <w:noWrap/>
            <w:hideMark/>
          </w:tcPr>
          <w:p w14:paraId="75F7998C" w14:textId="77777777" w:rsidR="001B2E3D" w:rsidRPr="00690F4D" w:rsidRDefault="001B2E3D" w:rsidP="0054652C">
            <w:pPr>
              <w:pStyle w:val="MDPI42tablebody"/>
            </w:pPr>
            <w:r w:rsidRPr="00690F4D">
              <w:t>2.37</w:t>
            </w:r>
            <w:r w:rsidRPr="00690F4D">
              <w:rPr>
                <w:rFonts w:cs="Calibri"/>
              </w:rPr>
              <w:t>×10</w:t>
            </w:r>
            <w:r w:rsidRPr="00690F4D">
              <w:rPr>
                <w:rFonts w:cs="Calibri"/>
                <w:vertAlign w:val="superscript"/>
              </w:rPr>
              <w:t>-</w:t>
            </w:r>
            <w:r w:rsidRPr="00690F4D">
              <w:rPr>
                <w:vertAlign w:val="superscript"/>
              </w:rPr>
              <w:t>08</w:t>
            </w:r>
          </w:p>
        </w:tc>
        <w:tc>
          <w:tcPr>
            <w:tcW w:w="885" w:type="dxa"/>
            <w:noWrap/>
            <w:hideMark/>
          </w:tcPr>
          <w:p w14:paraId="36CA7AC8" w14:textId="77777777" w:rsidR="001B2E3D" w:rsidRPr="00690F4D" w:rsidRDefault="001B2E3D" w:rsidP="0054652C">
            <w:pPr>
              <w:pStyle w:val="MDPI42tablebody"/>
            </w:pPr>
            <w:r w:rsidRPr="00690F4D">
              <w:t>678</w:t>
            </w:r>
          </w:p>
        </w:tc>
        <w:tc>
          <w:tcPr>
            <w:tcW w:w="1373" w:type="dxa"/>
            <w:noWrap/>
            <w:hideMark/>
          </w:tcPr>
          <w:p w14:paraId="10D52C4B" w14:textId="77777777" w:rsidR="001B2E3D" w:rsidRPr="00690F4D" w:rsidRDefault="001B2E3D" w:rsidP="0054652C">
            <w:pPr>
              <w:pStyle w:val="MDPI42tablebody"/>
            </w:pPr>
            <w:r w:rsidRPr="00690F4D">
              <w:t>30</w:t>
            </w:r>
          </w:p>
        </w:tc>
        <w:tc>
          <w:tcPr>
            <w:tcW w:w="1716" w:type="dxa"/>
            <w:noWrap/>
            <w:hideMark/>
          </w:tcPr>
          <w:p w14:paraId="5D10E05B" w14:textId="77777777" w:rsidR="001B2E3D" w:rsidRPr="00690F4D" w:rsidRDefault="001B2E3D" w:rsidP="0054652C">
            <w:pPr>
              <w:pStyle w:val="MDPI42tablebody"/>
            </w:pPr>
            <w:r w:rsidRPr="00690F4D">
              <w:t>TRUE</w:t>
            </w:r>
          </w:p>
        </w:tc>
      </w:tr>
      <w:tr w:rsidR="001B2E3D" w:rsidRPr="00690F4D" w14:paraId="2B230A06" w14:textId="77777777" w:rsidTr="0054652C">
        <w:trPr>
          <w:trHeight w:val="320"/>
        </w:trPr>
        <w:tc>
          <w:tcPr>
            <w:tcW w:w="2340" w:type="dxa"/>
            <w:noWrap/>
            <w:hideMark/>
          </w:tcPr>
          <w:p w14:paraId="0E87BF2C" w14:textId="77777777" w:rsidR="001B2E3D" w:rsidRPr="00690F4D" w:rsidRDefault="001B2E3D" w:rsidP="0054652C">
            <w:pPr>
              <w:pStyle w:val="MDPI42tablebody"/>
            </w:pPr>
            <w:r w:rsidRPr="00690F4D">
              <w:t>Mitotic G1 phase and G1/S transition</w:t>
            </w:r>
          </w:p>
        </w:tc>
        <w:tc>
          <w:tcPr>
            <w:tcW w:w="1179" w:type="dxa"/>
            <w:noWrap/>
            <w:hideMark/>
          </w:tcPr>
          <w:p w14:paraId="08BDB1C3" w14:textId="77777777" w:rsidR="001B2E3D" w:rsidRPr="00690F4D" w:rsidRDefault="001B2E3D" w:rsidP="0054652C">
            <w:pPr>
              <w:pStyle w:val="MDPI42tablebody"/>
            </w:pPr>
            <w:r w:rsidRPr="00690F4D">
              <w:t>Up</w:t>
            </w:r>
          </w:p>
        </w:tc>
        <w:tc>
          <w:tcPr>
            <w:tcW w:w="1296" w:type="dxa"/>
            <w:noWrap/>
            <w:hideMark/>
          </w:tcPr>
          <w:p w14:paraId="705930D9" w14:textId="77777777" w:rsidR="001B2E3D" w:rsidRPr="00690F4D" w:rsidRDefault="001B2E3D" w:rsidP="0054652C">
            <w:pPr>
              <w:pStyle w:val="MDPI42tablebody"/>
            </w:pPr>
            <w:r w:rsidRPr="00690F4D">
              <w:t>3.79</w:t>
            </w:r>
            <w:r w:rsidRPr="00690F4D">
              <w:rPr>
                <w:rFonts w:cs="Calibri"/>
              </w:rPr>
              <w:t>×10</w:t>
            </w:r>
            <w:r w:rsidRPr="00690F4D">
              <w:rPr>
                <w:rFonts w:cs="Calibri"/>
                <w:vertAlign w:val="superscript"/>
              </w:rPr>
              <w:t>-</w:t>
            </w:r>
            <w:r w:rsidRPr="00690F4D">
              <w:rPr>
                <w:vertAlign w:val="superscript"/>
              </w:rPr>
              <w:t>05</w:t>
            </w:r>
          </w:p>
        </w:tc>
        <w:tc>
          <w:tcPr>
            <w:tcW w:w="885" w:type="dxa"/>
            <w:noWrap/>
            <w:hideMark/>
          </w:tcPr>
          <w:p w14:paraId="28B3D8B7" w14:textId="77777777" w:rsidR="001B2E3D" w:rsidRPr="00690F4D" w:rsidRDefault="001B2E3D" w:rsidP="0054652C">
            <w:pPr>
              <w:pStyle w:val="MDPI42tablebody"/>
            </w:pPr>
            <w:r w:rsidRPr="00690F4D">
              <w:t>147</w:t>
            </w:r>
          </w:p>
        </w:tc>
        <w:tc>
          <w:tcPr>
            <w:tcW w:w="1373" w:type="dxa"/>
            <w:noWrap/>
            <w:hideMark/>
          </w:tcPr>
          <w:p w14:paraId="168D9CE8" w14:textId="77777777" w:rsidR="001B2E3D" w:rsidRPr="00690F4D" w:rsidRDefault="001B2E3D" w:rsidP="0054652C">
            <w:pPr>
              <w:pStyle w:val="MDPI42tablebody"/>
            </w:pPr>
            <w:r w:rsidRPr="00690F4D">
              <w:t>12</w:t>
            </w:r>
          </w:p>
        </w:tc>
        <w:tc>
          <w:tcPr>
            <w:tcW w:w="1716" w:type="dxa"/>
            <w:noWrap/>
            <w:hideMark/>
          </w:tcPr>
          <w:p w14:paraId="51C91B24" w14:textId="77777777" w:rsidR="001B2E3D" w:rsidRPr="00690F4D" w:rsidRDefault="001B2E3D" w:rsidP="0054652C">
            <w:pPr>
              <w:pStyle w:val="MDPI42tablebody"/>
            </w:pPr>
            <w:r w:rsidRPr="00690F4D">
              <w:t>TRUE</w:t>
            </w:r>
          </w:p>
        </w:tc>
      </w:tr>
      <w:tr w:rsidR="001B2E3D" w:rsidRPr="00690F4D" w14:paraId="150D8E0E" w14:textId="77777777" w:rsidTr="0054652C">
        <w:trPr>
          <w:trHeight w:val="320"/>
        </w:trPr>
        <w:tc>
          <w:tcPr>
            <w:tcW w:w="2340" w:type="dxa"/>
            <w:noWrap/>
            <w:hideMark/>
          </w:tcPr>
          <w:p w14:paraId="7A4448C4" w14:textId="77777777" w:rsidR="001B2E3D" w:rsidRPr="00690F4D" w:rsidRDefault="001B2E3D" w:rsidP="0054652C">
            <w:pPr>
              <w:pStyle w:val="MDPI42tablebody"/>
            </w:pPr>
            <w:r w:rsidRPr="00690F4D">
              <w:t>Integrin cell surface interactions</w:t>
            </w:r>
          </w:p>
        </w:tc>
        <w:tc>
          <w:tcPr>
            <w:tcW w:w="1179" w:type="dxa"/>
            <w:noWrap/>
            <w:hideMark/>
          </w:tcPr>
          <w:p w14:paraId="28A87713" w14:textId="77777777" w:rsidR="001B2E3D" w:rsidRPr="00690F4D" w:rsidRDefault="001B2E3D" w:rsidP="0054652C">
            <w:pPr>
              <w:pStyle w:val="MDPI42tablebody"/>
            </w:pPr>
            <w:r w:rsidRPr="00690F4D">
              <w:t>Up</w:t>
            </w:r>
          </w:p>
        </w:tc>
        <w:tc>
          <w:tcPr>
            <w:tcW w:w="1296" w:type="dxa"/>
            <w:noWrap/>
            <w:hideMark/>
          </w:tcPr>
          <w:p w14:paraId="61ECCEB8" w14:textId="77777777" w:rsidR="001B2E3D" w:rsidRPr="00690F4D" w:rsidRDefault="001B2E3D" w:rsidP="0054652C">
            <w:pPr>
              <w:pStyle w:val="MDPI42tablebody"/>
            </w:pPr>
            <w:r w:rsidRPr="00690F4D">
              <w:rPr>
                <w:rFonts w:cs="Calibri"/>
              </w:rPr>
              <w:t>0.002</w:t>
            </w:r>
          </w:p>
        </w:tc>
        <w:tc>
          <w:tcPr>
            <w:tcW w:w="885" w:type="dxa"/>
            <w:noWrap/>
            <w:hideMark/>
          </w:tcPr>
          <w:p w14:paraId="54C3593C" w14:textId="77777777" w:rsidR="001B2E3D" w:rsidRPr="00690F4D" w:rsidRDefault="001B2E3D" w:rsidP="0054652C">
            <w:pPr>
              <w:pStyle w:val="MDPI42tablebody"/>
            </w:pPr>
            <w:r w:rsidRPr="00690F4D">
              <w:t>84</w:t>
            </w:r>
          </w:p>
        </w:tc>
        <w:tc>
          <w:tcPr>
            <w:tcW w:w="1373" w:type="dxa"/>
            <w:noWrap/>
            <w:hideMark/>
          </w:tcPr>
          <w:p w14:paraId="65433E51" w14:textId="77777777" w:rsidR="001B2E3D" w:rsidRPr="00690F4D" w:rsidRDefault="001B2E3D" w:rsidP="0054652C">
            <w:pPr>
              <w:pStyle w:val="MDPI42tablebody"/>
            </w:pPr>
            <w:r w:rsidRPr="00690F4D">
              <w:t>8</w:t>
            </w:r>
          </w:p>
        </w:tc>
        <w:tc>
          <w:tcPr>
            <w:tcW w:w="1716" w:type="dxa"/>
            <w:noWrap/>
            <w:hideMark/>
          </w:tcPr>
          <w:p w14:paraId="5FBA9C5D" w14:textId="77777777" w:rsidR="001B2E3D" w:rsidRPr="00690F4D" w:rsidRDefault="001B2E3D" w:rsidP="0054652C">
            <w:pPr>
              <w:pStyle w:val="MDPI42tablebody"/>
            </w:pPr>
            <w:r w:rsidRPr="00690F4D">
              <w:t>FALSE</w:t>
            </w:r>
          </w:p>
        </w:tc>
      </w:tr>
      <w:tr w:rsidR="001B2E3D" w:rsidRPr="00690F4D" w14:paraId="414D6877" w14:textId="77777777" w:rsidTr="0054652C">
        <w:trPr>
          <w:trHeight w:val="320"/>
        </w:trPr>
        <w:tc>
          <w:tcPr>
            <w:tcW w:w="2340" w:type="dxa"/>
            <w:noWrap/>
            <w:hideMark/>
          </w:tcPr>
          <w:p w14:paraId="440F62A3" w14:textId="77777777" w:rsidR="001B2E3D" w:rsidRPr="00690F4D" w:rsidRDefault="001B2E3D" w:rsidP="0054652C">
            <w:pPr>
              <w:pStyle w:val="MDPI42tablebody"/>
            </w:pPr>
            <w:r w:rsidRPr="00690F4D">
              <w:t>G1/S-Specific Transcription</w:t>
            </w:r>
          </w:p>
        </w:tc>
        <w:tc>
          <w:tcPr>
            <w:tcW w:w="1179" w:type="dxa"/>
            <w:noWrap/>
            <w:hideMark/>
          </w:tcPr>
          <w:p w14:paraId="1D47DFDC" w14:textId="77777777" w:rsidR="001B2E3D" w:rsidRPr="00690F4D" w:rsidRDefault="001B2E3D" w:rsidP="0054652C">
            <w:pPr>
              <w:pStyle w:val="MDPI42tablebody"/>
            </w:pPr>
            <w:r w:rsidRPr="00690F4D">
              <w:t>Up</w:t>
            </w:r>
          </w:p>
        </w:tc>
        <w:tc>
          <w:tcPr>
            <w:tcW w:w="1296" w:type="dxa"/>
            <w:noWrap/>
            <w:hideMark/>
          </w:tcPr>
          <w:p w14:paraId="6963A9D3" w14:textId="77777777" w:rsidR="001B2E3D" w:rsidRPr="00690F4D" w:rsidRDefault="001B2E3D" w:rsidP="0054652C">
            <w:pPr>
              <w:pStyle w:val="MDPI42tablebody"/>
            </w:pPr>
            <w:r w:rsidRPr="00690F4D">
              <w:rPr>
                <w:rFonts w:cs="Calibri"/>
              </w:rPr>
              <w:t>0.005</w:t>
            </w:r>
          </w:p>
        </w:tc>
        <w:tc>
          <w:tcPr>
            <w:tcW w:w="885" w:type="dxa"/>
            <w:noWrap/>
            <w:hideMark/>
          </w:tcPr>
          <w:p w14:paraId="2F76F89E" w14:textId="77777777" w:rsidR="001B2E3D" w:rsidRPr="00690F4D" w:rsidRDefault="001B2E3D" w:rsidP="0054652C">
            <w:pPr>
              <w:pStyle w:val="MDPI42tablebody"/>
            </w:pPr>
            <w:r w:rsidRPr="00690F4D">
              <w:t>27</w:t>
            </w:r>
          </w:p>
        </w:tc>
        <w:tc>
          <w:tcPr>
            <w:tcW w:w="1373" w:type="dxa"/>
            <w:noWrap/>
            <w:hideMark/>
          </w:tcPr>
          <w:p w14:paraId="022C8DA2" w14:textId="77777777" w:rsidR="001B2E3D" w:rsidRPr="00690F4D" w:rsidRDefault="001B2E3D" w:rsidP="0054652C">
            <w:pPr>
              <w:pStyle w:val="MDPI42tablebody"/>
            </w:pPr>
            <w:r w:rsidRPr="00690F4D">
              <w:t>5</w:t>
            </w:r>
          </w:p>
        </w:tc>
        <w:tc>
          <w:tcPr>
            <w:tcW w:w="1716" w:type="dxa"/>
            <w:noWrap/>
            <w:hideMark/>
          </w:tcPr>
          <w:p w14:paraId="0242373A" w14:textId="77777777" w:rsidR="001B2E3D" w:rsidRPr="00690F4D" w:rsidRDefault="001B2E3D" w:rsidP="0054652C">
            <w:pPr>
              <w:pStyle w:val="MDPI42tablebody"/>
            </w:pPr>
            <w:r w:rsidRPr="00690F4D">
              <w:t>TRUE</w:t>
            </w:r>
          </w:p>
        </w:tc>
      </w:tr>
      <w:tr w:rsidR="001B2E3D" w:rsidRPr="00690F4D" w14:paraId="20B25059" w14:textId="77777777" w:rsidTr="0054652C">
        <w:trPr>
          <w:trHeight w:val="320"/>
        </w:trPr>
        <w:tc>
          <w:tcPr>
            <w:tcW w:w="2340" w:type="dxa"/>
            <w:noWrap/>
            <w:hideMark/>
          </w:tcPr>
          <w:p w14:paraId="51AD7724" w14:textId="77777777" w:rsidR="001B2E3D" w:rsidRPr="00690F4D" w:rsidRDefault="001B2E3D" w:rsidP="0054652C">
            <w:pPr>
              <w:pStyle w:val="MDPI42tablebody"/>
            </w:pPr>
            <w:r w:rsidRPr="00690F4D">
              <w:t>Mitotic Prometaphase</w:t>
            </w:r>
          </w:p>
        </w:tc>
        <w:tc>
          <w:tcPr>
            <w:tcW w:w="1179" w:type="dxa"/>
            <w:noWrap/>
            <w:hideMark/>
          </w:tcPr>
          <w:p w14:paraId="06C07114" w14:textId="77777777" w:rsidR="001B2E3D" w:rsidRPr="00690F4D" w:rsidRDefault="001B2E3D" w:rsidP="0054652C">
            <w:pPr>
              <w:pStyle w:val="MDPI42tablebody"/>
            </w:pPr>
            <w:r w:rsidRPr="00690F4D">
              <w:t>Up</w:t>
            </w:r>
          </w:p>
        </w:tc>
        <w:tc>
          <w:tcPr>
            <w:tcW w:w="1296" w:type="dxa"/>
            <w:noWrap/>
            <w:hideMark/>
          </w:tcPr>
          <w:p w14:paraId="1FBECD4E" w14:textId="77777777" w:rsidR="001B2E3D" w:rsidRPr="00690F4D" w:rsidRDefault="001B2E3D" w:rsidP="0054652C">
            <w:pPr>
              <w:pStyle w:val="MDPI42tablebody"/>
            </w:pPr>
            <w:r w:rsidRPr="00690F4D">
              <w:rPr>
                <w:rFonts w:cs="Calibri"/>
              </w:rPr>
              <w:t>0.006</w:t>
            </w:r>
          </w:p>
        </w:tc>
        <w:tc>
          <w:tcPr>
            <w:tcW w:w="885" w:type="dxa"/>
            <w:noWrap/>
            <w:hideMark/>
          </w:tcPr>
          <w:p w14:paraId="75D6F649" w14:textId="77777777" w:rsidR="001B2E3D" w:rsidRPr="00690F4D" w:rsidRDefault="001B2E3D" w:rsidP="0054652C">
            <w:pPr>
              <w:pStyle w:val="MDPI42tablebody"/>
            </w:pPr>
            <w:r w:rsidRPr="00690F4D">
              <w:t>199</w:t>
            </w:r>
          </w:p>
        </w:tc>
        <w:tc>
          <w:tcPr>
            <w:tcW w:w="1373" w:type="dxa"/>
            <w:noWrap/>
            <w:hideMark/>
          </w:tcPr>
          <w:p w14:paraId="52B33D43" w14:textId="77777777" w:rsidR="001B2E3D" w:rsidRPr="00690F4D" w:rsidRDefault="001B2E3D" w:rsidP="0054652C">
            <w:pPr>
              <w:pStyle w:val="MDPI42tablebody"/>
            </w:pPr>
            <w:r w:rsidRPr="00690F4D">
              <w:t>11</w:t>
            </w:r>
          </w:p>
        </w:tc>
        <w:tc>
          <w:tcPr>
            <w:tcW w:w="1716" w:type="dxa"/>
            <w:noWrap/>
            <w:hideMark/>
          </w:tcPr>
          <w:p w14:paraId="41421F29" w14:textId="77777777" w:rsidR="001B2E3D" w:rsidRPr="00690F4D" w:rsidRDefault="001B2E3D" w:rsidP="0054652C">
            <w:pPr>
              <w:pStyle w:val="MDPI42tablebody"/>
            </w:pPr>
            <w:r w:rsidRPr="00690F4D">
              <w:t>TRUE</w:t>
            </w:r>
          </w:p>
        </w:tc>
      </w:tr>
      <w:tr w:rsidR="001B2E3D" w:rsidRPr="00690F4D" w14:paraId="31C94DD6" w14:textId="77777777" w:rsidTr="0054652C">
        <w:trPr>
          <w:trHeight w:val="320"/>
        </w:trPr>
        <w:tc>
          <w:tcPr>
            <w:tcW w:w="2340" w:type="dxa"/>
            <w:noWrap/>
            <w:hideMark/>
          </w:tcPr>
          <w:p w14:paraId="73C121BF" w14:textId="77777777" w:rsidR="001B2E3D" w:rsidRPr="00690F4D" w:rsidRDefault="001B2E3D" w:rsidP="0054652C">
            <w:pPr>
              <w:pStyle w:val="MDPI42tablebody"/>
            </w:pPr>
            <w:r w:rsidRPr="00690F4D">
              <w:t>G1/S Transition</w:t>
            </w:r>
          </w:p>
        </w:tc>
        <w:tc>
          <w:tcPr>
            <w:tcW w:w="1179" w:type="dxa"/>
            <w:noWrap/>
            <w:hideMark/>
          </w:tcPr>
          <w:p w14:paraId="53389E29" w14:textId="77777777" w:rsidR="001B2E3D" w:rsidRPr="00690F4D" w:rsidRDefault="001B2E3D" w:rsidP="0054652C">
            <w:pPr>
              <w:pStyle w:val="MDPI42tablebody"/>
            </w:pPr>
            <w:r w:rsidRPr="00690F4D">
              <w:t>Up</w:t>
            </w:r>
          </w:p>
        </w:tc>
        <w:tc>
          <w:tcPr>
            <w:tcW w:w="1296" w:type="dxa"/>
            <w:noWrap/>
            <w:hideMark/>
          </w:tcPr>
          <w:p w14:paraId="3E187BD0" w14:textId="77777777" w:rsidR="001B2E3D" w:rsidRPr="00690F4D" w:rsidRDefault="001B2E3D" w:rsidP="0054652C">
            <w:pPr>
              <w:pStyle w:val="MDPI42tablebody"/>
            </w:pPr>
            <w:r w:rsidRPr="00690F4D">
              <w:rPr>
                <w:rFonts w:cs="Calibri"/>
              </w:rPr>
              <w:t>0.006</w:t>
            </w:r>
          </w:p>
        </w:tc>
        <w:tc>
          <w:tcPr>
            <w:tcW w:w="885" w:type="dxa"/>
            <w:noWrap/>
            <w:hideMark/>
          </w:tcPr>
          <w:p w14:paraId="4C52AA23" w14:textId="77777777" w:rsidR="001B2E3D" w:rsidRPr="00690F4D" w:rsidRDefault="001B2E3D" w:rsidP="0054652C">
            <w:pPr>
              <w:pStyle w:val="MDPI42tablebody"/>
            </w:pPr>
            <w:r w:rsidRPr="00690F4D">
              <w:t>130</w:t>
            </w:r>
          </w:p>
        </w:tc>
        <w:tc>
          <w:tcPr>
            <w:tcW w:w="1373" w:type="dxa"/>
            <w:noWrap/>
            <w:hideMark/>
          </w:tcPr>
          <w:p w14:paraId="1A55D6CF" w14:textId="77777777" w:rsidR="001B2E3D" w:rsidRPr="00690F4D" w:rsidRDefault="001B2E3D" w:rsidP="0054652C">
            <w:pPr>
              <w:pStyle w:val="MDPI42tablebody"/>
            </w:pPr>
            <w:r w:rsidRPr="00690F4D">
              <w:t>9</w:t>
            </w:r>
          </w:p>
        </w:tc>
        <w:tc>
          <w:tcPr>
            <w:tcW w:w="1716" w:type="dxa"/>
            <w:noWrap/>
            <w:hideMark/>
          </w:tcPr>
          <w:p w14:paraId="6A1E91B9" w14:textId="77777777" w:rsidR="001B2E3D" w:rsidRPr="00690F4D" w:rsidRDefault="001B2E3D" w:rsidP="0054652C">
            <w:pPr>
              <w:pStyle w:val="MDPI42tablebody"/>
            </w:pPr>
            <w:r w:rsidRPr="00690F4D">
              <w:t>TRUE</w:t>
            </w:r>
          </w:p>
        </w:tc>
      </w:tr>
      <w:tr w:rsidR="001B2E3D" w:rsidRPr="00690F4D" w14:paraId="6F7A6C3D" w14:textId="77777777" w:rsidTr="0054652C">
        <w:trPr>
          <w:trHeight w:val="320"/>
        </w:trPr>
        <w:tc>
          <w:tcPr>
            <w:tcW w:w="2340" w:type="dxa"/>
            <w:noWrap/>
            <w:hideMark/>
          </w:tcPr>
          <w:p w14:paraId="12BBC63D" w14:textId="77777777" w:rsidR="001B2E3D" w:rsidRPr="00690F4D" w:rsidRDefault="001B2E3D" w:rsidP="0054652C">
            <w:pPr>
              <w:pStyle w:val="MDPI42tablebody"/>
            </w:pPr>
            <w:r w:rsidRPr="00690F4D">
              <w:t>ECM proteoglycans</w:t>
            </w:r>
          </w:p>
        </w:tc>
        <w:tc>
          <w:tcPr>
            <w:tcW w:w="1179" w:type="dxa"/>
            <w:noWrap/>
            <w:hideMark/>
          </w:tcPr>
          <w:p w14:paraId="48B0CE2D" w14:textId="77777777" w:rsidR="001B2E3D" w:rsidRPr="00690F4D" w:rsidRDefault="001B2E3D" w:rsidP="0054652C">
            <w:pPr>
              <w:pStyle w:val="MDPI42tablebody"/>
            </w:pPr>
            <w:r w:rsidRPr="00690F4D">
              <w:t>Up</w:t>
            </w:r>
          </w:p>
        </w:tc>
        <w:tc>
          <w:tcPr>
            <w:tcW w:w="1296" w:type="dxa"/>
            <w:noWrap/>
            <w:hideMark/>
          </w:tcPr>
          <w:p w14:paraId="41E28125" w14:textId="77777777" w:rsidR="001B2E3D" w:rsidRPr="00690F4D" w:rsidRDefault="001B2E3D" w:rsidP="0054652C">
            <w:pPr>
              <w:pStyle w:val="MDPI42tablebody"/>
            </w:pPr>
            <w:r w:rsidRPr="00690F4D">
              <w:rPr>
                <w:rFonts w:cs="Calibri"/>
              </w:rPr>
              <w:t>0.008</w:t>
            </w:r>
          </w:p>
        </w:tc>
        <w:tc>
          <w:tcPr>
            <w:tcW w:w="885" w:type="dxa"/>
            <w:noWrap/>
            <w:hideMark/>
          </w:tcPr>
          <w:p w14:paraId="29813864" w14:textId="77777777" w:rsidR="001B2E3D" w:rsidRPr="00690F4D" w:rsidRDefault="001B2E3D" w:rsidP="0054652C">
            <w:pPr>
              <w:pStyle w:val="MDPI42tablebody"/>
            </w:pPr>
            <w:r w:rsidRPr="00690F4D">
              <w:t>75</w:t>
            </w:r>
          </w:p>
        </w:tc>
        <w:tc>
          <w:tcPr>
            <w:tcW w:w="1373" w:type="dxa"/>
            <w:noWrap/>
            <w:hideMark/>
          </w:tcPr>
          <w:p w14:paraId="5D5D26E6" w14:textId="77777777" w:rsidR="001B2E3D" w:rsidRPr="00690F4D" w:rsidRDefault="001B2E3D" w:rsidP="0054652C">
            <w:pPr>
              <w:pStyle w:val="MDPI42tablebody"/>
            </w:pPr>
            <w:r w:rsidRPr="00690F4D">
              <w:t>7</w:t>
            </w:r>
          </w:p>
        </w:tc>
        <w:tc>
          <w:tcPr>
            <w:tcW w:w="1716" w:type="dxa"/>
            <w:noWrap/>
            <w:hideMark/>
          </w:tcPr>
          <w:p w14:paraId="59AA25D6" w14:textId="77777777" w:rsidR="001B2E3D" w:rsidRPr="00690F4D" w:rsidRDefault="001B2E3D" w:rsidP="0054652C">
            <w:pPr>
              <w:pStyle w:val="MDPI42tablebody"/>
            </w:pPr>
            <w:r w:rsidRPr="00690F4D">
              <w:t>FALSE</w:t>
            </w:r>
          </w:p>
        </w:tc>
      </w:tr>
      <w:tr w:rsidR="001B2E3D" w:rsidRPr="00690F4D" w14:paraId="793E3076" w14:textId="77777777" w:rsidTr="0054652C">
        <w:trPr>
          <w:trHeight w:val="320"/>
        </w:trPr>
        <w:tc>
          <w:tcPr>
            <w:tcW w:w="2340" w:type="dxa"/>
            <w:noWrap/>
            <w:hideMark/>
          </w:tcPr>
          <w:p w14:paraId="469756C6" w14:textId="77777777" w:rsidR="001B2E3D" w:rsidRPr="00690F4D" w:rsidRDefault="001B2E3D" w:rsidP="0054652C">
            <w:pPr>
              <w:pStyle w:val="MDPI42tablebody"/>
            </w:pPr>
            <w:r w:rsidRPr="00690F4D">
              <w:t>Cell Cycle Checkpoints</w:t>
            </w:r>
          </w:p>
        </w:tc>
        <w:tc>
          <w:tcPr>
            <w:tcW w:w="1179" w:type="dxa"/>
            <w:noWrap/>
            <w:hideMark/>
          </w:tcPr>
          <w:p w14:paraId="36E8B216" w14:textId="77777777" w:rsidR="001B2E3D" w:rsidRPr="00690F4D" w:rsidRDefault="001B2E3D" w:rsidP="0054652C">
            <w:pPr>
              <w:pStyle w:val="MDPI42tablebody"/>
            </w:pPr>
            <w:r w:rsidRPr="00690F4D">
              <w:t>Up</w:t>
            </w:r>
          </w:p>
        </w:tc>
        <w:tc>
          <w:tcPr>
            <w:tcW w:w="1296" w:type="dxa"/>
            <w:noWrap/>
            <w:hideMark/>
          </w:tcPr>
          <w:p w14:paraId="1804CCC3" w14:textId="77777777" w:rsidR="001B2E3D" w:rsidRPr="00690F4D" w:rsidRDefault="001B2E3D" w:rsidP="0054652C">
            <w:pPr>
              <w:pStyle w:val="MDPI42tablebody"/>
            </w:pPr>
            <w:r w:rsidRPr="00690F4D">
              <w:rPr>
                <w:rFonts w:cs="Calibri"/>
              </w:rPr>
              <w:t>0.009</w:t>
            </w:r>
          </w:p>
        </w:tc>
        <w:tc>
          <w:tcPr>
            <w:tcW w:w="885" w:type="dxa"/>
            <w:noWrap/>
            <w:hideMark/>
          </w:tcPr>
          <w:p w14:paraId="0B30155B" w14:textId="77777777" w:rsidR="001B2E3D" w:rsidRPr="00690F4D" w:rsidRDefault="001B2E3D" w:rsidP="0054652C">
            <w:pPr>
              <w:pStyle w:val="MDPI42tablebody"/>
            </w:pPr>
            <w:r w:rsidRPr="00690F4D">
              <w:t>290</w:t>
            </w:r>
          </w:p>
        </w:tc>
        <w:tc>
          <w:tcPr>
            <w:tcW w:w="1373" w:type="dxa"/>
            <w:noWrap/>
            <w:hideMark/>
          </w:tcPr>
          <w:p w14:paraId="4EB00698" w14:textId="77777777" w:rsidR="001B2E3D" w:rsidRPr="00690F4D" w:rsidRDefault="001B2E3D" w:rsidP="0054652C">
            <w:pPr>
              <w:pStyle w:val="MDPI42tablebody"/>
            </w:pPr>
            <w:r w:rsidRPr="00690F4D">
              <w:t>13</w:t>
            </w:r>
          </w:p>
        </w:tc>
        <w:tc>
          <w:tcPr>
            <w:tcW w:w="1716" w:type="dxa"/>
            <w:noWrap/>
            <w:hideMark/>
          </w:tcPr>
          <w:p w14:paraId="51F9DA72" w14:textId="77777777" w:rsidR="001B2E3D" w:rsidRPr="00690F4D" w:rsidRDefault="001B2E3D" w:rsidP="0054652C">
            <w:pPr>
              <w:pStyle w:val="MDPI42tablebody"/>
            </w:pPr>
            <w:r w:rsidRPr="00690F4D">
              <w:t>TRUE</w:t>
            </w:r>
          </w:p>
        </w:tc>
      </w:tr>
      <w:tr w:rsidR="001B2E3D" w:rsidRPr="00690F4D" w14:paraId="4FA05909" w14:textId="77777777" w:rsidTr="0054652C">
        <w:trPr>
          <w:trHeight w:val="320"/>
        </w:trPr>
        <w:tc>
          <w:tcPr>
            <w:tcW w:w="2340" w:type="dxa"/>
            <w:noWrap/>
            <w:hideMark/>
          </w:tcPr>
          <w:p w14:paraId="61D61208" w14:textId="77777777" w:rsidR="001B2E3D" w:rsidRPr="00690F4D" w:rsidRDefault="001B2E3D" w:rsidP="0054652C">
            <w:pPr>
              <w:pStyle w:val="MDPI42tablebody"/>
            </w:pPr>
            <w:r w:rsidRPr="00690F4D">
              <w:t>Mitotic Spindle Checkpoint</w:t>
            </w:r>
          </w:p>
        </w:tc>
        <w:tc>
          <w:tcPr>
            <w:tcW w:w="1179" w:type="dxa"/>
            <w:noWrap/>
            <w:hideMark/>
          </w:tcPr>
          <w:p w14:paraId="6C7E9DC9" w14:textId="77777777" w:rsidR="001B2E3D" w:rsidRPr="00690F4D" w:rsidRDefault="001B2E3D" w:rsidP="0054652C">
            <w:pPr>
              <w:pStyle w:val="MDPI42tablebody"/>
            </w:pPr>
            <w:r w:rsidRPr="00690F4D">
              <w:t>Up</w:t>
            </w:r>
          </w:p>
        </w:tc>
        <w:tc>
          <w:tcPr>
            <w:tcW w:w="1296" w:type="dxa"/>
            <w:noWrap/>
            <w:hideMark/>
          </w:tcPr>
          <w:p w14:paraId="507822E7" w14:textId="77777777" w:rsidR="001B2E3D" w:rsidRPr="00690F4D" w:rsidRDefault="001B2E3D" w:rsidP="0054652C">
            <w:pPr>
              <w:pStyle w:val="MDPI42tablebody"/>
            </w:pPr>
            <w:r w:rsidRPr="00690F4D">
              <w:rPr>
                <w:rFonts w:cs="Calibri"/>
              </w:rPr>
              <w:t>0.012</w:t>
            </w:r>
          </w:p>
        </w:tc>
        <w:tc>
          <w:tcPr>
            <w:tcW w:w="885" w:type="dxa"/>
            <w:noWrap/>
            <w:hideMark/>
          </w:tcPr>
          <w:p w14:paraId="2BDFCD90" w14:textId="77777777" w:rsidR="001B2E3D" w:rsidRPr="00690F4D" w:rsidRDefault="001B2E3D" w:rsidP="0054652C">
            <w:pPr>
              <w:pStyle w:val="MDPI42tablebody"/>
            </w:pPr>
            <w:r w:rsidRPr="00690F4D">
              <w:t>109</w:t>
            </w:r>
          </w:p>
        </w:tc>
        <w:tc>
          <w:tcPr>
            <w:tcW w:w="1373" w:type="dxa"/>
            <w:noWrap/>
            <w:hideMark/>
          </w:tcPr>
          <w:p w14:paraId="43DDD864" w14:textId="77777777" w:rsidR="001B2E3D" w:rsidRPr="00690F4D" w:rsidRDefault="001B2E3D" w:rsidP="0054652C">
            <w:pPr>
              <w:pStyle w:val="MDPI42tablebody"/>
            </w:pPr>
            <w:r w:rsidRPr="00690F4D">
              <w:t>8</w:t>
            </w:r>
          </w:p>
        </w:tc>
        <w:tc>
          <w:tcPr>
            <w:tcW w:w="1716" w:type="dxa"/>
            <w:noWrap/>
            <w:hideMark/>
          </w:tcPr>
          <w:p w14:paraId="30C34E51" w14:textId="77777777" w:rsidR="001B2E3D" w:rsidRPr="00690F4D" w:rsidRDefault="001B2E3D" w:rsidP="0054652C">
            <w:pPr>
              <w:pStyle w:val="MDPI42tablebody"/>
            </w:pPr>
            <w:r w:rsidRPr="00690F4D">
              <w:t>TRUE</w:t>
            </w:r>
          </w:p>
        </w:tc>
      </w:tr>
      <w:tr w:rsidR="001B2E3D" w:rsidRPr="00690F4D" w14:paraId="75800136" w14:textId="77777777" w:rsidTr="0054652C">
        <w:trPr>
          <w:trHeight w:val="320"/>
        </w:trPr>
        <w:tc>
          <w:tcPr>
            <w:tcW w:w="2340" w:type="dxa"/>
            <w:noWrap/>
            <w:hideMark/>
          </w:tcPr>
          <w:p w14:paraId="55847F6A" w14:textId="77777777" w:rsidR="001B2E3D" w:rsidRPr="00690F4D" w:rsidRDefault="001B2E3D" w:rsidP="0054652C">
            <w:pPr>
              <w:pStyle w:val="MDPI42tablebody"/>
            </w:pPr>
            <w:r w:rsidRPr="00690F4D">
              <w:t>M Phase</w:t>
            </w:r>
          </w:p>
        </w:tc>
        <w:tc>
          <w:tcPr>
            <w:tcW w:w="1179" w:type="dxa"/>
            <w:noWrap/>
            <w:hideMark/>
          </w:tcPr>
          <w:p w14:paraId="5718FAD8" w14:textId="77777777" w:rsidR="001B2E3D" w:rsidRPr="00690F4D" w:rsidRDefault="001B2E3D" w:rsidP="0054652C">
            <w:pPr>
              <w:pStyle w:val="MDPI42tablebody"/>
            </w:pPr>
            <w:r w:rsidRPr="00690F4D">
              <w:t>Up</w:t>
            </w:r>
          </w:p>
        </w:tc>
        <w:tc>
          <w:tcPr>
            <w:tcW w:w="1296" w:type="dxa"/>
            <w:noWrap/>
            <w:hideMark/>
          </w:tcPr>
          <w:p w14:paraId="745C1B8A" w14:textId="77777777" w:rsidR="001B2E3D" w:rsidRPr="00690F4D" w:rsidRDefault="001B2E3D" w:rsidP="0054652C">
            <w:pPr>
              <w:pStyle w:val="MDPI42tablebody"/>
            </w:pPr>
            <w:r w:rsidRPr="00690F4D">
              <w:rPr>
                <w:rFonts w:cs="Calibri"/>
              </w:rPr>
              <w:t>0.021</w:t>
            </w:r>
          </w:p>
        </w:tc>
        <w:tc>
          <w:tcPr>
            <w:tcW w:w="885" w:type="dxa"/>
            <w:noWrap/>
            <w:hideMark/>
          </w:tcPr>
          <w:p w14:paraId="0C996CA1" w14:textId="77777777" w:rsidR="001B2E3D" w:rsidRPr="00690F4D" w:rsidRDefault="001B2E3D" w:rsidP="0054652C">
            <w:pPr>
              <w:pStyle w:val="MDPI42tablebody"/>
            </w:pPr>
            <w:r w:rsidRPr="00690F4D">
              <w:t>407</w:t>
            </w:r>
          </w:p>
        </w:tc>
        <w:tc>
          <w:tcPr>
            <w:tcW w:w="1373" w:type="dxa"/>
            <w:noWrap/>
            <w:hideMark/>
          </w:tcPr>
          <w:p w14:paraId="74E91AC0" w14:textId="77777777" w:rsidR="001B2E3D" w:rsidRPr="00690F4D" w:rsidRDefault="001B2E3D" w:rsidP="0054652C">
            <w:pPr>
              <w:pStyle w:val="MDPI42tablebody"/>
            </w:pPr>
            <w:r w:rsidRPr="00690F4D">
              <w:t>15</w:t>
            </w:r>
          </w:p>
        </w:tc>
        <w:tc>
          <w:tcPr>
            <w:tcW w:w="1716" w:type="dxa"/>
            <w:noWrap/>
            <w:hideMark/>
          </w:tcPr>
          <w:p w14:paraId="2DB435C8" w14:textId="77777777" w:rsidR="001B2E3D" w:rsidRPr="00690F4D" w:rsidRDefault="001B2E3D" w:rsidP="0054652C">
            <w:pPr>
              <w:pStyle w:val="MDPI42tablebody"/>
            </w:pPr>
            <w:r w:rsidRPr="00690F4D">
              <w:t>TRUE</w:t>
            </w:r>
          </w:p>
        </w:tc>
      </w:tr>
      <w:tr w:rsidR="001B2E3D" w:rsidRPr="00690F4D" w14:paraId="1FD1AC67" w14:textId="77777777" w:rsidTr="0054652C">
        <w:trPr>
          <w:trHeight w:val="320"/>
        </w:trPr>
        <w:tc>
          <w:tcPr>
            <w:tcW w:w="2340" w:type="dxa"/>
            <w:noWrap/>
            <w:hideMark/>
          </w:tcPr>
          <w:p w14:paraId="4ABB605D" w14:textId="77777777" w:rsidR="001B2E3D" w:rsidRPr="00690F4D" w:rsidRDefault="001B2E3D" w:rsidP="0054652C">
            <w:pPr>
              <w:pStyle w:val="MDPI42tablebody"/>
            </w:pPr>
            <w:r w:rsidRPr="00690F4D">
              <w:t>Kinesins</w:t>
            </w:r>
          </w:p>
        </w:tc>
        <w:tc>
          <w:tcPr>
            <w:tcW w:w="1179" w:type="dxa"/>
            <w:noWrap/>
            <w:hideMark/>
          </w:tcPr>
          <w:p w14:paraId="116CB16B" w14:textId="77777777" w:rsidR="001B2E3D" w:rsidRPr="00690F4D" w:rsidRDefault="001B2E3D" w:rsidP="0054652C">
            <w:pPr>
              <w:pStyle w:val="MDPI42tablebody"/>
            </w:pPr>
            <w:r w:rsidRPr="00690F4D">
              <w:t>Up</w:t>
            </w:r>
          </w:p>
        </w:tc>
        <w:tc>
          <w:tcPr>
            <w:tcW w:w="1296" w:type="dxa"/>
            <w:noWrap/>
            <w:hideMark/>
          </w:tcPr>
          <w:p w14:paraId="11DF235A" w14:textId="77777777" w:rsidR="001B2E3D" w:rsidRPr="00690F4D" w:rsidRDefault="001B2E3D" w:rsidP="0054652C">
            <w:pPr>
              <w:pStyle w:val="MDPI42tablebody"/>
            </w:pPr>
            <w:r w:rsidRPr="00690F4D">
              <w:rPr>
                <w:rFonts w:cs="Calibri"/>
              </w:rPr>
              <w:t>0.023</w:t>
            </w:r>
          </w:p>
        </w:tc>
        <w:tc>
          <w:tcPr>
            <w:tcW w:w="885" w:type="dxa"/>
            <w:noWrap/>
            <w:hideMark/>
          </w:tcPr>
          <w:p w14:paraId="385BE021" w14:textId="77777777" w:rsidR="001B2E3D" w:rsidRPr="00690F4D" w:rsidRDefault="001B2E3D" w:rsidP="0054652C">
            <w:pPr>
              <w:pStyle w:val="MDPI42tablebody"/>
            </w:pPr>
            <w:r w:rsidRPr="00690F4D">
              <w:t>60</w:t>
            </w:r>
          </w:p>
        </w:tc>
        <w:tc>
          <w:tcPr>
            <w:tcW w:w="1373" w:type="dxa"/>
            <w:noWrap/>
            <w:hideMark/>
          </w:tcPr>
          <w:p w14:paraId="37B220D0" w14:textId="77777777" w:rsidR="001B2E3D" w:rsidRPr="00690F4D" w:rsidRDefault="001B2E3D" w:rsidP="0054652C">
            <w:pPr>
              <w:pStyle w:val="MDPI42tablebody"/>
            </w:pPr>
            <w:r w:rsidRPr="00690F4D">
              <w:t>6</w:t>
            </w:r>
          </w:p>
        </w:tc>
        <w:tc>
          <w:tcPr>
            <w:tcW w:w="1716" w:type="dxa"/>
            <w:noWrap/>
            <w:hideMark/>
          </w:tcPr>
          <w:p w14:paraId="47A1A8B3" w14:textId="77777777" w:rsidR="001B2E3D" w:rsidRPr="00690F4D" w:rsidRDefault="001B2E3D" w:rsidP="0054652C">
            <w:pPr>
              <w:pStyle w:val="MDPI42tablebody"/>
            </w:pPr>
            <w:r w:rsidRPr="00690F4D">
              <w:t>FALSE</w:t>
            </w:r>
          </w:p>
        </w:tc>
      </w:tr>
      <w:tr w:rsidR="001B2E3D" w:rsidRPr="00690F4D" w14:paraId="0809314F" w14:textId="77777777" w:rsidTr="0054652C">
        <w:trPr>
          <w:trHeight w:val="320"/>
        </w:trPr>
        <w:tc>
          <w:tcPr>
            <w:tcW w:w="2340" w:type="dxa"/>
            <w:noWrap/>
            <w:hideMark/>
          </w:tcPr>
          <w:p w14:paraId="49CFA8EF" w14:textId="77777777" w:rsidR="001B2E3D" w:rsidRPr="00690F4D" w:rsidRDefault="001B2E3D" w:rsidP="0054652C">
            <w:pPr>
              <w:pStyle w:val="MDPI42tablebody"/>
            </w:pPr>
            <w:r w:rsidRPr="00690F4D">
              <w:t>Resolution of Sister Chromatid Cohesion</w:t>
            </w:r>
          </w:p>
        </w:tc>
        <w:tc>
          <w:tcPr>
            <w:tcW w:w="1179" w:type="dxa"/>
            <w:noWrap/>
            <w:hideMark/>
          </w:tcPr>
          <w:p w14:paraId="3E90B789" w14:textId="77777777" w:rsidR="001B2E3D" w:rsidRPr="00690F4D" w:rsidRDefault="001B2E3D" w:rsidP="0054652C">
            <w:pPr>
              <w:pStyle w:val="MDPI42tablebody"/>
            </w:pPr>
            <w:r w:rsidRPr="00690F4D">
              <w:t>Up</w:t>
            </w:r>
          </w:p>
        </w:tc>
        <w:tc>
          <w:tcPr>
            <w:tcW w:w="1296" w:type="dxa"/>
            <w:noWrap/>
            <w:hideMark/>
          </w:tcPr>
          <w:p w14:paraId="50DDCD06" w14:textId="77777777" w:rsidR="001B2E3D" w:rsidRPr="00690F4D" w:rsidRDefault="001B2E3D" w:rsidP="0054652C">
            <w:pPr>
              <w:pStyle w:val="MDPI42tablebody"/>
            </w:pPr>
            <w:r w:rsidRPr="00690F4D">
              <w:rPr>
                <w:rFonts w:cs="Calibri"/>
              </w:rPr>
              <w:t>0.030</w:t>
            </w:r>
          </w:p>
        </w:tc>
        <w:tc>
          <w:tcPr>
            <w:tcW w:w="885" w:type="dxa"/>
            <w:noWrap/>
            <w:hideMark/>
          </w:tcPr>
          <w:p w14:paraId="680F393E" w14:textId="77777777" w:rsidR="001B2E3D" w:rsidRPr="00690F4D" w:rsidRDefault="001B2E3D" w:rsidP="0054652C">
            <w:pPr>
              <w:pStyle w:val="MDPI42tablebody"/>
            </w:pPr>
            <w:r w:rsidRPr="00690F4D">
              <w:t>123</w:t>
            </w:r>
          </w:p>
        </w:tc>
        <w:tc>
          <w:tcPr>
            <w:tcW w:w="1373" w:type="dxa"/>
            <w:noWrap/>
            <w:hideMark/>
          </w:tcPr>
          <w:p w14:paraId="2B13E61A" w14:textId="77777777" w:rsidR="001B2E3D" w:rsidRPr="00690F4D" w:rsidRDefault="001B2E3D" w:rsidP="0054652C">
            <w:pPr>
              <w:pStyle w:val="MDPI42tablebody"/>
            </w:pPr>
            <w:r w:rsidRPr="00690F4D">
              <w:t>8</w:t>
            </w:r>
          </w:p>
        </w:tc>
        <w:tc>
          <w:tcPr>
            <w:tcW w:w="1716" w:type="dxa"/>
            <w:noWrap/>
            <w:hideMark/>
          </w:tcPr>
          <w:p w14:paraId="356F4079" w14:textId="77777777" w:rsidR="001B2E3D" w:rsidRPr="00690F4D" w:rsidRDefault="001B2E3D" w:rsidP="0054652C">
            <w:pPr>
              <w:pStyle w:val="MDPI42tablebody"/>
            </w:pPr>
            <w:r w:rsidRPr="00690F4D">
              <w:t>TRUE</w:t>
            </w:r>
          </w:p>
        </w:tc>
      </w:tr>
      <w:tr w:rsidR="001B2E3D" w:rsidRPr="00690F4D" w14:paraId="619377FB" w14:textId="77777777" w:rsidTr="0054652C">
        <w:trPr>
          <w:trHeight w:val="320"/>
        </w:trPr>
        <w:tc>
          <w:tcPr>
            <w:tcW w:w="2340" w:type="dxa"/>
            <w:noWrap/>
            <w:hideMark/>
          </w:tcPr>
          <w:p w14:paraId="63B564E3" w14:textId="77777777" w:rsidR="001B2E3D" w:rsidRPr="00690F4D" w:rsidRDefault="001B2E3D" w:rsidP="0054652C">
            <w:pPr>
              <w:pStyle w:val="MDPI42tablebody"/>
            </w:pPr>
            <w:r w:rsidRPr="00690F4D">
              <w:t xml:space="preserve">Amplification of signal from unattached </w:t>
            </w:r>
            <w:r w:rsidRPr="00690F4D">
              <w:lastRenderedPageBreak/>
              <w:t>kinetochores via a MAD2 inhibitory signal</w:t>
            </w:r>
          </w:p>
        </w:tc>
        <w:tc>
          <w:tcPr>
            <w:tcW w:w="1179" w:type="dxa"/>
            <w:noWrap/>
            <w:hideMark/>
          </w:tcPr>
          <w:p w14:paraId="40EC335A" w14:textId="77777777" w:rsidR="001B2E3D" w:rsidRPr="00690F4D" w:rsidRDefault="001B2E3D" w:rsidP="0054652C">
            <w:pPr>
              <w:pStyle w:val="MDPI42tablebody"/>
            </w:pPr>
            <w:r w:rsidRPr="00690F4D">
              <w:lastRenderedPageBreak/>
              <w:t>Up</w:t>
            </w:r>
          </w:p>
        </w:tc>
        <w:tc>
          <w:tcPr>
            <w:tcW w:w="1296" w:type="dxa"/>
            <w:noWrap/>
            <w:hideMark/>
          </w:tcPr>
          <w:p w14:paraId="407AEA33" w14:textId="77777777" w:rsidR="001B2E3D" w:rsidRPr="00690F4D" w:rsidRDefault="001B2E3D" w:rsidP="0054652C">
            <w:pPr>
              <w:pStyle w:val="MDPI42tablebody"/>
            </w:pPr>
            <w:r w:rsidRPr="00690F4D">
              <w:rPr>
                <w:rFonts w:cs="Calibri"/>
              </w:rPr>
              <w:t>0.032</w:t>
            </w:r>
          </w:p>
        </w:tc>
        <w:tc>
          <w:tcPr>
            <w:tcW w:w="885" w:type="dxa"/>
            <w:noWrap/>
            <w:hideMark/>
          </w:tcPr>
          <w:p w14:paraId="46776C96" w14:textId="77777777" w:rsidR="001B2E3D" w:rsidRPr="00690F4D" w:rsidRDefault="001B2E3D" w:rsidP="0054652C">
            <w:pPr>
              <w:pStyle w:val="MDPI42tablebody"/>
            </w:pPr>
            <w:r w:rsidRPr="00690F4D">
              <w:t>92</w:t>
            </w:r>
          </w:p>
        </w:tc>
        <w:tc>
          <w:tcPr>
            <w:tcW w:w="1373" w:type="dxa"/>
            <w:noWrap/>
            <w:hideMark/>
          </w:tcPr>
          <w:p w14:paraId="6E8D89F6" w14:textId="77777777" w:rsidR="001B2E3D" w:rsidRPr="00690F4D" w:rsidRDefault="001B2E3D" w:rsidP="0054652C">
            <w:pPr>
              <w:pStyle w:val="MDPI42tablebody"/>
            </w:pPr>
            <w:r w:rsidRPr="00690F4D">
              <w:t>7</w:t>
            </w:r>
          </w:p>
        </w:tc>
        <w:tc>
          <w:tcPr>
            <w:tcW w:w="1716" w:type="dxa"/>
            <w:noWrap/>
            <w:hideMark/>
          </w:tcPr>
          <w:p w14:paraId="46F2898B" w14:textId="77777777" w:rsidR="001B2E3D" w:rsidRPr="00690F4D" w:rsidRDefault="001B2E3D" w:rsidP="0054652C">
            <w:pPr>
              <w:pStyle w:val="MDPI42tablebody"/>
            </w:pPr>
            <w:r w:rsidRPr="00690F4D">
              <w:t>TRUE</w:t>
            </w:r>
          </w:p>
        </w:tc>
      </w:tr>
      <w:tr w:rsidR="001B2E3D" w:rsidRPr="00690F4D" w14:paraId="010CE611" w14:textId="77777777" w:rsidTr="0054652C">
        <w:trPr>
          <w:trHeight w:val="320"/>
        </w:trPr>
        <w:tc>
          <w:tcPr>
            <w:tcW w:w="2340" w:type="dxa"/>
            <w:noWrap/>
            <w:hideMark/>
          </w:tcPr>
          <w:p w14:paraId="716EB3E5" w14:textId="77777777" w:rsidR="001B2E3D" w:rsidRPr="00690F4D" w:rsidRDefault="001B2E3D" w:rsidP="0054652C">
            <w:pPr>
              <w:pStyle w:val="MDPI42tablebody"/>
            </w:pPr>
            <w:r w:rsidRPr="00690F4D">
              <w:t>Amplification of signal from the kinetochores</w:t>
            </w:r>
          </w:p>
        </w:tc>
        <w:tc>
          <w:tcPr>
            <w:tcW w:w="1179" w:type="dxa"/>
            <w:noWrap/>
            <w:hideMark/>
          </w:tcPr>
          <w:p w14:paraId="3EF83E9E" w14:textId="77777777" w:rsidR="001B2E3D" w:rsidRPr="00690F4D" w:rsidRDefault="001B2E3D" w:rsidP="0054652C">
            <w:pPr>
              <w:pStyle w:val="MDPI42tablebody"/>
            </w:pPr>
            <w:r w:rsidRPr="00690F4D">
              <w:t>Up</w:t>
            </w:r>
          </w:p>
        </w:tc>
        <w:tc>
          <w:tcPr>
            <w:tcW w:w="1296" w:type="dxa"/>
            <w:noWrap/>
            <w:hideMark/>
          </w:tcPr>
          <w:p w14:paraId="548718ED" w14:textId="77777777" w:rsidR="001B2E3D" w:rsidRPr="00690F4D" w:rsidRDefault="001B2E3D" w:rsidP="0054652C">
            <w:pPr>
              <w:pStyle w:val="MDPI42tablebody"/>
            </w:pPr>
            <w:r w:rsidRPr="00690F4D">
              <w:rPr>
                <w:rFonts w:cs="Calibri"/>
              </w:rPr>
              <w:t>0.032</w:t>
            </w:r>
          </w:p>
        </w:tc>
        <w:tc>
          <w:tcPr>
            <w:tcW w:w="885" w:type="dxa"/>
            <w:noWrap/>
            <w:hideMark/>
          </w:tcPr>
          <w:p w14:paraId="5DD41AA8" w14:textId="77777777" w:rsidR="001B2E3D" w:rsidRPr="00690F4D" w:rsidRDefault="001B2E3D" w:rsidP="0054652C">
            <w:pPr>
              <w:pStyle w:val="MDPI42tablebody"/>
            </w:pPr>
            <w:r w:rsidRPr="00690F4D">
              <w:t>92</w:t>
            </w:r>
          </w:p>
        </w:tc>
        <w:tc>
          <w:tcPr>
            <w:tcW w:w="1373" w:type="dxa"/>
            <w:noWrap/>
            <w:hideMark/>
          </w:tcPr>
          <w:p w14:paraId="2D0F81B7" w14:textId="77777777" w:rsidR="001B2E3D" w:rsidRPr="00690F4D" w:rsidRDefault="001B2E3D" w:rsidP="0054652C">
            <w:pPr>
              <w:pStyle w:val="MDPI42tablebody"/>
            </w:pPr>
            <w:r w:rsidRPr="00690F4D">
              <w:t>7</w:t>
            </w:r>
          </w:p>
        </w:tc>
        <w:tc>
          <w:tcPr>
            <w:tcW w:w="1716" w:type="dxa"/>
            <w:noWrap/>
            <w:hideMark/>
          </w:tcPr>
          <w:p w14:paraId="46F0056C" w14:textId="77777777" w:rsidR="001B2E3D" w:rsidRPr="00690F4D" w:rsidRDefault="001B2E3D" w:rsidP="0054652C">
            <w:pPr>
              <w:pStyle w:val="MDPI42tablebody"/>
            </w:pPr>
            <w:r w:rsidRPr="00690F4D">
              <w:t>TRUE</w:t>
            </w:r>
          </w:p>
        </w:tc>
      </w:tr>
      <w:tr w:rsidR="001B2E3D" w:rsidRPr="00690F4D" w14:paraId="5BB6B944" w14:textId="77777777" w:rsidTr="0054652C">
        <w:trPr>
          <w:trHeight w:val="320"/>
        </w:trPr>
        <w:tc>
          <w:tcPr>
            <w:tcW w:w="2340" w:type="dxa"/>
            <w:noWrap/>
            <w:hideMark/>
          </w:tcPr>
          <w:p w14:paraId="66E2C7E1" w14:textId="77777777" w:rsidR="001B2E3D" w:rsidRPr="00690F4D" w:rsidRDefault="001B2E3D" w:rsidP="0054652C">
            <w:pPr>
              <w:pStyle w:val="MDPI42tablebody"/>
            </w:pPr>
            <w:r w:rsidRPr="00690F4D">
              <w:t>Metabolism</w:t>
            </w:r>
          </w:p>
        </w:tc>
        <w:tc>
          <w:tcPr>
            <w:tcW w:w="1179" w:type="dxa"/>
            <w:noWrap/>
            <w:hideMark/>
          </w:tcPr>
          <w:p w14:paraId="251AFB4D" w14:textId="77777777" w:rsidR="001B2E3D" w:rsidRPr="00690F4D" w:rsidRDefault="001B2E3D" w:rsidP="0054652C">
            <w:pPr>
              <w:pStyle w:val="MDPI42tablebody"/>
            </w:pPr>
            <w:r w:rsidRPr="00690F4D">
              <w:t>Down</w:t>
            </w:r>
          </w:p>
        </w:tc>
        <w:tc>
          <w:tcPr>
            <w:tcW w:w="1296" w:type="dxa"/>
            <w:noWrap/>
            <w:hideMark/>
          </w:tcPr>
          <w:p w14:paraId="172781E1" w14:textId="77777777" w:rsidR="001B2E3D" w:rsidRPr="00690F4D" w:rsidRDefault="001B2E3D" w:rsidP="0054652C">
            <w:pPr>
              <w:pStyle w:val="MDPI42tablebody"/>
            </w:pPr>
            <w:r w:rsidRPr="00690F4D">
              <w:rPr>
                <w:rFonts w:cs="Calibri"/>
              </w:rPr>
              <w:t>0.000</w:t>
            </w:r>
          </w:p>
        </w:tc>
        <w:tc>
          <w:tcPr>
            <w:tcW w:w="885" w:type="dxa"/>
            <w:noWrap/>
            <w:hideMark/>
          </w:tcPr>
          <w:p w14:paraId="61AE6476" w14:textId="77777777" w:rsidR="001B2E3D" w:rsidRPr="00690F4D" w:rsidRDefault="001B2E3D" w:rsidP="0054652C">
            <w:pPr>
              <w:pStyle w:val="MDPI42tablebody"/>
            </w:pPr>
            <w:r w:rsidRPr="00690F4D">
              <w:t>2075</w:t>
            </w:r>
          </w:p>
        </w:tc>
        <w:tc>
          <w:tcPr>
            <w:tcW w:w="1373" w:type="dxa"/>
            <w:noWrap/>
            <w:hideMark/>
          </w:tcPr>
          <w:p w14:paraId="7A50E6E5" w14:textId="77777777" w:rsidR="001B2E3D" w:rsidRPr="00690F4D" w:rsidRDefault="001B2E3D" w:rsidP="0054652C">
            <w:pPr>
              <w:pStyle w:val="MDPI42tablebody"/>
            </w:pPr>
            <w:r w:rsidRPr="00690F4D">
              <w:t>63</w:t>
            </w:r>
          </w:p>
        </w:tc>
        <w:tc>
          <w:tcPr>
            <w:tcW w:w="1716" w:type="dxa"/>
            <w:noWrap/>
            <w:hideMark/>
          </w:tcPr>
          <w:p w14:paraId="0CB6CBD7" w14:textId="77777777" w:rsidR="001B2E3D" w:rsidRPr="00690F4D" w:rsidRDefault="001B2E3D" w:rsidP="0054652C">
            <w:pPr>
              <w:pStyle w:val="MDPI42tablebody"/>
            </w:pPr>
            <w:r w:rsidRPr="00690F4D">
              <w:t>FALSE</w:t>
            </w:r>
          </w:p>
        </w:tc>
      </w:tr>
      <w:tr w:rsidR="001B2E3D" w:rsidRPr="00690F4D" w14:paraId="4C56F572" w14:textId="77777777" w:rsidTr="0054652C">
        <w:trPr>
          <w:trHeight w:val="320"/>
        </w:trPr>
        <w:tc>
          <w:tcPr>
            <w:tcW w:w="2340" w:type="dxa"/>
            <w:noWrap/>
            <w:hideMark/>
          </w:tcPr>
          <w:p w14:paraId="0BEE4E75" w14:textId="77777777" w:rsidR="001B2E3D" w:rsidRPr="00690F4D" w:rsidRDefault="001B2E3D" w:rsidP="0054652C">
            <w:pPr>
              <w:pStyle w:val="MDPI42tablebody"/>
            </w:pPr>
            <w:r w:rsidRPr="00690F4D">
              <w:t>Cholesterol biosynthesis</w:t>
            </w:r>
          </w:p>
        </w:tc>
        <w:tc>
          <w:tcPr>
            <w:tcW w:w="1179" w:type="dxa"/>
            <w:noWrap/>
            <w:hideMark/>
          </w:tcPr>
          <w:p w14:paraId="50448F6E" w14:textId="77777777" w:rsidR="001B2E3D" w:rsidRPr="00690F4D" w:rsidRDefault="001B2E3D" w:rsidP="0054652C">
            <w:pPr>
              <w:pStyle w:val="MDPI42tablebody"/>
            </w:pPr>
            <w:r w:rsidRPr="00690F4D">
              <w:t>Down</w:t>
            </w:r>
          </w:p>
        </w:tc>
        <w:tc>
          <w:tcPr>
            <w:tcW w:w="1296" w:type="dxa"/>
            <w:noWrap/>
            <w:hideMark/>
          </w:tcPr>
          <w:p w14:paraId="713F6040" w14:textId="77777777" w:rsidR="001B2E3D" w:rsidRPr="00690F4D" w:rsidRDefault="001B2E3D" w:rsidP="0054652C">
            <w:pPr>
              <w:pStyle w:val="MDPI42tablebody"/>
            </w:pPr>
            <w:r w:rsidRPr="00690F4D">
              <w:rPr>
                <w:rFonts w:cs="Calibri"/>
              </w:rPr>
              <w:t>0.001</w:t>
            </w:r>
          </w:p>
        </w:tc>
        <w:tc>
          <w:tcPr>
            <w:tcW w:w="885" w:type="dxa"/>
            <w:noWrap/>
            <w:hideMark/>
          </w:tcPr>
          <w:p w14:paraId="275C69AB" w14:textId="77777777" w:rsidR="001B2E3D" w:rsidRPr="00690F4D" w:rsidRDefault="001B2E3D" w:rsidP="0054652C">
            <w:pPr>
              <w:pStyle w:val="MDPI42tablebody"/>
            </w:pPr>
            <w:r w:rsidRPr="00690F4D">
              <w:t>24</w:t>
            </w:r>
          </w:p>
        </w:tc>
        <w:tc>
          <w:tcPr>
            <w:tcW w:w="1373" w:type="dxa"/>
            <w:noWrap/>
            <w:hideMark/>
          </w:tcPr>
          <w:p w14:paraId="1F4E86B0" w14:textId="77777777" w:rsidR="001B2E3D" w:rsidRPr="00690F4D" w:rsidRDefault="001B2E3D" w:rsidP="0054652C">
            <w:pPr>
              <w:pStyle w:val="MDPI42tablebody"/>
            </w:pPr>
            <w:r w:rsidRPr="00690F4D">
              <w:t>6</w:t>
            </w:r>
          </w:p>
        </w:tc>
        <w:tc>
          <w:tcPr>
            <w:tcW w:w="1716" w:type="dxa"/>
            <w:noWrap/>
            <w:hideMark/>
          </w:tcPr>
          <w:p w14:paraId="2291BEF1" w14:textId="77777777" w:rsidR="001B2E3D" w:rsidRPr="00690F4D" w:rsidRDefault="001B2E3D" w:rsidP="0054652C">
            <w:pPr>
              <w:pStyle w:val="MDPI42tablebody"/>
            </w:pPr>
            <w:r w:rsidRPr="00690F4D">
              <w:t>FALSE</w:t>
            </w:r>
          </w:p>
        </w:tc>
      </w:tr>
      <w:tr w:rsidR="001B2E3D" w:rsidRPr="00690F4D" w14:paraId="05108286" w14:textId="77777777" w:rsidTr="0054652C">
        <w:trPr>
          <w:trHeight w:val="320"/>
        </w:trPr>
        <w:tc>
          <w:tcPr>
            <w:tcW w:w="2340" w:type="dxa"/>
            <w:noWrap/>
            <w:hideMark/>
          </w:tcPr>
          <w:p w14:paraId="3F1304B5" w14:textId="77777777" w:rsidR="001B2E3D" w:rsidRPr="00690F4D" w:rsidRDefault="001B2E3D" w:rsidP="0054652C">
            <w:pPr>
              <w:pStyle w:val="MDPI42tablebody"/>
            </w:pPr>
            <w:r w:rsidRPr="00690F4D">
              <w:t>Glutathione conjugation</w:t>
            </w:r>
          </w:p>
        </w:tc>
        <w:tc>
          <w:tcPr>
            <w:tcW w:w="1179" w:type="dxa"/>
            <w:noWrap/>
            <w:hideMark/>
          </w:tcPr>
          <w:p w14:paraId="57A87BFA" w14:textId="77777777" w:rsidR="001B2E3D" w:rsidRPr="00690F4D" w:rsidRDefault="001B2E3D" w:rsidP="0054652C">
            <w:pPr>
              <w:pStyle w:val="MDPI42tablebody"/>
            </w:pPr>
            <w:r w:rsidRPr="00690F4D">
              <w:t>Down</w:t>
            </w:r>
          </w:p>
        </w:tc>
        <w:tc>
          <w:tcPr>
            <w:tcW w:w="1296" w:type="dxa"/>
            <w:noWrap/>
            <w:hideMark/>
          </w:tcPr>
          <w:p w14:paraId="75A9190F" w14:textId="77777777" w:rsidR="001B2E3D" w:rsidRPr="00690F4D" w:rsidRDefault="001B2E3D" w:rsidP="0054652C">
            <w:pPr>
              <w:pStyle w:val="MDPI42tablebody"/>
            </w:pPr>
            <w:r w:rsidRPr="00690F4D">
              <w:rPr>
                <w:rFonts w:cs="Calibri"/>
              </w:rPr>
              <w:t>0.009</w:t>
            </w:r>
          </w:p>
        </w:tc>
        <w:tc>
          <w:tcPr>
            <w:tcW w:w="885" w:type="dxa"/>
            <w:noWrap/>
            <w:hideMark/>
          </w:tcPr>
          <w:p w14:paraId="73333C39" w14:textId="77777777" w:rsidR="001B2E3D" w:rsidRPr="00690F4D" w:rsidRDefault="001B2E3D" w:rsidP="0054652C">
            <w:pPr>
              <w:pStyle w:val="MDPI42tablebody"/>
            </w:pPr>
            <w:r w:rsidRPr="00690F4D">
              <w:t>34</w:t>
            </w:r>
          </w:p>
        </w:tc>
        <w:tc>
          <w:tcPr>
            <w:tcW w:w="1373" w:type="dxa"/>
            <w:noWrap/>
            <w:hideMark/>
          </w:tcPr>
          <w:p w14:paraId="0F9A4694" w14:textId="77777777" w:rsidR="001B2E3D" w:rsidRPr="00690F4D" w:rsidRDefault="001B2E3D" w:rsidP="0054652C">
            <w:pPr>
              <w:pStyle w:val="MDPI42tablebody"/>
            </w:pPr>
            <w:r w:rsidRPr="00690F4D">
              <w:t>6</w:t>
            </w:r>
          </w:p>
        </w:tc>
        <w:tc>
          <w:tcPr>
            <w:tcW w:w="1716" w:type="dxa"/>
            <w:noWrap/>
            <w:hideMark/>
          </w:tcPr>
          <w:p w14:paraId="2C925696" w14:textId="77777777" w:rsidR="001B2E3D" w:rsidRPr="00690F4D" w:rsidRDefault="001B2E3D" w:rsidP="0054652C">
            <w:pPr>
              <w:pStyle w:val="MDPI42tablebody"/>
            </w:pPr>
            <w:r w:rsidRPr="00690F4D">
              <w:t>FALSE</w:t>
            </w:r>
          </w:p>
        </w:tc>
      </w:tr>
      <w:tr w:rsidR="001B2E3D" w:rsidRPr="00690F4D" w14:paraId="4E5532CE" w14:textId="77777777" w:rsidTr="0054652C">
        <w:trPr>
          <w:trHeight w:val="320"/>
        </w:trPr>
        <w:tc>
          <w:tcPr>
            <w:tcW w:w="2340" w:type="dxa"/>
            <w:noWrap/>
            <w:hideMark/>
          </w:tcPr>
          <w:p w14:paraId="656C13D6" w14:textId="77777777" w:rsidR="001B2E3D" w:rsidRPr="00690F4D" w:rsidRDefault="001B2E3D" w:rsidP="0054652C">
            <w:pPr>
              <w:pStyle w:val="MDPI42tablebody"/>
            </w:pPr>
            <w:r w:rsidRPr="00690F4D">
              <w:t>Response to metal ions</w:t>
            </w:r>
          </w:p>
        </w:tc>
        <w:tc>
          <w:tcPr>
            <w:tcW w:w="1179" w:type="dxa"/>
            <w:noWrap/>
            <w:hideMark/>
          </w:tcPr>
          <w:p w14:paraId="7E41EBAE" w14:textId="77777777" w:rsidR="001B2E3D" w:rsidRPr="00690F4D" w:rsidRDefault="001B2E3D" w:rsidP="0054652C">
            <w:pPr>
              <w:pStyle w:val="MDPI42tablebody"/>
            </w:pPr>
            <w:r w:rsidRPr="00690F4D">
              <w:t>Down</w:t>
            </w:r>
          </w:p>
        </w:tc>
        <w:tc>
          <w:tcPr>
            <w:tcW w:w="1296" w:type="dxa"/>
            <w:noWrap/>
            <w:hideMark/>
          </w:tcPr>
          <w:p w14:paraId="41FB647A" w14:textId="77777777" w:rsidR="001B2E3D" w:rsidRPr="00690F4D" w:rsidRDefault="001B2E3D" w:rsidP="0054652C">
            <w:pPr>
              <w:pStyle w:val="MDPI42tablebody"/>
            </w:pPr>
            <w:r w:rsidRPr="00690F4D">
              <w:rPr>
                <w:rFonts w:cs="Calibri"/>
              </w:rPr>
              <w:t>0.031</w:t>
            </w:r>
          </w:p>
        </w:tc>
        <w:tc>
          <w:tcPr>
            <w:tcW w:w="885" w:type="dxa"/>
            <w:noWrap/>
            <w:hideMark/>
          </w:tcPr>
          <w:p w14:paraId="644A764F" w14:textId="77777777" w:rsidR="001B2E3D" w:rsidRPr="00690F4D" w:rsidRDefault="001B2E3D" w:rsidP="0054652C">
            <w:pPr>
              <w:pStyle w:val="MDPI42tablebody"/>
            </w:pPr>
            <w:r w:rsidRPr="00690F4D">
              <w:t>14</w:t>
            </w:r>
          </w:p>
        </w:tc>
        <w:tc>
          <w:tcPr>
            <w:tcW w:w="1373" w:type="dxa"/>
            <w:noWrap/>
            <w:hideMark/>
          </w:tcPr>
          <w:p w14:paraId="17A9944F" w14:textId="77777777" w:rsidR="001B2E3D" w:rsidRPr="00690F4D" w:rsidRDefault="001B2E3D" w:rsidP="0054652C">
            <w:pPr>
              <w:pStyle w:val="MDPI42tablebody"/>
            </w:pPr>
            <w:r w:rsidRPr="00690F4D">
              <w:t>4</w:t>
            </w:r>
          </w:p>
        </w:tc>
        <w:tc>
          <w:tcPr>
            <w:tcW w:w="1716" w:type="dxa"/>
            <w:noWrap/>
            <w:hideMark/>
          </w:tcPr>
          <w:p w14:paraId="5FAB6BD8" w14:textId="77777777" w:rsidR="001B2E3D" w:rsidRPr="00690F4D" w:rsidRDefault="001B2E3D" w:rsidP="0054652C">
            <w:pPr>
              <w:pStyle w:val="MDPI42tablebody"/>
            </w:pPr>
            <w:r w:rsidRPr="00690F4D">
              <w:t>FALSE</w:t>
            </w:r>
          </w:p>
        </w:tc>
      </w:tr>
      <w:tr w:rsidR="001B2E3D" w:rsidRPr="00690F4D" w14:paraId="4FA23272" w14:textId="77777777" w:rsidTr="0054652C">
        <w:trPr>
          <w:trHeight w:val="320"/>
        </w:trPr>
        <w:tc>
          <w:tcPr>
            <w:tcW w:w="2340" w:type="dxa"/>
            <w:noWrap/>
            <w:hideMark/>
          </w:tcPr>
          <w:p w14:paraId="358AF3E9" w14:textId="77777777" w:rsidR="001B2E3D" w:rsidRPr="00690F4D" w:rsidRDefault="001B2E3D" w:rsidP="0054652C">
            <w:pPr>
              <w:pStyle w:val="MDPI42tablebody"/>
            </w:pPr>
            <w:r w:rsidRPr="00690F4D">
              <w:t>Metabolism of lipids</w:t>
            </w:r>
          </w:p>
        </w:tc>
        <w:tc>
          <w:tcPr>
            <w:tcW w:w="1179" w:type="dxa"/>
            <w:noWrap/>
            <w:hideMark/>
          </w:tcPr>
          <w:p w14:paraId="2EBBFAC7" w14:textId="77777777" w:rsidR="001B2E3D" w:rsidRPr="00690F4D" w:rsidRDefault="001B2E3D" w:rsidP="0054652C">
            <w:pPr>
              <w:pStyle w:val="MDPI42tablebody"/>
            </w:pPr>
            <w:r w:rsidRPr="00690F4D">
              <w:t>Down</w:t>
            </w:r>
          </w:p>
        </w:tc>
        <w:tc>
          <w:tcPr>
            <w:tcW w:w="1296" w:type="dxa"/>
            <w:noWrap/>
            <w:hideMark/>
          </w:tcPr>
          <w:p w14:paraId="7C90628E" w14:textId="77777777" w:rsidR="001B2E3D" w:rsidRPr="00690F4D" w:rsidRDefault="001B2E3D" w:rsidP="0054652C">
            <w:pPr>
              <w:pStyle w:val="MDPI42tablebody"/>
            </w:pPr>
            <w:r w:rsidRPr="00690F4D">
              <w:rPr>
                <w:rFonts w:cs="Calibri"/>
              </w:rPr>
              <w:t>0.046</w:t>
            </w:r>
          </w:p>
        </w:tc>
        <w:tc>
          <w:tcPr>
            <w:tcW w:w="885" w:type="dxa"/>
            <w:noWrap/>
            <w:hideMark/>
          </w:tcPr>
          <w:p w14:paraId="4A21DF9D" w14:textId="77777777" w:rsidR="001B2E3D" w:rsidRPr="00690F4D" w:rsidRDefault="001B2E3D" w:rsidP="0054652C">
            <w:pPr>
              <w:pStyle w:val="MDPI42tablebody"/>
            </w:pPr>
            <w:r w:rsidRPr="00690F4D">
              <w:t>728</w:t>
            </w:r>
          </w:p>
        </w:tc>
        <w:tc>
          <w:tcPr>
            <w:tcW w:w="1373" w:type="dxa"/>
            <w:noWrap/>
            <w:hideMark/>
          </w:tcPr>
          <w:p w14:paraId="108C77F5" w14:textId="77777777" w:rsidR="001B2E3D" w:rsidRPr="00690F4D" w:rsidRDefault="001B2E3D" w:rsidP="0054652C">
            <w:pPr>
              <w:pStyle w:val="MDPI42tablebody"/>
            </w:pPr>
            <w:r w:rsidRPr="00690F4D">
              <w:t>27</w:t>
            </w:r>
          </w:p>
        </w:tc>
        <w:tc>
          <w:tcPr>
            <w:tcW w:w="1716" w:type="dxa"/>
            <w:noWrap/>
            <w:hideMark/>
          </w:tcPr>
          <w:p w14:paraId="77E2B762" w14:textId="77777777" w:rsidR="001B2E3D" w:rsidRPr="00690F4D" w:rsidRDefault="001B2E3D" w:rsidP="0054652C">
            <w:pPr>
              <w:pStyle w:val="MDPI42tablebody"/>
            </w:pPr>
            <w:r w:rsidRPr="00690F4D">
              <w:t>FALSE</w:t>
            </w:r>
          </w:p>
        </w:tc>
      </w:tr>
    </w:tbl>
    <w:p w14:paraId="1C762565" w14:textId="77777777" w:rsidR="001B2E3D" w:rsidRDefault="001B2E3D" w:rsidP="001B2E3D"/>
    <w:p w14:paraId="7B854F55" w14:textId="77777777" w:rsidR="001B2E3D" w:rsidRDefault="001B2E3D" w:rsidP="001B2E3D">
      <w:pPr>
        <w:pStyle w:val="MDPI31text"/>
      </w:pPr>
      <w:r w:rsidRPr="0021601B">
        <w:t xml:space="preserve">4507 genes </w:t>
      </w:r>
      <w:r>
        <w:t xml:space="preserve">were </w:t>
      </w:r>
      <w:r w:rsidRPr="0021601B">
        <w:t xml:space="preserve">found to be differentially expressed between DESNT vs non-DESNT samples (1973 downregulated; 2534 upregulated; adjusted </w:t>
      </w:r>
      <w:r w:rsidRPr="0021601B">
        <w:rPr>
          <w:i/>
          <w:iCs/>
        </w:rPr>
        <w:t>p</w:t>
      </w:r>
      <w:r w:rsidRPr="0021601B">
        <w:t xml:space="preserve">-values &lt; 0.05; adapted </w:t>
      </w:r>
      <w:r w:rsidRPr="0021601B">
        <w:rPr>
          <w:i/>
          <w:iCs/>
        </w:rPr>
        <w:t>t</w:t>
      </w:r>
      <w:r w:rsidRPr="0021601B">
        <w:t>-test</w:t>
      </w:r>
      <w:r>
        <w:t>; Table 6; Table S3</w:t>
      </w:r>
      <w:r w:rsidRPr="0021601B">
        <w:t xml:space="preserve">). </w:t>
      </w:r>
      <w:r>
        <w:t xml:space="preserve">Of the 51 </w:t>
      </w:r>
      <w:r w:rsidRPr="0021601B">
        <w:t xml:space="preserve">differential expressed genes Luca </w:t>
      </w:r>
      <w:r w:rsidRPr="0021601B">
        <w:rPr>
          <w:i/>
          <w:iCs/>
        </w:rPr>
        <w:t>et al</w:t>
      </w:r>
      <w:r w:rsidRPr="0021601B">
        <w:t>. (20</w:t>
      </w:r>
      <w:r>
        <w:t>20</w:t>
      </w:r>
      <w:r w:rsidRPr="0021601B">
        <w:t xml:space="preserve">) observed </w:t>
      </w:r>
      <w:r>
        <w:t>as characteristic of the DESNT subtype across multiple datasets (49 down-regulated, two up-regulated), all of them were differentially expressed in this analysis and were altered in the same direction (Table S3). A much larger number of genes were identified here as the DESNT characteristic genes</w:t>
      </w:r>
      <w:r w:rsidRPr="007C2299">
        <w:t xml:space="preserve"> reported </w:t>
      </w:r>
      <w:r>
        <w:t xml:space="preserve">in Luca </w:t>
      </w:r>
      <w:r w:rsidRPr="007C2299">
        <w:rPr>
          <w:i/>
          <w:iCs/>
        </w:rPr>
        <w:t>et al.</w:t>
      </w:r>
      <w:r>
        <w:t xml:space="preserve"> </w:t>
      </w:r>
      <w:r w:rsidRPr="007C2299">
        <w:t>are the overlap of differentially expressed genes from multiple different</w:t>
      </w:r>
      <w:r>
        <w:t xml:space="preserve"> comparisons in</w:t>
      </w:r>
      <w:r w:rsidRPr="007C2299">
        <w:t xml:space="preserve"> </w:t>
      </w:r>
      <w:r>
        <w:t>independent cohorts</w:t>
      </w:r>
      <w:r w:rsidRPr="007C2299">
        <w:t>.</w:t>
      </w:r>
      <w:r>
        <w:t xml:space="preserve"> 449 pathways or ontological terms were found to be significantly enriched in upregulated genes and 1391 with downregulated genes (</w:t>
      </w:r>
      <w:r w:rsidRPr="006C66C1">
        <w:rPr>
          <w:i/>
          <w:iCs/>
        </w:rPr>
        <w:t>p</w:t>
      </w:r>
      <w:r w:rsidRPr="006C66C1">
        <w:t xml:space="preserve"> &lt; </w:t>
      </w:r>
      <w:r>
        <w:t>0.05</w:t>
      </w:r>
      <w:r w:rsidRPr="006C66C1">
        <w:t xml:space="preserve">; </w:t>
      </w:r>
      <w:r>
        <w:t>Table S4). This corresponded to 1288 GO biological process terms, 58 KEGG pathways, and 45 Reactome pathways for downregulated genes, and 373 GO biological process terms, nine KEGG pathways, and 67 Reactome pathways for downregulated genes.</w:t>
      </w:r>
    </w:p>
    <w:p w14:paraId="44416032" w14:textId="77777777" w:rsidR="001B2E3D" w:rsidRPr="002C1701" w:rsidRDefault="001B2E3D" w:rsidP="001B2E3D">
      <w:pPr>
        <w:pStyle w:val="MDPI41tablecaption"/>
      </w:pPr>
      <w:r w:rsidRPr="002C1701">
        <w:rPr>
          <w:b/>
          <w:bCs/>
        </w:rPr>
        <w:t xml:space="preserve">Table </w:t>
      </w:r>
      <w:r>
        <w:rPr>
          <w:b/>
          <w:bCs/>
        </w:rPr>
        <w:t>7</w:t>
      </w:r>
      <w:r w:rsidRPr="002C1701">
        <w:t xml:space="preserve">. </w:t>
      </w:r>
      <w:r w:rsidRPr="00C11785">
        <w:t>The top ten differentially expressed genes between the samples classified as DESNT samples versus non-DESNT samples, ranked by log</w:t>
      </w:r>
      <w:r w:rsidRPr="00C11785">
        <w:rPr>
          <w:vertAlign w:val="subscript"/>
        </w:rPr>
        <w:t>2</w:t>
      </w:r>
      <w:r w:rsidRPr="00C11785">
        <w:t xml:space="preserve"> fold change. </w:t>
      </w:r>
      <w:r w:rsidRPr="00C11785">
        <w:rPr>
          <w:i/>
          <w:iCs/>
        </w:rPr>
        <w:t>p</w:t>
      </w:r>
      <w:r w:rsidRPr="00C11785">
        <w:t xml:space="preserve"> values adjusted for multiple testing correction using the Benjamini-Hochberg algorithm. Whether these genes overlap with the 51 significant differential expressed genes Luca </w:t>
      </w:r>
      <w:r w:rsidRPr="00C11785">
        <w:rPr>
          <w:i/>
          <w:iCs/>
        </w:rPr>
        <w:t>et al</w:t>
      </w:r>
      <w:r w:rsidRPr="00C11785">
        <w:t xml:space="preserve">. (2020) observed as characteristic of the DESNT subtype and the differentially expressed genes for PREDICT score found in this study are also shown. Full results in </w:t>
      </w:r>
      <w:r>
        <w:t>Table S</w:t>
      </w:r>
      <w:r w:rsidRPr="00C11785">
        <w:t>3.</w:t>
      </w:r>
    </w:p>
    <w:tbl>
      <w:tblPr>
        <w:tblStyle w:val="MDPI41threelinetable"/>
        <w:tblW w:w="8779" w:type="dxa"/>
        <w:tblLook w:val="04A0" w:firstRow="1" w:lastRow="0" w:firstColumn="1" w:lastColumn="0" w:noHBand="0" w:noVBand="1"/>
      </w:tblPr>
      <w:tblGrid>
        <w:gridCol w:w="1300"/>
        <w:gridCol w:w="1300"/>
        <w:gridCol w:w="1300"/>
        <w:gridCol w:w="1300"/>
        <w:gridCol w:w="1878"/>
        <w:gridCol w:w="1701"/>
      </w:tblGrid>
      <w:tr w:rsidR="001B2E3D" w:rsidRPr="00A63414" w14:paraId="61CAB6C9" w14:textId="77777777" w:rsidTr="0054652C">
        <w:trPr>
          <w:cnfStyle w:val="100000000000" w:firstRow="1" w:lastRow="0" w:firstColumn="0" w:lastColumn="0" w:oddVBand="0" w:evenVBand="0" w:oddHBand="0" w:evenHBand="0" w:firstRowFirstColumn="0" w:firstRowLastColumn="0" w:lastRowFirstColumn="0" w:lastRowLastColumn="0"/>
          <w:trHeight w:val="340"/>
        </w:trPr>
        <w:tc>
          <w:tcPr>
            <w:tcW w:w="1300" w:type="dxa"/>
            <w:noWrap/>
            <w:hideMark/>
          </w:tcPr>
          <w:p w14:paraId="1B1442CC" w14:textId="77777777" w:rsidR="001B2E3D" w:rsidRPr="00A63414" w:rsidRDefault="001B2E3D" w:rsidP="0054652C">
            <w:pPr>
              <w:pStyle w:val="MDPI42tablebody"/>
              <w:rPr>
                <w:b w:val="0"/>
                <w:sz w:val="21"/>
                <w:szCs w:val="21"/>
              </w:rPr>
            </w:pPr>
            <w:r w:rsidRPr="005D0E8C">
              <w:t>Gene Symbol</w:t>
            </w:r>
          </w:p>
        </w:tc>
        <w:tc>
          <w:tcPr>
            <w:tcW w:w="1300" w:type="dxa"/>
            <w:noWrap/>
            <w:hideMark/>
          </w:tcPr>
          <w:p w14:paraId="73533D69" w14:textId="77777777" w:rsidR="001B2E3D" w:rsidRPr="00A63414" w:rsidRDefault="001B2E3D" w:rsidP="0054652C">
            <w:pPr>
              <w:pStyle w:val="MDPI42tablebody"/>
              <w:rPr>
                <w:b w:val="0"/>
                <w:sz w:val="21"/>
                <w:szCs w:val="21"/>
              </w:rPr>
            </w:pPr>
            <w:r>
              <w:t>l</w:t>
            </w:r>
            <w:r w:rsidRPr="005D0E8C">
              <w:t>og</w:t>
            </w:r>
            <w:r w:rsidRPr="005D0E8C">
              <w:rPr>
                <w:vertAlign w:val="subscript"/>
              </w:rPr>
              <w:t>2</w:t>
            </w:r>
            <w:r>
              <w:t xml:space="preserve"> fold change</w:t>
            </w:r>
          </w:p>
        </w:tc>
        <w:tc>
          <w:tcPr>
            <w:tcW w:w="1300" w:type="dxa"/>
            <w:noWrap/>
            <w:hideMark/>
          </w:tcPr>
          <w:p w14:paraId="5B67D2EA" w14:textId="77777777" w:rsidR="001B2E3D" w:rsidRPr="00A63414" w:rsidRDefault="001B2E3D" w:rsidP="0054652C">
            <w:pPr>
              <w:pStyle w:val="MDPI42tablebody"/>
              <w:rPr>
                <w:b w:val="0"/>
                <w:sz w:val="21"/>
                <w:szCs w:val="21"/>
              </w:rPr>
            </w:pPr>
            <w:r w:rsidRPr="005D0E8C">
              <w:rPr>
                <w:i/>
                <w:iCs/>
              </w:rPr>
              <w:t>p</w:t>
            </w:r>
            <w:r>
              <w:t xml:space="preserve"> value</w:t>
            </w:r>
          </w:p>
        </w:tc>
        <w:tc>
          <w:tcPr>
            <w:tcW w:w="1300" w:type="dxa"/>
            <w:noWrap/>
            <w:hideMark/>
          </w:tcPr>
          <w:p w14:paraId="391338E5" w14:textId="77777777" w:rsidR="001B2E3D" w:rsidRPr="00A63414" w:rsidRDefault="001B2E3D" w:rsidP="0054652C">
            <w:pPr>
              <w:pStyle w:val="MDPI42tablebody"/>
              <w:rPr>
                <w:b w:val="0"/>
                <w:sz w:val="21"/>
                <w:szCs w:val="21"/>
              </w:rPr>
            </w:pPr>
            <w:r w:rsidRPr="005D0E8C">
              <w:t>Adj</w:t>
            </w:r>
            <w:r>
              <w:t xml:space="preserve">usted </w:t>
            </w:r>
            <w:r w:rsidRPr="005D0E8C">
              <w:rPr>
                <w:i/>
                <w:iCs/>
              </w:rPr>
              <w:t>p</w:t>
            </w:r>
            <w:r>
              <w:t xml:space="preserve"> value</w:t>
            </w:r>
          </w:p>
        </w:tc>
        <w:tc>
          <w:tcPr>
            <w:tcW w:w="1878" w:type="dxa"/>
            <w:noWrap/>
            <w:hideMark/>
          </w:tcPr>
          <w:p w14:paraId="317A7386" w14:textId="77777777" w:rsidR="001B2E3D" w:rsidRPr="00A63414" w:rsidRDefault="001B2E3D" w:rsidP="0054652C">
            <w:pPr>
              <w:pStyle w:val="MDPI42tablebody"/>
              <w:rPr>
                <w:b w:val="0"/>
                <w:sz w:val="21"/>
                <w:szCs w:val="21"/>
              </w:rPr>
            </w:pPr>
            <w:r>
              <w:t xml:space="preserve">Overlap with Luca </w:t>
            </w:r>
            <w:r w:rsidRPr="005D0E8C">
              <w:rPr>
                <w:i/>
                <w:iCs/>
              </w:rPr>
              <w:t>et al.</w:t>
            </w:r>
            <w:r>
              <w:t xml:space="preserve"> DESNT genes</w:t>
            </w:r>
          </w:p>
        </w:tc>
        <w:tc>
          <w:tcPr>
            <w:tcW w:w="1701" w:type="dxa"/>
            <w:noWrap/>
            <w:hideMark/>
          </w:tcPr>
          <w:p w14:paraId="41AE9659" w14:textId="77777777" w:rsidR="001B2E3D" w:rsidRPr="00A63414" w:rsidRDefault="001B2E3D" w:rsidP="0054652C">
            <w:pPr>
              <w:pStyle w:val="MDPI42tablebody"/>
              <w:rPr>
                <w:b w:val="0"/>
                <w:sz w:val="21"/>
                <w:szCs w:val="21"/>
              </w:rPr>
            </w:pPr>
            <w:r>
              <w:t xml:space="preserve">Overlap with PREDICT </w:t>
            </w:r>
            <w:r w:rsidRPr="005D0E8C">
              <w:t>DEG</w:t>
            </w:r>
            <w:r>
              <w:t>s</w:t>
            </w:r>
          </w:p>
        </w:tc>
      </w:tr>
      <w:tr w:rsidR="001B2E3D" w:rsidRPr="00A63414" w14:paraId="455D990B" w14:textId="77777777" w:rsidTr="0054652C">
        <w:trPr>
          <w:trHeight w:val="340"/>
        </w:trPr>
        <w:tc>
          <w:tcPr>
            <w:tcW w:w="1300" w:type="dxa"/>
            <w:noWrap/>
            <w:hideMark/>
          </w:tcPr>
          <w:p w14:paraId="38D330C9" w14:textId="77777777" w:rsidR="001B2E3D" w:rsidRPr="00A63414" w:rsidRDefault="001B2E3D" w:rsidP="0054652C">
            <w:pPr>
              <w:pStyle w:val="MDPI42tablebody"/>
              <w:rPr>
                <w:i/>
                <w:iCs/>
                <w:sz w:val="21"/>
                <w:szCs w:val="21"/>
              </w:rPr>
            </w:pPr>
            <w:r w:rsidRPr="00A63414">
              <w:rPr>
                <w:i/>
                <w:iCs/>
                <w:sz w:val="21"/>
                <w:szCs w:val="21"/>
              </w:rPr>
              <w:t>ANPEP</w:t>
            </w:r>
          </w:p>
        </w:tc>
        <w:tc>
          <w:tcPr>
            <w:tcW w:w="1300" w:type="dxa"/>
            <w:noWrap/>
            <w:hideMark/>
          </w:tcPr>
          <w:p w14:paraId="19035ADA" w14:textId="77777777" w:rsidR="001B2E3D" w:rsidRPr="00A63414" w:rsidRDefault="001B2E3D" w:rsidP="0054652C">
            <w:pPr>
              <w:pStyle w:val="MDPI42tablebody"/>
              <w:rPr>
                <w:sz w:val="21"/>
                <w:szCs w:val="21"/>
              </w:rPr>
            </w:pPr>
            <w:r w:rsidRPr="00A63414">
              <w:rPr>
                <w:sz w:val="21"/>
                <w:szCs w:val="21"/>
              </w:rPr>
              <w:t>-2.27</w:t>
            </w:r>
          </w:p>
        </w:tc>
        <w:tc>
          <w:tcPr>
            <w:tcW w:w="1300" w:type="dxa"/>
            <w:noWrap/>
            <w:hideMark/>
          </w:tcPr>
          <w:p w14:paraId="30C109C7" w14:textId="77777777" w:rsidR="001B2E3D" w:rsidRPr="00A63414" w:rsidRDefault="001B2E3D" w:rsidP="0054652C">
            <w:pPr>
              <w:pStyle w:val="MDPI42tablebody"/>
              <w:rPr>
                <w:sz w:val="21"/>
                <w:szCs w:val="21"/>
              </w:rPr>
            </w:pPr>
            <w:r w:rsidRPr="00A63414">
              <w:rPr>
                <w:sz w:val="21"/>
                <w:szCs w:val="21"/>
              </w:rPr>
              <w:t>4.18</w:t>
            </w:r>
            <w:r>
              <w:rPr>
                <w:sz w:val="21"/>
                <w:szCs w:val="21"/>
              </w:rPr>
              <w:t>×10</w:t>
            </w:r>
            <w:r w:rsidRPr="00A63414">
              <w:rPr>
                <w:sz w:val="21"/>
                <w:szCs w:val="21"/>
                <w:vertAlign w:val="superscript"/>
              </w:rPr>
              <w:t>-31</w:t>
            </w:r>
          </w:p>
        </w:tc>
        <w:tc>
          <w:tcPr>
            <w:tcW w:w="1300" w:type="dxa"/>
            <w:noWrap/>
            <w:hideMark/>
          </w:tcPr>
          <w:p w14:paraId="78A0F40D" w14:textId="77777777" w:rsidR="001B2E3D" w:rsidRPr="00A63414" w:rsidRDefault="001B2E3D" w:rsidP="0054652C">
            <w:pPr>
              <w:pStyle w:val="MDPI42tablebody"/>
              <w:rPr>
                <w:sz w:val="21"/>
                <w:szCs w:val="21"/>
              </w:rPr>
            </w:pPr>
            <w:r w:rsidRPr="00A63414">
              <w:rPr>
                <w:sz w:val="21"/>
                <w:szCs w:val="21"/>
              </w:rPr>
              <w:t>2.18</w:t>
            </w:r>
            <w:r>
              <w:rPr>
                <w:sz w:val="21"/>
                <w:szCs w:val="21"/>
              </w:rPr>
              <w:t>×10</w:t>
            </w:r>
            <w:r w:rsidRPr="00A63414">
              <w:rPr>
                <w:sz w:val="21"/>
                <w:szCs w:val="21"/>
                <w:vertAlign w:val="superscript"/>
              </w:rPr>
              <w:t>-27</w:t>
            </w:r>
          </w:p>
        </w:tc>
        <w:tc>
          <w:tcPr>
            <w:tcW w:w="1878" w:type="dxa"/>
            <w:noWrap/>
            <w:hideMark/>
          </w:tcPr>
          <w:p w14:paraId="51BF91FB" w14:textId="77777777" w:rsidR="001B2E3D" w:rsidRPr="00A63414" w:rsidRDefault="001B2E3D" w:rsidP="0054652C">
            <w:pPr>
              <w:pStyle w:val="MDPI42tablebody"/>
              <w:rPr>
                <w:sz w:val="21"/>
                <w:szCs w:val="21"/>
              </w:rPr>
            </w:pPr>
            <w:r w:rsidRPr="00A63414">
              <w:rPr>
                <w:sz w:val="21"/>
                <w:szCs w:val="21"/>
              </w:rPr>
              <w:t>TRUE</w:t>
            </w:r>
          </w:p>
        </w:tc>
        <w:tc>
          <w:tcPr>
            <w:tcW w:w="1701" w:type="dxa"/>
            <w:noWrap/>
            <w:hideMark/>
          </w:tcPr>
          <w:p w14:paraId="3D501C61" w14:textId="77777777" w:rsidR="001B2E3D" w:rsidRPr="00A63414" w:rsidRDefault="001B2E3D" w:rsidP="0054652C">
            <w:pPr>
              <w:pStyle w:val="MDPI42tablebody"/>
              <w:rPr>
                <w:sz w:val="21"/>
                <w:szCs w:val="21"/>
              </w:rPr>
            </w:pPr>
            <w:r w:rsidRPr="00A63414">
              <w:rPr>
                <w:sz w:val="21"/>
                <w:szCs w:val="21"/>
              </w:rPr>
              <w:t>TRUE</w:t>
            </w:r>
          </w:p>
        </w:tc>
      </w:tr>
      <w:tr w:rsidR="001B2E3D" w:rsidRPr="00A63414" w14:paraId="26E8ECD2" w14:textId="77777777" w:rsidTr="0054652C">
        <w:trPr>
          <w:trHeight w:val="340"/>
        </w:trPr>
        <w:tc>
          <w:tcPr>
            <w:tcW w:w="1300" w:type="dxa"/>
            <w:noWrap/>
            <w:hideMark/>
          </w:tcPr>
          <w:p w14:paraId="32C512BD" w14:textId="77777777" w:rsidR="001B2E3D" w:rsidRPr="00A63414" w:rsidRDefault="001B2E3D" w:rsidP="0054652C">
            <w:pPr>
              <w:pStyle w:val="MDPI42tablebody"/>
              <w:rPr>
                <w:i/>
                <w:iCs/>
                <w:sz w:val="21"/>
                <w:szCs w:val="21"/>
              </w:rPr>
            </w:pPr>
            <w:r w:rsidRPr="00A63414">
              <w:rPr>
                <w:i/>
                <w:iCs/>
                <w:sz w:val="21"/>
                <w:szCs w:val="21"/>
              </w:rPr>
              <w:t>RLN1</w:t>
            </w:r>
          </w:p>
        </w:tc>
        <w:tc>
          <w:tcPr>
            <w:tcW w:w="1300" w:type="dxa"/>
            <w:noWrap/>
            <w:hideMark/>
          </w:tcPr>
          <w:p w14:paraId="4D6CAB09" w14:textId="77777777" w:rsidR="001B2E3D" w:rsidRPr="00A63414" w:rsidRDefault="001B2E3D" w:rsidP="0054652C">
            <w:pPr>
              <w:pStyle w:val="MDPI42tablebody"/>
              <w:rPr>
                <w:sz w:val="21"/>
                <w:szCs w:val="21"/>
              </w:rPr>
            </w:pPr>
            <w:r w:rsidRPr="00A63414">
              <w:rPr>
                <w:sz w:val="21"/>
                <w:szCs w:val="21"/>
              </w:rPr>
              <w:t>-1.80</w:t>
            </w:r>
          </w:p>
        </w:tc>
        <w:tc>
          <w:tcPr>
            <w:tcW w:w="1300" w:type="dxa"/>
            <w:noWrap/>
            <w:hideMark/>
          </w:tcPr>
          <w:p w14:paraId="5CEA51F5" w14:textId="77777777" w:rsidR="001B2E3D" w:rsidRPr="00A63414" w:rsidRDefault="001B2E3D" w:rsidP="0054652C">
            <w:pPr>
              <w:pStyle w:val="MDPI42tablebody"/>
              <w:rPr>
                <w:sz w:val="21"/>
                <w:szCs w:val="21"/>
              </w:rPr>
            </w:pPr>
            <w:r w:rsidRPr="00A63414">
              <w:rPr>
                <w:sz w:val="21"/>
                <w:szCs w:val="21"/>
              </w:rPr>
              <w:t>4.50</w:t>
            </w:r>
            <w:r>
              <w:rPr>
                <w:sz w:val="21"/>
                <w:szCs w:val="21"/>
              </w:rPr>
              <w:t>×10</w:t>
            </w:r>
            <w:r w:rsidRPr="00A63414">
              <w:rPr>
                <w:sz w:val="21"/>
                <w:szCs w:val="21"/>
                <w:vertAlign w:val="superscript"/>
              </w:rPr>
              <w:t>-14</w:t>
            </w:r>
          </w:p>
        </w:tc>
        <w:tc>
          <w:tcPr>
            <w:tcW w:w="1300" w:type="dxa"/>
            <w:noWrap/>
            <w:hideMark/>
          </w:tcPr>
          <w:p w14:paraId="24570E1B" w14:textId="77777777" w:rsidR="001B2E3D" w:rsidRPr="00A63414" w:rsidRDefault="001B2E3D" w:rsidP="0054652C">
            <w:pPr>
              <w:pStyle w:val="MDPI42tablebody"/>
              <w:rPr>
                <w:sz w:val="21"/>
                <w:szCs w:val="21"/>
              </w:rPr>
            </w:pPr>
            <w:r w:rsidRPr="00A63414">
              <w:rPr>
                <w:sz w:val="21"/>
                <w:szCs w:val="21"/>
              </w:rPr>
              <w:t>3.19</w:t>
            </w:r>
            <w:r>
              <w:rPr>
                <w:sz w:val="21"/>
                <w:szCs w:val="21"/>
              </w:rPr>
              <w:t>×10</w:t>
            </w:r>
            <w:r w:rsidRPr="00A63414">
              <w:rPr>
                <w:sz w:val="21"/>
                <w:szCs w:val="21"/>
                <w:vertAlign w:val="superscript"/>
              </w:rPr>
              <w:t>-12</w:t>
            </w:r>
          </w:p>
        </w:tc>
        <w:tc>
          <w:tcPr>
            <w:tcW w:w="1878" w:type="dxa"/>
            <w:noWrap/>
            <w:hideMark/>
          </w:tcPr>
          <w:p w14:paraId="3AC4DD14" w14:textId="77777777" w:rsidR="001B2E3D" w:rsidRPr="00A63414" w:rsidRDefault="001B2E3D" w:rsidP="0054652C">
            <w:pPr>
              <w:pStyle w:val="MDPI42tablebody"/>
              <w:rPr>
                <w:sz w:val="21"/>
                <w:szCs w:val="21"/>
              </w:rPr>
            </w:pPr>
            <w:r w:rsidRPr="00A63414">
              <w:rPr>
                <w:sz w:val="21"/>
                <w:szCs w:val="21"/>
              </w:rPr>
              <w:t>FALSE</w:t>
            </w:r>
          </w:p>
        </w:tc>
        <w:tc>
          <w:tcPr>
            <w:tcW w:w="1701" w:type="dxa"/>
            <w:noWrap/>
            <w:hideMark/>
          </w:tcPr>
          <w:p w14:paraId="2D6215BE" w14:textId="77777777" w:rsidR="001B2E3D" w:rsidRPr="00A63414" w:rsidRDefault="001B2E3D" w:rsidP="0054652C">
            <w:pPr>
              <w:pStyle w:val="MDPI42tablebody"/>
              <w:rPr>
                <w:sz w:val="21"/>
                <w:szCs w:val="21"/>
              </w:rPr>
            </w:pPr>
            <w:r w:rsidRPr="00A63414">
              <w:rPr>
                <w:sz w:val="21"/>
                <w:szCs w:val="21"/>
              </w:rPr>
              <w:t>FALSE</w:t>
            </w:r>
          </w:p>
        </w:tc>
      </w:tr>
      <w:tr w:rsidR="001B2E3D" w:rsidRPr="00A63414" w14:paraId="320BE2C4" w14:textId="77777777" w:rsidTr="0054652C">
        <w:trPr>
          <w:trHeight w:val="340"/>
        </w:trPr>
        <w:tc>
          <w:tcPr>
            <w:tcW w:w="1300" w:type="dxa"/>
            <w:noWrap/>
            <w:hideMark/>
          </w:tcPr>
          <w:p w14:paraId="50D2031D" w14:textId="77777777" w:rsidR="001B2E3D" w:rsidRPr="00A63414" w:rsidRDefault="001B2E3D" w:rsidP="0054652C">
            <w:pPr>
              <w:pStyle w:val="MDPI42tablebody"/>
              <w:rPr>
                <w:i/>
                <w:iCs/>
                <w:sz w:val="21"/>
                <w:szCs w:val="21"/>
              </w:rPr>
            </w:pPr>
            <w:r w:rsidRPr="00A63414">
              <w:rPr>
                <w:i/>
                <w:iCs/>
                <w:sz w:val="21"/>
                <w:szCs w:val="21"/>
              </w:rPr>
              <w:t>MT1M</w:t>
            </w:r>
          </w:p>
        </w:tc>
        <w:tc>
          <w:tcPr>
            <w:tcW w:w="1300" w:type="dxa"/>
            <w:noWrap/>
            <w:hideMark/>
          </w:tcPr>
          <w:p w14:paraId="23CE4CAC" w14:textId="77777777" w:rsidR="001B2E3D" w:rsidRPr="00A63414" w:rsidRDefault="001B2E3D" w:rsidP="0054652C">
            <w:pPr>
              <w:pStyle w:val="MDPI42tablebody"/>
              <w:rPr>
                <w:sz w:val="21"/>
                <w:szCs w:val="21"/>
              </w:rPr>
            </w:pPr>
            <w:r w:rsidRPr="00A63414">
              <w:rPr>
                <w:sz w:val="21"/>
                <w:szCs w:val="21"/>
              </w:rPr>
              <w:t>-1.62</w:t>
            </w:r>
          </w:p>
        </w:tc>
        <w:tc>
          <w:tcPr>
            <w:tcW w:w="1300" w:type="dxa"/>
            <w:noWrap/>
            <w:hideMark/>
          </w:tcPr>
          <w:p w14:paraId="3C6033DB" w14:textId="77777777" w:rsidR="001B2E3D" w:rsidRPr="00A63414" w:rsidRDefault="001B2E3D" w:rsidP="0054652C">
            <w:pPr>
              <w:pStyle w:val="MDPI42tablebody"/>
              <w:rPr>
                <w:sz w:val="21"/>
                <w:szCs w:val="21"/>
              </w:rPr>
            </w:pPr>
            <w:r w:rsidRPr="00A63414">
              <w:rPr>
                <w:sz w:val="21"/>
                <w:szCs w:val="21"/>
              </w:rPr>
              <w:t>1.45</w:t>
            </w:r>
            <w:r>
              <w:rPr>
                <w:sz w:val="21"/>
                <w:szCs w:val="21"/>
              </w:rPr>
              <w:t>×10</w:t>
            </w:r>
            <w:r w:rsidRPr="00A63414">
              <w:rPr>
                <w:sz w:val="21"/>
                <w:szCs w:val="21"/>
                <w:vertAlign w:val="superscript"/>
              </w:rPr>
              <w:t>-25</w:t>
            </w:r>
          </w:p>
        </w:tc>
        <w:tc>
          <w:tcPr>
            <w:tcW w:w="1300" w:type="dxa"/>
            <w:noWrap/>
            <w:hideMark/>
          </w:tcPr>
          <w:p w14:paraId="51B23C70" w14:textId="77777777" w:rsidR="001B2E3D" w:rsidRPr="00A63414" w:rsidRDefault="001B2E3D" w:rsidP="0054652C">
            <w:pPr>
              <w:pStyle w:val="MDPI42tablebody"/>
              <w:rPr>
                <w:sz w:val="21"/>
                <w:szCs w:val="21"/>
              </w:rPr>
            </w:pPr>
            <w:r w:rsidRPr="00A63414">
              <w:rPr>
                <w:sz w:val="21"/>
                <w:szCs w:val="21"/>
              </w:rPr>
              <w:t>3.79</w:t>
            </w:r>
            <w:r>
              <w:rPr>
                <w:sz w:val="21"/>
                <w:szCs w:val="21"/>
              </w:rPr>
              <w:t>×10</w:t>
            </w:r>
            <w:r w:rsidRPr="00A63414">
              <w:rPr>
                <w:sz w:val="21"/>
                <w:szCs w:val="21"/>
                <w:vertAlign w:val="superscript"/>
              </w:rPr>
              <w:t>-22</w:t>
            </w:r>
          </w:p>
        </w:tc>
        <w:tc>
          <w:tcPr>
            <w:tcW w:w="1878" w:type="dxa"/>
            <w:noWrap/>
            <w:hideMark/>
          </w:tcPr>
          <w:p w14:paraId="3DC57366" w14:textId="77777777" w:rsidR="001B2E3D" w:rsidRPr="00A63414" w:rsidRDefault="001B2E3D" w:rsidP="0054652C">
            <w:pPr>
              <w:pStyle w:val="MDPI42tablebody"/>
              <w:rPr>
                <w:sz w:val="21"/>
                <w:szCs w:val="21"/>
              </w:rPr>
            </w:pPr>
            <w:r w:rsidRPr="00A63414">
              <w:rPr>
                <w:sz w:val="21"/>
                <w:szCs w:val="21"/>
              </w:rPr>
              <w:t>TRUE</w:t>
            </w:r>
          </w:p>
        </w:tc>
        <w:tc>
          <w:tcPr>
            <w:tcW w:w="1701" w:type="dxa"/>
            <w:noWrap/>
            <w:hideMark/>
          </w:tcPr>
          <w:p w14:paraId="5AE8DA4F" w14:textId="77777777" w:rsidR="001B2E3D" w:rsidRPr="00A63414" w:rsidRDefault="001B2E3D" w:rsidP="0054652C">
            <w:pPr>
              <w:pStyle w:val="MDPI42tablebody"/>
              <w:rPr>
                <w:sz w:val="21"/>
                <w:szCs w:val="21"/>
              </w:rPr>
            </w:pPr>
            <w:r w:rsidRPr="00A63414">
              <w:rPr>
                <w:sz w:val="21"/>
                <w:szCs w:val="21"/>
              </w:rPr>
              <w:t>TRUE</w:t>
            </w:r>
          </w:p>
        </w:tc>
      </w:tr>
      <w:tr w:rsidR="001B2E3D" w:rsidRPr="00A63414" w14:paraId="60015F7E" w14:textId="77777777" w:rsidTr="0054652C">
        <w:trPr>
          <w:trHeight w:val="340"/>
        </w:trPr>
        <w:tc>
          <w:tcPr>
            <w:tcW w:w="1300" w:type="dxa"/>
            <w:noWrap/>
            <w:hideMark/>
          </w:tcPr>
          <w:p w14:paraId="0D07396C" w14:textId="77777777" w:rsidR="001B2E3D" w:rsidRPr="00A63414" w:rsidRDefault="001B2E3D" w:rsidP="0054652C">
            <w:pPr>
              <w:pStyle w:val="MDPI42tablebody"/>
              <w:rPr>
                <w:i/>
                <w:iCs/>
                <w:sz w:val="21"/>
                <w:szCs w:val="21"/>
              </w:rPr>
            </w:pPr>
            <w:r w:rsidRPr="00A63414">
              <w:rPr>
                <w:i/>
                <w:iCs/>
                <w:sz w:val="21"/>
                <w:szCs w:val="21"/>
              </w:rPr>
              <w:t>ALOX15B</w:t>
            </w:r>
          </w:p>
        </w:tc>
        <w:tc>
          <w:tcPr>
            <w:tcW w:w="1300" w:type="dxa"/>
            <w:noWrap/>
            <w:hideMark/>
          </w:tcPr>
          <w:p w14:paraId="69328AE5" w14:textId="77777777" w:rsidR="001B2E3D" w:rsidRPr="00A63414" w:rsidRDefault="001B2E3D" w:rsidP="0054652C">
            <w:pPr>
              <w:pStyle w:val="MDPI42tablebody"/>
              <w:rPr>
                <w:sz w:val="21"/>
                <w:szCs w:val="21"/>
              </w:rPr>
            </w:pPr>
            <w:r w:rsidRPr="00A63414">
              <w:rPr>
                <w:sz w:val="21"/>
                <w:szCs w:val="21"/>
              </w:rPr>
              <w:t>-1.44</w:t>
            </w:r>
          </w:p>
        </w:tc>
        <w:tc>
          <w:tcPr>
            <w:tcW w:w="1300" w:type="dxa"/>
            <w:noWrap/>
            <w:hideMark/>
          </w:tcPr>
          <w:p w14:paraId="530768E7" w14:textId="77777777" w:rsidR="001B2E3D" w:rsidRPr="00A63414" w:rsidRDefault="001B2E3D" w:rsidP="0054652C">
            <w:pPr>
              <w:pStyle w:val="MDPI42tablebody"/>
              <w:rPr>
                <w:sz w:val="21"/>
                <w:szCs w:val="21"/>
              </w:rPr>
            </w:pPr>
            <w:r w:rsidRPr="00A63414">
              <w:rPr>
                <w:sz w:val="21"/>
                <w:szCs w:val="21"/>
              </w:rPr>
              <w:t>2.85</w:t>
            </w:r>
            <w:r>
              <w:rPr>
                <w:sz w:val="21"/>
                <w:szCs w:val="21"/>
              </w:rPr>
              <w:t>×10</w:t>
            </w:r>
            <w:r w:rsidRPr="00A63414">
              <w:rPr>
                <w:sz w:val="21"/>
                <w:szCs w:val="21"/>
                <w:vertAlign w:val="superscript"/>
              </w:rPr>
              <w:t>-17</w:t>
            </w:r>
          </w:p>
        </w:tc>
        <w:tc>
          <w:tcPr>
            <w:tcW w:w="1300" w:type="dxa"/>
            <w:noWrap/>
            <w:hideMark/>
          </w:tcPr>
          <w:p w14:paraId="5E504D78" w14:textId="77777777" w:rsidR="001B2E3D" w:rsidRPr="00A63414" w:rsidRDefault="001B2E3D" w:rsidP="0054652C">
            <w:pPr>
              <w:pStyle w:val="MDPI42tablebody"/>
              <w:rPr>
                <w:sz w:val="21"/>
                <w:szCs w:val="21"/>
              </w:rPr>
            </w:pPr>
            <w:r w:rsidRPr="00A63414">
              <w:rPr>
                <w:sz w:val="21"/>
                <w:szCs w:val="21"/>
              </w:rPr>
              <w:t>4.95</w:t>
            </w:r>
            <w:r>
              <w:rPr>
                <w:sz w:val="21"/>
                <w:szCs w:val="21"/>
              </w:rPr>
              <w:t>×10</w:t>
            </w:r>
            <w:r w:rsidRPr="00A63414">
              <w:rPr>
                <w:sz w:val="21"/>
                <w:szCs w:val="21"/>
                <w:vertAlign w:val="superscript"/>
              </w:rPr>
              <w:t>-15</w:t>
            </w:r>
          </w:p>
        </w:tc>
        <w:tc>
          <w:tcPr>
            <w:tcW w:w="1878" w:type="dxa"/>
            <w:noWrap/>
            <w:hideMark/>
          </w:tcPr>
          <w:p w14:paraId="49B8CF7B" w14:textId="77777777" w:rsidR="001B2E3D" w:rsidRPr="00A63414" w:rsidRDefault="001B2E3D" w:rsidP="0054652C">
            <w:pPr>
              <w:pStyle w:val="MDPI42tablebody"/>
              <w:rPr>
                <w:sz w:val="21"/>
                <w:szCs w:val="21"/>
              </w:rPr>
            </w:pPr>
            <w:r w:rsidRPr="00A63414">
              <w:rPr>
                <w:sz w:val="21"/>
                <w:szCs w:val="21"/>
              </w:rPr>
              <w:t>FALSE</w:t>
            </w:r>
          </w:p>
        </w:tc>
        <w:tc>
          <w:tcPr>
            <w:tcW w:w="1701" w:type="dxa"/>
            <w:noWrap/>
            <w:hideMark/>
          </w:tcPr>
          <w:p w14:paraId="51FC882F" w14:textId="77777777" w:rsidR="001B2E3D" w:rsidRPr="00A63414" w:rsidRDefault="001B2E3D" w:rsidP="0054652C">
            <w:pPr>
              <w:pStyle w:val="MDPI42tablebody"/>
              <w:rPr>
                <w:sz w:val="21"/>
                <w:szCs w:val="21"/>
              </w:rPr>
            </w:pPr>
            <w:r w:rsidRPr="00A63414">
              <w:rPr>
                <w:sz w:val="21"/>
                <w:szCs w:val="21"/>
              </w:rPr>
              <w:t>TRUE</w:t>
            </w:r>
          </w:p>
        </w:tc>
      </w:tr>
      <w:tr w:rsidR="001B2E3D" w:rsidRPr="00A63414" w14:paraId="46FCF746" w14:textId="77777777" w:rsidTr="0054652C">
        <w:trPr>
          <w:trHeight w:val="340"/>
        </w:trPr>
        <w:tc>
          <w:tcPr>
            <w:tcW w:w="1300" w:type="dxa"/>
            <w:noWrap/>
            <w:hideMark/>
          </w:tcPr>
          <w:p w14:paraId="2FB95E9C" w14:textId="77777777" w:rsidR="001B2E3D" w:rsidRPr="00A63414" w:rsidRDefault="001B2E3D" w:rsidP="0054652C">
            <w:pPr>
              <w:pStyle w:val="MDPI42tablebody"/>
              <w:rPr>
                <w:i/>
                <w:iCs/>
                <w:sz w:val="21"/>
                <w:szCs w:val="21"/>
              </w:rPr>
            </w:pPr>
            <w:r w:rsidRPr="00A63414">
              <w:rPr>
                <w:i/>
                <w:iCs/>
                <w:sz w:val="21"/>
                <w:szCs w:val="21"/>
              </w:rPr>
              <w:t>CD38</w:t>
            </w:r>
          </w:p>
        </w:tc>
        <w:tc>
          <w:tcPr>
            <w:tcW w:w="1300" w:type="dxa"/>
            <w:noWrap/>
            <w:hideMark/>
          </w:tcPr>
          <w:p w14:paraId="756F477B" w14:textId="77777777" w:rsidR="001B2E3D" w:rsidRPr="00A63414" w:rsidRDefault="001B2E3D" w:rsidP="0054652C">
            <w:pPr>
              <w:pStyle w:val="MDPI42tablebody"/>
              <w:rPr>
                <w:sz w:val="21"/>
                <w:szCs w:val="21"/>
              </w:rPr>
            </w:pPr>
            <w:r w:rsidRPr="00A63414">
              <w:rPr>
                <w:sz w:val="21"/>
                <w:szCs w:val="21"/>
              </w:rPr>
              <w:t>-1.43</w:t>
            </w:r>
          </w:p>
        </w:tc>
        <w:tc>
          <w:tcPr>
            <w:tcW w:w="1300" w:type="dxa"/>
            <w:noWrap/>
            <w:hideMark/>
          </w:tcPr>
          <w:p w14:paraId="49163E75" w14:textId="77777777" w:rsidR="001B2E3D" w:rsidRPr="00A63414" w:rsidRDefault="001B2E3D" w:rsidP="0054652C">
            <w:pPr>
              <w:pStyle w:val="MDPI42tablebody"/>
              <w:rPr>
                <w:sz w:val="21"/>
                <w:szCs w:val="21"/>
              </w:rPr>
            </w:pPr>
            <w:r w:rsidRPr="00A63414">
              <w:rPr>
                <w:sz w:val="21"/>
                <w:szCs w:val="21"/>
              </w:rPr>
              <w:t>1.99</w:t>
            </w:r>
            <w:r>
              <w:rPr>
                <w:sz w:val="21"/>
                <w:szCs w:val="21"/>
              </w:rPr>
              <w:t>×10</w:t>
            </w:r>
            <w:r w:rsidRPr="00A63414">
              <w:rPr>
                <w:sz w:val="21"/>
                <w:szCs w:val="21"/>
                <w:vertAlign w:val="superscript"/>
              </w:rPr>
              <w:t>-23</w:t>
            </w:r>
          </w:p>
        </w:tc>
        <w:tc>
          <w:tcPr>
            <w:tcW w:w="1300" w:type="dxa"/>
            <w:noWrap/>
            <w:hideMark/>
          </w:tcPr>
          <w:p w14:paraId="7566E33F" w14:textId="77777777" w:rsidR="001B2E3D" w:rsidRPr="00A63414" w:rsidRDefault="001B2E3D" w:rsidP="0054652C">
            <w:pPr>
              <w:pStyle w:val="MDPI42tablebody"/>
              <w:rPr>
                <w:sz w:val="21"/>
                <w:szCs w:val="21"/>
              </w:rPr>
            </w:pPr>
            <w:r w:rsidRPr="00A63414">
              <w:rPr>
                <w:sz w:val="21"/>
                <w:szCs w:val="21"/>
              </w:rPr>
              <w:t>1.59</w:t>
            </w:r>
            <w:r>
              <w:rPr>
                <w:sz w:val="21"/>
                <w:szCs w:val="21"/>
              </w:rPr>
              <w:t>×10</w:t>
            </w:r>
            <w:r w:rsidRPr="00A63414">
              <w:rPr>
                <w:sz w:val="21"/>
                <w:szCs w:val="21"/>
                <w:vertAlign w:val="superscript"/>
              </w:rPr>
              <w:t>-20</w:t>
            </w:r>
          </w:p>
        </w:tc>
        <w:tc>
          <w:tcPr>
            <w:tcW w:w="1878" w:type="dxa"/>
            <w:noWrap/>
            <w:hideMark/>
          </w:tcPr>
          <w:p w14:paraId="0728D270" w14:textId="77777777" w:rsidR="001B2E3D" w:rsidRPr="00A63414" w:rsidRDefault="001B2E3D" w:rsidP="0054652C">
            <w:pPr>
              <w:pStyle w:val="MDPI42tablebody"/>
              <w:rPr>
                <w:sz w:val="21"/>
                <w:szCs w:val="21"/>
              </w:rPr>
            </w:pPr>
            <w:r w:rsidRPr="00A63414">
              <w:rPr>
                <w:sz w:val="21"/>
                <w:szCs w:val="21"/>
              </w:rPr>
              <w:t>FALSE</w:t>
            </w:r>
          </w:p>
        </w:tc>
        <w:tc>
          <w:tcPr>
            <w:tcW w:w="1701" w:type="dxa"/>
            <w:noWrap/>
            <w:hideMark/>
          </w:tcPr>
          <w:p w14:paraId="441DD18D" w14:textId="77777777" w:rsidR="001B2E3D" w:rsidRPr="00A63414" w:rsidRDefault="001B2E3D" w:rsidP="0054652C">
            <w:pPr>
              <w:pStyle w:val="MDPI42tablebody"/>
              <w:rPr>
                <w:sz w:val="21"/>
                <w:szCs w:val="21"/>
              </w:rPr>
            </w:pPr>
            <w:r w:rsidRPr="00A63414">
              <w:rPr>
                <w:sz w:val="21"/>
                <w:szCs w:val="21"/>
              </w:rPr>
              <w:t>TRUE</w:t>
            </w:r>
          </w:p>
        </w:tc>
      </w:tr>
      <w:tr w:rsidR="001B2E3D" w:rsidRPr="00A63414" w14:paraId="324719E4" w14:textId="77777777" w:rsidTr="0054652C">
        <w:trPr>
          <w:trHeight w:val="340"/>
        </w:trPr>
        <w:tc>
          <w:tcPr>
            <w:tcW w:w="1300" w:type="dxa"/>
            <w:noWrap/>
            <w:hideMark/>
          </w:tcPr>
          <w:p w14:paraId="71A7053A" w14:textId="77777777" w:rsidR="001B2E3D" w:rsidRPr="00A63414" w:rsidRDefault="001B2E3D" w:rsidP="0054652C">
            <w:pPr>
              <w:pStyle w:val="MDPI42tablebody"/>
              <w:rPr>
                <w:i/>
                <w:iCs/>
                <w:sz w:val="21"/>
                <w:szCs w:val="21"/>
              </w:rPr>
            </w:pPr>
            <w:r w:rsidRPr="00A63414">
              <w:rPr>
                <w:i/>
                <w:iCs/>
                <w:sz w:val="21"/>
                <w:szCs w:val="21"/>
              </w:rPr>
              <w:t>MSMB</w:t>
            </w:r>
          </w:p>
        </w:tc>
        <w:tc>
          <w:tcPr>
            <w:tcW w:w="1300" w:type="dxa"/>
            <w:noWrap/>
            <w:hideMark/>
          </w:tcPr>
          <w:p w14:paraId="2F80893E" w14:textId="77777777" w:rsidR="001B2E3D" w:rsidRPr="00A63414" w:rsidRDefault="001B2E3D" w:rsidP="0054652C">
            <w:pPr>
              <w:pStyle w:val="MDPI42tablebody"/>
              <w:rPr>
                <w:sz w:val="21"/>
                <w:szCs w:val="21"/>
              </w:rPr>
            </w:pPr>
            <w:r w:rsidRPr="00A63414">
              <w:rPr>
                <w:sz w:val="21"/>
                <w:szCs w:val="21"/>
              </w:rPr>
              <w:t>-1.42</w:t>
            </w:r>
          </w:p>
        </w:tc>
        <w:tc>
          <w:tcPr>
            <w:tcW w:w="1300" w:type="dxa"/>
            <w:noWrap/>
            <w:hideMark/>
          </w:tcPr>
          <w:p w14:paraId="711DDD12" w14:textId="77777777" w:rsidR="001B2E3D" w:rsidRPr="00A63414" w:rsidRDefault="001B2E3D" w:rsidP="0054652C">
            <w:pPr>
              <w:pStyle w:val="MDPI42tablebody"/>
              <w:rPr>
                <w:sz w:val="21"/>
                <w:szCs w:val="21"/>
              </w:rPr>
            </w:pPr>
            <w:r w:rsidRPr="00A63414">
              <w:rPr>
                <w:sz w:val="21"/>
                <w:szCs w:val="21"/>
              </w:rPr>
              <w:t>5.48</w:t>
            </w:r>
            <w:r>
              <w:rPr>
                <w:sz w:val="21"/>
                <w:szCs w:val="21"/>
              </w:rPr>
              <w:t>×10</w:t>
            </w:r>
            <w:r w:rsidRPr="00A63414">
              <w:rPr>
                <w:sz w:val="21"/>
                <w:szCs w:val="21"/>
                <w:vertAlign w:val="superscript"/>
              </w:rPr>
              <w:t>-14</w:t>
            </w:r>
          </w:p>
        </w:tc>
        <w:tc>
          <w:tcPr>
            <w:tcW w:w="1300" w:type="dxa"/>
            <w:noWrap/>
            <w:hideMark/>
          </w:tcPr>
          <w:p w14:paraId="21B6FBAB" w14:textId="77777777" w:rsidR="001B2E3D" w:rsidRPr="00A63414" w:rsidRDefault="001B2E3D" w:rsidP="0054652C">
            <w:pPr>
              <w:pStyle w:val="MDPI42tablebody"/>
              <w:rPr>
                <w:sz w:val="21"/>
                <w:szCs w:val="21"/>
              </w:rPr>
            </w:pPr>
            <w:r w:rsidRPr="00A63414">
              <w:rPr>
                <w:sz w:val="21"/>
                <w:szCs w:val="21"/>
              </w:rPr>
              <w:t>3.69</w:t>
            </w:r>
            <w:r>
              <w:rPr>
                <w:sz w:val="21"/>
                <w:szCs w:val="21"/>
              </w:rPr>
              <w:t>×10</w:t>
            </w:r>
            <w:r w:rsidRPr="00A63414">
              <w:rPr>
                <w:sz w:val="21"/>
                <w:szCs w:val="21"/>
                <w:vertAlign w:val="superscript"/>
              </w:rPr>
              <w:t>-12</w:t>
            </w:r>
          </w:p>
        </w:tc>
        <w:tc>
          <w:tcPr>
            <w:tcW w:w="1878" w:type="dxa"/>
            <w:noWrap/>
            <w:hideMark/>
          </w:tcPr>
          <w:p w14:paraId="03E199FA" w14:textId="77777777" w:rsidR="001B2E3D" w:rsidRPr="00A63414" w:rsidRDefault="001B2E3D" w:rsidP="0054652C">
            <w:pPr>
              <w:pStyle w:val="MDPI42tablebody"/>
              <w:rPr>
                <w:sz w:val="21"/>
                <w:szCs w:val="21"/>
              </w:rPr>
            </w:pPr>
            <w:r w:rsidRPr="00A63414">
              <w:rPr>
                <w:sz w:val="21"/>
                <w:szCs w:val="21"/>
              </w:rPr>
              <w:t>FALSE</w:t>
            </w:r>
          </w:p>
        </w:tc>
        <w:tc>
          <w:tcPr>
            <w:tcW w:w="1701" w:type="dxa"/>
            <w:noWrap/>
            <w:hideMark/>
          </w:tcPr>
          <w:p w14:paraId="00DCD0E9" w14:textId="77777777" w:rsidR="001B2E3D" w:rsidRPr="00A63414" w:rsidRDefault="001B2E3D" w:rsidP="0054652C">
            <w:pPr>
              <w:pStyle w:val="MDPI42tablebody"/>
              <w:rPr>
                <w:sz w:val="21"/>
                <w:szCs w:val="21"/>
              </w:rPr>
            </w:pPr>
            <w:r w:rsidRPr="00A63414">
              <w:rPr>
                <w:sz w:val="21"/>
                <w:szCs w:val="21"/>
              </w:rPr>
              <w:t>TRUE</w:t>
            </w:r>
          </w:p>
        </w:tc>
      </w:tr>
      <w:tr w:rsidR="001B2E3D" w:rsidRPr="00A63414" w14:paraId="1CC95AD6" w14:textId="77777777" w:rsidTr="0054652C">
        <w:trPr>
          <w:trHeight w:val="340"/>
        </w:trPr>
        <w:tc>
          <w:tcPr>
            <w:tcW w:w="1300" w:type="dxa"/>
            <w:noWrap/>
            <w:hideMark/>
          </w:tcPr>
          <w:p w14:paraId="6CB90FDA" w14:textId="77777777" w:rsidR="001B2E3D" w:rsidRPr="00A63414" w:rsidRDefault="001B2E3D" w:rsidP="0054652C">
            <w:pPr>
              <w:pStyle w:val="MDPI42tablebody"/>
              <w:rPr>
                <w:i/>
                <w:iCs/>
                <w:sz w:val="21"/>
                <w:szCs w:val="21"/>
              </w:rPr>
            </w:pPr>
            <w:r w:rsidRPr="00A63414">
              <w:rPr>
                <w:i/>
                <w:iCs/>
                <w:sz w:val="21"/>
                <w:szCs w:val="21"/>
              </w:rPr>
              <w:t>MT1G</w:t>
            </w:r>
          </w:p>
        </w:tc>
        <w:tc>
          <w:tcPr>
            <w:tcW w:w="1300" w:type="dxa"/>
            <w:noWrap/>
            <w:hideMark/>
          </w:tcPr>
          <w:p w14:paraId="12A2033D" w14:textId="77777777" w:rsidR="001B2E3D" w:rsidRPr="00A63414" w:rsidRDefault="001B2E3D" w:rsidP="0054652C">
            <w:pPr>
              <w:pStyle w:val="MDPI42tablebody"/>
              <w:rPr>
                <w:sz w:val="21"/>
                <w:szCs w:val="21"/>
              </w:rPr>
            </w:pPr>
            <w:r w:rsidRPr="00A63414">
              <w:rPr>
                <w:sz w:val="21"/>
                <w:szCs w:val="21"/>
              </w:rPr>
              <w:t>-1.41</w:t>
            </w:r>
          </w:p>
        </w:tc>
        <w:tc>
          <w:tcPr>
            <w:tcW w:w="1300" w:type="dxa"/>
            <w:noWrap/>
            <w:hideMark/>
          </w:tcPr>
          <w:p w14:paraId="6C62FFB8" w14:textId="77777777" w:rsidR="001B2E3D" w:rsidRPr="00A63414" w:rsidRDefault="001B2E3D" w:rsidP="0054652C">
            <w:pPr>
              <w:pStyle w:val="MDPI42tablebody"/>
              <w:rPr>
                <w:sz w:val="21"/>
                <w:szCs w:val="21"/>
              </w:rPr>
            </w:pPr>
            <w:r w:rsidRPr="00A63414">
              <w:rPr>
                <w:sz w:val="21"/>
                <w:szCs w:val="21"/>
              </w:rPr>
              <w:t>3.30</w:t>
            </w:r>
            <w:r>
              <w:rPr>
                <w:sz w:val="21"/>
                <w:szCs w:val="21"/>
              </w:rPr>
              <w:t>×10</w:t>
            </w:r>
            <w:r w:rsidRPr="00A63414">
              <w:rPr>
                <w:sz w:val="21"/>
                <w:szCs w:val="21"/>
                <w:vertAlign w:val="superscript"/>
              </w:rPr>
              <w:t>-19</w:t>
            </w:r>
          </w:p>
        </w:tc>
        <w:tc>
          <w:tcPr>
            <w:tcW w:w="1300" w:type="dxa"/>
            <w:noWrap/>
            <w:hideMark/>
          </w:tcPr>
          <w:p w14:paraId="2CF91767" w14:textId="77777777" w:rsidR="001B2E3D" w:rsidRPr="00A63414" w:rsidRDefault="001B2E3D" w:rsidP="0054652C">
            <w:pPr>
              <w:pStyle w:val="MDPI42tablebody"/>
              <w:rPr>
                <w:sz w:val="21"/>
                <w:szCs w:val="21"/>
              </w:rPr>
            </w:pPr>
            <w:r w:rsidRPr="00A63414">
              <w:rPr>
                <w:sz w:val="21"/>
                <w:szCs w:val="21"/>
              </w:rPr>
              <w:t>1.04</w:t>
            </w:r>
            <w:r>
              <w:rPr>
                <w:sz w:val="21"/>
                <w:szCs w:val="21"/>
              </w:rPr>
              <w:t>×10</w:t>
            </w:r>
            <w:r w:rsidRPr="00A63414">
              <w:rPr>
                <w:sz w:val="21"/>
                <w:szCs w:val="21"/>
                <w:vertAlign w:val="superscript"/>
              </w:rPr>
              <w:t>-16</w:t>
            </w:r>
          </w:p>
        </w:tc>
        <w:tc>
          <w:tcPr>
            <w:tcW w:w="1878" w:type="dxa"/>
            <w:noWrap/>
            <w:hideMark/>
          </w:tcPr>
          <w:p w14:paraId="6B039113" w14:textId="77777777" w:rsidR="001B2E3D" w:rsidRPr="00A63414" w:rsidRDefault="001B2E3D" w:rsidP="0054652C">
            <w:pPr>
              <w:pStyle w:val="MDPI42tablebody"/>
              <w:rPr>
                <w:sz w:val="21"/>
                <w:szCs w:val="21"/>
              </w:rPr>
            </w:pPr>
            <w:r w:rsidRPr="00A63414">
              <w:rPr>
                <w:sz w:val="21"/>
                <w:szCs w:val="21"/>
              </w:rPr>
              <w:t>FALSE</w:t>
            </w:r>
          </w:p>
        </w:tc>
        <w:tc>
          <w:tcPr>
            <w:tcW w:w="1701" w:type="dxa"/>
            <w:noWrap/>
            <w:hideMark/>
          </w:tcPr>
          <w:p w14:paraId="02E16AC3" w14:textId="77777777" w:rsidR="001B2E3D" w:rsidRPr="00A63414" w:rsidRDefault="001B2E3D" w:rsidP="0054652C">
            <w:pPr>
              <w:pStyle w:val="MDPI42tablebody"/>
              <w:rPr>
                <w:sz w:val="21"/>
                <w:szCs w:val="21"/>
              </w:rPr>
            </w:pPr>
            <w:r w:rsidRPr="00A63414">
              <w:rPr>
                <w:sz w:val="21"/>
                <w:szCs w:val="21"/>
              </w:rPr>
              <w:t>TRUE</w:t>
            </w:r>
          </w:p>
        </w:tc>
      </w:tr>
      <w:tr w:rsidR="001B2E3D" w:rsidRPr="00A63414" w14:paraId="17B7D553" w14:textId="77777777" w:rsidTr="0054652C">
        <w:trPr>
          <w:trHeight w:val="340"/>
        </w:trPr>
        <w:tc>
          <w:tcPr>
            <w:tcW w:w="1300" w:type="dxa"/>
            <w:noWrap/>
            <w:hideMark/>
          </w:tcPr>
          <w:p w14:paraId="73AE8CB9" w14:textId="77777777" w:rsidR="001B2E3D" w:rsidRPr="00A63414" w:rsidRDefault="001B2E3D" w:rsidP="0054652C">
            <w:pPr>
              <w:pStyle w:val="MDPI42tablebody"/>
              <w:rPr>
                <w:i/>
                <w:iCs/>
                <w:sz w:val="21"/>
                <w:szCs w:val="21"/>
              </w:rPr>
            </w:pPr>
            <w:r w:rsidRPr="00A63414">
              <w:rPr>
                <w:i/>
                <w:iCs/>
                <w:sz w:val="21"/>
                <w:szCs w:val="21"/>
              </w:rPr>
              <w:t>F5</w:t>
            </w:r>
          </w:p>
        </w:tc>
        <w:tc>
          <w:tcPr>
            <w:tcW w:w="1300" w:type="dxa"/>
            <w:noWrap/>
            <w:hideMark/>
          </w:tcPr>
          <w:p w14:paraId="0A5982E8" w14:textId="77777777" w:rsidR="001B2E3D" w:rsidRPr="00A63414" w:rsidRDefault="001B2E3D" w:rsidP="0054652C">
            <w:pPr>
              <w:pStyle w:val="MDPI42tablebody"/>
              <w:rPr>
                <w:sz w:val="21"/>
                <w:szCs w:val="21"/>
              </w:rPr>
            </w:pPr>
            <w:r w:rsidRPr="00A63414">
              <w:rPr>
                <w:sz w:val="21"/>
                <w:szCs w:val="21"/>
              </w:rPr>
              <w:t>1.35</w:t>
            </w:r>
          </w:p>
        </w:tc>
        <w:tc>
          <w:tcPr>
            <w:tcW w:w="1300" w:type="dxa"/>
            <w:noWrap/>
            <w:hideMark/>
          </w:tcPr>
          <w:p w14:paraId="26FFAEC3" w14:textId="77777777" w:rsidR="001B2E3D" w:rsidRPr="00A63414" w:rsidRDefault="001B2E3D" w:rsidP="0054652C">
            <w:pPr>
              <w:pStyle w:val="MDPI42tablebody"/>
              <w:rPr>
                <w:sz w:val="21"/>
                <w:szCs w:val="21"/>
              </w:rPr>
            </w:pPr>
            <w:r w:rsidRPr="00A63414">
              <w:rPr>
                <w:sz w:val="21"/>
                <w:szCs w:val="21"/>
              </w:rPr>
              <w:t>1.06</w:t>
            </w:r>
            <w:r>
              <w:rPr>
                <w:sz w:val="21"/>
                <w:szCs w:val="21"/>
              </w:rPr>
              <w:t>×10</w:t>
            </w:r>
            <w:r w:rsidRPr="00A63414">
              <w:rPr>
                <w:sz w:val="21"/>
                <w:szCs w:val="21"/>
                <w:vertAlign w:val="superscript"/>
              </w:rPr>
              <w:t>-19</w:t>
            </w:r>
          </w:p>
        </w:tc>
        <w:tc>
          <w:tcPr>
            <w:tcW w:w="1300" w:type="dxa"/>
            <w:noWrap/>
            <w:hideMark/>
          </w:tcPr>
          <w:p w14:paraId="39E03652" w14:textId="77777777" w:rsidR="001B2E3D" w:rsidRPr="00A63414" w:rsidRDefault="001B2E3D" w:rsidP="0054652C">
            <w:pPr>
              <w:pStyle w:val="MDPI42tablebody"/>
              <w:rPr>
                <w:sz w:val="21"/>
                <w:szCs w:val="21"/>
              </w:rPr>
            </w:pPr>
            <w:r w:rsidRPr="00A63414">
              <w:rPr>
                <w:sz w:val="21"/>
                <w:szCs w:val="21"/>
              </w:rPr>
              <w:t>3.56</w:t>
            </w:r>
            <w:r>
              <w:rPr>
                <w:sz w:val="21"/>
                <w:szCs w:val="21"/>
              </w:rPr>
              <w:t>×10</w:t>
            </w:r>
            <w:r w:rsidRPr="00A63414">
              <w:rPr>
                <w:sz w:val="21"/>
                <w:szCs w:val="21"/>
                <w:vertAlign w:val="superscript"/>
              </w:rPr>
              <w:t>-17</w:t>
            </w:r>
          </w:p>
        </w:tc>
        <w:tc>
          <w:tcPr>
            <w:tcW w:w="1878" w:type="dxa"/>
            <w:noWrap/>
            <w:hideMark/>
          </w:tcPr>
          <w:p w14:paraId="6990CC91" w14:textId="77777777" w:rsidR="001B2E3D" w:rsidRPr="00A63414" w:rsidRDefault="001B2E3D" w:rsidP="0054652C">
            <w:pPr>
              <w:pStyle w:val="MDPI42tablebody"/>
              <w:rPr>
                <w:sz w:val="21"/>
                <w:szCs w:val="21"/>
              </w:rPr>
            </w:pPr>
            <w:r w:rsidRPr="00A63414">
              <w:rPr>
                <w:sz w:val="21"/>
                <w:szCs w:val="21"/>
              </w:rPr>
              <w:t>TRUE</w:t>
            </w:r>
          </w:p>
        </w:tc>
        <w:tc>
          <w:tcPr>
            <w:tcW w:w="1701" w:type="dxa"/>
            <w:noWrap/>
            <w:hideMark/>
          </w:tcPr>
          <w:p w14:paraId="7304BC47" w14:textId="77777777" w:rsidR="001B2E3D" w:rsidRPr="00A63414" w:rsidRDefault="001B2E3D" w:rsidP="0054652C">
            <w:pPr>
              <w:pStyle w:val="MDPI42tablebody"/>
              <w:rPr>
                <w:sz w:val="21"/>
                <w:szCs w:val="21"/>
              </w:rPr>
            </w:pPr>
            <w:r w:rsidRPr="00A63414">
              <w:rPr>
                <w:sz w:val="21"/>
                <w:szCs w:val="21"/>
              </w:rPr>
              <w:t>TRUE</w:t>
            </w:r>
          </w:p>
        </w:tc>
      </w:tr>
      <w:tr w:rsidR="001B2E3D" w:rsidRPr="00A63414" w14:paraId="7363041A" w14:textId="77777777" w:rsidTr="0054652C">
        <w:trPr>
          <w:trHeight w:val="340"/>
        </w:trPr>
        <w:tc>
          <w:tcPr>
            <w:tcW w:w="1300" w:type="dxa"/>
            <w:noWrap/>
            <w:hideMark/>
          </w:tcPr>
          <w:p w14:paraId="027F896D" w14:textId="77777777" w:rsidR="001B2E3D" w:rsidRPr="00A63414" w:rsidRDefault="001B2E3D" w:rsidP="0054652C">
            <w:pPr>
              <w:pStyle w:val="MDPI42tablebody"/>
              <w:rPr>
                <w:i/>
                <w:iCs/>
                <w:sz w:val="21"/>
                <w:szCs w:val="21"/>
              </w:rPr>
            </w:pPr>
            <w:r w:rsidRPr="00A63414">
              <w:rPr>
                <w:i/>
                <w:iCs/>
                <w:sz w:val="21"/>
                <w:szCs w:val="21"/>
              </w:rPr>
              <w:t>LEPREL1</w:t>
            </w:r>
          </w:p>
        </w:tc>
        <w:tc>
          <w:tcPr>
            <w:tcW w:w="1300" w:type="dxa"/>
            <w:noWrap/>
            <w:hideMark/>
          </w:tcPr>
          <w:p w14:paraId="71C7DDE1" w14:textId="77777777" w:rsidR="001B2E3D" w:rsidRPr="00A63414" w:rsidRDefault="001B2E3D" w:rsidP="0054652C">
            <w:pPr>
              <w:pStyle w:val="MDPI42tablebody"/>
              <w:rPr>
                <w:sz w:val="21"/>
                <w:szCs w:val="21"/>
              </w:rPr>
            </w:pPr>
            <w:r w:rsidRPr="00A63414">
              <w:rPr>
                <w:sz w:val="21"/>
                <w:szCs w:val="21"/>
              </w:rPr>
              <w:t>-1.33</w:t>
            </w:r>
          </w:p>
        </w:tc>
        <w:tc>
          <w:tcPr>
            <w:tcW w:w="1300" w:type="dxa"/>
            <w:noWrap/>
            <w:hideMark/>
          </w:tcPr>
          <w:p w14:paraId="1B98054B" w14:textId="77777777" w:rsidR="001B2E3D" w:rsidRPr="00A63414" w:rsidRDefault="001B2E3D" w:rsidP="0054652C">
            <w:pPr>
              <w:pStyle w:val="MDPI42tablebody"/>
              <w:rPr>
                <w:sz w:val="21"/>
                <w:szCs w:val="21"/>
              </w:rPr>
            </w:pPr>
            <w:r w:rsidRPr="00A63414">
              <w:rPr>
                <w:sz w:val="21"/>
                <w:szCs w:val="21"/>
              </w:rPr>
              <w:t>1.85</w:t>
            </w:r>
            <w:r>
              <w:rPr>
                <w:sz w:val="21"/>
                <w:szCs w:val="21"/>
              </w:rPr>
              <w:t>×10</w:t>
            </w:r>
            <w:r w:rsidRPr="00A63414">
              <w:rPr>
                <w:sz w:val="21"/>
                <w:szCs w:val="21"/>
                <w:vertAlign w:val="superscript"/>
              </w:rPr>
              <w:t>-23</w:t>
            </w:r>
          </w:p>
        </w:tc>
        <w:tc>
          <w:tcPr>
            <w:tcW w:w="1300" w:type="dxa"/>
            <w:noWrap/>
            <w:hideMark/>
          </w:tcPr>
          <w:p w14:paraId="320FBEBA" w14:textId="77777777" w:rsidR="001B2E3D" w:rsidRPr="00A63414" w:rsidRDefault="001B2E3D" w:rsidP="0054652C">
            <w:pPr>
              <w:pStyle w:val="MDPI42tablebody"/>
              <w:rPr>
                <w:sz w:val="21"/>
                <w:szCs w:val="21"/>
              </w:rPr>
            </w:pPr>
            <w:r w:rsidRPr="00A63414">
              <w:rPr>
                <w:sz w:val="21"/>
                <w:szCs w:val="21"/>
              </w:rPr>
              <w:t>1.59</w:t>
            </w:r>
            <w:r>
              <w:rPr>
                <w:sz w:val="21"/>
                <w:szCs w:val="21"/>
              </w:rPr>
              <w:t>×10</w:t>
            </w:r>
            <w:r w:rsidRPr="00A63414">
              <w:rPr>
                <w:sz w:val="21"/>
                <w:szCs w:val="21"/>
                <w:vertAlign w:val="superscript"/>
              </w:rPr>
              <w:t>-20</w:t>
            </w:r>
          </w:p>
        </w:tc>
        <w:tc>
          <w:tcPr>
            <w:tcW w:w="1878" w:type="dxa"/>
            <w:noWrap/>
            <w:hideMark/>
          </w:tcPr>
          <w:p w14:paraId="2114AD0E" w14:textId="77777777" w:rsidR="001B2E3D" w:rsidRPr="00A63414" w:rsidRDefault="001B2E3D" w:rsidP="0054652C">
            <w:pPr>
              <w:pStyle w:val="MDPI42tablebody"/>
              <w:rPr>
                <w:sz w:val="21"/>
                <w:szCs w:val="21"/>
              </w:rPr>
            </w:pPr>
            <w:r w:rsidRPr="00A63414">
              <w:rPr>
                <w:sz w:val="21"/>
                <w:szCs w:val="21"/>
              </w:rPr>
              <w:t>FALSE</w:t>
            </w:r>
          </w:p>
        </w:tc>
        <w:tc>
          <w:tcPr>
            <w:tcW w:w="1701" w:type="dxa"/>
            <w:noWrap/>
            <w:hideMark/>
          </w:tcPr>
          <w:p w14:paraId="313FB081" w14:textId="77777777" w:rsidR="001B2E3D" w:rsidRPr="00A63414" w:rsidRDefault="001B2E3D" w:rsidP="0054652C">
            <w:pPr>
              <w:pStyle w:val="MDPI42tablebody"/>
              <w:rPr>
                <w:sz w:val="21"/>
                <w:szCs w:val="21"/>
              </w:rPr>
            </w:pPr>
            <w:r w:rsidRPr="00A63414">
              <w:rPr>
                <w:sz w:val="21"/>
                <w:szCs w:val="21"/>
              </w:rPr>
              <w:t>TRUE</w:t>
            </w:r>
          </w:p>
        </w:tc>
      </w:tr>
      <w:tr w:rsidR="001B2E3D" w:rsidRPr="00A63414" w14:paraId="4734B560" w14:textId="77777777" w:rsidTr="0054652C">
        <w:trPr>
          <w:trHeight w:val="340"/>
        </w:trPr>
        <w:tc>
          <w:tcPr>
            <w:tcW w:w="1300" w:type="dxa"/>
            <w:noWrap/>
            <w:hideMark/>
          </w:tcPr>
          <w:p w14:paraId="38A13EF9" w14:textId="77777777" w:rsidR="001B2E3D" w:rsidRPr="00A63414" w:rsidRDefault="001B2E3D" w:rsidP="0054652C">
            <w:pPr>
              <w:pStyle w:val="MDPI42tablebody"/>
              <w:rPr>
                <w:i/>
                <w:iCs/>
                <w:sz w:val="21"/>
                <w:szCs w:val="21"/>
              </w:rPr>
            </w:pPr>
            <w:r w:rsidRPr="00A63414">
              <w:rPr>
                <w:i/>
                <w:iCs/>
                <w:sz w:val="21"/>
                <w:szCs w:val="21"/>
              </w:rPr>
              <w:t>ACTG2</w:t>
            </w:r>
          </w:p>
        </w:tc>
        <w:tc>
          <w:tcPr>
            <w:tcW w:w="1300" w:type="dxa"/>
            <w:noWrap/>
            <w:hideMark/>
          </w:tcPr>
          <w:p w14:paraId="1CF9B518" w14:textId="77777777" w:rsidR="001B2E3D" w:rsidRPr="00A63414" w:rsidRDefault="001B2E3D" w:rsidP="0054652C">
            <w:pPr>
              <w:pStyle w:val="MDPI42tablebody"/>
              <w:rPr>
                <w:sz w:val="21"/>
                <w:szCs w:val="21"/>
              </w:rPr>
            </w:pPr>
            <w:r w:rsidRPr="00A63414">
              <w:rPr>
                <w:sz w:val="21"/>
                <w:szCs w:val="21"/>
              </w:rPr>
              <w:t>-1.33</w:t>
            </w:r>
          </w:p>
        </w:tc>
        <w:tc>
          <w:tcPr>
            <w:tcW w:w="1300" w:type="dxa"/>
            <w:noWrap/>
            <w:hideMark/>
          </w:tcPr>
          <w:p w14:paraId="32A51D01" w14:textId="77777777" w:rsidR="001B2E3D" w:rsidRPr="00A63414" w:rsidRDefault="001B2E3D" w:rsidP="0054652C">
            <w:pPr>
              <w:pStyle w:val="MDPI42tablebody"/>
              <w:rPr>
                <w:sz w:val="21"/>
                <w:szCs w:val="21"/>
              </w:rPr>
            </w:pPr>
            <w:r w:rsidRPr="00A63414">
              <w:rPr>
                <w:sz w:val="21"/>
                <w:szCs w:val="21"/>
              </w:rPr>
              <w:t>9.88</w:t>
            </w:r>
            <w:r>
              <w:rPr>
                <w:sz w:val="21"/>
                <w:szCs w:val="21"/>
              </w:rPr>
              <w:t>×10</w:t>
            </w:r>
            <w:r w:rsidRPr="00A63414">
              <w:rPr>
                <w:sz w:val="21"/>
                <w:szCs w:val="21"/>
                <w:vertAlign w:val="superscript"/>
              </w:rPr>
              <w:t>-23</w:t>
            </w:r>
          </w:p>
        </w:tc>
        <w:tc>
          <w:tcPr>
            <w:tcW w:w="1300" w:type="dxa"/>
            <w:noWrap/>
            <w:hideMark/>
          </w:tcPr>
          <w:p w14:paraId="03568D8D" w14:textId="77777777" w:rsidR="001B2E3D" w:rsidRPr="00A63414" w:rsidRDefault="001B2E3D" w:rsidP="0054652C">
            <w:pPr>
              <w:pStyle w:val="MDPI42tablebody"/>
              <w:rPr>
                <w:sz w:val="21"/>
                <w:szCs w:val="21"/>
              </w:rPr>
            </w:pPr>
            <w:r w:rsidRPr="00A63414">
              <w:rPr>
                <w:sz w:val="21"/>
                <w:szCs w:val="21"/>
              </w:rPr>
              <w:t>6.87</w:t>
            </w:r>
            <w:r>
              <w:rPr>
                <w:sz w:val="21"/>
                <w:szCs w:val="21"/>
              </w:rPr>
              <w:t>×10</w:t>
            </w:r>
            <w:r w:rsidRPr="00A63414">
              <w:rPr>
                <w:sz w:val="21"/>
                <w:szCs w:val="21"/>
                <w:vertAlign w:val="superscript"/>
              </w:rPr>
              <w:t>-20</w:t>
            </w:r>
          </w:p>
        </w:tc>
        <w:tc>
          <w:tcPr>
            <w:tcW w:w="1878" w:type="dxa"/>
            <w:noWrap/>
            <w:hideMark/>
          </w:tcPr>
          <w:p w14:paraId="2A811A10" w14:textId="77777777" w:rsidR="001B2E3D" w:rsidRPr="00A63414" w:rsidRDefault="001B2E3D" w:rsidP="0054652C">
            <w:pPr>
              <w:pStyle w:val="MDPI42tablebody"/>
              <w:rPr>
                <w:sz w:val="21"/>
                <w:szCs w:val="21"/>
              </w:rPr>
            </w:pPr>
            <w:r w:rsidRPr="00A63414">
              <w:rPr>
                <w:sz w:val="21"/>
                <w:szCs w:val="21"/>
              </w:rPr>
              <w:t>TRUE</w:t>
            </w:r>
          </w:p>
        </w:tc>
        <w:tc>
          <w:tcPr>
            <w:tcW w:w="1701" w:type="dxa"/>
            <w:noWrap/>
            <w:hideMark/>
          </w:tcPr>
          <w:p w14:paraId="35D1A85D" w14:textId="77777777" w:rsidR="001B2E3D" w:rsidRPr="00A63414" w:rsidRDefault="001B2E3D" w:rsidP="0054652C">
            <w:pPr>
              <w:pStyle w:val="MDPI42tablebody"/>
              <w:rPr>
                <w:sz w:val="21"/>
                <w:szCs w:val="21"/>
              </w:rPr>
            </w:pPr>
            <w:r w:rsidRPr="00A63414">
              <w:rPr>
                <w:sz w:val="21"/>
                <w:szCs w:val="21"/>
              </w:rPr>
              <w:t>TRUE</w:t>
            </w:r>
          </w:p>
        </w:tc>
      </w:tr>
      <w:tr w:rsidR="001B2E3D" w:rsidRPr="00A63414" w14:paraId="63E01785" w14:textId="77777777" w:rsidTr="0054652C">
        <w:trPr>
          <w:trHeight w:val="340"/>
        </w:trPr>
        <w:tc>
          <w:tcPr>
            <w:tcW w:w="1300" w:type="dxa"/>
            <w:noWrap/>
            <w:hideMark/>
          </w:tcPr>
          <w:p w14:paraId="4C1F098D" w14:textId="77777777" w:rsidR="001B2E3D" w:rsidRPr="00A63414" w:rsidRDefault="001B2E3D" w:rsidP="0054652C">
            <w:pPr>
              <w:pStyle w:val="MDPI42tablebody"/>
              <w:rPr>
                <w:i/>
                <w:iCs/>
                <w:sz w:val="21"/>
                <w:szCs w:val="21"/>
              </w:rPr>
            </w:pPr>
            <w:r w:rsidRPr="00A63414">
              <w:rPr>
                <w:i/>
                <w:iCs/>
                <w:sz w:val="21"/>
                <w:szCs w:val="21"/>
              </w:rPr>
              <w:t>ERG</w:t>
            </w:r>
          </w:p>
        </w:tc>
        <w:tc>
          <w:tcPr>
            <w:tcW w:w="1300" w:type="dxa"/>
            <w:noWrap/>
            <w:hideMark/>
          </w:tcPr>
          <w:p w14:paraId="5DBE52B8" w14:textId="77777777" w:rsidR="001B2E3D" w:rsidRPr="00A63414" w:rsidRDefault="001B2E3D" w:rsidP="0054652C">
            <w:pPr>
              <w:pStyle w:val="MDPI42tablebody"/>
              <w:rPr>
                <w:sz w:val="21"/>
                <w:szCs w:val="21"/>
              </w:rPr>
            </w:pPr>
            <w:r w:rsidRPr="00A63414">
              <w:rPr>
                <w:sz w:val="21"/>
                <w:szCs w:val="21"/>
              </w:rPr>
              <w:t>1.31</w:t>
            </w:r>
          </w:p>
        </w:tc>
        <w:tc>
          <w:tcPr>
            <w:tcW w:w="1300" w:type="dxa"/>
            <w:noWrap/>
            <w:hideMark/>
          </w:tcPr>
          <w:p w14:paraId="69783748" w14:textId="77777777" w:rsidR="001B2E3D" w:rsidRPr="00A63414" w:rsidRDefault="001B2E3D" w:rsidP="0054652C">
            <w:pPr>
              <w:pStyle w:val="MDPI42tablebody"/>
              <w:rPr>
                <w:sz w:val="21"/>
                <w:szCs w:val="21"/>
              </w:rPr>
            </w:pPr>
            <w:r w:rsidRPr="00A63414">
              <w:rPr>
                <w:sz w:val="21"/>
                <w:szCs w:val="21"/>
              </w:rPr>
              <w:t>2.26</w:t>
            </w:r>
            <w:r>
              <w:rPr>
                <w:sz w:val="21"/>
                <w:szCs w:val="21"/>
              </w:rPr>
              <w:t>×10</w:t>
            </w:r>
            <w:r w:rsidRPr="00A63414">
              <w:rPr>
                <w:sz w:val="21"/>
                <w:szCs w:val="21"/>
                <w:vertAlign w:val="superscript"/>
              </w:rPr>
              <w:t>-12</w:t>
            </w:r>
          </w:p>
        </w:tc>
        <w:tc>
          <w:tcPr>
            <w:tcW w:w="1300" w:type="dxa"/>
            <w:noWrap/>
            <w:hideMark/>
          </w:tcPr>
          <w:p w14:paraId="43EDA836" w14:textId="77777777" w:rsidR="001B2E3D" w:rsidRPr="00A63414" w:rsidRDefault="001B2E3D" w:rsidP="0054652C">
            <w:pPr>
              <w:pStyle w:val="MDPI42tablebody"/>
              <w:rPr>
                <w:sz w:val="21"/>
                <w:szCs w:val="21"/>
              </w:rPr>
            </w:pPr>
            <w:r w:rsidRPr="00A63414">
              <w:rPr>
                <w:sz w:val="21"/>
                <w:szCs w:val="21"/>
              </w:rPr>
              <w:t>9.90</w:t>
            </w:r>
            <w:r>
              <w:rPr>
                <w:sz w:val="21"/>
                <w:szCs w:val="21"/>
              </w:rPr>
              <w:t>×10</w:t>
            </w:r>
            <w:r w:rsidRPr="00A63414">
              <w:rPr>
                <w:sz w:val="21"/>
                <w:szCs w:val="21"/>
                <w:vertAlign w:val="superscript"/>
              </w:rPr>
              <w:t>-11</w:t>
            </w:r>
          </w:p>
        </w:tc>
        <w:tc>
          <w:tcPr>
            <w:tcW w:w="1878" w:type="dxa"/>
            <w:noWrap/>
            <w:hideMark/>
          </w:tcPr>
          <w:p w14:paraId="0F5AFE68" w14:textId="77777777" w:rsidR="001B2E3D" w:rsidRPr="00A63414" w:rsidRDefault="001B2E3D" w:rsidP="0054652C">
            <w:pPr>
              <w:pStyle w:val="MDPI42tablebody"/>
              <w:rPr>
                <w:sz w:val="21"/>
                <w:szCs w:val="21"/>
              </w:rPr>
            </w:pPr>
            <w:r w:rsidRPr="00A63414">
              <w:rPr>
                <w:sz w:val="21"/>
                <w:szCs w:val="21"/>
              </w:rPr>
              <w:t>FALSE</w:t>
            </w:r>
          </w:p>
        </w:tc>
        <w:tc>
          <w:tcPr>
            <w:tcW w:w="1701" w:type="dxa"/>
            <w:noWrap/>
            <w:hideMark/>
          </w:tcPr>
          <w:p w14:paraId="30DE86A4" w14:textId="77777777" w:rsidR="001B2E3D" w:rsidRPr="00A63414" w:rsidRDefault="001B2E3D" w:rsidP="0054652C">
            <w:pPr>
              <w:pStyle w:val="MDPI42tablebody"/>
              <w:rPr>
                <w:sz w:val="21"/>
                <w:szCs w:val="21"/>
              </w:rPr>
            </w:pPr>
            <w:r w:rsidRPr="00A63414">
              <w:rPr>
                <w:sz w:val="21"/>
                <w:szCs w:val="21"/>
              </w:rPr>
              <w:t>FALSE</w:t>
            </w:r>
          </w:p>
        </w:tc>
      </w:tr>
    </w:tbl>
    <w:p w14:paraId="26F33045" w14:textId="77777777" w:rsidR="001B2E3D" w:rsidRDefault="001B2E3D" w:rsidP="001B2E3D">
      <w:pPr>
        <w:pStyle w:val="MDPI31text"/>
      </w:pPr>
    </w:p>
    <w:p w14:paraId="5A8F9092" w14:textId="77777777" w:rsidR="001B2E3D" w:rsidRDefault="001B2E3D" w:rsidP="001B2E3D">
      <w:pPr>
        <w:pStyle w:val="MDPI31text"/>
      </w:pPr>
      <w:r>
        <w:lastRenderedPageBreak/>
        <w:t xml:space="preserve">Of the 451 genes found to be characteristic of PREDICT, the majority (78%) were also found to be differentially expressed in the same direction between DESNT vs non-DESNT samples (Table S1), but only 8% of DESNT differentially expressed genes were found to be differentially expressed in the same direction between PREDICT score high vs PREDICT score low samples. Only 24 out of 51 characteristic DESNT genes from </w:t>
      </w:r>
      <w:r w:rsidRPr="0021601B">
        <w:t xml:space="preserve">Luca </w:t>
      </w:r>
      <w:r w:rsidRPr="0021601B">
        <w:rPr>
          <w:i/>
          <w:iCs/>
        </w:rPr>
        <w:t>et al</w:t>
      </w:r>
      <w:r w:rsidRPr="0021601B">
        <w:t>. (20</w:t>
      </w:r>
      <w:r>
        <w:t>20</w:t>
      </w:r>
      <w:r w:rsidRPr="0021601B">
        <w:t>)</w:t>
      </w:r>
      <w:r>
        <w:t xml:space="preserve"> were found to characterise PREDICT. 93 out of 236 (40%) enriched pathways/ontology terms were unique to the PREDICT Score (Table S2; 37% GO biological process terms, 80% KEGG pathways and 40% Reactome pathways). Similarly, 1697 out of </w:t>
      </w:r>
      <w:r w:rsidRPr="00913E68">
        <w:t>1840</w:t>
      </w:r>
      <w:r>
        <w:t xml:space="preserve"> (92%) enriched pathways/ontology terms were unique to DESNT (Table S4; 92% GO biological process terms, 97% KEGG pathways and 89% Reactome pathways). Taken together these results are suggestive that DESNT provides additional information to PREDICT based on the underlying biological processes.</w:t>
      </w:r>
    </w:p>
    <w:p w14:paraId="50AA1225" w14:textId="77777777" w:rsidR="001B2E3D" w:rsidRDefault="001B2E3D" w:rsidP="001B2E3D">
      <w:pPr>
        <w:pStyle w:val="MDPI41tablecaption"/>
      </w:pPr>
      <w:r w:rsidRPr="00C90FF3">
        <w:rPr>
          <w:b/>
          <w:bCs/>
        </w:rPr>
        <w:t>Table 8.</w:t>
      </w:r>
      <w:r>
        <w:t xml:space="preserve"> The top 10 Reactome pathways found to be uniquely significantly enriched for significantly upregulated or downregulated genes for DESNT sample status, ranked by significance. Direction = whether pathway is enriched for downregulated or upregulated genes. Full results in Table S4.</w:t>
      </w:r>
    </w:p>
    <w:tbl>
      <w:tblPr>
        <w:tblStyle w:val="MDPI41threelinetable"/>
        <w:tblW w:w="0" w:type="auto"/>
        <w:tblLook w:val="04A0" w:firstRow="1" w:lastRow="0" w:firstColumn="1" w:lastColumn="0" w:noHBand="0" w:noVBand="1"/>
      </w:tblPr>
      <w:tblGrid>
        <w:gridCol w:w="3015"/>
        <w:gridCol w:w="1177"/>
        <w:gridCol w:w="1195"/>
        <w:gridCol w:w="1100"/>
        <w:gridCol w:w="2007"/>
      </w:tblGrid>
      <w:tr w:rsidR="001B2E3D" w:rsidRPr="00C90FF3" w14:paraId="4CBFC561" w14:textId="77777777" w:rsidTr="0054652C">
        <w:trPr>
          <w:cnfStyle w:val="100000000000" w:firstRow="1" w:lastRow="0" w:firstColumn="0" w:lastColumn="0" w:oddVBand="0" w:evenVBand="0" w:oddHBand="0" w:evenHBand="0" w:firstRowFirstColumn="0" w:firstRowLastColumn="0" w:lastRowFirstColumn="0" w:lastRowLastColumn="0"/>
          <w:trHeight w:val="320"/>
        </w:trPr>
        <w:tc>
          <w:tcPr>
            <w:tcW w:w="3015" w:type="dxa"/>
            <w:noWrap/>
            <w:hideMark/>
          </w:tcPr>
          <w:p w14:paraId="2786FEDE" w14:textId="77777777" w:rsidR="001B2E3D" w:rsidRPr="00C90FF3" w:rsidRDefault="001B2E3D" w:rsidP="0054652C">
            <w:pPr>
              <w:pStyle w:val="MDPI42tablebody"/>
              <w:rPr>
                <w:b w:val="0"/>
              </w:rPr>
            </w:pPr>
            <w:r w:rsidRPr="00C90FF3">
              <w:t>Term Name</w:t>
            </w:r>
          </w:p>
        </w:tc>
        <w:tc>
          <w:tcPr>
            <w:tcW w:w="1177" w:type="dxa"/>
            <w:noWrap/>
            <w:hideMark/>
          </w:tcPr>
          <w:p w14:paraId="00EC53EF" w14:textId="77777777" w:rsidR="001B2E3D" w:rsidRPr="00C90FF3" w:rsidRDefault="001B2E3D" w:rsidP="0054652C">
            <w:pPr>
              <w:pStyle w:val="MDPI42tablebody"/>
              <w:rPr>
                <w:b w:val="0"/>
              </w:rPr>
            </w:pPr>
            <w:r>
              <w:t>D</w:t>
            </w:r>
            <w:r w:rsidRPr="00C90FF3">
              <w:t>irection</w:t>
            </w:r>
          </w:p>
        </w:tc>
        <w:tc>
          <w:tcPr>
            <w:tcW w:w="1195" w:type="dxa"/>
            <w:noWrap/>
            <w:hideMark/>
          </w:tcPr>
          <w:p w14:paraId="055C9DAB" w14:textId="77777777" w:rsidR="001B2E3D" w:rsidRPr="00C90FF3" w:rsidRDefault="001B2E3D" w:rsidP="0054652C">
            <w:pPr>
              <w:pStyle w:val="MDPI42tablebody"/>
              <w:rPr>
                <w:b w:val="0"/>
              </w:rPr>
            </w:pPr>
            <w:r w:rsidRPr="00C90FF3">
              <w:rPr>
                <w:rFonts w:cs="Calibri"/>
                <w:i/>
                <w:iCs/>
              </w:rPr>
              <w:t>p</w:t>
            </w:r>
            <w:r w:rsidRPr="00C90FF3">
              <w:rPr>
                <w:rFonts w:cs="Calibri"/>
              </w:rPr>
              <w:t xml:space="preserve"> value</w:t>
            </w:r>
          </w:p>
        </w:tc>
        <w:tc>
          <w:tcPr>
            <w:tcW w:w="1100" w:type="dxa"/>
            <w:noWrap/>
            <w:hideMark/>
          </w:tcPr>
          <w:p w14:paraId="4D19522F" w14:textId="77777777" w:rsidR="001B2E3D" w:rsidRPr="00C90FF3" w:rsidRDefault="001B2E3D" w:rsidP="0054652C">
            <w:pPr>
              <w:pStyle w:val="MDPI42tablebody"/>
              <w:rPr>
                <w:b w:val="0"/>
              </w:rPr>
            </w:pPr>
            <w:r w:rsidRPr="00C90FF3">
              <w:t>Term Size</w:t>
            </w:r>
          </w:p>
        </w:tc>
        <w:tc>
          <w:tcPr>
            <w:tcW w:w="2007" w:type="dxa"/>
            <w:noWrap/>
            <w:hideMark/>
          </w:tcPr>
          <w:p w14:paraId="5F72A8BA" w14:textId="77777777" w:rsidR="001B2E3D" w:rsidRPr="00C90FF3" w:rsidRDefault="001B2E3D" w:rsidP="0054652C">
            <w:pPr>
              <w:pStyle w:val="MDPI42tablebody"/>
              <w:rPr>
                <w:b w:val="0"/>
              </w:rPr>
            </w:pPr>
            <w:r w:rsidRPr="00C90FF3">
              <w:t>Intersection Size</w:t>
            </w:r>
          </w:p>
        </w:tc>
      </w:tr>
      <w:tr w:rsidR="001B2E3D" w:rsidRPr="00C90FF3" w14:paraId="2123A418" w14:textId="77777777" w:rsidTr="0054652C">
        <w:trPr>
          <w:trHeight w:val="320"/>
        </w:trPr>
        <w:tc>
          <w:tcPr>
            <w:tcW w:w="3015" w:type="dxa"/>
            <w:noWrap/>
            <w:hideMark/>
          </w:tcPr>
          <w:p w14:paraId="740403F6" w14:textId="77777777" w:rsidR="001B2E3D" w:rsidRPr="00C90FF3" w:rsidRDefault="001B2E3D" w:rsidP="0054652C">
            <w:pPr>
              <w:pStyle w:val="MDPI42tablebody"/>
            </w:pPr>
            <w:r w:rsidRPr="00C90FF3">
              <w:t>Signal Transduction</w:t>
            </w:r>
          </w:p>
        </w:tc>
        <w:tc>
          <w:tcPr>
            <w:tcW w:w="1177" w:type="dxa"/>
            <w:noWrap/>
            <w:hideMark/>
          </w:tcPr>
          <w:p w14:paraId="5918D985" w14:textId="77777777" w:rsidR="001B2E3D" w:rsidRPr="00C90FF3" w:rsidRDefault="001B2E3D" w:rsidP="0054652C">
            <w:pPr>
              <w:pStyle w:val="MDPI42tablebody"/>
            </w:pPr>
            <w:r w:rsidRPr="00C90FF3">
              <w:t>Down</w:t>
            </w:r>
          </w:p>
        </w:tc>
        <w:tc>
          <w:tcPr>
            <w:tcW w:w="1195" w:type="dxa"/>
            <w:noWrap/>
            <w:hideMark/>
          </w:tcPr>
          <w:p w14:paraId="295DA58D" w14:textId="77777777" w:rsidR="001B2E3D" w:rsidRPr="00C90FF3" w:rsidRDefault="001B2E3D" w:rsidP="0054652C">
            <w:pPr>
              <w:pStyle w:val="MDPI42tablebody"/>
            </w:pPr>
            <w:r w:rsidRPr="00C90FF3">
              <w:t>3.94</w:t>
            </w:r>
            <w:r>
              <w:t>×10</w:t>
            </w:r>
            <w:r w:rsidRPr="00C90FF3">
              <w:rPr>
                <w:vertAlign w:val="superscript"/>
              </w:rPr>
              <w:t>-15</w:t>
            </w:r>
          </w:p>
        </w:tc>
        <w:tc>
          <w:tcPr>
            <w:tcW w:w="1100" w:type="dxa"/>
            <w:noWrap/>
            <w:hideMark/>
          </w:tcPr>
          <w:p w14:paraId="08A4CAB9" w14:textId="77777777" w:rsidR="001B2E3D" w:rsidRPr="00C90FF3" w:rsidRDefault="001B2E3D" w:rsidP="0054652C">
            <w:pPr>
              <w:pStyle w:val="MDPI42tablebody"/>
            </w:pPr>
            <w:r w:rsidRPr="00C90FF3">
              <w:t>2523</w:t>
            </w:r>
          </w:p>
        </w:tc>
        <w:tc>
          <w:tcPr>
            <w:tcW w:w="2007" w:type="dxa"/>
            <w:noWrap/>
            <w:hideMark/>
          </w:tcPr>
          <w:p w14:paraId="3501CD09" w14:textId="77777777" w:rsidR="001B2E3D" w:rsidRPr="00C90FF3" w:rsidRDefault="001B2E3D" w:rsidP="0054652C">
            <w:pPr>
              <w:pStyle w:val="MDPI42tablebody"/>
            </w:pPr>
            <w:r w:rsidRPr="00C90FF3">
              <w:t>437</w:t>
            </w:r>
          </w:p>
        </w:tc>
      </w:tr>
      <w:tr w:rsidR="001B2E3D" w:rsidRPr="00C90FF3" w14:paraId="339DE6EF" w14:textId="77777777" w:rsidTr="0054652C">
        <w:trPr>
          <w:trHeight w:val="320"/>
        </w:trPr>
        <w:tc>
          <w:tcPr>
            <w:tcW w:w="3015" w:type="dxa"/>
            <w:noWrap/>
            <w:hideMark/>
          </w:tcPr>
          <w:p w14:paraId="6F5AEDAE" w14:textId="77777777" w:rsidR="001B2E3D" w:rsidRPr="00C90FF3" w:rsidRDefault="001B2E3D" w:rsidP="0054652C">
            <w:pPr>
              <w:pStyle w:val="MDPI42tablebody"/>
            </w:pPr>
            <w:r w:rsidRPr="00C90FF3">
              <w:t>Platelet activation, signaling and aggregation</w:t>
            </w:r>
          </w:p>
        </w:tc>
        <w:tc>
          <w:tcPr>
            <w:tcW w:w="1177" w:type="dxa"/>
            <w:noWrap/>
            <w:hideMark/>
          </w:tcPr>
          <w:p w14:paraId="0E5D1890" w14:textId="77777777" w:rsidR="001B2E3D" w:rsidRPr="00C90FF3" w:rsidRDefault="001B2E3D" w:rsidP="0054652C">
            <w:pPr>
              <w:pStyle w:val="MDPI42tablebody"/>
            </w:pPr>
            <w:r w:rsidRPr="00C90FF3">
              <w:t>Down</w:t>
            </w:r>
          </w:p>
        </w:tc>
        <w:tc>
          <w:tcPr>
            <w:tcW w:w="1195" w:type="dxa"/>
            <w:noWrap/>
            <w:hideMark/>
          </w:tcPr>
          <w:p w14:paraId="2483F29A" w14:textId="77777777" w:rsidR="001B2E3D" w:rsidRPr="00C90FF3" w:rsidRDefault="001B2E3D" w:rsidP="0054652C">
            <w:pPr>
              <w:pStyle w:val="MDPI42tablebody"/>
            </w:pPr>
            <w:r w:rsidRPr="00C90FF3">
              <w:t>3.91</w:t>
            </w:r>
            <w:r>
              <w:t>×10</w:t>
            </w:r>
            <w:r w:rsidRPr="00C90FF3">
              <w:rPr>
                <w:vertAlign w:val="superscript"/>
              </w:rPr>
              <w:t>-11</w:t>
            </w:r>
          </w:p>
        </w:tc>
        <w:tc>
          <w:tcPr>
            <w:tcW w:w="1100" w:type="dxa"/>
            <w:noWrap/>
            <w:hideMark/>
          </w:tcPr>
          <w:p w14:paraId="74FED0D0" w14:textId="77777777" w:rsidR="001B2E3D" w:rsidRPr="00C90FF3" w:rsidRDefault="001B2E3D" w:rsidP="0054652C">
            <w:pPr>
              <w:pStyle w:val="MDPI42tablebody"/>
            </w:pPr>
            <w:r w:rsidRPr="00C90FF3">
              <w:t>258</w:t>
            </w:r>
          </w:p>
        </w:tc>
        <w:tc>
          <w:tcPr>
            <w:tcW w:w="2007" w:type="dxa"/>
            <w:noWrap/>
            <w:hideMark/>
          </w:tcPr>
          <w:p w14:paraId="6E9DB7B7" w14:textId="77777777" w:rsidR="001B2E3D" w:rsidRPr="00C90FF3" w:rsidRDefault="001B2E3D" w:rsidP="0054652C">
            <w:pPr>
              <w:pStyle w:val="MDPI42tablebody"/>
            </w:pPr>
            <w:r w:rsidRPr="00C90FF3">
              <w:t>76</w:t>
            </w:r>
          </w:p>
        </w:tc>
      </w:tr>
      <w:tr w:rsidR="001B2E3D" w:rsidRPr="00C90FF3" w14:paraId="4DFE99B2" w14:textId="77777777" w:rsidTr="0054652C">
        <w:trPr>
          <w:trHeight w:val="320"/>
        </w:trPr>
        <w:tc>
          <w:tcPr>
            <w:tcW w:w="3015" w:type="dxa"/>
            <w:noWrap/>
            <w:hideMark/>
          </w:tcPr>
          <w:p w14:paraId="4BB1379D" w14:textId="77777777" w:rsidR="001B2E3D" w:rsidRPr="00C90FF3" w:rsidRDefault="001B2E3D" w:rsidP="0054652C">
            <w:pPr>
              <w:pStyle w:val="MDPI42tablebody"/>
            </w:pPr>
            <w:r w:rsidRPr="00C90FF3">
              <w:t>Metabolism of RNA</w:t>
            </w:r>
          </w:p>
        </w:tc>
        <w:tc>
          <w:tcPr>
            <w:tcW w:w="1177" w:type="dxa"/>
            <w:noWrap/>
            <w:hideMark/>
          </w:tcPr>
          <w:p w14:paraId="68AF653D" w14:textId="77777777" w:rsidR="001B2E3D" w:rsidRPr="00C90FF3" w:rsidRDefault="001B2E3D" w:rsidP="0054652C">
            <w:pPr>
              <w:pStyle w:val="MDPI42tablebody"/>
            </w:pPr>
            <w:r w:rsidRPr="00C90FF3">
              <w:t>Up</w:t>
            </w:r>
          </w:p>
        </w:tc>
        <w:tc>
          <w:tcPr>
            <w:tcW w:w="1195" w:type="dxa"/>
            <w:noWrap/>
            <w:hideMark/>
          </w:tcPr>
          <w:p w14:paraId="2BCBC1E2" w14:textId="77777777" w:rsidR="001B2E3D" w:rsidRPr="00C90FF3" w:rsidRDefault="001B2E3D" w:rsidP="0054652C">
            <w:pPr>
              <w:pStyle w:val="MDPI42tablebody"/>
            </w:pPr>
            <w:r w:rsidRPr="00C90FF3">
              <w:t>6.61</w:t>
            </w:r>
            <w:r>
              <w:t>×10</w:t>
            </w:r>
            <w:r w:rsidRPr="00C90FF3">
              <w:rPr>
                <w:vertAlign w:val="superscript"/>
              </w:rPr>
              <w:t>-11</w:t>
            </w:r>
          </w:p>
        </w:tc>
        <w:tc>
          <w:tcPr>
            <w:tcW w:w="1100" w:type="dxa"/>
            <w:noWrap/>
            <w:hideMark/>
          </w:tcPr>
          <w:p w14:paraId="42D9C415" w14:textId="77777777" w:rsidR="001B2E3D" w:rsidRPr="00C90FF3" w:rsidRDefault="001B2E3D" w:rsidP="0054652C">
            <w:pPr>
              <w:pStyle w:val="MDPI42tablebody"/>
            </w:pPr>
            <w:r w:rsidRPr="00C90FF3">
              <w:t>661</w:t>
            </w:r>
          </w:p>
        </w:tc>
        <w:tc>
          <w:tcPr>
            <w:tcW w:w="2007" w:type="dxa"/>
            <w:noWrap/>
            <w:hideMark/>
          </w:tcPr>
          <w:p w14:paraId="37443052" w14:textId="77777777" w:rsidR="001B2E3D" w:rsidRPr="00C90FF3" w:rsidRDefault="001B2E3D" w:rsidP="0054652C">
            <w:pPr>
              <w:pStyle w:val="MDPI42tablebody"/>
            </w:pPr>
            <w:r w:rsidRPr="00C90FF3">
              <w:t>173</w:t>
            </w:r>
          </w:p>
        </w:tc>
      </w:tr>
      <w:tr w:rsidR="001B2E3D" w:rsidRPr="00C90FF3" w14:paraId="11D80F7B" w14:textId="77777777" w:rsidTr="0054652C">
        <w:trPr>
          <w:trHeight w:val="320"/>
        </w:trPr>
        <w:tc>
          <w:tcPr>
            <w:tcW w:w="3015" w:type="dxa"/>
            <w:noWrap/>
            <w:hideMark/>
          </w:tcPr>
          <w:p w14:paraId="3B5B2EAF" w14:textId="77777777" w:rsidR="001B2E3D" w:rsidRPr="00C90FF3" w:rsidRDefault="001B2E3D" w:rsidP="0054652C">
            <w:pPr>
              <w:pStyle w:val="MDPI42tablebody"/>
            </w:pPr>
            <w:r w:rsidRPr="00C90FF3">
              <w:t>Translation</w:t>
            </w:r>
          </w:p>
        </w:tc>
        <w:tc>
          <w:tcPr>
            <w:tcW w:w="1177" w:type="dxa"/>
            <w:noWrap/>
            <w:hideMark/>
          </w:tcPr>
          <w:p w14:paraId="341AD46E" w14:textId="77777777" w:rsidR="001B2E3D" w:rsidRPr="00C90FF3" w:rsidRDefault="001B2E3D" w:rsidP="0054652C">
            <w:pPr>
              <w:pStyle w:val="MDPI42tablebody"/>
            </w:pPr>
            <w:r w:rsidRPr="00C90FF3">
              <w:t>Up</w:t>
            </w:r>
          </w:p>
        </w:tc>
        <w:tc>
          <w:tcPr>
            <w:tcW w:w="1195" w:type="dxa"/>
            <w:noWrap/>
            <w:hideMark/>
          </w:tcPr>
          <w:p w14:paraId="0454462C" w14:textId="77777777" w:rsidR="001B2E3D" w:rsidRPr="00C90FF3" w:rsidRDefault="001B2E3D" w:rsidP="0054652C">
            <w:pPr>
              <w:pStyle w:val="MDPI42tablebody"/>
            </w:pPr>
            <w:r w:rsidRPr="00C90FF3">
              <w:t>1.68</w:t>
            </w:r>
            <w:r>
              <w:t>×10</w:t>
            </w:r>
            <w:r w:rsidRPr="00C90FF3">
              <w:rPr>
                <w:vertAlign w:val="superscript"/>
              </w:rPr>
              <w:t>-10</w:t>
            </w:r>
          </w:p>
        </w:tc>
        <w:tc>
          <w:tcPr>
            <w:tcW w:w="1100" w:type="dxa"/>
            <w:noWrap/>
            <w:hideMark/>
          </w:tcPr>
          <w:p w14:paraId="3014C107" w14:textId="77777777" w:rsidR="001B2E3D" w:rsidRPr="00C90FF3" w:rsidRDefault="001B2E3D" w:rsidP="0054652C">
            <w:pPr>
              <w:pStyle w:val="MDPI42tablebody"/>
            </w:pPr>
            <w:r w:rsidRPr="00C90FF3">
              <w:t>292</w:t>
            </w:r>
          </w:p>
        </w:tc>
        <w:tc>
          <w:tcPr>
            <w:tcW w:w="2007" w:type="dxa"/>
            <w:noWrap/>
            <w:hideMark/>
          </w:tcPr>
          <w:p w14:paraId="273E087B" w14:textId="77777777" w:rsidR="001B2E3D" w:rsidRPr="00C90FF3" w:rsidRDefault="001B2E3D" w:rsidP="0054652C">
            <w:pPr>
              <w:pStyle w:val="MDPI42tablebody"/>
            </w:pPr>
            <w:r w:rsidRPr="00C90FF3">
              <w:t>94</w:t>
            </w:r>
          </w:p>
        </w:tc>
      </w:tr>
      <w:tr w:rsidR="001B2E3D" w:rsidRPr="00C90FF3" w14:paraId="083BA138" w14:textId="77777777" w:rsidTr="0054652C">
        <w:trPr>
          <w:trHeight w:val="320"/>
        </w:trPr>
        <w:tc>
          <w:tcPr>
            <w:tcW w:w="3015" w:type="dxa"/>
            <w:noWrap/>
            <w:hideMark/>
          </w:tcPr>
          <w:p w14:paraId="28D6AF63" w14:textId="77777777" w:rsidR="001B2E3D" w:rsidRPr="00C90FF3" w:rsidRDefault="001B2E3D" w:rsidP="0054652C">
            <w:pPr>
              <w:pStyle w:val="MDPI42tablebody"/>
            </w:pPr>
            <w:r w:rsidRPr="00C90FF3">
              <w:t>Response to elevated platelet cytosolic Ca2+</w:t>
            </w:r>
          </w:p>
        </w:tc>
        <w:tc>
          <w:tcPr>
            <w:tcW w:w="1177" w:type="dxa"/>
            <w:noWrap/>
            <w:hideMark/>
          </w:tcPr>
          <w:p w14:paraId="4F132A4D" w14:textId="77777777" w:rsidR="001B2E3D" w:rsidRPr="00C90FF3" w:rsidRDefault="001B2E3D" w:rsidP="0054652C">
            <w:pPr>
              <w:pStyle w:val="MDPI42tablebody"/>
            </w:pPr>
            <w:r w:rsidRPr="00C90FF3">
              <w:t>Down</w:t>
            </w:r>
          </w:p>
        </w:tc>
        <w:tc>
          <w:tcPr>
            <w:tcW w:w="1195" w:type="dxa"/>
            <w:noWrap/>
            <w:hideMark/>
          </w:tcPr>
          <w:p w14:paraId="2D4AB4CC" w14:textId="77777777" w:rsidR="001B2E3D" w:rsidRPr="00C90FF3" w:rsidRDefault="001B2E3D" w:rsidP="0054652C">
            <w:pPr>
              <w:pStyle w:val="MDPI42tablebody"/>
            </w:pPr>
            <w:r w:rsidRPr="00C90FF3">
              <w:t>3.61</w:t>
            </w:r>
            <w:r>
              <w:t>×10</w:t>
            </w:r>
            <w:r w:rsidRPr="00C90FF3">
              <w:rPr>
                <w:vertAlign w:val="superscript"/>
              </w:rPr>
              <w:t>-09</w:t>
            </w:r>
          </w:p>
        </w:tc>
        <w:tc>
          <w:tcPr>
            <w:tcW w:w="1100" w:type="dxa"/>
            <w:noWrap/>
            <w:hideMark/>
          </w:tcPr>
          <w:p w14:paraId="2606D45F" w14:textId="77777777" w:rsidR="001B2E3D" w:rsidRPr="00C90FF3" w:rsidRDefault="001B2E3D" w:rsidP="0054652C">
            <w:pPr>
              <w:pStyle w:val="MDPI42tablebody"/>
            </w:pPr>
            <w:r w:rsidRPr="00C90FF3">
              <w:t>130</w:t>
            </w:r>
          </w:p>
        </w:tc>
        <w:tc>
          <w:tcPr>
            <w:tcW w:w="2007" w:type="dxa"/>
            <w:noWrap/>
            <w:hideMark/>
          </w:tcPr>
          <w:p w14:paraId="6F0E0751" w14:textId="77777777" w:rsidR="001B2E3D" w:rsidRPr="00C90FF3" w:rsidRDefault="001B2E3D" w:rsidP="0054652C">
            <w:pPr>
              <w:pStyle w:val="MDPI42tablebody"/>
            </w:pPr>
            <w:r w:rsidRPr="00C90FF3">
              <w:t>46</w:t>
            </w:r>
          </w:p>
        </w:tc>
      </w:tr>
      <w:tr w:rsidR="001B2E3D" w:rsidRPr="00C90FF3" w14:paraId="74452ACC" w14:textId="77777777" w:rsidTr="0054652C">
        <w:trPr>
          <w:trHeight w:val="320"/>
        </w:trPr>
        <w:tc>
          <w:tcPr>
            <w:tcW w:w="3015" w:type="dxa"/>
            <w:noWrap/>
            <w:hideMark/>
          </w:tcPr>
          <w:p w14:paraId="72A49F4F" w14:textId="77777777" w:rsidR="001B2E3D" w:rsidRPr="00C90FF3" w:rsidRDefault="001B2E3D" w:rsidP="0054652C">
            <w:pPr>
              <w:pStyle w:val="MDPI42tablebody"/>
            </w:pPr>
            <w:r w:rsidRPr="00C90FF3">
              <w:t>Signaling by Receptor Tyrosine Kinases</w:t>
            </w:r>
          </w:p>
        </w:tc>
        <w:tc>
          <w:tcPr>
            <w:tcW w:w="1177" w:type="dxa"/>
            <w:noWrap/>
            <w:hideMark/>
          </w:tcPr>
          <w:p w14:paraId="30807BDB" w14:textId="77777777" w:rsidR="001B2E3D" w:rsidRPr="00C90FF3" w:rsidRDefault="001B2E3D" w:rsidP="0054652C">
            <w:pPr>
              <w:pStyle w:val="MDPI42tablebody"/>
            </w:pPr>
            <w:r w:rsidRPr="00C90FF3">
              <w:t>Down</w:t>
            </w:r>
          </w:p>
        </w:tc>
        <w:tc>
          <w:tcPr>
            <w:tcW w:w="1195" w:type="dxa"/>
            <w:noWrap/>
            <w:hideMark/>
          </w:tcPr>
          <w:p w14:paraId="4C1C5899" w14:textId="77777777" w:rsidR="001B2E3D" w:rsidRPr="00C90FF3" w:rsidRDefault="001B2E3D" w:rsidP="0054652C">
            <w:pPr>
              <w:pStyle w:val="MDPI42tablebody"/>
            </w:pPr>
            <w:r w:rsidRPr="00C90FF3">
              <w:t>3.99</w:t>
            </w:r>
            <w:r>
              <w:t>×10</w:t>
            </w:r>
            <w:r w:rsidRPr="00C90FF3">
              <w:rPr>
                <w:vertAlign w:val="superscript"/>
              </w:rPr>
              <w:t>-09</w:t>
            </w:r>
          </w:p>
        </w:tc>
        <w:tc>
          <w:tcPr>
            <w:tcW w:w="1100" w:type="dxa"/>
            <w:noWrap/>
            <w:hideMark/>
          </w:tcPr>
          <w:p w14:paraId="767FCFD4" w14:textId="77777777" w:rsidR="001B2E3D" w:rsidRPr="00C90FF3" w:rsidRDefault="001B2E3D" w:rsidP="0054652C">
            <w:pPr>
              <w:pStyle w:val="MDPI42tablebody"/>
            </w:pPr>
            <w:r w:rsidRPr="00C90FF3">
              <w:t>502</w:t>
            </w:r>
          </w:p>
        </w:tc>
        <w:tc>
          <w:tcPr>
            <w:tcW w:w="2007" w:type="dxa"/>
            <w:noWrap/>
            <w:hideMark/>
          </w:tcPr>
          <w:p w14:paraId="2054E796" w14:textId="77777777" w:rsidR="001B2E3D" w:rsidRPr="00C90FF3" w:rsidRDefault="001B2E3D" w:rsidP="0054652C">
            <w:pPr>
              <w:pStyle w:val="MDPI42tablebody"/>
            </w:pPr>
            <w:r w:rsidRPr="00C90FF3">
              <w:t>115</w:t>
            </w:r>
          </w:p>
        </w:tc>
      </w:tr>
      <w:tr w:rsidR="001B2E3D" w:rsidRPr="00C90FF3" w14:paraId="30FE9D3A" w14:textId="77777777" w:rsidTr="0054652C">
        <w:trPr>
          <w:trHeight w:val="320"/>
        </w:trPr>
        <w:tc>
          <w:tcPr>
            <w:tcW w:w="3015" w:type="dxa"/>
            <w:noWrap/>
            <w:hideMark/>
          </w:tcPr>
          <w:p w14:paraId="1C87D4FD" w14:textId="77777777" w:rsidR="001B2E3D" w:rsidRPr="00C90FF3" w:rsidRDefault="001B2E3D" w:rsidP="0054652C">
            <w:pPr>
              <w:pStyle w:val="MDPI42tablebody"/>
            </w:pPr>
            <w:r w:rsidRPr="00C90FF3">
              <w:t xml:space="preserve">Platelet degranulation </w:t>
            </w:r>
          </w:p>
        </w:tc>
        <w:tc>
          <w:tcPr>
            <w:tcW w:w="1177" w:type="dxa"/>
            <w:noWrap/>
            <w:hideMark/>
          </w:tcPr>
          <w:p w14:paraId="2202B193" w14:textId="77777777" w:rsidR="001B2E3D" w:rsidRPr="00C90FF3" w:rsidRDefault="001B2E3D" w:rsidP="0054652C">
            <w:pPr>
              <w:pStyle w:val="MDPI42tablebody"/>
            </w:pPr>
            <w:r w:rsidRPr="00C90FF3">
              <w:t>Down</w:t>
            </w:r>
          </w:p>
        </w:tc>
        <w:tc>
          <w:tcPr>
            <w:tcW w:w="1195" w:type="dxa"/>
            <w:noWrap/>
            <w:hideMark/>
          </w:tcPr>
          <w:p w14:paraId="5C6308B3" w14:textId="77777777" w:rsidR="001B2E3D" w:rsidRPr="00C90FF3" w:rsidRDefault="001B2E3D" w:rsidP="0054652C">
            <w:pPr>
              <w:pStyle w:val="MDPI42tablebody"/>
            </w:pPr>
            <w:r w:rsidRPr="00C90FF3">
              <w:t>1.27</w:t>
            </w:r>
            <w:r>
              <w:t>×10</w:t>
            </w:r>
            <w:r w:rsidRPr="00C90FF3">
              <w:rPr>
                <w:vertAlign w:val="superscript"/>
              </w:rPr>
              <w:t>-08</w:t>
            </w:r>
          </w:p>
        </w:tc>
        <w:tc>
          <w:tcPr>
            <w:tcW w:w="1100" w:type="dxa"/>
            <w:noWrap/>
            <w:hideMark/>
          </w:tcPr>
          <w:p w14:paraId="5E51B2FC" w14:textId="77777777" w:rsidR="001B2E3D" w:rsidRPr="00C90FF3" w:rsidRDefault="001B2E3D" w:rsidP="0054652C">
            <w:pPr>
              <w:pStyle w:val="MDPI42tablebody"/>
            </w:pPr>
            <w:r w:rsidRPr="00C90FF3">
              <w:t>125</w:t>
            </w:r>
          </w:p>
        </w:tc>
        <w:tc>
          <w:tcPr>
            <w:tcW w:w="2007" w:type="dxa"/>
            <w:noWrap/>
            <w:hideMark/>
          </w:tcPr>
          <w:p w14:paraId="7F4C6654" w14:textId="77777777" w:rsidR="001B2E3D" w:rsidRPr="00C90FF3" w:rsidRDefault="001B2E3D" w:rsidP="0054652C">
            <w:pPr>
              <w:pStyle w:val="MDPI42tablebody"/>
            </w:pPr>
            <w:r w:rsidRPr="00C90FF3">
              <w:t>44</w:t>
            </w:r>
          </w:p>
        </w:tc>
      </w:tr>
      <w:tr w:rsidR="001B2E3D" w:rsidRPr="00C90FF3" w14:paraId="4269D1AD" w14:textId="77777777" w:rsidTr="0054652C">
        <w:trPr>
          <w:trHeight w:val="320"/>
        </w:trPr>
        <w:tc>
          <w:tcPr>
            <w:tcW w:w="3015" w:type="dxa"/>
            <w:noWrap/>
            <w:hideMark/>
          </w:tcPr>
          <w:p w14:paraId="32E28586" w14:textId="77777777" w:rsidR="001B2E3D" w:rsidRPr="00C90FF3" w:rsidRDefault="001B2E3D" w:rsidP="0054652C">
            <w:pPr>
              <w:pStyle w:val="MDPI42tablebody"/>
            </w:pPr>
            <w:r w:rsidRPr="00C90FF3">
              <w:t>Hemostasis</w:t>
            </w:r>
          </w:p>
        </w:tc>
        <w:tc>
          <w:tcPr>
            <w:tcW w:w="1177" w:type="dxa"/>
            <w:noWrap/>
            <w:hideMark/>
          </w:tcPr>
          <w:p w14:paraId="37293C26" w14:textId="77777777" w:rsidR="001B2E3D" w:rsidRPr="00C90FF3" w:rsidRDefault="001B2E3D" w:rsidP="0054652C">
            <w:pPr>
              <w:pStyle w:val="MDPI42tablebody"/>
            </w:pPr>
            <w:r w:rsidRPr="00C90FF3">
              <w:t>Down</w:t>
            </w:r>
          </w:p>
        </w:tc>
        <w:tc>
          <w:tcPr>
            <w:tcW w:w="1195" w:type="dxa"/>
            <w:noWrap/>
            <w:hideMark/>
          </w:tcPr>
          <w:p w14:paraId="43F548CF" w14:textId="77777777" w:rsidR="001B2E3D" w:rsidRPr="00C90FF3" w:rsidRDefault="001B2E3D" w:rsidP="0054652C">
            <w:pPr>
              <w:pStyle w:val="MDPI42tablebody"/>
            </w:pPr>
            <w:r w:rsidRPr="00C90FF3">
              <w:t>3.12</w:t>
            </w:r>
            <w:r>
              <w:t>×10</w:t>
            </w:r>
            <w:r w:rsidRPr="00C90FF3">
              <w:rPr>
                <w:vertAlign w:val="superscript"/>
              </w:rPr>
              <w:t>-08</w:t>
            </w:r>
          </w:p>
        </w:tc>
        <w:tc>
          <w:tcPr>
            <w:tcW w:w="1100" w:type="dxa"/>
            <w:noWrap/>
            <w:hideMark/>
          </w:tcPr>
          <w:p w14:paraId="33F70039" w14:textId="77777777" w:rsidR="001B2E3D" w:rsidRPr="00C90FF3" w:rsidRDefault="001B2E3D" w:rsidP="0054652C">
            <w:pPr>
              <w:pStyle w:val="MDPI42tablebody"/>
            </w:pPr>
            <w:r w:rsidRPr="00C90FF3">
              <w:t>672</w:t>
            </w:r>
          </w:p>
        </w:tc>
        <w:tc>
          <w:tcPr>
            <w:tcW w:w="2007" w:type="dxa"/>
            <w:noWrap/>
            <w:hideMark/>
          </w:tcPr>
          <w:p w14:paraId="25D04813" w14:textId="77777777" w:rsidR="001B2E3D" w:rsidRPr="00C90FF3" w:rsidRDefault="001B2E3D" w:rsidP="0054652C">
            <w:pPr>
              <w:pStyle w:val="MDPI42tablebody"/>
            </w:pPr>
            <w:r w:rsidRPr="00C90FF3">
              <w:t>140</w:t>
            </w:r>
          </w:p>
        </w:tc>
      </w:tr>
      <w:tr w:rsidR="001B2E3D" w:rsidRPr="00C90FF3" w14:paraId="78143BDF" w14:textId="77777777" w:rsidTr="0054652C">
        <w:trPr>
          <w:trHeight w:val="320"/>
        </w:trPr>
        <w:tc>
          <w:tcPr>
            <w:tcW w:w="3015" w:type="dxa"/>
            <w:noWrap/>
            <w:hideMark/>
          </w:tcPr>
          <w:p w14:paraId="709DAC57" w14:textId="77777777" w:rsidR="001B2E3D" w:rsidRPr="00C90FF3" w:rsidRDefault="001B2E3D" w:rsidP="0054652C">
            <w:pPr>
              <w:pStyle w:val="MDPI42tablebody"/>
            </w:pPr>
            <w:r w:rsidRPr="00C90FF3">
              <w:t>DNA Replication</w:t>
            </w:r>
          </w:p>
        </w:tc>
        <w:tc>
          <w:tcPr>
            <w:tcW w:w="1177" w:type="dxa"/>
            <w:noWrap/>
            <w:hideMark/>
          </w:tcPr>
          <w:p w14:paraId="6BE98548" w14:textId="77777777" w:rsidR="001B2E3D" w:rsidRPr="00C90FF3" w:rsidRDefault="001B2E3D" w:rsidP="0054652C">
            <w:pPr>
              <w:pStyle w:val="MDPI42tablebody"/>
            </w:pPr>
            <w:r w:rsidRPr="00C90FF3">
              <w:t>Up</w:t>
            </w:r>
          </w:p>
        </w:tc>
        <w:tc>
          <w:tcPr>
            <w:tcW w:w="1195" w:type="dxa"/>
            <w:noWrap/>
            <w:hideMark/>
          </w:tcPr>
          <w:p w14:paraId="78AB08C6" w14:textId="77777777" w:rsidR="001B2E3D" w:rsidRPr="00C90FF3" w:rsidRDefault="001B2E3D" w:rsidP="0054652C">
            <w:pPr>
              <w:pStyle w:val="MDPI42tablebody"/>
            </w:pPr>
            <w:r w:rsidRPr="00C90FF3">
              <w:t>3.40</w:t>
            </w:r>
            <w:r>
              <w:t>×10</w:t>
            </w:r>
            <w:r w:rsidRPr="00C90FF3">
              <w:rPr>
                <w:vertAlign w:val="superscript"/>
              </w:rPr>
              <w:t>-08</w:t>
            </w:r>
          </w:p>
        </w:tc>
        <w:tc>
          <w:tcPr>
            <w:tcW w:w="1100" w:type="dxa"/>
            <w:noWrap/>
            <w:hideMark/>
          </w:tcPr>
          <w:p w14:paraId="547C8A3E" w14:textId="77777777" w:rsidR="001B2E3D" w:rsidRPr="00C90FF3" w:rsidRDefault="001B2E3D" w:rsidP="0054652C">
            <w:pPr>
              <w:pStyle w:val="MDPI42tablebody"/>
            </w:pPr>
            <w:r w:rsidRPr="00C90FF3">
              <w:t>128</w:t>
            </w:r>
          </w:p>
        </w:tc>
        <w:tc>
          <w:tcPr>
            <w:tcW w:w="2007" w:type="dxa"/>
            <w:noWrap/>
            <w:hideMark/>
          </w:tcPr>
          <w:p w14:paraId="48D03F2B" w14:textId="77777777" w:rsidR="001B2E3D" w:rsidRPr="00C90FF3" w:rsidRDefault="001B2E3D" w:rsidP="0054652C">
            <w:pPr>
              <w:pStyle w:val="MDPI42tablebody"/>
            </w:pPr>
            <w:r w:rsidRPr="00C90FF3">
              <w:t>50</w:t>
            </w:r>
          </w:p>
        </w:tc>
      </w:tr>
      <w:tr w:rsidR="001B2E3D" w:rsidRPr="00C90FF3" w14:paraId="0CFCA4F0" w14:textId="77777777" w:rsidTr="0054652C">
        <w:trPr>
          <w:trHeight w:val="320"/>
        </w:trPr>
        <w:tc>
          <w:tcPr>
            <w:tcW w:w="3015" w:type="dxa"/>
            <w:noWrap/>
            <w:hideMark/>
          </w:tcPr>
          <w:p w14:paraId="3B49BF64" w14:textId="77777777" w:rsidR="001B2E3D" w:rsidRPr="00C90FF3" w:rsidRDefault="001B2E3D" w:rsidP="0054652C">
            <w:pPr>
              <w:pStyle w:val="MDPI42tablebody"/>
            </w:pPr>
            <w:r w:rsidRPr="00C90FF3">
              <w:t>Extracellular matrix organization</w:t>
            </w:r>
          </w:p>
        </w:tc>
        <w:tc>
          <w:tcPr>
            <w:tcW w:w="1177" w:type="dxa"/>
            <w:noWrap/>
            <w:hideMark/>
          </w:tcPr>
          <w:p w14:paraId="17403007" w14:textId="77777777" w:rsidR="001B2E3D" w:rsidRPr="00C90FF3" w:rsidRDefault="001B2E3D" w:rsidP="0054652C">
            <w:pPr>
              <w:pStyle w:val="MDPI42tablebody"/>
            </w:pPr>
            <w:r w:rsidRPr="00C90FF3">
              <w:t>Down</w:t>
            </w:r>
          </w:p>
        </w:tc>
        <w:tc>
          <w:tcPr>
            <w:tcW w:w="1195" w:type="dxa"/>
            <w:noWrap/>
            <w:hideMark/>
          </w:tcPr>
          <w:p w14:paraId="147F4813" w14:textId="77777777" w:rsidR="001B2E3D" w:rsidRPr="00C90FF3" w:rsidRDefault="001B2E3D" w:rsidP="0054652C">
            <w:pPr>
              <w:pStyle w:val="MDPI42tablebody"/>
            </w:pPr>
            <w:r w:rsidRPr="00C90FF3">
              <w:t>3.81</w:t>
            </w:r>
            <w:r>
              <w:t>×10</w:t>
            </w:r>
            <w:r w:rsidRPr="00C90FF3">
              <w:rPr>
                <w:vertAlign w:val="superscript"/>
              </w:rPr>
              <w:t>-08</w:t>
            </w:r>
          </w:p>
        </w:tc>
        <w:tc>
          <w:tcPr>
            <w:tcW w:w="1100" w:type="dxa"/>
            <w:noWrap/>
            <w:hideMark/>
          </w:tcPr>
          <w:p w14:paraId="71FCB7F9" w14:textId="77777777" w:rsidR="001B2E3D" w:rsidRPr="00C90FF3" w:rsidRDefault="001B2E3D" w:rsidP="0054652C">
            <w:pPr>
              <w:pStyle w:val="MDPI42tablebody"/>
            </w:pPr>
            <w:r w:rsidRPr="00C90FF3">
              <w:t>298</w:t>
            </w:r>
          </w:p>
        </w:tc>
        <w:tc>
          <w:tcPr>
            <w:tcW w:w="2007" w:type="dxa"/>
            <w:noWrap/>
            <w:hideMark/>
          </w:tcPr>
          <w:p w14:paraId="072AB8B5" w14:textId="77777777" w:rsidR="001B2E3D" w:rsidRPr="00C90FF3" w:rsidRDefault="001B2E3D" w:rsidP="0054652C">
            <w:pPr>
              <w:pStyle w:val="MDPI42tablebody"/>
            </w:pPr>
            <w:r w:rsidRPr="00C90FF3">
              <w:t>77</w:t>
            </w:r>
          </w:p>
        </w:tc>
      </w:tr>
    </w:tbl>
    <w:p w14:paraId="535052F8" w14:textId="77777777" w:rsidR="001B2E3D" w:rsidRPr="006D1F69" w:rsidRDefault="001B2E3D" w:rsidP="001B2E3D"/>
    <w:p w14:paraId="4B8BCE62" w14:textId="77777777" w:rsidR="001B2E3D" w:rsidRPr="00507BAB" w:rsidRDefault="001B2E3D" w:rsidP="001B2E3D">
      <w:pPr>
        <w:pStyle w:val="MDPI31text"/>
      </w:pPr>
    </w:p>
    <w:p w14:paraId="439A2BDF" w14:textId="136632A7" w:rsidR="001B2E3D" w:rsidRDefault="001B2E3D" w:rsidP="001B2E3D">
      <w:pPr>
        <w:pStyle w:val="MDPI21heading1"/>
      </w:pPr>
      <w:r>
        <w:t>4. Discussion</w:t>
      </w:r>
    </w:p>
    <w:p w14:paraId="0C91DA7D" w14:textId="4339E11D" w:rsidR="001B2E3D" w:rsidRDefault="001B2E3D" w:rsidP="001B2E3D">
      <w:pPr>
        <w:pStyle w:val="MDPI31text"/>
        <w:rPr>
          <w:lang w:val="en-GB"/>
        </w:rPr>
      </w:pPr>
      <w:r w:rsidRPr="00690F4D">
        <w:rPr>
          <w:lang w:val="en-GB"/>
        </w:rPr>
        <w:t xml:space="preserve">In this study we examined four large expression data sets that were taken from primary prostate cancer samples at prostatectomy for men with prostate cancer that had not received any other treatment. This data, along with relevant clinical data, was used as a proxy of the biological information that could be gathered from biopsies at the time of diagnosis. We calculated the model score from the leading </w:t>
      </w:r>
      <w:r w:rsidRPr="00690F4D">
        <w:rPr>
          <w:rFonts w:cs="Arial"/>
          <w:lang w:val="en-GB"/>
        </w:rPr>
        <w:t xml:space="preserve">clinical </w:t>
      </w:r>
      <w:r w:rsidRPr="00690F4D">
        <w:rPr>
          <w:lang w:val="en-GB"/>
        </w:rPr>
        <w:t xml:space="preserve">multivariable model, PREDICT prostate and the poor prognosis DESNT molecular subtype. We showed the potential for the PREDICT </w:t>
      </w:r>
      <w:r w:rsidRPr="00690F4D">
        <w:rPr>
          <w:rFonts w:cs="Arial"/>
          <w:lang w:val="en-GB"/>
        </w:rPr>
        <w:t>Prostate</w:t>
      </w:r>
      <w:r w:rsidRPr="00690F4D">
        <w:rPr>
          <w:rFonts w:cs="Arial"/>
          <w:i/>
          <w:iCs/>
          <w:lang w:val="en-GB"/>
        </w:rPr>
        <w:t xml:space="preserve"> </w:t>
      </w:r>
      <w:r w:rsidRPr="00690F4D">
        <w:rPr>
          <w:lang w:val="en-GB"/>
        </w:rPr>
        <w:t xml:space="preserve">clinical model to predict disease prognosis after surgical treatment of prostate cancer. We also found that by combining the DESNT score with the PREDICT score produced a significantly better predictor of outcome following prostatectomy.  The return of prostate cancer after prostatectomy is an indication that micrometastases were present at the time of surgery </w:t>
      </w:r>
      <w:r w:rsidRPr="00690F4D">
        <w:rPr>
          <w:lang w:val="en-GB"/>
        </w:rPr>
        <w:fldChar w:fldCharType="begin"/>
      </w:r>
      <w:r w:rsidR="00C03416">
        <w:rPr>
          <w:lang w:val="en-GB"/>
        </w:rPr>
        <w:instrText xml:space="preserve"> ADDIN ZOTERO_ITEM CSL_CITATION {"citationID":"cciiNy8S","properties":{"formattedCitation":"[24]","plainCitation":"[24]","noteIndex":0},"citationItems":[{"id":7973,"uris":["http://zotero.org/users/9745539/items/6ZCP7QCH"],"itemData":{"id":7973,"type":"article-journal","abstract":"Prostate cancer shows a strong predilection to spread to the bones. Once prostate tumour cells are engrafted in the skeleton, curative therapy is no longer possible and palliative treatment becomes the only option. Herein, we review the multifactorial mechanisms and complex cellular interactions that take place inside the bone metastatic microenvironment. Emphasis is given to the detection and treatment of the micrometastatic stage of prostate cancer, as well as our recent attempts to target the bone metastasis microenvironment-related survival factors using an anti-survival factor manipulation which can increase the efficacy of anticancer therapies such as androgen ablation therapy and chemotherapy in advanced prostate cancer.","collection-title":"Endocrinology and the Prostate","container-title":"Best Practice &amp; Research Clinical Endocrinology &amp; Metabolism","DOI":"10.1016/j.beem.2008.01.011","ISSN":"1521-690X","issue":"2","journalAbbreviation":"Best Practice &amp; Research Clinical Endocrinology &amp; Metabolism","language":"en","page":"341-355","source":"ScienceDirect","title":"Mechanisms of bone metastasis in prostate cancer: clinical implications","title-short":"Mechanisms of bone metastasis in prostate cancer","URL":"https://www.sciencedirect.com/science/article/pii/S1521690X08000122","volume":"22","author":[{"family":"Msaouel","given":"Pavlos"},{"family":"Pissimissis","given":"Nikos"},{"family":"Halapas","given":"Antonios"},{"family":"Koutsilieris","given":"Michael"}],"accessed":{"date-parts":[["2022",10,25]]},"issued":{"date-parts":[["2008",4,1]]}}}],"schema":"https://github.com/citation-style-language/schema/raw/master/csl-citation.json"} </w:instrText>
      </w:r>
      <w:r w:rsidRPr="00690F4D">
        <w:rPr>
          <w:lang w:val="en-GB"/>
        </w:rPr>
        <w:fldChar w:fldCharType="separate"/>
      </w:r>
      <w:r w:rsidR="00C03416">
        <w:rPr>
          <w:lang w:val="en-GB"/>
        </w:rPr>
        <w:t>[24]</w:t>
      </w:r>
      <w:r w:rsidRPr="00690F4D">
        <w:rPr>
          <w:lang w:val="en-GB"/>
        </w:rPr>
        <w:fldChar w:fldCharType="end"/>
      </w:r>
      <w:r w:rsidRPr="00690F4D">
        <w:rPr>
          <w:lang w:val="en-GB"/>
        </w:rPr>
        <w:t xml:space="preserve"> – it is estimated that up to 70% of patients have disseminated tumour cells after prostatectomy </w:t>
      </w:r>
      <w:r w:rsidRPr="00690F4D">
        <w:rPr>
          <w:lang w:val="en-GB"/>
        </w:rPr>
        <w:fldChar w:fldCharType="begin"/>
      </w:r>
      <w:r w:rsidR="00C03416">
        <w:rPr>
          <w:lang w:val="en-GB"/>
        </w:rPr>
        <w:instrText xml:space="preserve"> ADDIN ZOTERO_ITEM CSL_CITATION {"citationID":"0yehNvgx","properties":{"formattedCitation":"[25]","plainCitation":"[25]","noteIndex":0},"citationItems":[{"id":7969,"uris":["http://zotero.org/users/9745539/items/V2YV8BVT"],"itemData":{"id":7969,"type":"article-journal","abstract":"Purpose: Men with apparently localized prostate cancer often relapse years after radical prostatectomy. We sought to determine if epithelial-like cells identified from bone marrow in patients after radical prostatectomy, commonly called disseminated tumor cells (DTC), were associated with biochemical recurrence.Experimental Design: We obtained bone marrow aspirates from 569 men prior to radical prostatectomy and from 34 healthy men with prostate-specific antigens &amp;lt;2.5 ng/mL to establish a comparison group. Additionally, an analytic cohort consisting of 98 patients with no evidence of disease (NED) after radical prostatectomy was established to evaluate the relationship between DTC and biochemical recurrence. Epithelial cells in the bone marrow were detected by magnetic bead enrichment with antibodies to CD45 and CD61 (negative selection) followed by antibodies to human epithelial antigen (positive selection) and confirmation with FITC-labeled anti-BerEP4 antibody.Results: DTC were present in 72% (408 of 569) of patients prior to radical prostatectomy. There was no correlation with pathologic stage, Gleason grade, or preoperative prostate-specific antigens. Three of 34 controls (8.8%) had DTC present. In patients with NED after radical prostatectomy, DTC were present in 56 of 98 (57%). DTC were detected in 12 of 14 (86%) NED patients after radical prostatectomy who subsequently suffered biochemical recurrence. The presence of DTC in NED patients was an independent predictor of recurrence (hazard ratio 6.9; 95% confidence interval, 1.03-45.9).Conclusions: Approximately 70% of men undergoing radical prostatectomy had DTC detected in their bone marrow prior to surgery, suggesting that these cells escape early in the disease. Although preoperative DTC status does not correlate with pathologic risk factors, persistence of DTC after radical prostatectomy in NED patients was an independent predictor of recurrence.","container-title":"Clinical Cancer Research","DOI":"10.1158/1078-0432.CCR-08-1754","ISSN":"1078-0432","issue":"2","journalAbbreviation":"Clinical Cancer Research","page":"677-683","source":"Silverchair","title":"Disseminated Tumor Cells in Prostate Cancer Patients after Radical Prostatectomy and without Evidence of Disease Predicts Biochemical Recurrence","URL":"https://doi.org/10.1158/1078-0432.CCR-08-1754","volume":"15","author":[{"family":"Morgan","given":"Todd M."},{"family":"Lange","given":"Paul H."},{"family":"Porter","given":"Michael P."},{"family":"Lin","given":"Daniel W."},{"family":"Ellis","given":"William J."},{"family":"Gallaher","given":"Ian S."},{"family":"Vessella","given":"Robert L."}],"accessed":{"date-parts":[["2022",10,25]]},"issued":{"date-parts":[["2009",1,15]]}}}],"schema":"https://github.com/citation-style-language/schema/raw/master/csl-citation.json"} </w:instrText>
      </w:r>
      <w:r w:rsidRPr="00690F4D">
        <w:rPr>
          <w:lang w:val="en-GB"/>
        </w:rPr>
        <w:fldChar w:fldCharType="separate"/>
      </w:r>
      <w:r w:rsidR="00C03416">
        <w:rPr>
          <w:lang w:val="en-GB"/>
        </w:rPr>
        <w:t>[25]</w:t>
      </w:r>
      <w:r w:rsidRPr="00690F4D">
        <w:rPr>
          <w:lang w:val="en-GB"/>
        </w:rPr>
        <w:fldChar w:fldCharType="end"/>
      </w:r>
      <w:r w:rsidRPr="00690F4D">
        <w:rPr>
          <w:lang w:val="en-GB"/>
        </w:rPr>
        <w:t xml:space="preserve">.  Therefore, poor treatment response at prostatectomy may give an indication of overall disease state. Our findings are important because it suggests that we can make a better-informed decision at the </w:t>
      </w:r>
      <w:r w:rsidRPr="00690F4D">
        <w:rPr>
          <w:lang w:val="en-GB"/>
        </w:rPr>
        <w:lastRenderedPageBreak/>
        <w:t>time of diagnosis of whether to perform radical treatment or not if molecular information is included.</w:t>
      </w:r>
    </w:p>
    <w:p w14:paraId="5277A408" w14:textId="77777777" w:rsidR="001B2E3D" w:rsidRPr="00690F4D" w:rsidRDefault="001B2E3D" w:rsidP="001B2E3D">
      <w:pPr>
        <w:pStyle w:val="MDPI31text"/>
        <w:rPr>
          <w:lang w:val="en-GB"/>
        </w:rPr>
      </w:pPr>
      <w:r w:rsidRPr="00690F4D">
        <w:rPr>
          <w:lang w:val="en-GB"/>
        </w:rPr>
        <w:t xml:space="preserve"> </w:t>
      </w:r>
    </w:p>
    <w:p w14:paraId="52DCB0B4" w14:textId="77777777" w:rsidR="001B2E3D" w:rsidRDefault="001B2E3D" w:rsidP="001B2E3D">
      <w:pPr>
        <w:pStyle w:val="MDPI31text"/>
        <w:rPr>
          <w:lang w:val="en-GB"/>
        </w:rPr>
      </w:pPr>
      <w:r w:rsidRPr="00690F4D">
        <w:rPr>
          <w:lang w:val="en-GB"/>
        </w:rPr>
        <w:t xml:space="preserve">For the first time the biological mechanisms behind an increased probability of mortality at ten years after diagnosis caused by prostate cancer (i.e. a higher PREDICT score) has been examined. The top 10 differentially expressed genes are the downregulation of </w:t>
      </w:r>
      <w:r w:rsidRPr="00690F4D">
        <w:rPr>
          <w:i/>
          <w:iCs/>
          <w:lang w:val="en-GB"/>
        </w:rPr>
        <w:t>ANPEP, CD38, SLC22A3, NPY, MSMB, MT1G, MT1M, KRT15</w:t>
      </w:r>
      <w:r w:rsidRPr="00690F4D">
        <w:rPr>
          <w:lang w:val="en-GB"/>
        </w:rPr>
        <w:t xml:space="preserve">, &amp; </w:t>
      </w:r>
      <w:r w:rsidRPr="00690F4D">
        <w:rPr>
          <w:i/>
          <w:iCs/>
          <w:lang w:val="en-GB"/>
        </w:rPr>
        <w:t>SFRP4</w:t>
      </w:r>
      <w:r w:rsidRPr="00690F4D">
        <w:rPr>
          <w:lang w:val="en-GB"/>
        </w:rPr>
        <w:t xml:space="preserve"> and upregulation of </w:t>
      </w:r>
      <w:r w:rsidRPr="00690F4D">
        <w:rPr>
          <w:i/>
          <w:iCs/>
          <w:lang w:val="en-GB"/>
        </w:rPr>
        <w:t>COMP</w:t>
      </w:r>
      <w:r w:rsidRPr="00690F4D">
        <w:rPr>
          <w:lang w:val="en-GB"/>
        </w:rPr>
        <w:t xml:space="preserve">. </w:t>
      </w:r>
    </w:p>
    <w:p w14:paraId="7773D582" w14:textId="77777777" w:rsidR="001B2E3D" w:rsidRPr="00690F4D" w:rsidRDefault="001B2E3D" w:rsidP="001B2E3D">
      <w:pPr>
        <w:pStyle w:val="MDPI31text"/>
        <w:rPr>
          <w:lang w:val="en-GB"/>
        </w:rPr>
      </w:pPr>
    </w:p>
    <w:p w14:paraId="31D2E08D" w14:textId="7AD0518C" w:rsidR="001B2E3D" w:rsidRDefault="001B2E3D" w:rsidP="001B2E3D">
      <w:pPr>
        <w:pStyle w:val="MDPI31text"/>
        <w:rPr>
          <w:lang w:val="en-GB"/>
        </w:rPr>
      </w:pPr>
      <w:r w:rsidRPr="00690F4D">
        <w:rPr>
          <w:i/>
          <w:iCs/>
          <w:lang w:val="en-GB"/>
        </w:rPr>
        <w:t>ANPEP</w:t>
      </w:r>
      <w:r w:rsidRPr="00690F4D">
        <w:rPr>
          <w:lang w:val="en-GB"/>
        </w:rPr>
        <w:t xml:space="preserve"> was the top-ranked downregulated gene in both PREDICT and DESNT analyses. Aminopeptidase N (APN) is the enzyme encoded by </w:t>
      </w:r>
      <w:r w:rsidRPr="00690F4D">
        <w:rPr>
          <w:i/>
          <w:iCs/>
          <w:lang w:val="en-GB"/>
        </w:rPr>
        <w:t xml:space="preserve">ANPEP </w:t>
      </w:r>
      <w:r w:rsidRPr="00690F4D">
        <w:rPr>
          <w:lang w:val="en-GB"/>
        </w:rPr>
        <w:t xml:space="preserve">that belongs to a group of widely expressed ectopeptidases </w:t>
      </w:r>
      <w:r w:rsidRPr="00690F4D">
        <w:rPr>
          <w:lang w:val="en-GB"/>
        </w:rPr>
        <w:fldChar w:fldCharType="begin"/>
      </w:r>
      <w:r w:rsidR="00C03416">
        <w:rPr>
          <w:lang w:val="en-GB"/>
        </w:rPr>
        <w:instrText xml:space="preserve"> ADDIN ZOTERO_ITEM CSL_CITATION {"citationID":"CEB2simp","properties":{"formattedCitation":"[26]","plainCitation":"[26]","noteIndex":0},"citationItems":[{"id":7917,"uris":["http://zotero.org/users/9745539/items/HYWQSBWZ"],"itemData":{"id":7917,"type":"article-journal","abstract":"Cell membrane-bound proteolytic enzymes (ectopeptidases) are integral membrane proteins, orientated asymmetrically with the catalytic site exposed to the extracellular surface, which enables a versatile range of physiological and pathological functions. Ectopeptidases may regulate the release of many growth factors and their receptors into the circulation, as well as activating or inactivating circulating signalling molecules, thereby regulating the availability of ligands for the corresponding receptors. Additionally, many of these ectopeptidases have functions not limited to proteolysis, but are able in themselves to function as receptors, transducing intracellular signals. A versatile range of functions, such as the modulation of cell-signalling, matrix degradation, cell adhesion and migration, which are particularly important for tumour cell growth and dissemination, are attributed largely to the ectopeptidases. Even a minor disruption in the normal proteolytic equilibrium can influence tumor progression, and a range of ectopeptidases, including neutral endopeptidase 24.11, aminopeptidase N, dipeptidyl peptidase IV, angiotensin-converting enzyme, and the disintegrin-metalloproteinases, have been shown to be involved in tumour development and metastasis. The ability to degrade and inactivate peptide hormones and growth factors, with the resultant modulation of the tumour-host interface, may play an important role in the pathogenesis, development or progression of a range of cancers, and the extracellular orientation of the ectopeptidases makes them particularly accessible, and therefore interesting, with regard to therapeutical applications.","container-title":"Histology and Histopathology","DOI":"10.14670/HH-21.1339","ISSN":"1699-5848","issue":"12","journalAbbreviation":"Histol Histopathol","language":"eng","note":"PMID: 16977585","page":"1339-1353","source":"PubMed","title":"Ectopeptidases in tumour biology: a review","title-short":"Ectopeptidases in tumour biology","volume":"21","author":[{"family":"Carl-McGrath","given":"S."},{"family":"Lendeckel","given":"U."},{"family":"Ebert","given":"M."},{"family":"Röcken","given":"C."}],"issued":{"date-parts":[["2006",12]]}}}],"schema":"https://github.com/citation-style-language/schema/raw/master/csl-citation.json"} </w:instrText>
      </w:r>
      <w:r w:rsidRPr="00690F4D">
        <w:rPr>
          <w:lang w:val="en-GB"/>
        </w:rPr>
        <w:fldChar w:fldCharType="separate"/>
      </w:r>
      <w:r w:rsidR="00C03416">
        <w:rPr>
          <w:lang w:val="en-GB"/>
        </w:rPr>
        <w:t>[26]</w:t>
      </w:r>
      <w:r w:rsidRPr="00690F4D">
        <w:rPr>
          <w:lang w:val="en-GB"/>
        </w:rPr>
        <w:fldChar w:fldCharType="end"/>
      </w:r>
      <w:r w:rsidRPr="00690F4D">
        <w:rPr>
          <w:lang w:val="en-GB"/>
        </w:rPr>
        <w:t xml:space="preserve">. </w:t>
      </w:r>
      <w:r w:rsidRPr="00690F4D">
        <w:rPr>
          <w:i/>
          <w:iCs/>
          <w:lang w:val="en-GB"/>
        </w:rPr>
        <w:t>APN</w:t>
      </w:r>
      <w:r w:rsidRPr="00690F4D">
        <w:rPr>
          <w:lang w:val="en-GB"/>
        </w:rPr>
        <w:t xml:space="preserve"> is multifunctional for the post-secretory processing of neuropeptides and regulating the access of these molecules to cellular receptors. The role of </w:t>
      </w:r>
      <w:r w:rsidRPr="00690F4D">
        <w:rPr>
          <w:i/>
          <w:iCs/>
          <w:lang w:val="en-GB"/>
        </w:rPr>
        <w:t>APN</w:t>
      </w:r>
      <w:r w:rsidRPr="00690F4D">
        <w:rPr>
          <w:lang w:val="en-GB"/>
        </w:rPr>
        <w:t xml:space="preserve"> positively associated with intracellular signalling and has been shown to play an important role in metastasis of several malignancies, including prostate cancer through neoangiogenesis </w:t>
      </w:r>
      <w:r w:rsidRPr="00690F4D">
        <w:rPr>
          <w:lang w:val="en-GB"/>
        </w:rPr>
        <w:fldChar w:fldCharType="begin"/>
      </w:r>
      <w:r w:rsidR="00C03416">
        <w:rPr>
          <w:lang w:val="en-GB"/>
        </w:rPr>
        <w:instrText xml:space="preserve"> ADDIN ZOTERO_ITEM CSL_CITATION {"citationID":"XslqeNIs","properties":{"formattedCitation":"[27\\uc0\\u8211{}29]","plainCitation":"[27–29]","noteIndex":0},"citationItems":[{"id":7919,"uris":["http://zotero.org/users/9745539/items/QWZMNXM4"],"itemData":{"id":7919,"type":"article-journal","abstract":"A cell surface protein expressed on melanoma cells, but not on normal melanocytes, was biochemically and functionally characterized. Microsequencing of the M(r) 143,000 affinity-purified protein revealed amino acid sequence identity to aminopeptidase N (EC 3.4.11.2). In situ expression, indirect immunofluorescence, and Western blotting demonstrated that aminopeptidase N is tightly associated with extracellular matrix components. A specific polyclonal antiserum and the competitive inhibitors of aminopeptidase N, bestatin and amastatin, inhibited invasion of an aminopeptidase N-expressing metastatic melanoma cell line through the reconstituted basement membrane Matrigel in a dose-dependent manner. In vitro digestion of Matrigel with affinity-purified aminopeptidase N revealed an enzyme-sensitive M(r) 160,000 protein. These experiments suggest a role for aminopeptidase N in melanoma invasion of basement membranes.","container-title":"Cancer Research","ISSN":"0008-5472","issue":"6","journalAbbreviation":"Cancer Res","language":"eng","note":"PMID: 8095183","page":"1450-1455","source":"PubMed","title":"Biochemical and functional characterization of aminopeptidase N expressed by human melanoma cells","volume":"53","author":[{"family":"Menrad","given":"A."},{"family":"Speicher","given":"D."},{"family":"Wacker","given":"J."},{"family":"Herlyn","given":"M."}],"issued":{"date-parts":[["1993",3,15]]}}},{"id":7921,"uris":["http://zotero.org/users/9745539/items/ZDZ9Z3HP"],"itemData":{"id":7921,"type":"article-journal","abstract":"Aminopeptidase N (AP-N) degrades collagen type IV and is proposed to play a role in tumor invasion. However, the precise functions of AP-N in tumor cells and the relationship of AP-N to prostate cancer remains unclear. In our study, we examined a possible role for zinc in the regulation of AP-N enzymatic activity in relation to tumor cell invasion in human prostate. AP-N purified from human prostate was irreversibly inhibited by low concentrations of zinc (Ki = 11.2 microM) and bestatin. AP-N, which has zinc in the active center, was also inhibited by the chelating agents, EDTA, o-phenanthroline and EGTA. EDTA was shown to remove zinc from the enzyme. When the effects of zinc and bestatin on invasion of PC-3 cells were investigated in vitro using a Transwell cell-culture chamber, zinc and bestatin effectively suppressed cell invasion into Matrigel at the concentration range of 50-100 microM. These results strongly suggest that the suppression of PC-3 cell invasion by zinc is based on the inhibition of AP-N activity by zinc. We also evaluated the expression of AP-N to investigate the relationship with the progression of prostate disease in human cancerous prostate. AP-N was found to be located at the cytoplasmic membranes of prostate gland epithelial cells and to be expressed more in prostate cancer, while the expression of prostate-specific antigen (PSA), which is a useful marker for prostate cancer, was shown in normal and cancer tissues, suggesting that AP-N is potentially a good histological marker of prostate cancer. Thus, highly expressed AP-N in human cancerous prostate probably plays an important role in the invasion and metastasis of prostate cancer cells.","container-title":"International Journal of Cancer","ISSN":"0020-7136","issue":"1","journalAbbreviation":"Int J Cancer","language":"eng","note":"PMID: 11279605","page":"49-54","source":"PubMed","title":"Aminopeptidase N regulated by zinc in human prostate participates in tumor cell invasion","volume":"92","author":[{"family":"Ishii","given":"K."},{"family":"Usui","given":"S."},{"family":"Sugimura","given":"Y."},{"family":"Yoshida","given":"S."},{"family":"Hioki","given":"T."},{"family":"Tatematsu","given":"M."},{"family":"Yamamoto","given":"H."},{"family":"Hirano","given":"K."}],"issued":{"date-parts":[["2001",4,1]]}}},{"id":7923,"uris":["http://zotero.org/users/9745539/items/A6XN8X3G"],"itemData":{"id":7923,"type":"article-journal","abstract":"BACKGROUND &amp; AIMS: The molecular basis of cell motility is highly complex and is controlled by a number of molecular systems, whereas angiogenesis is an important biological component of tumor progression. The aims of this study were to investigate the possible involvement of proteins at the cell surface in controlling cell motility and angiogenesis, and to identify the cell surface molecules involved in gastrointestinal tumors.\nMETHODS: We addressed these issues using functional monoclonal antibodies, which inhibit cell motility, endothelial cell migration, and tube formation. Furthermore, we investigated the relationship between this antigen and colon cancer, and showed the prognostic significance in human colon cancer.\nRESULTS: We established a murine monoclonal antibody MH8-11, which inhibits cell motility and in vitro angiogenesis. This epitope was a 165-kilodalton protein, and the sequencing analysis revealed that it was almost identical to aminopeptidase N (APN)/cluster of differentiation (CD) 13. APN/CD13 expression was associated with tumor status (P = 0.025). The disease-free and overall survival rate for patients with positive APN/CD13 expression tumors was significantly lower than that for patients with negative APN/CD13 expression tumors (P = 0.014, 0.033, respectively). Among 47 node-positive patients, the survival rate of patients with negative APN/CD13 expression was better than that of those with positive APN/CD13 expression.\nCONCLUSIONS: Our data suggest that APN/CD13 is involved in cell motility and angiogenesis, and APN/CD13 expression may be a useful indicator of a poor prognosis for node-positive patients with colon cancer.","container-title":"Gastroenterology","DOI":"10.1053/gast.2002.31095","ISSN":"0016-5085","issue":"2","journalAbbreviation":"Gastroenterology","language":"eng","note":"PMID: 11832452","page":"376-386","source":"PubMed","title":"Aminopeptidase N is involved in cell motility and angiogenesis: its clinical significance in human colon cancer","title-short":"Aminopeptidase N is involved in cell motility and angiogenesis","volume":"122","author":[{"family":"Hashida","given":"Hiroki"},{"family":"Takabayashi","given":"Arimichi"},{"family":"Kanai","given":"Michiyuki"},{"family":"Adachi","given":"Masashi"},{"family":"Kondo","given":"Keiichi"},{"family":"Kohno","given":"Nobuoki"},{"family":"Yamaoka","given":"Yoshio"},{"family":"Miyake","given":"Masayuki"}],"issued":{"date-parts":[["2002",2]]}}}],"schema":"https://github.com/citation-style-language/schema/raw/master/csl-citation.json"} </w:instrText>
      </w:r>
      <w:r w:rsidRPr="00690F4D">
        <w:rPr>
          <w:lang w:val="en-GB"/>
        </w:rPr>
        <w:fldChar w:fldCharType="separate"/>
      </w:r>
      <w:r w:rsidR="00C03416" w:rsidRPr="00C03416">
        <w:t>[27–29]</w:t>
      </w:r>
      <w:r w:rsidRPr="00690F4D">
        <w:rPr>
          <w:lang w:val="en-GB"/>
        </w:rPr>
        <w:fldChar w:fldCharType="end"/>
      </w:r>
      <w:r w:rsidRPr="00690F4D">
        <w:rPr>
          <w:lang w:val="en-GB"/>
        </w:rPr>
        <w:t xml:space="preserve">. Sorenson </w:t>
      </w:r>
      <w:r w:rsidRPr="00690F4D">
        <w:rPr>
          <w:i/>
          <w:iCs/>
          <w:lang w:val="en-GB"/>
        </w:rPr>
        <w:t>et al</w:t>
      </w:r>
      <w:r w:rsidRPr="00690F4D">
        <w:rPr>
          <w:lang w:val="en-GB"/>
        </w:rPr>
        <w:t>. (2013) observed a significant (</w:t>
      </w:r>
      <w:r w:rsidRPr="00690F4D">
        <w:rPr>
          <w:i/>
          <w:iCs/>
          <w:lang w:val="en-GB"/>
        </w:rPr>
        <w:t xml:space="preserve">p </w:t>
      </w:r>
      <w:r w:rsidRPr="00690F4D">
        <w:rPr>
          <w:lang w:val="en-GB"/>
        </w:rPr>
        <w:t xml:space="preserve">&lt; 0.001) downregulation of </w:t>
      </w:r>
      <w:r w:rsidRPr="00690F4D">
        <w:rPr>
          <w:i/>
          <w:iCs/>
          <w:lang w:val="en-GB"/>
        </w:rPr>
        <w:t>ANPEP</w:t>
      </w:r>
      <w:r w:rsidRPr="00690F4D">
        <w:rPr>
          <w:lang w:val="en-GB"/>
        </w:rPr>
        <w:t xml:space="preserve"> expression in prostate cancer in comparison with non- malignant prostate tissue samples </w:t>
      </w:r>
      <w:r w:rsidRPr="00690F4D">
        <w:rPr>
          <w:lang w:val="en-GB"/>
        </w:rPr>
        <w:fldChar w:fldCharType="begin"/>
      </w:r>
      <w:r w:rsidR="00C03416">
        <w:rPr>
          <w:lang w:val="en-GB"/>
        </w:rPr>
        <w:instrText xml:space="preserve"> ADDIN ZOTERO_ITEM CSL_CITATION {"citationID":"EytC8MVN","properties":{"formattedCitation":"[30]","plainCitation":"[30]","noteIndex":0},"citationItems":[{"id":7925,"uris":["http://zotero.org/users/9745539/items/Y7YZBLNL"],"itemData":{"id":7925,"type":"article-journal","abstract":"Background:\nNovel biomarkers for prostate cancer (PC) are urgently needed. This study investigates the expression, epigenetic regulation, and prognostic potential of ANPEP in PC.\n\nMethods:\nAminopeptidase N (APN; encoded by ANPEP) expression was analysed by immunohistochemistry using tissue microarrays representing 267 radical prostatectomy (RP) and 111 conservatively treated (CT) PC patients. Clinical end points were recurrence-free survival (RFS) and cancer-specific survival (CSS), respectively. The ANPEP promoter methylation levels were determined by bisulphite sequencing or MethyLight analysis in 278 nonmalignant and PC tissue samples, and in cell lines.\n\nResults:\nThe APN expression was significantly downregulated in PC compared with nonmalignant prostate tissue samples. Aberrant promoter hypermethylation was frequently observed in PC tissue samples, and 5-aza-2′-deoxycytidine induced ANPEP expression in three hypermethylated prostate cell lines, suggesting epigenetic silencing. Negative APN immunoreactivity was significantly associated with short RFS and short CSS in the RP and CT cohort, respectively, independently of routine clinicopathological predictors. Combining APN with a known angiogenesis marker (vascular endothelial growth factor or microvessel density) improved risk prediction significantly in both cohorts.\n\nConclusion:\nOur results suggest negative APN immunoreactivity as a new independent adverse prognostic factor for patients with clinically localised PC and, furthermore, that epigenetic mechanisms are involved in silencing of ANPEP in PC.","container-title":"British Journal of Cancer","DOI":"10.1038/bjc.2012.549","ISSN":"0007-0920","issue":"2","journalAbbreviation":"Br J Cancer","note":"PMID: 23322201\nPMCID: PMC3566819","page":"420-428","source":"PubMed Central","title":"Prognostic significance of aberrantly silenced ANPEP expression in prostate cancer","URL":"https://www.ncbi.nlm.nih.gov/pmc/articles/PMC3566819/","volume":"108","author":[{"family":"Sørensen","given":"K D"},{"family":"Abildgaard","given":"M O"},{"family":"Haldrup","given":"C"},{"family":"Ulhøi","given":"B P"},{"family":"Kristensen","given":"H"},{"family":"Strand","given":"S"},{"family":"Parker","given":"C"},{"family":"Høyer","given":"S"},{"family":"Borre","given":"M"},{"family":"Ørntoft","given":"T F"}],"accessed":{"date-parts":[["2022",10,21]]},"issued":{"date-parts":[["2013",2,5]]}}}],"schema":"https://github.com/citation-style-language/schema/raw/master/csl-citation.json"} </w:instrText>
      </w:r>
      <w:r w:rsidRPr="00690F4D">
        <w:rPr>
          <w:lang w:val="en-GB"/>
        </w:rPr>
        <w:fldChar w:fldCharType="separate"/>
      </w:r>
      <w:r w:rsidR="00C03416">
        <w:rPr>
          <w:lang w:val="en-GB"/>
        </w:rPr>
        <w:t>[30]</w:t>
      </w:r>
      <w:r w:rsidRPr="00690F4D">
        <w:rPr>
          <w:lang w:val="en-GB"/>
        </w:rPr>
        <w:fldChar w:fldCharType="end"/>
      </w:r>
      <w:r w:rsidRPr="00690F4D">
        <w:rPr>
          <w:lang w:val="en-GB"/>
        </w:rPr>
        <w:t xml:space="preserve">. The authors concluded that negative </w:t>
      </w:r>
      <w:r w:rsidRPr="00690F4D">
        <w:rPr>
          <w:i/>
          <w:iCs/>
          <w:lang w:val="en-GB"/>
        </w:rPr>
        <w:t>APN</w:t>
      </w:r>
      <w:r w:rsidRPr="00690F4D">
        <w:rPr>
          <w:lang w:val="en-GB"/>
        </w:rPr>
        <w:t xml:space="preserve"> immunoreactivity is a prognostic factor for patients harbouring clinically localised prostate cancer for both recurrence-free and cancer-specific survival endpoints. </w:t>
      </w:r>
    </w:p>
    <w:p w14:paraId="01FD52AC" w14:textId="77777777" w:rsidR="001B2E3D" w:rsidRPr="00690F4D" w:rsidRDefault="001B2E3D" w:rsidP="001B2E3D">
      <w:pPr>
        <w:pStyle w:val="MDPI31text"/>
        <w:rPr>
          <w:lang w:val="en-GB"/>
        </w:rPr>
      </w:pPr>
    </w:p>
    <w:p w14:paraId="6E5954F7" w14:textId="39DC42DC" w:rsidR="001B2E3D" w:rsidRDefault="001B2E3D" w:rsidP="001B2E3D">
      <w:pPr>
        <w:pStyle w:val="MDPI31text"/>
        <w:rPr>
          <w:lang w:val="en-GB"/>
        </w:rPr>
      </w:pPr>
      <w:r w:rsidRPr="00690F4D">
        <w:rPr>
          <w:lang w:val="en-GB"/>
        </w:rPr>
        <w:t xml:space="preserve">CD38 has previously been reported as a marker of the luminal cells in human prostate </w:t>
      </w:r>
      <w:r w:rsidRPr="00690F4D">
        <w:rPr>
          <w:lang w:val="en-GB"/>
        </w:rPr>
        <w:fldChar w:fldCharType="begin"/>
      </w:r>
      <w:r w:rsidR="00C03416">
        <w:rPr>
          <w:lang w:val="en-GB"/>
        </w:rPr>
        <w:instrText xml:space="preserve"> ADDIN ZOTERO_ITEM CSL_CITATION {"citationID":"rPUUBBTh","properties":{"formattedCitation":"[31]","plainCitation":"[31]","noteIndex":0},"citationItems":[{"id":7929,"uris":["http://zotero.org/users/9745539/items/L5QMFXIG"],"itemData":{"id":7929,"type":"article-journal","abstract":"Purpose\nWe characterize an undescribed antigen on prostatic epithelial cells, which is recognized by anti-CD38.\nMaterials and Methods\nNormal (3 cases), benign hyperplastic (10) and carcinomatous (10) prostatic tissues were analyzed using immunohistochemistry, immuno-electron microscopy and the Western blot test.\nResults\nComparison of prostatic and lymphatic CD38 antigen revealed identical bands at 45 kD. Electron microscopy demonstrated anti-CD38 reactivity on the cytoplasmic membrane and within the secretory vacuoles. Double labeling with anti-cytokeratin types 5/15 and 8/18 confirmed that basal and secretory normal prostatic epithelial cells express CD38. By contrast, a complete loss was found in malignant (52.8 percent), tumor-surrounding nonmalignant (16.3 percent) and benign prostatic hyperplasia derived glands (3.7 percent).\nConclusions\nCD38 is a novel prostatic antigen. Its role in intracellular calcium mobilization may contribute to smooth muscle cell contraction and/or sperm motility.","container-title":"The Journal of Urology","DOI":"10.1016/S0022-5347(01)66733-8","ISSN":"0022-5347","issue":"5","journalAbbreviation":"The Journal of Urology","language":"en","page":"1636-1641","source":"ScienceDirect","title":"High Expression of a CD38-Like Molecule in Normal Prostatic Epithelium and its Differential Loss in Benign and Malignant Disease","URL":"https://www.sciencedirect.com/science/article/pii/S0022534701667338","volume":"154","author":[{"family":"Kramer","given":"G."},{"family":"Steiner","given":"G."},{"family":"Fodinger","given":"D."},{"family":"Fiebiger","given":"E."},{"family":"Rappersberger","given":"C."},{"family":"Binder","given":"S."},{"family":"Hofbauer","given":"J."},{"family":"Marberger","given":"M."}],"accessed":{"date-parts":[["2022",10,21]]},"issued":{"date-parts":[["1995",11,1]]}}}],"schema":"https://github.com/citation-style-language/schema/raw/master/csl-citation.json"} </w:instrText>
      </w:r>
      <w:r w:rsidRPr="00690F4D">
        <w:rPr>
          <w:lang w:val="en-GB"/>
        </w:rPr>
        <w:fldChar w:fldCharType="separate"/>
      </w:r>
      <w:r w:rsidR="00C03416">
        <w:rPr>
          <w:lang w:val="en-GB"/>
        </w:rPr>
        <w:t>[31]</w:t>
      </w:r>
      <w:r w:rsidRPr="00690F4D">
        <w:rPr>
          <w:lang w:val="en-GB"/>
        </w:rPr>
        <w:fldChar w:fldCharType="end"/>
      </w:r>
      <w:r w:rsidRPr="00690F4D">
        <w:rPr>
          <w:lang w:val="en-GB"/>
        </w:rPr>
        <w:t xml:space="preserve">. Using CD38 as a marker, Liu et al. (2016) identified low expression of the gene in a progenitor-like subset of luminal cells within the human prostate that are capable of initiation of human prostate cancer in an </w:t>
      </w:r>
      <w:r w:rsidRPr="00690F4D">
        <w:rPr>
          <w:i/>
          <w:iCs/>
          <w:lang w:val="en-GB"/>
        </w:rPr>
        <w:t>in vivo</w:t>
      </w:r>
      <w:r w:rsidRPr="00690F4D">
        <w:rPr>
          <w:lang w:val="en-GB"/>
        </w:rPr>
        <w:t xml:space="preserve"> tissue-regeneration assay </w:t>
      </w:r>
      <w:r w:rsidRPr="00690F4D">
        <w:rPr>
          <w:lang w:val="en-GB"/>
        </w:rPr>
        <w:fldChar w:fldCharType="begin"/>
      </w:r>
      <w:r w:rsidR="00C03416">
        <w:rPr>
          <w:lang w:val="en-GB"/>
        </w:rPr>
        <w:instrText xml:space="preserve"> ADDIN ZOTERO_ITEM CSL_CITATION {"citationID":"sgAk0NFj","properties":{"formattedCitation":"[32]","plainCitation":"[32]","noteIndex":0},"citationItems":[{"id":7931,"uris":["http://zotero.org/users/9745539/items/HUQZKHQ3"],"itemData":{"id":7931,"type":"article-journal","container-title":"Cell Reports","DOI":"10.1016/j.celrep.2016.11.010","ISSN":"2211-1247","issue":"10","journalAbbreviation":"Cell Reports","language":"English","note":"publisher: Elsevier\nPMID: 27926864","page":"2596-2606","source":"www.cell.com","title":"Low CD38 Identifies Progenitor-like Inflammation-Associated Luminal Cells that Can Initiate Human Prostate Cancer and Predict Poor Outcome","URL":"https://www.cell.com/cell-reports/abstract/S2211-1247(16)31551-0","volume":"17","author":[{"family":"Liu","given":"Xian"},{"family":"Grogan","given":"Tristan R."},{"family":"Hieronymus","given":"Haley"},{"family":"Hashimoto","given":"Takao"},{"family":"Mottahedeh","given":"Jack"},{"family":"Cheng","given":"Donghui"},{"family":"Zhang","given":"Lijun"},{"family":"Huang","given":"Kevin"},{"family":"Stoyanova","given":"Tanya"},{"family":"Park","given":"Jung Wook"},{"family":"Shkhyan","given":"Ruzanna O."},{"family":"Nowroozizadeh","given":"Behdokht"},{"family":"Rettig","given":"Matthew B."},{"family":"Sawyers","given":"Charles L."},{"family":"Elashoff","given":"David"},{"family":"Horvath","given":"Steve"},{"family":"Huang","given":"Jiaoti"},{"family":"Witte","given":"Owen N."},{"family":"Goldstein","given":"Andrew S."}],"accessed":{"date-parts":[["2022",10,21]]},"issued":{"date-parts":[["2016",12,6]]}}}],"schema":"https://github.com/citation-style-language/schema/raw/master/csl-citation.json"} </w:instrText>
      </w:r>
      <w:r w:rsidRPr="00690F4D">
        <w:rPr>
          <w:lang w:val="en-GB"/>
        </w:rPr>
        <w:fldChar w:fldCharType="separate"/>
      </w:r>
      <w:r w:rsidR="00C03416">
        <w:rPr>
          <w:lang w:val="en-GB"/>
        </w:rPr>
        <w:t>[32]</w:t>
      </w:r>
      <w:r w:rsidRPr="00690F4D">
        <w:rPr>
          <w:lang w:val="en-GB"/>
        </w:rPr>
        <w:fldChar w:fldCharType="end"/>
      </w:r>
      <w:r w:rsidRPr="00690F4D">
        <w:rPr>
          <w:lang w:val="en-GB"/>
        </w:rPr>
        <w:t xml:space="preserve">. They also demonstrated that luminal cells with low CD38 expression are associated with disease progression and poor survival outcome in prostate cancers. </w:t>
      </w:r>
    </w:p>
    <w:p w14:paraId="741D88AE" w14:textId="77777777" w:rsidR="001B2E3D" w:rsidRPr="00690F4D" w:rsidRDefault="001B2E3D" w:rsidP="001B2E3D">
      <w:pPr>
        <w:pStyle w:val="MDPI31text"/>
        <w:rPr>
          <w:lang w:val="en-GB"/>
        </w:rPr>
      </w:pPr>
    </w:p>
    <w:p w14:paraId="2C118335" w14:textId="0C01A640" w:rsidR="001B2E3D" w:rsidRDefault="001B2E3D" w:rsidP="001B2E3D">
      <w:pPr>
        <w:pStyle w:val="MDPI31text"/>
        <w:rPr>
          <w:lang w:val="en-GB"/>
        </w:rPr>
      </w:pPr>
      <w:r w:rsidRPr="00690F4D">
        <w:rPr>
          <w:lang w:val="en-GB"/>
        </w:rPr>
        <w:t>Neuropeptide Y (</w:t>
      </w:r>
      <w:r w:rsidRPr="00690F4D">
        <w:rPr>
          <w:i/>
          <w:iCs/>
          <w:lang w:val="en-GB"/>
        </w:rPr>
        <w:t>NPY</w:t>
      </w:r>
      <w:r w:rsidRPr="00690F4D">
        <w:rPr>
          <w:lang w:val="en-GB"/>
        </w:rPr>
        <w:t xml:space="preserve">) is a gene involved in various physiological and homeostatic processes such as stress response. Liu </w:t>
      </w:r>
      <w:r w:rsidRPr="00690F4D">
        <w:rPr>
          <w:i/>
          <w:iCs/>
          <w:lang w:val="en-GB"/>
        </w:rPr>
        <w:t>et al</w:t>
      </w:r>
      <w:r w:rsidRPr="00690F4D">
        <w:rPr>
          <w:lang w:val="en-GB"/>
        </w:rPr>
        <w:t xml:space="preserve">. (2007) observed lower expression levels of </w:t>
      </w:r>
      <w:r w:rsidRPr="00690F4D">
        <w:rPr>
          <w:i/>
          <w:iCs/>
          <w:lang w:val="en-GB"/>
        </w:rPr>
        <w:t xml:space="preserve">NPY </w:t>
      </w:r>
      <w:r w:rsidRPr="00690F4D">
        <w:rPr>
          <w:lang w:val="en-GB"/>
        </w:rPr>
        <w:t xml:space="preserve">that were associated with more aggressive clinical behaviour in prostate cancer </w:t>
      </w:r>
      <w:r w:rsidRPr="00690F4D">
        <w:rPr>
          <w:lang w:val="en-GB"/>
        </w:rPr>
        <w:fldChar w:fldCharType="begin"/>
      </w:r>
      <w:r w:rsidR="00C03416">
        <w:rPr>
          <w:lang w:val="en-GB"/>
        </w:rPr>
        <w:instrText xml:space="preserve"> ADDIN ZOTERO_ITEM CSL_CITATION {"citationID":"D7tBXbAj","properties":{"formattedCitation":"[33]","plainCitation":"[33]","noteIndex":0},"citationItems":[{"id":7946,"uris":["http://zotero.org/users/9745539/items/FNLHTKQ8"],"itemData":{"id":7946,"type":"article-journal","abstract":"OBJECTIVE: To investigate molecular alterations associating with prostate carcinoma progression and potentially provide information toward more accurate prognosis/diagnosis.\nMETHODS: A set of laser captured microdissected (LCM) specimens from 300 prostate cancer (PCa) patients undergoing radical prostatectomy (RP) were defined. Ten patients representing \"aggressive\" PCa, and 10 representing \"non-aggressive\" PCa were selected based on prostate-specific antigen (PSA) recurrence, Gleason score, pathological stage and tumor cell differentiation, with matched patient age and race between the two groups. Normal and neoplastic prostate epithelial cells were collected with LCM from frozen tissue slides obtained from the RP specimens. The expressions of a panel of genes, including NPY, PTEN, AR, AMACR, DD3, and GSTP1, were measured by quantitative real-time RT-PCR (TaqMan), and correlation was analyzed with clinicopathological features.\nRESULTS: The expressions of AMACR and DD3 were consistently up-regulated in cancer cells compared to benign prostate epithelial cells in all PCa patients, whereas GSTP1 expression was down regulated in each patient. NPY, PTEN and AR exhibited a striking difference in their expression patterns between aggressive and non-aggressive PCas (P=0.0203, 0.0284, and 0.0378, respectively, Wilcoxon rank sum test). The lower expression of NPY showed association with \"aggressive\" PCas based on a larger PCa patient cohort analysis (P=0.0037, univariate generalized linear model (GLM) analysis).\nCONCLUSION: Despite widely noted heterogeneous nature of PCa, gene expression alterations of AMACR, DD3, and GSTP1 in LCM-derived PCa epithelial cells suggest for common underlying mechanisms in the initiation of PCa. Lower NPY expression level is significantly associated with more aggressive clinical behavior of PCa; PTEN and AR may have potential in defining PCa with aggressive clinical behavior. Studies along these lines have potential to define PCa-associated gene expression alterations and likely co-regulation of genes/pathways critical in the biology of PCa onset/progression.","container-title":"Journal of Zhejiang University. Science. B","DOI":"10.1631/jzus.2007.B0853","ISSN":"1673-1581","issue":"12","journalAbbreviation":"J Zhejiang Univ Sci B","language":"eng","note":"PMID: 18257117\nPMCID: PMC2100155","page":"853-859","source":"PubMed","title":"Quantitative analysis of a panel of gene expression in prostate cancer--with emphasis on NPY expression analysis","volume":"8","author":[{"family":"Liu","given":"Ai-jun"},{"family":"Furusato","given":"Bungo"},{"family":"Ravindranath","given":"Lakshmi"},{"family":"Chen","given":"Yong-mei"},{"family":"Srikantan","given":"Vasanta"},{"family":"McLeod","given":"David G."},{"family":"Petrovics","given":"Gyorgy"},{"family":"Srivastava","given":"Shiv"}],"issued":{"date-parts":[["2007",12]]}}}],"schema":"https://github.com/citation-style-language/schema/raw/master/csl-citation.json"} </w:instrText>
      </w:r>
      <w:r w:rsidRPr="00690F4D">
        <w:rPr>
          <w:lang w:val="en-GB"/>
        </w:rPr>
        <w:fldChar w:fldCharType="separate"/>
      </w:r>
      <w:r w:rsidR="00C03416">
        <w:rPr>
          <w:lang w:val="en-GB"/>
        </w:rPr>
        <w:t>[33]</w:t>
      </w:r>
      <w:r w:rsidRPr="00690F4D">
        <w:rPr>
          <w:lang w:val="en-GB"/>
        </w:rPr>
        <w:fldChar w:fldCharType="end"/>
      </w:r>
      <w:r w:rsidRPr="00690F4D">
        <w:rPr>
          <w:lang w:val="en-GB"/>
        </w:rPr>
        <w:t xml:space="preserve">. </w:t>
      </w:r>
      <w:r w:rsidRPr="00690F4D">
        <w:rPr>
          <w:i/>
          <w:iCs/>
          <w:lang w:val="en-GB"/>
        </w:rPr>
        <w:t>MT1G</w:t>
      </w:r>
      <w:r w:rsidRPr="00690F4D">
        <w:rPr>
          <w:lang w:val="en-GB"/>
        </w:rPr>
        <w:t xml:space="preserve"> </w:t>
      </w:r>
      <w:r w:rsidRPr="00690F4D">
        <w:rPr>
          <w:lang w:val="en-GB"/>
        </w:rPr>
        <w:fldChar w:fldCharType="begin"/>
      </w:r>
      <w:r w:rsidR="00C03416">
        <w:rPr>
          <w:lang w:val="en-GB"/>
        </w:rPr>
        <w:instrText xml:space="preserve"> ADDIN ZOTERO_ITEM CSL_CITATION {"citationID":"wWh8v1fe","properties":{"formattedCitation":"[34]","plainCitation":"[34]","noteIndex":0},"citationItems":[{"id":7938,"uris":["http://zotero.org/users/9745539/items/FZHBJYU8"],"itemData":{"id":7938,"type":"article-journal","abstract":"PURPOSE: Zinc is involved in several physiologic processes, including cell growth and proliferation. Although in normal prostate tissue zinc levels are high, there is a marked decrease in prostate cancer. Metallothioneins control the bioavailability of zinc and one isoform, MT1G, was reported down-regulated in prostate cancer. Here, we investigated whether promoter methylation might cause MT1G silencing in prostate cancer.\nPATIENTS AND METHODS: The MT1G promoter was assessed by quantitative methylation-specific PCR on prospectively collected tissue samples from 121 patients with prostate cancer, 39 paired high-grade prostatic intraepithelial neoplasias (HGPIN), 29 patients with benign prostatic hyperplasia, 13 normal prostate tissue samples from cystoprostatectomy specimens, and prostate cancer cell lines. The methylation levels were calculated and were correlated with clinical and pathologic variables. Reverse transcription-PCR was done in cell lines to assess MT1G mRNA expression before and after demethylating treatment.\nRESULTS: MT1G promoter hypermethylation was found in 29 of 121 prostate cancer, 5 of 39 HGPIN, 3 of 29 benign prostatic hyperplasia, and 0 of 13 normal prostate tissue samples. No significant differences in methylation frequencies or levels were found (P = 0.057, for both). Methylation levels were found to correlate with tumor stage but not with Gleason grade. MT1G hypermethylation was more frequent in prostate cancer that spread beyond the prostate capsule. All prostate cancer cell lines tested showed MT1G promoter methylation, but no differences in expression were apparent after demethylation.\nCONCLUSIONS: Our findings suggest that MT1G promoter methylation is associated with tumor aggressiveness in prostate cancer and it might be a marker of locally advanced disease.","container-title":"Cancer Epidemiology, Biomarkers &amp; Prevention: A Publication of the American Association for Cancer Research, Cosponsored by the American Society of Preventive Oncology","DOI":"10.1158/1055-9965.EPI-04-0659","ISSN":"1055-9965","issue":"5","journalAbbreviation":"Cancer Epidemiol Biomarkers Prev","language":"eng","note":"PMID: 15894685","page":"1274-1278","source":"PubMed","title":"MT1G hypermethylation is associated with higher tumor stage in prostate cancer","volume":"14","author":[{"family":"Henrique","given":"Rui"},{"family":"Jerónimo","given":"Carmen"},{"family":"Hoque","given":"Mohammad O."},{"family":"Nomoto","given":"Shuji"},{"family":"Carvalho","given":"André L."},{"family":"Costa","given":"Vera L."},{"family":"Oliveira","given":"Jorge"},{"family":"Teixeira","given":"Manuel R."},{"family":"Lopes","given":"Carlos"},{"family":"Sidransky","given":"David"}],"issued":{"date-parts":[["2005",5]]}}}],"schema":"https://github.com/citation-style-language/schema/raw/master/csl-citation.json"} </w:instrText>
      </w:r>
      <w:r w:rsidRPr="00690F4D">
        <w:rPr>
          <w:lang w:val="en-GB"/>
        </w:rPr>
        <w:fldChar w:fldCharType="separate"/>
      </w:r>
      <w:r w:rsidR="00C03416">
        <w:rPr>
          <w:lang w:val="en-GB"/>
        </w:rPr>
        <w:t>[34]</w:t>
      </w:r>
      <w:r w:rsidRPr="00690F4D">
        <w:rPr>
          <w:lang w:val="en-GB"/>
        </w:rPr>
        <w:fldChar w:fldCharType="end"/>
      </w:r>
      <w:r w:rsidRPr="00690F4D">
        <w:rPr>
          <w:i/>
          <w:iCs/>
          <w:lang w:val="en-GB"/>
        </w:rPr>
        <w:t>, MSMB</w:t>
      </w:r>
      <w:r w:rsidRPr="00690F4D">
        <w:rPr>
          <w:lang w:val="en-GB"/>
        </w:rPr>
        <w:t xml:space="preserve"> </w:t>
      </w:r>
      <w:r w:rsidRPr="00690F4D">
        <w:rPr>
          <w:lang w:val="en-GB"/>
        </w:rPr>
        <w:fldChar w:fldCharType="begin"/>
      </w:r>
      <w:r w:rsidR="00C03416">
        <w:rPr>
          <w:lang w:val="en-GB"/>
        </w:rPr>
        <w:instrText xml:space="preserve"> ADDIN ZOTERO_ITEM CSL_CITATION {"citationID":"0H1xW9RC","properties":{"formattedCitation":"[35]","plainCitation":"[35]","noteIndex":0},"citationItems":[{"id":7936,"uris":["http://zotero.org/users/9745539/items/P9ZG5Z7N"],"itemData":{"id":7936,"type":"article-journal","abstract":"BACKGROUND: Microseminoprotein-beta (MSMB) is a major secretory product from prostate epithelial cells. MSMB synthesis is decreased in prostate tumors in relation to tumor grade. MSMB levels are also reduced in the circulation and MSMB is therefore used as a serum biomarker for prostate cancer. We hypothesized that cancers induce a reduction in MSMB synthesis also in the benign parts of the prostate, and that the magnitude of this response is related to tumor aggressiveness. Reduced levels of MSMB in the circulation could therefore be a consequence of reduced MSMB expression not only in tumor tissue but also in the benign prostate tissue.\nMETHODS: MSMB expression was analyzed in prostatectomy specimens from 36 patients using immunohistochemistry and qRT-PCR. MSMB expression in the benign prostate tissue was analyzed in relation to Gleason score, tumor stage, and distance to the tumor. Furthermore, Dunning rat prostate tumors with different aggressiveness were implanted into the prostate of Copenhagen rats to study if this affected the MSMB expression in the tumor-adjacent benign rat prostate tissue.\nRESULTS: In prostatectomy specimens, MSMB expression was reduced in prostate tumors but also in the tumor-adjacent benign parts of the prostate. The reduction in tumor MSMB was related to tumor grade and stage, and the reduction in the benign parts of the prostate to tumor grade, stage, and distance to the tumor. Implantation of Dunning cancer cells into the rat prostate resulted in reduced MSMB protein levels in the tumor-adjacent benign prostate tissue. Rapidly growing and metastatic MatLyLu tumors had a more pronounced effect than slow-growing non-metastatic G tumors.\nCONCLUSION: Our data suggest that aggressive prostate tumors suppress MSMB synthesis in the benign prostate and that this could explain why serum levels of MSMB are decreased in prostate cancer patients. This study suggests that markers for aggressive cancer can be found among factors altered in parallel in prostate tumors and in the adjacent benign tissue.","container-title":"The Prostate","DOI":"10.1002/pros.23466","ISSN":"1097-0045","issue":"4","journalAbbreviation":"Prostate","language":"eng","note":"PMID: 29250809","page":"257-265","source":"PubMed","title":"Prostate tumors downregulate microseminoprotein-beta (MSMB) in the surrounding benign prostate epithelium and this response is associated with tumor aggressiveness","volume":"78","author":[{"family":"Bergström","given":"Sofia Halin"},{"family":"Järemo","given":"Helena"},{"family":"Nilsson","given":"Maria"},{"family":"Adamo","given":"Hanibal Hani"},{"family":"Bergh","given":"Anders"}],"issued":{"date-parts":[["2018",3]]}}}],"schema":"https://github.com/citation-style-language/schema/raw/master/csl-citation.json"} </w:instrText>
      </w:r>
      <w:r w:rsidRPr="00690F4D">
        <w:rPr>
          <w:lang w:val="en-GB"/>
        </w:rPr>
        <w:fldChar w:fldCharType="separate"/>
      </w:r>
      <w:r w:rsidR="00C03416">
        <w:rPr>
          <w:lang w:val="en-GB"/>
        </w:rPr>
        <w:t>[35]</w:t>
      </w:r>
      <w:r w:rsidRPr="00690F4D">
        <w:rPr>
          <w:lang w:val="en-GB"/>
        </w:rPr>
        <w:fldChar w:fldCharType="end"/>
      </w:r>
      <w:r w:rsidRPr="00690F4D">
        <w:rPr>
          <w:i/>
          <w:iCs/>
          <w:lang w:val="en-GB"/>
        </w:rPr>
        <w:t>, SLC22A3</w:t>
      </w:r>
      <w:r w:rsidRPr="00690F4D">
        <w:rPr>
          <w:lang w:val="en-GB"/>
        </w:rPr>
        <w:t xml:space="preserve"> </w:t>
      </w:r>
      <w:r w:rsidRPr="00690F4D">
        <w:rPr>
          <w:lang w:val="en-GB"/>
        </w:rPr>
        <w:fldChar w:fldCharType="begin"/>
      </w:r>
      <w:r w:rsidR="00C03416">
        <w:rPr>
          <w:lang w:val="en-GB"/>
        </w:rPr>
        <w:instrText xml:space="preserve"> ADDIN ZOTERO_ITEM CSL_CITATION {"citationID":"Z9a4WM0t","properties":{"formattedCitation":"[36]","plainCitation":"[36]","noteIndex":0},"citationItems":[{"id":7950,"uris":["http://zotero.org/users/9745539/items/W53X7YJM"],"itemData":{"id":7950,"type":"article-journal","abstract":"Human organic cation transporter 3 (OCT3, SLC22A3) mediates the uptake of many important endogenous amines and basic drugs in a variety of tissues. OCT3 is identified as one of the important risk loci for prostate cancer and is markedly under-expressed in aggressive prostate cancers. The goal of this study was to identify genetic and epigenetic factors in the promoter region that influence the expression level of OCT3. Haplotypes that contained the common variants, g.-81G&gt;delGA (rs60515630) (minor allele frequency (MAF) 11.5% in African American) and g.-2G&gt;A (rs555754) (MAF&gt;30% in all ethnic groups) showed significant increases in luciferase reporter activities and exhibited stronger transcription factor binding affinity than the haplotypes that contained the major alleles. Consistent with the reporter assays, OCT3 mRNA expression levels were significantly higher in Asian (P&lt;0.001) and Caucasian (P&lt;0.05) liver samples from individuals who were homozygous for g.-2A/A in comparison with those homozygous for the g.-2G/G allele. Studies revealed that the methylation level in the basal promoter region of OCT3 was associated with OCT3 expression level and tumorigenesis capability in various prostate cancer cell lines. The methylation level of the OCT3 promoter was higher in 62% of prostate tumor samples compared with matched normal samples. Our studies demonstrate that genetic polymorphisms in the proximal promoter region of OCT3 alter the transcription rate of the gene and may be associated with altered expression levels of OCT3 in human liver. Aberrant methylation contributes to the reduced expression of OCT3 in prostate cancer.","container-title":"The pharmacogenomics journal","DOI":"10.1038/tpj.2011.60","ISSN":"1470-269X","issue":"2","journalAbbreviation":"Pharmacogenomics J","note":"PMID: 22231567\nPMCID: PMC3396779","page":"110-120","source":"PubMed Central","title":"Genetic and Epigenetic Regulation of the Organic Cation Transporter 3, SLC22A3","URL":"https://www.ncbi.nlm.nih.gov/pmc/articles/PMC3396779/","volume":"13","author":[{"family":"Chen","given":"Ligong"},{"family":"Hong","given":"Chibo"},{"family":"Chen","given":"Eugene C."},{"family":"Yee","given":"Sook Wah"},{"family":"Xu","given":"Lu"},{"family":"Almof","given":"Emil U."},{"family":"Wen","given":"Christopher"},{"family":"Fujii","given":"Kacyn"},{"family":"Johns","given":"Susan J."},{"family":"Stryke","given":"Doug"},{"family":"Ferrin","given":"Thomas E."},{"family":"Simko","given":"Jeff"},{"family":"Chen","given":"Xin"},{"family":"Costello","given":"Joseph F."},{"family":"Giacomini","given":"Kathleen M."}],"accessed":{"date-parts":[["2022",10,21]]},"issued":{"date-parts":[["2013",4]]}},"locator":"3"}],"schema":"https://github.com/citation-style-language/schema/raw/master/csl-citation.json"} </w:instrText>
      </w:r>
      <w:r w:rsidRPr="00690F4D">
        <w:rPr>
          <w:lang w:val="en-GB"/>
        </w:rPr>
        <w:fldChar w:fldCharType="separate"/>
      </w:r>
      <w:r w:rsidR="00C03416">
        <w:rPr>
          <w:lang w:val="en-GB"/>
        </w:rPr>
        <w:t>[36]</w:t>
      </w:r>
      <w:r w:rsidRPr="00690F4D">
        <w:rPr>
          <w:lang w:val="en-GB"/>
        </w:rPr>
        <w:fldChar w:fldCharType="end"/>
      </w:r>
      <w:r w:rsidRPr="00690F4D">
        <w:rPr>
          <w:lang w:val="en-GB"/>
        </w:rPr>
        <w:t xml:space="preserve">, </w:t>
      </w:r>
      <w:r w:rsidRPr="00690F4D">
        <w:rPr>
          <w:i/>
          <w:iCs/>
          <w:lang w:val="en-GB"/>
        </w:rPr>
        <w:t>COMP</w:t>
      </w:r>
      <w:r w:rsidRPr="00690F4D">
        <w:rPr>
          <w:lang w:val="en-GB"/>
        </w:rPr>
        <w:t xml:space="preserve"> </w:t>
      </w:r>
      <w:r w:rsidRPr="00690F4D">
        <w:rPr>
          <w:lang w:val="en-GB"/>
        </w:rPr>
        <w:fldChar w:fldCharType="begin"/>
      </w:r>
      <w:r w:rsidR="00C03416">
        <w:rPr>
          <w:lang w:val="en-GB"/>
        </w:rPr>
        <w:instrText xml:space="preserve"> ADDIN ZOTERO_ITEM CSL_CITATION {"citationID":"OeK1AboC","properties":{"formattedCitation":"[37]","plainCitation":"[37]","noteIndex":0},"citationItems":[{"id":7954,"uris":["http://zotero.org/users/9745539/items/WQI6AIT2"],"itemData":{"id":7954,"type":"article-journal","abstract":"Cartilage oligomeric matrix protein (COMP) was recently implicated in the progression of breast cancer. Immunostaining of 342 prostate cancer specimens in tissue microarrays showed that COMP expression is not breast cancer-specific but also occurs in prostate cancer. The expression of COMP in prostate cancer cells correlated with a more aggressive disease with faster recurrence. Subcutaneous xenografts in immunodeficient mice showed that the prostate cancer cell line DU145 overexpressing COMP formed larger tumors in vivo as compared to mock-transfected cells. Purified COMP bound to and enhanced the invasion of DU145 cells in vitro in an integrin-dependent manner. In addition, intracellular COMP expression interfered with cellular metabolism by causing a decreased level of oxidative phosphorylation with a concurrent upregulation of lactate production (Warburg effect). Further, expression of COMP protected cells from induction of apoptosis via several pathways. The effect of COMP on metabolism and apoptosis induction was dependent on the ability of COMP to disrupt intracellular Ca2+ signalling by preventing Ca2+ release from the endoplasmic reticulum. In conclusion, COMP is a potent driver of the progression of prostate cancer, acting in an anti-apoptotic fashion by interfering with the Ca2+ homeostasis of cancer cells.","container-title":"Oncotarget","DOI":"10.18632/oncotarget.21176","ISSN":"1949-2553","issue":"58","journalAbbreviation":"Oncotarget","note":"PMID: 29228690\nPMCID: PMC5716730","page":"98298-98311","source":"PubMed Central","title":"Cartilage oligomeric matrix protein promotes prostate cancer progression by enhancing invasion and disrupting intracellular calcium homeostasis","URL":"https://www.ncbi.nlm.nih.gov/pmc/articles/PMC5716730/","volume":"8","author":[{"family":"Englund","given":"Emelie"},{"family":"Canesin","given":"Giacomo"},{"family":"Papadakos","given":"Konstantinos S."},{"family":"Vishnu","given":"Neelanjan"},{"family":"Persson","given":"Emma"},{"family":"Reitsma","given":"Bart"},{"family":"Anand","given":"Aseem"},{"family":"Jacobsson","given":"Laila"},{"family":"Helczynski","given":"Leszek"},{"family":"Mulder","given":"Hindrik"},{"family":"Bjartell","given":"Anders"},{"family":"Blom","given":"Anna M."}],"accessed":{"date-parts":[["2022",10,21]]},"issued":{"date-parts":[["2017",9,21]]}}}],"schema":"https://github.com/citation-style-language/schema/raw/master/csl-citation.json"} </w:instrText>
      </w:r>
      <w:r w:rsidRPr="00690F4D">
        <w:rPr>
          <w:lang w:val="en-GB"/>
        </w:rPr>
        <w:fldChar w:fldCharType="separate"/>
      </w:r>
      <w:r w:rsidR="00C03416">
        <w:rPr>
          <w:lang w:val="en-GB"/>
        </w:rPr>
        <w:t>[37]</w:t>
      </w:r>
      <w:r w:rsidRPr="00690F4D">
        <w:rPr>
          <w:lang w:val="en-GB"/>
        </w:rPr>
        <w:fldChar w:fldCharType="end"/>
      </w:r>
      <w:r w:rsidRPr="00690F4D">
        <w:rPr>
          <w:lang w:val="en-GB"/>
        </w:rPr>
        <w:t xml:space="preserve"> and </w:t>
      </w:r>
      <w:r w:rsidRPr="00690F4D">
        <w:rPr>
          <w:i/>
          <w:iCs/>
          <w:lang w:val="en-GB"/>
        </w:rPr>
        <w:t>KRT15</w:t>
      </w:r>
      <w:r w:rsidRPr="00690F4D">
        <w:rPr>
          <w:lang w:val="en-GB"/>
        </w:rPr>
        <w:t xml:space="preserve"> </w:t>
      </w:r>
      <w:r w:rsidRPr="00690F4D">
        <w:rPr>
          <w:lang w:val="en-GB"/>
        </w:rPr>
        <w:fldChar w:fldCharType="begin"/>
      </w:r>
      <w:r w:rsidR="00C03416">
        <w:rPr>
          <w:lang w:val="en-GB"/>
        </w:rPr>
        <w:instrText xml:space="preserve"> ADDIN ZOTERO_ITEM CSL_CITATION {"citationID":"5DddeWmE","properties":{"formattedCitation":"[38]","plainCitation":"[38]","noteIndex":0},"citationItems":[{"id":7942,"uris":["http://zotero.org/users/9745539/items/56CG9ZNY"],"itemData":{"id":7942,"type":"article-journal","abstract":"Although keratin 15 (KRT15) has been indicated to be overexpressed in several types of tumor, its role in breast invasive carcinoma (BRCA) has so far remained elusive. The aim of the present study was to explore KRT15 expression in BRCA based on data obtained from The Cancer Genome Atlas and The Genotype‑Tissue Expression. KRT15 expression was compared using a Wilcoxon rank‑sum test. Functional enrichment analysis was performed to reveal the biological roles and pathways of KRT15. The association between KRT15 expression and immune‑cell infiltration was evaluated via single‑sample gene set enrichment analysis (ssGSEA). To investigate the relationship between clinicopathological features and KRT15 expression, the prognostic value of KRT15 and other clinical factors was evaluated using Cox regression analysis and Kaplan‑Meier (KM) plots. Subgroup prognostic analysis was also performed using forest plots and KM curves. Finally, a tissue microarray was used to assess KRT15 expression in BRCA tissues. KRT15 expression was significantly lower in BRCA tissues compared with that in normal tissues. Functional enrichment analysis suggested that KRT15‑related genes were primarily enriched in the transmembrane transporter complex, cornification and ligand‑receptor interactions. Increased KRT15 was associated with several tumor‑suppressive pathways. ssGSEA revealed that high KRT15 expression was significantly associated with natural killer‑cell, B‑cell and mast‑cell infiltration. Significant associations were observed between low KRT15 expression and advanced stage clinicopathological factors, as well as unfavorable overall survival (OS) and disease‑specific survival. Multivariate Cox regression analysis suggested that KRT15 was an independent prognostic factor for OS (P=0.039; hazard ratio, 0.590; 95% CI, 0.358‑0.974). Subgroup prognostic analysis demonstrated that low KRT15 was a reliable predictor of poor OS. Immunohistochemistry of a tissue microarray indicated that positive KRT15 expression rates were significantly higher in normal tissues compared with those in the BRCA tissues. In conclusion, low KRT15 expression was significantly associated with poor prognosis in patients with BRCA. Thus, KRT15 may serve an important role in BRCA progression and may be used as a promising prognostic marker for diagnostic and prognostic analyses in patients with BRCA.","container-title":"Experimental and Therapeutic Medicine","DOI":"10.3892/etm.2021.9736","ISSN":"1792-0981","issue":"4","note":"publisher: Spandidos Publications","page":"1-1","source":"www.spandidos-publications.com","title":"Low KRT15 expression is associated with poor prognosis in patients with breast invasive carcinoma","URL":"https://www.spandidos-publications.com/10.3892/etm.2021.9736","volume":"21","author":[{"family":"Zhong","given":"Pengcheng"},{"family":"Shu","given":"Rong"},{"family":"Wu","given":"Huiwen"},{"family":"Liu","given":"Zhiwen"},{"family":"Shen","given":"Xiaoling"},{"family":"Hu","given":"Yingjie"}],"accessed":{"date-parts":[["2022",10,21]]},"issued":{"date-parts":[["2021",4,1]]}}}],"schema":"https://github.com/citation-style-language/schema/raw/master/csl-citation.json"} </w:instrText>
      </w:r>
      <w:r w:rsidRPr="00690F4D">
        <w:rPr>
          <w:lang w:val="en-GB"/>
        </w:rPr>
        <w:fldChar w:fldCharType="separate"/>
      </w:r>
      <w:r w:rsidR="00C03416">
        <w:rPr>
          <w:lang w:val="en-GB"/>
        </w:rPr>
        <w:t>[38]</w:t>
      </w:r>
      <w:r w:rsidRPr="00690F4D">
        <w:rPr>
          <w:lang w:val="en-GB"/>
        </w:rPr>
        <w:fldChar w:fldCharType="end"/>
      </w:r>
      <w:r w:rsidRPr="00690F4D">
        <w:rPr>
          <w:i/>
          <w:iCs/>
          <w:lang w:val="en-GB"/>
        </w:rPr>
        <w:t xml:space="preserve"> </w:t>
      </w:r>
      <w:r w:rsidRPr="00690F4D">
        <w:rPr>
          <w:lang w:val="en-GB"/>
        </w:rPr>
        <w:t>have also been associated with aggressive and/or poor clinical outcome in prostate cancer.</w:t>
      </w:r>
    </w:p>
    <w:p w14:paraId="36E355CE" w14:textId="77777777" w:rsidR="001B2E3D" w:rsidRPr="00690F4D" w:rsidRDefault="001B2E3D" w:rsidP="001B2E3D">
      <w:pPr>
        <w:pStyle w:val="MDPI31text"/>
        <w:rPr>
          <w:lang w:val="en-GB"/>
        </w:rPr>
      </w:pPr>
    </w:p>
    <w:p w14:paraId="4A5F999A" w14:textId="454E5B1C" w:rsidR="001B2E3D" w:rsidRDefault="001B2E3D" w:rsidP="001B2E3D">
      <w:pPr>
        <w:pStyle w:val="MDPI31text"/>
        <w:rPr>
          <w:lang w:val="en-GB"/>
        </w:rPr>
      </w:pPr>
      <w:r w:rsidRPr="00690F4D">
        <w:rPr>
          <w:lang w:val="en-GB"/>
        </w:rPr>
        <w:t xml:space="preserve">Functional enrichment analysis identified many molecular pathways that were upregulated or downregulated in high PREDICT score samples. This included the upregulation of many cell cycle related pathways, a well-known hallmark of cancer </w:t>
      </w:r>
      <w:r w:rsidRPr="00690F4D">
        <w:rPr>
          <w:lang w:val="en-GB"/>
        </w:rPr>
        <w:fldChar w:fldCharType="begin"/>
      </w:r>
      <w:r w:rsidR="00C03416">
        <w:rPr>
          <w:lang w:val="en-GB"/>
        </w:rPr>
        <w:instrText xml:space="preserve"> ADDIN ZOTERO_ITEM CSL_CITATION {"citationID":"LaPmR5BG","properties":{"formattedCitation":"[39]","plainCitation":"[39]","noteIndex":0},"citationItems":[{"id":6927,"uris":["http://zotero.org/users/9745539/items/Y3G4QL8R"],"itemData":{"id":6927,"type":"article-journal","abstract":"The hallmarks of cancer conceptualization is a heuristic tool for distilling the vast complexity of cancer phenotypes and genotypes into a provisional set of underly-ing principles. As knowledge of cancer mechanisms has progressed, other facets of the disease have emerged as potential refinements. Herein, the prospect is raised that phenotypic plasticity and dis-rupted differentiation is a discrete hallmark capability, and that nonmutational epigenetic reprogramming and polymorphic microbiomes both constitute distinctive enabling characteristics that facilitate the acquisition of hallmark capabilities. Additionally, senescent cells, of varying origins, may be added to the roster of functionally important cell types in the tumor microenvironment. Significance: Cancer is daunting in the breadth and scope of its diversity, spanning genetics, cell and tissue biology, pathology, and response to therapy. Ever more powerful experimental and computational tools and technologies are providing an avalanche of “big data” about the myriad manifestations of the diseases that cancer encompasses. The integrative concept embodied in the hallmarks of cancer is helping to distill this complexity into an increasingly logical science, and the provisional new dimen-sions presented in this perspective may add value to that endeavor, to more fully understand mechanisms of cancer development and malignant progression, and apply that knowledge to cancer medicine.","container-title":"Cancer Discovery","DOI":"10.1158/2159-8290.CD-21-1059","ISSN":"21598290","issue":"1","note":"PMID: 35022204","page":"31-46","title":"Hallmarks of Cancer: New Dimensions","volume":"12","author":[{"family":"Hanahan","given":"Douglas"}],"issued":{"date-parts":[["2022"]]}}}],"schema":"https://github.com/citation-style-language/schema/raw/master/csl-citation.json"} </w:instrText>
      </w:r>
      <w:r w:rsidRPr="00690F4D">
        <w:rPr>
          <w:lang w:val="en-GB"/>
        </w:rPr>
        <w:fldChar w:fldCharType="separate"/>
      </w:r>
      <w:r w:rsidR="00C03416">
        <w:rPr>
          <w:lang w:val="en-GB"/>
        </w:rPr>
        <w:t>[39]</w:t>
      </w:r>
      <w:r w:rsidRPr="00690F4D">
        <w:rPr>
          <w:lang w:val="en-GB"/>
        </w:rPr>
        <w:fldChar w:fldCharType="end"/>
      </w:r>
      <w:r w:rsidRPr="00690F4D">
        <w:rPr>
          <w:lang w:val="en-GB"/>
        </w:rPr>
        <w:t xml:space="preserve"> and the downregulation of metabolism and cholesterol biosynthesis. Consistent with this result, Rye </w:t>
      </w:r>
      <w:r w:rsidRPr="00690F4D">
        <w:rPr>
          <w:i/>
          <w:iCs/>
          <w:lang w:val="en-GB"/>
        </w:rPr>
        <w:t>et al.</w:t>
      </w:r>
      <w:r w:rsidRPr="00690F4D">
        <w:rPr>
          <w:lang w:val="en-GB"/>
        </w:rPr>
        <w:t xml:space="preserve"> found robust and consistent downregulation of nearly all genes in the cholesterol synthesis pathway in prostate cancer </w:t>
      </w:r>
      <w:r w:rsidRPr="00690F4D">
        <w:rPr>
          <w:lang w:val="en-GB"/>
        </w:rPr>
        <w:fldChar w:fldCharType="begin"/>
      </w:r>
      <w:r w:rsidR="00C03416">
        <w:rPr>
          <w:lang w:val="en-GB"/>
        </w:rPr>
        <w:instrText xml:space="preserve"> ADDIN ZOTERO_ITEM CSL_CITATION {"citationID":"gyDlomMm","properties":{"formattedCitation":"[40]","plainCitation":"[40]","noteIndex":0},"citationItems":[{"id":7958,"uris":["http://zotero.org/users/9745539/items/3ZPWCXIE"],"itemData":{"id":7958,"type":"article-journal","abstract":"BACKGROUND: The relationship between cholesterol and prostate cancer has been extensively studied for decades, where high levels of cellular cholesterol are generally associated with cancer progression and less favorable outcomes. However, the role of in vivo cellular cholesterol synthesis in this process is unclear, and data on the transcriptional activity of cholesterol synthesis pathway genes in tissue from prostate cancer patients are inconsistent.\nMETHODS: A common problem with cancer tissue data from patient cohorts is the presence of heterogeneous tissue which confounds molecular analysis of the samples. In this study we present a general method to minimize systematic confounding from stroma tissue in any prostate cancer cohort comparing prostate cancer and normal samples. In particular we use samples assessed by histopathology to identify genes enriched and depleted in prostate stroma. These genes are then used to assess stroma content in tissue samples from other prostate cancer cohorts where no histopathology is available. Differential expression analysis is performed by comparing cancer and normal samples where the average stroma content has been balanced between the sample groups. In total we analyzed seven patient cohorts with prostate cancer consisting of 1713 prostate cancer and 230 normal tissue samples.\nRESULTS: When stroma confounding was minimized, differential gene expression analysis over all cohorts showed robust and consistent downregulation of nearly all genes in the cholesterol synthesis pathway. Additional Gene Ontology analysis also identified cholesterol synthesis as the most significantly altered metabolic pathway in prostate cancer at the transcriptional level.\nCONCLUSION: The surprising observation that cholesterol synthesis genes are downregulated in prostate cancer is important for our understanding of how prostate cancer cells regulate cholesterol levels in vivo. Moreover, we show that tissue heterogeneity explains the lack of consistency in previous expression analysis of cholesterol synthesis genes in prostate cancer.","container-title":"BMC cancer","DOI":"10.1186/s12885-018-4373-y","ISSN":"1471-2407","issue":"1","journalAbbreviation":"BMC Cancer","language":"eng","note":"PMID: 29703166\nPMCID: PMC5922022","page":"478","source":"PubMed","title":"Cholesterol synthesis pathway genes in prostate cancer are transcriptionally downregulated when tissue confounding is minimized","volume":"18","author":[{"family":"Rye","given":"Morten Beck"},{"family":"Bertilsson","given":"Helena"},{"family":"Andersen","given":"Maria K."},{"family":"Rise","given":"Kjersti"},{"family":"Bathen","given":"Tone F."},{"family":"Drabløs","given":"Finn"},{"family":"Tessem","given":"May-Britt"}],"issued":{"date-parts":[["2018",4,27]]}}}],"schema":"https://github.com/citation-style-language/schema/raw/master/csl-citation.json"} </w:instrText>
      </w:r>
      <w:r w:rsidRPr="00690F4D">
        <w:rPr>
          <w:lang w:val="en-GB"/>
        </w:rPr>
        <w:fldChar w:fldCharType="separate"/>
      </w:r>
      <w:r w:rsidR="00C03416">
        <w:rPr>
          <w:lang w:val="en-GB"/>
        </w:rPr>
        <w:t>[40]</w:t>
      </w:r>
      <w:r w:rsidRPr="00690F4D">
        <w:rPr>
          <w:lang w:val="en-GB"/>
        </w:rPr>
        <w:fldChar w:fldCharType="end"/>
      </w:r>
      <w:r w:rsidRPr="00690F4D">
        <w:rPr>
          <w:lang w:val="en-GB"/>
        </w:rPr>
        <w:t>.</w:t>
      </w:r>
    </w:p>
    <w:p w14:paraId="509473A6" w14:textId="77777777" w:rsidR="001B2E3D" w:rsidRPr="00690F4D" w:rsidRDefault="001B2E3D" w:rsidP="001B2E3D">
      <w:pPr>
        <w:pStyle w:val="MDPI31text"/>
        <w:rPr>
          <w:lang w:val="en-GB"/>
        </w:rPr>
      </w:pPr>
    </w:p>
    <w:p w14:paraId="6A2584D0" w14:textId="77777777" w:rsidR="001B2E3D" w:rsidRDefault="001B2E3D" w:rsidP="001B2E3D">
      <w:pPr>
        <w:pStyle w:val="MDPI31text"/>
        <w:rPr>
          <w:lang w:val="en-GB"/>
        </w:rPr>
      </w:pPr>
      <w:r w:rsidRPr="00690F4D">
        <w:rPr>
          <w:lang w:val="en-GB"/>
        </w:rPr>
        <w:t>In this study we have also shown that the DESNT molecular subtype has shared and distinct biological characteristics to the general aggressive phenotype picked up by the PREDICT prognosis model.  A much larger number of differentially expressed genes and enriched pathways were detected. This suggests that samples assigned as DESNT have expression profiles that are more like each other than samples with similar PREDICT scores, and so there is greater statistically power to detect differences. Only 8% of DESNT differentially expressed genes were found to be differentially expressed in the same direction in PREDICT score high samples. There were also many distinct enriched pathways including the downregulation of signalling pathways and extracellular matrix organisation and upregulation of DNA replication and translation. The DESNT signature has a distinctive biological profile, which is further evidence that it is a valid molecular subtype.</w:t>
      </w:r>
    </w:p>
    <w:p w14:paraId="3C6513C7" w14:textId="77777777" w:rsidR="001B2E3D" w:rsidRPr="00690F4D" w:rsidRDefault="001B2E3D" w:rsidP="001B2E3D">
      <w:pPr>
        <w:pStyle w:val="MDPI31text"/>
        <w:rPr>
          <w:lang w:val="en-GB"/>
        </w:rPr>
      </w:pPr>
    </w:p>
    <w:p w14:paraId="0CB48892" w14:textId="47104735" w:rsidR="001B2E3D" w:rsidRDefault="001B2E3D" w:rsidP="001B2E3D">
      <w:pPr>
        <w:pStyle w:val="MDPI31text"/>
        <w:rPr>
          <w:lang w:val="en-GB"/>
        </w:rPr>
      </w:pPr>
      <w:r w:rsidRPr="00690F4D">
        <w:rPr>
          <w:lang w:val="en-GB"/>
        </w:rPr>
        <w:lastRenderedPageBreak/>
        <w:t xml:space="preserve">This study has several limitations. Firstly, data comes from prostatectomy samples rather than biopsy samples at diagnosis. This confines the characteristics of the cohort and often Gleason score is upgraded at prostatectomy </w:t>
      </w:r>
      <w:r w:rsidRPr="00690F4D">
        <w:rPr>
          <w:lang w:val="en-GB"/>
        </w:rPr>
        <w:fldChar w:fldCharType="begin"/>
      </w:r>
      <w:r w:rsidR="00C03416">
        <w:rPr>
          <w:lang w:val="en-GB"/>
        </w:rPr>
        <w:instrText xml:space="preserve"> ADDIN ZOTERO_ITEM CSL_CITATION {"citationID":"Ud0cxfPZ","properties":{"formattedCitation":"[41]","plainCitation":"[41]","noteIndex":0},"citationItems":[{"id":7962,"uris":["http://zotero.org/users/9745539/items/MNJ389MN"],"itemData":{"id":7962,"type":"article-journal","abstract":"OBJECTIVE: •To determine the effect of an upgrade in Gleason score between initial prostate biopsy and final prostatectomy specimen on the risk of postoperative biochemical recurrence.\nPATIENTS AND METHODS: •A total of 1629 patients with paired biopsy and radical prostatectomy histology were identified from two prospectively recorded prostate cancer databases. •Information on key clinical and pathological characteristics as well as prostate-specific antigen follow-up was recorded. •Patients who experienced an upgrade in their Gleason score were compared with corresponding patients with concordant tumours of the lower and higher grade. •Kaplan-Meier curves and multivariate models were generated to examine the impact of Gleason score upgrade on the risk of postoperative biochemical recurrence.\nRESULTS: •Overall, 466 patients (28.6%) experienced an upgrade in their Gleason score post radical prostatectomy, in 88.4% of cases involving a change in a single Gleason score point. •Patients upgraded from Gleason 6 (3 + 3) to Gleason 7 (3 + 4) had pathological characteristics that were very similar to Gleason 7 (3 + 4) concordant tumours, with an identical risk of biochemical recurrence. In contrast, patients upgraded from Gleason score 6 (3 + 3) to Gleason 7 (4 + 3) had tumours with pathological characteristics intermediate between the two concordant groups, which was mirrored by their risk of biochemical recurrence. •Patients with Gleason 7 tumours who experienced a change in the predominant pattern from 3 + 4 to 4 + 3 had tumours that resembled Gleason 7 (4 + 3) concordant tumours, with a similar risk of biochemical recurrence. In contrast, patients upgraded from Gleason 7 to Gleason &gt;7 had tumours with intermediate pathological characteristics, and a risk of biochemical recurrence that was significantly different to concordant tumours of the lower and higher grade. •In multivariate models, a change in Gleason score was an independent predictor of biochemical recurrence in the preoperative setting only. •Although a difference in Gleason score was an independent predictor of recurrence in concordant tumours in models based on postoperative variables, an upgrade in Gleason score in discordant tumours was not, with differences in co-segregated adverse pathological characteristics being more predictive.\nCONCLUSIONS: •Patients experiencing an upgrade in their Gleason score between biopsy and final specimen exhibit significantly more aggressive pathological features than corresponding concordant tumours, and a higher risk of biochemical recurrence post radical prostatectomy. •As Gleason score can be more accurately assessed preoperatively than other prognostic tumour features, continued effort is required to identify those most at risk of upgrading, and to refine biopsy strategies to reduce sampling error.","container-title":"BJU international","DOI":"10.1111/j.1464-410X.2011.10119.x","ISSN":"1464-410X","issue":"8 Pt 2","journalAbbreviation":"BJU Int","language":"eng","note":"PMID: 21443656","page":"E202-210","source":"PubMed","title":"Upgrade in Gleason score between prostate biopsies and pathology following radical prostatectomy significantly impacts upon the risk of biochemical recurrence","volume":"108","author":[{"family":"Corcoran","given":"Niall M."},{"family":"Hong","given":"Matthew K. H."},{"family":"Casey","given":"Rowan G."},{"family":"Hurtado-Coll","given":"Antonio"},{"family":"Peters","given":"Justin"},{"family":"Harewood","given":"Laurence"},{"family":"Goldenberg","given":"S. Larry"},{"family":"Hovens","given":"Chris M."},{"family":"Costello","given":"Anthony J."},{"family":"Gleave","given":"Martin E."}],"issued":{"date-parts":[["2011",10]]}}}],"schema":"https://github.com/citation-style-language/schema/raw/master/csl-citation.json"} </w:instrText>
      </w:r>
      <w:r w:rsidRPr="00690F4D">
        <w:rPr>
          <w:lang w:val="en-GB"/>
        </w:rPr>
        <w:fldChar w:fldCharType="separate"/>
      </w:r>
      <w:r w:rsidR="00C03416">
        <w:rPr>
          <w:lang w:val="en-GB"/>
        </w:rPr>
        <w:t>[41]</w:t>
      </w:r>
      <w:r w:rsidRPr="00690F4D">
        <w:rPr>
          <w:lang w:val="en-GB"/>
        </w:rPr>
        <w:fldChar w:fldCharType="end"/>
      </w:r>
      <w:r>
        <w:rPr>
          <w:lang w:val="en-GB"/>
        </w:rPr>
        <w:t>, a</w:t>
      </w:r>
      <w:r w:rsidRPr="00690F4D">
        <w:rPr>
          <w:lang w:val="en-GB"/>
        </w:rPr>
        <w:t xml:space="preserve">lthough prostatectomy was the primary treatment closest to diagnosis for these patients and so is a reasonable proxy to use.  Secondly, the full power of the PREDICT model could not be utilised as full diagnostic biopsy information was unavailable for these datasets.  Thirdly, biochemical recurrence was used as the clinical endpoint whereas metastatic disease or cancer-specific death would be more informative – PREDICT was not developed or calibrated for biochemical relapse as an outcome hence its performance in this setting has not previously been assessed.  Finally, compared to the tens of thousands that the PREDICT model has been validated in, the numbers are </w:t>
      </w:r>
      <w:r>
        <w:rPr>
          <w:lang w:val="en-GB"/>
        </w:rPr>
        <w:t xml:space="preserve">relatively </w:t>
      </w:r>
      <w:r w:rsidRPr="00690F4D">
        <w:rPr>
          <w:lang w:val="en-GB"/>
        </w:rPr>
        <w:t>low, however we have used robust methods to compensate for this and reported confidence intervals throughout. Despite these limitations, the results support the notion of the potential value of including biological measurements along with the clinical variables collected as part of the standard clinical pathway. Future studies where transcriptome data is generated from a large series of biopsies with good quality clinical data with long follow up would be welcomed.</w:t>
      </w:r>
    </w:p>
    <w:p w14:paraId="04E80343" w14:textId="77777777" w:rsidR="001B2E3D" w:rsidRPr="00690F4D" w:rsidRDefault="001B2E3D" w:rsidP="001B2E3D">
      <w:pPr>
        <w:pStyle w:val="MDPI31text"/>
        <w:rPr>
          <w:lang w:val="en-GB"/>
        </w:rPr>
      </w:pPr>
    </w:p>
    <w:p w14:paraId="53D1D9FC" w14:textId="77777777" w:rsidR="001B2E3D" w:rsidRDefault="001B2E3D" w:rsidP="001B2E3D">
      <w:pPr>
        <w:pStyle w:val="MDPI31text"/>
      </w:pPr>
      <w:r w:rsidRPr="00690F4D">
        <w:rPr>
          <w:snapToGrid/>
          <w:lang w:val="en-GB" w:bidi="ar-SA"/>
        </w:rPr>
        <w:t>There is a need for improved predictors of outcome in non-metastatic men at the time of diagnosis to allow the optimal treatment pathway to be chosen. The inclusion of biological information, in particular the DESNT poor prognosis molecular subtype, alongside the best-of-breed clinical prognostic tool, PREDICT prostate, has the potential to make this improvement. This combination has the potential to help avoid unnecessary treatments and life-altering side-effects and improve survival in prostate cancer patients.</w:t>
      </w:r>
    </w:p>
    <w:p w14:paraId="598280F0" w14:textId="77777777" w:rsidR="001B2E3D" w:rsidRDefault="001B2E3D" w:rsidP="001B2E3D">
      <w:pPr>
        <w:pStyle w:val="MDPI62BackMatter"/>
        <w:spacing w:before="240"/>
      </w:pPr>
      <w:r>
        <w:rPr>
          <w:b/>
        </w:rPr>
        <w:t xml:space="preserve">Supplementary Materials: </w:t>
      </w:r>
      <w:r>
        <w:t xml:space="preserve">The following supporting information can be downloaded at: www.mdpi.com/xxx/s1, </w:t>
      </w:r>
      <w:r w:rsidRPr="0041036C">
        <w:rPr>
          <w:b/>
          <w:bCs/>
        </w:rPr>
        <w:t>Table S1:</w:t>
      </w:r>
      <w:r>
        <w:t xml:space="preserve"> </w:t>
      </w:r>
      <w:r w:rsidRPr="0041036C">
        <w:rPr>
          <w:lang w:val="en-GB"/>
        </w:rPr>
        <w:t>Significantly differentially expressed genes between the samples with the 25% highest PREDICT scores versus the lowest 25% PREDICT scores</w:t>
      </w:r>
      <w:r>
        <w:t xml:space="preserve">; </w:t>
      </w:r>
      <w:r w:rsidRPr="0041036C">
        <w:rPr>
          <w:b/>
          <w:bCs/>
        </w:rPr>
        <w:t>Table S2:</w:t>
      </w:r>
      <w:r>
        <w:t xml:space="preserve"> </w:t>
      </w:r>
      <w:r w:rsidRPr="0041036C">
        <w:rPr>
          <w:lang w:val="en-GB"/>
        </w:rPr>
        <w:t>KEGG pathways, Reactome pathways, and Gene Ontology biological processes terms found to be significantly enriched for significantly upregulated or downregulated genes for PREDICT high score samples versus low score samples</w:t>
      </w:r>
      <w:r>
        <w:rPr>
          <w:lang w:val="en-GB"/>
        </w:rPr>
        <w:t xml:space="preserve">; </w:t>
      </w:r>
      <w:r w:rsidRPr="0041036C">
        <w:rPr>
          <w:b/>
          <w:bCs/>
          <w:lang w:val="en-GB"/>
        </w:rPr>
        <w:t>Table S3:</w:t>
      </w:r>
      <w:r>
        <w:rPr>
          <w:lang w:val="en-GB"/>
        </w:rPr>
        <w:t xml:space="preserve"> </w:t>
      </w:r>
      <w:r w:rsidRPr="0041036C">
        <w:rPr>
          <w:lang w:val="en-GB"/>
        </w:rPr>
        <w:t>Significantly differentially expressed genes between the samples classified as DESNT samples versus non-DESNT samples</w:t>
      </w:r>
      <w:r>
        <w:rPr>
          <w:lang w:val="en-GB"/>
        </w:rPr>
        <w:t xml:space="preserve">; </w:t>
      </w:r>
      <w:r w:rsidRPr="0041036C">
        <w:rPr>
          <w:b/>
          <w:bCs/>
          <w:lang w:val="en-GB"/>
        </w:rPr>
        <w:t>Table S4:</w:t>
      </w:r>
      <w:r>
        <w:rPr>
          <w:lang w:val="en-GB"/>
        </w:rPr>
        <w:t xml:space="preserve"> </w:t>
      </w:r>
      <w:r w:rsidRPr="0041036C">
        <w:rPr>
          <w:lang w:val="en-GB"/>
        </w:rPr>
        <w:t>KEGG pathways, Reactome pathways, and Gene Ontology biological processes terms found to be significantly enriched for significantly upregulated or downregulated genes for DESNT sample status.</w:t>
      </w:r>
    </w:p>
    <w:p w14:paraId="7E995BE3" w14:textId="77777777" w:rsidR="001B2E3D" w:rsidRPr="002C1E9C" w:rsidRDefault="001B2E3D" w:rsidP="001B2E3D">
      <w:pPr>
        <w:pStyle w:val="MDPI62BackMatter"/>
        <w:rPr>
          <w:lang w:val="en-GB"/>
        </w:rPr>
      </w:pPr>
      <w:r>
        <w:rPr>
          <w:b/>
        </w:rPr>
        <w:t>Author Contributions:</w:t>
      </w:r>
      <w:r>
        <w:t xml:space="preserve"> </w:t>
      </w:r>
      <w:r w:rsidRPr="002C1E9C">
        <w:rPr>
          <w:lang w:val="en-GB"/>
        </w:rPr>
        <w:t>Conceptualization, D.S.B and V.J.M; methodology, D.S.B and R.C ; software, D.S.B, L.W, and R.C; formal analysis, D.S.B, L.W, and R.C; investigation, D.S.B, L.W, and R.C; resources, D.S.B and V.J.M; data curation, D.S.B, L.W, and R.C; writing—original draft preparation, D.S.B and L.W; writing—review and editing, L.W, R.C, V.J.M, C.S.C, J.C, and D.S.B; visualization, D.S.B and L.W; supervision, D.S.B, R.C, J.C, and C.S.C; project administration, D.S.B, J.C, and C.S.C; funding acquisition, D.S.B, J.C, C.S.C. All authors have read and agreed to the published version of the manuscript. All authors critiqued the manuscript for important intellectual content.</w:t>
      </w:r>
    </w:p>
    <w:p w14:paraId="5C671876" w14:textId="77777777" w:rsidR="001B2E3D" w:rsidRPr="002C1E9C" w:rsidRDefault="001B2E3D" w:rsidP="001B2E3D">
      <w:pPr>
        <w:pStyle w:val="MDPI62BackMatter"/>
        <w:rPr>
          <w:lang w:val="en-GB"/>
        </w:rPr>
      </w:pPr>
      <w:r>
        <w:rPr>
          <w:b/>
        </w:rPr>
        <w:t>Funding:</w:t>
      </w:r>
      <w:r>
        <w:t xml:space="preserve"> </w:t>
      </w:r>
      <w:r w:rsidRPr="002C1E9C">
        <w:rPr>
          <w:lang w:val="en-GB"/>
        </w:rPr>
        <w:t>This work was funded by the Bob Champion Cancer Trust, The Masonic Charitable Foundation, The King Family, The Hargrave Foundation and The University of East Anglia. We acknowledge support from Prostate Cancer Research, Movember, Prostate Cancer UK, The Big C Cancer Charity, Cancer Research UK and The Andy Ripley Memorial Fund.</w:t>
      </w:r>
    </w:p>
    <w:p w14:paraId="7A225096" w14:textId="0A3E5ED7" w:rsidR="001B2E3D" w:rsidRPr="00B17CAC" w:rsidRDefault="001B2E3D" w:rsidP="00D065DF">
      <w:pPr>
        <w:pStyle w:val="MDPI62BackMatter"/>
        <w:rPr>
          <w:lang w:val="en-GB"/>
        </w:rPr>
      </w:pPr>
      <w:r w:rsidRPr="007D75A8">
        <w:rPr>
          <w:b/>
        </w:rPr>
        <w:t xml:space="preserve">Data Availability Statement: </w:t>
      </w:r>
      <w:r w:rsidRPr="00B17CAC">
        <w:rPr>
          <w:lang w:val="en-GB"/>
        </w:rPr>
        <w:t xml:space="preserve">The datasets analysed during the current study are </w:t>
      </w:r>
      <w:r w:rsidRPr="002C1E9C">
        <w:rPr>
          <w:lang w:val="en-GB"/>
        </w:rPr>
        <w:t xml:space="preserve">publicly </w:t>
      </w:r>
      <w:r w:rsidRPr="00B17CAC">
        <w:rPr>
          <w:lang w:val="en-GB"/>
        </w:rPr>
        <w:t>available:</w:t>
      </w:r>
    </w:p>
    <w:p w14:paraId="117A9603" w14:textId="723050A2" w:rsidR="001B2E3D" w:rsidRPr="002C1E9C" w:rsidRDefault="001B2E3D" w:rsidP="001B2E3D">
      <w:pPr>
        <w:pStyle w:val="MDPI38bullet"/>
        <w:numPr>
          <w:ilvl w:val="0"/>
          <w:numId w:val="21"/>
        </w:numPr>
        <w:rPr>
          <w:snapToGrid w:val="0"/>
          <w:sz w:val="18"/>
          <w:szCs w:val="18"/>
          <w:lang w:val="pl-PL"/>
        </w:rPr>
      </w:pPr>
      <w:r w:rsidRPr="002C1E9C">
        <w:rPr>
          <w:snapToGrid w:val="0"/>
          <w:sz w:val="18"/>
          <w:szCs w:val="18"/>
          <w:lang w:val="pl-PL"/>
        </w:rPr>
        <w:t>MSKCC</w:t>
      </w:r>
      <w:r w:rsidRPr="002C1E9C">
        <w:rPr>
          <w:snapToGrid w:val="0"/>
          <w:sz w:val="18"/>
          <w:szCs w:val="18"/>
          <w:lang w:val="pl-PL"/>
        </w:rPr>
        <w:fldChar w:fldCharType="begin" w:fldLock="1"/>
      </w:r>
      <w:r w:rsidR="00C03416">
        <w:rPr>
          <w:snapToGrid w:val="0"/>
          <w:sz w:val="18"/>
          <w:szCs w:val="18"/>
          <w:lang w:val="pl-PL"/>
        </w:rPr>
        <w:instrText xml:space="preserve"> ADDIN ZOTERO_ITEM CSL_CITATION {"citationID":"mqAxdMkv","properties":{"formattedCitation":"[19]","plainCitation":"[19]","noteIndex":0},"citationItems":[{"id":"OyO8BWdL/hINmM09Y","uris":["http://www.mendeley.com/documents/?uuid=9b3913dd-71ae-4aa1-9f00-1485d0fde29f"],"itemData":{"DOI":"10.1016/j.ccr.2010.05.026","ISSN":"1878-3686","PMID":"20579941","abstract":"Annotation of prostate cancer genomes provides a foundation for discoveries that can impact disease understanding and treatment. Concordant assessment of DNA copy number, mRNA expression, and focused exon resequencing in 218 prostate cancer tumors identified the nuclear receptor coactivator NCOA2 as an oncogene in approximately 11% of tumors. Additionally, the androgen-driven TMPRSS2-ERG fusion was associated with a previously unrecognized, prostate-specific deletion at chromosome 3p14 that implicates FOXP1, RYBP, and SHQ1 as potential cooperative tumor suppressors. DNA copy-number data from primary tumors revealed that copy-number alterations robustly define clusters of low- and high-risk disease beyond that achieved by Gleason score. The genomic and clinical outcome data from these patients are now made available as a public resource.","author":[{"dropping-particle":"","family":"Taylor","given":"Barry S","non-dropping-particle":"","parse-names":false,"suffix":""},{"dropping-particle":"","family":"Schultz","given":"Nikolaus","non-dropping-particle":"","parse-names":false,"suffix":""},{"dropping-particle":"","family":"Hieronymus","given":"Haley","non-dropping-particle":"","parse-names":false,"suffix":""},{"dropping-particle":"","family":"Gopalan","given":"Anuradha","non-dropping-particle":"","parse-names":false,"suffix":""},{"dropping-particle":"","family":"Xiao","given":"Yonghong","non-dropping-particle":"","parse-names":false,"suffix":""},{"dropping-particle":"","family":"Carver","given":"Brett S","non-dropping-particle":"","parse-names":false,"suffix":""},{"dropping-particle":"","family":"Arora","given":"Vivek K","non-dropping-particle":"","parse-names":false,"suffix":""},{"dropping-particle":"","family":"Kaushik","given":"Poorvi","non-dropping-particle":"","parse-names":false,"suffix":""},{"dropping-particle":"","family":"Cerami","given":"Ethan","non-dropping-particle":"","parse-names":false,"suffix":""},{"dropping-particle":"","family":"Reva","given":"Boris","non-dropping-particle":"","parse-names":false,"suffix":""},{"dropping-particle":"","family":"Antipin","given":"Yevgeniy","non-dropping-particle":"","parse-names":false,"suffix":""},{"dropping-particle":"","family":"Mitsiades","given":"Nicholas","non-dropping-particle":"","parse-names":false,"suffix":""},{"dropping-particle":"","family":"Landers","given":"Thomas","non-dropping-particle":"","parse-names":false,"suffix":""},{"dropping-particle":"","family":"Dolgalev","given":"Igor","non-dropping-particle":"","parse-names":false,"suffix":""},{"dropping-particle":"","family":"Major","given":"John E","non-dropping-particle":"","parse-names":false,"suffix":""},{"dropping-particle":"","family":"Wilson","given":"Manda","non-dropping-particle":"","parse-names":false,"suffix":""},{"dropping-particle":"","family":"Socci","given":"Nicholas D","non-dropping-particle":"","parse-names":false,"suffix":""},{"dropping-particle":"","family":"Lash","given":"Alex E","non-dropping-particle":"","parse-names":false,"suffix":""},{"dropping-particle":"","family":"Heguy","given":"Adriana","non-dropping-particle":"","parse-names":false,"suffix":""},{"dropping-particle":"","family":"Eastham","given":"James A","non-dropping-particle":"","parse-names":false,"suffix":""},{"dropping-particle":"","family":"Scher","given":"Howard I","non-dropping-particle":"","parse-names":false,"suffix":""},{"dropping-particle":"","family":"Reuter","given":"Victor E","non-dropping-particle":"","parse-names":false,"suffix":""},{"dropping-particle":"","family":"Scardino","given":"Peter T","non-dropping-particle":"","parse-names":false,"suffix":""},{"dropping-particle":"","family":"Sander","given":"Chris","non-dropping-particle":"","parse-names":false,"suffix":""},{"dropping-particle":"","family":"Sawyers","given":"Charles L","non-dropping-particle":"","parse-names":false,"suffix":""},{"dropping-particle":"","family":"Gerald","given":"William L","non-dropping-particle":"","parse-names":false,"suffix":""}],"container-title":"Cancer cell","id":"ITEM-1","issue":"1","issued":{"date-parts":[["2010","6","13"]]},"note":"From Duplicate 1 (Integrative Genomic Profiling of Human Prostate Cancer. - Taylor, Barry S; Schultz, Nikolaus; Hieronymus, Haley; Gopalan, Anuradha; Xiao, Yonghong; Carver, Brett S; Arora, Vivek K; Kaushik, Poorvi; Cerami, Ethan; Reva, Boris; Antipin, Yevgeniy; Mitsiades, Nicholas; Landers, Thomas; Dolgalev, Igor; Major, John E; Wilson, Manda; Socci, Nicholas D; Lash, Alex E; Heguy, Adriana; Eastham, James A; Scher, Howard I; Reuter, Victor E; Scardino, Peter T; Sander, Chris; Sawyers, Charles L; Gerald, William L)\n\nFrom Duplicate 1 (Integrative genomic profiling of human prostate cancer. - Taylor, Barry S; Schultz, Nikolaus; Hieronymus, Haley; Gopalan, Anuradha; Xiao, Yonghong; Carver, Brett S; Arora, Vivek K; Kaushik, Poorvi; Cerami, Ethan; Reva, Boris; Antipin, Yevgeniy; Mitsiades, Nicholas; Landers, Thomas; Dolgalev, Igor; Major, John E; Wilson, Manda; Socci, Nicholas D; Lash, Alex E; Heguy, Adriana; Eastham, James A; Scher, Howard I; Reuter, Victor E; Scardino, Peter T; Sander, Chris; Sawyers, Charles L; Gerald, William L)\n\nTaylor, Barry S Schultz, Nikolaus Hieronymus, Haley Gopalan, Anuradha Xiao, Yonghong Carver, Brett S Arora, Vivek K Kaushik, Poorvi Cerami, Ethan Reva, Boris Antipin, Yevgeniy Mitsiades, Nicholas Landers, Thomas Dolgalev, Igor Major, John E Wilson, Manda Socci, Nicholas D Lash, Alex E Heguy, Adriana Eastham, James A Scher, Howard I Reuter, Victor E Scardino, Peter T Sander, Chris Sawyers, Charles L Gerald, William L","page":"11-22","publisher":"Elsevier Ltd","title":"Integrative Genomic Profiling of Human Prostate Cancer.","type":"article-journal","volume":"18"}}],"schema":"https://github.com/citation-style-language/schema/raw/master/csl-citation.json"} </w:instrText>
      </w:r>
      <w:r w:rsidRPr="002C1E9C">
        <w:rPr>
          <w:snapToGrid w:val="0"/>
          <w:sz w:val="18"/>
          <w:szCs w:val="18"/>
          <w:lang w:val="pl-PL"/>
        </w:rPr>
        <w:fldChar w:fldCharType="separate"/>
      </w:r>
      <w:r w:rsidR="00C03416">
        <w:rPr>
          <w:snapToGrid w:val="0"/>
          <w:sz w:val="18"/>
          <w:szCs w:val="18"/>
          <w:lang w:val="pl-PL"/>
        </w:rPr>
        <w:t>[19]</w:t>
      </w:r>
      <w:r w:rsidRPr="002C1E9C">
        <w:rPr>
          <w:snapToGrid w:val="0"/>
          <w:sz w:val="18"/>
          <w:szCs w:val="18"/>
        </w:rPr>
        <w:fldChar w:fldCharType="end"/>
      </w:r>
      <w:r w:rsidRPr="002C1E9C">
        <w:rPr>
          <w:snapToGrid w:val="0"/>
          <w:sz w:val="18"/>
          <w:szCs w:val="18"/>
          <w:lang w:val="pl-PL"/>
        </w:rPr>
        <w:t xml:space="preserve"> : </w:t>
      </w:r>
      <w:hyperlink r:id="rId12" w:history="1">
        <w:r w:rsidRPr="002C1E9C">
          <w:rPr>
            <w:rStyle w:val="Hyperlink"/>
            <w:sz w:val="18"/>
            <w:szCs w:val="18"/>
            <w:lang w:val="pl-PL" w:eastAsia="en-US"/>
          </w:rPr>
          <w:t>https://www.ncbi.nlm.nih.gov/geo/query/acc.cgi?acc=GSE21034</w:t>
        </w:r>
      </w:hyperlink>
      <w:r w:rsidRPr="002C1E9C">
        <w:rPr>
          <w:snapToGrid w:val="0"/>
          <w:sz w:val="18"/>
          <w:szCs w:val="18"/>
          <w:lang w:val="pl-PL"/>
        </w:rPr>
        <w:t xml:space="preserve"> </w:t>
      </w:r>
    </w:p>
    <w:p w14:paraId="26D9ACF6" w14:textId="39B594C1" w:rsidR="001B2E3D" w:rsidRPr="002C1E9C" w:rsidRDefault="001B2E3D" w:rsidP="001B2E3D">
      <w:pPr>
        <w:pStyle w:val="MDPI38bullet"/>
        <w:numPr>
          <w:ilvl w:val="0"/>
          <w:numId w:val="21"/>
        </w:numPr>
        <w:rPr>
          <w:snapToGrid w:val="0"/>
          <w:sz w:val="18"/>
          <w:szCs w:val="18"/>
          <w:lang w:val="pl-PL"/>
        </w:rPr>
      </w:pPr>
      <w:r w:rsidRPr="002C1E9C">
        <w:rPr>
          <w:snapToGrid w:val="0"/>
          <w:sz w:val="18"/>
          <w:szCs w:val="18"/>
          <w:lang w:val="pl-PL"/>
        </w:rPr>
        <w:t>CancerMap</w:t>
      </w:r>
      <w:r w:rsidRPr="002C1E9C">
        <w:rPr>
          <w:snapToGrid w:val="0"/>
          <w:sz w:val="18"/>
          <w:szCs w:val="18"/>
          <w:lang w:val="en-GB"/>
        </w:rPr>
        <w:fldChar w:fldCharType="begin" w:fldLock="1"/>
      </w:r>
      <w:r w:rsidR="00C03416">
        <w:rPr>
          <w:snapToGrid w:val="0"/>
          <w:sz w:val="18"/>
          <w:szCs w:val="18"/>
          <w:lang w:val="pl-PL"/>
        </w:rPr>
        <w:instrText xml:space="preserve"> ADDIN ZOTERO_ITEM CSL_CITATION {"citationID":"oDfgh9iB","properties":{"formattedCitation":"[12]","plainCitation":"[12]","noteIndex":0},"citationItems":[{"id":"OyO8BWdL/66igkMwV","uris":["http://www.mendeley.com/documents/?uuid=c3f059a1-fe27-49bc-a839-c2b4fe1404cf"],"itemData":{"DOI":"10.1016/j.euf.2017.01.016","ISSN":"2405-4569","PMID":"28753852","abstract":"BACKGROUND A critical problem in the clinical management of prostate cancer is that it is highly heterogeneous. Accurate prediction of individual cancer behaviour is therefore not achievable at the time of diagnosis leading to substantial overtreatment. It remains an enigma that, in contrast to breast cancer, unsupervised analyses of global expression profiles have not currently defined robust categories of prostate cancer with distinct clinical outcomes. OBJECTIVE To devise a novel classification framework for human prostate cancer based on unsupervised mathematical approaches. DESIGN, SETTING, AND PARTICIPANTS Our analyses are based on the hypothesis that previous attempts to classify prostate cancer have been unsuccessful because individual samples of prostate cancer frequently have heterogeneous compositions. To address this issue, we applied an unsupervised Bayesian procedure called Latent Process Decomposition to four independent prostate cancer transcriptome datasets obtained using samples from prostatectomy patients and containing between 78 and 182 participants. OUTCOME MEASUREMENTS AND STATISTICAL ANALYSIS Biochemical failure was assessed using log-rank analysis and Cox regression analysis. RESULTS AND LIMITATIONS Application of Latent Process Decomposition identified a common process in all four independent datasets examined. Cancers assigned to this process (designated DESNT cancers) are characterized by low expression of a core set of 45 genes, many encoding proteins involved in the cytoskeleton machinery, ion transport, and cell adhesion. For the three datasets with linked prostate-specific antigen failure data following prostatectomy, patients with DESNT cancer exhibited poor outcome relative to other patients (p=2.65×10-5, p=4.28×10-5, and p=2.98×10-8). When these three datasets were combined the independent predictive value of DESNT membership was p=1.61×10-7 compared with p=1.00×10-5 for Gleason sum. A limitation of the study is that only prediction of prostate-specific antigen failure was examined. CONCLUSIONS Our results demonstrate the existence of a novel poor prognosis category of human prostate cancer and will assist in the targeting of therapy, helping avoid treatment-associated morbidity in men with indolent disease. PATIENT SUMMARY Prostate cancer, unlike breast cancer, does not have a robust classification framework. We propose that this failure has occurred because prostate cancer samples selected for analysis frequently hav…","author":[{"dropping-particle":"","family":"Luca","given":"Bogdan-alexandru","non-dropping-particle":"","parse-names":false,"suffix":""},{"dropping-particle":"","family":"Brewer","given":"Daniel S","non-dropping-particle":"","parse-names":false,"suffix":""},{"dropping-particle":"","family":"Edwards","given":"Dylan R","non-dropping-particle":"","parse-names":false,"suffix":""},{"dropping-particle":"","family":"Edwards","given":"Sandra","non-dropping-particle":"","parse-names":false,"suffix":""},{"dropping-particle":"","family":"Whitaker","given":"Hayley C","non-dropping-particle":"","parse-names":false,"suffix":""},{"dropping-particle":"","family":"Merson","given":"Sue","non-dropping-particle":"","parse-names":false,"suffix":""},{"dropping-particle":"","family":"Dennis","given":"Nening","non-dropping-particle":"","parse-names":false,"suffix":""},{"dropping-particle":"","family":"Cooper","given":"Rosalin A","non-dropping-particle":"","parse-names":false,"suffix":""},{"dropping-particle":"","family":"Hazell","given":"Steven","non-dropping-particle":"","parse-names":false,"suffix":""},{"dropping-particle":"","family":"Warren","given":"Anne Y","non-dropping-particle":"","parse-names":false,"suffix":""},{"dropping-particle":"","family":"CancerMap Group","given":"","non-dropping-particle":"","parse-names":false,"suffix":""},{"dropping-particle":"","family":"Eeles","given":"Rosalind","non-dropping-particle":"","parse-names":false,"suffix":""},{"dropping-particle":"","family":"Lynch","given":"Andy G","non-dropping-particle":"","parse-names":false,"suffix":""},{"dropping-particle":"","family":"Ross-Adams","given":"Helen","non-dropping-particle":"","parse-names":false,"suffix":""},{"dropping-particle":"","family":"Lamb","given":"Alastair D","non-dropping-particle":"","parse-names":false,"suffix":""},{"dropping-particle":"","family":"Neal","given":"David E","non-dropping-particle":"","parse-names":false,"suffix":""},{"dropping-particle":"","family":"Sethia","given":"Krishna","non-dropping-particle":"","parse-names":false,"suffix":""},{"dropping-particle":"","family":"Mills","given":"Robert D","non-dropping-particle":"","parse-names":false,"suffix":""},{"dropping-particle":"","family":"Ball","given":"Richard Y","non-dropping-particle":"","parse-names":false,"suffix":""},{"dropping-particle":"","family":"Curley","given":"Helen","non-dropping-particle":"","parse-names":false,"suffix":""},{"dropping-particle":"","family":"Clark","given":"Jeremy","non-dropping-particle":"","parse-names":false,"suffix":""},{"dropping-particle":"","family":"Moulton","given":"Vincent","non-dropping-particle":"","parse-names":false,"suffix":""},{"dropping-particle":"","family":"Cooper","given":"Colin S","non-dropping-particle":"","parse-names":false,"suffix":""}],"container-title":"European urology focus","id":"ITEM-1","issue":"6","issued":{"date-parts":[["2018","12","6"]]},"language":"English","page":"842-850","publisher":"European Association of Urology","title":"DESNT: A Poor Prognosis Category of Human Prostate Cancer.","type":"article-journal","volume":"4"}}],"schema":"https://github.com/citation-style-language/schema/raw/master/csl-citation.json"} </w:instrText>
      </w:r>
      <w:r w:rsidRPr="002C1E9C">
        <w:rPr>
          <w:snapToGrid w:val="0"/>
          <w:sz w:val="18"/>
          <w:szCs w:val="18"/>
          <w:lang w:val="en-GB"/>
        </w:rPr>
        <w:fldChar w:fldCharType="separate"/>
      </w:r>
      <w:r w:rsidR="00C03416">
        <w:rPr>
          <w:snapToGrid w:val="0"/>
          <w:sz w:val="18"/>
          <w:szCs w:val="18"/>
          <w:lang w:val="pl-PL"/>
        </w:rPr>
        <w:t>[12]</w:t>
      </w:r>
      <w:r w:rsidRPr="002C1E9C">
        <w:rPr>
          <w:snapToGrid w:val="0"/>
          <w:sz w:val="18"/>
          <w:szCs w:val="18"/>
        </w:rPr>
        <w:fldChar w:fldCharType="end"/>
      </w:r>
      <w:r w:rsidRPr="002C1E9C">
        <w:rPr>
          <w:snapToGrid w:val="0"/>
          <w:sz w:val="18"/>
          <w:szCs w:val="18"/>
          <w:lang w:val="pl-PL"/>
        </w:rPr>
        <w:t xml:space="preserve"> :  </w:t>
      </w:r>
      <w:hyperlink r:id="rId13" w:history="1">
        <w:r w:rsidRPr="002C1E9C">
          <w:rPr>
            <w:rStyle w:val="Hyperlink"/>
            <w:sz w:val="18"/>
            <w:szCs w:val="18"/>
            <w:lang w:val="pl-PL" w:eastAsia="en-US"/>
          </w:rPr>
          <w:t>https://www.ncbi.nlm.nih.gov/geo/query/acc.cgi?acc=GSE94767</w:t>
        </w:r>
      </w:hyperlink>
    </w:p>
    <w:p w14:paraId="07CD11DE" w14:textId="53CCBB10" w:rsidR="001B2E3D" w:rsidRPr="002C1E9C" w:rsidRDefault="001B2E3D" w:rsidP="001B2E3D">
      <w:pPr>
        <w:pStyle w:val="MDPI38bullet"/>
        <w:numPr>
          <w:ilvl w:val="0"/>
          <w:numId w:val="21"/>
        </w:numPr>
        <w:rPr>
          <w:snapToGrid w:val="0"/>
          <w:sz w:val="18"/>
          <w:szCs w:val="18"/>
          <w:lang w:val="en-GB"/>
        </w:rPr>
      </w:pPr>
      <w:r w:rsidRPr="002C1E9C">
        <w:rPr>
          <w:snapToGrid w:val="0"/>
          <w:sz w:val="18"/>
          <w:szCs w:val="18"/>
          <w:lang w:val="en-GB"/>
        </w:rPr>
        <w:t>Stephenson</w:t>
      </w:r>
      <w:r w:rsidRPr="002C1E9C">
        <w:rPr>
          <w:snapToGrid w:val="0"/>
          <w:sz w:val="18"/>
          <w:szCs w:val="18"/>
          <w:lang w:val="en-GB"/>
        </w:rPr>
        <w:fldChar w:fldCharType="begin" w:fldLock="1"/>
      </w:r>
      <w:r w:rsidR="00C03416">
        <w:rPr>
          <w:snapToGrid w:val="0"/>
          <w:sz w:val="18"/>
          <w:szCs w:val="18"/>
          <w:lang w:val="en-GB"/>
        </w:rPr>
        <w:instrText xml:space="preserve"> ADDIN ZOTERO_ITEM CSL_CITATION {"citationID":"JpDzaIKY","properties":{"formattedCitation":"[22]","plainCitation":"[22]","noteIndex":0},"citationItems":[{"id":"OyO8BWdL/pJbQ38aO","uris":["http://www.mendeley.com/documents/?uuid=4943b0a0-d670-4f4b-8c5f-d790e62d8bf5"],"itemData":{"author":[{"dropping-particle":"","family":"Stephenson","given":"Andrew J","non-dropping-particle":"","parse-names":false,"suffix":""},{"dropping-particle":"","family":"Smith","given":"Alex","non-dropping-particle":"","parse-names":false,"suffix":""},{"dropping-particle":"","family":"Kattan","given":"Michael W","non-dropping-particle":"","parse-names":false,"suffix":""},{"dropping-particle":"","family":"Satagopan","given":"Jaya","non-dropping-particle":"","parse-names":false,"suffix":""},{"dropping-particle":"","family":"Reuter","given":"Victor E","non-dropping-particle":"","parse-names":false,"suffix":""},{"dropping-particle":"","family":"Scardino","given":"Peter T","non-dropping-particle":"","parse-names":false,"suffix":""},{"dropping-particle":"","family":"Gerald","given":"William L","non-dropping-particle":"","parse-names":false,"suffix":""}],"container-title":"Cancer","id":"ITEM-1","issue":"2","issued":{"date-parts":[["2005"]]},"page":"290-298","publisher":"Wiley Online Library","title":"Integration of gene expression profiling and clinical variables to predict prostate carcinoma recurrence after radical prostatectomy","type":"article-journal","volume":"104"}}],"schema":"https://github.com/citation-style-language/schema/raw/master/csl-citation.json"} </w:instrText>
      </w:r>
      <w:r w:rsidRPr="002C1E9C">
        <w:rPr>
          <w:snapToGrid w:val="0"/>
          <w:sz w:val="18"/>
          <w:szCs w:val="18"/>
          <w:lang w:val="en-GB"/>
        </w:rPr>
        <w:fldChar w:fldCharType="separate"/>
      </w:r>
      <w:r w:rsidR="00C03416">
        <w:rPr>
          <w:snapToGrid w:val="0"/>
          <w:sz w:val="18"/>
          <w:szCs w:val="18"/>
          <w:lang w:val="en-GB"/>
        </w:rPr>
        <w:t>[22]</w:t>
      </w:r>
      <w:r w:rsidRPr="002C1E9C">
        <w:rPr>
          <w:snapToGrid w:val="0"/>
          <w:sz w:val="18"/>
          <w:szCs w:val="18"/>
        </w:rPr>
        <w:fldChar w:fldCharType="end"/>
      </w:r>
      <w:r w:rsidRPr="002C1E9C">
        <w:rPr>
          <w:snapToGrid w:val="0"/>
          <w:sz w:val="18"/>
          <w:szCs w:val="18"/>
          <w:lang w:val="en-GB"/>
        </w:rPr>
        <w:t xml:space="preserve"> : Data available from the corresponding author of this paper.</w:t>
      </w:r>
    </w:p>
    <w:p w14:paraId="61332379" w14:textId="4A45E965" w:rsidR="001B2E3D" w:rsidRPr="002C1E9C" w:rsidRDefault="001B2E3D" w:rsidP="001B2E3D">
      <w:pPr>
        <w:pStyle w:val="MDPI38bullet"/>
        <w:numPr>
          <w:ilvl w:val="0"/>
          <w:numId w:val="21"/>
        </w:numPr>
        <w:rPr>
          <w:snapToGrid w:val="0"/>
          <w:sz w:val="18"/>
          <w:szCs w:val="18"/>
          <w:lang w:val="en-GB"/>
        </w:rPr>
      </w:pPr>
      <w:r w:rsidRPr="002C1E9C">
        <w:rPr>
          <w:snapToGrid w:val="0"/>
          <w:sz w:val="18"/>
          <w:szCs w:val="18"/>
          <w:lang w:val="en-GB"/>
        </w:rPr>
        <w:t>CamCap</w:t>
      </w:r>
      <w:r w:rsidRPr="002C1E9C">
        <w:rPr>
          <w:snapToGrid w:val="0"/>
          <w:sz w:val="18"/>
          <w:szCs w:val="18"/>
          <w:lang w:val="en-GB"/>
        </w:rPr>
        <w:fldChar w:fldCharType="begin" w:fldLock="1"/>
      </w:r>
      <w:r w:rsidR="00C03416">
        <w:rPr>
          <w:snapToGrid w:val="0"/>
          <w:sz w:val="18"/>
          <w:szCs w:val="18"/>
          <w:lang w:val="en-GB"/>
        </w:rPr>
        <w:instrText xml:space="preserve"> ADDIN ZOTERO_ITEM CSL_CITATION {"citationID":"kL5ACjfD","properties":{"formattedCitation":"[23]","plainCitation":"[23]","noteIndex":0},"citationItems":[{"id":"OyO8BWdL/pbNjJPNl","uris":["http://www.mendeley.com/documents/?uuid=b978d695-f234-4358-b281-70487eabbbe9"],"itemData":{"DOI":"10.1016/j.ebiom.2015.07.017","ISSN":"23523964","author":[{"dropping-particle":"","family":"Ross-Adams","given":"H.","non-dropping-particle":"","parse-names":false,"suffix":""},{"dropping-particle":"","family":"Lamb","given":"A.D. D","non-dropping-particle":"","parse-names":false,"suffix":""},{"dropping-particle":"","family":"Dunning","given":"M.J. J","non-dropping-particle":"","parse-names":false,"suffix":""},{"dropping-particle":"","family":"Halim","given":"S.","non-dropping-particle":"","parse-names":false,"suffix":""},{"dropping-particle":"","family":"Lindberg","given":"J.","non-dropping-particle":"","parse-names":false,"suffix":""},{"dropping-particle":"","family":"Massie","given":"C.M. M","non-dropping-particle":"","parse-names":false,"suffix":""},{"dropping-particle":"","family":"Egevad","given":"L.A. A","non-dropping-particle":"","parse-names":false,"suffix":""},{"dropping-particle":"","family":"Russell","given":"R.","non-dropping-particle":"","parse-names":false,"suffix":""},{"dropping-particle":"","family":"Ramos-Montoya","given":"A.","non-dropping-particle":"","parse-names":false,"suffix":""},{"dropping-particle":"","family":"Vowler","given":"S.L. L","non-dropping-particle":"","parse-names":false,"suffix":""},{"dropping-particle":"","family":"others","given":"","non-dropping-particle":"","parse-names":false,"suffix":""},{"dropping-particle":"","family":"Sharma","given":"N.L. L","non-dropping-particle":"","parse-names":false,"suffix":""},{"dropping-particle":"","family":"Kay","given":"J.","non-dropping-particle":"","parse-names":false,"suffix":""},{"dropping-particle":"","family":"Whitaker","given":"H.","non-dropping-particle":"","parse-names":false,"suffix":""},{"dropping-particle":"","family":"Clark","given":"J.","non-dropping-particle":"","parse-names":false,"suffix":""},{"dropping-particle":"","family":"Hurst","given":"R.","non-dropping-particle":"","parse-names":false,"suffix":""},{"dropping-particle":"","family":"Gnanapragasam","given":"V.J. J","non-dropping-particle":"","parse-names":false,"suffix":""},{"dropping-particle":"","family":"Shah","given":"N.C. C","non-dropping-particle":"","parse-names":false,"suffix":""},{"dropping-particle":"","family":"Warren","given":"A.Y. Y","non-dropping-particle":"","parse-names":false,"suffix":""},{"dropping-particle":"","family":"Cooper","given":"C.S. S","non-dropping-particle":"","parse-names":false,"suffix":""},{"dropping-particle":"","family":"Lynch","given":"A.G. G","non-dropping-particle":"","parse-names":false,"suffix":""},{"dropping-particle":"","family":"Stark","given":"R.","non-dropping-particle":"","parse-names":false,"suffix":""},{"dropping-particle":"","family":"Mills","given":"I.G. G","non-dropping-particle":"","parse-names":false,"suffix":""},{"dropping-particle":"","family":"Grönberg","given":"H.","non-dropping-particle":"","parse-names":false,"suffix":""},{"dropping-particle":"","family":"Neal","given":"D.E. E","non-dropping-particle":"","parse-names":false,"suffix":""},{"dropping-particle":"","family":"Lamb","given":"A.D. D","non-dropping-particle":"","parse-names":false,"suffix":""},{"dropping-particle":"","family":"Sharma","given":"N.L. L","non-dropping-particle":"","parse-names":false,"suffix":""},{"dropping-particle":"","family":"Shaw","given":"G","non-dropping-particle":"","parse-names":false,"suffix":""},{"dropping-particle":"","family":"Hori","given":"S","non-dropping-particle":"","parse-names":false,"suffix":""},{"dropping-particle":"","family":"Baridi","given":"A","non-dropping-particle":"","parse-names":false,"suffix":""},{"dropping-particle":"","family":"Tran","given":"M","non-dropping-particle":"","parse-names":false,"suffix":""},{"dropping-particle":"","family":"Wadhwa","given":"K","non-dropping-particle":"","parse-names":false,"suffix":""},{"dropping-particle":"","family":"Nelson","given":"A","non-dropping-particle":"","parse-names":false,"suffix":""},{"dropping-particle":"","family":"Patel","given":"K","non-dropping-particle":"","parse-names":false,"suffix":""},{"dropping-particle":"","family":"Thomas","given":"B","non-dropping-particle":"","parse-names":false,"suffix":""},{"dropping-particle":"","family":"Luxton","given":"H","non-dropping-particle":"","parse-names":false,"suffix":""},{"dropping-particle":"","family":"Shah","given":"N.C. C","non-dropping-particle":"","parse-names":false,"suffix":""},{"dropping-particle":"","family":"Gnanpragasam","given":"V","non-dropping-particle":"","parse-names":false,"suffix":""},{"dropping-particle":"","family":"Doble","given":"A","non-dropping-particle":"","parse-names":false,"suffix":""},{"dropping-particle":"","family":"Kastner","given":"C","non-dropping-particle":"","parse-names":false,"suffix":""},{"dropping-particle":"","family":"Aho","given":"T","non-dropping-particle":"","parse-names":false,"suffix":""},{"dropping-particle":"","family":"Warren","given":"A.Y. Y","non-dropping-particle":"","parse-names":false,"suffix":""},{"dropping-particle":"","family":"Haynes","given":"B","non-dropping-particle":"","parse-names":false,"suffix":""},{"dropping-particle":"","family":"Partridge","given":"W","non-dropping-particle":"","parse-names":false,"suffix":""},{"dropping-particle":"","family":"Cromwell","given":"E","non-dropping-particle":"","parse-names":false,"suffix":""},{"dropping-particle":"","family":"Sangrasi","given":"A","non-dropping-particle":"","parse-names":false,"suffix":""},{"dropping-particle":"","family":"Burge","given":"J","non-dropping-particle":"","parse-names":false,"suffix":""},{"dropping-particle":"","family":"George","given":"A","non-dropping-particle":"","parse-names":false,"suffix":""},{"dropping-particle":"","family":"Stearn","given":"S","non-dropping-particle":"","parse-names":false,"suffix":""},{"dropping-particle":"","family":"Corcoran","given":"M","non-dropping-particle":"","parse-names":false,"suffix":""},{"dropping-particle":"","family":"Coret","given":"H","non-dropping-particle":"","parse-names":false,"suffix":""},{"dropping-particle":"","family":"Basnett","given":"G","non-dropping-particle":"","parse-names":false,"suffix":""},{"dropping-particle":"","family":"Francis","given":"I","non-dropping-particle":"","parse-names":false,"suffix":""},{"dropping-particle":"","family":"Egevad","given":"L.A. A","non-dropping-particle":"","parse-names":false,"suffix":""},{"dropping-particle":"","family":"Whitington","given":"T","non-dropping-particle":"","parse-names":false,"suffix":""},{"dropping-particle":"","family":"Neal","given":"D.E. E","non-dropping-particle":"","parse-names":false,"suffix":""},{"dropping-particle":"","family":"Mills","given":"I.G. G","non-dropping-particle":"","parse-names":false,"suffix":""},{"dropping-particle":"","family":"Dunning","given":"M.J. J","non-dropping-particle":"","parse-names":false,"suffix":""},{"dropping-particle":"","family":"Massie","given":"C.M. M","non-dropping-particle":"","parse-names":false,"suffix":""},{"dropping-particle":"","family":"Lynch","given":"A.G. G","non-dropping-particle":"","parse-names":false,"suffix":""},{"dropping-particle":"","family":"Vowler","given":"S.L. L","non-dropping-particle":"","parse-names":false,"suffix":""},{"dropping-particle":"","family":"Yuan","given":"Y","non-dropping-particle":"","parse-names":false,"suffix":""},{"dropping-particle":"","family":"Rueda","given":"O","non-dropping-particle":"","parse-names":false,"suffix":""},{"dropping-particle":"","family":"Hadfield","given":"J","non-dropping-particle":"","parse-names":false,"suffix":""},{"dropping-particle":"","family":"Howat","given":"W","non-dropping-particle":"","parse-names":false,"suffix":""},{"dropping-particle":"","family":"Miller","given":"J","non-dropping-particle":"","parse-names":false,"suffix":""},{"dropping-particle":"","family":"Cooper","given":"N C","non-dropping-particle":"","parse-names":false,"suffix":""},{"dropping-particle":"","family":"Brewer","given":"D","non-dropping-particle":"","parse-names":false,"suffix":""},{"dropping-particle":"","family":"others","given":"","non-dropping-particle":"","parse-names":false,"suffix":""}],"container-title":"EBioMedicine","id":"ITEM-1","issue":"9","issued":{"date-parts":[["2015"]]},"page":"1133-1144","publisher":"Elsevier B.V.","title":"Integration of copy number and transcriptomics provides risk stratification in prostate cancer: A discovery and validation cohort study","type":"article-journal","volume":"2"}}],"schema":"https://github.com/citation-style-language/schema/raw/master/csl-citation.json"} </w:instrText>
      </w:r>
      <w:r w:rsidRPr="002C1E9C">
        <w:rPr>
          <w:snapToGrid w:val="0"/>
          <w:sz w:val="18"/>
          <w:szCs w:val="18"/>
          <w:lang w:val="en-GB"/>
        </w:rPr>
        <w:fldChar w:fldCharType="separate"/>
      </w:r>
      <w:r w:rsidR="00C03416">
        <w:rPr>
          <w:snapToGrid w:val="0"/>
          <w:sz w:val="18"/>
          <w:szCs w:val="18"/>
          <w:lang w:val="en-GB"/>
        </w:rPr>
        <w:t>[23]</w:t>
      </w:r>
      <w:r w:rsidRPr="002C1E9C">
        <w:rPr>
          <w:snapToGrid w:val="0"/>
          <w:sz w:val="18"/>
          <w:szCs w:val="18"/>
        </w:rPr>
        <w:fldChar w:fldCharType="end"/>
      </w:r>
      <w:r w:rsidRPr="002C1E9C">
        <w:rPr>
          <w:snapToGrid w:val="0"/>
          <w:sz w:val="18"/>
          <w:szCs w:val="18"/>
          <w:lang w:val="en-GB"/>
        </w:rPr>
        <w:t xml:space="preserve"> : </w:t>
      </w:r>
      <w:hyperlink r:id="rId14" w:history="1">
        <w:r w:rsidRPr="002C1E9C">
          <w:rPr>
            <w:rStyle w:val="Hyperlink"/>
            <w:sz w:val="18"/>
            <w:szCs w:val="18"/>
            <w:lang w:val="en-GB" w:eastAsia="en-US"/>
          </w:rPr>
          <w:t>https://www.ncbi.nlm.nih.gov/geo/query/acc.cgi?acc=GSE70768</w:t>
        </w:r>
      </w:hyperlink>
      <w:r w:rsidRPr="002C1E9C">
        <w:rPr>
          <w:snapToGrid w:val="0"/>
          <w:sz w:val="18"/>
          <w:szCs w:val="18"/>
          <w:lang w:val="en-GB"/>
        </w:rPr>
        <w:t xml:space="preserve">   and </w:t>
      </w:r>
      <w:hyperlink r:id="rId15" w:history="1">
        <w:r w:rsidRPr="002C1E9C">
          <w:rPr>
            <w:rStyle w:val="Hyperlink"/>
            <w:sz w:val="18"/>
            <w:szCs w:val="18"/>
            <w:lang w:val="en-GB" w:eastAsia="en-US"/>
          </w:rPr>
          <w:t>https://www.ncbi.nlm.nih.gov/geo/query/acc.cgi?acc=GSE70769</w:t>
        </w:r>
      </w:hyperlink>
      <w:r w:rsidRPr="002C1E9C">
        <w:rPr>
          <w:snapToGrid w:val="0"/>
          <w:sz w:val="18"/>
          <w:szCs w:val="18"/>
          <w:lang w:val="en-GB"/>
        </w:rPr>
        <w:t xml:space="preserve"> </w:t>
      </w:r>
    </w:p>
    <w:p w14:paraId="01E4D125" w14:textId="77777777" w:rsidR="001B2E3D" w:rsidRPr="00613B31" w:rsidRDefault="001B2E3D" w:rsidP="001B2E3D">
      <w:pPr>
        <w:pStyle w:val="MDPI62BackMatter"/>
      </w:pPr>
    </w:p>
    <w:p w14:paraId="42383968" w14:textId="77777777" w:rsidR="001B2E3D" w:rsidRPr="002C1E9C" w:rsidRDefault="001B2E3D" w:rsidP="001B2E3D">
      <w:pPr>
        <w:pStyle w:val="MDPI62BackMatter"/>
        <w:rPr>
          <w:lang w:val="en-GB"/>
        </w:rPr>
      </w:pPr>
      <w:r>
        <w:rPr>
          <w:b/>
        </w:rPr>
        <w:t>Acknowledgments:</w:t>
      </w:r>
      <w:r>
        <w:t xml:space="preserve"> </w:t>
      </w:r>
      <w:r w:rsidRPr="002C1E9C">
        <w:rPr>
          <w:lang w:val="en-GB"/>
        </w:rPr>
        <w:t xml:space="preserve">The authors would like to thank those men with prostate cancer and the subjects who have donated their time and samples to the data sets used in this study. Part of the research </w:t>
      </w:r>
      <w:r w:rsidRPr="002C1E9C">
        <w:rPr>
          <w:lang w:val="en-GB"/>
        </w:rPr>
        <w:lastRenderedPageBreak/>
        <w:t>presented in this paper was carried out on the High Performance Computing Cluster supported by the Research and Specialist Computing Support service at the University of East Anglia.</w:t>
      </w:r>
    </w:p>
    <w:p w14:paraId="01FF10C5" w14:textId="77777777" w:rsidR="001B2E3D" w:rsidRPr="002C1E9C" w:rsidRDefault="001B2E3D" w:rsidP="001B2E3D">
      <w:pPr>
        <w:pStyle w:val="MDPI62BackMatter"/>
        <w:rPr>
          <w:lang w:val="en-GB"/>
        </w:rPr>
      </w:pPr>
      <w:r>
        <w:rPr>
          <w:b/>
        </w:rPr>
        <w:t>Conflicts of Interest:</w:t>
      </w:r>
      <w:r>
        <w:t xml:space="preserve"> </w:t>
      </w:r>
      <w:r w:rsidRPr="002C1E9C">
        <w:rPr>
          <w:lang w:val="en-GB"/>
        </w:rPr>
        <w:t>C.S.C and D.S.B are co-inventors on a patent application from the University of East Anglia on the detection of DESNT prostate cancer.</w:t>
      </w:r>
      <w:r>
        <w:rPr>
          <w:lang w:val="en-GB"/>
        </w:rPr>
        <w:t xml:space="preserve"> </w:t>
      </w:r>
      <w:r>
        <w:t>The funders had no role in the design of the study; in the collection, analyses, or interpretation of data; in the writing of the manuscript; or in the decision to publish the results”.</w:t>
      </w:r>
    </w:p>
    <w:p w14:paraId="28D4AAA9" w14:textId="68ACEF83" w:rsidR="00AF05DF" w:rsidRDefault="00AF05DF" w:rsidP="00606C3F">
      <w:pPr>
        <w:pStyle w:val="MDPI21heading1"/>
        <w:ind w:left="0"/>
      </w:pPr>
      <w:r w:rsidRPr="00FA04F1">
        <w:t>References</w:t>
      </w:r>
    </w:p>
    <w:p w14:paraId="3D7BA39B" w14:textId="77777777" w:rsidR="00C03416" w:rsidRPr="00C03416" w:rsidRDefault="00FA2833" w:rsidP="00C03416">
      <w:pPr>
        <w:pStyle w:val="Bibliography"/>
        <w:rPr>
          <w:sz w:val="18"/>
        </w:rPr>
      </w:pPr>
      <w:r>
        <w:fldChar w:fldCharType="begin"/>
      </w:r>
      <w:r w:rsidR="005949F0">
        <w:instrText xml:space="preserve"> ADDIN ZOTERO_BIBL {"uncited":[],"omitted":[],"custom":[]} CSL_BIBLIOGRAPHY </w:instrText>
      </w:r>
      <w:r>
        <w:fldChar w:fldCharType="separate"/>
      </w:r>
      <w:r w:rsidR="00C03416" w:rsidRPr="00C03416">
        <w:rPr>
          <w:sz w:val="18"/>
        </w:rPr>
        <w:t xml:space="preserve">1. </w:t>
      </w:r>
      <w:r w:rsidR="00C03416" w:rsidRPr="00C03416">
        <w:rPr>
          <w:sz w:val="18"/>
        </w:rPr>
        <w:tab/>
        <w:t>Cancer Research UK Prostate Cancer Statistics Available online: https://www.cancerresearchuk.org/health-professional/cancer-statistics/statistics-by-cancer-type/prostate-cancer (accessed on 17 August 2021).</w:t>
      </w:r>
    </w:p>
    <w:p w14:paraId="4B4037D1" w14:textId="77777777" w:rsidR="00C03416" w:rsidRPr="00C03416" w:rsidRDefault="00C03416" w:rsidP="00C03416">
      <w:pPr>
        <w:pStyle w:val="Bibliography"/>
        <w:rPr>
          <w:sz w:val="18"/>
        </w:rPr>
      </w:pPr>
      <w:r w:rsidRPr="00C03416">
        <w:rPr>
          <w:sz w:val="18"/>
        </w:rPr>
        <w:t xml:space="preserve">2. </w:t>
      </w:r>
      <w:r w:rsidRPr="00C03416">
        <w:rPr>
          <w:sz w:val="18"/>
        </w:rPr>
        <w:tab/>
        <w:t xml:space="preserve">D’Amico, A. V; Moul, J.; Carroll, P.R.; Sun, L.; Lubeck, D.; Chen, M.-H.; D’Amico, A. V; Moul, J.; Carroll, P.R.; Sun, L.; et al. Cancer-Specific Mortality After Surgery or Radiation for Patients With Clinically Localized Prostate Cancer Managed During the Prostate-Specific Antigen Era. </w:t>
      </w:r>
      <w:r w:rsidRPr="00C03416">
        <w:rPr>
          <w:i/>
          <w:iCs/>
          <w:sz w:val="18"/>
        </w:rPr>
        <w:t>Journal of Clinical Oncology</w:t>
      </w:r>
      <w:r w:rsidRPr="00C03416">
        <w:rPr>
          <w:sz w:val="18"/>
        </w:rPr>
        <w:t xml:space="preserve"> </w:t>
      </w:r>
      <w:r w:rsidRPr="00C03416">
        <w:rPr>
          <w:b/>
          <w:bCs/>
          <w:sz w:val="18"/>
        </w:rPr>
        <w:t>2003</w:t>
      </w:r>
      <w:r w:rsidRPr="00C03416">
        <w:rPr>
          <w:sz w:val="18"/>
        </w:rPr>
        <w:t xml:space="preserve">, </w:t>
      </w:r>
      <w:r w:rsidRPr="00C03416">
        <w:rPr>
          <w:i/>
          <w:iCs/>
          <w:sz w:val="18"/>
        </w:rPr>
        <w:t>21</w:t>
      </w:r>
      <w:r w:rsidRPr="00C03416">
        <w:rPr>
          <w:sz w:val="18"/>
        </w:rPr>
        <w:t>, 2163–2172, doi:10.1200/JCO.2003.01.075.</w:t>
      </w:r>
    </w:p>
    <w:p w14:paraId="79AA3AD8" w14:textId="77777777" w:rsidR="00C03416" w:rsidRPr="00C03416" w:rsidRDefault="00C03416" w:rsidP="00C03416">
      <w:pPr>
        <w:pStyle w:val="Bibliography"/>
        <w:rPr>
          <w:sz w:val="18"/>
        </w:rPr>
      </w:pPr>
      <w:r w:rsidRPr="00C03416">
        <w:rPr>
          <w:sz w:val="18"/>
        </w:rPr>
        <w:t xml:space="preserve">3. </w:t>
      </w:r>
      <w:r w:rsidRPr="00C03416">
        <w:rPr>
          <w:sz w:val="18"/>
        </w:rPr>
        <w:tab/>
        <w:t xml:space="preserve">Attard, G.; Cooper, C.S.; de Bono, J.S. Steroid Hormone Receptors in Prostate Cancer: A Hard Habit to Break? </w:t>
      </w:r>
      <w:r w:rsidRPr="00C03416">
        <w:rPr>
          <w:i/>
          <w:iCs/>
          <w:sz w:val="18"/>
        </w:rPr>
        <w:t>Cancer Cell</w:t>
      </w:r>
      <w:r w:rsidRPr="00C03416">
        <w:rPr>
          <w:sz w:val="18"/>
        </w:rPr>
        <w:t xml:space="preserve"> </w:t>
      </w:r>
      <w:r w:rsidRPr="00C03416">
        <w:rPr>
          <w:b/>
          <w:bCs/>
          <w:sz w:val="18"/>
        </w:rPr>
        <w:t>2009</w:t>
      </w:r>
      <w:r w:rsidRPr="00C03416">
        <w:rPr>
          <w:sz w:val="18"/>
        </w:rPr>
        <w:t xml:space="preserve">, </w:t>
      </w:r>
      <w:r w:rsidRPr="00C03416">
        <w:rPr>
          <w:i/>
          <w:iCs/>
          <w:sz w:val="18"/>
        </w:rPr>
        <w:t>16</w:t>
      </w:r>
      <w:r w:rsidRPr="00C03416">
        <w:rPr>
          <w:sz w:val="18"/>
        </w:rPr>
        <w:t>, 458–462, doi:10.1016/j.ccr.2009.11.006.</w:t>
      </w:r>
    </w:p>
    <w:p w14:paraId="12A05C38" w14:textId="77777777" w:rsidR="00C03416" w:rsidRPr="00C03416" w:rsidRDefault="00C03416" w:rsidP="00C03416">
      <w:pPr>
        <w:pStyle w:val="Bibliography"/>
        <w:rPr>
          <w:sz w:val="18"/>
        </w:rPr>
      </w:pPr>
      <w:r w:rsidRPr="00C03416">
        <w:rPr>
          <w:sz w:val="18"/>
        </w:rPr>
        <w:t xml:space="preserve">4. </w:t>
      </w:r>
      <w:r w:rsidRPr="00C03416">
        <w:rPr>
          <w:sz w:val="18"/>
        </w:rPr>
        <w:tab/>
        <w:t xml:space="preserve">Schiffmann, J.; Wenzel, P.; Salomon, G.; Budäus, L.; Schlomm, T.; Minner, S.; Wittmer, C.; Kraft, S.; Krech, T.; Steurer, S.; et al. Heterogeneity in D’Amico Classification-Based Low-Risk Prostate Cancer: Differences in Upgrading and Upstaging According to Active Surveillance Eligibility. </w:t>
      </w:r>
      <w:r w:rsidRPr="00C03416">
        <w:rPr>
          <w:i/>
          <w:iCs/>
          <w:sz w:val="18"/>
        </w:rPr>
        <w:t>Urologic oncology</w:t>
      </w:r>
      <w:r w:rsidRPr="00C03416">
        <w:rPr>
          <w:sz w:val="18"/>
        </w:rPr>
        <w:t xml:space="preserve"> </w:t>
      </w:r>
      <w:r w:rsidRPr="00C03416">
        <w:rPr>
          <w:b/>
          <w:bCs/>
          <w:sz w:val="18"/>
        </w:rPr>
        <w:t>2015</w:t>
      </w:r>
      <w:r w:rsidRPr="00C03416">
        <w:rPr>
          <w:sz w:val="18"/>
        </w:rPr>
        <w:t xml:space="preserve">, </w:t>
      </w:r>
      <w:r w:rsidRPr="00C03416">
        <w:rPr>
          <w:i/>
          <w:iCs/>
          <w:sz w:val="18"/>
        </w:rPr>
        <w:t>33</w:t>
      </w:r>
      <w:r w:rsidRPr="00C03416">
        <w:rPr>
          <w:sz w:val="18"/>
        </w:rPr>
        <w:t>, 329.e13-9, doi:10.1016/j.urolonc.2015.04.004.</w:t>
      </w:r>
    </w:p>
    <w:p w14:paraId="2CFE8B9D" w14:textId="77777777" w:rsidR="00C03416" w:rsidRPr="00C03416" w:rsidRDefault="00C03416" w:rsidP="00C03416">
      <w:pPr>
        <w:pStyle w:val="Bibliography"/>
        <w:rPr>
          <w:sz w:val="18"/>
        </w:rPr>
      </w:pPr>
      <w:r w:rsidRPr="00C03416">
        <w:rPr>
          <w:sz w:val="18"/>
        </w:rPr>
        <w:t xml:space="preserve">5. </w:t>
      </w:r>
      <w:r w:rsidRPr="00C03416">
        <w:rPr>
          <w:sz w:val="18"/>
        </w:rPr>
        <w:tab/>
        <w:t xml:space="preserve">Hamdy, F.C.; Donovan, J.L.; Lane, J.A.; Mason, M.; Metcalfe, C.; Holding, P.; Davis, M.; Peters, T.J.; Turner, E.L.; Martin, R.M.; et al. 10-Year Outcomes after Monitoring, Surgery, or Radiotherapy for Localized Prostate Cancer. </w:t>
      </w:r>
      <w:r w:rsidRPr="00C03416">
        <w:rPr>
          <w:i/>
          <w:iCs/>
          <w:sz w:val="18"/>
        </w:rPr>
        <w:t>New England Journal of Medicine</w:t>
      </w:r>
      <w:r w:rsidRPr="00C03416">
        <w:rPr>
          <w:sz w:val="18"/>
        </w:rPr>
        <w:t xml:space="preserve"> </w:t>
      </w:r>
      <w:r w:rsidRPr="00C03416">
        <w:rPr>
          <w:b/>
          <w:bCs/>
          <w:sz w:val="18"/>
        </w:rPr>
        <w:t>2016</w:t>
      </w:r>
      <w:r w:rsidRPr="00C03416">
        <w:rPr>
          <w:sz w:val="18"/>
        </w:rPr>
        <w:t xml:space="preserve">, </w:t>
      </w:r>
      <w:r w:rsidRPr="00C03416">
        <w:rPr>
          <w:i/>
          <w:iCs/>
          <w:sz w:val="18"/>
        </w:rPr>
        <w:t>375</w:t>
      </w:r>
      <w:r w:rsidRPr="00C03416">
        <w:rPr>
          <w:sz w:val="18"/>
        </w:rPr>
        <w:t>, 1415–1424, doi:10.1056/NEJMoa1606220.</w:t>
      </w:r>
    </w:p>
    <w:p w14:paraId="3C3ED383" w14:textId="77777777" w:rsidR="00C03416" w:rsidRPr="00C03416" w:rsidRDefault="00C03416" w:rsidP="00C03416">
      <w:pPr>
        <w:pStyle w:val="Bibliography"/>
        <w:rPr>
          <w:sz w:val="18"/>
        </w:rPr>
      </w:pPr>
      <w:r w:rsidRPr="00C03416">
        <w:rPr>
          <w:sz w:val="18"/>
        </w:rPr>
        <w:t xml:space="preserve">6. </w:t>
      </w:r>
      <w:r w:rsidRPr="00C03416">
        <w:rPr>
          <w:sz w:val="18"/>
        </w:rPr>
        <w:tab/>
        <w:t>Chou, R.; Croswell, J.M.; Dana, T.; Bougatsos, C.; Blazina, I.; Fu, R. Review Annals of Internal Medicine Screening for Prostate Cancer</w:t>
      </w:r>
      <w:r w:rsidRPr="00C03416">
        <w:rPr>
          <w:rFonts w:ascii="Times New Roman" w:hAnsi="Times New Roman"/>
          <w:sz w:val="18"/>
        </w:rPr>
        <w:t> </w:t>
      </w:r>
      <w:r w:rsidRPr="00C03416">
        <w:rPr>
          <w:sz w:val="18"/>
        </w:rPr>
        <w:t xml:space="preserve">: A Review of the Evidence for the U.S. Preventative Services Task Force. </w:t>
      </w:r>
      <w:r w:rsidRPr="00C03416">
        <w:rPr>
          <w:i/>
          <w:iCs/>
          <w:sz w:val="18"/>
        </w:rPr>
        <w:t>Ann Intern Med</w:t>
      </w:r>
      <w:r w:rsidRPr="00C03416">
        <w:rPr>
          <w:sz w:val="18"/>
        </w:rPr>
        <w:t xml:space="preserve"> </w:t>
      </w:r>
      <w:r w:rsidRPr="00C03416">
        <w:rPr>
          <w:b/>
          <w:bCs/>
          <w:sz w:val="18"/>
        </w:rPr>
        <w:t>2011</w:t>
      </w:r>
      <w:r w:rsidRPr="00C03416">
        <w:rPr>
          <w:sz w:val="18"/>
        </w:rPr>
        <w:t xml:space="preserve">, </w:t>
      </w:r>
      <w:r w:rsidRPr="00C03416">
        <w:rPr>
          <w:i/>
          <w:iCs/>
          <w:sz w:val="18"/>
        </w:rPr>
        <w:t>155</w:t>
      </w:r>
      <w:r w:rsidRPr="00C03416">
        <w:rPr>
          <w:sz w:val="18"/>
        </w:rPr>
        <w:t>, 762–771.</w:t>
      </w:r>
    </w:p>
    <w:p w14:paraId="51451B63" w14:textId="77777777" w:rsidR="00C03416" w:rsidRPr="00C03416" w:rsidRDefault="00C03416" w:rsidP="00C03416">
      <w:pPr>
        <w:pStyle w:val="Bibliography"/>
        <w:rPr>
          <w:sz w:val="18"/>
        </w:rPr>
      </w:pPr>
      <w:r w:rsidRPr="00C03416">
        <w:rPr>
          <w:sz w:val="18"/>
        </w:rPr>
        <w:t xml:space="preserve">7. </w:t>
      </w:r>
      <w:r w:rsidRPr="00C03416">
        <w:rPr>
          <w:sz w:val="18"/>
        </w:rPr>
        <w:tab/>
        <w:t xml:space="preserve">Thurtle, D.R.; Greenberg, D.C.; Lee, L.S.; Huang, H.H.; Pharoah, P.D.; Gnanapragasam, V.J. Individual Prognosis at Diagnosis in Nonmetastatic Prostate Cancer: Development and External Validation of the PREDICT Prostate Multivariable Model. </w:t>
      </w:r>
      <w:r w:rsidRPr="00C03416">
        <w:rPr>
          <w:i/>
          <w:iCs/>
          <w:sz w:val="18"/>
        </w:rPr>
        <w:t>PLoS Medicine</w:t>
      </w:r>
      <w:r w:rsidRPr="00C03416">
        <w:rPr>
          <w:sz w:val="18"/>
        </w:rPr>
        <w:t xml:space="preserve"> </w:t>
      </w:r>
      <w:r w:rsidRPr="00C03416">
        <w:rPr>
          <w:b/>
          <w:bCs/>
          <w:sz w:val="18"/>
        </w:rPr>
        <w:t>2019</w:t>
      </w:r>
      <w:r w:rsidRPr="00C03416">
        <w:rPr>
          <w:sz w:val="18"/>
        </w:rPr>
        <w:t xml:space="preserve">, </w:t>
      </w:r>
      <w:r w:rsidRPr="00C03416">
        <w:rPr>
          <w:i/>
          <w:iCs/>
          <w:sz w:val="18"/>
        </w:rPr>
        <w:t>16</w:t>
      </w:r>
      <w:r w:rsidRPr="00C03416">
        <w:rPr>
          <w:sz w:val="18"/>
        </w:rPr>
        <w:t>, e1002758, doi:10.1371/journal.pmed.1002758.</w:t>
      </w:r>
    </w:p>
    <w:p w14:paraId="633873CA" w14:textId="77777777" w:rsidR="00C03416" w:rsidRPr="00C03416" w:rsidRDefault="00C03416" w:rsidP="00C03416">
      <w:pPr>
        <w:pStyle w:val="Bibliography"/>
        <w:rPr>
          <w:sz w:val="18"/>
        </w:rPr>
      </w:pPr>
      <w:r w:rsidRPr="00C03416">
        <w:rPr>
          <w:sz w:val="18"/>
        </w:rPr>
        <w:t xml:space="preserve">8. </w:t>
      </w:r>
      <w:r w:rsidRPr="00C03416">
        <w:rPr>
          <w:sz w:val="18"/>
        </w:rPr>
        <w:tab/>
        <w:t xml:space="preserve">Thurtle, D.; Bratt, O.; Stattin, P.; Pharoah, P.; Gnanapragasam, V. Comparative Performance and External Validation of the Multivariable PREDICT Prostate Tool for Non-Metastatic Prostate Cancer: A Study in 69,206 Men from Prostate Cancer Data Base Sweden (PCBaSe). </w:t>
      </w:r>
      <w:r w:rsidRPr="00C03416">
        <w:rPr>
          <w:i/>
          <w:iCs/>
          <w:sz w:val="18"/>
        </w:rPr>
        <w:t>BMC Medicine</w:t>
      </w:r>
      <w:r w:rsidRPr="00C03416">
        <w:rPr>
          <w:sz w:val="18"/>
        </w:rPr>
        <w:t xml:space="preserve"> </w:t>
      </w:r>
      <w:r w:rsidRPr="00C03416">
        <w:rPr>
          <w:b/>
          <w:bCs/>
          <w:sz w:val="18"/>
        </w:rPr>
        <w:t>2020</w:t>
      </w:r>
      <w:r w:rsidRPr="00C03416">
        <w:rPr>
          <w:sz w:val="18"/>
        </w:rPr>
        <w:t xml:space="preserve">, </w:t>
      </w:r>
      <w:r w:rsidRPr="00C03416">
        <w:rPr>
          <w:i/>
          <w:iCs/>
          <w:sz w:val="18"/>
        </w:rPr>
        <w:t>18</w:t>
      </w:r>
      <w:r w:rsidRPr="00C03416">
        <w:rPr>
          <w:sz w:val="18"/>
        </w:rPr>
        <w:t>, 139, doi:10.1186/s12916-020-01606-w.</w:t>
      </w:r>
    </w:p>
    <w:p w14:paraId="07BEE986" w14:textId="77777777" w:rsidR="00C03416" w:rsidRPr="00C03416" w:rsidRDefault="00C03416" w:rsidP="00C03416">
      <w:pPr>
        <w:pStyle w:val="Bibliography"/>
        <w:rPr>
          <w:sz w:val="18"/>
        </w:rPr>
      </w:pPr>
      <w:r w:rsidRPr="00C03416">
        <w:rPr>
          <w:sz w:val="18"/>
        </w:rPr>
        <w:t xml:space="preserve">9. </w:t>
      </w:r>
      <w:r w:rsidRPr="00C03416">
        <w:rPr>
          <w:sz w:val="18"/>
        </w:rPr>
        <w:tab/>
        <w:t xml:space="preserve">Lee, C.; Light, A.; Alaa, A.; Thurtle, D.; Schaar, M. van der; Gnanapragasam, V.J. Application of a Novel Machine Learning Framework for Predicting Non-Metastatic Prostate Cancer-Specific Mortality in Men Using the Surveillance, Epidemiology, and End Results (SEER) Database. </w:t>
      </w:r>
      <w:r w:rsidRPr="00C03416">
        <w:rPr>
          <w:i/>
          <w:iCs/>
          <w:sz w:val="18"/>
        </w:rPr>
        <w:t>The Lancet Digital Health</w:t>
      </w:r>
      <w:r w:rsidRPr="00C03416">
        <w:rPr>
          <w:sz w:val="18"/>
        </w:rPr>
        <w:t xml:space="preserve"> </w:t>
      </w:r>
      <w:r w:rsidRPr="00C03416">
        <w:rPr>
          <w:b/>
          <w:bCs/>
          <w:sz w:val="18"/>
        </w:rPr>
        <w:t>2021</w:t>
      </w:r>
      <w:r w:rsidRPr="00C03416">
        <w:rPr>
          <w:sz w:val="18"/>
        </w:rPr>
        <w:t xml:space="preserve">, </w:t>
      </w:r>
      <w:r w:rsidRPr="00C03416">
        <w:rPr>
          <w:i/>
          <w:iCs/>
          <w:sz w:val="18"/>
        </w:rPr>
        <w:t>3</w:t>
      </w:r>
      <w:r w:rsidRPr="00C03416">
        <w:rPr>
          <w:sz w:val="18"/>
        </w:rPr>
        <w:t>, e158–e165, doi:10.1016/S2589-7500(20)30314-9.</w:t>
      </w:r>
    </w:p>
    <w:p w14:paraId="421164B0" w14:textId="77777777" w:rsidR="00C03416" w:rsidRPr="00C03416" w:rsidRDefault="00C03416" w:rsidP="00C03416">
      <w:pPr>
        <w:pStyle w:val="Bibliography"/>
        <w:rPr>
          <w:sz w:val="18"/>
        </w:rPr>
      </w:pPr>
      <w:r w:rsidRPr="00C03416">
        <w:rPr>
          <w:sz w:val="18"/>
        </w:rPr>
        <w:t xml:space="preserve">10. </w:t>
      </w:r>
      <w:r w:rsidRPr="00C03416">
        <w:rPr>
          <w:sz w:val="18"/>
        </w:rPr>
        <w:tab/>
        <w:t xml:space="preserve">NICE </w:t>
      </w:r>
      <w:r w:rsidRPr="00C03416">
        <w:rPr>
          <w:i/>
          <w:iCs/>
          <w:sz w:val="18"/>
        </w:rPr>
        <w:t>Prostate Cancer: Diagnosis and Management</w:t>
      </w:r>
      <w:r w:rsidRPr="00C03416">
        <w:rPr>
          <w:sz w:val="18"/>
        </w:rPr>
        <w:t>; National Institute for Health and Care Excellence: London, 2019;</w:t>
      </w:r>
    </w:p>
    <w:p w14:paraId="305097D1" w14:textId="77777777" w:rsidR="00C03416" w:rsidRPr="00C03416" w:rsidRDefault="00C03416" w:rsidP="00C03416">
      <w:pPr>
        <w:pStyle w:val="Bibliography"/>
        <w:rPr>
          <w:sz w:val="18"/>
        </w:rPr>
      </w:pPr>
      <w:r w:rsidRPr="00C03416">
        <w:rPr>
          <w:sz w:val="18"/>
        </w:rPr>
        <w:t xml:space="preserve">11. </w:t>
      </w:r>
      <w:r w:rsidRPr="00C03416">
        <w:rPr>
          <w:sz w:val="18"/>
        </w:rPr>
        <w:tab/>
        <w:t xml:space="preserve">Anceschi, U.; Tuderti, G.; Lugnani, F.; Biava, P.M.; Malossini, G.; Luciani, L.; Cai, T.; Marsiliani, D.; Filianoti, A.; Mattevi, D.; et al. Novel Diagnostic Biomarkers of Prostate Cancer: An Update. </w:t>
      </w:r>
      <w:r w:rsidRPr="00C03416">
        <w:rPr>
          <w:i/>
          <w:iCs/>
          <w:sz w:val="18"/>
        </w:rPr>
        <w:t>Curr Med Chem</w:t>
      </w:r>
      <w:r w:rsidRPr="00C03416">
        <w:rPr>
          <w:sz w:val="18"/>
        </w:rPr>
        <w:t xml:space="preserve"> </w:t>
      </w:r>
      <w:r w:rsidRPr="00C03416">
        <w:rPr>
          <w:b/>
          <w:bCs/>
          <w:sz w:val="18"/>
        </w:rPr>
        <w:t>2019</w:t>
      </w:r>
      <w:r w:rsidRPr="00C03416">
        <w:rPr>
          <w:sz w:val="18"/>
        </w:rPr>
        <w:t xml:space="preserve">, </w:t>
      </w:r>
      <w:r w:rsidRPr="00C03416">
        <w:rPr>
          <w:i/>
          <w:iCs/>
          <w:sz w:val="18"/>
        </w:rPr>
        <w:t>26</w:t>
      </w:r>
      <w:r w:rsidRPr="00C03416">
        <w:rPr>
          <w:sz w:val="18"/>
        </w:rPr>
        <w:t>, 1045–1058, doi:10.2174/0929867325666180914115416.</w:t>
      </w:r>
    </w:p>
    <w:p w14:paraId="1EDD0BA3" w14:textId="77777777" w:rsidR="00C03416" w:rsidRPr="00C03416" w:rsidRDefault="00C03416" w:rsidP="00C03416">
      <w:pPr>
        <w:pStyle w:val="Bibliography"/>
        <w:rPr>
          <w:sz w:val="18"/>
        </w:rPr>
      </w:pPr>
      <w:r w:rsidRPr="00C03416">
        <w:rPr>
          <w:sz w:val="18"/>
        </w:rPr>
        <w:t xml:space="preserve">12. </w:t>
      </w:r>
      <w:r w:rsidRPr="00C03416">
        <w:rPr>
          <w:sz w:val="18"/>
        </w:rPr>
        <w:tab/>
        <w:t xml:space="preserve">Luca, B.; Brewer, D.S.; Edwards, D.R.; Edwards, S.; Whitaker, H.C.; Merson, S.; Dennis, N.; Cooper, R.A.; Hazell, S.; Warren, A.Y.; et al. DESNT: A Poor Prognosis Category of Human Prostate Cancer. </w:t>
      </w:r>
      <w:r w:rsidRPr="00C03416">
        <w:rPr>
          <w:i/>
          <w:iCs/>
          <w:sz w:val="18"/>
        </w:rPr>
        <w:t>European urology focus</w:t>
      </w:r>
      <w:r w:rsidRPr="00C03416">
        <w:rPr>
          <w:sz w:val="18"/>
        </w:rPr>
        <w:t xml:space="preserve"> </w:t>
      </w:r>
      <w:r w:rsidRPr="00C03416">
        <w:rPr>
          <w:b/>
          <w:bCs/>
          <w:sz w:val="18"/>
        </w:rPr>
        <w:t>2018</w:t>
      </w:r>
      <w:r w:rsidRPr="00C03416">
        <w:rPr>
          <w:sz w:val="18"/>
        </w:rPr>
        <w:t xml:space="preserve">, </w:t>
      </w:r>
      <w:r w:rsidRPr="00C03416">
        <w:rPr>
          <w:i/>
          <w:iCs/>
          <w:sz w:val="18"/>
        </w:rPr>
        <w:t>4</w:t>
      </w:r>
      <w:r w:rsidRPr="00C03416">
        <w:rPr>
          <w:sz w:val="18"/>
        </w:rPr>
        <w:t>, 842–850, doi:10.1016/j.euf.2017.01.016.</w:t>
      </w:r>
    </w:p>
    <w:p w14:paraId="21143679" w14:textId="77777777" w:rsidR="00C03416" w:rsidRPr="00C03416" w:rsidRDefault="00C03416" w:rsidP="00C03416">
      <w:pPr>
        <w:pStyle w:val="Bibliography"/>
        <w:rPr>
          <w:sz w:val="18"/>
        </w:rPr>
      </w:pPr>
      <w:r w:rsidRPr="00C03416">
        <w:rPr>
          <w:sz w:val="18"/>
        </w:rPr>
        <w:t xml:space="preserve">13. </w:t>
      </w:r>
      <w:r w:rsidRPr="00C03416">
        <w:rPr>
          <w:sz w:val="18"/>
        </w:rPr>
        <w:tab/>
        <w:t xml:space="preserve">Luca, B.; Moulton, V.; Ellis, C.; Edwards, D.R.; Campbell, C.; Cooper, R.A.; Clark, J.; Brewer, D.S.; Cooper, C.S. A Novel Stratification Framework for Predicting Outcome in Patients with Prostate Cancer. </w:t>
      </w:r>
      <w:r w:rsidRPr="00C03416">
        <w:rPr>
          <w:i/>
          <w:iCs/>
          <w:sz w:val="18"/>
        </w:rPr>
        <w:t>British journal of cancer</w:t>
      </w:r>
      <w:r w:rsidRPr="00C03416">
        <w:rPr>
          <w:sz w:val="18"/>
        </w:rPr>
        <w:t xml:space="preserve"> </w:t>
      </w:r>
      <w:r w:rsidRPr="00C03416">
        <w:rPr>
          <w:b/>
          <w:bCs/>
          <w:sz w:val="18"/>
        </w:rPr>
        <w:t>2020</w:t>
      </w:r>
      <w:r w:rsidRPr="00C03416">
        <w:rPr>
          <w:sz w:val="18"/>
        </w:rPr>
        <w:t xml:space="preserve">, </w:t>
      </w:r>
      <w:r w:rsidRPr="00C03416">
        <w:rPr>
          <w:i/>
          <w:iCs/>
          <w:sz w:val="18"/>
        </w:rPr>
        <w:t>122</w:t>
      </w:r>
      <w:r w:rsidRPr="00C03416">
        <w:rPr>
          <w:sz w:val="18"/>
        </w:rPr>
        <w:t>, 1467–1476, doi:10.1038/s41416-020-0799-5.</w:t>
      </w:r>
    </w:p>
    <w:p w14:paraId="1F7A73A9" w14:textId="77777777" w:rsidR="00C03416" w:rsidRPr="00C03416" w:rsidRDefault="00C03416" w:rsidP="00C03416">
      <w:pPr>
        <w:pStyle w:val="Bibliography"/>
        <w:rPr>
          <w:sz w:val="18"/>
        </w:rPr>
      </w:pPr>
      <w:r w:rsidRPr="00C03416">
        <w:rPr>
          <w:sz w:val="18"/>
        </w:rPr>
        <w:t xml:space="preserve">14. </w:t>
      </w:r>
      <w:r w:rsidRPr="00C03416">
        <w:rPr>
          <w:sz w:val="18"/>
        </w:rPr>
        <w:tab/>
        <w:t xml:space="preserve">Luca, B.-A.; Moulton, V.; Ellis, C.; Connell, S.P.; Brewer, D.S.; Cooper, C.S. Convergence of Prognostic Gene Signatures Suggests Underlying Mechanisms of Human Prostate Cancer Progression. </w:t>
      </w:r>
      <w:r w:rsidRPr="00C03416">
        <w:rPr>
          <w:i/>
          <w:iCs/>
          <w:sz w:val="18"/>
        </w:rPr>
        <w:t>Genes</w:t>
      </w:r>
      <w:r w:rsidRPr="00C03416">
        <w:rPr>
          <w:sz w:val="18"/>
        </w:rPr>
        <w:t xml:space="preserve"> </w:t>
      </w:r>
      <w:r w:rsidRPr="00C03416">
        <w:rPr>
          <w:b/>
          <w:bCs/>
          <w:sz w:val="18"/>
        </w:rPr>
        <w:t>2020</w:t>
      </w:r>
      <w:r w:rsidRPr="00C03416">
        <w:rPr>
          <w:sz w:val="18"/>
        </w:rPr>
        <w:t xml:space="preserve">, </w:t>
      </w:r>
      <w:r w:rsidRPr="00C03416">
        <w:rPr>
          <w:i/>
          <w:iCs/>
          <w:sz w:val="18"/>
        </w:rPr>
        <w:t>11</w:t>
      </w:r>
      <w:r w:rsidRPr="00C03416">
        <w:rPr>
          <w:sz w:val="18"/>
        </w:rPr>
        <w:t>, 802, doi:10.3390/GENES11070802.</w:t>
      </w:r>
    </w:p>
    <w:p w14:paraId="37B3DA9C" w14:textId="77777777" w:rsidR="00C03416" w:rsidRPr="00C03416" w:rsidRDefault="00C03416" w:rsidP="00C03416">
      <w:pPr>
        <w:pStyle w:val="Bibliography"/>
        <w:rPr>
          <w:sz w:val="18"/>
        </w:rPr>
      </w:pPr>
      <w:r w:rsidRPr="00C03416">
        <w:rPr>
          <w:sz w:val="18"/>
        </w:rPr>
        <w:lastRenderedPageBreak/>
        <w:t xml:space="preserve">15. </w:t>
      </w:r>
      <w:r w:rsidRPr="00C03416">
        <w:rPr>
          <w:sz w:val="18"/>
        </w:rPr>
        <w:tab/>
        <w:t>Ellis, C. Using Latent Process Decomposition to Classify Prostate and Colorectal Cancers, University of East Anglia: School of Computing Sciences, 2021.</w:t>
      </w:r>
    </w:p>
    <w:p w14:paraId="09D65FB4" w14:textId="77777777" w:rsidR="00C03416" w:rsidRPr="00C03416" w:rsidRDefault="00C03416" w:rsidP="00C03416">
      <w:pPr>
        <w:pStyle w:val="Bibliography"/>
        <w:rPr>
          <w:sz w:val="18"/>
        </w:rPr>
      </w:pPr>
      <w:r w:rsidRPr="00C03416">
        <w:rPr>
          <w:sz w:val="18"/>
        </w:rPr>
        <w:t xml:space="preserve">16. </w:t>
      </w:r>
      <w:r w:rsidRPr="00C03416">
        <w:rPr>
          <w:sz w:val="18"/>
        </w:rPr>
        <w:tab/>
        <w:t xml:space="preserve">Irizarry, R.A.; Hobbs, B.; Collin, F.; Beazer‐Barclay, Y.D.; Antonellis, K.J.; Scherf, U.; Speed, T.P. Exploration, Normalization, and Summaries of High Density Oligonucleotide Array Probe Level Data. </w:t>
      </w:r>
      <w:r w:rsidRPr="00C03416">
        <w:rPr>
          <w:i/>
          <w:iCs/>
          <w:sz w:val="18"/>
        </w:rPr>
        <w:t>Biostatistics</w:t>
      </w:r>
      <w:r w:rsidRPr="00C03416">
        <w:rPr>
          <w:sz w:val="18"/>
        </w:rPr>
        <w:t xml:space="preserve"> </w:t>
      </w:r>
      <w:r w:rsidRPr="00C03416">
        <w:rPr>
          <w:b/>
          <w:bCs/>
          <w:sz w:val="18"/>
        </w:rPr>
        <w:t>2003</w:t>
      </w:r>
      <w:r w:rsidRPr="00C03416">
        <w:rPr>
          <w:sz w:val="18"/>
        </w:rPr>
        <w:t xml:space="preserve">, </w:t>
      </w:r>
      <w:r w:rsidRPr="00C03416">
        <w:rPr>
          <w:i/>
          <w:iCs/>
          <w:sz w:val="18"/>
        </w:rPr>
        <w:t>4</w:t>
      </w:r>
      <w:r w:rsidRPr="00C03416">
        <w:rPr>
          <w:sz w:val="18"/>
        </w:rPr>
        <w:t>, 249–264, doi:10.1093/biostatistics/4.2.249.</w:t>
      </w:r>
    </w:p>
    <w:p w14:paraId="00222561" w14:textId="77777777" w:rsidR="00C03416" w:rsidRPr="00C03416" w:rsidRDefault="00C03416" w:rsidP="00C03416">
      <w:pPr>
        <w:pStyle w:val="Bibliography"/>
        <w:rPr>
          <w:sz w:val="18"/>
        </w:rPr>
      </w:pPr>
      <w:r w:rsidRPr="00C03416">
        <w:rPr>
          <w:sz w:val="18"/>
        </w:rPr>
        <w:t xml:space="preserve">17. </w:t>
      </w:r>
      <w:r w:rsidRPr="00C03416">
        <w:rPr>
          <w:sz w:val="18"/>
        </w:rPr>
        <w:tab/>
        <w:t xml:space="preserve">Johnson, W.E.; Li, C.; Rabinovic, A. Adjusting Batch Effects in Microarray Expression Data Using Empirical Bayes Methods. </w:t>
      </w:r>
      <w:r w:rsidRPr="00C03416">
        <w:rPr>
          <w:i/>
          <w:iCs/>
          <w:sz w:val="18"/>
        </w:rPr>
        <w:t>Biostatistics (Oxford, England)</w:t>
      </w:r>
      <w:r w:rsidRPr="00C03416">
        <w:rPr>
          <w:sz w:val="18"/>
        </w:rPr>
        <w:t xml:space="preserve"> </w:t>
      </w:r>
      <w:r w:rsidRPr="00C03416">
        <w:rPr>
          <w:b/>
          <w:bCs/>
          <w:sz w:val="18"/>
        </w:rPr>
        <w:t>2007</w:t>
      </w:r>
      <w:r w:rsidRPr="00C03416">
        <w:rPr>
          <w:sz w:val="18"/>
        </w:rPr>
        <w:t xml:space="preserve">, </w:t>
      </w:r>
      <w:r w:rsidRPr="00C03416">
        <w:rPr>
          <w:i/>
          <w:iCs/>
          <w:sz w:val="18"/>
        </w:rPr>
        <w:t>8</w:t>
      </w:r>
      <w:r w:rsidRPr="00C03416">
        <w:rPr>
          <w:sz w:val="18"/>
        </w:rPr>
        <w:t>, 118–127, doi:10.1093/biostatistics/kxj037.</w:t>
      </w:r>
    </w:p>
    <w:p w14:paraId="3900BB6D" w14:textId="77777777" w:rsidR="00C03416" w:rsidRPr="00C03416" w:rsidRDefault="00C03416" w:rsidP="00C03416">
      <w:pPr>
        <w:pStyle w:val="Bibliography"/>
        <w:rPr>
          <w:sz w:val="18"/>
        </w:rPr>
      </w:pPr>
      <w:r w:rsidRPr="00C03416">
        <w:rPr>
          <w:sz w:val="18"/>
        </w:rPr>
        <w:t xml:space="preserve">18. </w:t>
      </w:r>
      <w:r w:rsidRPr="00C03416">
        <w:rPr>
          <w:sz w:val="18"/>
        </w:rPr>
        <w:tab/>
        <w:t>R Core Team R: A Language and Environment for Statistical Computing Available online: https://www.r-project.org/ (accessed on 7 April 2020).</w:t>
      </w:r>
    </w:p>
    <w:p w14:paraId="6C231F7C" w14:textId="77777777" w:rsidR="00C03416" w:rsidRPr="00C03416" w:rsidRDefault="00C03416" w:rsidP="00C03416">
      <w:pPr>
        <w:pStyle w:val="Bibliography"/>
        <w:rPr>
          <w:sz w:val="18"/>
        </w:rPr>
      </w:pPr>
      <w:r w:rsidRPr="00C03416">
        <w:rPr>
          <w:sz w:val="18"/>
        </w:rPr>
        <w:t xml:space="preserve">19. </w:t>
      </w:r>
      <w:r w:rsidRPr="00C03416">
        <w:rPr>
          <w:sz w:val="18"/>
        </w:rPr>
        <w:tab/>
        <w:t xml:space="preserve">Taylor, B.S.; Schultz, N.; Hieronymus, H.; Gopalan, A.; Xiao, Y.; Carver, B.S.; Arora, V.K.; Kaushik, P.; Cerami, E.; Reva, B.; et al. Integrative Genomic Profiling of Human Prostate Cancer. </w:t>
      </w:r>
      <w:r w:rsidRPr="00C03416">
        <w:rPr>
          <w:i/>
          <w:iCs/>
          <w:sz w:val="18"/>
        </w:rPr>
        <w:t>Cancer cell</w:t>
      </w:r>
      <w:r w:rsidRPr="00C03416">
        <w:rPr>
          <w:sz w:val="18"/>
        </w:rPr>
        <w:t xml:space="preserve"> </w:t>
      </w:r>
      <w:r w:rsidRPr="00C03416">
        <w:rPr>
          <w:b/>
          <w:bCs/>
          <w:sz w:val="18"/>
        </w:rPr>
        <w:t>2010</w:t>
      </w:r>
      <w:r w:rsidRPr="00C03416">
        <w:rPr>
          <w:sz w:val="18"/>
        </w:rPr>
        <w:t xml:space="preserve">, </w:t>
      </w:r>
      <w:r w:rsidRPr="00C03416">
        <w:rPr>
          <w:i/>
          <w:iCs/>
          <w:sz w:val="18"/>
        </w:rPr>
        <w:t>18</w:t>
      </w:r>
      <w:r w:rsidRPr="00C03416">
        <w:rPr>
          <w:sz w:val="18"/>
        </w:rPr>
        <w:t>, 11–22, doi:10.1016/j.ccr.2010.05.026.</w:t>
      </w:r>
    </w:p>
    <w:p w14:paraId="1A7BCCF0" w14:textId="77777777" w:rsidR="00C03416" w:rsidRPr="00C03416" w:rsidRDefault="00C03416" w:rsidP="00C03416">
      <w:pPr>
        <w:pStyle w:val="Bibliography"/>
        <w:rPr>
          <w:sz w:val="18"/>
        </w:rPr>
      </w:pPr>
      <w:r w:rsidRPr="00C03416">
        <w:rPr>
          <w:sz w:val="18"/>
        </w:rPr>
        <w:t xml:space="preserve">20. </w:t>
      </w:r>
      <w:r w:rsidRPr="00C03416">
        <w:rPr>
          <w:sz w:val="18"/>
        </w:rPr>
        <w:tab/>
        <w:t xml:space="preserve">Ritchie, M.E.; Phipson, B.; Wu, D.; Hu, Y.; Law, C.W.; Shi, W.; Smyth, G.K. Limma Powers Differential Expression Analyses for RNA-Sequencing and Microarray Studies. </w:t>
      </w:r>
      <w:r w:rsidRPr="00C03416">
        <w:rPr>
          <w:i/>
          <w:iCs/>
          <w:sz w:val="18"/>
        </w:rPr>
        <w:t>Nucleic acids research</w:t>
      </w:r>
      <w:r w:rsidRPr="00C03416">
        <w:rPr>
          <w:sz w:val="18"/>
        </w:rPr>
        <w:t xml:space="preserve"> </w:t>
      </w:r>
      <w:r w:rsidRPr="00C03416">
        <w:rPr>
          <w:b/>
          <w:bCs/>
          <w:sz w:val="18"/>
        </w:rPr>
        <w:t>2015</w:t>
      </w:r>
      <w:r w:rsidRPr="00C03416">
        <w:rPr>
          <w:sz w:val="18"/>
        </w:rPr>
        <w:t>, gkv007, doi:10.1093/nar/gkv007.</w:t>
      </w:r>
    </w:p>
    <w:p w14:paraId="1A71D474" w14:textId="77777777" w:rsidR="00C03416" w:rsidRPr="00C03416" w:rsidRDefault="00C03416" w:rsidP="00C03416">
      <w:pPr>
        <w:pStyle w:val="Bibliography"/>
        <w:rPr>
          <w:sz w:val="18"/>
        </w:rPr>
      </w:pPr>
      <w:r w:rsidRPr="00C03416">
        <w:rPr>
          <w:sz w:val="18"/>
        </w:rPr>
        <w:t xml:space="preserve">21. </w:t>
      </w:r>
      <w:r w:rsidRPr="00C03416">
        <w:rPr>
          <w:sz w:val="18"/>
        </w:rPr>
        <w:tab/>
        <w:t xml:space="preserve">Kolberg, L.; Raudvere, U.; Kuzmin, I.; Vilo, J.; Peterson, H. Gprofiler2 -- an R Package for Gene List Functional Enrichment Analysis and Namespace Conversion Toolset g:Profiler. </w:t>
      </w:r>
      <w:r w:rsidRPr="00C03416">
        <w:rPr>
          <w:i/>
          <w:iCs/>
          <w:sz w:val="18"/>
        </w:rPr>
        <w:t>F1000Res</w:t>
      </w:r>
      <w:r w:rsidRPr="00C03416">
        <w:rPr>
          <w:sz w:val="18"/>
        </w:rPr>
        <w:t xml:space="preserve"> </w:t>
      </w:r>
      <w:r w:rsidRPr="00C03416">
        <w:rPr>
          <w:b/>
          <w:bCs/>
          <w:sz w:val="18"/>
        </w:rPr>
        <w:t>2020</w:t>
      </w:r>
      <w:r w:rsidRPr="00C03416">
        <w:rPr>
          <w:sz w:val="18"/>
        </w:rPr>
        <w:t xml:space="preserve">, </w:t>
      </w:r>
      <w:r w:rsidRPr="00C03416">
        <w:rPr>
          <w:i/>
          <w:iCs/>
          <w:sz w:val="18"/>
        </w:rPr>
        <w:t>9</w:t>
      </w:r>
      <w:r w:rsidRPr="00C03416">
        <w:rPr>
          <w:sz w:val="18"/>
        </w:rPr>
        <w:t>, ELIXIR-709, doi:10.12688/f1000research.24956.2.</w:t>
      </w:r>
    </w:p>
    <w:p w14:paraId="1BF021A3" w14:textId="77777777" w:rsidR="00C03416" w:rsidRPr="00C03416" w:rsidRDefault="00C03416" w:rsidP="00C03416">
      <w:pPr>
        <w:pStyle w:val="Bibliography"/>
        <w:rPr>
          <w:sz w:val="18"/>
        </w:rPr>
      </w:pPr>
      <w:r w:rsidRPr="00C03416">
        <w:rPr>
          <w:sz w:val="18"/>
        </w:rPr>
        <w:t xml:space="preserve">22. </w:t>
      </w:r>
      <w:r w:rsidRPr="00C03416">
        <w:rPr>
          <w:sz w:val="18"/>
        </w:rPr>
        <w:tab/>
        <w:t xml:space="preserve">Stephenson, A.J.; Smith, A.; Kattan, M.W.; Satagopan, J.; Reuter, V.E.; Scardino, P.T.; Gerald, W.L. Integration of Gene Expression Profiling and Clinical Variables to Predict Prostate Carcinoma Recurrence after Radical Prostatectomy. </w:t>
      </w:r>
      <w:r w:rsidRPr="00C03416">
        <w:rPr>
          <w:i/>
          <w:iCs/>
          <w:sz w:val="18"/>
        </w:rPr>
        <w:t>Cancer</w:t>
      </w:r>
      <w:r w:rsidRPr="00C03416">
        <w:rPr>
          <w:sz w:val="18"/>
        </w:rPr>
        <w:t xml:space="preserve"> </w:t>
      </w:r>
      <w:r w:rsidRPr="00C03416">
        <w:rPr>
          <w:b/>
          <w:bCs/>
          <w:sz w:val="18"/>
        </w:rPr>
        <w:t>2005</w:t>
      </w:r>
      <w:r w:rsidRPr="00C03416">
        <w:rPr>
          <w:sz w:val="18"/>
        </w:rPr>
        <w:t xml:space="preserve">, </w:t>
      </w:r>
      <w:r w:rsidRPr="00C03416">
        <w:rPr>
          <w:i/>
          <w:iCs/>
          <w:sz w:val="18"/>
        </w:rPr>
        <w:t>104</w:t>
      </w:r>
      <w:r w:rsidRPr="00C03416">
        <w:rPr>
          <w:sz w:val="18"/>
        </w:rPr>
        <w:t>, 290–298.</w:t>
      </w:r>
    </w:p>
    <w:p w14:paraId="6647263B" w14:textId="77777777" w:rsidR="00C03416" w:rsidRPr="00C03416" w:rsidRDefault="00C03416" w:rsidP="00C03416">
      <w:pPr>
        <w:pStyle w:val="Bibliography"/>
        <w:rPr>
          <w:sz w:val="18"/>
        </w:rPr>
      </w:pPr>
      <w:r w:rsidRPr="00C03416">
        <w:rPr>
          <w:sz w:val="18"/>
        </w:rPr>
        <w:t xml:space="preserve">23. </w:t>
      </w:r>
      <w:r w:rsidRPr="00C03416">
        <w:rPr>
          <w:sz w:val="18"/>
        </w:rPr>
        <w:tab/>
        <w:t xml:space="preserve">Ross-Adams, H.; Lamb, A.D.D.; Dunning, M.J.J.; Halim, S.; Lindberg, J.; Massie, C.M.M.; Egevad, L.A.A.; Russell, R.; Ramos-Montoya, A.; Vowler, S.L.L.; et al. Integration of Copy Number and Transcriptomics Provides Risk Stratification in Prostate Cancer: A Discovery and Validation Cohort Study. </w:t>
      </w:r>
      <w:r w:rsidRPr="00C03416">
        <w:rPr>
          <w:i/>
          <w:iCs/>
          <w:sz w:val="18"/>
        </w:rPr>
        <w:t>EBioMedicine</w:t>
      </w:r>
      <w:r w:rsidRPr="00C03416">
        <w:rPr>
          <w:sz w:val="18"/>
        </w:rPr>
        <w:t xml:space="preserve"> </w:t>
      </w:r>
      <w:r w:rsidRPr="00C03416">
        <w:rPr>
          <w:b/>
          <w:bCs/>
          <w:sz w:val="18"/>
        </w:rPr>
        <w:t>2015</w:t>
      </w:r>
      <w:r w:rsidRPr="00C03416">
        <w:rPr>
          <w:sz w:val="18"/>
        </w:rPr>
        <w:t xml:space="preserve">, </w:t>
      </w:r>
      <w:r w:rsidRPr="00C03416">
        <w:rPr>
          <w:i/>
          <w:iCs/>
          <w:sz w:val="18"/>
        </w:rPr>
        <w:t>2</w:t>
      </w:r>
      <w:r w:rsidRPr="00C03416">
        <w:rPr>
          <w:sz w:val="18"/>
        </w:rPr>
        <w:t>, 1133–1144, doi:10.1016/j.ebiom.2015.07.017.</w:t>
      </w:r>
    </w:p>
    <w:p w14:paraId="5292923B" w14:textId="77777777" w:rsidR="00C03416" w:rsidRPr="00C03416" w:rsidRDefault="00C03416" w:rsidP="00C03416">
      <w:pPr>
        <w:pStyle w:val="Bibliography"/>
        <w:rPr>
          <w:sz w:val="18"/>
        </w:rPr>
      </w:pPr>
      <w:r w:rsidRPr="00C03416">
        <w:rPr>
          <w:sz w:val="18"/>
        </w:rPr>
        <w:t xml:space="preserve">24. </w:t>
      </w:r>
      <w:r w:rsidRPr="00C03416">
        <w:rPr>
          <w:sz w:val="18"/>
        </w:rPr>
        <w:tab/>
        <w:t xml:space="preserve">Msaouel, P.; Pissimissis, N.; Halapas, A.; Koutsilieris, M. Mechanisms of Bone Metastasis in Prostate Cancer: Clinical Implications. </w:t>
      </w:r>
      <w:r w:rsidRPr="00C03416">
        <w:rPr>
          <w:i/>
          <w:iCs/>
          <w:sz w:val="18"/>
        </w:rPr>
        <w:t>Best Practice &amp; Research Clinical Endocrinology &amp; Metabolism</w:t>
      </w:r>
      <w:r w:rsidRPr="00C03416">
        <w:rPr>
          <w:sz w:val="18"/>
        </w:rPr>
        <w:t xml:space="preserve"> </w:t>
      </w:r>
      <w:r w:rsidRPr="00C03416">
        <w:rPr>
          <w:b/>
          <w:bCs/>
          <w:sz w:val="18"/>
        </w:rPr>
        <w:t>2008</w:t>
      </w:r>
      <w:r w:rsidRPr="00C03416">
        <w:rPr>
          <w:sz w:val="18"/>
        </w:rPr>
        <w:t xml:space="preserve">, </w:t>
      </w:r>
      <w:r w:rsidRPr="00C03416">
        <w:rPr>
          <w:i/>
          <w:iCs/>
          <w:sz w:val="18"/>
        </w:rPr>
        <w:t>22</w:t>
      </w:r>
      <w:r w:rsidRPr="00C03416">
        <w:rPr>
          <w:sz w:val="18"/>
        </w:rPr>
        <w:t>, 341–355, doi:10.1016/j.beem.2008.01.011.</w:t>
      </w:r>
    </w:p>
    <w:p w14:paraId="5C00B161" w14:textId="77777777" w:rsidR="00C03416" w:rsidRPr="00C03416" w:rsidRDefault="00C03416" w:rsidP="00C03416">
      <w:pPr>
        <w:pStyle w:val="Bibliography"/>
        <w:rPr>
          <w:sz w:val="18"/>
        </w:rPr>
      </w:pPr>
      <w:r w:rsidRPr="00C03416">
        <w:rPr>
          <w:sz w:val="18"/>
        </w:rPr>
        <w:t xml:space="preserve">25. </w:t>
      </w:r>
      <w:r w:rsidRPr="00C03416">
        <w:rPr>
          <w:sz w:val="18"/>
        </w:rPr>
        <w:tab/>
        <w:t xml:space="preserve">Morgan, T.M.; Lange, P.H.; Porter, M.P.; Lin, D.W.; Ellis, W.J.; Gallaher, I.S.; Vessella, R.L. Disseminated Tumor Cells in Prostate Cancer Patients after Radical Prostatectomy and without Evidence of Disease Predicts Biochemical Recurrence. </w:t>
      </w:r>
      <w:r w:rsidRPr="00C03416">
        <w:rPr>
          <w:i/>
          <w:iCs/>
          <w:sz w:val="18"/>
        </w:rPr>
        <w:t>Clinical Cancer Research</w:t>
      </w:r>
      <w:r w:rsidRPr="00C03416">
        <w:rPr>
          <w:sz w:val="18"/>
        </w:rPr>
        <w:t xml:space="preserve"> </w:t>
      </w:r>
      <w:r w:rsidRPr="00C03416">
        <w:rPr>
          <w:b/>
          <w:bCs/>
          <w:sz w:val="18"/>
        </w:rPr>
        <w:t>2009</w:t>
      </w:r>
      <w:r w:rsidRPr="00C03416">
        <w:rPr>
          <w:sz w:val="18"/>
        </w:rPr>
        <w:t xml:space="preserve">, </w:t>
      </w:r>
      <w:r w:rsidRPr="00C03416">
        <w:rPr>
          <w:i/>
          <w:iCs/>
          <w:sz w:val="18"/>
        </w:rPr>
        <w:t>15</w:t>
      </w:r>
      <w:r w:rsidRPr="00C03416">
        <w:rPr>
          <w:sz w:val="18"/>
        </w:rPr>
        <w:t>, 677–683, doi:10.1158/1078-0432.CCR-08-1754.</w:t>
      </w:r>
    </w:p>
    <w:p w14:paraId="21A1CF2D" w14:textId="77777777" w:rsidR="00C03416" w:rsidRPr="00C03416" w:rsidRDefault="00C03416" w:rsidP="00C03416">
      <w:pPr>
        <w:pStyle w:val="Bibliography"/>
        <w:rPr>
          <w:sz w:val="18"/>
        </w:rPr>
      </w:pPr>
      <w:r w:rsidRPr="00C03416">
        <w:rPr>
          <w:sz w:val="18"/>
        </w:rPr>
        <w:t xml:space="preserve">26. </w:t>
      </w:r>
      <w:r w:rsidRPr="00C03416">
        <w:rPr>
          <w:sz w:val="18"/>
        </w:rPr>
        <w:tab/>
        <w:t xml:space="preserve">Carl-McGrath, S.; Lendeckel, U.; Ebert, M.; Röcken, C. Ectopeptidases in Tumour Biology: A Review. </w:t>
      </w:r>
      <w:r w:rsidRPr="00C03416">
        <w:rPr>
          <w:i/>
          <w:iCs/>
          <w:sz w:val="18"/>
        </w:rPr>
        <w:t>Histol Histopathol</w:t>
      </w:r>
      <w:r w:rsidRPr="00C03416">
        <w:rPr>
          <w:sz w:val="18"/>
        </w:rPr>
        <w:t xml:space="preserve"> </w:t>
      </w:r>
      <w:r w:rsidRPr="00C03416">
        <w:rPr>
          <w:b/>
          <w:bCs/>
          <w:sz w:val="18"/>
        </w:rPr>
        <w:t>2006</w:t>
      </w:r>
      <w:r w:rsidRPr="00C03416">
        <w:rPr>
          <w:sz w:val="18"/>
        </w:rPr>
        <w:t xml:space="preserve">, </w:t>
      </w:r>
      <w:r w:rsidRPr="00C03416">
        <w:rPr>
          <w:i/>
          <w:iCs/>
          <w:sz w:val="18"/>
        </w:rPr>
        <w:t>21</w:t>
      </w:r>
      <w:r w:rsidRPr="00C03416">
        <w:rPr>
          <w:sz w:val="18"/>
        </w:rPr>
        <w:t>, 1339–1353, doi:10.14670/HH-21.1339.</w:t>
      </w:r>
    </w:p>
    <w:p w14:paraId="5795AB44" w14:textId="77777777" w:rsidR="00C03416" w:rsidRPr="00C03416" w:rsidRDefault="00C03416" w:rsidP="00C03416">
      <w:pPr>
        <w:pStyle w:val="Bibliography"/>
        <w:rPr>
          <w:sz w:val="18"/>
        </w:rPr>
      </w:pPr>
      <w:r w:rsidRPr="00C03416">
        <w:rPr>
          <w:sz w:val="18"/>
        </w:rPr>
        <w:t xml:space="preserve">27. </w:t>
      </w:r>
      <w:r w:rsidRPr="00C03416">
        <w:rPr>
          <w:sz w:val="18"/>
        </w:rPr>
        <w:tab/>
        <w:t xml:space="preserve">Menrad, A.; Speicher, D.; Wacker, J.; Herlyn, M. Biochemical and Functional Characterization of Aminopeptidase N Expressed by Human Melanoma Cells. </w:t>
      </w:r>
      <w:r w:rsidRPr="00C03416">
        <w:rPr>
          <w:i/>
          <w:iCs/>
          <w:sz w:val="18"/>
        </w:rPr>
        <w:t>Cancer Res</w:t>
      </w:r>
      <w:r w:rsidRPr="00C03416">
        <w:rPr>
          <w:sz w:val="18"/>
        </w:rPr>
        <w:t xml:space="preserve"> </w:t>
      </w:r>
      <w:r w:rsidRPr="00C03416">
        <w:rPr>
          <w:b/>
          <w:bCs/>
          <w:sz w:val="18"/>
        </w:rPr>
        <w:t>1993</w:t>
      </w:r>
      <w:r w:rsidRPr="00C03416">
        <w:rPr>
          <w:sz w:val="18"/>
        </w:rPr>
        <w:t xml:space="preserve">, </w:t>
      </w:r>
      <w:r w:rsidRPr="00C03416">
        <w:rPr>
          <w:i/>
          <w:iCs/>
          <w:sz w:val="18"/>
        </w:rPr>
        <w:t>53</w:t>
      </w:r>
      <w:r w:rsidRPr="00C03416">
        <w:rPr>
          <w:sz w:val="18"/>
        </w:rPr>
        <w:t>, 1450–1455.</w:t>
      </w:r>
    </w:p>
    <w:p w14:paraId="23D83934" w14:textId="77777777" w:rsidR="00C03416" w:rsidRPr="00C03416" w:rsidRDefault="00C03416" w:rsidP="00C03416">
      <w:pPr>
        <w:pStyle w:val="Bibliography"/>
        <w:rPr>
          <w:sz w:val="18"/>
        </w:rPr>
      </w:pPr>
      <w:r w:rsidRPr="00C03416">
        <w:rPr>
          <w:sz w:val="18"/>
        </w:rPr>
        <w:t xml:space="preserve">28. </w:t>
      </w:r>
      <w:r w:rsidRPr="00C03416">
        <w:rPr>
          <w:sz w:val="18"/>
        </w:rPr>
        <w:tab/>
        <w:t xml:space="preserve">Ishii, K.; Usui, S.; Sugimura, Y.; Yoshida, S.; Hioki, T.; Tatematsu, M.; Yamamoto, H.; Hirano, K. Aminopeptidase N Regulated by Zinc in Human Prostate Participates in Tumor Cell Invasion. </w:t>
      </w:r>
      <w:r w:rsidRPr="00C03416">
        <w:rPr>
          <w:i/>
          <w:iCs/>
          <w:sz w:val="18"/>
        </w:rPr>
        <w:t>Int J Cancer</w:t>
      </w:r>
      <w:r w:rsidRPr="00C03416">
        <w:rPr>
          <w:sz w:val="18"/>
        </w:rPr>
        <w:t xml:space="preserve"> </w:t>
      </w:r>
      <w:r w:rsidRPr="00C03416">
        <w:rPr>
          <w:b/>
          <w:bCs/>
          <w:sz w:val="18"/>
        </w:rPr>
        <w:t>2001</w:t>
      </w:r>
      <w:r w:rsidRPr="00C03416">
        <w:rPr>
          <w:sz w:val="18"/>
        </w:rPr>
        <w:t xml:space="preserve">, </w:t>
      </w:r>
      <w:r w:rsidRPr="00C03416">
        <w:rPr>
          <w:i/>
          <w:iCs/>
          <w:sz w:val="18"/>
        </w:rPr>
        <w:t>92</w:t>
      </w:r>
      <w:r w:rsidRPr="00C03416">
        <w:rPr>
          <w:sz w:val="18"/>
        </w:rPr>
        <w:t>, 49–54.</w:t>
      </w:r>
    </w:p>
    <w:p w14:paraId="39175024" w14:textId="77777777" w:rsidR="00C03416" w:rsidRPr="00C03416" w:rsidRDefault="00C03416" w:rsidP="00C03416">
      <w:pPr>
        <w:pStyle w:val="Bibliography"/>
        <w:rPr>
          <w:sz w:val="18"/>
        </w:rPr>
      </w:pPr>
      <w:r w:rsidRPr="00C03416">
        <w:rPr>
          <w:sz w:val="18"/>
        </w:rPr>
        <w:t xml:space="preserve">29. </w:t>
      </w:r>
      <w:r w:rsidRPr="00C03416">
        <w:rPr>
          <w:sz w:val="18"/>
        </w:rPr>
        <w:tab/>
        <w:t xml:space="preserve">Hashida, H.; Takabayashi, A.; Kanai, M.; Adachi, M.; Kondo, K.; Kohno, N.; Yamaoka, Y.; Miyake, M. Aminopeptidase N Is Involved in Cell Motility and Angiogenesis: Its Clinical Significance in Human Colon Cancer. </w:t>
      </w:r>
      <w:r w:rsidRPr="00C03416">
        <w:rPr>
          <w:i/>
          <w:iCs/>
          <w:sz w:val="18"/>
        </w:rPr>
        <w:t>Gastroenterology</w:t>
      </w:r>
      <w:r w:rsidRPr="00C03416">
        <w:rPr>
          <w:sz w:val="18"/>
        </w:rPr>
        <w:t xml:space="preserve"> </w:t>
      </w:r>
      <w:r w:rsidRPr="00C03416">
        <w:rPr>
          <w:b/>
          <w:bCs/>
          <w:sz w:val="18"/>
        </w:rPr>
        <w:t>2002</w:t>
      </w:r>
      <w:r w:rsidRPr="00C03416">
        <w:rPr>
          <w:sz w:val="18"/>
        </w:rPr>
        <w:t xml:space="preserve">, </w:t>
      </w:r>
      <w:r w:rsidRPr="00C03416">
        <w:rPr>
          <w:i/>
          <w:iCs/>
          <w:sz w:val="18"/>
        </w:rPr>
        <w:t>122</w:t>
      </w:r>
      <w:r w:rsidRPr="00C03416">
        <w:rPr>
          <w:sz w:val="18"/>
        </w:rPr>
        <w:t>, 376–386, doi:10.1053/gast.2002.31095.</w:t>
      </w:r>
    </w:p>
    <w:p w14:paraId="4E6A3D29" w14:textId="77777777" w:rsidR="00C03416" w:rsidRPr="00C03416" w:rsidRDefault="00C03416" w:rsidP="00C03416">
      <w:pPr>
        <w:pStyle w:val="Bibliography"/>
        <w:rPr>
          <w:sz w:val="18"/>
        </w:rPr>
      </w:pPr>
      <w:r w:rsidRPr="00C03416">
        <w:rPr>
          <w:sz w:val="18"/>
        </w:rPr>
        <w:t xml:space="preserve">30. </w:t>
      </w:r>
      <w:r w:rsidRPr="00C03416">
        <w:rPr>
          <w:sz w:val="18"/>
        </w:rPr>
        <w:tab/>
        <w:t xml:space="preserve">Sørensen, K.D.; Abildgaard, M.O.; Haldrup, C.; Ulhøi, B.P.; Kristensen, H.; Strand, S.; Parker, C.; Høyer, S.; Borre, M.; Ørntoft, T.F. Prognostic Significance of Aberrantly Silenced ANPEP Expression in Prostate Cancer. </w:t>
      </w:r>
      <w:r w:rsidRPr="00C03416">
        <w:rPr>
          <w:i/>
          <w:iCs/>
          <w:sz w:val="18"/>
        </w:rPr>
        <w:t>Br J Cancer</w:t>
      </w:r>
      <w:r w:rsidRPr="00C03416">
        <w:rPr>
          <w:sz w:val="18"/>
        </w:rPr>
        <w:t xml:space="preserve"> </w:t>
      </w:r>
      <w:r w:rsidRPr="00C03416">
        <w:rPr>
          <w:b/>
          <w:bCs/>
          <w:sz w:val="18"/>
        </w:rPr>
        <w:t>2013</w:t>
      </w:r>
      <w:r w:rsidRPr="00C03416">
        <w:rPr>
          <w:sz w:val="18"/>
        </w:rPr>
        <w:t xml:space="preserve">, </w:t>
      </w:r>
      <w:r w:rsidRPr="00C03416">
        <w:rPr>
          <w:i/>
          <w:iCs/>
          <w:sz w:val="18"/>
        </w:rPr>
        <w:t>108</w:t>
      </w:r>
      <w:r w:rsidRPr="00C03416">
        <w:rPr>
          <w:sz w:val="18"/>
        </w:rPr>
        <w:t>, 420–428, doi:10.1038/bjc.2012.549.</w:t>
      </w:r>
    </w:p>
    <w:p w14:paraId="5CB91DB1" w14:textId="77777777" w:rsidR="00C03416" w:rsidRPr="00C03416" w:rsidRDefault="00C03416" w:rsidP="00C03416">
      <w:pPr>
        <w:pStyle w:val="Bibliography"/>
        <w:rPr>
          <w:sz w:val="18"/>
        </w:rPr>
      </w:pPr>
      <w:r w:rsidRPr="00C03416">
        <w:rPr>
          <w:sz w:val="18"/>
        </w:rPr>
        <w:t xml:space="preserve">31. </w:t>
      </w:r>
      <w:r w:rsidRPr="00C03416">
        <w:rPr>
          <w:sz w:val="18"/>
        </w:rPr>
        <w:tab/>
        <w:t xml:space="preserve">Kramer, G.; Steiner, G.; Fodinger, D.; Fiebiger, E.; Rappersberger, C.; Binder, S.; Hofbauer, J.; Marberger, M. High Expression of a CD38-Like Molecule in Normal Prostatic Epithelium and Its Differential Loss in Benign and Malignant Disease. </w:t>
      </w:r>
      <w:r w:rsidRPr="00C03416">
        <w:rPr>
          <w:i/>
          <w:iCs/>
          <w:sz w:val="18"/>
        </w:rPr>
        <w:t>The Journal of Urology</w:t>
      </w:r>
      <w:r w:rsidRPr="00C03416">
        <w:rPr>
          <w:sz w:val="18"/>
        </w:rPr>
        <w:t xml:space="preserve"> </w:t>
      </w:r>
      <w:r w:rsidRPr="00C03416">
        <w:rPr>
          <w:b/>
          <w:bCs/>
          <w:sz w:val="18"/>
        </w:rPr>
        <w:t>1995</w:t>
      </w:r>
      <w:r w:rsidRPr="00C03416">
        <w:rPr>
          <w:sz w:val="18"/>
        </w:rPr>
        <w:t xml:space="preserve">, </w:t>
      </w:r>
      <w:r w:rsidRPr="00C03416">
        <w:rPr>
          <w:i/>
          <w:iCs/>
          <w:sz w:val="18"/>
        </w:rPr>
        <w:t>154</w:t>
      </w:r>
      <w:r w:rsidRPr="00C03416">
        <w:rPr>
          <w:sz w:val="18"/>
        </w:rPr>
        <w:t>, 1636–1641, doi:10.1016/S0022-5347(01)66733-8.</w:t>
      </w:r>
    </w:p>
    <w:p w14:paraId="44B4FA4C" w14:textId="77777777" w:rsidR="00C03416" w:rsidRPr="00C03416" w:rsidRDefault="00C03416" w:rsidP="00C03416">
      <w:pPr>
        <w:pStyle w:val="Bibliography"/>
        <w:rPr>
          <w:sz w:val="18"/>
        </w:rPr>
      </w:pPr>
      <w:r w:rsidRPr="00C03416">
        <w:rPr>
          <w:sz w:val="18"/>
        </w:rPr>
        <w:lastRenderedPageBreak/>
        <w:t xml:space="preserve">32. </w:t>
      </w:r>
      <w:r w:rsidRPr="00C03416">
        <w:rPr>
          <w:sz w:val="18"/>
        </w:rPr>
        <w:tab/>
        <w:t xml:space="preserve">Liu, X.; Grogan, T.R.; Hieronymus, H.; Hashimoto, T.; Mottahedeh, J.; Cheng, D.; Zhang, L.; Huang, K.; Stoyanova, T.; Park, J.W.; et al. Low CD38 Identifies Progenitor-like Inflammation-Associated Luminal Cells That Can Initiate Human Prostate Cancer and Predict Poor Outcome. </w:t>
      </w:r>
      <w:r w:rsidRPr="00C03416">
        <w:rPr>
          <w:i/>
          <w:iCs/>
          <w:sz w:val="18"/>
        </w:rPr>
        <w:t>Cell Reports</w:t>
      </w:r>
      <w:r w:rsidRPr="00C03416">
        <w:rPr>
          <w:sz w:val="18"/>
        </w:rPr>
        <w:t xml:space="preserve"> </w:t>
      </w:r>
      <w:r w:rsidRPr="00C03416">
        <w:rPr>
          <w:b/>
          <w:bCs/>
          <w:sz w:val="18"/>
        </w:rPr>
        <w:t>2016</w:t>
      </w:r>
      <w:r w:rsidRPr="00C03416">
        <w:rPr>
          <w:sz w:val="18"/>
        </w:rPr>
        <w:t xml:space="preserve">, </w:t>
      </w:r>
      <w:r w:rsidRPr="00C03416">
        <w:rPr>
          <w:i/>
          <w:iCs/>
          <w:sz w:val="18"/>
        </w:rPr>
        <w:t>17</w:t>
      </w:r>
      <w:r w:rsidRPr="00C03416">
        <w:rPr>
          <w:sz w:val="18"/>
        </w:rPr>
        <w:t>, 2596–2606, doi:10.1016/j.celrep.2016.11.010.</w:t>
      </w:r>
    </w:p>
    <w:p w14:paraId="6DF31E22" w14:textId="77777777" w:rsidR="00C03416" w:rsidRPr="00C03416" w:rsidRDefault="00C03416" w:rsidP="00C03416">
      <w:pPr>
        <w:pStyle w:val="Bibliography"/>
        <w:rPr>
          <w:sz w:val="18"/>
        </w:rPr>
      </w:pPr>
      <w:r w:rsidRPr="00C03416">
        <w:rPr>
          <w:sz w:val="18"/>
        </w:rPr>
        <w:t xml:space="preserve">33. </w:t>
      </w:r>
      <w:r w:rsidRPr="00C03416">
        <w:rPr>
          <w:sz w:val="18"/>
        </w:rPr>
        <w:tab/>
        <w:t xml:space="preserve">Liu, A.; Furusato, B.; Ravindranath, L.; Chen, Y.; Srikantan, V.; McLeod, D.G.; Petrovics, G.; Srivastava, S. Quantitative Analysis of a Panel of Gene Expression in Prostate Cancer--with Emphasis on NPY Expression Analysis. </w:t>
      </w:r>
      <w:r w:rsidRPr="00C03416">
        <w:rPr>
          <w:i/>
          <w:iCs/>
          <w:sz w:val="18"/>
        </w:rPr>
        <w:t>J Zhejiang Univ Sci B</w:t>
      </w:r>
      <w:r w:rsidRPr="00C03416">
        <w:rPr>
          <w:sz w:val="18"/>
        </w:rPr>
        <w:t xml:space="preserve"> </w:t>
      </w:r>
      <w:r w:rsidRPr="00C03416">
        <w:rPr>
          <w:b/>
          <w:bCs/>
          <w:sz w:val="18"/>
        </w:rPr>
        <w:t>2007</w:t>
      </w:r>
      <w:r w:rsidRPr="00C03416">
        <w:rPr>
          <w:sz w:val="18"/>
        </w:rPr>
        <w:t xml:space="preserve">, </w:t>
      </w:r>
      <w:r w:rsidRPr="00C03416">
        <w:rPr>
          <w:i/>
          <w:iCs/>
          <w:sz w:val="18"/>
        </w:rPr>
        <w:t>8</w:t>
      </w:r>
      <w:r w:rsidRPr="00C03416">
        <w:rPr>
          <w:sz w:val="18"/>
        </w:rPr>
        <w:t>, 853–859, doi:10.1631/jzus.2007.B0853.</w:t>
      </w:r>
    </w:p>
    <w:p w14:paraId="22D7E71A" w14:textId="77777777" w:rsidR="00C03416" w:rsidRPr="00C03416" w:rsidRDefault="00C03416" w:rsidP="00C03416">
      <w:pPr>
        <w:pStyle w:val="Bibliography"/>
        <w:rPr>
          <w:sz w:val="18"/>
        </w:rPr>
      </w:pPr>
      <w:r w:rsidRPr="00C03416">
        <w:rPr>
          <w:sz w:val="18"/>
        </w:rPr>
        <w:t xml:space="preserve">34. </w:t>
      </w:r>
      <w:r w:rsidRPr="00C03416">
        <w:rPr>
          <w:sz w:val="18"/>
        </w:rPr>
        <w:tab/>
        <w:t xml:space="preserve">Henrique, R.; Jerónimo, C.; Hoque, M.O.; Nomoto, S.; Carvalho, A.L.; Costa, V.L.; Oliveira, J.; Teixeira, M.R.; Lopes, C.; Sidransky, D. MT1G Hypermethylation Is Associated with Higher Tumor Stage in Prostate Cancer. </w:t>
      </w:r>
      <w:r w:rsidRPr="00C03416">
        <w:rPr>
          <w:i/>
          <w:iCs/>
          <w:sz w:val="18"/>
        </w:rPr>
        <w:t>Cancer Epidemiol Biomarkers Prev</w:t>
      </w:r>
      <w:r w:rsidRPr="00C03416">
        <w:rPr>
          <w:sz w:val="18"/>
        </w:rPr>
        <w:t xml:space="preserve"> </w:t>
      </w:r>
      <w:r w:rsidRPr="00C03416">
        <w:rPr>
          <w:b/>
          <w:bCs/>
          <w:sz w:val="18"/>
        </w:rPr>
        <w:t>2005</w:t>
      </w:r>
      <w:r w:rsidRPr="00C03416">
        <w:rPr>
          <w:sz w:val="18"/>
        </w:rPr>
        <w:t xml:space="preserve">, </w:t>
      </w:r>
      <w:r w:rsidRPr="00C03416">
        <w:rPr>
          <w:i/>
          <w:iCs/>
          <w:sz w:val="18"/>
        </w:rPr>
        <w:t>14</w:t>
      </w:r>
      <w:r w:rsidRPr="00C03416">
        <w:rPr>
          <w:sz w:val="18"/>
        </w:rPr>
        <w:t>, 1274–1278, doi:10.1158/1055-9965.EPI-04-0659.</w:t>
      </w:r>
    </w:p>
    <w:p w14:paraId="4FC9A7E3" w14:textId="77777777" w:rsidR="00C03416" w:rsidRPr="00C03416" w:rsidRDefault="00C03416" w:rsidP="00C03416">
      <w:pPr>
        <w:pStyle w:val="Bibliography"/>
        <w:rPr>
          <w:sz w:val="18"/>
        </w:rPr>
      </w:pPr>
      <w:r w:rsidRPr="00C03416">
        <w:rPr>
          <w:sz w:val="18"/>
        </w:rPr>
        <w:t xml:space="preserve">35. </w:t>
      </w:r>
      <w:r w:rsidRPr="00C03416">
        <w:rPr>
          <w:sz w:val="18"/>
        </w:rPr>
        <w:tab/>
        <w:t xml:space="preserve">Bergström, S.H.; Järemo, H.; Nilsson, M.; Adamo, H.H.; Bergh, A. Prostate Tumors Downregulate Microseminoprotein-Beta (MSMB) in the Surrounding Benign Prostate Epithelium and This Response Is Associated with Tumor Aggressiveness. </w:t>
      </w:r>
      <w:r w:rsidRPr="00C03416">
        <w:rPr>
          <w:i/>
          <w:iCs/>
          <w:sz w:val="18"/>
        </w:rPr>
        <w:t>Prostate</w:t>
      </w:r>
      <w:r w:rsidRPr="00C03416">
        <w:rPr>
          <w:sz w:val="18"/>
        </w:rPr>
        <w:t xml:space="preserve"> </w:t>
      </w:r>
      <w:r w:rsidRPr="00C03416">
        <w:rPr>
          <w:b/>
          <w:bCs/>
          <w:sz w:val="18"/>
        </w:rPr>
        <w:t>2018</w:t>
      </w:r>
      <w:r w:rsidRPr="00C03416">
        <w:rPr>
          <w:sz w:val="18"/>
        </w:rPr>
        <w:t xml:space="preserve">, </w:t>
      </w:r>
      <w:r w:rsidRPr="00C03416">
        <w:rPr>
          <w:i/>
          <w:iCs/>
          <w:sz w:val="18"/>
        </w:rPr>
        <w:t>78</w:t>
      </w:r>
      <w:r w:rsidRPr="00C03416">
        <w:rPr>
          <w:sz w:val="18"/>
        </w:rPr>
        <w:t>, 257–265, doi:10.1002/pros.23466.</w:t>
      </w:r>
    </w:p>
    <w:p w14:paraId="063A8855" w14:textId="77777777" w:rsidR="00C03416" w:rsidRPr="00C03416" w:rsidRDefault="00C03416" w:rsidP="00C03416">
      <w:pPr>
        <w:pStyle w:val="Bibliography"/>
        <w:rPr>
          <w:sz w:val="18"/>
        </w:rPr>
      </w:pPr>
      <w:r w:rsidRPr="00C03416">
        <w:rPr>
          <w:sz w:val="18"/>
        </w:rPr>
        <w:t xml:space="preserve">36. </w:t>
      </w:r>
      <w:r w:rsidRPr="00C03416">
        <w:rPr>
          <w:sz w:val="18"/>
        </w:rPr>
        <w:tab/>
        <w:t xml:space="preserve">Chen, L.; Hong, C.; Chen, E.C.; Yee, S.W.; Xu, L.; Almof, E.U.; Wen, C.; Fujii, K.; Johns, S.J.; Stryke, D.; et al. Genetic and Epigenetic Regulation of the Organic Cation Transporter 3, SLC22A3. </w:t>
      </w:r>
      <w:r w:rsidRPr="00C03416">
        <w:rPr>
          <w:i/>
          <w:iCs/>
          <w:sz w:val="18"/>
        </w:rPr>
        <w:t>Pharmacogenomics J</w:t>
      </w:r>
      <w:r w:rsidRPr="00C03416">
        <w:rPr>
          <w:sz w:val="18"/>
        </w:rPr>
        <w:t xml:space="preserve"> </w:t>
      </w:r>
      <w:r w:rsidRPr="00C03416">
        <w:rPr>
          <w:b/>
          <w:bCs/>
          <w:sz w:val="18"/>
        </w:rPr>
        <w:t>2013</w:t>
      </w:r>
      <w:r w:rsidRPr="00C03416">
        <w:rPr>
          <w:sz w:val="18"/>
        </w:rPr>
        <w:t xml:space="preserve">, </w:t>
      </w:r>
      <w:r w:rsidRPr="00C03416">
        <w:rPr>
          <w:i/>
          <w:iCs/>
          <w:sz w:val="18"/>
        </w:rPr>
        <w:t>13</w:t>
      </w:r>
      <w:r w:rsidRPr="00C03416">
        <w:rPr>
          <w:sz w:val="18"/>
        </w:rPr>
        <w:t>, 110–120, doi:10.1038/tpj.2011.60.</w:t>
      </w:r>
    </w:p>
    <w:p w14:paraId="0E8CE8B1" w14:textId="77777777" w:rsidR="00C03416" w:rsidRPr="00C03416" w:rsidRDefault="00C03416" w:rsidP="00C03416">
      <w:pPr>
        <w:pStyle w:val="Bibliography"/>
        <w:rPr>
          <w:sz w:val="18"/>
        </w:rPr>
      </w:pPr>
      <w:r w:rsidRPr="00C03416">
        <w:rPr>
          <w:sz w:val="18"/>
        </w:rPr>
        <w:t xml:space="preserve">37. </w:t>
      </w:r>
      <w:r w:rsidRPr="00C03416">
        <w:rPr>
          <w:sz w:val="18"/>
        </w:rPr>
        <w:tab/>
        <w:t xml:space="preserve">Englund, E.; Canesin, G.; Papadakos, K.S.; Vishnu, N.; Persson, E.; Reitsma, B.; Anand, A.; Jacobsson, L.; Helczynski, L.; Mulder, H.; et al. Cartilage Oligomeric Matrix Protein Promotes Prostate Cancer Progression by Enhancing Invasion and Disrupting Intracellular Calcium Homeostasis. </w:t>
      </w:r>
      <w:r w:rsidRPr="00C03416">
        <w:rPr>
          <w:i/>
          <w:iCs/>
          <w:sz w:val="18"/>
        </w:rPr>
        <w:t>Oncotarget</w:t>
      </w:r>
      <w:r w:rsidRPr="00C03416">
        <w:rPr>
          <w:sz w:val="18"/>
        </w:rPr>
        <w:t xml:space="preserve"> </w:t>
      </w:r>
      <w:r w:rsidRPr="00C03416">
        <w:rPr>
          <w:b/>
          <w:bCs/>
          <w:sz w:val="18"/>
        </w:rPr>
        <w:t>2017</w:t>
      </w:r>
      <w:r w:rsidRPr="00C03416">
        <w:rPr>
          <w:sz w:val="18"/>
        </w:rPr>
        <w:t xml:space="preserve">, </w:t>
      </w:r>
      <w:r w:rsidRPr="00C03416">
        <w:rPr>
          <w:i/>
          <w:iCs/>
          <w:sz w:val="18"/>
        </w:rPr>
        <w:t>8</w:t>
      </w:r>
      <w:r w:rsidRPr="00C03416">
        <w:rPr>
          <w:sz w:val="18"/>
        </w:rPr>
        <w:t>, 98298–98311, doi:10.18632/oncotarget.21176.</w:t>
      </w:r>
    </w:p>
    <w:p w14:paraId="4EC79089" w14:textId="77777777" w:rsidR="00C03416" w:rsidRPr="00C03416" w:rsidRDefault="00C03416" w:rsidP="00C03416">
      <w:pPr>
        <w:pStyle w:val="Bibliography"/>
        <w:rPr>
          <w:sz w:val="18"/>
        </w:rPr>
      </w:pPr>
      <w:r w:rsidRPr="00C03416">
        <w:rPr>
          <w:sz w:val="18"/>
        </w:rPr>
        <w:t xml:space="preserve">38. </w:t>
      </w:r>
      <w:r w:rsidRPr="00C03416">
        <w:rPr>
          <w:sz w:val="18"/>
        </w:rPr>
        <w:tab/>
        <w:t xml:space="preserve">Zhong, P.; Shu, R.; Wu, H.; Liu, Z.; Shen, X.; Hu, Y. Low KRT15 Expression Is Associated with Poor Prognosis in Patients with Breast Invasive Carcinoma. </w:t>
      </w:r>
      <w:r w:rsidRPr="00C03416">
        <w:rPr>
          <w:i/>
          <w:iCs/>
          <w:sz w:val="18"/>
        </w:rPr>
        <w:t>Experimental and Therapeutic Medicine</w:t>
      </w:r>
      <w:r w:rsidRPr="00C03416">
        <w:rPr>
          <w:sz w:val="18"/>
        </w:rPr>
        <w:t xml:space="preserve"> </w:t>
      </w:r>
      <w:r w:rsidRPr="00C03416">
        <w:rPr>
          <w:b/>
          <w:bCs/>
          <w:sz w:val="18"/>
        </w:rPr>
        <w:t>2021</w:t>
      </w:r>
      <w:r w:rsidRPr="00C03416">
        <w:rPr>
          <w:sz w:val="18"/>
        </w:rPr>
        <w:t xml:space="preserve">, </w:t>
      </w:r>
      <w:r w:rsidRPr="00C03416">
        <w:rPr>
          <w:i/>
          <w:iCs/>
          <w:sz w:val="18"/>
        </w:rPr>
        <w:t>21</w:t>
      </w:r>
      <w:r w:rsidRPr="00C03416">
        <w:rPr>
          <w:sz w:val="18"/>
        </w:rPr>
        <w:t>, 1–1, doi:10.3892/etm.2021.9736.</w:t>
      </w:r>
    </w:p>
    <w:p w14:paraId="5900C77D" w14:textId="77777777" w:rsidR="00C03416" w:rsidRPr="00C03416" w:rsidRDefault="00C03416" w:rsidP="00C03416">
      <w:pPr>
        <w:pStyle w:val="Bibliography"/>
        <w:rPr>
          <w:sz w:val="18"/>
        </w:rPr>
      </w:pPr>
      <w:r w:rsidRPr="00C03416">
        <w:rPr>
          <w:sz w:val="18"/>
        </w:rPr>
        <w:t xml:space="preserve">39. </w:t>
      </w:r>
      <w:r w:rsidRPr="00C03416">
        <w:rPr>
          <w:sz w:val="18"/>
        </w:rPr>
        <w:tab/>
        <w:t xml:space="preserve">Hanahan, D. Hallmarks of Cancer: New Dimensions. </w:t>
      </w:r>
      <w:r w:rsidRPr="00C03416">
        <w:rPr>
          <w:i/>
          <w:iCs/>
          <w:sz w:val="18"/>
        </w:rPr>
        <w:t>Cancer Discovery</w:t>
      </w:r>
      <w:r w:rsidRPr="00C03416">
        <w:rPr>
          <w:sz w:val="18"/>
        </w:rPr>
        <w:t xml:space="preserve"> </w:t>
      </w:r>
      <w:r w:rsidRPr="00C03416">
        <w:rPr>
          <w:b/>
          <w:bCs/>
          <w:sz w:val="18"/>
        </w:rPr>
        <w:t>2022</w:t>
      </w:r>
      <w:r w:rsidRPr="00C03416">
        <w:rPr>
          <w:sz w:val="18"/>
        </w:rPr>
        <w:t xml:space="preserve">, </w:t>
      </w:r>
      <w:r w:rsidRPr="00C03416">
        <w:rPr>
          <w:i/>
          <w:iCs/>
          <w:sz w:val="18"/>
        </w:rPr>
        <w:t>12</w:t>
      </w:r>
      <w:r w:rsidRPr="00C03416">
        <w:rPr>
          <w:sz w:val="18"/>
        </w:rPr>
        <w:t>, 31–46, doi:10.1158/2159-8290.CD-21-1059.</w:t>
      </w:r>
    </w:p>
    <w:p w14:paraId="0DF1D995" w14:textId="77777777" w:rsidR="00C03416" w:rsidRPr="00C03416" w:rsidRDefault="00C03416" w:rsidP="00C03416">
      <w:pPr>
        <w:pStyle w:val="Bibliography"/>
        <w:rPr>
          <w:sz w:val="18"/>
        </w:rPr>
      </w:pPr>
      <w:r w:rsidRPr="00C03416">
        <w:rPr>
          <w:sz w:val="18"/>
        </w:rPr>
        <w:t xml:space="preserve">40. </w:t>
      </w:r>
      <w:r w:rsidRPr="00C03416">
        <w:rPr>
          <w:sz w:val="18"/>
        </w:rPr>
        <w:tab/>
        <w:t xml:space="preserve">Rye, M.B.; Bertilsson, H.; Andersen, M.K.; Rise, K.; Bathen, T.F.; Drabløs, F.; Tessem, M.-B. Cholesterol Synthesis Pathway Genes in Prostate Cancer Are Transcriptionally Downregulated When Tissue Confounding Is Minimized. </w:t>
      </w:r>
      <w:r w:rsidRPr="00C03416">
        <w:rPr>
          <w:i/>
          <w:iCs/>
          <w:sz w:val="18"/>
        </w:rPr>
        <w:t>BMC Cancer</w:t>
      </w:r>
      <w:r w:rsidRPr="00C03416">
        <w:rPr>
          <w:sz w:val="18"/>
        </w:rPr>
        <w:t xml:space="preserve"> </w:t>
      </w:r>
      <w:r w:rsidRPr="00C03416">
        <w:rPr>
          <w:b/>
          <w:bCs/>
          <w:sz w:val="18"/>
        </w:rPr>
        <w:t>2018</w:t>
      </w:r>
      <w:r w:rsidRPr="00C03416">
        <w:rPr>
          <w:sz w:val="18"/>
        </w:rPr>
        <w:t xml:space="preserve">, </w:t>
      </w:r>
      <w:r w:rsidRPr="00C03416">
        <w:rPr>
          <w:i/>
          <w:iCs/>
          <w:sz w:val="18"/>
        </w:rPr>
        <w:t>18</w:t>
      </w:r>
      <w:r w:rsidRPr="00C03416">
        <w:rPr>
          <w:sz w:val="18"/>
        </w:rPr>
        <w:t>, 478, doi:10.1186/s12885-018-4373-y.</w:t>
      </w:r>
    </w:p>
    <w:p w14:paraId="1234F46F" w14:textId="77777777" w:rsidR="00C03416" w:rsidRPr="00C03416" w:rsidRDefault="00C03416" w:rsidP="00C03416">
      <w:pPr>
        <w:pStyle w:val="Bibliography"/>
        <w:rPr>
          <w:sz w:val="18"/>
        </w:rPr>
      </w:pPr>
      <w:r w:rsidRPr="00C03416">
        <w:rPr>
          <w:sz w:val="18"/>
        </w:rPr>
        <w:t xml:space="preserve">41. </w:t>
      </w:r>
      <w:r w:rsidRPr="00C03416">
        <w:rPr>
          <w:sz w:val="18"/>
        </w:rPr>
        <w:tab/>
        <w:t xml:space="preserve">Corcoran, N.M.; Hong, M.K.H.; Casey, R.G.; Hurtado-Coll, A.; Peters, J.; Harewood, L.; Goldenberg, S.L.; Hovens, C.M.; Costello, A.J.; Gleave, M.E. Upgrade in Gleason Score between Prostate Biopsies and Pathology Following Radical Prostatectomy Significantly Impacts upon the Risk of Biochemical Recurrence. </w:t>
      </w:r>
      <w:r w:rsidRPr="00C03416">
        <w:rPr>
          <w:i/>
          <w:iCs/>
          <w:sz w:val="18"/>
        </w:rPr>
        <w:t>BJU Int</w:t>
      </w:r>
      <w:r w:rsidRPr="00C03416">
        <w:rPr>
          <w:sz w:val="18"/>
        </w:rPr>
        <w:t xml:space="preserve"> </w:t>
      </w:r>
      <w:r w:rsidRPr="00C03416">
        <w:rPr>
          <w:b/>
          <w:bCs/>
          <w:sz w:val="18"/>
        </w:rPr>
        <w:t>2011</w:t>
      </w:r>
      <w:r w:rsidRPr="00C03416">
        <w:rPr>
          <w:sz w:val="18"/>
        </w:rPr>
        <w:t xml:space="preserve">, </w:t>
      </w:r>
      <w:r w:rsidRPr="00C03416">
        <w:rPr>
          <w:i/>
          <w:iCs/>
          <w:sz w:val="18"/>
        </w:rPr>
        <w:t>108</w:t>
      </w:r>
      <w:r w:rsidRPr="00C03416">
        <w:rPr>
          <w:sz w:val="18"/>
        </w:rPr>
        <w:t>, E202-210, doi:10.1111/j.1464-410X.2011.10119.x.</w:t>
      </w:r>
    </w:p>
    <w:p w14:paraId="2661ACD4" w14:textId="7304BA5B" w:rsidR="00AF05DF" w:rsidRDefault="00FA2833" w:rsidP="00FA2833">
      <w:pPr>
        <w:pStyle w:val="MDPI71References"/>
        <w:numPr>
          <w:ilvl w:val="0"/>
          <w:numId w:val="0"/>
        </w:numPr>
        <w:ind w:left="510" w:hanging="510"/>
      </w:pPr>
      <w:r>
        <w:fldChar w:fldCharType="end"/>
      </w:r>
    </w:p>
    <w:sectPr w:rsidR="00AF05DF" w:rsidSect="008364FD">
      <w:headerReference w:type="even" r:id="rId16"/>
      <w:headerReference w:type="default" r:id="rId17"/>
      <w:footerReference w:type="default" r:id="rId18"/>
      <w:headerReference w:type="first" r:id="rId19"/>
      <w:footerReference w:type="first" r:id="rId20"/>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3A8C" w14:textId="77777777" w:rsidR="00154A19" w:rsidRDefault="00154A19">
      <w:pPr>
        <w:spacing w:line="240" w:lineRule="auto"/>
      </w:pPr>
      <w:r>
        <w:separator/>
      </w:r>
    </w:p>
  </w:endnote>
  <w:endnote w:type="continuationSeparator" w:id="0">
    <w:p w14:paraId="66E1E4EF" w14:textId="77777777" w:rsidR="00154A19" w:rsidRDefault="00154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7B1F" w14:textId="77777777" w:rsidR="00667697" w:rsidRPr="00A72F19" w:rsidRDefault="00667697" w:rsidP="00667697">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A1AE" w14:textId="77777777" w:rsidR="00A95347" w:rsidRDefault="00A95347" w:rsidP="00826FB7">
    <w:pPr>
      <w:pBdr>
        <w:top w:val="single" w:sz="4" w:space="0" w:color="000000"/>
      </w:pBdr>
      <w:tabs>
        <w:tab w:val="right" w:pos="8844"/>
      </w:tabs>
      <w:adjustRightInd w:val="0"/>
      <w:snapToGrid w:val="0"/>
      <w:spacing w:before="480" w:line="100" w:lineRule="exact"/>
      <w:jc w:val="left"/>
      <w:rPr>
        <w:i/>
        <w:sz w:val="16"/>
        <w:szCs w:val="16"/>
      </w:rPr>
    </w:pPr>
  </w:p>
  <w:p w14:paraId="2C647B6F" w14:textId="77777777" w:rsidR="00667697" w:rsidRPr="00106BF5" w:rsidRDefault="00D4741C" w:rsidP="00D4741C">
    <w:pPr>
      <w:tabs>
        <w:tab w:val="right" w:pos="10466"/>
      </w:tabs>
      <w:adjustRightInd w:val="0"/>
      <w:snapToGrid w:val="0"/>
      <w:spacing w:line="240" w:lineRule="auto"/>
      <w:rPr>
        <w:sz w:val="16"/>
        <w:szCs w:val="16"/>
        <w:lang w:val="fr-CH"/>
      </w:rPr>
    </w:pPr>
    <w:r w:rsidRPr="00D4741C">
      <w:rPr>
        <w:i/>
        <w:sz w:val="16"/>
        <w:szCs w:val="16"/>
      </w:rPr>
      <w:t xml:space="preserve">Curr. Oncol. </w:t>
    </w:r>
    <w:r w:rsidR="0008365E">
      <w:rPr>
        <w:b/>
        <w:bCs/>
        <w:iCs/>
        <w:sz w:val="16"/>
        <w:szCs w:val="16"/>
      </w:rPr>
      <w:t>2022</w:t>
    </w:r>
    <w:r w:rsidR="00AF5298" w:rsidRPr="00AF5298">
      <w:rPr>
        <w:bCs/>
        <w:iCs/>
        <w:sz w:val="16"/>
        <w:szCs w:val="16"/>
      </w:rPr>
      <w:t>,</w:t>
    </w:r>
    <w:r w:rsidR="0008365E">
      <w:rPr>
        <w:bCs/>
        <w:i/>
        <w:iCs/>
        <w:sz w:val="16"/>
        <w:szCs w:val="16"/>
      </w:rPr>
      <w:t xml:space="preserve"> 29</w:t>
    </w:r>
    <w:r w:rsidR="00AF5298" w:rsidRPr="00AF5298">
      <w:rPr>
        <w:bCs/>
        <w:iCs/>
        <w:sz w:val="16"/>
        <w:szCs w:val="16"/>
      </w:rPr>
      <w:t xml:space="preserve">, </w:t>
    </w:r>
    <w:r w:rsidR="00963CC0">
      <w:rPr>
        <w:bCs/>
        <w:iCs/>
        <w:sz w:val="16"/>
        <w:szCs w:val="16"/>
      </w:rPr>
      <w:t>Firstpage–Lastpage</w:t>
    </w:r>
    <w:r w:rsidR="00727937">
      <w:rPr>
        <w:bCs/>
        <w:iCs/>
        <w:sz w:val="16"/>
        <w:szCs w:val="16"/>
      </w:rPr>
      <w:t>. https://doi.org/10.3390/xxxxx</w:t>
    </w:r>
    <w:r w:rsidR="009F5056" w:rsidRPr="00106BF5">
      <w:rPr>
        <w:sz w:val="16"/>
        <w:szCs w:val="16"/>
        <w:lang w:val="fr-CH"/>
      </w:rPr>
      <w:tab/>
    </w:r>
    <w:r w:rsidR="00667697" w:rsidRPr="00106BF5">
      <w:rPr>
        <w:sz w:val="16"/>
        <w:szCs w:val="16"/>
        <w:lang w:val="fr-CH"/>
      </w:rPr>
      <w:t>www.mdpi.com/journal/</w:t>
    </w:r>
    <w:r w:rsidRPr="00D4741C">
      <w:rPr>
        <w:sz w:val="16"/>
        <w:szCs w:val="16"/>
        <w:lang w:val="fr-CH"/>
      </w:rPr>
      <w:t>curroncol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71682" w14:textId="77777777" w:rsidR="00154A19" w:rsidRDefault="00154A19">
      <w:pPr>
        <w:spacing w:line="240" w:lineRule="auto"/>
      </w:pPr>
      <w:r>
        <w:separator/>
      </w:r>
    </w:p>
  </w:footnote>
  <w:footnote w:type="continuationSeparator" w:id="0">
    <w:p w14:paraId="73D762C2" w14:textId="77777777" w:rsidR="00154A19" w:rsidRDefault="00154A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F7F1" w14:textId="77777777" w:rsidR="00667697" w:rsidRDefault="00667697" w:rsidP="0066769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2619" w14:textId="77777777" w:rsidR="00A95347" w:rsidRDefault="00D4741C" w:rsidP="00A95347">
    <w:pPr>
      <w:tabs>
        <w:tab w:val="right" w:pos="10466"/>
      </w:tabs>
      <w:adjustRightInd w:val="0"/>
      <w:snapToGrid w:val="0"/>
      <w:spacing w:line="240" w:lineRule="auto"/>
      <w:rPr>
        <w:sz w:val="16"/>
      </w:rPr>
    </w:pPr>
    <w:r w:rsidRPr="00D4741C">
      <w:rPr>
        <w:bCs/>
        <w:i/>
        <w:iCs/>
        <w:sz w:val="16"/>
      </w:rPr>
      <w:t>Curr. Oncol.</w:t>
    </w:r>
    <w:r>
      <w:rPr>
        <w:b/>
        <w:sz w:val="16"/>
      </w:rPr>
      <w:t xml:space="preserve"> </w:t>
    </w:r>
    <w:r w:rsidR="0008365E">
      <w:rPr>
        <w:b/>
        <w:sz w:val="16"/>
      </w:rPr>
      <w:t>2022</w:t>
    </w:r>
    <w:r w:rsidR="00AF5298" w:rsidRPr="00AF5298">
      <w:rPr>
        <w:sz w:val="16"/>
      </w:rPr>
      <w:t>,</w:t>
    </w:r>
    <w:r w:rsidR="0008365E">
      <w:rPr>
        <w:i/>
        <w:sz w:val="16"/>
      </w:rPr>
      <w:t xml:space="preserve"> 29</w:t>
    </w:r>
    <w:r w:rsidR="00C850C8">
      <w:rPr>
        <w:i/>
        <w:sz w:val="16"/>
      </w:rPr>
      <w:t>,</w:t>
    </w:r>
    <w:r w:rsidR="00AF5298" w:rsidRPr="00AF5298">
      <w:rPr>
        <w:sz w:val="16"/>
      </w:rPr>
      <w:t xml:space="preserve"> FOR PEER REVIEW </w:t>
    </w:r>
    <w:r w:rsidR="009F5056">
      <w:rPr>
        <w:sz w:val="16"/>
      </w:rPr>
      <w:tab/>
    </w:r>
    <w:r w:rsidR="00AF5298">
      <w:rPr>
        <w:sz w:val="16"/>
      </w:rPr>
      <w:fldChar w:fldCharType="begin"/>
    </w:r>
    <w:r w:rsidR="00AF5298">
      <w:rPr>
        <w:sz w:val="16"/>
      </w:rPr>
      <w:instrText xml:space="preserve"> PAGE   \* MERGEFORMAT </w:instrText>
    </w:r>
    <w:r w:rsidR="00AF5298">
      <w:rPr>
        <w:sz w:val="16"/>
      </w:rPr>
      <w:fldChar w:fldCharType="separate"/>
    </w:r>
    <w:r>
      <w:rPr>
        <w:sz w:val="16"/>
      </w:rPr>
      <w:t>2</w:t>
    </w:r>
    <w:r w:rsidR="00AF5298">
      <w:rPr>
        <w:sz w:val="16"/>
      </w:rPr>
      <w:fldChar w:fldCharType="end"/>
    </w:r>
  </w:p>
  <w:p w14:paraId="63515B4E" w14:textId="77777777" w:rsidR="00667697" w:rsidRPr="00172493" w:rsidRDefault="00667697" w:rsidP="00826FB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A95347" w:rsidRPr="009F5056" w14:paraId="6DE2BFAF" w14:textId="77777777" w:rsidTr="00127218">
      <w:trPr>
        <w:trHeight w:val="686"/>
      </w:trPr>
      <w:tc>
        <w:tcPr>
          <w:tcW w:w="3679" w:type="dxa"/>
          <w:shd w:val="clear" w:color="auto" w:fill="auto"/>
          <w:vAlign w:val="center"/>
        </w:tcPr>
        <w:p w14:paraId="664FE32C" w14:textId="77777777" w:rsidR="00A95347" w:rsidRPr="00D70D4F" w:rsidRDefault="00893486" w:rsidP="009F5056">
          <w:pPr>
            <w:pStyle w:val="Header"/>
            <w:pBdr>
              <w:bottom w:val="none" w:sz="0" w:space="0" w:color="auto"/>
            </w:pBdr>
            <w:jc w:val="left"/>
            <w:rPr>
              <w:rFonts w:eastAsia="DengXian"/>
              <w:b/>
              <w:bCs/>
            </w:rPr>
          </w:pPr>
          <w:r>
            <w:rPr>
              <w:rFonts w:eastAsia="DengXian"/>
              <w:b/>
              <w:bCs/>
            </w:rPr>
            <w:drawing>
              <wp:inline distT="0" distB="0" distL="0" distR="0" wp14:anchorId="17238ECA" wp14:editId="4A299C1F">
                <wp:extent cx="1814830" cy="394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830" cy="394970"/>
                        </a:xfrm>
                        <a:prstGeom prst="rect">
                          <a:avLst/>
                        </a:prstGeom>
                        <a:noFill/>
                        <a:ln>
                          <a:noFill/>
                        </a:ln>
                      </pic:spPr>
                    </pic:pic>
                  </a:graphicData>
                </a:graphic>
              </wp:inline>
            </w:drawing>
          </w:r>
        </w:p>
      </w:tc>
      <w:tc>
        <w:tcPr>
          <w:tcW w:w="4535" w:type="dxa"/>
          <w:shd w:val="clear" w:color="auto" w:fill="auto"/>
          <w:vAlign w:val="center"/>
        </w:tcPr>
        <w:p w14:paraId="21CB0AFE" w14:textId="77777777" w:rsidR="00A95347" w:rsidRPr="00D70D4F" w:rsidRDefault="00A95347" w:rsidP="009F5056">
          <w:pPr>
            <w:pStyle w:val="Header"/>
            <w:pBdr>
              <w:bottom w:val="none" w:sz="0" w:space="0" w:color="auto"/>
            </w:pBdr>
            <w:rPr>
              <w:rFonts w:eastAsia="DengXian"/>
              <w:b/>
              <w:bCs/>
            </w:rPr>
          </w:pPr>
        </w:p>
      </w:tc>
      <w:tc>
        <w:tcPr>
          <w:tcW w:w="2273" w:type="dxa"/>
          <w:shd w:val="clear" w:color="auto" w:fill="auto"/>
          <w:vAlign w:val="center"/>
        </w:tcPr>
        <w:p w14:paraId="05717D5B" w14:textId="77777777" w:rsidR="00A95347" w:rsidRPr="00D70D4F" w:rsidRDefault="00127218" w:rsidP="00127218">
          <w:pPr>
            <w:pStyle w:val="Header"/>
            <w:pBdr>
              <w:bottom w:val="none" w:sz="0" w:space="0" w:color="auto"/>
            </w:pBdr>
            <w:jc w:val="right"/>
            <w:rPr>
              <w:rFonts w:eastAsia="DengXian"/>
              <w:b/>
              <w:bCs/>
            </w:rPr>
          </w:pPr>
          <w:r>
            <w:rPr>
              <w:rFonts w:eastAsia="DengXian"/>
              <w:b/>
              <w:bCs/>
            </w:rPr>
            <w:drawing>
              <wp:inline distT="0" distB="0" distL="0" distR="0" wp14:anchorId="395728B4" wp14:editId="5FC15A41">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2EE07C2F" w14:textId="77777777" w:rsidR="00667697" w:rsidRPr="00A95347" w:rsidRDefault="00667697" w:rsidP="00826FB7">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F00"/>
    <w:multiLevelType w:val="hybridMultilevel"/>
    <w:tmpl w:val="B6C66554"/>
    <w:lvl w:ilvl="0" w:tplc="0C160742">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 w15:restartNumberingAfterBreak="0">
    <w:nsid w:val="065945D9"/>
    <w:multiLevelType w:val="multilevel"/>
    <w:tmpl w:val="D376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E5BED"/>
    <w:multiLevelType w:val="multilevel"/>
    <w:tmpl w:val="2A88F9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8B468F5"/>
    <w:multiLevelType w:val="hybridMultilevel"/>
    <w:tmpl w:val="AA3E9672"/>
    <w:lvl w:ilvl="0" w:tplc="FB3CB38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2085B"/>
    <w:multiLevelType w:val="hybridMultilevel"/>
    <w:tmpl w:val="77E02BF6"/>
    <w:lvl w:ilvl="0" w:tplc="664029F2">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75AEC"/>
    <w:multiLevelType w:val="hybridMultilevel"/>
    <w:tmpl w:val="A23AF472"/>
    <w:lvl w:ilvl="0" w:tplc="2738E7C8">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41AC1313"/>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4" w15:restartNumberingAfterBreak="0">
    <w:nsid w:val="6CB52AE2"/>
    <w:multiLevelType w:val="hybridMultilevel"/>
    <w:tmpl w:val="5BA6431A"/>
    <w:lvl w:ilvl="0" w:tplc="C02E40A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012E46"/>
    <w:multiLevelType w:val="hybridMultilevel"/>
    <w:tmpl w:val="7946DCD0"/>
    <w:lvl w:ilvl="0" w:tplc="5C06B1C6">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7" w15:restartNumberingAfterBreak="0">
    <w:nsid w:val="76311A3B"/>
    <w:multiLevelType w:val="hybridMultilevel"/>
    <w:tmpl w:val="5EB4AE68"/>
    <w:lvl w:ilvl="0" w:tplc="42505D78">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8" w15:restartNumberingAfterBreak="0">
    <w:nsid w:val="7A4A2D99"/>
    <w:multiLevelType w:val="hybridMultilevel"/>
    <w:tmpl w:val="8E329370"/>
    <w:lvl w:ilvl="0" w:tplc="93B405DE">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73431789">
    <w:abstractNumId w:val="7"/>
  </w:num>
  <w:num w:numId="2" w16cid:durableId="354237487">
    <w:abstractNumId w:val="10"/>
  </w:num>
  <w:num w:numId="3" w16cid:durableId="1414082974">
    <w:abstractNumId w:val="6"/>
  </w:num>
  <w:num w:numId="4" w16cid:durableId="1636984549">
    <w:abstractNumId w:val="8"/>
  </w:num>
  <w:num w:numId="5" w16cid:durableId="1573083215">
    <w:abstractNumId w:val="13"/>
  </w:num>
  <w:num w:numId="6" w16cid:durableId="1325888845">
    <w:abstractNumId w:val="5"/>
  </w:num>
  <w:num w:numId="7" w16cid:durableId="1247156426">
    <w:abstractNumId w:val="13"/>
  </w:num>
  <w:num w:numId="8" w16cid:durableId="1642271065">
    <w:abstractNumId w:val="5"/>
  </w:num>
  <w:num w:numId="9" w16cid:durableId="2079091598">
    <w:abstractNumId w:val="13"/>
  </w:num>
  <w:num w:numId="10" w16cid:durableId="1376933024">
    <w:abstractNumId w:val="5"/>
  </w:num>
  <w:num w:numId="11" w16cid:durableId="1162812119">
    <w:abstractNumId w:val="13"/>
  </w:num>
  <w:num w:numId="12" w16cid:durableId="521213694">
    <w:abstractNumId w:val="5"/>
  </w:num>
  <w:num w:numId="13" w16cid:durableId="2126344586">
    <w:abstractNumId w:val="13"/>
  </w:num>
  <w:num w:numId="14" w16cid:durableId="1050497438">
    <w:abstractNumId w:val="5"/>
  </w:num>
  <w:num w:numId="15" w16cid:durableId="1057508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1419814">
    <w:abstractNumId w:val="11"/>
  </w:num>
  <w:num w:numId="17" w16cid:durableId="548423270">
    <w:abstractNumId w:val="18"/>
  </w:num>
  <w:num w:numId="18" w16cid:durableId="1477451257">
    <w:abstractNumId w:val="16"/>
  </w:num>
  <w:num w:numId="19" w16cid:durableId="78019576">
    <w:abstractNumId w:val="13"/>
  </w:num>
  <w:num w:numId="20" w16cid:durableId="407772563">
    <w:abstractNumId w:val="5"/>
  </w:num>
  <w:num w:numId="21" w16cid:durableId="1746217854">
    <w:abstractNumId w:val="3"/>
  </w:num>
  <w:num w:numId="22" w16cid:durableId="771583141">
    <w:abstractNumId w:val="12"/>
  </w:num>
  <w:num w:numId="23" w16cid:durableId="1531992358">
    <w:abstractNumId w:val="0"/>
  </w:num>
  <w:num w:numId="24" w16cid:durableId="1989046635">
    <w:abstractNumId w:val="13"/>
  </w:num>
  <w:num w:numId="25" w16cid:durableId="1681932838">
    <w:abstractNumId w:val="5"/>
  </w:num>
  <w:num w:numId="26" w16cid:durableId="600914657">
    <w:abstractNumId w:val="3"/>
  </w:num>
  <w:num w:numId="27" w16cid:durableId="1069962551">
    <w:abstractNumId w:val="9"/>
  </w:num>
  <w:num w:numId="28" w16cid:durableId="773748584">
    <w:abstractNumId w:val="0"/>
  </w:num>
  <w:num w:numId="29" w16cid:durableId="782724521">
    <w:abstractNumId w:val="14"/>
  </w:num>
  <w:num w:numId="30" w16cid:durableId="412355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992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0263939">
    <w:abstractNumId w:val="4"/>
  </w:num>
  <w:num w:numId="33" w16cid:durableId="165486722">
    <w:abstractNumId w:val="17"/>
  </w:num>
  <w:num w:numId="34" w16cid:durableId="1104157615">
    <w:abstractNumId w:val="15"/>
  </w:num>
  <w:num w:numId="35" w16cid:durableId="1064908040">
    <w:abstractNumId w:val="2"/>
  </w:num>
  <w:num w:numId="36" w16cid:durableId="1085149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8A"/>
    <w:rsid w:val="0001631E"/>
    <w:rsid w:val="000337C1"/>
    <w:rsid w:val="000401CF"/>
    <w:rsid w:val="00063096"/>
    <w:rsid w:val="0008061B"/>
    <w:rsid w:val="0008276E"/>
    <w:rsid w:val="0008365E"/>
    <w:rsid w:val="00087B31"/>
    <w:rsid w:val="000901BE"/>
    <w:rsid w:val="000955B3"/>
    <w:rsid w:val="000C0C9B"/>
    <w:rsid w:val="000C438E"/>
    <w:rsid w:val="00106BF5"/>
    <w:rsid w:val="0011300A"/>
    <w:rsid w:val="00127218"/>
    <w:rsid w:val="00141910"/>
    <w:rsid w:val="00154A19"/>
    <w:rsid w:val="00161167"/>
    <w:rsid w:val="00171E2A"/>
    <w:rsid w:val="00174AA9"/>
    <w:rsid w:val="00174D64"/>
    <w:rsid w:val="00175087"/>
    <w:rsid w:val="00180505"/>
    <w:rsid w:val="00193050"/>
    <w:rsid w:val="001B2E3D"/>
    <w:rsid w:val="001B58B6"/>
    <w:rsid w:val="001C41EA"/>
    <w:rsid w:val="001D2796"/>
    <w:rsid w:val="001D71FA"/>
    <w:rsid w:val="001E2AEB"/>
    <w:rsid w:val="001F2DC5"/>
    <w:rsid w:val="001F7764"/>
    <w:rsid w:val="002158F8"/>
    <w:rsid w:val="00224E1A"/>
    <w:rsid w:val="00253837"/>
    <w:rsid w:val="00271F5C"/>
    <w:rsid w:val="0029369F"/>
    <w:rsid w:val="002B6508"/>
    <w:rsid w:val="002D4D3E"/>
    <w:rsid w:val="003133CD"/>
    <w:rsid w:val="00326141"/>
    <w:rsid w:val="003360C7"/>
    <w:rsid w:val="003436B5"/>
    <w:rsid w:val="00350C16"/>
    <w:rsid w:val="00365D44"/>
    <w:rsid w:val="003718B9"/>
    <w:rsid w:val="0037752B"/>
    <w:rsid w:val="00390280"/>
    <w:rsid w:val="003A491A"/>
    <w:rsid w:val="003C113A"/>
    <w:rsid w:val="003F19C4"/>
    <w:rsid w:val="003F6072"/>
    <w:rsid w:val="003F7F38"/>
    <w:rsid w:val="00401D30"/>
    <w:rsid w:val="004240E9"/>
    <w:rsid w:val="0042702C"/>
    <w:rsid w:val="004410D6"/>
    <w:rsid w:val="00451D50"/>
    <w:rsid w:val="00457517"/>
    <w:rsid w:val="00476674"/>
    <w:rsid w:val="0048718B"/>
    <w:rsid w:val="004A5187"/>
    <w:rsid w:val="004C4A41"/>
    <w:rsid w:val="00507849"/>
    <w:rsid w:val="00513B93"/>
    <w:rsid w:val="005227FD"/>
    <w:rsid w:val="00526DB7"/>
    <w:rsid w:val="00543DAE"/>
    <w:rsid w:val="00546ED3"/>
    <w:rsid w:val="0055062F"/>
    <w:rsid w:val="00570142"/>
    <w:rsid w:val="005730D9"/>
    <w:rsid w:val="005949F0"/>
    <w:rsid w:val="005A615F"/>
    <w:rsid w:val="005A7469"/>
    <w:rsid w:val="005B7CFA"/>
    <w:rsid w:val="005D6436"/>
    <w:rsid w:val="005E26C2"/>
    <w:rsid w:val="00606C3F"/>
    <w:rsid w:val="0061252E"/>
    <w:rsid w:val="00652081"/>
    <w:rsid w:val="00663E11"/>
    <w:rsid w:val="00667697"/>
    <w:rsid w:val="0067608D"/>
    <w:rsid w:val="0068420C"/>
    <w:rsid w:val="006869C8"/>
    <w:rsid w:val="00692393"/>
    <w:rsid w:val="006B01F1"/>
    <w:rsid w:val="006C268A"/>
    <w:rsid w:val="00703710"/>
    <w:rsid w:val="00704B48"/>
    <w:rsid w:val="00712CC4"/>
    <w:rsid w:val="00713559"/>
    <w:rsid w:val="00720111"/>
    <w:rsid w:val="00727937"/>
    <w:rsid w:val="007C11D9"/>
    <w:rsid w:val="007C2FB9"/>
    <w:rsid w:val="007D3D60"/>
    <w:rsid w:val="00820D60"/>
    <w:rsid w:val="00826FB7"/>
    <w:rsid w:val="00834C11"/>
    <w:rsid w:val="008364FD"/>
    <w:rsid w:val="0084516E"/>
    <w:rsid w:val="00850765"/>
    <w:rsid w:val="008635BE"/>
    <w:rsid w:val="00893486"/>
    <w:rsid w:val="008C01F7"/>
    <w:rsid w:val="008E5180"/>
    <w:rsid w:val="008F7330"/>
    <w:rsid w:val="00904198"/>
    <w:rsid w:val="009071EB"/>
    <w:rsid w:val="00917A05"/>
    <w:rsid w:val="009277CB"/>
    <w:rsid w:val="00927D80"/>
    <w:rsid w:val="00932728"/>
    <w:rsid w:val="00936232"/>
    <w:rsid w:val="0096072E"/>
    <w:rsid w:val="00963CC0"/>
    <w:rsid w:val="00965BDF"/>
    <w:rsid w:val="009B7246"/>
    <w:rsid w:val="009B7E00"/>
    <w:rsid w:val="009C4DBD"/>
    <w:rsid w:val="009E2920"/>
    <w:rsid w:val="009F5056"/>
    <w:rsid w:val="009F70E6"/>
    <w:rsid w:val="00A3751E"/>
    <w:rsid w:val="00A553AA"/>
    <w:rsid w:val="00A70027"/>
    <w:rsid w:val="00A818F1"/>
    <w:rsid w:val="00A84A35"/>
    <w:rsid w:val="00A95347"/>
    <w:rsid w:val="00AA35D9"/>
    <w:rsid w:val="00AA6D3A"/>
    <w:rsid w:val="00AE138A"/>
    <w:rsid w:val="00AF05DF"/>
    <w:rsid w:val="00AF1A2A"/>
    <w:rsid w:val="00AF5298"/>
    <w:rsid w:val="00B03442"/>
    <w:rsid w:val="00B10F1C"/>
    <w:rsid w:val="00B16019"/>
    <w:rsid w:val="00B31F50"/>
    <w:rsid w:val="00B424C9"/>
    <w:rsid w:val="00B50E8A"/>
    <w:rsid w:val="00B52466"/>
    <w:rsid w:val="00B71284"/>
    <w:rsid w:val="00B74B49"/>
    <w:rsid w:val="00BA067C"/>
    <w:rsid w:val="00BB29B9"/>
    <w:rsid w:val="00BB4CAE"/>
    <w:rsid w:val="00BC5013"/>
    <w:rsid w:val="00BE5FDA"/>
    <w:rsid w:val="00BF50F7"/>
    <w:rsid w:val="00C03416"/>
    <w:rsid w:val="00C13844"/>
    <w:rsid w:val="00C404CB"/>
    <w:rsid w:val="00C53C4A"/>
    <w:rsid w:val="00C570FD"/>
    <w:rsid w:val="00C76014"/>
    <w:rsid w:val="00C82BE5"/>
    <w:rsid w:val="00C850C8"/>
    <w:rsid w:val="00C87719"/>
    <w:rsid w:val="00CA6A91"/>
    <w:rsid w:val="00CE116C"/>
    <w:rsid w:val="00D0300A"/>
    <w:rsid w:val="00D065DF"/>
    <w:rsid w:val="00D24C62"/>
    <w:rsid w:val="00D26DCD"/>
    <w:rsid w:val="00D4741C"/>
    <w:rsid w:val="00D52EEA"/>
    <w:rsid w:val="00D70D4F"/>
    <w:rsid w:val="00D8012C"/>
    <w:rsid w:val="00D92CEF"/>
    <w:rsid w:val="00DA073F"/>
    <w:rsid w:val="00DB1B18"/>
    <w:rsid w:val="00E13154"/>
    <w:rsid w:val="00E312CE"/>
    <w:rsid w:val="00E33177"/>
    <w:rsid w:val="00E557C0"/>
    <w:rsid w:val="00E65D86"/>
    <w:rsid w:val="00E66CF3"/>
    <w:rsid w:val="00E724E7"/>
    <w:rsid w:val="00E746D3"/>
    <w:rsid w:val="00E82E7F"/>
    <w:rsid w:val="00EA2FCE"/>
    <w:rsid w:val="00ED52F0"/>
    <w:rsid w:val="00EE7D58"/>
    <w:rsid w:val="00F17220"/>
    <w:rsid w:val="00F33D3C"/>
    <w:rsid w:val="00F4559D"/>
    <w:rsid w:val="00F732B5"/>
    <w:rsid w:val="00F825B1"/>
    <w:rsid w:val="00F92C4B"/>
    <w:rsid w:val="00FA2833"/>
    <w:rsid w:val="00FD296A"/>
    <w:rsid w:val="00FD60AF"/>
    <w:rsid w:val="00FD6E97"/>
    <w:rsid w:val="00FE14D7"/>
    <w:rsid w:val="00FE1D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715C9E"/>
  <w15:chartTrackingRefBased/>
  <w15:docId w15:val="{BB704748-5E5A-CC40-8C0B-7ECF147C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5DF"/>
    <w:pPr>
      <w:spacing w:line="260" w:lineRule="atLeast"/>
      <w:jc w:val="both"/>
    </w:pPr>
    <w:rPr>
      <w:rFonts w:ascii="Palatino Linotype" w:hAnsi="Palatino Linotype"/>
      <w:color w:val="000000"/>
    </w:rPr>
  </w:style>
  <w:style w:type="paragraph" w:styleId="Heading1">
    <w:name w:val="heading 1"/>
    <w:basedOn w:val="Normal"/>
    <w:next w:val="Normal"/>
    <w:link w:val="Heading1Char"/>
    <w:uiPriority w:val="9"/>
    <w:qFormat/>
    <w:rsid w:val="001B2E3D"/>
    <w:pPr>
      <w:keepNext/>
      <w:keepLines/>
      <w:numPr>
        <w:numId w:val="35"/>
      </w:numPr>
      <w:spacing w:before="240" w:beforeAutospacing="1" w:after="100" w:afterAutospacing="1" w:line="240" w:lineRule="auto"/>
      <w:jc w:val="left"/>
      <w:outlineLvl w:val="0"/>
    </w:pPr>
    <w:rPr>
      <w:rFonts w:asciiTheme="majorHAnsi" w:eastAsiaTheme="majorEastAsia" w:hAnsiTheme="majorHAnsi" w:cstheme="majorBidi"/>
      <w:color w:val="2F5496" w:themeColor="accent1" w:themeShade="BF"/>
      <w:sz w:val="32"/>
      <w:szCs w:val="32"/>
      <w:lang w:val="en-GB" w:eastAsia="en-GB"/>
    </w:rPr>
  </w:style>
  <w:style w:type="paragraph" w:styleId="Heading2">
    <w:name w:val="heading 2"/>
    <w:basedOn w:val="Normal"/>
    <w:next w:val="Normal"/>
    <w:link w:val="Heading2Char"/>
    <w:uiPriority w:val="9"/>
    <w:unhideWhenUsed/>
    <w:qFormat/>
    <w:rsid w:val="001B2E3D"/>
    <w:pPr>
      <w:keepNext/>
      <w:keepLines/>
      <w:numPr>
        <w:ilvl w:val="1"/>
        <w:numId w:val="35"/>
      </w:numPr>
      <w:spacing w:before="40" w:beforeAutospacing="1" w:after="100" w:afterAutospacing="1" w:line="240" w:lineRule="auto"/>
      <w:jc w:val="left"/>
      <w:outlineLvl w:val="1"/>
    </w:pPr>
    <w:rPr>
      <w:rFonts w:asciiTheme="majorHAnsi" w:eastAsiaTheme="majorEastAsia" w:hAnsiTheme="majorHAnsi" w:cstheme="majorBidi"/>
      <w:color w:val="2F5496" w:themeColor="accent1" w:themeShade="BF"/>
      <w:sz w:val="26"/>
      <w:szCs w:val="26"/>
      <w:lang w:val="en-GB" w:eastAsia="en-GB"/>
    </w:rPr>
  </w:style>
  <w:style w:type="paragraph" w:styleId="Heading3">
    <w:name w:val="heading 3"/>
    <w:basedOn w:val="Normal"/>
    <w:next w:val="Normal"/>
    <w:link w:val="Heading3Char"/>
    <w:uiPriority w:val="9"/>
    <w:unhideWhenUsed/>
    <w:qFormat/>
    <w:rsid w:val="001B2E3D"/>
    <w:pPr>
      <w:keepNext/>
      <w:keepLines/>
      <w:numPr>
        <w:ilvl w:val="2"/>
        <w:numId w:val="35"/>
      </w:numPr>
      <w:spacing w:before="40" w:beforeAutospacing="1" w:after="100" w:afterAutospacing="1" w:line="240" w:lineRule="auto"/>
      <w:jc w:val="left"/>
      <w:outlineLvl w:val="2"/>
    </w:pPr>
    <w:rPr>
      <w:rFonts w:asciiTheme="majorHAnsi" w:eastAsiaTheme="majorEastAsia" w:hAnsiTheme="majorHAnsi" w:cstheme="majorBidi"/>
      <w:color w:val="1F3763" w:themeColor="accent1" w:themeShade="7F"/>
      <w:sz w:val="22"/>
      <w:szCs w:val="22"/>
      <w:lang w:val="en-GB" w:eastAsia="en-GB"/>
    </w:rPr>
  </w:style>
  <w:style w:type="paragraph" w:styleId="Heading4">
    <w:name w:val="heading 4"/>
    <w:basedOn w:val="Normal"/>
    <w:next w:val="Normal"/>
    <w:link w:val="Heading4Char"/>
    <w:uiPriority w:val="9"/>
    <w:semiHidden/>
    <w:unhideWhenUsed/>
    <w:qFormat/>
    <w:rsid w:val="001B2E3D"/>
    <w:pPr>
      <w:keepNext/>
      <w:keepLines/>
      <w:numPr>
        <w:ilvl w:val="3"/>
        <w:numId w:val="35"/>
      </w:numPr>
      <w:spacing w:before="40" w:beforeAutospacing="1" w:after="100" w:afterAutospacing="1" w:line="240" w:lineRule="auto"/>
      <w:jc w:val="left"/>
      <w:outlineLvl w:val="3"/>
    </w:pPr>
    <w:rPr>
      <w:rFonts w:asciiTheme="majorHAnsi" w:eastAsiaTheme="majorEastAsia" w:hAnsiTheme="majorHAnsi" w:cstheme="majorBidi"/>
      <w:i/>
      <w:iCs/>
      <w:color w:val="2F5496" w:themeColor="accent1" w:themeShade="BF"/>
      <w:sz w:val="22"/>
      <w:szCs w:val="22"/>
      <w:lang w:val="en-GB" w:eastAsia="en-GB"/>
    </w:rPr>
  </w:style>
  <w:style w:type="paragraph" w:styleId="Heading5">
    <w:name w:val="heading 5"/>
    <w:basedOn w:val="Normal"/>
    <w:next w:val="Normal"/>
    <w:link w:val="Heading5Char"/>
    <w:uiPriority w:val="9"/>
    <w:semiHidden/>
    <w:unhideWhenUsed/>
    <w:qFormat/>
    <w:rsid w:val="001B2E3D"/>
    <w:pPr>
      <w:keepNext/>
      <w:keepLines/>
      <w:numPr>
        <w:ilvl w:val="4"/>
        <w:numId w:val="35"/>
      </w:numPr>
      <w:spacing w:before="40" w:beforeAutospacing="1" w:after="100" w:afterAutospacing="1" w:line="240" w:lineRule="auto"/>
      <w:jc w:val="left"/>
      <w:outlineLvl w:val="4"/>
    </w:pPr>
    <w:rPr>
      <w:rFonts w:asciiTheme="majorHAnsi" w:eastAsiaTheme="majorEastAsia" w:hAnsiTheme="majorHAnsi" w:cstheme="majorBidi"/>
      <w:color w:val="2F5496" w:themeColor="accent1" w:themeShade="BF"/>
      <w:sz w:val="22"/>
      <w:szCs w:val="22"/>
      <w:lang w:val="en-GB" w:eastAsia="en-GB"/>
    </w:rPr>
  </w:style>
  <w:style w:type="paragraph" w:styleId="Heading6">
    <w:name w:val="heading 6"/>
    <w:basedOn w:val="Normal"/>
    <w:next w:val="Normal"/>
    <w:link w:val="Heading6Char"/>
    <w:uiPriority w:val="9"/>
    <w:semiHidden/>
    <w:unhideWhenUsed/>
    <w:qFormat/>
    <w:rsid w:val="001B2E3D"/>
    <w:pPr>
      <w:keepNext/>
      <w:keepLines/>
      <w:numPr>
        <w:ilvl w:val="5"/>
        <w:numId w:val="35"/>
      </w:numPr>
      <w:spacing w:before="40" w:beforeAutospacing="1" w:after="100" w:afterAutospacing="1" w:line="240" w:lineRule="auto"/>
      <w:jc w:val="left"/>
      <w:outlineLvl w:val="5"/>
    </w:pPr>
    <w:rPr>
      <w:rFonts w:asciiTheme="majorHAnsi" w:eastAsiaTheme="majorEastAsia" w:hAnsiTheme="majorHAnsi" w:cstheme="majorBidi"/>
      <w:color w:val="1F3763" w:themeColor="accent1" w:themeShade="7F"/>
      <w:sz w:val="22"/>
      <w:szCs w:val="22"/>
      <w:lang w:val="en-GB" w:eastAsia="en-GB"/>
    </w:rPr>
  </w:style>
  <w:style w:type="paragraph" w:styleId="Heading7">
    <w:name w:val="heading 7"/>
    <w:basedOn w:val="Normal"/>
    <w:next w:val="Normal"/>
    <w:link w:val="Heading7Char"/>
    <w:uiPriority w:val="9"/>
    <w:semiHidden/>
    <w:unhideWhenUsed/>
    <w:qFormat/>
    <w:rsid w:val="001B2E3D"/>
    <w:pPr>
      <w:keepNext/>
      <w:keepLines/>
      <w:numPr>
        <w:ilvl w:val="6"/>
        <w:numId w:val="35"/>
      </w:numPr>
      <w:spacing w:before="40" w:beforeAutospacing="1" w:after="100" w:afterAutospacing="1" w:line="240" w:lineRule="auto"/>
      <w:jc w:val="left"/>
      <w:outlineLvl w:val="6"/>
    </w:pPr>
    <w:rPr>
      <w:rFonts w:asciiTheme="majorHAnsi" w:eastAsiaTheme="majorEastAsia" w:hAnsiTheme="majorHAnsi" w:cstheme="majorBidi"/>
      <w:i/>
      <w:iCs/>
      <w:color w:val="1F3763" w:themeColor="accent1" w:themeShade="7F"/>
      <w:sz w:val="22"/>
      <w:szCs w:val="22"/>
      <w:lang w:val="en-GB" w:eastAsia="en-GB"/>
    </w:rPr>
  </w:style>
  <w:style w:type="paragraph" w:styleId="Heading8">
    <w:name w:val="heading 8"/>
    <w:basedOn w:val="Normal"/>
    <w:next w:val="Normal"/>
    <w:link w:val="Heading8Char"/>
    <w:uiPriority w:val="9"/>
    <w:semiHidden/>
    <w:unhideWhenUsed/>
    <w:qFormat/>
    <w:rsid w:val="001B2E3D"/>
    <w:pPr>
      <w:keepNext/>
      <w:keepLines/>
      <w:numPr>
        <w:ilvl w:val="7"/>
        <w:numId w:val="35"/>
      </w:numPr>
      <w:spacing w:before="40" w:beforeAutospacing="1" w:after="100" w:afterAutospacing="1" w:line="240" w:lineRule="auto"/>
      <w:jc w:val="left"/>
      <w:outlineLvl w:val="7"/>
    </w:pPr>
    <w:rPr>
      <w:rFonts w:asciiTheme="majorHAnsi" w:eastAsiaTheme="majorEastAsia" w:hAnsiTheme="majorHAnsi" w:cstheme="majorBidi"/>
      <w:color w:val="272727" w:themeColor="text1" w:themeTint="D8"/>
      <w:sz w:val="21"/>
      <w:szCs w:val="21"/>
      <w:lang w:val="en-GB" w:eastAsia="en-GB"/>
    </w:rPr>
  </w:style>
  <w:style w:type="paragraph" w:styleId="Heading9">
    <w:name w:val="heading 9"/>
    <w:basedOn w:val="Normal"/>
    <w:next w:val="Normal"/>
    <w:link w:val="Heading9Char"/>
    <w:uiPriority w:val="9"/>
    <w:semiHidden/>
    <w:unhideWhenUsed/>
    <w:qFormat/>
    <w:rsid w:val="001B2E3D"/>
    <w:pPr>
      <w:keepNext/>
      <w:keepLines/>
      <w:numPr>
        <w:ilvl w:val="8"/>
        <w:numId w:val="35"/>
      </w:numPr>
      <w:spacing w:before="40" w:beforeAutospacing="1" w:after="100" w:afterAutospacing="1" w:line="240" w:lineRule="auto"/>
      <w:jc w:val="left"/>
      <w:outlineLvl w:val="8"/>
    </w:pPr>
    <w:rPr>
      <w:rFonts w:asciiTheme="majorHAnsi" w:eastAsiaTheme="majorEastAsia" w:hAnsiTheme="majorHAnsi" w:cstheme="majorBidi"/>
      <w:i/>
      <w:iCs/>
      <w:color w:val="272727" w:themeColor="text1" w:themeTint="D8"/>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F05D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F05D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F05D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F05DF"/>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AF05D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F05D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AF05D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AF05D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D4D3E"/>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AF05D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F05D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F05DF"/>
    <w:rPr>
      <w:rFonts w:ascii="Palatino Linotype" w:hAnsi="Palatino Linotype"/>
      <w:noProof/>
      <w:color w:val="000000"/>
      <w:szCs w:val="18"/>
    </w:rPr>
  </w:style>
  <w:style w:type="paragraph" w:styleId="Header">
    <w:name w:val="header"/>
    <w:basedOn w:val="Normal"/>
    <w:link w:val="HeaderChar"/>
    <w:uiPriority w:val="99"/>
    <w:rsid w:val="00AF05D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F05DF"/>
    <w:rPr>
      <w:rFonts w:ascii="Palatino Linotype" w:hAnsi="Palatino Linotype"/>
      <w:noProof/>
      <w:color w:val="000000"/>
      <w:szCs w:val="18"/>
    </w:rPr>
  </w:style>
  <w:style w:type="paragraph" w:customStyle="1" w:styleId="MDPIheaderjournallogo">
    <w:name w:val="MDPI_header_journal_logo"/>
    <w:qFormat/>
    <w:rsid w:val="00AF05D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AF05DF"/>
    <w:pPr>
      <w:ind w:firstLine="0"/>
    </w:pPr>
  </w:style>
  <w:style w:type="paragraph" w:customStyle="1" w:styleId="MDPI31text">
    <w:name w:val="MDPI_3.1_text"/>
    <w:qFormat/>
    <w:rsid w:val="003F7F3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F05D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AF05D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F05D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F05D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127218"/>
    <w:pPr>
      <w:numPr>
        <w:numId w:val="28"/>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127218"/>
    <w:pPr>
      <w:numPr>
        <w:numId w:val="26"/>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F05D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F05D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F05DF"/>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253837"/>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F05DF"/>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F05DF"/>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F05D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AF05D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AF05D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AF05D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F05D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AF05D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EE7D58"/>
    <w:pPr>
      <w:numPr>
        <w:numId w:val="29"/>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F05DF"/>
    <w:rPr>
      <w:rFonts w:cs="Tahoma"/>
      <w:szCs w:val="18"/>
    </w:rPr>
  </w:style>
  <w:style w:type="character" w:customStyle="1" w:styleId="BalloonTextChar">
    <w:name w:val="Balloon Text Char"/>
    <w:link w:val="BalloonText"/>
    <w:uiPriority w:val="99"/>
    <w:rsid w:val="00AF05DF"/>
    <w:rPr>
      <w:rFonts w:ascii="Palatino Linotype" w:hAnsi="Palatino Linotype" w:cs="Tahoma"/>
      <w:noProof/>
      <w:color w:val="000000"/>
      <w:szCs w:val="18"/>
    </w:rPr>
  </w:style>
  <w:style w:type="character" w:styleId="LineNumber">
    <w:name w:val="line number"/>
    <w:uiPriority w:val="99"/>
    <w:rsid w:val="008364FD"/>
    <w:rPr>
      <w:rFonts w:ascii="Palatino Linotype" w:hAnsi="Palatino Linotype"/>
      <w:sz w:val="16"/>
    </w:rPr>
  </w:style>
  <w:style w:type="table" w:customStyle="1" w:styleId="MDPI41threelinetable">
    <w:name w:val="MDPI_4.1_three_line_table"/>
    <w:basedOn w:val="TableNormal"/>
    <w:uiPriority w:val="99"/>
    <w:rsid w:val="00AF05DF"/>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F05DF"/>
    <w:rPr>
      <w:color w:val="0000FF"/>
      <w:u w:val="single"/>
    </w:rPr>
  </w:style>
  <w:style w:type="character" w:styleId="FollowedHyperlink">
    <w:name w:val="FollowedHyperlink"/>
    <w:rsid w:val="00AF05DF"/>
    <w:rPr>
      <w:color w:val="954F72"/>
      <w:u w:val="single"/>
    </w:rPr>
  </w:style>
  <w:style w:type="table" w:styleId="PlainTable4">
    <w:name w:val="Plain Table 4"/>
    <w:basedOn w:val="TableNormal"/>
    <w:uiPriority w:val="44"/>
    <w:rsid w:val="00AF529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AF05DF"/>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AF05D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F05DF"/>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8365E"/>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AF05D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AF05DF"/>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F05DF"/>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AF05DF"/>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AF05D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AF05D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AF05D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AF05DF"/>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AF05D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AF05D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AF05D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AF05DF"/>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AF05D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AF05D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AF05DF"/>
  </w:style>
  <w:style w:type="paragraph" w:styleId="Bibliography">
    <w:name w:val="Bibliography"/>
    <w:basedOn w:val="Normal"/>
    <w:next w:val="Normal"/>
    <w:uiPriority w:val="37"/>
    <w:unhideWhenUsed/>
    <w:rsid w:val="00AF05DF"/>
    <w:pPr>
      <w:tabs>
        <w:tab w:val="left" w:pos="500"/>
      </w:tabs>
      <w:spacing w:line="240" w:lineRule="atLeast"/>
      <w:ind w:left="504" w:hanging="504"/>
    </w:pPr>
  </w:style>
  <w:style w:type="paragraph" w:styleId="BodyText">
    <w:name w:val="Body Text"/>
    <w:link w:val="BodyTextChar"/>
    <w:rsid w:val="00AF05D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F05DF"/>
    <w:rPr>
      <w:rFonts w:ascii="Palatino Linotype" w:hAnsi="Palatino Linotype"/>
      <w:color w:val="000000"/>
      <w:sz w:val="24"/>
      <w:lang w:eastAsia="de-DE"/>
    </w:rPr>
  </w:style>
  <w:style w:type="character" w:styleId="CommentReference">
    <w:name w:val="annotation reference"/>
    <w:rsid w:val="00AF05DF"/>
    <w:rPr>
      <w:sz w:val="21"/>
      <w:szCs w:val="21"/>
    </w:rPr>
  </w:style>
  <w:style w:type="paragraph" w:styleId="CommentText">
    <w:name w:val="annotation text"/>
    <w:basedOn w:val="Normal"/>
    <w:link w:val="CommentTextChar"/>
    <w:rsid w:val="00AF05DF"/>
  </w:style>
  <w:style w:type="character" w:customStyle="1" w:styleId="CommentTextChar">
    <w:name w:val="Comment Text Char"/>
    <w:link w:val="CommentText"/>
    <w:rsid w:val="00AF05DF"/>
    <w:rPr>
      <w:rFonts w:ascii="Palatino Linotype" w:hAnsi="Palatino Linotype"/>
      <w:noProof/>
      <w:color w:val="000000"/>
    </w:rPr>
  </w:style>
  <w:style w:type="paragraph" w:styleId="CommentSubject">
    <w:name w:val="annotation subject"/>
    <w:basedOn w:val="CommentText"/>
    <w:next w:val="CommentText"/>
    <w:link w:val="CommentSubjectChar"/>
    <w:rsid w:val="00AF05DF"/>
    <w:rPr>
      <w:b/>
      <w:bCs/>
    </w:rPr>
  </w:style>
  <w:style w:type="character" w:customStyle="1" w:styleId="CommentSubjectChar">
    <w:name w:val="Comment Subject Char"/>
    <w:link w:val="CommentSubject"/>
    <w:rsid w:val="00AF05DF"/>
    <w:rPr>
      <w:rFonts w:ascii="Palatino Linotype" w:hAnsi="Palatino Linotype"/>
      <w:b/>
      <w:bCs/>
      <w:noProof/>
      <w:color w:val="000000"/>
    </w:rPr>
  </w:style>
  <w:style w:type="character" w:styleId="EndnoteReference">
    <w:name w:val="endnote reference"/>
    <w:rsid w:val="00AF05DF"/>
    <w:rPr>
      <w:vertAlign w:val="superscript"/>
    </w:rPr>
  </w:style>
  <w:style w:type="paragraph" w:styleId="EndnoteText">
    <w:name w:val="endnote text"/>
    <w:basedOn w:val="Normal"/>
    <w:link w:val="EndnoteTextChar"/>
    <w:semiHidden/>
    <w:unhideWhenUsed/>
    <w:rsid w:val="00AF05DF"/>
    <w:pPr>
      <w:spacing w:line="240" w:lineRule="auto"/>
    </w:pPr>
  </w:style>
  <w:style w:type="character" w:customStyle="1" w:styleId="EndnoteTextChar">
    <w:name w:val="Endnote Text Char"/>
    <w:link w:val="EndnoteText"/>
    <w:semiHidden/>
    <w:rsid w:val="00AF05DF"/>
    <w:rPr>
      <w:rFonts w:ascii="Palatino Linotype" w:hAnsi="Palatino Linotype"/>
      <w:noProof/>
      <w:color w:val="000000"/>
    </w:rPr>
  </w:style>
  <w:style w:type="paragraph" w:styleId="FootnoteText">
    <w:name w:val="footnote text"/>
    <w:basedOn w:val="Normal"/>
    <w:link w:val="FootnoteTextChar"/>
    <w:semiHidden/>
    <w:unhideWhenUsed/>
    <w:rsid w:val="00AF05DF"/>
    <w:pPr>
      <w:spacing w:line="240" w:lineRule="auto"/>
    </w:pPr>
  </w:style>
  <w:style w:type="character" w:customStyle="1" w:styleId="FootnoteTextChar">
    <w:name w:val="Footnote Text Char"/>
    <w:link w:val="FootnoteText"/>
    <w:semiHidden/>
    <w:rsid w:val="00AF05DF"/>
    <w:rPr>
      <w:rFonts w:ascii="Palatino Linotype" w:hAnsi="Palatino Linotype"/>
      <w:noProof/>
      <w:color w:val="000000"/>
    </w:rPr>
  </w:style>
  <w:style w:type="paragraph" w:styleId="NormalWeb">
    <w:name w:val="Normal (Web)"/>
    <w:basedOn w:val="Normal"/>
    <w:uiPriority w:val="99"/>
    <w:rsid w:val="00AF05DF"/>
    <w:rPr>
      <w:szCs w:val="24"/>
    </w:rPr>
  </w:style>
  <w:style w:type="paragraph" w:customStyle="1" w:styleId="MsoFootnoteText0">
    <w:name w:val="MsoFootnoteText"/>
    <w:basedOn w:val="NormalWeb"/>
    <w:qFormat/>
    <w:rsid w:val="00AF05DF"/>
    <w:rPr>
      <w:rFonts w:ascii="Times New Roman" w:hAnsi="Times New Roman"/>
    </w:rPr>
  </w:style>
  <w:style w:type="character" w:styleId="PageNumber">
    <w:name w:val="page number"/>
    <w:rsid w:val="00AF05DF"/>
  </w:style>
  <w:style w:type="character" w:styleId="PlaceholderText">
    <w:name w:val="Placeholder Text"/>
    <w:uiPriority w:val="99"/>
    <w:semiHidden/>
    <w:rsid w:val="00AF05DF"/>
    <w:rPr>
      <w:color w:val="808080"/>
    </w:rPr>
  </w:style>
  <w:style w:type="character" w:styleId="UnresolvedMention">
    <w:name w:val="Unresolved Mention"/>
    <w:uiPriority w:val="99"/>
    <w:semiHidden/>
    <w:unhideWhenUsed/>
    <w:rsid w:val="00A818F1"/>
    <w:rPr>
      <w:color w:val="605E5C"/>
      <w:shd w:val="clear" w:color="auto" w:fill="E1DFDD"/>
    </w:rPr>
  </w:style>
  <w:style w:type="paragraph" w:customStyle="1" w:styleId="MDPI71FootNotes">
    <w:name w:val="MDPI_7.1_FootNotes"/>
    <w:qFormat/>
    <w:rsid w:val="00B31F50"/>
    <w:pPr>
      <w:numPr>
        <w:numId w:val="27"/>
      </w:numPr>
      <w:adjustRightInd w:val="0"/>
      <w:snapToGrid w:val="0"/>
      <w:spacing w:line="228" w:lineRule="auto"/>
    </w:pPr>
    <w:rPr>
      <w:rFonts w:ascii="Palatino Linotype" w:eastAsiaTheme="minorEastAsia" w:hAnsi="Palatino Linotype"/>
      <w:noProof/>
      <w:color w:val="000000"/>
      <w:sz w:val="18"/>
    </w:rPr>
  </w:style>
  <w:style w:type="character" w:customStyle="1" w:styleId="Heading1Char">
    <w:name w:val="Heading 1 Char"/>
    <w:basedOn w:val="DefaultParagraphFont"/>
    <w:link w:val="Heading1"/>
    <w:uiPriority w:val="9"/>
    <w:rsid w:val="001B2E3D"/>
    <w:rPr>
      <w:rFonts w:asciiTheme="majorHAnsi" w:eastAsiaTheme="majorEastAsia" w:hAnsiTheme="majorHAnsi" w:cstheme="majorBidi"/>
      <w:color w:val="2F5496" w:themeColor="accent1" w:themeShade="BF"/>
      <w:sz w:val="32"/>
      <w:szCs w:val="32"/>
      <w:lang w:val="en-GB" w:eastAsia="en-GB"/>
    </w:rPr>
  </w:style>
  <w:style w:type="character" w:customStyle="1" w:styleId="Heading2Char">
    <w:name w:val="Heading 2 Char"/>
    <w:basedOn w:val="DefaultParagraphFont"/>
    <w:link w:val="Heading2"/>
    <w:uiPriority w:val="9"/>
    <w:rsid w:val="001B2E3D"/>
    <w:rPr>
      <w:rFonts w:asciiTheme="majorHAnsi" w:eastAsiaTheme="majorEastAsia" w:hAnsiTheme="majorHAnsi" w:cstheme="majorBidi"/>
      <w:color w:val="2F5496" w:themeColor="accent1" w:themeShade="BF"/>
      <w:sz w:val="26"/>
      <w:szCs w:val="26"/>
      <w:lang w:val="en-GB" w:eastAsia="en-GB"/>
    </w:rPr>
  </w:style>
  <w:style w:type="character" w:customStyle="1" w:styleId="Heading3Char">
    <w:name w:val="Heading 3 Char"/>
    <w:basedOn w:val="DefaultParagraphFont"/>
    <w:link w:val="Heading3"/>
    <w:uiPriority w:val="9"/>
    <w:rsid w:val="001B2E3D"/>
    <w:rPr>
      <w:rFonts w:asciiTheme="majorHAnsi" w:eastAsiaTheme="majorEastAsia" w:hAnsiTheme="majorHAnsi" w:cstheme="majorBidi"/>
      <w:color w:val="1F3763" w:themeColor="accent1" w:themeShade="7F"/>
      <w:sz w:val="22"/>
      <w:szCs w:val="22"/>
      <w:lang w:val="en-GB" w:eastAsia="en-GB"/>
    </w:rPr>
  </w:style>
  <w:style w:type="character" w:customStyle="1" w:styleId="Heading4Char">
    <w:name w:val="Heading 4 Char"/>
    <w:basedOn w:val="DefaultParagraphFont"/>
    <w:link w:val="Heading4"/>
    <w:uiPriority w:val="9"/>
    <w:semiHidden/>
    <w:rsid w:val="001B2E3D"/>
    <w:rPr>
      <w:rFonts w:asciiTheme="majorHAnsi" w:eastAsiaTheme="majorEastAsia" w:hAnsiTheme="majorHAnsi" w:cstheme="majorBidi"/>
      <w:i/>
      <w:iCs/>
      <w:color w:val="2F5496" w:themeColor="accent1" w:themeShade="BF"/>
      <w:sz w:val="22"/>
      <w:szCs w:val="22"/>
      <w:lang w:val="en-GB" w:eastAsia="en-GB"/>
    </w:rPr>
  </w:style>
  <w:style w:type="character" w:customStyle="1" w:styleId="Heading5Char">
    <w:name w:val="Heading 5 Char"/>
    <w:basedOn w:val="DefaultParagraphFont"/>
    <w:link w:val="Heading5"/>
    <w:uiPriority w:val="9"/>
    <w:semiHidden/>
    <w:rsid w:val="001B2E3D"/>
    <w:rPr>
      <w:rFonts w:asciiTheme="majorHAnsi" w:eastAsiaTheme="majorEastAsia" w:hAnsiTheme="majorHAnsi" w:cstheme="majorBidi"/>
      <w:color w:val="2F5496" w:themeColor="accent1" w:themeShade="BF"/>
      <w:sz w:val="22"/>
      <w:szCs w:val="22"/>
      <w:lang w:val="en-GB" w:eastAsia="en-GB"/>
    </w:rPr>
  </w:style>
  <w:style w:type="character" w:customStyle="1" w:styleId="Heading6Char">
    <w:name w:val="Heading 6 Char"/>
    <w:basedOn w:val="DefaultParagraphFont"/>
    <w:link w:val="Heading6"/>
    <w:uiPriority w:val="9"/>
    <w:semiHidden/>
    <w:rsid w:val="001B2E3D"/>
    <w:rPr>
      <w:rFonts w:asciiTheme="majorHAnsi" w:eastAsiaTheme="majorEastAsia" w:hAnsiTheme="majorHAnsi" w:cstheme="majorBidi"/>
      <w:color w:val="1F3763" w:themeColor="accent1" w:themeShade="7F"/>
      <w:sz w:val="22"/>
      <w:szCs w:val="22"/>
      <w:lang w:val="en-GB" w:eastAsia="en-GB"/>
    </w:rPr>
  </w:style>
  <w:style w:type="character" w:customStyle="1" w:styleId="Heading7Char">
    <w:name w:val="Heading 7 Char"/>
    <w:basedOn w:val="DefaultParagraphFont"/>
    <w:link w:val="Heading7"/>
    <w:uiPriority w:val="9"/>
    <w:semiHidden/>
    <w:rsid w:val="001B2E3D"/>
    <w:rPr>
      <w:rFonts w:asciiTheme="majorHAnsi" w:eastAsiaTheme="majorEastAsia" w:hAnsiTheme="majorHAnsi" w:cstheme="majorBidi"/>
      <w:i/>
      <w:iCs/>
      <w:color w:val="1F3763" w:themeColor="accent1" w:themeShade="7F"/>
      <w:sz w:val="22"/>
      <w:szCs w:val="22"/>
      <w:lang w:val="en-GB" w:eastAsia="en-GB"/>
    </w:rPr>
  </w:style>
  <w:style w:type="character" w:customStyle="1" w:styleId="Heading8Char">
    <w:name w:val="Heading 8 Char"/>
    <w:basedOn w:val="DefaultParagraphFont"/>
    <w:link w:val="Heading8"/>
    <w:uiPriority w:val="9"/>
    <w:semiHidden/>
    <w:rsid w:val="001B2E3D"/>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1B2E3D"/>
    <w:rPr>
      <w:rFonts w:asciiTheme="majorHAnsi" w:eastAsiaTheme="majorEastAsia" w:hAnsiTheme="majorHAnsi" w:cstheme="majorBidi"/>
      <w:i/>
      <w:iCs/>
      <w:color w:val="272727" w:themeColor="text1" w:themeTint="D8"/>
      <w:sz w:val="21"/>
      <w:szCs w:val="21"/>
      <w:lang w:val="en-GB" w:eastAsia="en-GB"/>
    </w:rPr>
  </w:style>
  <w:style w:type="table" w:styleId="PlainTable3">
    <w:name w:val="Plain Table 3"/>
    <w:basedOn w:val="TableNormal"/>
    <w:uiPriority w:val="43"/>
    <w:rsid w:val="001B2E3D"/>
    <w:rPr>
      <w:rFonts w:asciiTheme="minorHAnsi" w:eastAsiaTheme="minorHAnsi" w:hAnsiTheme="minorHAnsi" w:cstheme="minorBidi"/>
      <w:sz w:val="24"/>
      <w:szCs w:val="24"/>
      <w:lang w:val="en-GB"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1B2E3D"/>
    <w:rPr>
      <w:rFonts w:ascii="Palatino Linotype" w:hAnsi="Palatino Linotype"/>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tate.predict.nhs.uk/" TargetMode="External"/><Relationship Id="rId13" Type="http://schemas.openxmlformats.org/officeDocument/2006/relationships/hyperlink" Target="https://www.ncbi.nlm.nih.gov/geo/query/acc.cgi?acc=GSE9476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ncbi.nlm.nih.gov/geo/query/acc.cgi?acc=GSE2103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yperlink" Target="https://www.ncbi.nlm.nih.gov/geo/query/acc.cgi?acc=GSE70769" TargetMode="Externa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www.ncbi.nlm.nih.gov/geo/query/acc.cgi?acc=GSE70768"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su13cbu/Library/CloudStorage/OneDrive-UniversityofEastAnglia/Documents/PapersInProgress/PREDICT%20and%20DESNT/Current%20Oncology/curronco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curroncol-template.dot</Template>
  <TotalTime>0</TotalTime>
  <Pages>15</Pages>
  <Words>37278</Words>
  <Characters>212489</Characters>
  <Application>Microsoft Office Word</Application>
  <DocSecurity>0</DocSecurity>
  <Lines>1770</Lines>
  <Paragraphs>498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249269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Microsoft Office User</dc:creator>
  <cp:keywords/>
  <dc:description/>
  <cp:lastModifiedBy>Daniel Brewer (MED - Staff)</cp:lastModifiedBy>
  <cp:revision>3</cp:revision>
  <dcterms:created xsi:type="dcterms:W3CDTF">2022-12-16T16:15:00Z</dcterms:created>
  <dcterms:modified xsi:type="dcterms:W3CDTF">2022-12-16T16:16:00Z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id="OyO8BWdL"/&gt;&lt;style id="http://www.zotero.org/styles/international-journal-of-molecular-sciences" hasBibliography="1" bibliographyStyleHasBeenSet="1"/&gt;&lt;prefs&gt;&lt;pref name="fieldType" value="Field"/&gt;&lt;</vt:lpwstr>
  </property>
  <property fmtid="{D5CDD505-2E9C-101B-9397-08002B2CF9AE}" pid="3" name="ZOTERO_PREF_2">
    <vt:lpwstr>pref name="dontAskDelayCitationUpdates" value="true"/&gt;&lt;/prefs&gt;&lt;/data&gt;</vt:lpwstr>
  </property>
</Properties>
</file>