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B73F" w14:textId="742AB4D4" w:rsidR="00016DD4" w:rsidRPr="00727334" w:rsidRDefault="004E0875" w:rsidP="00D02E91">
      <w:pPr>
        <w:spacing w:after="0" w:line="360" w:lineRule="auto"/>
        <w:rPr>
          <w:rFonts w:eastAsia="Times New Roman" w:cstheme="minorHAnsi"/>
          <w:b/>
          <w:color w:val="000000"/>
          <w:lang w:eastAsia="en-GB"/>
        </w:rPr>
      </w:pPr>
      <w:r w:rsidRPr="00DB2EFF">
        <w:rPr>
          <w:rFonts w:eastAsia="Times New Roman" w:cstheme="minorHAnsi"/>
          <w:b/>
          <w:color w:val="000000"/>
          <w:lang w:eastAsia="en-GB"/>
        </w:rPr>
        <w:t xml:space="preserve">Embedding patient and public involvement in </w:t>
      </w:r>
      <w:r w:rsidR="003B4D04" w:rsidRPr="00DB2EFF">
        <w:rPr>
          <w:rFonts w:eastAsia="Times New Roman" w:cstheme="minorHAnsi"/>
          <w:b/>
          <w:color w:val="000000"/>
          <w:lang w:eastAsia="en-GB"/>
        </w:rPr>
        <w:t>dementia</w:t>
      </w:r>
      <w:r w:rsidR="00652BFD" w:rsidRPr="00DB2EFF">
        <w:rPr>
          <w:rFonts w:eastAsia="Times New Roman" w:cstheme="minorHAnsi"/>
          <w:b/>
          <w:color w:val="000000"/>
          <w:lang w:eastAsia="en-GB"/>
        </w:rPr>
        <w:t xml:space="preserve"> </w:t>
      </w:r>
      <w:r w:rsidRPr="00DB2EFF">
        <w:rPr>
          <w:rFonts w:eastAsia="Times New Roman" w:cstheme="minorHAnsi"/>
          <w:b/>
          <w:color w:val="000000"/>
          <w:lang w:eastAsia="en-GB"/>
        </w:rPr>
        <w:t xml:space="preserve">research: Reflections from </w:t>
      </w:r>
      <w:r w:rsidR="00DC0951">
        <w:rPr>
          <w:rFonts w:eastAsia="Times New Roman" w:cstheme="minorHAnsi"/>
          <w:b/>
          <w:color w:val="000000"/>
          <w:lang w:eastAsia="en-GB"/>
        </w:rPr>
        <w:t>experiences during</w:t>
      </w:r>
      <w:r w:rsidR="005D0324">
        <w:rPr>
          <w:rFonts w:eastAsia="Times New Roman" w:cstheme="minorHAnsi"/>
          <w:b/>
          <w:color w:val="000000"/>
          <w:lang w:eastAsia="en-GB"/>
        </w:rPr>
        <w:t xml:space="preserve"> </w:t>
      </w:r>
      <w:r w:rsidRPr="00DB2EFF">
        <w:rPr>
          <w:rFonts w:eastAsia="Times New Roman" w:cstheme="minorHAnsi"/>
          <w:b/>
          <w:color w:val="000000"/>
          <w:lang w:eastAsia="en-GB"/>
        </w:rPr>
        <w:t>the</w:t>
      </w:r>
      <w:r w:rsidR="00652BFD" w:rsidRPr="00DB2EFF">
        <w:rPr>
          <w:rFonts w:eastAsia="Times New Roman" w:cstheme="minorHAnsi"/>
          <w:b/>
          <w:color w:val="000000"/>
          <w:lang w:eastAsia="en-GB"/>
        </w:rPr>
        <w:t xml:space="preserve"> ‘Journeying through Dementia’</w:t>
      </w:r>
      <w:r w:rsidR="00F87D60" w:rsidRPr="00DB2EFF">
        <w:rPr>
          <w:rFonts w:eastAsia="Times New Roman" w:cstheme="minorHAnsi"/>
          <w:b/>
          <w:color w:val="000000"/>
          <w:lang w:eastAsia="en-GB"/>
        </w:rPr>
        <w:t xml:space="preserve"> randomised controlled trial</w:t>
      </w:r>
    </w:p>
    <w:p w14:paraId="66DDC72C" w14:textId="77777777" w:rsidR="00D02E91" w:rsidRPr="00727334" w:rsidRDefault="00D02E91" w:rsidP="00D02E91">
      <w:pPr>
        <w:spacing w:after="0" w:line="360" w:lineRule="auto"/>
        <w:rPr>
          <w:rFonts w:eastAsia="Times New Roman" w:cstheme="minorHAnsi"/>
          <w:b/>
          <w:color w:val="000000"/>
          <w:lang w:eastAsia="en-GB"/>
        </w:rPr>
      </w:pPr>
    </w:p>
    <w:p w14:paraId="0764AEE0" w14:textId="3EEA5989" w:rsidR="00016DD4" w:rsidRPr="00727334" w:rsidRDefault="00016DD4" w:rsidP="00D02E91">
      <w:pPr>
        <w:spacing w:after="0" w:line="360" w:lineRule="auto"/>
        <w:rPr>
          <w:rFonts w:eastAsia="Times New Roman" w:cstheme="minorHAnsi"/>
        </w:rPr>
      </w:pPr>
      <w:bookmarkStart w:id="0" w:name="_Hlk73974072"/>
      <w:r w:rsidRPr="00727334">
        <w:rPr>
          <w:rFonts w:eastAsia="Times New Roman" w:cstheme="minorHAnsi"/>
        </w:rPr>
        <w:t>Jules Beresford-Dent</w:t>
      </w:r>
      <w:r w:rsidR="00630318" w:rsidRPr="00727334">
        <w:rPr>
          <w:rFonts w:eastAsia="Times New Roman" w:cstheme="minorHAnsi"/>
          <w:vertAlign w:val="superscript"/>
        </w:rPr>
        <w:t>1</w:t>
      </w:r>
      <w:r w:rsidR="00A5533C">
        <w:rPr>
          <w:rFonts w:eastAsia="Times New Roman" w:cstheme="minorHAnsi"/>
          <w:vertAlign w:val="superscript"/>
        </w:rPr>
        <w:t>*</w:t>
      </w:r>
      <w:r w:rsidRPr="00727334">
        <w:rPr>
          <w:rFonts w:eastAsia="Times New Roman" w:cstheme="minorHAnsi"/>
        </w:rPr>
        <w:t xml:space="preserve">, </w:t>
      </w:r>
      <w:r w:rsidR="00630318" w:rsidRPr="00727334">
        <w:rPr>
          <w:rFonts w:eastAsia="Times New Roman" w:cstheme="minorHAnsi"/>
        </w:rPr>
        <w:t>Kirsty Sprange</w:t>
      </w:r>
      <w:r w:rsidR="00630318" w:rsidRPr="00727334">
        <w:rPr>
          <w:rFonts w:eastAsia="Times New Roman" w:cstheme="minorHAnsi"/>
          <w:vertAlign w:val="superscript"/>
        </w:rPr>
        <w:t>2</w:t>
      </w:r>
      <w:r w:rsidR="00D02E91" w:rsidRPr="00727334">
        <w:rPr>
          <w:rFonts w:eastAsia="Times New Roman" w:cstheme="minorHAnsi"/>
          <w:vertAlign w:val="superscript"/>
        </w:rPr>
        <w:t>*</w:t>
      </w:r>
      <w:r w:rsidR="00630318" w:rsidRPr="00727334">
        <w:rPr>
          <w:rFonts w:eastAsia="Times New Roman" w:cstheme="minorHAnsi"/>
        </w:rPr>
        <w:t xml:space="preserve">, </w:t>
      </w:r>
      <w:r w:rsidRPr="00727334">
        <w:rPr>
          <w:rFonts w:eastAsia="Times New Roman" w:cstheme="minorHAnsi"/>
        </w:rPr>
        <w:t>Gail Mountain</w:t>
      </w:r>
      <w:r w:rsidR="00630318" w:rsidRPr="00727334">
        <w:rPr>
          <w:rFonts w:eastAsia="Times New Roman" w:cstheme="minorHAnsi"/>
          <w:vertAlign w:val="superscript"/>
        </w:rPr>
        <w:t>1</w:t>
      </w:r>
      <w:r w:rsidRPr="00727334">
        <w:rPr>
          <w:rFonts w:eastAsia="Times New Roman" w:cstheme="minorHAnsi"/>
        </w:rPr>
        <w:t>, Clare Maso</w:t>
      </w:r>
      <w:r w:rsidR="00CD4A95" w:rsidRPr="00727334">
        <w:rPr>
          <w:rFonts w:eastAsia="Times New Roman" w:cstheme="minorHAnsi"/>
        </w:rPr>
        <w:t>n</w:t>
      </w:r>
      <w:r w:rsidR="00630318" w:rsidRPr="00727334">
        <w:rPr>
          <w:rFonts w:eastAsia="Times New Roman" w:cstheme="minorHAnsi"/>
          <w:vertAlign w:val="superscript"/>
        </w:rPr>
        <w:t>1</w:t>
      </w:r>
      <w:r w:rsidRPr="00727334">
        <w:rPr>
          <w:rFonts w:eastAsia="Times New Roman" w:cstheme="minorHAnsi"/>
        </w:rPr>
        <w:t>, Jessica Wright</w:t>
      </w:r>
      <w:r w:rsidR="00630318" w:rsidRPr="00727334">
        <w:rPr>
          <w:rFonts w:eastAsia="Times New Roman" w:cstheme="minorHAnsi"/>
          <w:vertAlign w:val="superscript"/>
        </w:rPr>
        <w:t>3</w:t>
      </w:r>
      <w:r w:rsidR="00CD4A95" w:rsidRPr="00727334">
        <w:rPr>
          <w:rFonts w:eastAsia="Times New Roman" w:cstheme="minorHAnsi"/>
        </w:rPr>
        <w:t>,</w:t>
      </w:r>
      <w:r w:rsidR="00EE2A4A" w:rsidRPr="00727334">
        <w:rPr>
          <w:rFonts w:eastAsia="Times New Roman" w:cstheme="minorHAnsi"/>
          <w:vertAlign w:val="superscript"/>
        </w:rPr>
        <w:t xml:space="preserve"> </w:t>
      </w:r>
      <w:r w:rsidR="00EE2A4A" w:rsidRPr="00727334">
        <w:rPr>
          <w:rFonts w:eastAsia="Times New Roman" w:cstheme="minorHAnsi"/>
        </w:rPr>
        <w:t xml:space="preserve">Claire </w:t>
      </w:r>
      <w:r w:rsidR="0079498A" w:rsidRPr="00727334">
        <w:rPr>
          <w:rFonts w:eastAsia="Times New Roman" w:cstheme="minorHAnsi"/>
        </w:rPr>
        <w:t>Craig</w:t>
      </w:r>
      <w:r w:rsidR="00630318" w:rsidRPr="00727334">
        <w:rPr>
          <w:rFonts w:eastAsia="Times New Roman" w:cstheme="minorHAnsi"/>
          <w:vertAlign w:val="superscript"/>
        </w:rPr>
        <w:t>4</w:t>
      </w:r>
      <w:r w:rsidR="00CD4A95" w:rsidRPr="00727334">
        <w:rPr>
          <w:rFonts w:eastAsia="Times New Roman" w:cstheme="minorHAnsi"/>
        </w:rPr>
        <w:t>,</w:t>
      </w:r>
      <w:r w:rsidR="004E48D9" w:rsidRPr="00727334">
        <w:rPr>
          <w:rFonts w:eastAsia="Times New Roman" w:cstheme="minorHAnsi"/>
          <w:vertAlign w:val="superscript"/>
        </w:rPr>
        <w:t xml:space="preserve"> </w:t>
      </w:r>
      <w:r w:rsidR="00D65F8E" w:rsidRPr="00727334">
        <w:rPr>
          <w:rFonts w:eastAsia="Times New Roman" w:cstheme="minorHAnsi"/>
        </w:rPr>
        <w:t>Linda Birt</w:t>
      </w:r>
      <w:r w:rsidR="00C82355">
        <w:rPr>
          <w:rFonts w:eastAsia="Times New Roman" w:cstheme="minorHAnsi"/>
          <w:vertAlign w:val="superscript"/>
        </w:rPr>
        <w:t>5</w:t>
      </w:r>
    </w:p>
    <w:bookmarkEnd w:id="0"/>
    <w:p w14:paraId="3C9589B0" w14:textId="60F677F6" w:rsidR="001329DC" w:rsidRDefault="001329DC" w:rsidP="00D02E91">
      <w:pPr>
        <w:spacing w:after="0" w:line="360" w:lineRule="auto"/>
        <w:rPr>
          <w:rFonts w:eastAsia="Times New Roman" w:cstheme="minorHAnsi"/>
          <w:b/>
          <w:color w:val="000000"/>
          <w:lang w:val="en-US"/>
        </w:rPr>
      </w:pPr>
    </w:p>
    <w:p w14:paraId="6A650C5B" w14:textId="3F79C2AC" w:rsidR="00A5533C" w:rsidRPr="00A5533C" w:rsidRDefault="00A5533C" w:rsidP="00D02E91">
      <w:pPr>
        <w:spacing w:after="0" w:line="360" w:lineRule="auto"/>
        <w:rPr>
          <w:rFonts w:eastAsia="Times New Roman" w:cstheme="minorHAnsi"/>
          <w:bCs/>
          <w:color w:val="000000"/>
          <w:lang w:val="en-US"/>
        </w:rPr>
      </w:pPr>
      <w:r w:rsidRPr="00A5533C">
        <w:rPr>
          <w:rFonts w:eastAsia="Times New Roman" w:cstheme="minorHAnsi"/>
          <w:bCs/>
          <w:color w:val="000000"/>
          <w:lang w:val="en-US"/>
        </w:rPr>
        <w:t>*J Beresford-Dent died on Jan 19, 2022</w:t>
      </w:r>
    </w:p>
    <w:p w14:paraId="055D2238" w14:textId="77777777" w:rsidR="00A5533C" w:rsidRPr="00727334" w:rsidRDefault="00A5533C" w:rsidP="00D02E91">
      <w:pPr>
        <w:spacing w:after="0" w:line="360" w:lineRule="auto"/>
        <w:rPr>
          <w:rFonts w:eastAsia="Times New Roman" w:cstheme="minorHAnsi"/>
          <w:b/>
          <w:color w:val="000000"/>
          <w:lang w:val="en-US"/>
        </w:rPr>
      </w:pPr>
    </w:p>
    <w:p w14:paraId="65E31930" w14:textId="77777777" w:rsidR="00630318" w:rsidRPr="00727334" w:rsidRDefault="00630318" w:rsidP="00D02E91">
      <w:pPr>
        <w:spacing w:after="0" w:line="360" w:lineRule="auto"/>
        <w:rPr>
          <w:rFonts w:eastAsia="Times New Roman" w:cstheme="minorHAnsi"/>
          <w:b/>
          <w:color w:val="000000"/>
          <w:lang w:eastAsia="en-GB"/>
        </w:rPr>
      </w:pPr>
      <w:r w:rsidRPr="00727334">
        <w:rPr>
          <w:rFonts w:eastAsia="Times New Roman" w:cstheme="minorHAnsi"/>
          <w:b/>
          <w:color w:val="000000"/>
          <w:lang w:eastAsia="en-GB"/>
        </w:rPr>
        <w:t>Author affiliations</w:t>
      </w:r>
    </w:p>
    <w:p w14:paraId="544A3B1A" w14:textId="3BFC5DC9" w:rsidR="00630318" w:rsidRPr="00727334" w:rsidRDefault="00630318" w:rsidP="00D02E91">
      <w:pPr>
        <w:spacing w:after="0" w:line="360" w:lineRule="auto"/>
        <w:rPr>
          <w:rFonts w:eastAsia="Times New Roman" w:cstheme="minorHAnsi"/>
        </w:rPr>
      </w:pPr>
      <w:r w:rsidRPr="00727334">
        <w:rPr>
          <w:rFonts w:eastAsia="Times New Roman" w:cstheme="minorHAnsi"/>
          <w:vertAlign w:val="superscript"/>
        </w:rPr>
        <w:t xml:space="preserve">1 </w:t>
      </w:r>
      <w:r w:rsidRPr="00727334">
        <w:rPr>
          <w:rFonts w:eastAsia="Times New Roman" w:cstheme="minorHAnsi"/>
        </w:rPr>
        <w:t>Centre for Applied Dementia Research, University of Bradford, Bradford, UK</w:t>
      </w:r>
    </w:p>
    <w:p w14:paraId="3ECA272B" w14:textId="080FF51F" w:rsidR="00630318" w:rsidRPr="00727334" w:rsidRDefault="00630318" w:rsidP="00D02E91">
      <w:pPr>
        <w:spacing w:after="0" w:line="360" w:lineRule="auto"/>
        <w:rPr>
          <w:rFonts w:eastAsia="Times New Roman" w:cstheme="minorHAnsi"/>
        </w:rPr>
      </w:pPr>
      <w:r w:rsidRPr="00727334">
        <w:rPr>
          <w:rFonts w:eastAsia="Times New Roman" w:cstheme="minorHAnsi"/>
          <w:vertAlign w:val="superscript"/>
        </w:rPr>
        <w:t xml:space="preserve">2 </w:t>
      </w:r>
      <w:r w:rsidRPr="00727334">
        <w:rPr>
          <w:rFonts w:eastAsia="Times New Roman" w:cstheme="minorHAnsi"/>
        </w:rPr>
        <w:t>Nottingham Clinical Trials Unit, University of Nottingham, Nottingham, UK</w:t>
      </w:r>
    </w:p>
    <w:p w14:paraId="6C4D647A" w14:textId="350E1224" w:rsidR="00630318" w:rsidRPr="00727334" w:rsidRDefault="00630318" w:rsidP="00D02E91">
      <w:pPr>
        <w:spacing w:after="0" w:line="360" w:lineRule="auto"/>
        <w:rPr>
          <w:rFonts w:eastAsia="Times New Roman" w:cstheme="minorHAnsi"/>
        </w:rPr>
      </w:pPr>
      <w:r w:rsidRPr="00727334">
        <w:rPr>
          <w:rFonts w:eastAsia="Times New Roman" w:cstheme="minorHAnsi"/>
          <w:shd w:val="clear" w:color="auto" w:fill="FFFFFF"/>
          <w:vertAlign w:val="superscript"/>
          <w:lang w:val="en-US"/>
        </w:rPr>
        <w:t>3</w:t>
      </w:r>
      <w:r w:rsidRPr="00727334">
        <w:rPr>
          <w:rFonts w:eastAsia="Times New Roman" w:cstheme="minorHAnsi"/>
          <w:shd w:val="clear" w:color="auto" w:fill="FFFFFF"/>
          <w:lang w:val="en-US"/>
        </w:rPr>
        <w:t xml:space="preserve"> Clinical Trials Research Unit, The University of Sheffield, Sheffield, UK</w:t>
      </w:r>
    </w:p>
    <w:p w14:paraId="793ECE07" w14:textId="015F251E" w:rsidR="00630318" w:rsidRPr="00727334" w:rsidRDefault="00630318" w:rsidP="00D02E91">
      <w:pPr>
        <w:spacing w:after="0" w:line="360" w:lineRule="auto"/>
        <w:rPr>
          <w:rFonts w:eastAsia="Times New Roman" w:cstheme="minorHAnsi"/>
        </w:rPr>
      </w:pPr>
      <w:r w:rsidRPr="00727334">
        <w:rPr>
          <w:rFonts w:eastAsia="Times New Roman" w:cstheme="minorHAnsi"/>
          <w:shd w:val="clear" w:color="auto" w:fill="FFFFFF"/>
          <w:vertAlign w:val="superscript"/>
          <w:lang w:val="en-US"/>
        </w:rPr>
        <w:t>4</w:t>
      </w:r>
      <w:r w:rsidRPr="00727334">
        <w:rPr>
          <w:rFonts w:eastAsia="Times New Roman" w:cstheme="minorHAnsi"/>
        </w:rPr>
        <w:t xml:space="preserve"> Lab4Living, Sheffield Hallam University, Sheffield, UK</w:t>
      </w:r>
    </w:p>
    <w:p w14:paraId="5D2267E9" w14:textId="2CA67CDD" w:rsidR="00630318" w:rsidRPr="00727334" w:rsidRDefault="00C82355" w:rsidP="00D02E91">
      <w:pPr>
        <w:spacing w:after="0" w:line="360" w:lineRule="auto"/>
        <w:rPr>
          <w:rFonts w:eastAsia="Times New Roman" w:cstheme="minorHAnsi"/>
          <w:shd w:val="clear" w:color="auto" w:fill="FFFFFF"/>
          <w:lang w:val="en-US"/>
        </w:rPr>
      </w:pPr>
      <w:r>
        <w:rPr>
          <w:rFonts w:eastAsia="Times New Roman" w:cstheme="minorHAnsi"/>
          <w:vertAlign w:val="superscript"/>
        </w:rPr>
        <w:t>5</w:t>
      </w:r>
      <w:r w:rsidR="00630318" w:rsidRPr="00727334">
        <w:rPr>
          <w:rFonts w:eastAsia="Times New Roman" w:cstheme="minorHAnsi"/>
          <w:vertAlign w:val="superscript"/>
        </w:rPr>
        <w:t xml:space="preserve"> </w:t>
      </w:r>
      <w:r w:rsidR="00630318" w:rsidRPr="00727334">
        <w:rPr>
          <w:rFonts w:eastAsia="Times New Roman" w:cstheme="minorHAnsi"/>
          <w:shd w:val="clear" w:color="auto" w:fill="FFFFFF"/>
          <w:lang w:val="en-US"/>
        </w:rPr>
        <w:t>School of Health Sciences, The University of East Anglia</w:t>
      </w:r>
    </w:p>
    <w:p w14:paraId="6E0AE812" w14:textId="544D9D0D" w:rsidR="00D02E91" w:rsidRPr="00727334" w:rsidRDefault="00D02E91" w:rsidP="00D02E91">
      <w:pPr>
        <w:spacing w:after="0" w:line="360" w:lineRule="auto"/>
        <w:rPr>
          <w:rFonts w:eastAsia="Times New Roman" w:cstheme="minorHAnsi"/>
          <w:shd w:val="clear" w:color="auto" w:fill="FFFFFF"/>
          <w:lang w:val="en-US"/>
        </w:rPr>
      </w:pPr>
    </w:p>
    <w:p w14:paraId="408EE3A6" w14:textId="53C39894" w:rsidR="00D02E91" w:rsidRPr="00727334" w:rsidRDefault="00D02E91" w:rsidP="00D02E91">
      <w:pPr>
        <w:spacing w:after="0" w:line="360" w:lineRule="auto"/>
        <w:rPr>
          <w:rFonts w:eastAsia="Times New Roman" w:cstheme="minorHAnsi"/>
          <w:b/>
          <w:bCs/>
          <w:shd w:val="clear" w:color="auto" w:fill="FFFFFF"/>
          <w:lang w:val="en-US"/>
        </w:rPr>
      </w:pPr>
      <w:r w:rsidRPr="00727334">
        <w:rPr>
          <w:rFonts w:eastAsia="Times New Roman" w:cstheme="minorHAnsi"/>
          <w:b/>
          <w:bCs/>
          <w:shd w:val="clear" w:color="auto" w:fill="FFFFFF"/>
          <w:lang w:val="en-US"/>
        </w:rPr>
        <w:t>Corresponding author</w:t>
      </w:r>
    </w:p>
    <w:p w14:paraId="3408F4EB"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Kirsty Sprange</w:t>
      </w:r>
    </w:p>
    <w:p w14:paraId="56A8AD44"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Assistant Professor of Clinical Trials</w:t>
      </w:r>
    </w:p>
    <w:p w14:paraId="200BF800"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Nottingham Clinical Trials Unit</w:t>
      </w:r>
    </w:p>
    <w:p w14:paraId="5AF3C029"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University of Nottingham</w:t>
      </w:r>
    </w:p>
    <w:p w14:paraId="541FCCAB"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 xml:space="preserve">University Park </w:t>
      </w:r>
    </w:p>
    <w:p w14:paraId="6BFF0A25" w14:textId="2317ECDF"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Nottingham, NG7 2RD</w:t>
      </w:r>
    </w:p>
    <w:p w14:paraId="32351AFD" w14:textId="77777777" w:rsidR="00D02E91" w:rsidRPr="00727334" w:rsidRDefault="00D02E91" w:rsidP="00587083">
      <w:pPr>
        <w:spacing w:after="0" w:line="288" w:lineRule="auto"/>
        <w:rPr>
          <w:rFonts w:eastAsia="Times New Roman" w:cstheme="minorHAnsi"/>
          <w:shd w:val="clear" w:color="auto" w:fill="FFFFFF"/>
          <w:lang w:val="en-US"/>
        </w:rPr>
      </w:pPr>
      <w:r w:rsidRPr="00727334">
        <w:rPr>
          <w:rFonts w:eastAsia="Times New Roman" w:cstheme="minorHAnsi"/>
          <w:shd w:val="clear" w:color="auto" w:fill="FFFFFF"/>
          <w:lang w:val="en-US"/>
        </w:rPr>
        <w:t>Tel +44 (0)115 82 31574</w:t>
      </w:r>
    </w:p>
    <w:p w14:paraId="3D71328A" w14:textId="4937D555" w:rsidR="00D02E91" w:rsidRPr="00727334" w:rsidRDefault="00F50F9C" w:rsidP="00587083">
      <w:pPr>
        <w:spacing w:after="0" w:line="288" w:lineRule="auto"/>
        <w:rPr>
          <w:rFonts w:eastAsia="Times New Roman" w:cstheme="minorHAnsi"/>
          <w:shd w:val="clear" w:color="auto" w:fill="FFFFFF"/>
          <w:lang w:val="en-US"/>
        </w:rPr>
      </w:pPr>
      <w:hyperlink r:id="rId11" w:history="1">
        <w:r w:rsidR="00D02E91" w:rsidRPr="00727334">
          <w:rPr>
            <w:rStyle w:val="Hyperlink"/>
            <w:rFonts w:eastAsia="Times New Roman" w:cstheme="minorHAnsi"/>
            <w:shd w:val="clear" w:color="auto" w:fill="FFFFFF"/>
            <w:lang w:val="en-US"/>
          </w:rPr>
          <w:t>Kirsty.sprange@nottingham.ac.uk</w:t>
        </w:r>
      </w:hyperlink>
      <w:r w:rsidR="00361C68" w:rsidRPr="00727334">
        <w:rPr>
          <w:rFonts w:eastAsia="Times New Roman" w:cstheme="minorHAnsi"/>
          <w:shd w:val="clear" w:color="auto" w:fill="FFFFFF"/>
          <w:lang w:val="en-US"/>
        </w:rPr>
        <w:t xml:space="preserve"> </w:t>
      </w:r>
    </w:p>
    <w:p w14:paraId="058ABE30" w14:textId="77777777" w:rsidR="00D02E91" w:rsidRPr="00727334" w:rsidRDefault="00D02E91" w:rsidP="00D02E91">
      <w:pPr>
        <w:spacing w:after="0" w:line="360" w:lineRule="auto"/>
        <w:rPr>
          <w:rFonts w:eastAsia="Times New Roman" w:cstheme="minorHAnsi"/>
          <w:shd w:val="clear" w:color="auto" w:fill="FFFFFF"/>
          <w:lang w:val="en-US"/>
        </w:rPr>
      </w:pPr>
    </w:p>
    <w:p w14:paraId="7C56BFEF" w14:textId="751D7126" w:rsidR="00630318" w:rsidRPr="00727334" w:rsidRDefault="00630318" w:rsidP="00D02E91">
      <w:pPr>
        <w:spacing w:after="0" w:line="360" w:lineRule="auto"/>
        <w:rPr>
          <w:rFonts w:eastAsia="Times New Roman" w:cstheme="minorHAnsi"/>
          <w:b/>
          <w:bCs/>
          <w:color w:val="000000"/>
          <w:lang w:eastAsia="en-GB"/>
        </w:rPr>
      </w:pPr>
      <w:r w:rsidRPr="00727334">
        <w:rPr>
          <w:rFonts w:eastAsia="Times New Roman" w:cstheme="minorHAnsi"/>
          <w:b/>
          <w:bCs/>
          <w:color w:val="000000"/>
          <w:lang w:eastAsia="en-GB"/>
        </w:rPr>
        <w:t>ORCID IDs:</w:t>
      </w:r>
    </w:p>
    <w:p w14:paraId="5EE50C00" w14:textId="0C2613A0" w:rsidR="00630318" w:rsidRPr="00727334" w:rsidRDefault="00630318" w:rsidP="00D02E91">
      <w:pPr>
        <w:spacing w:after="0" w:line="360" w:lineRule="auto"/>
        <w:rPr>
          <w:rFonts w:eastAsia="Times New Roman" w:cstheme="minorHAnsi"/>
          <w:color w:val="000000"/>
          <w:lang w:eastAsia="en-GB"/>
        </w:rPr>
      </w:pPr>
      <w:r w:rsidRPr="00727334">
        <w:rPr>
          <w:rFonts w:eastAsia="Times New Roman" w:cstheme="minorHAnsi"/>
          <w:color w:val="000000"/>
          <w:lang w:eastAsia="en-GB"/>
        </w:rPr>
        <w:t>Jules Beresford</w:t>
      </w:r>
      <w:r w:rsidR="00A1638B" w:rsidRPr="00727334">
        <w:rPr>
          <w:rFonts w:eastAsia="Times New Roman" w:cstheme="minorHAnsi"/>
          <w:color w:val="000000"/>
          <w:lang w:eastAsia="en-GB"/>
        </w:rPr>
        <w:t>-</w:t>
      </w:r>
      <w:r w:rsidRPr="00727334">
        <w:rPr>
          <w:rFonts w:eastAsia="Times New Roman" w:cstheme="minorHAnsi"/>
          <w:color w:val="000000"/>
          <w:lang w:eastAsia="en-GB"/>
        </w:rPr>
        <w:t>Dent - 0000-0002-3316-2191</w:t>
      </w:r>
    </w:p>
    <w:p w14:paraId="140A4EB8" w14:textId="531ED8B1" w:rsidR="00630318" w:rsidRPr="00727334" w:rsidRDefault="00630318" w:rsidP="00D02E91">
      <w:pPr>
        <w:spacing w:after="0" w:line="360" w:lineRule="auto"/>
        <w:rPr>
          <w:rFonts w:cstheme="minorHAnsi"/>
        </w:rPr>
      </w:pPr>
      <w:r w:rsidRPr="00727334">
        <w:rPr>
          <w:rFonts w:eastAsia="Times New Roman" w:cstheme="minorHAnsi"/>
          <w:color w:val="000000"/>
          <w:lang w:eastAsia="en-GB"/>
        </w:rPr>
        <w:t>Claire Craig -</w:t>
      </w:r>
      <w:r w:rsidRPr="00727334">
        <w:rPr>
          <w:rFonts w:cstheme="minorHAnsi"/>
        </w:rPr>
        <w:t xml:space="preserve"> 0000-0002-3475-3292</w:t>
      </w:r>
    </w:p>
    <w:p w14:paraId="6A7A9FD7" w14:textId="01F0CA52" w:rsidR="00630318" w:rsidRPr="00727334" w:rsidRDefault="00630318" w:rsidP="00D02E91">
      <w:pPr>
        <w:spacing w:after="0" w:line="360" w:lineRule="auto"/>
        <w:rPr>
          <w:rFonts w:cstheme="minorHAnsi"/>
        </w:rPr>
      </w:pPr>
      <w:r w:rsidRPr="00727334">
        <w:rPr>
          <w:rFonts w:eastAsia="Times New Roman" w:cstheme="minorHAnsi"/>
          <w:color w:val="000000"/>
          <w:lang w:eastAsia="en-GB"/>
        </w:rPr>
        <w:t>Gail Mountain</w:t>
      </w:r>
      <w:r w:rsidRPr="00727334">
        <w:rPr>
          <w:rFonts w:cstheme="minorHAnsi"/>
        </w:rPr>
        <w:t xml:space="preserve"> - 0000-0002-5417-7691</w:t>
      </w:r>
    </w:p>
    <w:p w14:paraId="7D52E161" w14:textId="77777777" w:rsidR="00630318" w:rsidRPr="00727334" w:rsidRDefault="00630318" w:rsidP="00D02E91">
      <w:pPr>
        <w:spacing w:after="0" w:line="360" w:lineRule="auto"/>
        <w:rPr>
          <w:rFonts w:eastAsia="Times New Roman" w:cstheme="minorHAnsi"/>
          <w:color w:val="000000"/>
          <w:lang w:eastAsia="en-GB"/>
        </w:rPr>
      </w:pPr>
      <w:r w:rsidRPr="00727334">
        <w:rPr>
          <w:rFonts w:eastAsia="Times New Roman" w:cstheme="minorHAnsi"/>
          <w:color w:val="000000"/>
          <w:lang w:eastAsia="en-GB"/>
        </w:rPr>
        <w:t>Clare Mason</w:t>
      </w:r>
    </w:p>
    <w:p w14:paraId="6F9D441D" w14:textId="77777777" w:rsidR="00630318" w:rsidRPr="00727334" w:rsidRDefault="00630318" w:rsidP="00D02E91">
      <w:pPr>
        <w:spacing w:after="0" w:line="360" w:lineRule="auto"/>
        <w:rPr>
          <w:rFonts w:eastAsia="Times New Roman" w:cstheme="minorHAnsi"/>
          <w:color w:val="000000"/>
          <w:lang w:eastAsia="en-GB"/>
        </w:rPr>
      </w:pPr>
      <w:r w:rsidRPr="00727334">
        <w:rPr>
          <w:rFonts w:eastAsia="Times New Roman" w:cstheme="minorHAnsi"/>
          <w:color w:val="000000"/>
          <w:lang w:eastAsia="en-GB"/>
        </w:rPr>
        <w:t xml:space="preserve">Jessica Wright - </w:t>
      </w:r>
      <w:r w:rsidRPr="00727334">
        <w:rPr>
          <w:rFonts w:cstheme="minorHAnsi"/>
        </w:rPr>
        <w:t>0000-0002-1814-3697</w:t>
      </w:r>
    </w:p>
    <w:p w14:paraId="7F4B12BA" w14:textId="77777777" w:rsidR="00630318" w:rsidRPr="00727334" w:rsidRDefault="00630318" w:rsidP="00D02E91">
      <w:pPr>
        <w:spacing w:after="0" w:line="360" w:lineRule="auto"/>
        <w:rPr>
          <w:rFonts w:eastAsia="Times New Roman" w:cstheme="minorHAnsi"/>
          <w:color w:val="000000"/>
          <w:lang w:eastAsia="en-GB"/>
        </w:rPr>
      </w:pPr>
      <w:r w:rsidRPr="00727334">
        <w:rPr>
          <w:rFonts w:eastAsia="Times New Roman" w:cstheme="minorHAnsi"/>
          <w:color w:val="000000"/>
          <w:lang w:eastAsia="en-GB"/>
        </w:rPr>
        <w:t>Kirsty Sprange - 0000-0001-6443-7242</w:t>
      </w:r>
    </w:p>
    <w:p w14:paraId="630637B7" w14:textId="0DE3F0E2" w:rsidR="000129C6" w:rsidRDefault="00630318" w:rsidP="000129C6">
      <w:pPr>
        <w:spacing w:after="0" w:line="360" w:lineRule="auto"/>
        <w:rPr>
          <w:rFonts w:eastAsia="Times New Roman" w:cstheme="minorHAnsi"/>
          <w:color w:val="000000"/>
          <w:lang w:eastAsia="en-GB"/>
        </w:rPr>
      </w:pPr>
      <w:r w:rsidRPr="00727334">
        <w:rPr>
          <w:rFonts w:eastAsia="Times New Roman" w:cstheme="minorHAnsi"/>
          <w:color w:val="000000"/>
          <w:lang w:eastAsia="en-GB"/>
        </w:rPr>
        <w:t>Linda Birt -</w:t>
      </w:r>
      <w:r w:rsidRPr="00727334">
        <w:t xml:space="preserve"> </w:t>
      </w:r>
      <w:r w:rsidRPr="00727334">
        <w:rPr>
          <w:rFonts w:eastAsia="Times New Roman" w:cstheme="minorHAnsi"/>
          <w:color w:val="000000"/>
          <w:lang w:eastAsia="en-GB"/>
        </w:rPr>
        <w:t>0000-0002-4527-4414</w:t>
      </w:r>
    </w:p>
    <w:p w14:paraId="795F8826" w14:textId="2530C88C" w:rsidR="000129C6" w:rsidRDefault="000129C6" w:rsidP="000129C6">
      <w:pPr>
        <w:rPr>
          <w:rFonts w:eastAsia="Times New Roman" w:cstheme="minorHAnsi"/>
          <w:color w:val="000000"/>
          <w:lang w:eastAsia="en-GB"/>
        </w:rPr>
      </w:pPr>
      <w:r>
        <w:rPr>
          <w:rFonts w:eastAsia="Times New Roman" w:cstheme="minorHAnsi"/>
          <w:color w:val="000000"/>
          <w:lang w:eastAsia="en-GB"/>
        </w:rPr>
        <w:br w:type="page"/>
      </w:r>
    </w:p>
    <w:p w14:paraId="3614D14D" w14:textId="77777777" w:rsidR="000129C6" w:rsidRDefault="000129C6" w:rsidP="000129C6">
      <w:pPr>
        <w:spacing w:after="0" w:line="360" w:lineRule="auto"/>
        <w:rPr>
          <w:rFonts w:eastAsia="Times New Roman" w:cstheme="minorHAnsi"/>
          <w:color w:val="000000"/>
          <w:lang w:eastAsia="en-GB"/>
        </w:rPr>
        <w:sectPr w:rsidR="000129C6" w:rsidSect="000129C6">
          <w:headerReference w:type="default" r:id="rId12"/>
          <w:footerReference w:type="default" r:id="rId13"/>
          <w:pgSz w:w="11906" w:h="16838"/>
          <w:pgMar w:top="1440" w:right="1440" w:bottom="1440" w:left="1440" w:header="709" w:footer="709" w:gutter="0"/>
          <w:cols w:space="708"/>
          <w:docGrid w:linePitch="360"/>
        </w:sectPr>
      </w:pPr>
    </w:p>
    <w:p w14:paraId="4D01C835" w14:textId="77777777" w:rsidR="00ED2B5A" w:rsidRPr="00ED2B5A" w:rsidRDefault="00ED2B5A" w:rsidP="00ED2B5A">
      <w:pPr>
        <w:keepNext/>
        <w:keepLines/>
        <w:spacing w:after="0"/>
        <w:outlineLvl w:val="0"/>
        <w:rPr>
          <w:rFonts w:asciiTheme="majorHAnsi" w:eastAsia="Times New Roman" w:hAnsiTheme="majorHAnsi" w:cstheme="majorBidi"/>
          <w:color w:val="365F91" w:themeColor="accent1" w:themeShade="BF"/>
          <w:sz w:val="32"/>
          <w:szCs w:val="32"/>
          <w:lang w:val="en-US" w:eastAsia="en-GB"/>
        </w:rPr>
      </w:pPr>
      <w:r w:rsidRPr="00ED2B5A">
        <w:rPr>
          <w:rFonts w:asciiTheme="majorHAnsi" w:eastAsia="Times New Roman" w:hAnsiTheme="majorHAnsi" w:cstheme="majorBidi"/>
          <w:color w:val="365F91" w:themeColor="accent1" w:themeShade="BF"/>
          <w:sz w:val="32"/>
          <w:szCs w:val="32"/>
          <w:lang w:val="en-US" w:eastAsia="en-GB"/>
        </w:rPr>
        <w:lastRenderedPageBreak/>
        <w:t>Abstract</w:t>
      </w:r>
    </w:p>
    <w:p w14:paraId="586A8021" w14:textId="77777777" w:rsidR="00ED2B5A" w:rsidRPr="00ED2B5A" w:rsidRDefault="00ED2B5A" w:rsidP="00ED2B5A">
      <w:pPr>
        <w:spacing w:after="0" w:line="360" w:lineRule="auto"/>
        <w:rPr>
          <w:rFonts w:eastAsia="Times New Roman" w:cstheme="minorHAnsi"/>
          <w:b/>
          <w:color w:val="000000"/>
          <w:lang w:val="en-US"/>
        </w:rPr>
      </w:pPr>
      <w:r w:rsidRPr="00ED2B5A">
        <w:rPr>
          <w:rFonts w:eastAsia="Times New Roman" w:cstheme="minorHAnsi"/>
          <w:b/>
          <w:color w:val="000000"/>
          <w:lang w:val="en-US"/>
        </w:rPr>
        <w:t>Background</w:t>
      </w:r>
    </w:p>
    <w:p w14:paraId="08C25AE4" w14:textId="77777777" w:rsidR="00ED2B5A" w:rsidRPr="00ED2B5A" w:rsidRDefault="00ED2B5A" w:rsidP="00ED2B5A">
      <w:pPr>
        <w:spacing w:after="0" w:line="360" w:lineRule="auto"/>
        <w:rPr>
          <w:rFonts w:eastAsia="Times New Roman" w:cstheme="minorHAnsi"/>
          <w:bCs/>
          <w:color w:val="000000"/>
          <w:lang w:val="en-US"/>
        </w:rPr>
      </w:pPr>
      <w:r w:rsidRPr="00ED2B5A">
        <w:rPr>
          <w:rFonts w:eastAsia="Times New Roman" w:cstheme="minorHAnsi"/>
          <w:bCs/>
          <w:color w:val="000000"/>
          <w:lang w:val="en-US"/>
        </w:rPr>
        <w:t xml:space="preserve">The involvement of people with a diagnosis of dementia in patient and public involvement and engagement (PPIE) in research is an emerging field in the delivery of studies. Researchers need to understand and use the learning derived from various projects so that this growing body of knowledge can be applied in future research. </w:t>
      </w:r>
    </w:p>
    <w:p w14:paraId="23259BB2" w14:textId="77777777" w:rsidR="00ED2B5A" w:rsidRPr="00ED2B5A" w:rsidRDefault="00ED2B5A" w:rsidP="00ED2B5A">
      <w:pPr>
        <w:spacing w:after="0" w:line="360" w:lineRule="auto"/>
        <w:rPr>
          <w:rFonts w:eastAsia="Times New Roman" w:cstheme="minorHAnsi"/>
          <w:b/>
          <w:color w:val="000000"/>
          <w:lang w:val="en-US"/>
        </w:rPr>
      </w:pPr>
      <w:r w:rsidRPr="00ED2B5A">
        <w:rPr>
          <w:rFonts w:eastAsia="Times New Roman" w:cstheme="minorHAnsi"/>
          <w:b/>
          <w:color w:val="000000"/>
          <w:lang w:val="en-US"/>
        </w:rPr>
        <w:t xml:space="preserve">Objective </w:t>
      </w:r>
    </w:p>
    <w:p w14:paraId="74D2BE59" w14:textId="77777777" w:rsidR="00ED2B5A" w:rsidRPr="00ED2B5A" w:rsidRDefault="00ED2B5A" w:rsidP="00ED2B5A">
      <w:pPr>
        <w:spacing w:after="0" w:line="360" w:lineRule="auto"/>
        <w:rPr>
          <w:rFonts w:eastAsia="Times New Roman" w:cstheme="minorHAnsi"/>
          <w:color w:val="000000"/>
          <w:lang w:val="en-US"/>
        </w:rPr>
      </w:pPr>
      <w:r w:rsidRPr="00ED2B5A">
        <w:rPr>
          <w:rFonts w:eastAsia="Times New Roman" w:cstheme="minorHAnsi"/>
          <w:color w:val="000000"/>
          <w:lang w:val="en-US"/>
        </w:rPr>
        <w:t xml:space="preserve">To embed PPIE throughout a randomised controlled trial of a psychosocial intervention called Journeying through Dementia. We identify and discuss the approaches to involvement that worked well and those where improvements were indicated. </w:t>
      </w:r>
    </w:p>
    <w:p w14:paraId="53DD4F7F" w14:textId="77777777" w:rsidR="00ED2B5A" w:rsidRPr="00ED2B5A" w:rsidRDefault="00ED2B5A" w:rsidP="00ED2B5A">
      <w:pPr>
        <w:spacing w:after="0" w:line="360" w:lineRule="auto"/>
        <w:rPr>
          <w:rFonts w:eastAsia="Times New Roman" w:cstheme="minorHAnsi"/>
          <w:b/>
          <w:color w:val="000000"/>
          <w:lang w:val="en-US"/>
        </w:rPr>
      </w:pPr>
      <w:r w:rsidRPr="00ED2B5A">
        <w:rPr>
          <w:rFonts w:eastAsia="Times New Roman" w:cstheme="minorHAnsi"/>
          <w:b/>
          <w:color w:val="000000"/>
          <w:lang w:val="en-US"/>
        </w:rPr>
        <w:t>Design</w:t>
      </w:r>
    </w:p>
    <w:p w14:paraId="6C3F9C04" w14:textId="52C6F094" w:rsidR="00ED2B5A" w:rsidRPr="00ED2B5A" w:rsidRDefault="00ED2B5A" w:rsidP="00ED2B5A">
      <w:pPr>
        <w:spacing w:after="0" w:line="360" w:lineRule="auto"/>
        <w:rPr>
          <w:rFonts w:eastAsia="Times New Roman" w:cstheme="minorHAnsi"/>
          <w:color w:val="000000"/>
          <w:lang w:val="en-US"/>
        </w:rPr>
      </w:pPr>
      <w:r w:rsidRPr="00ED2B5A">
        <w:rPr>
          <w:rFonts w:eastAsia="Times New Roman" w:cstheme="minorHAnsi"/>
          <w:color w:val="000000"/>
          <w:lang w:val="en-US"/>
        </w:rPr>
        <w:t xml:space="preserve">The Guidance for Reporting Involvement of Patients and the Public Short Form (GRIPP2-SF) is used to describe and critically appraise the approaches taken and the impact of PPIE involvement upon study processes, the study team and those people with dementia and </w:t>
      </w:r>
      <w:r w:rsidR="00592BE7">
        <w:rPr>
          <w:rFonts w:eastAsia="Times New Roman" w:cstheme="minorHAnsi"/>
          <w:color w:val="000000"/>
          <w:lang w:val="en-US"/>
        </w:rPr>
        <w:t>their supporter</w:t>
      </w:r>
      <w:r w:rsidRPr="00ED2B5A">
        <w:rPr>
          <w:rFonts w:eastAsia="Times New Roman" w:cstheme="minorHAnsi"/>
          <w:color w:val="000000"/>
          <w:lang w:val="en-US"/>
        </w:rPr>
        <w:t xml:space="preserve">s who acted as advisors. </w:t>
      </w:r>
    </w:p>
    <w:p w14:paraId="5F514055" w14:textId="56303604" w:rsidR="00ED2B5A" w:rsidRPr="00ED2B5A" w:rsidRDefault="00CF16DC" w:rsidP="00ED2B5A">
      <w:pPr>
        <w:spacing w:after="0" w:line="360" w:lineRule="auto"/>
        <w:rPr>
          <w:rFonts w:eastAsia="Times New Roman" w:cstheme="minorHAnsi"/>
          <w:b/>
          <w:bCs/>
          <w:color w:val="000000"/>
          <w:lang w:val="en-US" w:eastAsia="en-GB"/>
        </w:rPr>
      </w:pPr>
      <w:r>
        <w:rPr>
          <w:rFonts w:eastAsia="Times New Roman" w:cstheme="minorHAnsi"/>
          <w:b/>
          <w:bCs/>
          <w:color w:val="000000"/>
          <w:lang w:val="en-US" w:eastAsia="en-GB"/>
        </w:rPr>
        <w:t>Findings</w:t>
      </w:r>
    </w:p>
    <w:p w14:paraId="4B1DF8E3" w14:textId="1AFE9C4E" w:rsidR="00ED2B5A" w:rsidRPr="00ED2B5A" w:rsidRDefault="00ED2B5A" w:rsidP="00ED2B5A">
      <w:pPr>
        <w:spacing w:after="0" w:line="360" w:lineRule="auto"/>
        <w:rPr>
          <w:rFonts w:eastAsia="Times New Roman" w:cstheme="minorHAnsi"/>
          <w:lang w:eastAsia="en-GB"/>
        </w:rPr>
      </w:pPr>
      <w:r w:rsidRPr="00ED2B5A">
        <w:rPr>
          <w:rFonts w:eastAsia="Times New Roman" w:cstheme="minorHAnsi"/>
          <w:color w:val="222222"/>
          <w:lang w:val="en-US" w:eastAsia="en-GB"/>
        </w:rPr>
        <w:t xml:space="preserve">The involvement of people with a diagnosis of dementia and </w:t>
      </w:r>
      <w:r w:rsidR="00592BE7">
        <w:rPr>
          <w:rFonts w:eastAsia="Times New Roman" w:cstheme="minorHAnsi"/>
          <w:color w:val="222222"/>
          <w:lang w:val="en-US" w:eastAsia="en-GB"/>
        </w:rPr>
        <w:t>supporter</w:t>
      </w:r>
      <w:r w:rsidRPr="00ED2B5A">
        <w:rPr>
          <w:rFonts w:eastAsia="Times New Roman" w:cstheme="minorHAnsi"/>
          <w:color w:val="222222"/>
          <w:lang w:val="en-US" w:eastAsia="en-GB"/>
        </w:rPr>
        <w:t xml:space="preserve">s as study advisors improved the accessibility and relevance of the research for people living with dementia. It also highlighted issues that researchers may have otherwise overlooked. Successful engagement of people with dementia and </w:t>
      </w:r>
      <w:r w:rsidR="00592BE7">
        <w:rPr>
          <w:rFonts w:eastAsia="Times New Roman" w:cstheme="minorHAnsi"/>
          <w:color w:val="222222"/>
          <w:lang w:val="en-US" w:eastAsia="en-GB"/>
        </w:rPr>
        <w:t>their supporter</w:t>
      </w:r>
      <w:r w:rsidRPr="00ED2B5A">
        <w:rPr>
          <w:rFonts w:eastAsia="Times New Roman" w:cstheme="minorHAnsi"/>
          <w:color w:val="222222"/>
          <w:lang w:val="en-US" w:eastAsia="en-GB"/>
        </w:rPr>
        <w:t xml:space="preserve">s in the study was associated with staff skills and particularly use of techniques to scaffold meaningful involvement, as well as participants’ memory and cognitive capacity. However, embedding robust and meaningful involvement processes required significant time and resources. </w:t>
      </w:r>
    </w:p>
    <w:p w14:paraId="57E1E78B" w14:textId="77777777" w:rsidR="00ED2B5A" w:rsidRPr="00ED2B5A" w:rsidRDefault="00ED2B5A" w:rsidP="00ED2B5A">
      <w:pPr>
        <w:spacing w:after="0" w:line="360" w:lineRule="auto"/>
        <w:rPr>
          <w:rFonts w:eastAsia="Times New Roman" w:cstheme="minorHAnsi"/>
          <w:b/>
          <w:bCs/>
          <w:color w:val="000000"/>
          <w:lang w:val="en-US" w:eastAsia="en-GB"/>
        </w:rPr>
      </w:pPr>
      <w:r w:rsidRPr="00ED2B5A">
        <w:rPr>
          <w:rFonts w:eastAsia="Times New Roman" w:cstheme="minorHAnsi"/>
          <w:b/>
          <w:bCs/>
          <w:color w:val="000000"/>
          <w:lang w:val="en-US" w:eastAsia="en-GB"/>
        </w:rPr>
        <w:t xml:space="preserve">Discussion </w:t>
      </w:r>
    </w:p>
    <w:p w14:paraId="107C997D" w14:textId="3F051F2F" w:rsidR="00ED2B5A" w:rsidRPr="00ED2B5A" w:rsidRDefault="00ED2B5A" w:rsidP="00ED2B5A">
      <w:pPr>
        <w:spacing w:after="0" w:line="360" w:lineRule="auto"/>
        <w:rPr>
          <w:rFonts w:eastAsia="Times New Roman" w:cstheme="minorHAnsi"/>
          <w:color w:val="000000"/>
          <w:lang w:val="en-US" w:eastAsia="en-GB"/>
        </w:rPr>
      </w:pPr>
      <w:r w:rsidRPr="00ED2B5A">
        <w:rPr>
          <w:rFonts w:eastAsia="Times New Roman" w:cstheme="minorHAnsi"/>
          <w:color w:val="000000"/>
          <w:lang w:val="en-US" w:eastAsia="en-GB"/>
        </w:rPr>
        <w:t>We propose that certain r</w:t>
      </w:r>
      <w:r w:rsidRPr="00ED2B5A">
        <w:rPr>
          <w:rFonts w:eastAsia="Times New Roman" w:cstheme="minorHAnsi"/>
          <w:color w:val="222222"/>
          <w:lang w:val="en-US" w:eastAsia="en-GB"/>
        </w:rPr>
        <w:t xml:space="preserve">esearch processes need to be adapted to be accessible and appropriate for people living with </w:t>
      </w:r>
      <w:r w:rsidR="00E2775D">
        <w:rPr>
          <w:rFonts w:eastAsia="Times New Roman" w:cstheme="minorHAnsi"/>
          <w:color w:val="222222"/>
          <w:lang w:val="en-US" w:eastAsia="en-GB"/>
        </w:rPr>
        <w:t>dementia</w:t>
      </w:r>
      <w:r w:rsidRPr="00ED2B5A">
        <w:rPr>
          <w:rFonts w:eastAsia="Times New Roman" w:cstheme="minorHAnsi"/>
          <w:color w:val="222222"/>
          <w:lang w:val="en-US" w:eastAsia="en-GB"/>
        </w:rPr>
        <w:t xml:space="preserve">. Recruitment of PPIE advisors needs to reflect population diversity.  There also needs to be </w:t>
      </w:r>
      <w:r w:rsidRPr="00ED2B5A">
        <w:rPr>
          <w:rFonts w:eastAsia="Times New Roman" w:cstheme="minorHAnsi"/>
          <w:color w:val="000000"/>
          <w:lang w:val="en-US" w:eastAsia="en-GB"/>
        </w:rPr>
        <w:t xml:space="preserve">greater parity of voice between people with lived experience of dementia and researchers.  These steps will increase the impact of PPIE in research and improve the experience for those who volunteer to be PPIE advisors. </w:t>
      </w:r>
    </w:p>
    <w:p w14:paraId="171909A8" w14:textId="77777777" w:rsidR="00ED2B5A" w:rsidRPr="00ED2B5A" w:rsidRDefault="00ED2B5A" w:rsidP="00ED2B5A">
      <w:pPr>
        <w:spacing w:after="0" w:line="360" w:lineRule="auto"/>
        <w:rPr>
          <w:rFonts w:eastAsia="Times New Roman" w:cstheme="minorHAnsi"/>
          <w:color w:val="000000"/>
          <w:lang w:val="en-US" w:eastAsia="en-GB"/>
        </w:rPr>
      </w:pPr>
    </w:p>
    <w:p w14:paraId="3694432E" w14:textId="77777777" w:rsidR="00ED2B5A" w:rsidRPr="00ED2B5A" w:rsidRDefault="00ED2B5A" w:rsidP="00ED2B5A">
      <w:pPr>
        <w:shd w:val="clear" w:color="auto" w:fill="FFFFFF"/>
        <w:spacing w:after="0" w:line="360" w:lineRule="auto"/>
        <w:rPr>
          <w:rFonts w:cstheme="minorHAnsi"/>
        </w:rPr>
      </w:pPr>
      <w:r w:rsidRPr="00ED2B5A">
        <w:rPr>
          <w:rFonts w:cstheme="minorHAnsi"/>
          <w:b/>
        </w:rPr>
        <w:t>Key words:</w:t>
      </w:r>
      <w:r w:rsidRPr="00ED2B5A">
        <w:rPr>
          <w:rFonts w:cstheme="minorHAnsi"/>
        </w:rPr>
        <w:t xml:space="preserve"> patient and public involvement and engagement, dementia, research</w:t>
      </w:r>
    </w:p>
    <w:p w14:paraId="70E20AAF" w14:textId="77777777" w:rsidR="00ED2B5A" w:rsidRPr="00ED2B5A" w:rsidRDefault="00ED2B5A" w:rsidP="00ED2B5A">
      <w:pPr>
        <w:shd w:val="clear" w:color="auto" w:fill="FFFFFF"/>
        <w:spacing w:after="0" w:line="360" w:lineRule="auto"/>
        <w:rPr>
          <w:rFonts w:cstheme="minorHAnsi"/>
        </w:rPr>
      </w:pPr>
    </w:p>
    <w:p w14:paraId="2AC0C6A6" w14:textId="48ED0CC1" w:rsidR="00ED2B5A" w:rsidRDefault="00ED2B5A" w:rsidP="00ED2B5A">
      <w:pPr>
        <w:shd w:val="clear" w:color="auto" w:fill="FFFFFF"/>
        <w:spacing w:after="0" w:line="360" w:lineRule="auto"/>
        <w:rPr>
          <w:rFonts w:cstheme="minorHAnsi"/>
        </w:rPr>
      </w:pPr>
    </w:p>
    <w:p w14:paraId="490F26BF" w14:textId="77777777" w:rsidR="00ED2B5A" w:rsidRPr="00ED2B5A" w:rsidRDefault="00ED2B5A" w:rsidP="00ED2B5A">
      <w:pPr>
        <w:shd w:val="clear" w:color="auto" w:fill="FFFFFF"/>
        <w:spacing w:after="0" w:line="360" w:lineRule="auto"/>
        <w:rPr>
          <w:rFonts w:cstheme="minorHAnsi"/>
        </w:rPr>
      </w:pPr>
    </w:p>
    <w:p w14:paraId="40919783" w14:textId="77777777" w:rsidR="00ED2B5A" w:rsidRPr="00ED2B5A" w:rsidRDefault="00ED2B5A" w:rsidP="00ED2B5A">
      <w:pPr>
        <w:keepNext/>
        <w:keepLines/>
        <w:spacing w:before="240" w:after="0"/>
        <w:outlineLvl w:val="0"/>
        <w:rPr>
          <w:rFonts w:asciiTheme="majorHAnsi" w:eastAsia="Times New Roman" w:hAnsiTheme="majorHAnsi" w:cstheme="majorBidi"/>
          <w:color w:val="365F91" w:themeColor="accent1" w:themeShade="BF"/>
          <w:sz w:val="32"/>
          <w:szCs w:val="32"/>
          <w:lang w:val="en-US" w:eastAsia="en-GB"/>
        </w:rPr>
      </w:pPr>
      <w:r w:rsidRPr="00ED2B5A">
        <w:rPr>
          <w:rFonts w:asciiTheme="majorHAnsi" w:eastAsia="Times New Roman" w:hAnsiTheme="majorHAnsi" w:cstheme="majorBidi"/>
          <w:color w:val="365F91" w:themeColor="accent1" w:themeShade="BF"/>
          <w:sz w:val="32"/>
          <w:szCs w:val="32"/>
          <w:lang w:val="en-US" w:eastAsia="en-GB"/>
        </w:rPr>
        <w:lastRenderedPageBreak/>
        <w:t>Background</w:t>
      </w:r>
    </w:p>
    <w:p w14:paraId="2C6E41D3" w14:textId="389F1BC0" w:rsidR="00ED2B5A" w:rsidRPr="00ED2B5A" w:rsidRDefault="00ED2B5A" w:rsidP="00ED2B5A">
      <w:pPr>
        <w:spacing w:after="0" w:line="360" w:lineRule="auto"/>
        <w:rPr>
          <w:rFonts w:eastAsia="Times New Roman" w:cstheme="minorHAnsi"/>
          <w:bCs/>
        </w:rPr>
      </w:pPr>
      <w:r w:rsidRPr="00ED2B5A">
        <w:rPr>
          <w:rFonts w:eastAsia="Times New Roman" w:cstheme="minorHAnsi"/>
          <w:bCs/>
        </w:rPr>
        <w:t xml:space="preserve">Funders, such as the UK National Institute for Health Research (NIHR) emphasise the value of patient and public involvement and engagement (PPIE) in the development, delivery and dissemination of research and demand that all studies evidence this </w:t>
      </w:r>
      <w:r w:rsidR="00D81A5C">
        <w:rPr>
          <w:rFonts w:eastAsia="Times New Roman" w:cstheme="minorHAnsi"/>
          <w:bCs/>
          <w:noProof/>
        </w:rPr>
        <w:t>(National Institute for Health and Care Excellence, 2021)</w:t>
      </w:r>
      <w:r w:rsidRPr="00ED2B5A">
        <w:rPr>
          <w:rFonts w:eastAsia="Times New Roman" w:cstheme="minorHAnsi"/>
          <w:bCs/>
        </w:rPr>
        <w:t xml:space="preserve">. Moreover, it is increasingly necessary to fully describe PPIE in published research outputs using reporting tools such as the GRIPP2 </w:t>
      </w:r>
      <w:r w:rsidR="00D81A5C">
        <w:rPr>
          <w:rFonts w:eastAsia="Times New Roman" w:cstheme="minorHAnsi"/>
          <w:bCs/>
          <w:noProof/>
        </w:rPr>
        <w:t>(Staniszewska et al., 2017)</w:t>
      </w:r>
      <w:r w:rsidRPr="00ED2B5A">
        <w:rPr>
          <w:rFonts w:eastAsia="Times New Roman" w:cstheme="minorHAnsi"/>
          <w:bCs/>
        </w:rPr>
        <w:t xml:space="preserve">. Integrity, quality, impact and relevance are just some of the benefits identified through involving those with lived experience </w:t>
      </w:r>
      <w:r w:rsidR="00D81A5C">
        <w:rPr>
          <w:rFonts w:eastAsia="Times New Roman" w:cstheme="minorHAnsi"/>
          <w:bCs/>
          <w:noProof/>
        </w:rPr>
        <w:t>(Miah et al., 2019; Poland et al., 2019)</w:t>
      </w:r>
      <w:r w:rsidRPr="00ED2B5A">
        <w:rPr>
          <w:rFonts w:eastAsia="Times New Roman" w:cstheme="minorHAnsi"/>
          <w:bCs/>
        </w:rPr>
        <w:t xml:space="preserve">. PPIE is therefore considered integral to good research design </w:t>
      </w:r>
      <w:r w:rsidR="00D81A5C">
        <w:rPr>
          <w:rFonts w:eastAsia="Times New Roman" w:cstheme="minorHAnsi"/>
          <w:bCs/>
          <w:noProof/>
        </w:rPr>
        <w:t>(Stevenson &amp; Taylor, 2019)</w:t>
      </w:r>
      <w:r w:rsidRPr="00ED2B5A">
        <w:rPr>
          <w:rFonts w:eastAsia="Times New Roman" w:cstheme="minorHAnsi"/>
          <w:bCs/>
        </w:rPr>
        <w:t xml:space="preserve">. Guidance now exists on best practice to facilitate PPIE in the design and conduct of research including for people living with dementia </w:t>
      </w:r>
      <w:r w:rsidR="00D81A5C">
        <w:rPr>
          <w:rFonts w:eastAsia="Times New Roman" w:cstheme="minorHAnsi"/>
          <w:bCs/>
          <w:noProof/>
        </w:rPr>
        <w:t>(DEEP; National Institute for Health and Care Excellence, 2021)</w:t>
      </w:r>
      <w:r w:rsidRPr="00ED2B5A">
        <w:rPr>
          <w:rFonts w:eastAsia="Times New Roman" w:cstheme="minorHAnsi"/>
          <w:bCs/>
        </w:rPr>
        <w:t xml:space="preserve">. </w:t>
      </w:r>
    </w:p>
    <w:p w14:paraId="1CE00F33" w14:textId="77777777" w:rsidR="00ED2B5A" w:rsidRPr="00ED2B5A" w:rsidRDefault="00ED2B5A" w:rsidP="00ED2B5A">
      <w:pPr>
        <w:spacing w:after="0" w:line="360" w:lineRule="auto"/>
        <w:rPr>
          <w:rFonts w:eastAsia="Times New Roman" w:cstheme="minorHAnsi"/>
          <w:bCs/>
        </w:rPr>
      </w:pPr>
    </w:p>
    <w:p w14:paraId="5AB3DF4F" w14:textId="34BF247E" w:rsidR="00ED2B5A" w:rsidRPr="00ED2B5A" w:rsidRDefault="00ED2B5A" w:rsidP="00ED2B5A">
      <w:pPr>
        <w:spacing w:after="0" w:line="360" w:lineRule="auto"/>
        <w:rPr>
          <w:rFonts w:eastAsia="Times New Roman" w:cstheme="minorHAnsi"/>
          <w:bCs/>
        </w:rPr>
      </w:pPr>
      <w:r w:rsidRPr="00ED2B5A">
        <w:rPr>
          <w:rFonts w:eastAsia="Times New Roman" w:cstheme="minorHAnsi"/>
          <w:bCs/>
        </w:rPr>
        <w:t>However, it has been noted that undertaking meaningful PPIE can be challenging for both researchers and those who volunteer as PPIE advisors</w:t>
      </w:r>
      <w:r w:rsidR="003C0691">
        <w:rPr>
          <w:rFonts w:eastAsia="Times New Roman" w:cstheme="minorHAnsi"/>
          <w:bCs/>
        </w:rPr>
        <w:t xml:space="preserve"> </w:t>
      </w:r>
      <w:r w:rsidR="00D81A5C">
        <w:rPr>
          <w:rFonts w:eastAsia="Times New Roman" w:cstheme="minorHAnsi"/>
          <w:bCs/>
          <w:noProof/>
        </w:rPr>
        <w:t>(Jackson et al., 2020)</w:t>
      </w:r>
      <w:r w:rsidRPr="00ED2B5A">
        <w:rPr>
          <w:rFonts w:eastAsia="Times New Roman" w:cstheme="minorHAnsi"/>
          <w:bCs/>
          <w:lang w:val="en-US"/>
        </w:rPr>
        <w:t>, for example those with lived experience may question researcher preferences or decisions</w:t>
      </w:r>
      <w:r w:rsidR="003C0691">
        <w:rPr>
          <w:rFonts w:eastAsia="Times New Roman" w:cstheme="minorHAnsi"/>
          <w:bCs/>
          <w:lang w:val="en-US"/>
        </w:rPr>
        <w:t xml:space="preserve"> </w:t>
      </w:r>
      <w:r w:rsidR="00D81A5C">
        <w:rPr>
          <w:rFonts w:eastAsia="Times New Roman" w:cstheme="minorHAnsi"/>
          <w:bCs/>
          <w:noProof/>
          <w:lang w:val="en-US"/>
        </w:rPr>
        <w:t>(Rose &amp; Kalathil, 2019)</w:t>
      </w:r>
      <w:r w:rsidRPr="00ED2B5A">
        <w:rPr>
          <w:rFonts w:eastAsia="Times New Roman" w:cstheme="minorHAnsi"/>
          <w:bCs/>
        </w:rPr>
        <w:t>. The</w:t>
      </w:r>
      <w:r w:rsidRPr="00ED2B5A">
        <w:rPr>
          <w:rFonts w:eastAsia="Times New Roman" w:cstheme="minorHAnsi"/>
          <w:bCs/>
          <w:lang w:val="en-US"/>
        </w:rPr>
        <w:t xml:space="preserve"> </w:t>
      </w:r>
      <w:r w:rsidRPr="00ED2B5A">
        <w:rPr>
          <w:rFonts w:eastAsia="Times New Roman" w:cstheme="minorHAnsi"/>
          <w:bCs/>
        </w:rPr>
        <w:t xml:space="preserve">power imbalance that can exist within healthcare and research contexts can result in service users being rendered unable to influence research design, implementation and outcome </w:t>
      </w:r>
      <w:r w:rsidR="00D81A5C">
        <w:rPr>
          <w:rFonts w:eastAsia="Times New Roman" w:cstheme="minorHAnsi"/>
          <w:bCs/>
          <w:noProof/>
        </w:rPr>
        <w:t>(Novek &amp; Wilkinson, 2019)</w:t>
      </w:r>
      <w:r w:rsidRPr="00ED2B5A">
        <w:rPr>
          <w:rFonts w:eastAsia="Times New Roman" w:cstheme="minorHAnsi"/>
          <w:bCs/>
          <w:noProof/>
        </w:rPr>
        <w:t xml:space="preserve">. Therefore </w:t>
      </w:r>
      <w:r w:rsidRPr="00ED2B5A">
        <w:rPr>
          <w:rFonts w:eastAsia="Times New Roman" w:cstheme="minorHAnsi"/>
          <w:bCs/>
        </w:rPr>
        <w:t xml:space="preserve">approaches to public involvement need to be relevant, accessible and support meaningful engagement </w:t>
      </w:r>
      <w:r w:rsidR="00D81A5C">
        <w:rPr>
          <w:rFonts w:eastAsia="Times New Roman" w:cstheme="minorHAnsi"/>
          <w:bCs/>
          <w:noProof/>
        </w:rPr>
        <w:t>(Burton et al., 2019)</w:t>
      </w:r>
      <w:r w:rsidRPr="00ED2B5A">
        <w:rPr>
          <w:rFonts w:eastAsia="Times New Roman" w:cstheme="minorHAnsi"/>
          <w:bCs/>
        </w:rPr>
        <w:t xml:space="preserve">. When working with people living with dementia this may involve managing individual expectations of cognitive capacity, including those of the researcher </w:t>
      </w:r>
      <w:r w:rsidR="00D81A5C">
        <w:rPr>
          <w:rFonts w:eastAsia="Times New Roman" w:cstheme="minorHAnsi"/>
          <w:bCs/>
          <w:noProof/>
        </w:rPr>
        <w:t>(Waite et al., 2019)</w:t>
      </w:r>
      <w:r w:rsidRPr="00ED2B5A">
        <w:rPr>
          <w:rFonts w:eastAsia="Times New Roman" w:cstheme="minorHAnsi"/>
          <w:bCs/>
        </w:rPr>
        <w:t xml:space="preserve">, whilst also empowering and valuing the voice of lived experience </w:t>
      </w:r>
      <w:r w:rsidR="00D81A5C">
        <w:rPr>
          <w:rFonts w:eastAsia="Times New Roman" w:cstheme="minorHAnsi"/>
          <w:bCs/>
          <w:noProof/>
        </w:rPr>
        <w:t>(Birt L &amp; Poland, 2021)</w:t>
      </w:r>
      <w:r w:rsidRPr="00ED2B5A">
        <w:rPr>
          <w:rFonts w:eastAsia="Times New Roman" w:cstheme="minorHAnsi"/>
          <w:bCs/>
        </w:rPr>
        <w:t xml:space="preserve">. Alzheimer Europe’s position on PPIE is one of inclusivity, and encouraging engagement such as identifying research priorities, interpretation of research findings and dissemination </w:t>
      </w:r>
      <w:r w:rsidR="00D81A5C">
        <w:rPr>
          <w:rFonts w:eastAsia="Times New Roman" w:cstheme="minorHAnsi"/>
          <w:bCs/>
          <w:noProof/>
        </w:rPr>
        <w:t>(Gove et al., 2018)</w:t>
      </w:r>
      <w:r w:rsidRPr="00ED2B5A">
        <w:rPr>
          <w:rFonts w:eastAsia="Times New Roman" w:cstheme="minorHAnsi"/>
          <w:bCs/>
        </w:rPr>
        <w:t xml:space="preserve">. Identifying and applying methods of PPIE that are acceptable and understandable to people living with dementia, both those living with a diagnosis of dementia and their family </w:t>
      </w:r>
      <w:r w:rsidR="00592BE7">
        <w:rPr>
          <w:rFonts w:eastAsia="Times New Roman" w:cstheme="minorHAnsi"/>
          <w:bCs/>
        </w:rPr>
        <w:t>supporter</w:t>
      </w:r>
      <w:r w:rsidRPr="00ED2B5A">
        <w:rPr>
          <w:rFonts w:eastAsia="Times New Roman" w:cstheme="minorHAnsi"/>
          <w:bCs/>
        </w:rPr>
        <w:t xml:space="preserve">s, is therefore vital to improve the depth, delivery and utility of dementia research </w:t>
      </w:r>
      <w:r w:rsidR="00D81A5C">
        <w:rPr>
          <w:rFonts w:eastAsia="Times New Roman" w:cstheme="minorHAnsi"/>
          <w:bCs/>
          <w:noProof/>
        </w:rPr>
        <w:t>(Burton et al., 2019)</w:t>
      </w:r>
      <w:r w:rsidRPr="00ED2B5A">
        <w:rPr>
          <w:rFonts w:eastAsia="Times New Roman" w:cstheme="minorHAnsi"/>
          <w:bCs/>
        </w:rPr>
        <w:t xml:space="preserve">. </w:t>
      </w:r>
    </w:p>
    <w:p w14:paraId="418AB3FD" w14:textId="77777777" w:rsidR="00ED2B5A" w:rsidRPr="00ED2B5A" w:rsidRDefault="00ED2B5A" w:rsidP="00ED2B5A">
      <w:pPr>
        <w:spacing w:after="0" w:line="360" w:lineRule="auto"/>
        <w:rPr>
          <w:rFonts w:eastAsia="Times New Roman" w:cstheme="minorHAnsi"/>
          <w:bCs/>
        </w:rPr>
      </w:pPr>
    </w:p>
    <w:p w14:paraId="0127C608" w14:textId="1F7A7AD2" w:rsidR="00ED2B5A" w:rsidRPr="00ED2B5A" w:rsidRDefault="00ED2B5A" w:rsidP="00ED2B5A">
      <w:pPr>
        <w:spacing w:after="0" w:line="360" w:lineRule="auto"/>
        <w:rPr>
          <w:rFonts w:eastAsia="Times New Roman" w:cstheme="minorHAnsi"/>
          <w:bCs/>
          <w:sz w:val="24"/>
          <w:szCs w:val="24"/>
        </w:rPr>
      </w:pPr>
      <w:r w:rsidRPr="00ED2B5A">
        <w:rPr>
          <w:rFonts w:eastAsia="Times New Roman" w:cstheme="minorHAnsi"/>
          <w:bCs/>
        </w:rPr>
        <w:t xml:space="preserve">Journeying through Dementia is a psychosocial intervention designed for those diagnosed with mild dementia. It aims to equip individuals with the knowledge, skills and understanding to be able to self-manage and maintain independence and meaningful participation, thereby improving mastery, wellbeing and life satisfaction </w:t>
      </w:r>
      <w:r w:rsidR="00D81A5C">
        <w:rPr>
          <w:rFonts w:eastAsia="Times New Roman" w:cstheme="minorHAnsi"/>
          <w:bCs/>
          <w:noProof/>
        </w:rPr>
        <w:t>(Wright et al., 2019)</w:t>
      </w:r>
      <w:r w:rsidRPr="00ED2B5A">
        <w:rPr>
          <w:rFonts w:eastAsia="Times New Roman" w:cstheme="minorHAnsi"/>
          <w:bCs/>
        </w:rPr>
        <w:t xml:space="preserve">. PPIE was embedded throughout the entire Journeying through Dementia research programme from inception and design of the intervention </w:t>
      </w:r>
      <w:r w:rsidR="00D81A5C">
        <w:rPr>
          <w:rFonts w:eastAsia="Times New Roman" w:cstheme="minorHAnsi"/>
          <w:bCs/>
          <w:noProof/>
        </w:rPr>
        <w:t>(Mountain &amp; Craig, 2012)</w:t>
      </w:r>
      <w:r w:rsidRPr="00ED2B5A">
        <w:rPr>
          <w:rFonts w:eastAsia="Times New Roman" w:cstheme="minorHAnsi"/>
          <w:bCs/>
        </w:rPr>
        <w:t xml:space="preserve">, through to feasibility testing </w:t>
      </w:r>
      <w:r w:rsidR="00D81A5C">
        <w:rPr>
          <w:rFonts w:eastAsia="Times New Roman" w:cstheme="minorHAnsi"/>
          <w:bCs/>
          <w:noProof/>
        </w:rPr>
        <w:t>(Sprange K et al., 2015)</w:t>
      </w:r>
      <w:r w:rsidRPr="00ED2B5A">
        <w:rPr>
          <w:rFonts w:eastAsia="Times New Roman" w:cstheme="minorHAnsi"/>
          <w:bCs/>
        </w:rPr>
        <w:t xml:space="preserve"> and the definitive </w:t>
      </w:r>
      <w:r w:rsidRPr="00ED2B5A">
        <w:rPr>
          <w:rFonts w:eastAsia="Times New Roman" w:cstheme="minorHAnsi"/>
          <w:bCs/>
        </w:rPr>
        <w:lastRenderedPageBreak/>
        <w:t xml:space="preserve">randomised controlled trial (RCT) </w:t>
      </w:r>
      <w:r w:rsidRPr="00ED2B5A">
        <w:rPr>
          <w:rFonts w:eastAsia="Times New Roman" w:cstheme="minorHAnsi"/>
          <w:color w:val="000000"/>
          <w:lang w:eastAsia="en-GB"/>
        </w:rPr>
        <w:t xml:space="preserve">involving 480 people with a diagnosis of dementia and 350 </w:t>
      </w:r>
      <w:r w:rsidR="00592BE7">
        <w:rPr>
          <w:rFonts w:eastAsia="Times New Roman" w:cstheme="minorHAnsi"/>
          <w:color w:val="000000"/>
          <w:lang w:eastAsia="en-GB"/>
        </w:rPr>
        <w:t>supporter</w:t>
      </w:r>
      <w:r w:rsidR="003C0691">
        <w:rPr>
          <w:rFonts w:eastAsia="Times New Roman" w:cstheme="minorHAnsi"/>
          <w:color w:val="000000"/>
          <w:lang w:eastAsia="en-GB"/>
        </w:rPr>
        <w:t>s</w:t>
      </w:r>
      <w:r w:rsidRPr="00ED2B5A">
        <w:rPr>
          <w:rFonts w:eastAsia="Times New Roman" w:cstheme="minorHAnsi"/>
          <w:color w:val="000000"/>
          <w:lang w:eastAsia="en-GB"/>
        </w:rPr>
        <w:t xml:space="preserve"> </w:t>
      </w:r>
      <w:r w:rsidR="00D81A5C">
        <w:rPr>
          <w:rFonts w:eastAsia="Times New Roman" w:cstheme="minorHAnsi"/>
          <w:noProof/>
          <w:color w:val="000000"/>
          <w:lang w:eastAsia="en-GB"/>
        </w:rPr>
        <w:t>(Wright et al., 2019)</w:t>
      </w:r>
      <w:r w:rsidRPr="00ED2B5A">
        <w:rPr>
          <w:sz w:val="16"/>
          <w:szCs w:val="16"/>
        </w:rPr>
        <w:t xml:space="preserve"> </w:t>
      </w:r>
      <w:r w:rsidR="001325CE">
        <w:rPr>
          <w:rFonts w:eastAsia="Times New Roman" w:cstheme="minorHAnsi"/>
          <w:bCs/>
        </w:rPr>
        <w:t xml:space="preserve">The terminology </w:t>
      </w:r>
      <w:r w:rsidR="00CB5CA6">
        <w:rPr>
          <w:rFonts w:eastAsia="Times New Roman" w:cstheme="minorHAnsi"/>
          <w:bCs/>
        </w:rPr>
        <w:t xml:space="preserve">of ‘carer’ or ‘supporter’ was debated by the study team including PPI members who concluded that for people living with mild dementia the term ‘carer’ was inappropriate. We therefore refer to supporters throughout the trial to describe </w:t>
      </w:r>
      <w:r w:rsidR="00BD01AB" w:rsidRPr="00BD01AB">
        <w:rPr>
          <w:rFonts w:eastAsia="Times New Roman" w:cstheme="minorHAnsi"/>
          <w:bCs/>
        </w:rPr>
        <w:t xml:space="preserve">informal carers such as </w:t>
      </w:r>
      <w:r w:rsidR="00BD01AB">
        <w:rPr>
          <w:rFonts w:eastAsia="Times New Roman" w:cstheme="minorHAnsi"/>
          <w:bCs/>
        </w:rPr>
        <w:t xml:space="preserve">partners, </w:t>
      </w:r>
      <w:r w:rsidR="00BD01AB" w:rsidRPr="00BD01AB">
        <w:rPr>
          <w:rFonts w:eastAsia="Times New Roman" w:cstheme="minorHAnsi"/>
          <w:bCs/>
        </w:rPr>
        <w:t xml:space="preserve">relatives or neighbours. </w:t>
      </w:r>
      <w:r w:rsidRPr="00ED2B5A">
        <w:rPr>
          <w:rFonts w:eastAsia="Times New Roman" w:cstheme="minorHAnsi"/>
          <w:bCs/>
        </w:rPr>
        <w:t>This paper describes our experience of PPIE in the Journeying through Dementia randomised controlled trial. Through reporting our experiences, we aim to highlight when and how PPIE strengthened our research, and also the challenges we encountered whilst endeavouring to deliver meaningful approaches towards PPIE.</w:t>
      </w:r>
    </w:p>
    <w:p w14:paraId="6DE4E191" w14:textId="77777777" w:rsidR="00ED2B5A" w:rsidRPr="00ED2B5A" w:rsidRDefault="00ED2B5A" w:rsidP="00ED2B5A">
      <w:pPr>
        <w:shd w:val="clear" w:color="auto" w:fill="FFFFFF"/>
        <w:spacing w:after="0" w:line="360" w:lineRule="auto"/>
        <w:rPr>
          <w:rFonts w:eastAsia="Times New Roman" w:cstheme="minorHAnsi"/>
          <w:b/>
          <w:iCs/>
          <w:color w:val="000000" w:themeColor="text1"/>
          <w:sz w:val="24"/>
          <w:szCs w:val="24"/>
        </w:rPr>
      </w:pPr>
    </w:p>
    <w:p w14:paraId="00AE6E84" w14:textId="77777777" w:rsidR="00ED2B5A" w:rsidRPr="00ED2B5A" w:rsidRDefault="00ED2B5A" w:rsidP="00ED2B5A">
      <w:pPr>
        <w:keepNext/>
        <w:keepLines/>
        <w:spacing w:before="240" w:after="0"/>
        <w:outlineLvl w:val="0"/>
        <w:rPr>
          <w:rFonts w:asciiTheme="majorHAnsi" w:eastAsia="Times New Roman" w:hAnsiTheme="majorHAnsi" w:cstheme="majorBidi"/>
          <w:color w:val="365F91" w:themeColor="accent1" w:themeShade="BF"/>
          <w:sz w:val="32"/>
          <w:szCs w:val="32"/>
        </w:rPr>
      </w:pPr>
      <w:r w:rsidRPr="00ED2B5A">
        <w:rPr>
          <w:rFonts w:asciiTheme="majorHAnsi" w:eastAsia="Times New Roman" w:hAnsiTheme="majorHAnsi" w:cstheme="majorBidi"/>
          <w:color w:val="365F91" w:themeColor="accent1" w:themeShade="BF"/>
          <w:sz w:val="32"/>
          <w:szCs w:val="32"/>
        </w:rPr>
        <w:t>Methods</w:t>
      </w:r>
    </w:p>
    <w:p w14:paraId="3ED2801D" w14:textId="66D16E53" w:rsidR="00ED2B5A" w:rsidRPr="00ED2B5A" w:rsidRDefault="00ED2B5A" w:rsidP="00ED2B5A">
      <w:pPr>
        <w:spacing w:after="0" w:line="360" w:lineRule="auto"/>
        <w:rPr>
          <w:rFonts w:cstheme="minorHAnsi"/>
          <w:color w:val="000000"/>
        </w:rPr>
      </w:pPr>
      <w:r w:rsidRPr="00ED2B5A">
        <w:rPr>
          <w:rFonts w:eastAsia="Times New Roman" w:cstheme="minorHAnsi"/>
          <w:iCs/>
          <w:color w:val="000000"/>
          <w:lang w:eastAsia="en-GB"/>
        </w:rPr>
        <w:t xml:space="preserve">The GRIPP2 short form (SF) format for reporting involvement of patients and the public </w:t>
      </w:r>
      <w:r w:rsidRPr="00ED2B5A">
        <w:rPr>
          <w:rFonts w:eastAsia="Times New Roman" w:cstheme="minorHAnsi"/>
          <w:lang w:val="en-US" w:eastAsia="en-GB"/>
        </w:rPr>
        <w:t xml:space="preserve">is used to report and critically reflect upon </w:t>
      </w:r>
      <w:r w:rsidRPr="00ED2B5A">
        <w:rPr>
          <w:rFonts w:eastAsia="Times New Roman" w:cstheme="minorHAnsi"/>
          <w:iCs/>
          <w:color w:val="000000"/>
          <w:lang w:eastAsia="en-GB"/>
        </w:rPr>
        <w:t xml:space="preserve">the PPIE processes and outcomes </w:t>
      </w:r>
      <w:r w:rsidR="00D81A5C">
        <w:rPr>
          <w:rFonts w:eastAsia="Times New Roman" w:cstheme="minorHAnsi"/>
          <w:iCs/>
          <w:noProof/>
          <w:color w:val="000000"/>
          <w:lang w:eastAsia="en-GB"/>
        </w:rPr>
        <w:t>(Staniszewska et al., 2017)</w:t>
      </w:r>
      <w:r w:rsidRPr="00ED2B5A">
        <w:rPr>
          <w:rFonts w:eastAsia="Times New Roman" w:cstheme="minorHAnsi"/>
          <w:iCs/>
          <w:color w:val="000000"/>
          <w:lang w:eastAsia="en-GB"/>
        </w:rPr>
        <w:t>.</w:t>
      </w:r>
    </w:p>
    <w:p w14:paraId="2C89C14A" w14:textId="77777777" w:rsidR="00ED2B5A" w:rsidRPr="00ED2B5A" w:rsidRDefault="00ED2B5A" w:rsidP="00ED2B5A"/>
    <w:p w14:paraId="3BC8F047" w14:textId="77777777" w:rsidR="00ED2B5A" w:rsidRPr="00ED2B5A" w:rsidRDefault="00ED2B5A" w:rsidP="00ED2B5A">
      <w:pPr>
        <w:keepNext/>
        <w:keepLines/>
        <w:spacing w:before="40" w:after="0"/>
        <w:outlineLvl w:val="2"/>
        <w:rPr>
          <w:rFonts w:asciiTheme="majorHAnsi" w:eastAsia="Times New Roman" w:hAnsiTheme="majorHAnsi" w:cstheme="majorBidi"/>
          <w:color w:val="0070C0"/>
          <w:sz w:val="24"/>
          <w:szCs w:val="24"/>
          <w:lang w:eastAsia="en-GB"/>
        </w:rPr>
      </w:pPr>
      <w:r w:rsidRPr="00ED2B5A">
        <w:rPr>
          <w:rFonts w:asciiTheme="majorHAnsi" w:eastAsia="Times New Roman" w:hAnsiTheme="majorHAnsi" w:cstheme="majorBidi"/>
          <w:color w:val="0070C0"/>
          <w:sz w:val="24"/>
          <w:szCs w:val="24"/>
          <w:lang w:eastAsia="en-GB"/>
        </w:rPr>
        <w:t>Establishing and facilitating PPIE in the trial</w:t>
      </w:r>
    </w:p>
    <w:p w14:paraId="26B696B5" w14:textId="1DBF8690" w:rsidR="00ED2B5A" w:rsidRPr="00ED2B5A" w:rsidRDefault="00ED2B5A" w:rsidP="00ED2B5A">
      <w:pPr>
        <w:shd w:val="clear" w:color="auto" w:fill="FFFFFF"/>
        <w:spacing w:after="0" w:line="360" w:lineRule="auto"/>
        <w:rPr>
          <w:rFonts w:eastAsia="Times New Roman" w:cstheme="minorHAnsi"/>
          <w:bCs/>
        </w:rPr>
      </w:pPr>
      <w:r w:rsidRPr="00ED2B5A">
        <w:rPr>
          <w:rFonts w:cstheme="minorHAnsi"/>
        </w:rPr>
        <w:t>Our approach to PPIE, was informed by NIHR INVOLVE guidelines</w:t>
      </w:r>
      <w:r w:rsidR="00583D03">
        <w:rPr>
          <w:rFonts w:cstheme="minorHAnsi"/>
        </w:rPr>
        <w:t xml:space="preserve"> </w:t>
      </w:r>
      <w:r w:rsidR="00D81A5C">
        <w:rPr>
          <w:rFonts w:cstheme="minorHAnsi"/>
          <w:noProof/>
        </w:rPr>
        <w:t>(National Institute for Health and Care Excellence, 2021)</w:t>
      </w:r>
      <w:r w:rsidRPr="00ED2B5A">
        <w:rPr>
          <w:rFonts w:cstheme="minorHAnsi"/>
        </w:rPr>
        <w:t xml:space="preserve">, the Dementia Engagement and Empowerment (DEEP) project </w:t>
      </w:r>
      <w:r w:rsidR="00D81A5C">
        <w:rPr>
          <w:rFonts w:cstheme="minorHAnsi"/>
          <w:noProof/>
        </w:rPr>
        <w:t>(DEEP)</w:t>
      </w:r>
      <w:r w:rsidRPr="00ED2B5A">
        <w:rPr>
          <w:rFonts w:cstheme="minorHAnsi"/>
        </w:rPr>
        <w:t xml:space="preserve">, the work of the Scottish Dementia Working Group </w:t>
      </w:r>
      <w:r w:rsidR="00D81A5C">
        <w:rPr>
          <w:rFonts w:cstheme="minorHAnsi"/>
          <w:noProof/>
        </w:rPr>
        <w:t>(Alzheimer Scotland Action on Dementia, 2020)</w:t>
      </w:r>
      <w:r w:rsidRPr="00ED2B5A">
        <w:rPr>
          <w:rFonts w:cstheme="minorHAnsi"/>
        </w:rPr>
        <w:t xml:space="preserve">, and the experiences of study team members. Our aims were to: </w:t>
      </w:r>
    </w:p>
    <w:p w14:paraId="45C05919" w14:textId="38C69E0F" w:rsidR="00ED2B5A" w:rsidRPr="00ED2B5A" w:rsidRDefault="00ED2B5A" w:rsidP="00ED2B5A">
      <w:pPr>
        <w:numPr>
          <w:ilvl w:val="0"/>
          <w:numId w:val="9"/>
        </w:numPr>
        <w:shd w:val="clear" w:color="auto" w:fill="FFFFFF"/>
        <w:spacing w:after="0" w:line="360" w:lineRule="auto"/>
        <w:contextualSpacing/>
        <w:rPr>
          <w:rFonts w:eastAsia="Times New Roman" w:cstheme="minorHAnsi"/>
          <w:bCs/>
        </w:rPr>
      </w:pPr>
      <w:r w:rsidRPr="00ED2B5A">
        <w:rPr>
          <w:rFonts w:eastAsia="Times New Roman" w:cstheme="minorHAnsi"/>
          <w:bCs/>
        </w:rPr>
        <w:t xml:space="preserve">Create opportunities for meaningful involvement of people living with dementia and family </w:t>
      </w:r>
      <w:r w:rsidR="00592BE7">
        <w:rPr>
          <w:rFonts w:eastAsia="Times New Roman" w:cstheme="minorHAnsi"/>
          <w:bCs/>
        </w:rPr>
        <w:t>supporter</w:t>
      </w:r>
      <w:r w:rsidRPr="00ED2B5A">
        <w:rPr>
          <w:rFonts w:eastAsia="Times New Roman" w:cstheme="minorHAnsi"/>
          <w:bCs/>
        </w:rPr>
        <w:t xml:space="preserve">s in the design and delivery of the study and in the dissemination of results. </w:t>
      </w:r>
    </w:p>
    <w:p w14:paraId="7F26E886" w14:textId="77777777" w:rsidR="00ED2B5A" w:rsidRPr="00ED2B5A" w:rsidRDefault="00ED2B5A" w:rsidP="00ED2B5A">
      <w:pPr>
        <w:numPr>
          <w:ilvl w:val="0"/>
          <w:numId w:val="9"/>
        </w:numPr>
        <w:spacing w:before="100" w:beforeAutospacing="1" w:after="0" w:afterAutospacing="1" w:line="360" w:lineRule="auto"/>
        <w:contextualSpacing/>
        <w:rPr>
          <w:rFonts w:eastAsia="Times New Roman" w:cstheme="minorHAnsi"/>
          <w:bCs/>
        </w:rPr>
      </w:pPr>
      <w:r w:rsidRPr="00ED2B5A">
        <w:rPr>
          <w:rFonts w:eastAsia="Times New Roman" w:cstheme="minorHAnsi"/>
          <w:bCs/>
        </w:rPr>
        <w:t xml:space="preserve">Increase the relevance and accessibility of the research to people living with dementia and other members of the public. </w:t>
      </w:r>
    </w:p>
    <w:p w14:paraId="12B351B9" w14:textId="77777777" w:rsidR="00ED2B5A" w:rsidRPr="00ED2B5A" w:rsidRDefault="00ED2B5A" w:rsidP="00ED2B5A">
      <w:pPr>
        <w:numPr>
          <w:ilvl w:val="0"/>
          <w:numId w:val="9"/>
        </w:numPr>
        <w:spacing w:before="100" w:beforeAutospacing="1" w:after="0" w:afterAutospacing="1" w:line="360" w:lineRule="auto"/>
        <w:contextualSpacing/>
        <w:rPr>
          <w:rFonts w:eastAsia="Times New Roman" w:cstheme="minorHAnsi"/>
          <w:bCs/>
        </w:rPr>
      </w:pPr>
      <w:r w:rsidRPr="00ED2B5A">
        <w:rPr>
          <w:rFonts w:eastAsia="Times New Roman" w:cstheme="minorHAnsi"/>
          <w:bCs/>
        </w:rPr>
        <w:t>Create relevant, accessible and useful outputs from the study for people affected by dementia.</w:t>
      </w:r>
    </w:p>
    <w:p w14:paraId="0452CF32" w14:textId="77777777" w:rsidR="00ED2B5A" w:rsidRPr="00ED2B5A" w:rsidRDefault="00ED2B5A" w:rsidP="00ED2B5A">
      <w:pPr>
        <w:spacing w:before="100" w:beforeAutospacing="1" w:after="0" w:afterAutospacing="1" w:line="360" w:lineRule="auto"/>
        <w:rPr>
          <w:rFonts w:eastAsia="Times New Roman" w:cstheme="minorHAnsi"/>
          <w:bCs/>
        </w:rPr>
      </w:pPr>
      <w:r w:rsidRPr="00ED2B5A">
        <w:rPr>
          <w:rFonts w:eastAsia="Times New Roman" w:cstheme="minorHAnsi"/>
          <w:bCs/>
        </w:rPr>
        <w:t xml:space="preserve">To support the aims of PPIE engagement in the trial the research team agreed and upheld a number of ‘guiding principles’ to inform the planning and execution of involvement activities, see </w:t>
      </w:r>
      <w:r w:rsidRPr="00ED2B5A">
        <w:rPr>
          <w:rFonts w:eastAsia="Times New Roman" w:cstheme="minorHAnsi"/>
          <w:b/>
          <w:bCs/>
        </w:rPr>
        <w:t>Box 1.</w:t>
      </w:r>
      <w:r w:rsidRPr="00ED2B5A">
        <w:rPr>
          <w:rFonts w:eastAsia="Times New Roman" w:cstheme="minorHAnsi"/>
          <w:bCs/>
        </w:rPr>
        <w:t xml:space="preserve"> </w:t>
      </w:r>
    </w:p>
    <w:p w14:paraId="77E37259" w14:textId="77777777" w:rsidR="00ED2B5A" w:rsidRPr="00ED2B5A" w:rsidRDefault="00ED2B5A" w:rsidP="00ED2B5A">
      <w:pPr>
        <w:spacing w:after="0" w:line="240" w:lineRule="auto"/>
        <w:rPr>
          <w:rFonts w:eastAsia="Times New Roman" w:cstheme="minorHAnsi"/>
          <w:b/>
          <w:bCs/>
        </w:rPr>
      </w:pPr>
      <w:r w:rsidRPr="00ED2B5A">
        <w:rPr>
          <w:rFonts w:eastAsia="Times New Roman" w:cstheme="minorHAnsi"/>
          <w:b/>
          <w:bCs/>
        </w:rPr>
        <w:t xml:space="preserve">Box 1: Guiding principles for PPIE involvement in the </w:t>
      </w:r>
      <w:r w:rsidRPr="00ED2B5A">
        <w:rPr>
          <w:rFonts w:eastAsia="Times New Roman" w:cstheme="minorHAnsi"/>
          <w:b/>
        </w:rPr>
        <w:t>Journeying through Dementia</w:t>
      </w:r>
      <w:r w:rsidRPr="00ED2B5A">
        <w:rPr>
          <w:rFonts w:eastAsia="Times New Roman" w:cstheme="minorHAnsi"/>
          <w:b/>
          <w:bCs/>
        </w:rPr>
        <w:t xml:space="preserve"> trial</w:t>
      </w:r>
    </w:p>
    <w:tbl>
      <w:tblPr>
        <w:tblStyle w:val="TableGrid"/>
        <w:tblW w:w="0" w:type="auto"/>
        <w:tblLook w:val="04A0" w:firstRow="1" w:lastRow="0" w:firstColumn="1" w:lastColumn="0" w:noHBand="0" w:noVBand="1"/>
      </w:tblPr>
      <w:tblGrid>
        <w:gridCol w:w="9016"/>
      </w:tblGrid>
      <w:tr w:rsidR="00ED2B5A" w:rsidRPr="00ED2B5A" w14:paraId="430810F9" w14:textId="77777777" w:rsidTr="003E7063">
        <w:trPr>
          <w:tblHeader/>
        </w:trPr>
        <w:tc>
          <w:tcPr>
            <w:tcW w:w="9016" w:type="dxa"/>
          </w:tcPr>
          <w:p w14:paraId="6BA6C195" w14:textId="02CD1B7A" w:rsidR="00ED2B5A" w:rsidRPr="00ED2B5A" w:rsidRDefault="00ED2B5A" w:rsidP="00ED2B5A">
            <w:pPr>
              <w:numPr>
                <w:ilvl w:val="0"/>
                <w:numId w:val="26"/>
              </w:numPr>
              <w:spacing w:after="200" w:line="276" w:lineRule="auto"/>
              <w:contextualSpacing/>
              <w:rPr>
                <w:rFonts w:cstheme="minorHAnsi"/>
              </w:rPr>
            </w:pPr>
            <w:r w:rsidRPr="00ED2B5A">
              <w:rPr>
                <w:rFonts w:cstheme="minorHAnsi"/>
              </w:rPr>
              <w:lastRenderedPageBreak/>
              <w:t xml:space="preserve">All PPIE advisors compensated for their time in line with  UK NIHR INVOLVE guidance </w:t>
            </w:r>
            <w:r w:rsidR="00D81A5C">
              <w:rPr>
                <w:rFonts w:cstheme="minorHAnsi"/>
                <w:noProof/>
              </w:rPr>
              <w:t>(NIHR INVOLVE)</w:t>
            </w:r>
            <w:r w:rsidRPr="00ED2B5A">
              <w:rPr>
                <w:rFonts w:cstheme="minorHAnsi"/>
              </w:rPr>
              <w:t>.</w:t>
            </w:r>
          </w:p>
          <w:p w14:paraId="775D57B4" w14:textId="77777777" w:rsidR="00ED2B5A" w:rsidRPr="00ED2B5A" w:rsidRDefault="00ED2B5A" w:rsidP="00ED2B5A">
            <w:pPr>
              <w:numPr>
                <w:ilvl w:val="0"/>
                <w:numId w:val="26"/>
              </w:numPr>
              <w:spacing w:after="200" w:line="276" w:lineRule="auto"/>
              <w:contextualSpacing/>
              <w:rPr>
                <w:rFonts w:cstheme="minorHAnsi"/>
              </w:rPr>
            </w:pPr>
            <w:r w:rsidRPr="00ED2B5A">
              <w:rPr>
                <w:rFonts w:cstheme="minorHAnsi"/>
              </w:rPr>
              <w:t>A ‘you said, we did’ approach regarding how advice was used and taken forward.</w:t>
            </w:r>
          </w:p>
          <w:p w14:paraId="52FA87DB" w14:textId="1B98C8E7" w:rsidR="00ED2B5A" w:rsidRPr="00ED2B5A" w:rsidRDefault="00ED2B5A" w:rsidP="00ED2B5A">
            <w:pPr>
              <w:numPr>
                <w:ilvl w:val="0"/>
                <w:numId w:val="26"/>
              </w:numPr>
              <w:spacing w:after="200" w:line="276" w:lineRule="auto"/>
              <w:contextualSpacing/>
              <w:rPr>
                <w:rFonts w:cstheme="minorHAnsi"/>
              </w:rPr>
            </w:pPr>
            <w:r w:rsidRPr="00ED2B5A">
              <w:rPr>
                <w:rFonts w:cstheme="minorHAnsi"/>
              </w:rPr>
              <w:t xml:space="preserve">Use of best practice accessibility guidance </w:t>
            </w:r>
            <w:r w:rsidR="00D81A5C">
              <w:rPr>
                <w:rFonts w:cstheme="minorHAnsi"/>
                <w:noProof/>
              </w:rPr>
              <w:t>(DEEP)</w:t>
            </w:r>
            <w:r w:rsidRPr="00ED2B5A">
              <w:rPr>
                <w:rFonts w:cstheme="minorHAnsi"/>
              </w:rPr>
              <w:t xml:space="preserve"> e.g. avoidance of jargon, acronyms and academic language.</w:t>
            </w:r>
          </w:p>
          <w:p w14:paraId="703AB2F3" w14:textId="4CD8133B" w:rsidR="00ED2B5A" w:rsidRPr="00ED2B5A" w:rsidRDefault="00ED2B5A" w:rsidP="00ED2B5A">
            <w:pPr>
              <w:numPr>
                <w:ilvl w:val="0"/>
                <w:numId w:val="26"/>
              </w:numPr>
              <w:spacing w:after="200" w:line="276" w:lineRule="auto"/>
              <w:contextualSpacing/>
              <w:rPr>
                <w:rFonts w:cstheme="minorHAnsi"/>
              </w:rPr>
            </w:pPr>
            <w:r w:rsidRPr="00ED2B5A">
              <w:rPr>
                <w:rFonts w:cstheme="minorHAnsi"/>
              </w:rPr>
              <w:t xml:space="preserve">Meeting venues selected in consultation with PPIE advisors to ensure accessibility e.g. layout, transport, low noise levels. Provision of wayfinding advice to venues e.g. maps and instructions. Taxis provided if required while at the same time being mindful of offering support rather than becoming paternalistic </w:t>
            </w:r>
            <w:r w:rsidR="00D81A5C">
              <w:rPr>
                <w:rFonts w:cstheme="minorHAnsi"/>
                <w:noProof/>
              </w:rPr>
              <w:t>(Roberts et al., 2019)</w:t>
            </w:r>
            <w:r w:rsidRPr="00ED2B5A">
              <w:rPr>
                <w:rFonts w:cstheme="minorHAnsi"/>
              </w:rPr>
              <w:t xml:space="preserve">. </w:t>
            </w:r>
          </w:p>
          <w:p w14:paraId="16EFFEAE" w14:textId="77777777" w:rsidR="00ED2B5A" w:rsidRPr="00ED2B5A" w:rsidRDefault="00ED2B5A" w:rsidP="00ED2B5A">
            <w:pPr>
              <w:numPr>
                <w:ilvl w:val="0"/>
                <w:numId w:val="26"/>
              </w:numPr>
              <w:spacing w:after="200" w:line="276" w:lineRule="auto"/>
              <w:contextualSpacing/>
              <w:rPr>
                <w:rFonts w:cstheme="minorHAnsi"/>
              </w:rPr>
            </w:pPr>
            <w:r w:rsidRPr="00ED2B5A">
              <w:rPr>
                <w:rFonts w:cstheme="minorHAnsi"/>
              </w:rPr>
              <w:t xml:space="preserve">Venue preparation to ensure a </w:t>
            </w:r>
            <w:r w:rsidRPr="00ED2B5A">
              <w:rPr>
                <w:rFonts w:cstheme="minorHAnsi"/>
                <w:color w:val="000000"/>
              </w:rPr>
              <w:t xml:space="preserve">dementia friendly layout, provide additional signage and ‘meet and greet’ to help direct people. </w:t>
            </w:r>
          </w:p>
          <w:p w14:paraId="100A09FE" w14:textId="77777777" w:rsidR="00ED2B5A" w:rsidRPr="00ED2B5A" w:rsidRDefault="00ED2B5A" w:rsidP="00ED2B5A">
            <w:pPr>
              <w:numPr>
                <w:ilvl w:val="0"/>
                <w:numId w:val="26"/>
              </w:numPr>
              <w:spacing w:after="200" w:line="276" w:lineRule="auto"/>
              <w:contextualSpacing/>
              <w:rPr>
                <w:rFonts w:cstheme="minorHAnsi"/>
              </w:rPr>
            </w:pPr>
            <w:r w:rsidRPr="00ED2B5A">
              <w:rPr>
                <w:rFonts w:cstheme="minorHAnsi"/>
              </w:rPr>
              <w:t>Inclusion of regular breaks during meetings as well as time and space to engage and respond to materials or discussion topics.</w:t>
            </w:r>
          </w:p>
          <w:p w14:paraId="6C2E1243" w14:textId="77777777" w:rsidR="00ED2B5A" w:rsidRPr="00ED2B5A" w:rsidRDefault="00ED2B5A" w:rsidP="00ED2B5A">
            <w:pPr>
              <w:numPr>
                <w:ilvl w:val="0"/>
                <w:numId w:val="26"/>
              </w:numPr>
              <w:spacing w:after="200" w:line="276" w:lineRule="auto"/>
              <w:contextualSpacing/>
              <w:rPr>
                <w:rFonts w:cstheme="minorHAnsi"/>
              </w:rPr>
            </w:pPr>
            <w:r w:rsidRPr="00ED2B5A">
              <w:rPr>
                <w:rFonts w:eastAsiaTheme="minorEastAsia" w:cstheme="minorHAnsi"/>
              </w:rPr>
              <w:t xml:space="preserve">Use of aide-memoires in all encounters with PPIE advisors e.g. flipcharts posted up in meeting rooms to remind members of the aims of the study and of the specific meeting, providing verbal or written updates on study progress. </w:t>
            </w:r>
          </w:p>
          <w:p w14:paraId="3E7F8EFF" w14:textId="77777777" w:rsidR="00ED2B5A" w:rsidRPr="00ED2B5A" w:rsidRDefault="00ED2B5A" w:rsidP="00ED2B5A">
            <w:pPr>
              <w:numPr>
                <w:ilvl w:val="0"/>
                <w:numId w:val="26"/>
              </w:numPr>
              <w:spacing w:after="200" w:line="276" w:lineRule="auto"/>
              <w:contextualSpacing/>
              <w:rPr>
                <w:rFonts w:cstheme="minorHAnsi"/>
                <w:lang w:val="en-US"/>
              </w:rPr>
            </w:pPr>
            <w:r w:rsidRPr="00ED2B5A">
              <w:rPr>
                <w:rFonts w:cstheme="minorHAnsi"/>
              </w:rPr>
              <w:t xml:space="preserve">For all PPIE meetings content limited to one item per meeting </w:t>
            </w:r>
            <w:r w:rsidRPr="00ED2B5A">
              <w:rPr>
                <w:rFonts w:cstheme="minorHAnsi"/>
                <w:lang w:val="en-US"/>
              </w:rPr>
              <w:t xml:space="preserve">e.g. input to documentation, dissemination activity. </w:t>
            </w:r>
          </w:p>
          <w:p w14:paraId="3E9DB3D0" w14:textId="77777777" w:rsidR="00ED2B5A" w:rsidRPr="00ED2B5A" w:rsidRDefault="00ED2B5A" w:rsidP="00ED2B5A">
            <w:pPr>
              <w:numPr>
                <w:ilvl w:val="0"/>
                <w:numId w:val="26"/>
              </w:numPr>
              <w:spacing w:after="200" w:line="276" w:lineRule="auto"/>
              <w:contextualSpacing/>
              <w:rPr>
                <w:rFonts w:eastAsia="Times New Roman" w:cstheme="minorHAnsi"/>
                <w:b/>
                <w:bCs/>
                <w:iCs/>
                <w:color w:val="000000"/>
                <w:lang w:eastAsia="en-GB"/>
              </w:rPr>
            </w:pPr>
            <w:r w:rsidRPr="00ED2B5A">
              <w:rPr>
                <w:rFonts w:cstheme="minorHAnsi"/>
                <w:noProof/>
              </w:rPr>
              <w:t xml:space="preserve">For Trial Steering Committee meetings, papers sent in hard copy well ahead of the meeting with highlighted sections and extensive annotations to explain reports and figures for specific consideration. </w:t>
            </w:r>
          </w:p>
        </w:tc>
      </w:tr>
    </w:tbl>
    <w:p w14:paraId="277FF534" w14:textId="77777777" w:rsidR="00ED2B5A" w:rsidRPr="00ED2B5A" w:rsidRDefault="00ED2B5A" w:rsidP="00ED2B5A">
      <w:pPr>
        <w:tabs>
          <w:tab w:val="left" w:pos="11908"/>
        </w:tabs>
        <w:spacing w:after="0" w:line="360" w:lineRule="auto"/>
        <w:rPr>
          <w:rFonts w:eastAsia="Times New Roman" w:cstheme="minorHAnsi"/>
          <w:b/>
          <w:bCs/>
          <w:iCs/>
          <w:color w:val="000000"/>
          <w:lang w:eastAsia="en-GB"/>
        </w:rPr>
      </w:pPr>
    </w:p>
    <w:p w14:paraId="72EE9013" w14:textId="57A4129A"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 xml:space="preserve">For any study it is essential that appropriate funding is allocated to PPIE activity for reimbursement or payment of time as well as for associated costs such as travel or equipment </w:t>
      </w:r>
      <w:r w:rsidR="00D81A5C">
        <w:rPr>
          <w:rFonts w:eastAsia="Times New Roman" w:cstheme="minorHAnsi"/>
          <w:noProof/>
          <w:color w:val="000000"/>
          <w:lang w:eastAsia="en-GB"/>
        </w:rPr>
        <w:t>(NIHR INVOLVE)</w:t>
      </w:r>
      <w:r w:rsidRPr="00ED2B5A">
        <w:rPr>
          <w:rFonts w:eastAsia="Times New Roman" w:cstheme="minorHAnsi"/>
          <w:color w:val="000000"/>
          <w:lang w:eastAsia="en-GB"/>
        </w:rPr>
        <w:t>. At the outset a budget was identified for PPIE for the Journeying through Dementia trial although this needed to be increased over time by moving finance from other budget lines within the overall grant allocation to meet the costs of additional activities. We provided regular updates to the funders about PPIE activities and their impact.</w:t>
      </w:r>
    </w:p>
    <w:p w14:paraId="451A0DFB" w14:textId="77777777" w:rsidR="00ED2B5A" w:rsidRPr="00ED2B5A" w:rsidRDefault="00ED2B5A" w:rsidP="00ED2B5A">
      <w:pPr>
        <w:spacing w:after="0" w:line="360" w:lineRule="auto"/>
        <w:rPr>
          <w:rFonts w:eastAsia="Times New Roman" w:cstheme="minorHAnsi"/>
          <w:color w:val="000000"/>
          <w:lang w:eastAsia="en-GB"/>
        </w:rPr>
      </w:pPr>
    </w:p>
    <w:p w14:paraId="13973160" w14:textId="36AA8223"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Applying an appropriate level of expertise towards PPIE engagement is recognised as being essential. A researcher with previous experience of facilitating engagement of people living with dementia in research</w:t>
      </w:r>
      <w:r w:rsidR="00F8107B">
        <w:rPr>
          <w:rFonts w:eastAsia="Times New Roman" w:cstheme="minorHAnsi"/>
          <w:color w:val="000000"/>
          <w:lang w:eastAsia="en-GB"/>
        </w:rPr>
        <w:t xml:space="preserve"> (the PPI Lead)</w:t>
      </w:r>
      <w:r w:rsidRPr="00ED2B5A">
        <w:rPr>
          <w:rFonts w:eastAsia="Times New Roman" w:cstheme="minorHAnsi"/>
          <w:color w:val="000000"/>
          <w:lang w:eastAsia="en-GB"/>
        </w:rPr>
        <w:t>, was responsible for identifying PPIE activities and co-ordinating involvement.</w:t>
      </w:r>
      <w:r w:rsidR="00F8107B">
        <w:rPr>
          <w:rFonts w:eastAsia="Times New Roman" w:cstheme="minorHAnsi"/>
          <w:color w:val="000000"/>
          <w:lang w:eastAsia="en-GB"/>
        </w:rPr>
        <w:t xml:space="preserve"> They were also </w:t>
      </w:r>
      <w:r w:rsidR="00F8107B" w:rsidRPr="00F8107B">
        <w:rPr>
          <w:rFonts w:eastAsia="Times New Roman" w:cstheme="minorHAnsi"/>
          <w:color w:val="000000"/>
          <w:lang w:eastAsia="en-GB"/>
        </w:rPr>
        <w:t xml:space="preserve">responsible for monitoring </w:t>
      </w:r>
      <w:r w:rsidR="00F8107B">
        <w:rPr>
          <w:rFonts w:eastAsia="Times New Roman" w:cstheme="minorHAnsi"/>
          <w:color w:val="000000"/>
          <w:lang w:eastAsia="en-GB"/>
        </w:rPr>
        <w:t xml:space="preserve">changes in capacity of our members living with dementia </w:t>
      </w:r>
      <w:r w:rsidR="00F8107B" w:rsidRPr="00F8107B">
        <w:rPr>
          <w:rFonts w:eastAsia="Times New Roman" w:cstheme="minorHAnsi"/>
          <w:color w:val="000000"/>
          <w:lang w:eastAsia="en-GB"/>
        </w:rPr>
        <w:t>throughout the trial</w:t>
      </w:r>
      <w:r w:rsidR="000E562E">
        <w:rPr>
          <w:rFonts w:eastAsia="Times New Roman" w:cstheme="minorHAnsi"/>
          <w:color w:val="000000"/>
          <w:lang w:eastAsia="en-GB"/>
        </w:rPr>
        <w:t xml:space="preserve"> and supporting their individual needs</w:t>
      </w:r>
      <w:r w:rsidR="00F8107B" w:rsidRPr="00F8107B">
        <w:rPr>
          <w:rFonts w:eastAsia="Times New Roman" w:cstheme="minorHAnsi"/>
          <w:color w:val="000000"/>
          <w:lang w:eastAsia="en-GB"/>
        </w:rPr>
        <w:t xml:space="preserve">. </w:t>
      </w:r>
      <w:r w:rsidR="00F8107B">
        <w:rPr>
          <w:rFonts w:eastAsia="Times New Roman" w:cstheme="minorHAnsi"/>
          <w:color w:val="000000"/>
          <w:lang w:eastAsia="en-GB"/>
        </w:rPr>
        <w:t>M</w:t>
      </w:r>
      <w:r w:rsidR="00F8107B" w:rsidRPr="00F8107B">
        <w:rPr>
          <w:rFonts w:eastAsia="Times New Roman" w:cstheme="minorHAnsi"/>
          <w:color w:val="000000"/>
          <w:lang w:eastAsia="en-GB"/>
        </w:rPr>
        <w:t>embers</w:t>
      </w:r>
      <w:r w:rsidR="00F8107B">
        <w:rPr>
          <w:rFonts w:eastAsia="Times New Roman" w:cstheme="minorHAnsi"/>
          <w:color w:val="000000"/>
          <w:lang w:eastAsia="en-GB"/>
        </w:rPr>
        <w:t>hip</w:t>
      </w:r>
      <w:r w:rsidR="00F8107B" w:rsidRPr="00F8107B">
        <w:rPr>
          <w:rFonts w:eastAsia="Times New Roman" w:cstheme="minorHAnsi"/>
          <w:color w:val="000000"/>
          <w:lang w:eastAsia="en-GB"/>
        </w:rPr>
        <w:t xml:space="preserve"> did change in the advisory group </w:t>
      </w:r>
      <w:r w:rsidR="000E562E">
        <w:rPr>
          <w:rFonts w:eastAsia="Times New Roman" w:cstheme="minorHAnsi"/>
          <w:color w:val="000000"/>
          <w:lang w:eastAsia="en-GB"/>
        </w:rPr>
        <w:t xml:space="preserve">during the trial </w:t>
      </w:r>
      <w:r w:rsidR="00F8107B" w:rsidRPr="00F8107B">
        <w:rPr>
          <w:rFonts w:eastAsia="Times New Roman" w:cstheme="minorHAnsi"/>
          <w:color w:val="000000"/>
          <w:lang w:eastAsia="en-GB"/>
        </w:rPr>
        <w:t>due to changes in capacity</w:t>
      </w:r>
      <w:r w:rsidR="00F8107B">
        <w:rPr>
          <w:rFonts w:eastAsia="Times New Roman" w:cstheme="minorHAnsi"/>
          <w:color w:val="000000"/>
          <w:lang w:eastAsia="en-GB"/>
        </w:rPr>
        <w:t xml:space="preserve"> as some individuals condition deteriorated</w:t>
      </w:r>
      <w:r w:rsidR="00F8107B" w:rsidRPr="00F8107B">
        <w:rPr>
          <w:rFonts w:eastAsia="Times New Roman" w:cstheme="minorHAnsi"/>
          <w:color w:val="000000"/>
          <w:lang w:eastAsia="en-GB"/>
        </w:rPr>
        <w:t xml:space="preserve">. </w:t>
      </w:r>
      <w:r w:rsidRPr="00ED2B5A">
        <w:rPr>
          <w:rFonts w:eastAsia="Times New Roman" w:cstheme="minorHAnsi"/>
          <w:color w:val="000000"/>
          <w:lang w:eastAsia="en-GB"/>
        </w:rPr>
        <w:t xml:space="preserve">A research assistant was also identified to support PPIE activity. </w:t>
      </w:r>
    </w:p>
    <w:p w14:paraId="2A4DE586" w14:textId="77777777" w:rsidR="00ED2B5A" w:rsidRPr="00ED2B5A" w:rsidRDefault="00ED2B5A" w:rsidP="00ED2B5A">
      <w:pPr>
        <w:spacing w:after="0" w:line="360" w:lineRule="auto"/>
        <w:rPr>
          <w:rFonts w:ascii="Times New Roman" w:eastAsia="Times New Roman" w:hAnsi="Times New Roman" w:cstheme="minorHAnsi"/>
          <w:color w:val="000000"/>
          <w:sz w:val="24"/>
          <w:szCs w:val="24"/>
          <w:lang w:eastAsia="en-GB"/>
        </w:rPr>
      </w:pPr>
    </w:p>
    <w:p w14:paraId="76AE0326" w14:textId="1B0E7A7C" w:rsidR="002362D5" w:rsidRDefault="00ED2B5A" w:rsidP="00ED2B5A">
      <w:pPr>
        <w:shd w:val="clear" w:color="auto" w:fill="FFFFFF"/>
        <w:spacing w:after="0" w:line="360" w:lineRule="auto"/>
        <w:rPr>
          <w:rFonts w:cstheme="minorHAnsi"/>
          <w:color w:val="000000"/>
        </w:rPr>
      </w:pPr>
      <w:r w:rsidRPr="00ED2B5A">
        <w:rPr>
          <w:rFonts w:cstheme="minorHAnsi"/>
          <w:color w:val="000000"/>
        </w:rPr>
        <w:t xml:space="preserve">All PPIE activities, records of discussions, the advice given to researchers and how it was subsequently used was recorded on a PPIE activity log </w:t>
      </w:r>
      <w:r w:rsidR="00D81A5C">
        <w:rPr>
          <w:rFonts w:cstheme="minorHAnsi"/>
          <w:noProof/>
          <w:color w:val="000000"/>
        </w:rPr>
        <w:t>(Mathie et al., 2020)</w:t>
      </w:r>
      <w:r w:rsidRPr="00ED2B5A">
        <w:rPr>
          <w:rFonts w:cstheme="minorHAnsi"/>
          <w:color w:val="000000"/>
        </w:rPr>
        <w:t xml:space="preserve">. This approach allowed </w:t>
      </w:r>
      <w:r w:rsidRPr="00ED2B5A">
        <w:rPr>
          <w:rFonts w:cstheme="minorHAnsi"/>
          <w:color w:val="000000"/>
        </w:rPr>
        <w:lastRenderedPageBreak/>
        <w:t xml:space="preserve">us to continually review the impact of advice from our PPIE advisors upon the overall trial and provide transparency and accountability. </w:t>
      </w:r>
    </w:p>
    <w:p w14:paraId="157D9B80" w14:textId="07A4F8EE" w:rsidR="006F7295" w:rsidRDefault="006F7295" w:rsidP="00ED2B5A">
      <w:pPr>
        <w:shd w:val="clear" w:color="auto" w:fill="FFFFFF"/>
        <w:spacing w:after="0" w:line="360" w:lineRule="auto"/>
        <w:rPr>
          <w:rFonts w:cstheme="minorHAnsi"/>
          <w:color w:val="000000"/>
        </w:rPr>
      </w:pPr>
    </w:p>
    <w:p w14:paraId="5EEE733D" w14:textId="400A6CBC" w:rsidR="002A0D47" w:rsidRDefault="002A0D47" w:rsidP="002A0D47">
      <w:pPr>
        <w:pStyle w:val="Heading1"/>
      </w:pPr>
      <w:r>
        <w:t>Findings</w:t>
      </w:r>
    </w:p>
    <w:p w14:paraId="7E24123C" w14:textId="77777777" w:rsidR="00ED2B5A" w:rsidRPr="00ED2B5A" w:rsidRDefault="00ED2B5A" w:rsidP="00ED2B5A">
      <w:pPr>
        <w:keepNext/>
        <w:keepLines/>
        <w:spacing w:before="40" w:after="0"/>
        <w:outlineLvl w:val="2"/>
        <w:rPr>
          <w:rFonts w:asciiTheme="majorHAnsi" w:eastAsia="Times New Roman" w:hAnsiTheme="majorHAnsi" w:cstheme="majorBidi"/>
          <w:color w:val="0070C0"/>
          <w:sz w:val="24"/>
          <w:szCs w:val="24"/>
          <w:lang w:eastAsia="en-GB"/>
        </w:rPr>
      </w:pPr>
      <w:r w:rsidRPr="00ED2B5A">
        <w:rPr>
          <w:rFonts w:asciiTheme="majorHAnsi" w:eastAsia="Times New Roman" w:hAnsiTheme="majorHAnsi" w:cstheme="majorBidi"/>
          <w:color w:val="0070C0"/>
          <w:sz w:val="24"/>
          <w:szCs w:val="24"/>
          <w:lang w:eastAsia="en-GB"/>
        </w:rPr>
        <w:t>PPIE in trial oversight and operationalisation</w:t>
      </w:r>
    </w:p>
    <w:p w14:paraId="3F2E7241" w14:textId="5700BD05" w:rsidR="00BB2349" w:rsidRDefault="00ED2B5A" w:rsidP="00ED2B5A">
      <w:pPr>
        <w:spacing w:after="0" w:line="360" w:lineRule="auto"/>
        <w:rPr>
          <w:rFonts w:cstheme="minorHAnsi"/>
          <w:color w:val="000000"/>
        </w:rPr>
      </w:pPr>
      <w:r w:rsidRPr="00ED2B5A">
        <w:rPr>
          <w:rFonts w:cstheme="minorHAnsi"/>
          <w:iCs/>
          <w:color w:val="000000"/>
        </w:rPr>
        <w:t xml:space="preserve">The involvement of people living with dementia was rooted strategically and operationally in </w:t>
      </w:r>
      <w:r w:rsidRPr="00ED2B5A">
        <w:rPr>
          <w:rFonts w:eastAsia="Times New Roman" w:cstheme="minorHAnsi"/>
          <w:color w:val="000000"/>
        </w:rPr>
        <w:t>Journeying through Dementia</w:t>
      </w:r>
      <w:r w:rsidRPr="00ED2B5A">
        <w:rPr>
          <w:rFonts w:cstheme="minorHAnsi"/>
          <w:iCs/>
          <w:color w:val="000000"/>
        </w:rPr>
        <w:t xml:space="preserve"> trial governance </w:t>
      </w:r>
      <w:r w:rsidRPr="00ED2B5A">
        <w:rPr>
          <w:rFonts w:cstheme="minorHAnsi"/>
          <w:color w:val="000000"/>
        </w:rPr>
        <w:t xml:space="preserve">and processes. It was embedded in trial oversight through PPIE membership of our Study Advisory Group and of the independent </w:t>
      </w:r>
      <w:bookmarkStart w:id="1" w:name="_Hlk84407367"/>
      <w:r w:rsidRPr="00ED2B5A">
        <w:rPr>
          <w:rFonts w:cstheme="minorHAnsi"/>
          <w:color w:val="000000"/>
        </w:rPr>
        <w:t xml:space="preserve">Trial Steering Committee </w:t>
      </w:r>
      <w:bookmarkEnd w:id="1"/>
      <w:r w:rsidRPr="00ED2B5A">
        <w:rPr>
          <w:rFonts w:cstheme="minorHAnsi"/>
          <w:color w:val="000000"/>
        </w:rPr>
        <w:t xml:space="preserve">as well as being included as a standing agenda item for the Trial Management Group. </w:t>
      </w:r>
      <w:r w:rsidR="00BB2349">
        <w:rPr>
          <w:rFonts w:cstheme="minorHAnsi"/>
          <w:color w:val="000000"/>
        </w:rPr>
        <w:t>The role of each group/committee was as follows:</w:t>
      </w:r>
    </w:p>
    <w:p w14:paraId="07F8CBF3" w14:textId="3DD7F062" w:rsidR="00BB2349" w:rsidRDefault="00BB2349" w:rsidP="00BB2349">
      <w:pPr>
        <w:pStyle w:val="ListParagraph"/>
        <w:numPr>
          <w:ilvl w:val="0"/>
          <w:numId w:val="32"/>
        </w:numPr>
        <w:spacing w:after="0" w:line="360" w:lineRule="auto"/>
        <w:rPr>
          <w:rFonts w:cstheme="minorHAnsi"/>
          <w:color w:val="000000"/>
        </w:rPr>
      </w:pPr>
      <w:r>
        <w:rPr>
          <w:rFonts w:cstheme="minorHAnsi"/>
          <w:color w:val="000000"/>
        </w:rPr>
        <w:t xml:space="preserve">the </w:t>
      </w:r>
      <w:r w:rsidR="005A451C">
        <w:rPr>
          <w:rFonts w:cstheme="minorHAnsi"/>
          <w:color w:val="000000"/>
        </w:rPr>
        <w:t xml:space="preserve">PPIE Study </w:t>
      </w:r>
      <w:r w:rsidR="00FF42BC" w:rsidRPr="00BB2349">
        <w:rPr>
          <w:rFonts w:cstheme="minorHAnsi"/>
          <w:color w:val="000000"/>
        </w:rPr>
        <w:t>Advisory Group provide</w:t>
      </w:r>
      <w:r>
        <w:rPr>
          <w:rFonts w:cstheme="minorHAnsi"/>
          <w:color w:val="000000"/>
        </w:rPr>
        <w:t>d</w:t>
      </w:r>
      <w:r w:rsidR="00FF42BC" w:rsidRPr="00BB2349">
        <w:rPr>
          <w:rFonts w:cstheme="minorHAnsi"/>
          <w:color w:val="000000"/>
        </w:rPr>
        <w:t xml:space="preserve"> advice and guidance to the academic study</w:t>
      </w:r>
      <w:r w:rsidR="005A451C">
        <w:rPr>
          <w:rFonts w:cstheme="minorHAnsi"/>
          <w:color w:val="000000"/>
        </w:rPr>
        <w:t xml:space="preserve"> team </w:t>
      </w:r>
      <w:r w:rsidR="00A5533C">
        <w:rPr>
          <w:rFonts w:cstheme="minorHAnsi"/>
          <w:color w:val="000000"/>
        </w:rPr>
        <w:t>(</w:t>
      </w:r>
      <w:r w:rsidR="001D6A50">
        <w:rPr>
          <w:rFonts w:cstheme="minorHAnsi"/>
          <w:color w:val="000000"/>
        </w:rPr>
        <w:t xml:space="preserve">as </w:t>
      </w:r>
      <w:r w:rsidR="005A451C">
        <w:rPr>
          <w:rFonts w:cstheme="minorHAnsi"/>
          <w:color w:val="000000"/>
        </w:rPr>
        <w:t>described below)</w:t>
      </w:r>
      <w:r w:rsidR="00FF42BC" w:rsidRPr="00BB2349">
        <w:rPr>
          <w:rFonts w:cstheme="minorHAnsi"/>
          <w:color w:val="000000"/>
        </w:rPr>
        <w:t xml:space="preserve"> using </w:t>
      </w:r>
      <w:r w:rsidR="001D6A50">
        <w:rPr>
          <w:rFonts w:cstheme="minorHAnsi"/>
          <w:color w:val="000000"/>
        </w:rPr>
        <w:t xml:space="preserve">their </w:t>
      </w:r>
      <w:r w:rsidR="00FF42BC" w:rsidRPr="00BB2349">
        <w:rPr>
          <w:rFonts w:cstheme="minorHAnsi"/>
          <w:color w:val="000000"/>
        </w:rPr>
        <w:t>experience</w:t>
      </w:r>
      <w:r w:rsidR="001D6A50">
        <w:rPr>
          <w:rFonts w:cstheme="minorHAnsi"/>
          <w:color w:val="000000"/>
        </w:rPr>
        <w:t>s</w:t>
      </w:r>
      <w:r w:rsidR="00FF42BC" w:rsidRPr="00BB2349">
        <w:rPr>
          <w:rFonts w:cstheme="minorHAnsi"/>
          <w:color w:val="000000"/>
        </w:rPr>
        <w:t xml:space="preserve"> to inform study design and decision making</w:t>
      </w:r>
      <w:r>
        <w:rPr>
          <w:rFonts w:cstheme="minorHAnsi"/>
          <w:color w:val="000000"/>
        </w:rPr>
        <w:t>.</w:t>
      </w:r>
    </w:p>
    <w:p w14:paraId="5DDC9F92" w14:textId="14F39871" w:rsidR="005A451C" w:rsidRPr="00BB2349" w:rsidRDefault="005A451C" w:rsidP="005A451C">
      <w:pPr>
        <w:pStyle w:val="ListParagraph"/>
        <w:numPr>
          <w:ilvl w:val="0"/>
          <w:numId w:val="32"/>
        </w:numPr>
        <w:spacing w:after="0" w:line="360" w:lineRule="auto"/>
        <w:rPr>
          <w:rFonts w:cstheme="minorHAnsi"/>
          <w:color w:val="000000"/>
        </w:rPr>
      </w:pPr>
      <w:r>
        <w:rPr>
          <w:rFonts w:eastAsia="Times New Roman" w:cstheme="minorHAnsi"/>
          <w:color w:val="000000"/>
          <w:lang w:eastAsia="en-GB"/>
        </w:rPr>
        <w:t>the Trial Management Group</w:t>
      </w:r>
      <w:r w:rsidR="004E6766">
        <w:rPr>
          <w:rFonts w:eastAsia="Times New Roman" w:cstheme="minorHAnsi"/>
          <w:color w:val="000000"/>
          <w:lang w:eastAsia="en-GB"/>
        </w:rPr>
        <w:t xml:space="preserve"> </w:t>
      </w:r>
      <w:r>
        <w:rPr>
          <w:rFonts w:eastAsia="Times New Roman" w:cstheme="minorHAnsi"/>
          <w:color w:val="000000"/>
          <w:lang w:eastAsia="en-GB"/>
        </w:rPr>
        <w:t xml:space="preserve">provided </w:t>
      </w:r>
      <w:r w:rsidRPr="001C6D2F">
        <w:rPr>
          <w:rFonts w:eastAsia="Times New Roman" w:cstheme="minorHAnsi"/>
          <w:color w:val="000000"/>
          <w:lang w:eastAsia="en-GB"/>
        </w:rPr>
        <w:t>operational management</w:t>
      </w:r>
      <w:r>
        <w:rPr>
          <w:rFonts w:eastAsia="Times New Roman" w:cstheme="minorHAnsi"/>
          <w:color w:val="000000"/>
          <w:lang w:eastAsia="en-GB"/>
        </w:rPr>
        <w:t xml:space="preserve"> of the study. The PPIE lead attended meetings on behalf of the PPIE </w:t>
      </w:r>
      <w:r w:rsidR="004E6766">
        <w:rPr>
          <w:rFonts w:eastAsia="Times New Roman" w:cstheme="minorHAnsi"/>
          <w:color w:val="000000"/>
          <w:lang w:eastAsia="en-GB"/>
        </w:rPr>
        <w:t>Study A</w:t>
      </w:r>
      <w:r>
        <w:rPr>
          <w:rFonts w:eastAsia="Times New Roman" w:cstheme="minorHAnsi"/>
          <w:color w:val="000000"/>
          <w:lang w:eastAsia="en-GB"/>
        </w:rPr>
        <w:t xml:space="preserve">dvisory </w:t>
      </w:r>
      <w:r w:rsidR="004E6766">
        <w:rPr>
          <w:rFonts w:eastAsia="Times New Roman" w:cstheme="minorHAnsi"/>
          <w:color w:val="000000"/>
          <w:lang w:eastAsia="en-GB"/>
        </w:rPr>
        <w:t>G</w:t>
      </w:r>
      <w:r>
        <w:rPr>
          <w:rFonts w:eastAsia="Times New Roman" w:cstheme="minorHAnsi"/>
          <w:color w:val="000000"/>
          <w:lang w:eastAsia="en-GB"/>
        </w:rPr>
        <w:t xml:space="preserve">roup although members could </w:t>
      </w:r>
      <w:r w:rsidR="004E6766">
        <w:rPr>
          <w:rFonts w:eastAsia="Times New Roman" w:cstheme="minorHAnsi"/>
          <w:color w:val="000000"/>
          <w:lang w:eastAsia="en-GB"/>
        </w:rPr>
        <w:t xml:space="preserve">also </w:t>
      </w:r>
      <w:r>
        <w:rPr>
          <w:rFonts w:eastAsia="Times New Roman" w:cstheme="minorHAnsi"/>
          <w:color w:val="000000"/>
          <w:lang w:eastAsia="en-GB"/>
        </w:rPr>
        <w:t xml:space="preserve">attend if they wished. </w:t>
      </w:r>
    </w:p>
    <w:p w14:paraId="1057DE0A" w14:textId="602BE3E4" w:rsidR="00BB2349" w:rsidRPr="00BB2349" w:rsidRDefault="00BB2349" w:rsidP="00BB2349">
      <w:pPr>
        <w:pStyle w:val="ListParagraph"/>
        <w:numPr>
          <w:ilvl w:val="0"/>
          <w:numId w:val="32"/>
        </w:numPr>
        <w:spacing w:after="0" w:line="360" w:lineRule="auto"/>
        <w:rPr>
          <w:rFonts w:cstheme="minorHAnsi"/>
          <w:color w:val="000000"/>
        </w:rPr>
      </w:pPr>
      <w:r>
        <w:rPr>
          <w:rFonts w:eastAsia="Times New Roman" w:cstheme="minorHAnsi"/>
          <w:color w:val="000000"/>
          <w:lang w:eastAsia="en-GB"/>
        </w:rPr>
        <w:t xml:space="preserve">the </w:t>
      </w:r>
      <w:r w:rsidR="00FF42BC" w:rsidRPr="00BB2349">
        <w:rPr>
          <w:rFonts w:eastAsia="Times New Roman" w:cstheme="minorHAnsi"/>
          <w:color w:val="000000"/>
          <w:lang w:eastAsia="en-GB"/>
        </w:rPr>
        <w:t>Trial Steering Committee</w:t>
      </w:r>
      <w:r w:rsidR="008471B0">
        <w:rPr>
          <w:rFonts w:eastAsia="Times New Roman" w:cstheme="minorHAnsi"/>
          <w:color w:val="000000"/>
          <w:lang w:eastAsia="en-GB"/>
        </w:rPr>
        <w:t>, including a PPIE member</w:t>
      </w:r>
      <w:r w:rsidR="001D6A50">
        <w:rPr>
          <w:rFonts w:eastAsia="Times New Roman" w:cstheme="minorHAnsi"/>
          <w:color w:val="000000"/>
          <w:lang w:eastAsia="en-GB"/>
        </w:rPr>
        <w:t xml:space="preserve"> (who was not a member of the Study Advisory Group</w:t>
      </w:r>
      <w:r w:rsidR="008471B0">
        <w:rPr>
          <w:rFonts w:eastAsia="Times New Roman" w:cstheme="minorHAnsi"/>
          <w:color w:val="000000"/>
          <w:lang w:eastAsia="en-GB"/>
        </w:rPr>
        <w:t>,</w:t>
      </w:r>
      <w:r w:rsidR="00FF42BC" w:rsidRPr="00BB2349">
        <w:rPr>
          <w:rFonts w:eastAsia="Times New Roman" w:cstheme="minorHAnsi"/>
          <w:color w:val="000000"/>
          <w:lang w:eastAsia="en-GB"/>
        </w:rPr>
        <w:t xml:space="preserve"> provide</w:t>
      </w:r>
      <w:r>
        <w:rPr>
          <w:rFonts w:eastAsia="Times New Roman" w:cstheme="minorHAnsi"/>
          <w:color w:val="000000"/>
          <w:lang w:eastAsia="en-GB"/>
        </w:rPr>
        <w:t>d</w:t>
      </w:r>
      <w:r w:rsidR="00FF42BC" w:rsidRPr="00BB2349">
        <w:rPr>
          <w:rFonts w:eastAsia="Times New Roman" w:cstheme="minorHAnsi"/>
          <w:color w:val="000000"/>
          <w:lang w:eastAsia="en-GB"/>
        </w:rPr>
        <w:t xml:space="preserve"> </w:t>
      </w:r>
      <w:r w:rsidR="001D6A50">
        <w:rPr>
          <w:rFonts w:eastAsia="Times New Roman" w:cstheme="minorHAnsi"/>
          <w:color w:val="000000"/>
          <w:lang w:eastAsia="en-GB"/>
        </w:rPr>
        <w:t xml:space="preserve">independent </w:t>
      </w:r>
      <w:r w:rsidR="00FF42BC" w:rsidRPr="00BB2349">
        <w:rPr>
          <w:rFonts w:eastAsia="Times New Roman" w:cstheme="minorHAnsi"/>
          <w:color w:val="000000"/>
          <w:lang w:eastAsia="en-GB"/>
        </w:rPr>
        <w:t>study supervision, monitor</w:t>
      </w:r>
      <w:r>
        <w:rPr>
          <w:rFonts w:eastAsia="Times New Roman" w:cstheme="minorHAnsi"/>
          <w:color w:val="000000"/>
          <w:lang w:eastAsia="en-GB"/>
        </w:rPr>
        <w:t>ed</w:t>
      </w:r>
      <w:r w:rsidR="00FF42BC" w:rsidRPr="00BB2349">
        <w:rPr>
          <w:rFonts w:eastAsia="Times New Roman" w:cstheme="minorHAnsi"/>
          <w:color w:val="000000"/>
          <w:lang w:eastAsia="en-GB"/>
        </w:rPr>
        <w:t xml:space="preserve"> conduct and progress and ensure</w:t>
      </w:r>
      <w:r>
        <w:rPr>
          <w:rFonts w:eastAsia="Times New Roman" w:cstheme="minorHAnsi"/>
          <w:color w:val="000000"/>
          <w:lang w:eastAsia="en-GB"/>
        </w:rPr>
        <w:t>d</w:t>
      </w:r>
      <w:r w:rsidR="00FF42BC" w:rsidRPr="00BB2349">
        <w:rPr>
          <w:rFonts w:eastAsia="Times New Roman" w:cstheme="minorHAnsi"/>
          <w:color w:val="000000"/>
          <w:lang w:eastAsia="en-GB"/>
        </w:rPr>
        <w:t xml:space="preserve"> that the safety and well-being of study participants</w:t>
      </w:r>
      <w:r>
        <w:rPr>
          <w:rFonts w:eastAsia="Times New Roman" w:cstheme="minorHAnsi"/>
          <w:color w:val="000000"/>
          <w:lang w:eastAsia="en-GB"/>
        </w:rPr>
        <w:t xml:space="preserve"> was</w:t>
      </w:r>
      <w:r w:rsidR="00FF42BC" w:rsidRPr="00713396">
        <w:rPr>
          <w:rFonts w:eastAsia="Times New Roman" w:cstheme="minorHAnsi"/>
          <w:color w:val="000000"/>
          <w:lang w:eastAsia="en-GB"/>
        </w:rPr>
        <w:t xml:space="preserve"> upheld </w:t>
      </w:r>
      <w:r w:rsidR="00FF42BC" w:rsidRPr="00BB2349">
        <w:rPr>
          <w:rFonts w:eastAsia="Times New Roman" w:cstheme="minorHAnsi"/>
          <w:noProof/>
          <w:color w:val="000000"/>
          <w:lang w:eastAsia="en-GB"/>
        </w:rPr>
        <w:t>(National Institute for Health and Care Excellence, 2019)</w:t>
      </w:r>
      <w:r w:rsidR="00FF42BC" w:rsidRPr="00BB2349">
        <w:rPr>
          <w:rFonts w:eastAsia="Times New Roman" w:cstheme="minorHAnsi"/>
          <w:color w:val="000000"/>
          <w:lang w:eastAsia="en-GB"/>
        </w:rPr>
        <w:t xml:space="preserve">. </w:t>
      </w:r>
    </w:p>
    <w:p w14:paraId="6E6C6F4F" w14:textId="5DE19D3E" w:rsidR="00BB2349" w:rsidRDefault="00BB2349" w:rsidP="00BB2349">
      <w:pPr>
        <w:spacing w:after="0" w:line="360" w:lineRule="auto"/>
        <w:ind w:left="360"/>
        <w:rPr>
          <w:rFonts w:eastAsia="Times New Roman" w:cstheme="minorHAnsi"/>
          <w:bCs/>
          <w:color w:val="000000"/>
          <w:lang w:eastAsia="en-GB"/>
        </w:rPr>
      </w:pPr>
    </w:p>
    <w:p w14:paraId="48DC86F3" w14:textId="2173B17B" w:rsidR="00ED2B5A" w:rsidRPr="00BB2349" w:rsidRDefault="00ED2B5A" w:rsidP="00BB2349">
      <w:pPr>
        <w:spacing w:after="0" w:line="360" w:lineRule="auto"/>
        <w:ind w:left="360"/>
        <w:rPr>
          <w:rFonts w:cstheme="minorHAnsi"/>
          <w:color w:val="000000"/>
        </w:rPr>
      </w:pPr>
      <w:r w:rsidRPr="00BB2349">
        <w:rPr>
          <w:rFonts w:eastAsia="Times New Roman" w:cstheme="minorHAnsi"/>
          <w:bCs/>
          <w:color w:val="000000"/>
          <w:lang w:eastAsia="en-GB"/>
        </w:rPr>
        <w:t xml:space="preserve">As it is important to provide a bridge between PPIE and researchers </w:t>
      </w:r>
      <w:r w:rsidR="00D81A5C" w:rsidRPr="00BB2349">
        <w:rPr>
          <w:rFonts w:eastAsia="Times New Roman" w:cstheme="minorHAnsi"/>
          <w:bCs/>
          <w:noProof/>
          <w:color w:val="000000"/>
          <w:lang w:eastAsia="en-GB"/>
        </w:rPr>
        <w:t>(Mathie et al., 2020)</w:t>
      </w:r>
      <w:r w:rsidRPr="00BB2349">
        <w:rPr>
          <w:rFonts w:eastAsia="Times New Roman" w:cstheme="minorHAnsi"/>
          <w:bCs/>
          <w:color w:val="000000"/>
          <w:lang w:eastAsia="en-GB"/>
        </w:rPr>
        <w:t>, a</w:t>
      </w:r>
      <w:r w:rsidRPr="00BB2349">
        <w:rPr>
          <w:rFonts w:cstheme="minorHAnsi"/>
          <w:color w:val="000000"/>
        </w:rPr>
        <w:t xml:space="preserve"> cycle of identifying activities, discussion, reporting and taking action was established between PPIE advisors and the management and oversight committees; </w:t>
      </w:r>
      <w:r w:rsidRPr="00BB2349">
        <w:rPr>
          <w:rFonts w:eastAsia="Times New Roman" w:cstheme="minorHAnsi"/>
          <w:bCs/>
          <w:color w:val="000000"/>
          <w:lang w:eastAsia="en-GB"/>
        </w:rPr>
        <w:t xml:space="preserve">see figure 1. </w:t>
      </w:r>
    </w:p>
    <w:p w14:paraId="4F31FB8F" w14:textId="77777777" w:rsidR="00ED2B5A" w:rsidRPr="00ED2B5A" w:rsidRDefault="00ED2B5A" w:rsidP="00ED2B5A">
      <w:pPr>
        <w:spacing w:after="0" w:line="360" w:lineRule="auto"/>
        <w:rPr>
          <w:rFonts w:cstheme="minorHAnsi"/>
          <w:noProof/>
          <w:sz w:val="24"/>
          <w:szCs w:val="24"/>
          <w:lang w:eastAsia="en-GB"/>
        </w:rPr>
      </w:pPr>
      <w:r w:rsidRPr="00ED2B5A">
        <w:rPr>
          <w:noProof/>
        </w:rPr>
        <w:lastRenderedPageBreak/>
        <w:drawing>
          <wp:inline distT="0" distB="0" distL="0" distR="0" wp14:anchorId="2DFC2185" wp14:editId="576AFEF6">
            <wp:extent cx="5429250" cy="3568700"/>
            <wp:effectExtent l="0" t="0" r="0" b="0"/>
            <wp:docPr id="1" name="Diagram 1">
              <a:extLst xmlns:a="http://schemas.openxmlformats.org/drawingml/2006/main">
                <a:ext uri="{FF2B5EF4-FFF2-40B4-BE49-F238E27FC236}">
                  <a16:creationId xmlns:a16="http://schemas.microsoft.com/office/drawing/2014/main" id="{26835FF8-9CD4-4351-8147-FBE156BB70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8C6A46" w14:textId="77777777" w:rsidR="00ED2B5A" w:rsidRPr="00ED2B5A" w:rsidRDefault="00ED2B5A" w:rsidP="00ED2B5A">
      <w:pPr>
        <w:spacing w:after="0" w:line="360" w:lineRule="auto"/>
        <w:rPr>
          <w:rFonts w:eastAsia="Times New Roman" w:cstheme="minorHAnsi"/>
          <w:b/>
          <w:color w:val="000000"/>
          <w:lang w:eastAsia="en-GB"/>
        </w:rPr>
      </w:pPr>
      <w:r w:rsidRPr="00ED2B5A">
        <w:rPr>
          <w:rFonts w:eastAsia="Times New Roman" w:cstheme="minorHAnsi"/>
          <w:b/>
          <w:color w:val="000000"/>
          <w:lang w:eastAsia="en-GB"/>
        </w:rPr>
        <w:t xml:space="preserve">Figure 1: PPIE cycle of discussion, implementation, and feedback </w:t>
      </w:r>
    </w:p>
    <w:p w14:paraId="64D5EAA6" w14:textId="54D182EE" w:rsidR="00ED2B5A" w:rsidRDefault="00ED2B5A" w:rsidP="00ED2B5A">
      <w:pPr>
        <w:spacing w:after="0" w:line="360" w:lineRule="auto"/>
        <w:rPr>
          <w:rFonts w:eastAsia="Times New Roman" w:cstheme="minorHAnsi"/>
          <w:color w:val="000000"/>
          <w:lang w:eastAsia="en-GB"/>
        </w:rPr>
      </w:pPr>
    </w:p>
    <w:p w14:paraId="0498D18F" w14:textId="2DD46B76" w:rsidR="006F7295" w:rsidRDefault="006F7295" w:rsidP="00ED2B5A">
      <w:pPr>
        <w:spacing w:after="0" w:line="360" w:lineRule="auto"/>
        <w:rPr>
          <w:rFonts w:cstheme="minorHAnsi"/>
          <w:color w:val="000000"/>
        </w:rPr>
      </w:pPr>
      <w:r>
        <w:rPr>
          <w:rFonts w:cstheme="minorHAnsi"/>
          <w:color w:val="000000"/>
        </w:rPr>
        <w:t xml:space="preserve">Strategies to support PPIE engagement in the trial tended to be researcher led in the first instance, for example using knowledge of best practice and observation of coping mechanisms of our PPIE members. This was then followed by PPIE member feedback which was used to inform better working practices to support engagement. For example, the research team initially identified dementia friendly venues to hold the PPIE meetings in the community. Difficulties in accessing a venue led to the group discussing other options, as well as improvements to the directions to the venue.  Strategies to support engagement were therefore an iterative process throughout the trial as the PPIE group evolved (see figure 1.).  </w:t>
      </w:r>
    </w:p>
    <w:p w14:paraId="492B6C80" w14:textId="77777777" w:rsidR="006F7295" w:rsidRPr="00ED2B5A" w:rsidRDefault="006F7295" w:rsidP="00ED2B5A">
      <w:pPr>
        <w:spacing w:after="0" w:line="360" w:lineRule="auto"/>
        <w:rPr>
          <w:rFonts w:eastAsia="Times New Roman" w:cstheme="minorHAnsi"/>
          <w:color w:val="000000"/>
          <w:lang w:eastAsia="en-GB"/>
        </w:rPr>
      </w:pPr>
    </w:p>
    <w:p w14:paraId="7D97DFBB" w14:textId="77777777" w:rsidR="00ED2B5A" w:rsidRPr="00ED2B5A" w:rsidRDefault="00ED2B5A" w:rsidP="00ED2B5A">
      <w:pPr>
        <w:keepNext/>
        <w:keepLines/>
        <w:spacing w:before="40" w:after="0"/>
        <w:outlineLvl w:val="2"/>
        <w:rPr>
          <w:rFonts w:asciiTheme="majorHAnsi" w:eastAsiaTheme="majorEastAsia" w:hAnsiTheme="majorHAnsi" w:cstheme="majorBidi"/>
          <w:color w:val="0070C0"/>
          <w:sz w:val="24"/>
          <w:szCs w:val="24"/>
        </w:rPr>
      </w:pPr>
      <w:r w:rsidRPr="00ED2B5A">
        <w:rPr>
          <w:rFonts w:asciiTheme="majorHAnsi" w:eastAsiaTheme="majorEastAsia" w:hAnsiTheme="majorHAnsi" w:cstheme="majorBidi"/>
          <w:color w:val="0070C0"/>
          <w:sz w:val="24"/>
          <w:szCs w:val="24"/>
        </w:rPr>
        <w:t>PPIE Recruitment</w:t>
      </w:r>
    </w:p>
    <w:p w14:paraId="466F0BAF" w14:textId="77777777"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 xml:space="preserve">Recruitment of PPIE volunteers for membership of the Trial Steering Committee proved challenging. One person living with dementia, who was already active in research and known to the Trial Steering Committee members through existing research networks, was approached to join the Committee ahead of the inaugural meeting and remained a member throughout the four-year trial, attending every meeting. Although the initial intention had been to involve two PPIE members, we found it difficult to recruit a second member to provide cover, support and spread the workload. This may have been due to the four year time commitment, or perceptions of the necessary confidence and skills for this more formal role.  </w:t>
      </w:r>
    </w:p>
    <w:p w14:paraId="2D201111" w14:textId="77777777" w:rsidR="00ED2B5A" w:rsidRPr="00ED2B5A" w:rsidRDefault="00ED2B5A" w:rsidP="00ED2B5A">
      <w:pPr>
        <w:spacing w:after="0" w:line="360" w:lineRule="auto"/>
        <w:rPr>
          <w:rFonts w:eastAsia="Times New Roman" w:cstheme="minorHAnsi"/>
          <w:color w:val="000000"/>
          <w:lang w:eastAsia="en-GB"/>
        </w:rPr>
      </w:pPr>
    </w:p>
    <w:p w14:paraId="423B8082" w14:textId="27098043" w:rsidR="00ED2B5A" w:rsidRPr="00ED2B5A" w:rsidRDefault="00ED2B5A" w:rsidP="00ED2B5A">
      <w:pPr>
        <w:spacing w:after="0" w:line="360" w:lineRule="auto"/>
        <w:rPr>
          <w:rFonts w:cstheme="minorHAnsi"/>
        </w:rPr>
      </w:pPr>
      <w:r w:rsidRPr="00ED2B5A">
        <w:rPr>
          <w:rFonts w:cstheme="minorHAnsi"/>
          <w:bCs/>
        </w:rPr>
        <w:t xml:space="preserve">We </w:t>
      </w:r>
      <w:r w:rsidR="00583D03">
        <w:rPr>
          <w:rFonts w:cstheme="minorHAnsi"/>
          <w:bCs/>
        </w:rPr>
        <w:t>established</w:t>
      </w:r>
      <w:r w:rsidRPr="00ED2B5A">
        <w:rPr>
          <w:rFonts w:cstheme="minorHAnsi"/>
          <w:bCs/>
        </w:rPr>
        <w:t xml:space="preserve"> a PPIE advisory group to provide advice and guidance to the Trial Management Group throughout, thereby ensuring that our approach remained relevant and accessible to people living with dementia from recruitment to dissemination. </w:t>
      </w:r>
      <w:r w:rsidRPr="00ED2B5A">
        <w:rPr>
          <w:rFonts w:cstheme="minorHAnsi"/>
          <w:color w:val="000000"/>
        </w:rPr>
        <w:t xml:space="preserve">Recruitment to the PPIE study advisory group was through the existing University of Bradford ‘Experts by Experience’ cohort of people with a diagnosis of dementia and </w:t>
      </w:r>
      <w:r w:rsidR="00592BE7">
        <w:rPr>
          <w:rFonts w:cstheme="minorHAnsi"/>
          <w:color w:val="000000"/>
        </w:rPr>
        <w:t>supporter</w:t>
      </w:r>
      <w:r w:rsidRPr="00ED2B5A">
        <w:rPr>
          <w:rFonts w:cstheme="minorHAnsi"/>
          <w:color w:val="000000"/>
        </w:rPr>
        <w:t xml:space="preserve">s who volunteer to be involved in research and education </w:t>
      </w:r>
      <w:r w:rsidR="00D81A5C">
        <w:rPr>
          <w:rFonts w:cstheme="minorHAnsi"/>
          <w:noProof/>
          <w:color w:val="000000"/>
        </w:rPr>
        <w:t>(University of Bradford)</w:t>
      </w:r>
      <w:r w:rsidRPr="00ED2B5A">
        <w:rPr>
          <w:rFonts w:cstheme="minorHAnsi"/>
          <w:color w:val="000000"/>
        </w:rPr>
        <w:t xml:space="preserve">. We recruited individuals who were new to the cohort as well as long-standing members who may have had previous involvement in research. Consequently, some PPIE members had a deeper understanding of research than others. Initially the PPIE lead, and a second member of the research team conducted individual consultations with potential volunteers to explain the trial and what their involvement in the advisory group would entail. They emphasised to each potential volunteer that they could engage in as much or as little as they chose and that involvement in just one event would be valuable. </w:t>
      </w:r>
      <w:r w:rsidRPr="00ED2B5A">
        <w:rPr>
          <w:rFonts w:cstheme="minorHAnsi"/>
          <w:bCs/>
        </w:rPr>
        <w:t xml:space="preserve">Although interest in joining the group was high, with 10 applicants for the first meeting in July 2017, meeting attendance was initially poor (three people) due to a clash with another meeting held by a local dementia support group. However, </w:t>
      </w:r>
      <w:r w:rsidRPr="00ED2B5A">
        <w:rPr>
          <w:rFonts w:cstheme="minorHAnsi"/>
          <w:color w:val="000000"/>
        </w:rPr>
        <w:t xml:space="preserve">the advisory group continued to meet between July 2017 and October 2019 and numbers steadily </w:t>
      </w:r>
      <w:r w:rsidRPr="00ED2B5A">
        <w:rPr>
          <w:rFonts w:cstheme="minorHAnsi"/>
        </w:rPr>
        <w:t xml:space="preserve">increased to 12. Several people with dementia attended with a spouse or another family member but others attended alone. Some changes in membership took place over time due to a change in commitments, through illness, and progression of dementia. The group were predominantly white and therefore did not reflect diversity and the experience of dementia by other ethnicities or social groups </w:t>
      </w:r>
      <w:r w:rsidR="00D81A5C">
        <w:rPr>
          <w:rFonts w:cstheme="minorHAnsi"/>
          <w:noProof/>
        </w:rPr>
        <w:t>(Burton et al., 2019)</w:t>
      </w:r>
      <w:r w:rsidRPr="00ED2B5A">
        <w:rPr>
          <w:rFonts w:cstheme="minorHAnsi"/>
        </w:rPr>
        <w:t xml:space="preserve">. </w:t>
      </w:r>
      <w:r w:rsidRPr="00ED2B5A">
        <w:rPr>
          <w:rFonts w:cstheme="minorHAnsi"/>
          <w:bCs/>
        </w:rPr>
        <w:t>Another limitation was the lack of representativeness of PPIE advisors across the different geographical areas represented in recruitment to the trial.  However, the limited geography enabled face-to-face meetings rather than making use of virtual meetings which was not exploited at the time.</w:t>
      </w:r>
    </w:p>
    <w:p w14:paraId="7FBDD211" w14:textId="77777777" w:rsidR="00ED2B5A" w:rsidRPr="00ED2B5A" w:rsidRDefault="00ED2B5A" w:rsidP="00ED2B5A">
      <w:pPr>
        <w:spacing w:after="0" w:line="360" w:lineRule="auto"/>
        <w:rPr>
          <w:rFonts w:eastAsia="Times New Roman" w:cstheme="minorHAnsi"/>
          <w:color w:val="000000"/>
          <w:lang w:eastAsia="en-GB"/>
        </w:rPr>
      </w:pPr>
    </w:p>
    <w:p w14:paraId="3030C406" w14:textId="77777777" w:rsidR="00ED2B5A" w:rsidRPr="00ED2B5A" w:rsidRDefault="00ED2B5A" w:rsidP="00ED2B5A">
      <w:pPr>
        <w:keepNext/>
        <w:keepLines/>
        <w:spacing w:before="40" w:after="0"/>
        <w:outlineLvl w:val="2"/>
        <w:rPr>
          <w:rFonts w:asciiTheme="majorHAnsi" w:eastAsiaTheme="majorEastAsia" w:hAnsiTheme="majorHAnsi" w:cstheme="majorBidi"/>
          <w:color w:val="0070C0"/>
          <w:sz w:val="24"/>
          <w:szCs w:val="24"/>
        </w:rPr>
      </w:pPr>
      <w:r w:rsidRPr="00ED2B5A">
        <w:rPr>
          <w:rFonts w:asciiTheme="majorHAnsi" w:eastAsiaTheme="majorEastAsia" w:hAnsiTheme="majorHAnsi" w:cstheme="majorBidi"/>
          <w:color w:val="0070C0"/>
          <w:sz w:val="24"/>
          <w:szCs w:val="24"/>
        </w:rPr>
        <w:t>Supporting PPIE involvement</w:t>
      </w:r>
    </w:p>
    <w:p w14:paraId="59DCD8BE" w14:textId="77777777" w:rsidR="00ED2B5A" w:rsidRPr="00ED2B5A" w:rsidRDefault="00ED2B5A" w:rsidP="00ED2B5A">
      <w:pPr>
        <w:keepNext/>
        <w:keepLines/>
        <w:spacing w:before="40" w:after="0" w:line="360" w:lineRule="auto"/>
        <w:outlineLvl w:val="3"/>
        <w:rPr>
          <w:rFonts w:asciiTheme="majorHAnsi" w:eastAsia="Times New Roman" w:hAnsiTheme="majorHAnsi" w:cstheme="majorBidi"/>
          <w:i/>
          <w:iCs/>
          <w:lang w:eastAsia="en-GB"/>
        </w:rPr>
      </w:pPr>
      <w:r w:rsidRPr="00ED2B5A">
        <w:rPr>
          <w:rFonts w:asciiTheme="majorHAnsi" w:eastAsia="Times New Roman" w:hAnsiTheme="majorHAnsi" w:cstheme="majorBidi"/>
          <w:i/>
          <w:iCs/>
          <w:lang w:eastAsia="en-GB"/>
        </w:rPr>
        <w:t>Trial Steering Committee</w:t>
      </w:r>
    </w:p>
    <w:p w14:paraId="0873E491" w14:textId="3C281308"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 xml:space="preserve">The Trial Steering Committee for the </w:t>
      </w:r>
      <w:r w:rsidRPr="00ED2B5A">
        <w:rPr>
          <w:rFonts w:eastAsia="Times New Roman" w:cstheme="minorHAnsi"/>
          <w:color w:val="000000"/>
        </w:rPr>
        <w:t>Journeying through Dementia</w:t>
      </w:r>
      <w:r w:rsidRPr="00ED2B5A">
        <w:rPr>
          <w:rFonts w:eastAsia="Times New Roman" w:cstheme="minorHAnsi"/>
          <w:color w:val="000000"/>
          <w:lang w:eastAsia="en-GB"/>
        </w:rPr>
        <w:t xml:space="preserve"> trial met twice yearly and involved members from clinical, academic and PPIE backgrounds. </w:t>
      </w:r>
    </w:p>
    <w:p w14:paraId="61144599" w14:textId="77777777" w:rsidR="00ED2B5A" w:rsidRPr="00ED2B5A" w:rsidRDefault="00ED2B5A" w:rsidP="00ED2B5A">
      <w:pPr>
        <w:spacing w:after="0" w:line="360" w:lineRule="auto"/>
        <w:rPr>
          <w:rFonts w:eastAsia="Times New Roman" w:cstheme="minorHAnsi"/>
          <w:color w:val="000000"/>
          <w:lang w:eastAsia="en-GB"/>
        </w:rPr>
      </w:pPr>
    </w:p>
    <w:p w14:paraId="61BEDDE4" w14:textId="4DD183E7" w:rsidR="00ED2B5A" w:rsidRPr="00ED2B5A" w:rsidRDefault="00ED2B5A" w:rsidP="00ED2B5A">
      <w:pPr>
        <w:spacing w:after="0" w:line="360" w:lineRule="auto"/>
        <w:rPr>
          <w:rFonts w:cstheme="minorHAnsi"/>
        </w:rPr>
      </w:pPr>
      <w:r w:rsidRPr="00ED2B5A">
        <w:rPr>
          <w:rFonts w:cstheme="minorHAnsi"/>
        </w:rPr>
        <w:t xml:space="preserve">To ensure that our Trial Steering Committee PPIE member was fully informed time was taken by the Chair and/or Trial Manager prior to each meeting to annotate any associated paperwork or preparatory materials. During meetings, the PPIE member sat adjacent to the Chair to facilitate communications. The responsibilities of the Chair were to ensure that the PPIE member understood all discussions throughout, including limiting the use of acronyms and overly technical language by </w:t>
      </w:r>
      <w:r w:rsidRPr="00ED2B5A">
        <w:rPr>
          <w:rFonts w:cstheme="minorHAnsi"/>
        </w:rPr>
        <w:lastRenderedPageBreak/>
        <w:t xml:space="preserve">all members and providing time for the PPIE member to consider and respond to an agenda item or question. With these adjustments in place the PPIE member was able to provide unique insights from the perspective of someone living with dementia and made significant contributions in key areas and documented her experiences of being involved in the trial as an adviser in her blog. </w:t>
      </w:r>
      <w:r w:rsidRPr="00ED2B5A">
        <w:t>The following quotes</w:t>
      </w:r>
      <w:r w:rsidR="00F8107B">
        <w:t xml:space="preserve">, obtained with verbal consent, </w:t>
      </w:r>
      <w:r w:rsidR="00113260">
        <w:t xml:space="preserve">from their </w:t>
      </w:r>
      <w:r w:rsidR="00F8107B">
        <w:t xml:space="preserve">publicly available </w:t>
      </w:r>
      <w:r w:rsidR="00113260">
        <w:t>blog</w:t>
      </w:r>
      <w:r w:rsidR="00F01A7F">
        <w:t>, “Which</w:t>
      </w:r>
      <w:r w:rsidR="00F40FE7">
        <w:t xml:space="preserve"> </w:t>
      </w:r>
      <w:r w:rsidR="00F01A7F">
        <w:t>me</w:t>
      </w:r>
      <w:r w:rsidR="00F40FE7">
        <w:t xml:space="preserve"> </w:t>
      </w:r>
      <w:r w:rsidR="00F01A7F">
        <w:t>am</w:t>
      </w:r>
      <w:r w:rsidR="00F40FE7">
        <w:t xml:space="preserve"> </w:t>
      </w:r>
      <w:r w:rsidR="00F01A7F">
        <w:t>I</w:t>
      </w:r>
      <w:r w:rsidR="00F40FE7">
        <w:t xml:space="preserve"> </w:t>
      </w:r>
      <w:r w:rsidR="00F01A7F">
        <w:t>today”</w:t>
      </w:r>
      <w:r w:rsidR="00F40FE7">
        <w:rPr>
          <w:noProof/>
        </w:rPr>
        <w:t>(Mitchell W, 2014)</w:t>
      </w:r>
      <w:r w:rsidRPr="00ED2B5A">
        <w:t xml:space="preserve"> illustrates their contribution and participation in the Trial Steering Committee. </w:t>
      </w:r>
    </w:p>
    <w:p w14:paraId="72534F76" w14:textId="77777777" w:rsidR="00ED2B5A" w:rsidRPr="00ED2B5A" w:rsidRDefault="00ED2B5A" w:rsidP="00ED2B5A">
      <w:pPr>
        <w:spacing w:after="0" w:line="360" w:lineRule="auto"/>
        <w:rPr>
          <w:rFonts w:cstheme="minorHAnsi"/>
        </w:rPr>
      </w:pPr>
    </w:p>
    <w:p w14:paraId="011C67B1" w14:textId="77777777" w:rsidR="00ED2B5A" w:rsidRPr="00ED2B5A" w:rsidRDefault="00ED2B5A" w:rsidP="00ED2B5A">
      <w:pPr>
        <w:shd w:val="clear" w:color="auto" w:fill="FFFFFF"/>
        <w:spacing w:after="0" w:line="360" w:lineRule="auto"/>
        <w:ind w:left="720"/>
        <w:rPr>
          <w:rFonts w:eastAsia="Times New Roman" w:cstheme="minorHAnsi"/>
          <w:i/>
          <w:iCs/>
          <w:noProof/>
          <w:color w:val="141412"/>
          <w:lang w:eastAsia="en-GB"/>
        </w:rPr>
      </w:pPr>
      <w:r w:rsidRPr="00ED2B5A">
        <w:rPr>
          <w:rFonts w:eastAsia="Times New Roman" w:cstheme="minorHAnsi"/>
          <w:i/>
          <w:iCs/>
          <w:color w:val="141412"/>
          <w:lang w:eastAsia="en-GB"/>
        </w:rPr>
        <w:t>“Many of the [meeting] papers were way beyond me but [name] had put a friendly post-it on each one telling me what each paper was about – wonderful idea. Definitely worth a brownie point</w:t>
      </w:r>
      <w:r w:rsidRPr="00ED2B5A">
        <w:rPr>
          <w:rFonts w:eastAsia="Times New Roman" w:cstheme="minorHAnsi"/>
          <w:i/>
          <w:iCs/>
          <w:noProof/>
          <w:color w:val="141412"/>
          <w:lang w:eastAsia="en-GB"/>
        </w:rPr>
        <w:t>.”</w:t>
      </w:r>
      <w:r w:rsidRPr="00ED2B5A">
        <w:rPr>
          <w:rFonts w:ascii="Times New Roman" w:eastAsia="Times New Roman" w:hAnsi="Times New Roman" w:cs="Times New Roman"/>
          <w:sz w:val="24"/>
          <w:szCs w:val="24"/>
          <w:lang w:eastAsia="en-GB"/>
        </w:rPr>
        <w:t xml:space="preserve"> </w:t>
      </w:r>
      <w:r w:rsidRPr="00ED2B5A">
        <w:rPr>
          <w:rFonts w:eastAsia="Times New Roman" w:cstheme="minorHAnsi"/>
          <w:noProof/>
          <w:color w:val="141412"/>
          <w:lang w:eastAsia="en-GB"/>
        </w:rPr>
        <w:t>Trial Steering Committee</w:t>
      </w:r>
      <w:r w:rsidRPr="00ED2B5A">
        <w:rPr>
          <w:rFonts w:eastAsia="Times New Roman" w:cstheme="minorHAnsi"/>
          <w:color w:val="141412"/>
          <w:lang w:eastAsia="en-GB"/>
        </w:rPr>
        <w:t xml:space="preserve"> PPIE member</w:t>
      </w:r>
    </w:p>
    <w:p w14:paraId="39C2B4A9" w14:textId="77777777" w:rsidR="00ED2B5A" w:rsidRPr="00ED2B5A" w:rsidRDefault="00ED2B5A" w:rsidP="00ED2B5A">
      <w:pPr>
        <w:shd w:val="clear" w:color="auto" w:fill="FFFFFF"/>
        <w:spacing w:after="0" w:line="360" w:lineRule="auto"/>
        <w:ind w:left="720"/>
        <w:rPr>
          <w:rFonts w:eastAsia="Times New Roman" w:cstheme="minorHAnsi"/>
          <w:i/>
          <w:iCs/>
          <w:color w:val="141412"/>
          <w:lang w:eastAsia="en-GB"/>
        </w:rPr>
      </w:pPr>
    </w:p>
    <w:p w14:paraId="7D999C8C" w14:textId="77777777" w:rsidR="00ED2B5A" w:rsidRPr="00ED2B5A" w:rsidRDefault="00ED2B5A" w:rsidP="00ED2B5A">
      <w:pPr>
        <w:shd w:val="clear" w:color="auto" w:fill="FFFFFF"/>
        <w:spacing w:after="0" w:line="360" w:lineRule="auto"/>
        <w:ind w:left="720"/>
        <w:rPr>
          <w:rFonts w:eastAsia="Times New Roman" w:cstheme="minorHAnsi"/>
          <w:i/>
          <w:iCs/>
          <w:color w:val="141412"/>
          <w:lang w:eastAsia="en-GB"/>
        </w:rPr>
      </w:pPr>
      <w:r w:rsidRPr="00ED2B5A">
        <w:rPr>
          <w:rFonts w:eastAsia="Times New Roman" w:cstheme="minorHAnsi"/>
          <w:i/>
          <w:iCs/>
          <w:color w:val="141412"/>
          <w:lang w:eastAsia="en-GB"/>
        </w:rPr>
        <w:t>“I raised the question of the reality of relying on our [participants with dementia] answers in follow-ups. And that raised a whole issue of current practices. I said that even if it shows how the current practices need to be revisited, that’s a good outcome. I said revisits 8 months after an event and asking us to recollect is a tad adventurous. We don’t like to feel embarrassed at not remembering so may make things up so we don’t look stupid……or we simply give an answer that comes to mind today</w:t>
      </w:r>
      <w:r w:rsidRPr="00ED2B5A">
        <w:rPr>
          <w:rFonts w:eastAsia="Times New Roman" w:cstheme="minorHAnsi"/>
          <w:color w:val="141412"/>
          <w:lang w:eastAsia="en-GB"/>
        </w:rPr>
        <w:t xml:space="preserve">.” </w:t>
      </w:r>
      <w:r w:rsidRPr="00ED2B5A">
        <w:rPr>
          <w:rFonts w:eastAsia="Times New Roman" w:cstheme="minorHAnsi"/>
          <w:noProof/>
          <w:color w:val="141412"/>
          <w:lang w:eastAsia="en-GB"/>
        </w:rPr>
        <w:t>Trial Steering Committee</w:t>
      </w:r>
      <w:r w:rsidRPr="00ED2B5A">
        <w:rPr>
          <w:rFonts w:eastAsia="Times New Roman" w:cstheme="minorHAnsi"/>
          <w:color w:val="141412"/>
          <w:lang w:eastAsia="en-GB"/>
        </w:rPr>
        <w:t xml:space="preserve"> PPIE member</w:t>
      </w:r>
    </w:p>
    <w:p w14:paraId="09179469" w14:textId="77777777" w:rsidR="00ED2B5A" w:rsidRPr="00ED2B5A" w:rsidRDefault="00ED2B5A" w:rsidP="00ED2B5A">
      <w:pPr>
        <w:spacing w:after="0" w:line="360" w:lineRule="auto"/>
        <w:rPr>
          <w:rFonts w:eastAsia="Times New Roman" w:cstheme="minorHAnsi"/>
          <w:b/>
          <w:bCs/>
          <w:color w:val="000000"/>
          <w:lang w:eastAsia="en-GB"/>
        </w:rPr>
      </w:pPr>
    </w:p>
    <w:p w14:paraId="68A522D6" w14:textId="77777777" w:rsidR="00ED2B5A" w:rsidRPr="00ED2B5A" w:rsidRDefault="00ED2B5A" w:rsidP="00ED2B5A">
      <w:pPr>
        <w:keepNext/>
        <w:keepLines/>
        <w:spacing w:before="40" w:after="0" w:line="360" w:lineRule="auto"/>
        <w:outlineLvl w:val="3"/>
        <w:rPr>
          <w:rFonts w:eastAsiaTheme="majorEastAsia" w:cstheme="minorHAnsi"/>
          <w:b/>
          <w:bCs/>
          <w:i/>
          <w:iCs/>
          <w:color w:val="000000"/>
        </w:rPr>
      </w:pPr>
      <w:r w:rsidRPr="00ED2B5A">
        <w:rPr>
          <w:rFonts w:asciiTheme="majorHAnsi" w:eastAsiaTheme="majorEastAsia" w:hAnsiTheme="majorHAnsi" w:cstheme="majorBidi"/>
          <w:i/>
          <w:iCs/>
        </w:rPr>
        <w:t>Advisory group</w:t>
      </w:r>
    </w:p>
    <w:p w14:paraId="659BF9D9" w14:textId="590E599E" w:rsidR="00ED2B5A" w:rsidRPr="00ED2B5A" w:rsidRDefault="00ED2B5A" w:rsidP="00A52DF1">
      <w:pPr>
        <w:spacing w:after="0" w:line="360" w:lineRule="auto"/>
        <w:rPr>
          <w:rFonts w:eastAsia="Times New Roman" w:cstheme="minorHAnsi"/>
          <w:bCs/>
          <w:color w:val="000000"/>
          <w:lang w:eastAsia="en-GB"/>
        </w:rPr>
      </w:pPr>
      <w:r w:rsidRPr="00ED2B5A">
        <w:rPr>
          <w:rFonts w:eastAsia="Times New Roman" w:cstheme="minorHAnsi"/>
          <w:bCs/>
          <w:color w:val="000000"/>
          <w:lang w:eastAsia="en-GB"/>
        </w:rPr>
        <w:t xml:space="preserve">The operational management of the trial was overseen by the Trial Management Group who agreed that embedding high quality PPIE into protocol development and trial processes throughout was a priority. The PPIE lead for the trial (CM) and coordinator of the PPIE advisory group was a member of the Trial Management Group and PPIE was a standing-item on every meeting agenda. </w:t>
      </w:r>
    </w:p>
    <w:p w14:paraId="2BCCF82A" w14:textId="77777777" w:rsidR="00ED2B5A" w:rsidRPr="00ED2B5A" w:rsidRDefault="00ED2B5A" w:rsidP="00ED2B5A">
      <w:pPr>
        <w:spacing w:after="0" w:line="360" w:lineRule="auto"/>
        <w:rPr>
          <w:rFonts w:eastAsia="Times New Roman" w:cstheme="minorHAnsi"/>
          <w:b/>
          <w:bCs/>
          <w:i/>
          <w:iCs/>
          <w:color w:val="000000"/>
          <w:lang w:eastAsia="en-GB"/>
        </w:rPr>
      </w:pPr>
    </w:p>
    <w:p w14:paraId="037C50B6" w14:textId="7C95A624" w:rsidR="00ED2B5A" w:rsidRPr="00ED2B5A" w:rsidRDefault="00ED2B5A" w:rsidP="00772499">
      <w:pPr>
        <w:spacing w:after="0" w:line="360" w:lineRule="auto"/>
        <w:rPr>
          <w:rFonts w:eastAsia="Times New Roman" w:cstheme="minorHAnsi"/>
          <w:lang w:eastAsia="en-GB"/>
        </w:rPr>
      </w:pPr>
      <w:r w:rsidRPr="00ED2B5A">
        <w:rPr>
          <w:rFonts w:cstheme="minorHAnsi"/>
        </w:rPr>
        <w:t xml:space="preserve">To ensure that the PPIE advisory group felt supported and integrated into the study team we employed several methods. Firstly, we used our guiding principles </w:t>
      </w:r>
      <w:r w:rsidRPr="00ED2B5A">
        <w:rPr>
          <w:rFonts w:cstheme="minorHAnsi"/>
          <w:bCs/>
        </w:rPr>
        <w:t xml:space="preserve">to support the establishment and engagement of the group, see Box 1. One to one discussion was offered and taken up by some individuals instead of participation in a group or to aid their decision to join the group. When an advisory group had been assembled, we asked members about their preferences for involvement including how they would like to be communicated with throughout the study, </w:t>
      </w:r>
      <w:r w:rsidRPr="00ED2B5A">
        <w:rPr>
          <w:rFonts w:cstheme="minorHAnsi"/>
        </w:rPr>
        <w:t>the length and duration of meetings and meeting venues.</w:t>
      </w:r>
      <w:r w:rsidRPr="00ED2B5A">
        <w:rPr>
          <w:rFonts w:cstheme="minorHAnsi"/>
          <w:lang w:eastAsia="en-GB"/>
        </w:rPr>
        <w:t xml:space="preserve"> All members did subsequently take part in the group but some people with dementia needed support from their accompanying </w:t>
      </w:r>
      <w:r w:rsidR="00592BE7">
        <w:rPr>
          <w:rFonts w:cstheme="minorHAnsi"/>
          <w:lang w:eastAsia="en-GB"/>
        </w:rPr>
        <w:t>supporter</w:t>
      </w:r>
      <w:r w:rsidRPr="00ED2B5A">
        <w:rPr>
          <w:rFonts w:cstheme="minorHAnsi"/>
          <w:lang w:eastAsia="en-GB"/>
        </w:rPr>
        <w:t xml:space="preserve"> to achieve this. In addition, b</w:t>
      </w:r>
      <w:r w:rsidRPr="00ED2B5A">
        <w:rPr>
          <w:rFonts w:eastAsiaTheme="minorEastAsia" w:cstheme="minorHAnsi"/>
        </w:rPr>
        <w:t xml:space="preserve">rief verbal and written reminders were provided at every advisory group meeting to </w:t>
      </w:r>
      <w:r w:rsidRPr="00ED2B5A">
        <w:rPr>
          <w:rFonts w:eastAsiaTheme="minorEastAsia" w:cstheme="minorHAnsi"/>
        </w:rPr>
        <w:lastRenderedPageBreak/>
        <w:t xml:space="preserve">reiterate the purpose of the study and what taking part entailed. </w:t>
      </w:r>
      <w:r w:rsidRPr="00ED2B5A">
        <w:rPr>
          <w:rFonts w:cstheme="minorHAnsi"/>
          <w:noProof/>
        </w:rPr>
        <w:t xml:space="preserve">A welcoming and informal structure was maintained to encourage active participation. At the start and end of each meeting time was scheduled for refreshments, creating </w:t>
      </w:r>
      <w:r w:rsidRPr="00ED2B5A">
        <w:rPr>
          <w:rFonts w:cstheme="minorHAnsi"/>
        </w:rPr>
        <w:t xml:space="preserve">opportunities for PPIE advisors to enjoy a group atmosphere, and share more personal experiences and coping strategies whilst at the same time advising the study. </w:t>
      </w:r>
    </w:p>
    <w:p w14:paraId="533106D2" w14:textId="77777777" w:rsidR="00ED2B5A" w:rsidRPr="00ED2B5A" w:rsidRDefault="00ED2B5A" w:rsidP="00ED2B5A">
      <w:pPr>
        <w:spacing w:after="0" w:line="360" w:lineRule="auto"/>
        <w:rPr>
          <w:rFonts w:cstheme="minorHAnsi"/>
          <w:lang w:eastAsia="en-GB"/>
        </w:rPr>
      </w:pPr>
    </w:p>
    <w:p w14:paraId="1ADF99AC" w14:textId="1413A8F1" w:rsidR="00ED2B5A" w:rsidRPr="00ED2B5A" w:rsidRDefault="00ED2B5A" w:rsidP="00ED2B5A">
      <w:pPr>
        <w:spacing w:after="0" w:line="360" w:lineRule="auto"/>
        <w:rPr>
          <w:rFonts w:cstheme="minorHAnsi"/>
          <w:color w:val="000000"/>
        </w:rPr>
      </w:pPr>
      <w:r w:rsidRPr="00ED2B5A">
        <w:rPr>
          <w:rFonts w:cstheme="minorHAnsi"/>
          <w:noProof/>
        </w:rPr>
        <w:t xml:space="preserve">To promote inclusivity, support group dynamics and maintain active interest in the study, all members were invited to be involved in every activity. On most occasions all members attended, reflecting the overall interest the study generated and the possible benefits people were deriving from taking part. For larger groups however, it was challenging to ensure that the voices of all members were heard. PPIE advisors with a diagnosis of dementia could need additional time to process discussions and respond accordingly. This could lead to another person (often their </w:t>
      </w:r>
      <w:r w:rsidR="00592BE7">
        <w:rPr>
          <w:rFonts w:cstheme="minorHAnsi"/>
          <w:noProof/>
        </w:rPr>
        <w:t>supporter</w:t>
      </w:r>
      <w:r w:rsidRPr="00ED2B5A">
        <w:rPr>
          <w:rFonts w:cstheme="minorHAnsi"/>
          <w:noProof/>
        </w:rPr>
        <w:t>), speaking before them or on their behalf. We</w:t>
      </w:r>
      <w:r w:rsidRPr="00ED2B5A">
        <w:rPr>
          <w:rFonts w:cstheme="minorHAnsi"/>
          <w:color w:val="000000"/>
        </w:rPr>
        <w:t xml:space="preserve"> therefore used techniques such as turn-taking and signalling using purpose made cards or simply a ‘hands-up’ gesture to try and avoid this. </w:t>
      </w:r>
    </w:p>
    <w:p w14:paraId="0F171B8D" w14:textId="77777777" w:rsidR="00ED2B5A" w:rsidRPr="00ED2B5A" w:rsidRDefault="00ED2B5A" w:rsidP="00ED2B5A">
      <w:pPr>
        <w:spacing w:after="0" w:line="360" w:lineRule="auto"/>
        <w:rPr>
          <w:rFonts w:cstheme="minorHAnsi"/>
          <w:lang w:eastAsia="en-GB"/>
        </w:rPr>
      </w:pPr>
    </w:p>
    <w:p w14:paraId="0488AF51" w14:textId="77777777" w:rsidR="00ED2B5A" w:rsidRPr="00ED2B5A" w:rsidRDefault="00ED2B5A" w:rsidP="00ED2B5A">
      <w:pPr>
        <w:spacing w:after="0" w:line="360" w:lineRule="auto"/>
        <w:rPr>
          <w:rFonts w:cstheme="minorHAnsi"/>
          <w:color w:val="000000"/>
        </w:rPr>
      </w:pPr>
      <w:r w:rsidRPr="00ED2B5A">
        <w:rPr>
          <w:rFonts w:cstheme="minorHAnsi"/>
          <w:color w:val="000000"/>
        </w:rPr>
        <w:t xml:space="preserve">Dementia friendly, accessible venues in familiar city centre locations were identified by the group in preference to university campus settings which were deemed too busy and confusing. Use of community venues proved positive and some advisory group members reported that they had engaged in an activity in or near such venues following meetings such as shopping or going for lunch. Whether this was simply opportunistic or attending the advisory group resulted in greater confidence to do more activity is unclear. </w:t>
      </w:r>
    </w:p>
    <w:p w14:paraId="0ABA67A8" w14:textId="5D8DFF71" w:rsidR="00ED2B5A" w:rsidRDefault="00ED2B5A" w:rsidP="00ED2B5A">
      <w:pPr>
        <w:spacing w:after="0" w:line="360" w:lineRule="auto"/>
        <w:rPr>
          <w:rFonts w:cstheme="minorHAnsi"/>
          <w:noProof/>
        </w:rPr>
      </w:pPr>
    </w:p>
    <w:p w14:paraId="79DA7784" w14:textId="54115EEC" w:rsidR="001C6D2F" w:rsidRPr="00ED2B5A" w:rsidRDefault="001C6D2F" w:rsidP="001C6D2F">
      <w:pPr>
        <w:spacing w:after="0" w:line="360" w:lineRule="auto"/>
        <w:rPr>
          <w:rFonts w:eastAsia="Times New Roman" w:cstheme="minorHAnsi"/>
          <w:bCs/>
          <w:color w:val="000000"/>
          <w:lang w:eastAsia="en-GB"/>
        </w:rPr>
      </w:pPr>
      <w:r w:rsidRPr="00ED2B5A">
        <w:rPr>
          <w:rFonts w:eastAsia="Times New Roman" w:cstheme="minorHAnsi"/>
          <w:bCs/>
          <w:color w:val="000000"/>
          <w:lang w:eastAsia="en-GB"/>
        </w:rPr>
        <w:t>Activities where the Trial Management Group requested specific input from PPIE advisors</w:t>
      </w:r>
      <w:r w:rsidR="0047326A">
        <w:rPr>
          <w:rFonts w:eastAsia="Times New Roman" w:cstheme="minorHAnsi"/>
          <w:bCs/>
          <w:color w:val="000000"/>
          <w:lang w:eastAsia="en-GB"/>
        </w:rPr>
        <w:t xml:space="preserve"> and how their contribution impacted the study</w:t>
      </w:r>
      <w:r w:rsidRPr="00ED2B5A">
        <w:rPr>
          <w:rFonts w:eastAsia="Times New Roman" w:cstheme="minorHAnsi"/>
          <w:bCs/>
          <w:color w:val="000000"/>
          <w:lang w:eastAsia="en-GB"/>
        </w:rPr>
        <w:t xml:space="preserve"> included: </w:t>
      </w:r>
    </w:p>
    <w:p w14:paraId="4D280DCB" w14:textId="77777777" w:rsidR="001C6D2F" w:rsidRPr="00ED2B5A" w:rsidRDefault="001C6D2F" w:rsidP="001C6D2F">
      <w:pPr>
        <w:numPr>
          <w:ilvl w:val="0"/>
          <w:numId w:val="28"/>
        </w:numPr>
        <w:spacing w:after="0" w:line="360" w:lineRule="auto"/>
        <w:contextualSpacing/>
        <w:rPr>
          <w:rFonts w:eastAsia="Times New Roman" w:cstheme="minorHAnsi"/>
          <w:bCs/>
          <w:color w:val="000000"/>
          <w:lang w:eastAsia="en-GB"/>
        </w:rPr>
      </w:pPr>
      <w:r w:rsidRPr="00ED2B5A">
        <w:rPr>
          <w:rFonts w:eastAsia="Times New Roman" w:cstheme="minorHAnsi"/>
          <w:bCs/>
          <w:color w:val="000000"/>
          <w:lang w:eastAsia="en-GB"/>
        </w:rPr>
        <w:t>the design of participant newsletters which were originally designed in newspaper column format but were changed to a cross page format which our advisory group reported as being easier for people living with dementia to read.</w:t>
      </w:r>
    </w:p>
    <w:p w14:paraId="14A614EB" w14:textId="77777777" w:rsidR="001C6D2F" w:rsidRPr="00ED2B5A" w:rsidRDefault="001C6D2F" w:rsidP="001C6D2F">
      <w:pPr>
        <w:numPr>
          <w:ilvl w:val="0"/>
          <w:numId w:val="28"/>
        </w:numPr>
        <w:spacing w:after="0" w:line="360" w:lineRule="auto"/>
        <w:contextualSpacing/>
        <w:rPr>
          <w:rFonts w:eastAsia="Times New Roman" w:cstheme="minorHAnsi"/>
          <w:bCs/>
          <w:color w:val="000000"/>
          <w:lang w:eastAsia="en-GB"/>
        </w:rPr>
      </w:pPr>
      <w:r w:rsidRPr="00ED2B5A">
        <w:rPr>
          <w:rFonts w:eastAsia="Times New Roman" w:cstheme="minorHAnsi"/>
          <w:bCs/>
          <w:color w:val="000000"/>
          <w:lang w:eastAsia="en-GB"/>
        </w:rPr>
        <w:t>the content of a study proforma completed by facilitators and sent to study participants, summarising the group or individual sessions as part of the intervention. With consultation identified that the content needed to be personalised by adding the participants name and that the overall language used should be simplified using less research terminology.</w:t>
      </w:r>
    </w:p>
    <w:p w14:paraId="427D2BA0" w14:textId="77777777" w:rsidR="001C6D2F" w:rsidRPr="00ED2B5A" w:rsidRDefault="001C6D2F" w:rsidP="001C6D2F">
      <w:pPr>
        <w:numPr>
          <w:ilvl w:val="0"/>
          <w:numId w:val="28"/>
        </w:numPr>
        <w:spacing w:after="0" w:line="360" w:lineRule="auto"/>
        <w:contextualSpacing/>
        <w:rPr>
          <w:rFonts w:eastAsia="Times New Roman" w:cstheme="minorHAnsi"/>
          <w:bCs/>
          <w:color w:val="000000"/>
          <w:lang w:eastAsia="en-GB"/>
        </w:rPr>
      </w:pPr>
      <w:r w:rsidRPr="00ED2B5A">
        <w:rPr>
          <w:rFonts w:eastAsia="Times New Roman" w:cstheme="minorHAnsi"/>
          <w:bCs/>
          <w:color w:val="000000"/>
          <w:lang w:eastAsia="en-GB"/>
        </w:rPr>
        <w:t xml:space="preserve">the content, deliverability and impact of burden for our qualitative interview schedule. Advisor feedback proposed that the language and wording should be more concrete for study participants to engage with and that to scaffold recall during the interview researchers </w:t>
      </w:r>
      <w:r w:rsidRPr="00ED2B5A">
        <w:rPr>
          <w:rFonts w:eastAsia="Times New Roman" w:cstheme="minorHAnsi"/>
          <w:bCs/>
          <w:color w:val="000000"/>
          <w:lang w:eastAsia="en-GB"/>
        </w:rPr>
        <w:lastRenderedPageBreak/>
        <w:t>should use prompts about what had taken place during intervention sessions. Consequently, the researchers asked shorter more direct questions for clarity and understanding; and referred to activities the participant took part in to prompt recall.</w:t>
      </w:r>
    </w:p>
    <w:p w14:paraId="2B8D8AD6" w14:textId="77777777" w:rsidR="001C6D2F" w:rsidRDefault="001C6D2F" w:rsidP="00ED2B5A">
      <w:pPr>
        <w:spacing w:after="0" w:line="360" w:lineRule="auto"/>
        <w:rPr>
          <w:rFonts w:cstheme="minorHAnsi"/>
          <w:noProof/>
        </w:rPr>
      </w:pPr>
    </w:p>
    <w:p w14:paraId="2CACAA80" w14:textId="77777777" w:rsidR="001C6D2F" w:rsidRPr="00ED2B5A" w:rsidRDefault="001C6D2F" w:rsidP="00ED2B5A">
      <w:pPr>
        <w:spacing w:after="0" w:line="360" w:lineRule="auto"/>
        <w:rPr>
          <w:rFonts w:cstheme="minorHAnsi"/>
          <w:noProof/>
        </w:rPr>
      </w:pPr>
    </w:p>
    <w:p w14:paraId="2C275879" w14:textId="77777777" w:rsidR="00ED2B5A" w:rsidRPr="00ED2B5A" w:rsidRDefault="00ED2B5A" w:rsidP="00ED2B5A">
      <w:pPr>
        <w:keepNext/>
        <w:keepLines/>
        <w:spacing w:before="40" w:after="0" w:line="360" w:lineRule="auto"/>
        <w:outlineLvl w:val="3"/>
        <w:rPr>
          <w:rFonts w:asciiTheme="majorHAnsi" w:eastAsiaTheme="majorEastAsia" w:hAnsiTheme="majorHAnsi" w:cstheme="majorBidi"/>
          <w:i/>
          <w:iCs/>
        </w:rPr>
      </w:pPr>
      <w:r w:rsidRPr="00ED2B5A">
        <w:rPr>
          <w:rFonts w:asciiTheme="majorHAnsi" w:eastAsiaTheme="majorEastAsia" w:hAnsiTheme="majorHAnsi" w:cstheme="majorBidi"/>
          <w:i/>
          <w:iCs/>
        </w:rPr>
        <w:t>Trial delivery and data collection</w:t>
      </w:r>
    </w:p>
    <w:p w14:paraId="7C79D586" w14:textId="77777777" w:rsidR="00ED2B5A" w:rsidRPr="00ED2B5A" w:rsidRDefault="00ED2B5A" w:rsidP="00ED2B5A">
      <w:pPr>
        <w:spacing w:after="0" w:line="360" w:lineRule="auto"/>
        <w:contextualSpacing/>
        <w:rPr>
          <w:rFonts w:cstheme="minorHAnsi"/>
          <w:lang w:eastAsia="en-GB"/>
        </w:rPr>
      </w:pPr>
      <w:r w:rsidRPr="00ED2B5A">
        <w:rPr>
          <w:rFonts w:cstheme="minorHAnsi"/>
          <w:lang w:eastAsia="en-GB"/>
        </w:rPr>
        <w:t>Our PPIE group advisors’ and Trial Steering Committee PPIE member’s views and ideas on participant retention during the lifetime of the study were invaluable. For the trial we were collecting outcome data for up to 12 months after recruitment from all participants whether they had attended the intervention or been randomised to treatment as usual. Recommendations that were actioned included:</w:t>
      </w:r>
    </w:p>
    <w:p w14:paraId="69015F07" w14:textId="77777777" w:rsidR="00ED2B5A" w:rsidRPr="00ED2B5A" w:rsidRDefault="00ED2B5A" w:rsidP="00ED2B5A">
      <w:pPr>
        <w:numPr>
          <w:ilvl w:val="0"/>
          <w:numId w:val="31"/>
        </w:numPr>
        <w:spacing w:after="0" w:line="360" w:lineRule="auto"/>
        <w:contextualSpacing/>
        <w:rPr>
          <w:rFonts w:cstheme="minorHAnsi"/>
        </w:rPr>
      </w:pPr>
      <w:r w:rsidRPr="00ED2B5A">
        <w:rPr>
          <w:rFonts w:cstheme="minorHAnsi"/>
          <w:lang w:eastAsia="en-GB"/>
        </w:rPr>
        <w:t xml:space="preserve">emphasising the value of contributions from all participants whether they received the intervention or not in the participant newsletter. </w:t>
      </w:r>
    </w:p>
    <w:p w14:paraId="74A7785D" w14:textId="77777777" w:rsidR="00ED2B5A" w:rsidRPr="00ED2B5A" w:rsidRDefault="00ED2B5A" w:rsidP="00ED2B5A">
      <w:pPr>
        <w:numPr>
          <w:ilvl w:val="0"/>
          <w:numId w:val="31"/>
        </w:numPr>
        <w:spacing w:after="0" w:line="360" w:lineRule="auto"/>
        <w:contextualSpacing/>
        <w:rPr>
          <w:rFonts w:cstheme="minorHAnsi"/>
        </w:rPr>
      </w:pPr>
      <w:r w:rsidRPr="00ED2B5A">
        <w:rPr>
          <w:rFonts w:cstheme="minorHAnsi"/>
          <w:lang w:eastAsia="en-GB"/>
        </w:rPr>
        <w:t xml:space="preserve">booking follow-up researcher visits in advance as part of their first visit with a participant. This would mean that all follow-up visits would be in the diary and a confirmation would just be needed nearer the time of the follow-up. </w:t>
      </w:r>
    </w:p>
    <w:p w14:paraId="57C18C68" w14:textId="77777777" w:rsidR="00ED2B5A" w:rsidRPr="00ED2B5A" w:rsidRDefault="00ED2B5A" w:rsidP="00ED2B5A">
      <w:pPr>
        <w:numPr>
          <w:ilvl w:val="0"/>
          <w:numId w:val="31"/>
        </w:numPr>
        <w:spacing w:after="0" w:line="360" w:lineRule="auto"/>
        <w:contextualSpacing/>
        <w:rPr>
          <w:rFonts w:cstheme="minorHAnsi"/>
          <w:i/>
          <w:iCs/>
          <w:color w:val="141412"/>
        </w:rPr>
      </w:pPr>
      <w:r w:rsidRPr="00ED2B5A">
        <w:rPr>
          <w:rFonts w:cstheme="minorHAnsi"/>
          <w:lang w:eastAsia="en-GB"/>
        </w:rPr>
        <w:t xml:space="preserve">sending a reminder card (rather than letter or sheet) before attending follow-up appointments. PPIE members proposed that a card would be brighter and more visually appealing to participants thereby reducing the anxiety that a formal letter may provoke. </w:t>
      </w:r>
    </w:p>
    <w:p w14:paraId="37345F1A" w14:textId="77777777" w:rsidR="00ED2B5A" w:rsidRPr="00ED2B5A" w:rsidRDefault="00ED2B5A" w:rsidP="00ED2B5A">
      <w:pPr>
        <w:numPr>
          <w:ilvl w:val="0"/>
          <w:numId w:val="31"/>
        </w:numPr>
        <w:spacing w:after="0" w:line="360" w:lineRule="auto"/>
        <w:contextualSpacing/>
        <w:rPr>
          <w:rFonts w:cstheme="minorHAnsi"/>
          <w:i/>
          <w:iCs/>
          <w:color w:val="141412"/>
        </w:rPr>
      </w:pPr>
      <w:r w:rsidRPr="00ED2B5A">
        <w:rPr>
          <w:rFonts w:cstheme="minorHAnsi"/>
        </w:rPr>
        <w:t xml:space="preserve">including a photo of, and a personal message from, the researcher doing the follow-up. </w:t>
      </w:r>
    </w:p>
    <w:p w14:paraId="6F3142CE" w14:textId="6A1B29EA" w:rsidR="00ED2B5A" w:rsidRPr="00ED2B5A" w:rsidRDefault="00ED2B5A" w:rsidP="00ED2B5A">
      <w:pPr>
        <w:numPr>
          <w:ilvl w:val="0"/>
          <w:numId w:val="31"/>
        </w:numPr>
        <w:spacing w:after="0" w:line="360" w:lineRule="auto"/>
        <w:contextualSpacing/>
        <w:rPr>
          <w:rFonts w:cstheme="minorHAnsi"/>
          <w:i/>
          <w:iCs/>
          <w:color w:val="141412"/>
        </w:rPr>
      </w:pPr>
      <w:r w:rsidRPr="00ED2B5A">
        <w:rPr>
          <w:rFonts w:cstheme="minorHAnsi"/>
        </w:rPr>
        <w:t xml:space="preserve">communicating with </w:t>
      </w:r>
      <w:r w:rsidR="00592BE7">
        <w:rPr>
          <w:rFonts w:cstheme="minorHAnsi"/>
        </w:rPr>
        <w:t>supporter</w:t>
      </w:r>
      <w:r w:rsidRPr="00ED2B5A">
        <w:rPr>
          <w:rFonts w:cstheme="minorHAnsi"/>
        </w:rPr>
        <w:t xml:space="preserve">s about the importance of the person with dementia’s participation in the study. </w:t>
      </w:r>
    </w:p>
    <w:p w14:paraId="4FDCDB49" w14:textId="77777777" w:rsidR="00ED2B5A" w:rsidRPr="00ED2B5A" w:rsidRDefault="00ED2B5A" w:rsidP="00ED2B5A">
      <w:pPr>
        <w:shd w:val="clear" w:color="auto" w:fill="FFFFFF"/>
        <w:spacing w:after="0" w:line="360" w:lineRule="auto"/>
        <w:textAlignment w:val="baseline"/>
        <w:rPr>
          <w:rFonts w:eastAsia="Times New Roman" w:cstheme="minorHAnsi"/>
          <w:sz w:val="24"/>
          <w:szCs w:val="24"/>
          <w:lang w:eastAsia="en-GB"/>
        </w:rPr>
      </w:pPr>
    </w:p>
    <w:p w14:paraId="66D5627F" w14:textId="77777777" w:rsidR="00ED2B5A" w:rsidRPr="00ED2B5A" w:rsidRDefault="00ED2B5A" w:rsidP="00ED2B5A">
      <w:pPr>
        <w:keepNext/>
        <w:keepLines/>
        <w:spacing w:before="40" w:after="0" w:line="360" w:lineRule="auto"/>
        <w:outlineLvl w:val="3"/>
        <w:rPr>
          <w:rFonts w:asciiTheme="majorHAnsi" w:eastAsia="+mn-ea" w:hAnsiTheme="majorHAnsi" w:cstheme="majorBidi"/>
          <w:i/>
          <w:iCs/>
          <w:lang w:eastAsia="en-GB"/>
        </w:rPr>
      </w:pPr>
      <w:r w:rsidRPr="00ED2B5A">
        <w:rPr>
          <w:rFonts w:asciiTheme="majorHAnsi" w:eastAsia="+mn-ea" w:hAnsiTheme="majorHAnsi" w:cstheme="majorBidi"/>
          <w:i/>
          <w:iCs/>
          <w:lang w:eastAsia="en-GB"/>
        </w:rPr>
        <w:t xml:space="preserve">Data analysis </w:t>
      </w:r>
    </w:p>
    <w:p w14:paraId="2330A051" w14:textId="77777777" w:rsidR="00ED2B5A" w:rsidRPr="00ED2B5A" w:rsidRDefault="00ED2B5A" w:rsidP="00ED2B5A">
      <w:pPr>
        <w:spacing w:after="0" w:line="360" w:lineRule="auto"/>
        <w:rPr>
          <w:rFonts w:cstheme="minorHAnsi"/>
        </w:rPr>
      </w:pPr>
      <w:r w:rsidRPr="00ED2B5A">
        <w:rPr>
          <w:rFonts w:cstheme="minorHAnsi"/>
          <w:shd w:val="clear" w:color="auto" w:fill="FFFFFF"/>
        </w:rPr>
        <w:t xml:space="preserve">Advisory group members used their personal experiences of living with dementia to assist the researchers to understand and interpret our qualitative data. </w:t>
      </w:r>
    </w:p>
    <w:p w14:paraId="1B8318C6" w14:textId="77777777" w:rsidR="00ED2B5A" w:rsidRPr="00ED2B5A" w:rsidRDefault="00ED2B5A" w:rsidP="00ED2B5A">
      <w:pPr>
        <w:spacing w:after="0" w:line="360" w:lineRule="auto"/>
        <w:rPr>
          <w:rFonts w:cstheme="minorHAnsi"/>
        </w:rPr>
      </w:pPr>
    </w:p>
    <w:p w14:paraId="0F5A1323" w14:textId="2F23DBC3" w:rsidR="00ED2B5A" w:rsidRPr="00ED2B5A" w:rsidRDefault="00ED2B5A" w:rsidP="00ED2B5A">
      <w:pPr>
        <w:spacing w:after="0" w:line="360" w:lineRule="auto"/>
        <w:rPr>
          <w:rFonts w:cstheme="minorHAnsi"/>
        </w:rPr>
      </w:pPr>
      <w:r w:rsidRPr="00ED2B5A">
        <w:rPr>
          <w:rFonts w:cstheme="minorHAnsi"/>
        </w:rPr>
        <w:t xml:space="preserve">Advisory group members were approached to participate in two half day validation workshops to discuss and reflect upon researcher interpretations of anonymised data from qualitative interviews conducted with participants and their </w:t>
      </w:r>
      <w:r w:rsidR="00592BE7">
        <w:rPr>
          <w:rFonts w:cstheme="minorHAnsi"/>
        </w:rPr>
        <w:t>supporter</w:t>
      </w:r>
      <w:r w:rsidRPr="00ED2B5A">
        <w:rPr>
          <w:rFonts w:cstheme="minorHAnsi"/>
        </w:rPr>
        <w:t xml:space="preserve">s. </w:t>
      </w:r>
      <w:r w:rsidRPr="00ED2B5A">
        <w:rPr>
          <w:rFonts w:cstheme="minorHAnsi"/>
          <w:shd w:val="clear" w:color="auto" w:fill="FFFFFF"/>
        </w:rPr>
        <w:t>Their contributions informed the </w:t>
      </w:r>
      <w:r w:rsidRPr="00ED2B5A">
        <w:rPr>
          <w:rFonts w:cstheme="minorHAnsi"/>
        </w:rPr>
        <w:t xml:space="preserve">final analysis of interview data </w:t>
      </w:r>
      <w:r w:rsidR="00D81A5C">
        <w:rPr>
          <w:rFonts w:cstheme="minorHAnsi"/>
          <w:noProof/>
        </w:rPr>
        <w:t>(Sprange et al., 2021)</w:t>
      </w:r>
      <w:r w:rsidRPr="00ED2B5A">
        <w:rPr>
          <w:rFonts w:cstheme="minorHAnsi"/>
        </w:rPr>
        <w:t xml:space="preserve">. We had to obtain consent from each participant at the outset and identified appropriate researcher resource to do this in a relaxed manner. However, this was could not be achieved with those who arrived late to the workshop where consent was taken at the earliest convenience, typically a break time, so as not to disrupt the flow of the group. </w:t>
      </w:r>
    </w:p>
    <w:p w14:paraId="0D9CE9D4" w14:textId="77777777" w:rsidR="00ED2B5A" w:rsidRPr="00ED2B5A" w:rsidRDefault="00ED2B5A" w:rsidP="00ED2B5A">
      <w:pPr>
        <w:spacing w:after="0" w:line="360" w:lineRule="auto"/>
        <w:rPr>
          <w:rFonts w:cstheme="minorHAnsi"/>
        </w:rPr>
      </w:pPr>
    </w:p>
    <w:p w14:paraId="57C321C3" w14:textId="0DB294F2" w:rsidR="00ED2B5A" w:rsidRPr="00ED2B5A" w:rsidRDefault="00ED2B5A" w:rsidP="00ED2B5A">
      <w:pPr>
        <w:spacing w:after="0" w:line="360" w:lineRule="auto"/>
        <w:rPr>
          <w:rFonts w:cstheme="minorHAnsi"/>
        </w:rPr>
      </w:pPr>
      <w:r w:rsidRPr="00ED2B5A">
        <w:rPr>
          <w:rFonts w:cstheme="minorHAnsi"/>
        </w:rPr>
        <w:t xml:space="preserve">Quotations selected through researcher consensus to be representative of the themes identified in the framework were presented as raw data, i.e. without coding or categorisation </w:t>
      </w:r>
      <w:r w:rsidR="00D81A5C">
        <w:rPr>
          <w:rFonts w:cstheme="minorHAnsi"/>
          <w:noProof/>
        </w:rPr>
        <w:t>(Sprange et al., 2021)</w:t>
      </w:r>
      <w:r w:rsidRPr="00ED2B5A">
        <w:rPr>
          <w:rFonts w:cstheme="minorHAnsi"/>
        </w:rPr>
        <w:t xml:space="preserve">. These were presented for discussion one at a time alongside some descriptive and contextual detail to aid understanding. For example, who was speaking i.e. participant or </w:t>
      </w:r>
      <w:r w:rsidR="00592BE7">
        <w:rPr>
          <w:rFonts w:cstheme="minorHAnsi"/>
        </w:rPr>
        <w:t>supporter</w:t>
      </w:r>
      <w:r w:rsidRPr="00ED2B5A">
        <w:rPr>
          <w:rFonts w:cstheme="minorHAnsi"/>
        </w:rPr>
        <w:t xml:space="preserve"> and what the person was talking about, such as an element of the intervention or about its facilitation. Consideration was given to how to present each quote to the group in a dementia friendly format to aid understanding </w:t>
      </w:r>
      <w:r w:rsidR="00D81A5C">
        <w:rPr>
          <w:rFonts w:cstheme="minorHAnsi"/>
          <w:noProof/>
        </w:rPr>
        <w:t>(DEEP)</w:t>
      </w:r>
      <w:r w:rsidRPr="00ED2B5A">
        <w:rPr>
          <w:rFonts w:cstheme="minorHAnsi"/>
        </w:rPr>
        <w:t xml:space="preserve">. This included use of large font size, colour of paper, amount of text per quotation and printing one copy per person. By using ongoing validation observation techniques such as listening and reflecting to gauge understanding and interest in the activity during the workshops the researchers were able to support participation. </w:t>
      </w:r>
    </w:p>
    <w:p w14:paraId="73F31512" w14:textId="77777777" w:rsidR="00ED2B5A" w:rsidRPr="00ED2B5A" w:rsidRDefault="00ED2B5A" w:rsidP="00ED2B5A">
      <w:pPr>
        <w:spacing w:after="0" w:line="360" w:lineRule="auto"/>
        <w:rPr>
          <w:rFonts w:cstheme="minorHAnsi"/>
        </w:rPr>
      </w:pPr>
    </w:p>
    <w:p w14:paraId="4F7C4E92" w14:textId="4321134A" w:rsidR="00ED2B5A" w:rsidRPr="00ED2B5A" w:rsidRDefault="00ED2B5A" w:rsidP="00ED2B5A">
      <w:pPr>
        <w:spacing w:after="0" w:line="360" w:lineRule="auto"/>
        <w:rPr>
          <w:rFonts w:cstheme="minorHAnsi"/>
        </w:rPr>
      </w:pPr>
      <w:r w:rsidRPr="00ED2B5A">
        <w:rPr>
          <w:rFonts w:cstheme="minorHAnsi"/>
        </w:rPr>
        <w:t xml:space="preserve">The </w:t>
      </w:r>
      <w:r w:rsidR="00320535">
        <w:rPr>
          <w:rFonts w:cstheme="minorHAnsi"/>
        </w:rPr>
        <w:t xml:space="preserve">difficulties posed by dementia as </w:t>
      </w:r>
      <w:r w:rsidRPr="00ED2B5A">
        <w:rPr>
          <w:rFonts w:cstheme="minorHAnsi"/>
        </w:rPr>
        <w:t>experienced by participants were varied which made pitching the task correctly and maintaining the engagement of everyone a challenge for researchers. During our first workshop the level of direction provided by researchers was therefore relatively high. As this was a novel approach to PPIE in dementia research there was some concern expressed by the researchers of not wanting to overwhelm the group. Therefore, different approaches were needed to engage and support those with more severe memory</w:t>
      </w:r>
      <w:r w:rsidR="00E2775D">
        <w:rPr>
          <w:rFonts w:cstheme="minorHAnsi"/>
        </w:rPr>
        <w:t xml:space="preserve"> deficit</w:t>
      </w:r>
      <w:r w:rsidR="00320535">
        <w:rPr>
          <w:rFonts w:cstheme="minorHAnsi"/>
        </w:rPr>
        <w:t>s</w:t>
      </w:r>
      <w:r w:rsidRPr="00ED2B5A">
        <w:rPr>
          <w:rFonts w:cstheme="minorHAnsi"/>
        </w:rPr>
        <w:t xml:space="preserve"> e.g. giving adequate time for the group to read and re-read quotation as well as presenting quotation in both written and verbal formats (facilitator read aloud the quotation). The facilitator also started with an open-ended question such as “what do you think this person is saying/feeling?”, but this may have been followed up with a more structured question to aid contribution for example focussing on an interesting word or phrase in the quotation to initiate discussion. For those with less severe </w:t>
      </w:r>
      <w:r w:rsidR="00320535">
        <w:rPr>
          <w:rFonts w:cstheme="minorHAnsi"/>
        </w:rPr>
        <w:t xml:space="preserve">symptoms of </w:t>
      </w:r>
      <w:r w:rsidR="00E2775D">
        <w:rPr>
          <w:rFonts w:cstheme="minorHAnsi"/>
        </w:rPr>
        <w:t>dementia,</w:t>
      </w:r>
      <w:r w:rsidRPr="00ED2B5A">
        <w:rPr>
          <w:rFonts w:cstheme="minorHAnsi"/>
        </w:rPr>
        <w:t xml:space="preserve"> and the </w:t>
      </w:r>
      <w:r w:rsidR="00592BE7">
        <w:rPr>
          <w:rFonts w:cstheme="minorHAnsi"/>
        </w:rPr>
        <w:t>supporter</w:t>
      </w:r>
      <w:r w:rsidRPr="00ED2B5A">
        <w:rPr>
          <w:rFonts w:cstheme="minorHAnsi"/>
        </w:rPr>
        <w:t>s who took part</w:t>
      </w:r>
      <w:r w:rsidR="00E2775D">
        <w:rPr>
          <w:rFonts w:cstheme="minorHAnsi"/>
        </w:rPr>
        <w:t>,</w:t>
      </w:r>
      <w:r w:rsidRPr="00ED2B5A">
        <w:rPr>
          <w:rFonts w:cstheme="minorHAnsi"/>
        </w:rPr>
        <w:t xml:space="preserve"> there was enthusiasm and great interest in the research and being part of the interpretation of findings. Those less cognitively able appeared to enjoy the social occasion but it was less clear whether they had been able to engage with all the materials. </w:t>
      </w:r>
    </w:p>
    <w:p w14:paraId="6EDF1AC4" w14:textId="77777777" w:rsidR="00ED2B5A" w:rsidRPr="00ED2B5A" w:rsidRDefault="00ED2B5A" w:rsidP="00ED2B5A">
      <w:pPr>
        <w:spacing w:after="0" w:line="360" w:lineRule="auto"/>
        <w:rPr>
          <w:rFonts w:cstheme="minorHAnsi"/>
        </w:rPr>
      </w:pPr>
    </w:p>
    <w:p w14:paraId="0012C858" w14:textId="04E687BB" w:rsidR="00ED2B5A" w:rsidRPr="00ED2B5A" w:rsidRDefault="00ED2B5A" w:rsidP="00ED2B5A">
      <w:pPr>
        <w:spacing w:after="0" w:line="360" w:lineRule="auto"/>
        <w:rPr>
          <w:rFonts w:cstheme="minorHAnsi"/>
          <w:noProof/>
        </w:rPr>
      </w:pPr>
      <w:r w:rsidRPr="00ED2B5A">
        <w:rPr>
          <w:rFonts w:cstheme="minorHAnsi"/>
        </w:rPr>
        <w:t xml:space="preserve">Whether to provide participant training for this activity was debated amongst the research team. Some considered that training would be helpful to guide and support engagement in the activity </w:t>
      </w:r>
      <w:r w:rsidR="00D81A5C">
        <w:rPr>
          <w:rFonts w:cstheme="minorHAnsi"/>
          <w:noProof/>
        </w:rPr>
        <w:t>(Roberts et al., 2019)</w:t>
      </w:r>
      <w:r w:rsidRPr="00ED2B5A">
        <w:rPr>
          <w:rFonts w:cstheme="minorHAnsi"/>
        </w:rPr>
        <w:t xml:space="preserve">, whereas others felt that memory and retention of training prior to the activity may be challenging and therefore could cause frustration or </w:t>
      </w:r>
      <w:r w:rsidRPr="00ED2B5A">
        <w:rPr>
          <w:rFonts w:cstheme="minorHAnsi"/>
          <w:noProof/>
        </w:rPr>
        <w:t xml:space="preserve">distress. We ultimately decided not to undertake a separate training session prior to the workshops but instead we took time at the start of each session (after consent was taken) to summarise the study and the activity. We included a practice example which we worked through together where the researcher could prompt the group </w:t>
      </w:r>
      <w:r w:rsidRPr="00ED2B5A">
        <w:rPr>
          <w:rFonts w:cstheme="minorHAnsi"/>
          <w:noProof/>
        </w:rPr>
        <w:lastRenderedPageBreak/>
        <w:t xml:space="preserve">on items we were looking for feedback such as languge used or emotions expressed in the quotation. In addition we also provided visual aids in the form of flip charts bullet stating key facts about the trial to scaffold memory </w:t>
      </w:r>
      <w:r w:rsidR="00D81A5C">
        <w:rPr>
          <w:rFonts w:cstheme="minorHAnsi"/>
          <w:noProof/>
        </w:rPr>
        <w:t>(DEEP)</w:t>
      </w:r>
      <w:r w:rsidRPr="00ED2B5A">
        <w:rPr>
          <w:rFonts w:cstheme="minorHAnsi"/>
          <w:noProof/>
        </w:rPr>
        <w:t xml:space="preserve">. </w:t>
      </w:r>
    </w:p>
    <w:p w14:paraId="6B9C8440" w14:textId="77777777" w:rsidR="00ED2B5A" w:rsidRPr="00ED2B5A" w:rsidRDefault="00ED2B5A" w:rsidP="00ED2B5A">
      <w:pPr>
        <w:spacing w:after="0" w:line="360" w:lineRule="auto"/>
        <w:rPr>
          <w:rFonts w:cstheme="minorHAnsi"/>
        </w:rPr>
      </w:pPr>
    </w:p>
    <w:p w14:paraId="6E8A7280" w14:textId="48854247" w:rsidR="00ED2B5A" w:rsidRPr="00ED2B5A" w:rsidRDefault="00ED2B5A" w:rsidP="00ED2B5A">
      <w:pPr>
        <w:shd w:val="clear" w:color="auto" w:fill="FFFFFF"/>
        <w:spacing w:after="0" w:line="360" w:lineRule="auto"/>
        <w:textAlignment w:val="baseline"/>
        <w:rPr>
          <w:rFonts w:eastAsia="Times New Roman" w:cstheme="minorHAnsi"/>
          <w:color w:val="000000"/>
          <w:lang w:eastAsia="en-GB"/>
        </w:rPr>
      </w:pPr>
      <w:r w:rsidRPr="00ED2B5A">
        <w:rPr>
          <w:rFonts w:eastAsia="Times New Roman" w:cstheme="minorHAnsi"/>
          <w:color w:val="000000"/>
          <w:lang w:eastAsia="en-GB"/>
        </w:rPr>
        <w:t xml:space="preserve">To support engagement we provided props such as ‘I want to speak please’ cards </w:t>
      </w:r>
      <w:r w:rsidR="00D81A5C">
        <w:rPr>
          <w:rFonts w:eastAsia="Times New Roman" w:cstheme="minorHAnsi"/>
          <w:noProof/>
          <w:color w:val="000000"/>
          <w:lang w:eastAsia="en-GB"/>
        </w:rPr>
        <w:t>(DEEP)</w:t>
      </w:r>
      <w:r w:rsidRPr="00ED2B5A">
        <w:rPr>
          <w:rFonts w:eastAsia="Times New Roman" w:cstheme="minorHAnsi"/>
          <w:color w:val="000000"/>
          <w:lang w:eastAsia="en-GB"/>
        </w:rPr>
        <w:t xml:space="preserve"> as a communication aid to indicate when a person wanted to speak. However, we found in our experience that these cards were </w:t>
      </w:r>
      <w:r w:rsidR="00CF16DC">
        <w:rPr>
          <w:rFonts w:eastAsia="Times New Roman" w:cstheme="minorHAnsi"/>
          <w:color w:val="000000"/>
          <w:lang w:eastAsia="en-GB"/>
        </w:rPr>
        <w:t>seldom</w:t>
      </w:r>
      <w:r w:rsidRPr="00ED2B5A">
        <w:rPr>
          <w:rFonts w:eastAsia="Times New Roman" w:cstheme="minorHAnsi"/>
          <w:color w:val="000000"/>
          <w:lang w:eastAsia="en-GB"/>
        </w:rPr>
        <w:t xml:space="preserve"> used</w:t>
      </w:r>
      <w:r w:rsidR="00320535">
        <w:rPr>
          <w:rFonts w:eastAsia="Times New Roman" w:cstheme="minorHAnsi"/>
          <w:color w:val="000000"/>
          <w:lang w:eastAsia="en-GB"/>
        </w:rPr>
        <w:t xml:space="preserve">. </w:t>
      </w:r>
      <w:r w:rsidRPr="00ED2B5A">
        <w:rPr>
          <w:rFonts w:eastAsia="Times New Roman" w:cstheme="minorHAnsi"/>
          <w:color w:val="000000"/>
          <w:lang w:eastAsia="en-GB"/>
        </w:rPr>
        <w:t xml:space="preserve">Potential reasons were that firstly, the group were not used to using these props and therefore there was no habit to do so, and secondly this was a well-established group where </w:t>
      </w:r>
      <w:r w:rsidR="00592BE7">
        <w:rPr>
          <w:rFonts w:eastAsia="Times New Roman" w:cstheme="minorHAnsi"/>
          <w:color w:val="000000"/>
          <w:lang w:eastAsia="en-GB"/>
        </w:rPr>
        <w:t>supporter</w:t>
      </w:r>
      <w:r w:rsidRPr="00ED2B5A">
        <w:rPr>
          <w:rFonts w:eastAsia="Times New Roman" w:cstheme="minorHAnsi"/>
          <w:color w:val="000000"/>
          <w:lang w:eastAsia="en-GB"/>
        </w:rPr>
        <w:t xml:space="preserve">s as well as the more cognitively able members already felt comfortable speaking with each other and enabling each other to participate. </w:t>
      </w:r>
      <w:r w:rsidR="00320535">
        <w:rPr>
          <w:rFonts w:eastAsia="Times New Roman" w:cstheme="minorHAnsi"/>
          <w:color w:val="000000"/>
          <w:lang w:eastAsia="en-GB"/>
        </w:rPr>
        <w:t>However, we also noted that those who were more challenged by symptoms of dementia were more likely to use the cards</w:t>
      </w:r>
      <w:r w:rsidR="00320535" w:rsidRPr="00ED2B5A">
        <w:rPr>
          <w:rFonts w:eastAsia="Times New Roman" w:cstheme="minorHAnsi"/>
          <w:color w:val="000000"/>
          <w:lang w:eastAsia="en-GB"/>
        </w:rPr>
        <w:t xml:space="preserve">. </w:t>
      </w:r>
    </w:p>
    <w:p w14:paraId="50578BAA" w14:textId="77777777" w:rsidR="00ED2B5A" w:rsidRPr="00ED2B5A" w:rsidRDefault="00ED2B5A" w:rsidP="00ED2B5A">
      <w:pPr>
        <w:shd w:val="clear" w:color="auto" w:fill="FFFFFF"/>
        <w:spacing w:after="0" w:line="360" w:lineRule="auto"/>
        <w:textAlignment w:val="baseline"/>
        <w:rPr>
          <w:rFonts w:eastAsia="Times New Roman" w:cstheme="minorHAnsi"/>
          <w:color w:val="201F1E"/>
          <w:lang w:eastAsia="en-GB"/>
        </w:rPr>
      </w:pPr>
    </w:p>
    <w:p w14:paraId="4995D9A4" w14:textId="77777777" w:rsidR="00ED2B5A" w:rsidRPr="00ED2B5A" w:rsidRDefault="00ED2B5A" w:rsidP="00ED2B5A">
      <w:pPr>
        <w:keepNext/>
        <w:keepLines/>
        <w:spacing w:before="40" w:after="0" w:line="360" w:lineRule="auto"/>
        <w:outlineLvl w:val="3"/>
        <w:rPr>
          <w:rFonts w:asciiTheme="majorHAnsi" w:eastAsia="+mn-ea" w:hAnsiTheme="majorHAnsi" w:cstheme="majorBidi"/>
          <w:i/>
          <w:iCs/>
          <w:lang w:eastAsia="en-GB"/>
        </w:rPr>
      </w:pPr>
      <w:r w:rsidRPr="00ED2B5A">
        <w:rPr>
          <w:rFonts w:asciiTheme="majorHAnsi" w:eastAsia="+mn-ea" w:hAnsiTheme="majorHAnsi" w:cstheme="majorBidi"/>
          <w:i/>
          <w:iCs/>
          <w:lang w:eastAsia="en-GB"/>
        </w:rPr>
        <w:t>Dissemination activity</w:t>
      </w:r>
    </w:p>
    <w:p w14:paraId="14CB3D1A" w14:textId="77777777" w:rsidR="00ED2B5A" w:rsidRPr="00ED2B5A" w:rsidRDefault="00ED2B5A" w:rsidP="00ED2B5A">
      <w:pPr>
        <w:spacing w:after="0" w:line="360" w:lineRule="auto"/>
        <w:rPr>
          <w:rFonts w:cstheme="minorHAnsi"/>
          <w:b/>
          <w:bCs/>
          <w:color w:val="FF0000"/>
        </w:rPr>
      </w:pPr>
      <w:r w:rsidRPr="00ED2B5A">
        <w:rPr>
          <w:rFonts w:eastAsia="Times New Roman" w:cstheme="minorHAnsi"/>
          <w:color w:val="000000"/>
          <w:lang w:eastAsia="en-GB"/>
        </w:rPr>
        <w:t>Advisory group members were consulted on the format and content of both hard copy and online versions of a lay summary of study results. These documents were intended for a wide readership including people living with dementia who had taken part in the trial, members of the public and health and social care professionals. PPIE feedback led to the inclusion of information about organisations that can support people living with dementia and information about how the results might be used to inform healthcare and future research. The group also helped us design and produce a satisfaction questionnaire to obtain feedback regarding the presentation and comprehensibility of the summary findings. This was considered important to review whether our findings were accessible and relevant to people living with dementia and those who care for them as well as for the lay public, clinicians and academics.</w:t>
      </w:r>
    </w:p>
    <w:p w14:paraId="53F3BDB9" w14:textId="77777777" w:rsidR="00ED2B5A" w:rsidRPr="00ED2B5A" w:rsidRDefault="00ED2B5A" w:rsidP="00ED2B5A">
      <w:pPr>
        <w:spacing w:after="0" w:line="360" w:lineRule="auto"/>
        <w:ind w:left="360"/>
        <w:rPr>
          <w:rFonts w:eastAsia="Times New Roman" w:cstheme="minorHAnsi"/>
          <w:color w:val="000000"/>
          <w:sz w:val="24"/>
          <w:szCs w:val="24"/>
          <w:lang w:eastAsia="en-GB"/>
        </w:rPr>
      </w:pPr>
    </w:p>
    <w:p w14:paraId="48C253A6" w14:textId="3B4C7C0E"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 xml:space="preserve">Our final trial dissemination event open to all was held in a central public venue with invitees including researchers who had been associated with the study, people living with dementia, members of the public and health and social care professionals. Advisory group members suggested the need for a speaker protocol to encourage presenters to make their session accessible for people living with dementia including means by which those attending might interact with speakers. </w:t>
      </w:r>
      <w:r w:rsidR="00CF16DC" w:rsidRPr="00ED2B5A">
        <w:rPr>
          <w:rFonts w:eastAsia="Times New Roman" w:cstheme="minorHAnsi"/>
          <w:color w:val="000000"/>
          <w:lang w:eastAsia="en-GB"/>
        </w:rPr>
        <w:t>Consequently</w:t>
      </w:r>
      <w:r w:rsidRPr="00ED2B5A">
        <w:rPr>
          <w:rFonts w:eastAsia="Times New Roman" w:cstheme="minorHAnsi"/>
          <w:color w:val="000000"/>
          <w:lang w:eastAsia="en-GB"/>
        </w:rPr>
        <w:t>, all speakers were provided with a protocol and large cards were made available at the venue that stated</w:t>
      </w:r>
      <w:r w:rsidR="00CF16DC">
        <w:rPr>
          <w:rFonts w:eastAsia="Times New Roman" w:cstheme="minorHAnsi"/>
          <w:color w:val="000000"/>
          <w:lang w:eastAsia="en-GB"/>
        </w:rPr>
        <w:t>,</w:t>
      </w:r>
      <w:r w:rsidRPr="00ED2B5A">
        <w:rPr>
          <w:rFonts w:eastAsia="Times New Roman" w:cstheme="minorHAnsi"/>
          <w:color w:val="000000"/>
          <w:lang w:eastAsia="en-GB"/>
        </w:rPr>
        <w:t xml:space="preserve"> “I don’t understand”, “I want to ask a question” and “Please speak more slowly” which delegates did use. </w:t>
      </w:r>
    </w:p>
    <w:p w14:paraId="620FE14B" w14:textId="77777777" w:rsidR="00ED2B5A" w:rsidRPr="00ED2B5A" w:rsidRDefault="00ED2B5A" w:rsidP="00ED2B5A">
      <w:pPr>
        <w:spacing w:after="0" w:line="360" w:lineRule="auto"/>
        <w:rPr>
          <w:rFonts w:eastAsia="Times New Roman" w:cstheme="minorHAnsi"/>
          <w:color w:val="000000"/>
          <w:lang w:eastAsia="en-GB"/>
        </w:rPr>
      </w:pPr>
    </w:p>
    <w:p w14:paraId="1642D9DC" w14:textId="62B71187"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lastRenderedPageBreak/>
        <w:t xml:space="preserve">PPIE advisors also recommended that study team members wore brightly coloured sashes that identified them as ‘helpers’ and suggested they should be situated at the main public transport hubs where people attending the event might arrive and at the venue entrance. A member of the advisory group, a former </w:t>
      </w:r>
      <w:r w:rsidR="00592BE7">
        <w:rPr>
          <w:rFonts w:eastAsia="Times New Roman" w:cstheme="minorHAnsi"/>
          <w:color w:val="000000"/>
          <w:lang w:eastAsia="en-GB"/>
        </w:rPr>
        <w:t>supporte</w:t>
      </w:r>
      <w:r w:rsidRPr="00ED2B5A">
        <w:rPr>
          <w:rFonts w:eastAsia="Times New Roman" w:cstheme="minorHAnsi"/>
          <w:color w:val="000000"/>
          <w:lang w:eastAsia="en-GB"/>
        </w:rPr>
        <w:t>r, also volunteered to co-host the event reception desk with a member of the study team.</w:t>
      </w:r>
      <w:r w:rsidRPr="00ED2B5A">
        <w:rPr>
          <w:rFonts w:cstheme="minorHAnsi"/>
        </w:rPr>
        <w:t xml:space="preserve"> </w:t>
      </w:r>
      <w:r w:rsidRPr="00ED2B5A">
        <w:rPr>
          <w:rFonts w:eastAsia="Times New Roman" w:cstheme="minorHAnsi"/>
          <w:color w:val="000000"/>
          <w:lang w:eastAsia="en-GB"/>
        </w:rPr>
        <w:t>At a previous meeting, advisory group members had been invited to speak about their experiences of being involved in research, but none accepted. Several advisory group members did however volunteer to be involved in making a video to demonstrate the intervention as part of a study dissemination film (</w:t>
      </w:r>
      <w:hyperlink r:id="rId19" w:history="1">
        <w:r w:rsidRPr="00ED2B5A">
          <w:rPr>
            <w:color w:val="0000FF"/>
            <w:u w:val="single"/>
          </w:rPr>
          <w:t>https://www.sheffield.ac.uk/scharr/research/centres/ctru/jtd</w:t>
        </w:r>
      </w:hyperlink>
      <w:r w:rsidRPr="00ED2B5A">
        <w:rPr>
          <w:color w:val="0000FF"/>
          <w:u w:val="single"/>
        </w:rPr>
        <w:t>)</w:t>
      </w:r>
      <w:r w:rsidRPr="00ED2B5A">
        <w:t xml:space="preserve"> </w:t>
      </w:r>
      <w:r w:rsidRPr="00ED2B5A">
        <w:rPr>
          <w:rFonts w:eastAsia="Times New Roman" w:cstheme="minorHAnsi"/>
          <w:color w:val="000000"/>
          <w:lang w:eastAsia="en-GB"/>
        </w:rPr>
        <w:t>which was viewed at the event.</w:t>
      </w:r>
    </w:p>
    <w:p w14:paraId="1DAC77B5" w14:textId="77777777" w:rsidR="00ED2B5A" w:rsidRPr="00ED2B5A" w:rsidRDefault="00ED2B5A" w:rsidP="00ED2B5A">
      <w:pPr>
        <w:spacing w:after="0" w:line="360" w:lineRule="auto"/>
        <w:rPr>
          <w:rFonts w:cstheme="minorHAnsi"/>
          <w:sz w:val="24"/>
          <w:szCs w:val="24"/>
        </w:rPr>
      </w:pPr>
    </w:p>
    <w:p w14:paraId="7C7929BA" w14:textId="77777777" w:rsidR="00ED2B5A" w:rsidRPr="00ED2B5A" w:rsidRDefault="00ED2B5A" w:rsidP="00ED2B5A">
      <w:pPr>
        <w:keepNext/>
        <w:keepLines/>
        <w:spacing w:before="240" w:after="0"/>
        <w:outlineLvl w:val="0"/>
        <w:rPr>
          <w:rFonts w:asciiTheme="majorHAnsi" w:eastAsia="Times New Roman" w:hAnsiTheme="majorHAnsi" w:cstheme="majorBidi"/>
          <w:color w:val="365F91" w:themeColor="accent1" w:themeShade="BF"/>
          <w:sz w:val="32"/>
          <w:szCs w:val="32"/>
          <w:lang w:eastAsia="en-GB"/>
        </w:rPr>
      </w:pPr>
      <w:r w:rsidRPr="00ED2B5A">
        <w:rPr>
          <w:rFonts w:asciiTheme="majorHAnsi" w:eastAsia="Times New Roman" w:hAnsiTheme="majorHAnsi" w:cstheme="majorBidi"/>
          <w:color w:val="365F91" w:themeColor="accent1" w:themeShade="BF"/>
          <w:sz w:val="32"/>
          <w:szCs w:val="32"/>
          <w:lang w:eastAsia="en-GB"/>
        </w:rPr>
        <w:t>Discussion</w:t>
      </w:r>
    </w:p>
    <w:p w14:paraId="4F42AFA4" w14:textId="114097FC" w:rsidR="00ED2B5A" w:rsidRPr="00ED2B5A" w:rsidRDefault="00ED2B5A" w:rsidP="00ED2B5A">
      <w:pPr>
        <w:spacing w:after="0" w:line="360" w:lineRule="auto"/>
        <w:rPr>
          <w:rFonts w:cstheme="minorHAnsi"/>
          <w:color w:val="000000"/>
        </w:rPr>
      </w:pPr>
      <w:r w:rsidRPr="00ED2B5A">
        <w:rPr>
          <w:rFonts w:cstheme="minorHAnsi"/>
          <w:color w:val="000000"/>
        </w:rPr>
        <w:t xml:space="preserve">We achieved involvement in all stages of this large randomised controlled trial </w:t>
      </w:r>
      <w:r w:rsidRPr="00ED2B5A">
        <w:rPr>
          <w:rFonts w:cstheme="minorHAnsi"/>
        </w:rPr>
        <w:t xml:space="preserve">at a time when this level of engagement of people with a dementia diagnosis was not established practice. </w:t>
      </w:r>
      <w:r w:rsidRPr="00ED2B5A">
        <w:rPr>
          <w:rFonts w:cstheme="minorHAnsi"/>
          <w:color w:val="000000"/>
        </w:rPr>
        <w:t xml:space="preserve">Importantly the voice of people living with dementia and their </w:t>
      </w:r>
      <w:r w:rsidR="00592BE7">
        <w:rPr>
          <w:rFonts w:cstheme="minorHAnsi"/>
          <w:color w:val="000000"/>
        </w:rPr>
        <w:t>supporter</w:t>
      </w:r>
      <w:r w:rsidRPr="00ED2B5A">
        <w:rPr>
          <w:rFonts w:cstheme="minorHAnsi"/>
          <w:color w:val="000000"/>
        </w:rPr>
        <w:t xml:space="preserve">s was heard first-hand and acted upon, which is acknowledged as being essential </w:t>
      </w:r>
      <w:r w:rsidR="00D81A5C">
        <w:rPr>
          <w:rFonts w:cstheme="minorHAnsi"/>
          <w:noProof/>
          <w:color w:val="000000"/>
        </w:rPr>
        <w:t>(Poland et al., 2019)</w:t>
      </w:r>
      <w:r w:rsidRPr="00ED2B5A">
        <w:rPr>
          <w:rFonts w:cstheme="minorHAnsi"/>
          <w:color w:val="000000"/>
        </w:rPr>
        <w:t>. However, we also found that meaningful involvement could be challenging at times and our aspirations could not always be met, particularly given that PPIE described here was for a trial with necessary study processes</w:t>
      </w:r>
      <w:r w:rsidR="000531CC">
        <w:rPr>
          <w:rFonts w:cstheme="minorHAnsi"/>
          <w:color w:val="000000"/>
        </w:rPr>
        <w:t xml:space="preserve"> such as rigid methods of consenting people into </w:t>
      </w:r>
      <w:r w:rsidR="00772499">
        <w:rPr>
          <w:rFonts w:cstheme="minorHAnsi"/>
          <w:color w:val="000000"/>
        </w:rPr>
        <w:t>a trial</w:t>
      </w:r>
      <w:r w:rsidR="000531CC">
        <w:rPr>
          <w:rFonts w:cstheme="minorHAnsi"/>
          <w:color w:val="000000"/>
        </w:rPr>
        <w:t>.</w:t>
      </w:r>
      <w:r w:rsidRPr="00ED2B5A">
        <w:rPr>
          <w:rFonts w:cstheme="minorHAnsi"/>
          <w:color w:val="000000"/>
        </w:rPr>
        <w:t xml:space="preserve"> </w:t>
      </w:r>
    </w:p>
    <w:p w14:paraId="4C591625" w14:textId="77777777" w:rsidR="00ED2B5A" w:rsidRPr="00ED2B5A" w:rsidRDefault="00ED2B5A" w:rsidP="00ED2B5A">
      <w:pPr>
        <w:spacing w:after="0" w:line="360" w:lineRule="auto"/>
        <w:rPr>
          <w:rFonts w:cstheme="minorHAnsi"/>
          <w:color w:val="000000"/>
        </w:rPr>
      </w:pPr>
    </w:p>
    <w:p w14:paraId="10B3750B" w14:textId="49443573" w:rsidR="00ED2B5A" w:rsidRPr="00ED2B5A" w:rsidRDefault="00ED2B5A" w:rsidP="00ED2B5A">
      <w:pPr>
        <w:spacing w:after="0" w:line="360" w:lineRule="auto"/>
        <w:rPr>
          <w:rFonts w:cstheme="minorHAnsi"/>
        </w:rPr>
      </w:pPr>
      <w:r w:rsidRPr="00ED2B5A">
        <w:rPr>
          <w:rFonts w:eastAsia="Times New Roman" w:cstheme="minorHAnsi"/>
          <w:lang w:val="en-US" w:eastAsia="en-GB"/>
        </w:rPr>
        <w:t xml:space="preserve">During PPIE involvement in data analysis activities we found that </w:t>
      </w:r>
      <w:r w:rsidRPr="00ED2B5A">
        <w:rPr>
          <w:rFonts w:cstheme="minorHAnsi"/>
          <w:color w:val="000000"/>
        </w:rPr>
        <w:t xml:space="preserve">the informed consent process could easily disempower people, including those with the capacity to consent. The process </w:t>
      </w:r>
      <w:r w:rsidRPr="00ED2B5A">
        <w:rPr>
          <w:rFonts w:cstheme="minorHAnsi"/>
        </w:rPr>
        <w:t>was time consuming and burdensome for some people with a diagnosis of dementia who</w:t>
      </w:r>
      <w:r w:rsidRPr="00ED2B5A">
        <w:rPr>
          <w:rFonts w:cstheme="minorHAnsi"/>
          <w:color w:val="000000"/>
        </w:rPr>
        <w:t xml:space="preserve"> found it confusing to have to agree to numerous statements</w:t>
      </w:r>
      <w:r w:rsidRPr="00ED2B5A">
        <w:rPr>
          <w:rFonts w:cstheme="minorHAnsi"/>
        </w:rPr>
        <w:t xml:space="preserve">. It is important that people living with dementia feel empowered to make decisions for themselves when consenting </w:t>
      </w:r>
      <w:r w:rsidR="00D81A5C">
        <w:rPr>
          <w:rFonts w:cstheme="minorHAnsi"/>
          <w:noProof/>
        </w:rPr>
        <w:t>(Thorogood et al., 2018)</w:t>
      </w:r>
      <w:r w:rsidRPr="00ED2B5A">
        <w:rPr>
          <w:rFonts w:cstheme="minorHAnsi"/>
        </w:rPr>
        <w:t>. We therefore suggest that using a simplified consent form,</w:t>
      </w:r>
      <w:r w:rsidRPr="00ED2B5A">
        <w:rPr>
          <w:rFonts w:cstheme="minorHAnsi"/>
          <w:color w:val="000000"/>
          <w:lang w:val="en-US"/>
        </w:rPr>
        <w:t xml:space="preserve"> co-produced with people living with dementia, would</w:t>
      </w:r>
      <w:r w:rsidRPr="00ED2B5A">
        <w:rPr>
          <w:rFonts w:cstheme="minorHAnsi"/>
          <w:color w:val="000000"/>
        </w:rPr>
        <w:t xml:space="preserve"> minimise unnecessary participant burden whilst </w:t>
      </w:r>
      <w:r w:rsidRPr="00ED2B5A">
        <w:rPr>
          <w:rFonts w:cstheme="minorHAnsi"/>
        </w:rPr>
        <w:t xml:space="preserve">complying with research governance requirements. At the outset of this trial, researchers aspired to create and test methods of video consent for potential trials participants, but it was quickly realised that this could not be achieved within the resource constraints of the study. </w:t>
      </w:r>
    </w:p>
    <w:p w14:paraId="4F9DD42D" w14:textId="77777777" w:rsidR="00ED2B5A" w:rsidRPr="00ED2B5A" w:rsidRDefault="00ED2B5A" w:rsidP="00ED2B5A">
      <w:pPr>
        <w:spacing w:after="0" w:line="360" w:lineRule="auto"/>
        <w:rPr>
          <w:rFonts w:cstheme="minorHAnsi"/>
          <w:lang w:val="en-US"/>
        </w:rPr>
      </w:pPr>
    </w:p>
    <w:p w14:paraId="74E1B07D" w14:textId="559C6499" w:rsidR="00ED2B5A" w:rsidRPr="00ED2B5A" w:rsidRDefault="00ED2B5A" w:rsidP="00ED2B5A">
      <w:pPr>
        <w:spacing w:after="0" w:line="360" w:lineRule="auto"/>
        <w:rPr>
          <w:rFonts w:eastAsia="Times New Roman" w:cstheme="minorHAnsi"/>
          <w:lang w:val="en-US" w:eastAsia="en-GB"/>
        </w:rPr>
      </w:pPr>
      <w:r w:rsidRPr="00ED2B5A">
        <w:rPr>
          <w:rFonts w:eastAsia="Times New Roman" w:cstheme="minorHAnsi"/>
          <w:lang w:eastAsia="en-GB"/>
        </w:rPr>
        <w:t>Having reliable methods in place to encourage and capture the impact of involvement activities was greatly facilitated by having a designated PPIE lead, a role now compulsory with some funders such as the UK NIHR. In addition</w:t>
      </w:r>
      <w:r w:rsidR="00CF16DC">
        <w:rPr>
          <w:rFonts w:eastAsia="Times New Roman" w:cstheme="minorHAnsi"/>
          <w:lang w:eastAsia="en-GB"/>
        </w:rPr>
        <w:t>,</w:t>
      </w:r>
      <w:r w:rsidRPr="00ED2B5A">
        <w:rPr>
          <w:rFonts w:eastAsia="Times New Roman" w:cstheme="minorHAnsi"/>
          <w:lang w:eastAsia="en-GB"/>
        </w:rPr>
        <w:t xml:space="preserve"> researchers within the study team who were both knowledgeable and supportive of PPIE was essential. Our experiences underscore the need for </w:t>
      </w:r>
      <w:r w:rsidRPr="00ED2B5A">
        <w:rPr>
          <w:rFonts w:eastAsia="Times New Roman" w:cstheme="minorHAnsi"/>
          <w:lang w:val="en-US" w:eastAsia="en-GB"/>
        </w:rPr>
        <w:t>researchers to</w:t>
      </w:r>
      <w:r w:rsidRPr="00ED2B5A">
        <w:rPr>
          <w:rFonts w:eastAsia="Times New Roman" w:cstheme="minorHAnsi"/>
          <w:color w:val="000000"/>
          <w:lang w:eastAsia="en-GB"/>
        </w:rPr>
        <w:t xml:space="preserve"> have </w:t>
      </w:r>
      <w:r w:rsidRPr="00ED2B5A">
        <w:rPr>
          <w:rFonts w:eastAsia="Times New Roman" w:cstheme="minorHAnsi"/>
          <w:color w:val="000000"/>
          <w:lang w:eastAsia="en-GB"/>
        </w:rPr>
        <w:lastRenderedPageBreak/>
        <w:t>expertise in working with people living with dementia or that the requisite training and support is provided so that they always take a sensitive and considered approach, enabling</w:t>
      </w:r>
      <w:r w:rsidRPr="00ED2B5A">
        <w:rPr>
          <w:rFonts w:eastAsia="Times New Roman" w:cstheme="minorHAnsi"/>
          <w:lang w:val="en-US" w:eastAsia="en-GB"/>
        </w:rPr>
        <w:t xml:space="preserve"> involvement in an informed and nuanced manner</w:t>
      </w:r>
      <w:r w:rsidR="00D81A5C">
        <w:rPr>
          <w:rFonts w:eastAsia="Times New Roman" w:cstheme="minorHAnsi"/>
          <w:noProof/>
          <w:lang w:val="en-US" w:eastAsia="en-GB"/>
        </w:rPr>
        <w:t>(Gove et al., 2018)</w:t>
      </w:r>
      <w:r w:rsidRPr="00ED2B5A">
        <w:rPr>
          <w:rFonts w:eastAsia="Times New Roman" w:cstheme="minorHAnsi"/>
          <w:lang w:val="en-US" w:eastAsia="en-GB"/>
        </w:rPr>
        <w:t xml:space="preserve">. The more we undertake research involving people living with dementia as PPIE advisors or co-researchers the more we learn to pave the way for models of successful participation in research </w:t>
      </w:r>
      <w:r w:rsidR="00D81A5C">
        <w:rPr>
          <w:rFonts w:eastAsia="Times New Roman" w:cstheme="minorHAnsi"/>
          <w:noProof/>
          <w:lang w:val="en-US" w:eastAsia="en-GB"/>
        </w:rPr>
        <w:t>(Roberts et al., 2019)</w:t>
      </w:r>
      <w:r w:rsidRPr="00ED2B5A">
        <w:rPr>
          <w:rFonts w:eastAsia="Times New Roman" w:cstheme="minorHAnsi"/>
          <w:lang w:val="en-US" w:eastAsia="en-GB"/>
        </w:rPr>
        <w:t xml:space="preserve">. </w:t>
      </w:r>
    </w:p>
    <w:p w14:paraId="113CAC11" w14:textId="77777777" w:rsidR="00ED2B5A" w:rsidRPr="00ED2B5A" w:rsidRDefault="00ED2B5A" w:rsidP="00ED2B5A">
      <w:pPr>
        <w:spacing w:after="0" w:line="360" w:lineRule="auto"/>
        <w:rPr>
          <w:rFonts w:cstheme="minorHAnsi"/>
          <w:color w:val="000000"/>
        </w:rPr>
      </w:pPr>
    </w:p>
    <w:p w14:paraId="5FA1B701" w14:textId="1B541BCB" w:rsidR="00ED2B5A" w:rsidRPr="00ED2B5A" w:rsidRDefault="00ED2B5A" w:rsidP="00ED2B5A">
      <w:pPr>
        <w:spacing w:after="0" w:line="360" w:lineRule="auto"/>
        <w:rPr>
          <w:rFonts w:cstheme="minorHAnsi"/>
          <w:bCs/>
        </w:rPr>
      </w:pPr>
      <w:r w:rsidRPr="00ED2B5A">
        <w:rPr>
          <w:rFonts w:eastAsiaTheme="minorEastAsia" w:cstheme="minorHAnsi"/>
        </w:rPr>
        <w:t xml:space="preserve">PPIE advisory group members were recruited from existing PPIE cohorts and networks. </w:t>
      </w:r>
      <w:r w:rsidRPr="00ED2B5A">
        <w:rPr>
          <w:rFonts w:cstheme="minorHAnsi"/>
          <w:color w:val="000000"/>
        </w:rPr>
        <w:t xml:space="preserve">Whilst this approach perhaps led to a more relaxed exchange of ideas between researchers and PPIE advisors, it created limitations in terms of diversity. </w:t>
      </w:r>
      <w:r w:rsidRPr="00ED2B5A">
        <w:rPr>
          <w:rFonts w:eastAsiaTheme="minorEastAsia" w:cstheme="minorHAnsi"/>
        </w:rPr>
        <w:t xml:space="preserve">Almost all our PPIE advisors were White. Also, some members were living with more advanced stages of dementia which did not reflect the population of study participants. As the membership of the PPIE advisory group evolved, people living in earlier stages of dementia, including some who lived alone joined the group. </w:t>
      </w:r>
      <w:r w:rsidRPr="00ED2B5A">
        <w:rPr>
          <w:rFonts w:cstheme="minorHAnsi"/>
          <w:lang w:val="en-US"/>
        </w:rPr>
        <w:t xml:space="preserve">How to ensure the involvement of the range of people who represent any one group remains a challenge </w:t>
      </w:r>
      <w:r w:rsidR="00D81A5C">
        <w:rPr>
          <w:rFonts w:cstheme="minorHAnsi"/>
          <w:noProof/>
          <w:lang w:val="en-US"/>
        </w:rPr>
        <w:t>(Witham et al., 2020)</w:t>
      </w:r>
      <w:r w:rsidRPr="00ED2B5A">
        <w:rPr>
          <w:rFonts w:cstheme="minorHAnsi"/>
          <w:lang w:val="en-US"/>
        </w:rPr>
        <w:t xml:space="preserve"> and </w:t>
      </w:r>
      <w:r w:rsidRPr="00ED2B5A">
        <w:rPr>
          <w:rFonts w:eastAsiaTheme="minorEastAsia" w:cstheme="minorHAnsi"/>
        </w:rPr>
        <w:t xml:space="preserve">in common with overall recruitment to dementia studies, achieving diversity is difficult </w:t>
      </w:r>
      <w:r w:rsidR="00D81A5C">
        <w:rPr>
          <w:rFonts w:eastAsiaTheme="minorEastAsia" w:cstheme="minorHAnsi"/>
          <w:noProof/>
        </w:rPr>
        <w:t>(Field et al., 2019)</w:t>
      </w:r>
      <w:r w:rsidRPr="00ED2B5A">
        <w:rPr>
          <w:rFonts w:eastAsiaTheme="minorEastAsia" w:cstheme="minorHAnsi"/>
        </w:rPr>
        <w:t>. W</w:t>
      </w:r>
      <w:r w:rsidRPr="00ED2B5A">
        <w:rPr>
          <w:rFonts w:cstheme="minorHAnsi"/>
        </w:rPr>
        <w:t xml:space="preserve">e recommend that to reflect the study population, early liaison, during the design phase of research, with representatives from relevant community organisations might gain support, both for participant recruitment and for recruitment of PPIE representatives. This may in turn increase interest in research from underrepresented groups. </w:t>
      </w:r>
    </w:p>
    <w:p w14:paraId="59F68F5B" w14:textId="77777777" w:rsidR="00ED2B5A" w:rsidRPr="00ED2B5A" w:rsidRDefault="00ED2B5A" w:rsidP="00ED2B5A">
      <w:pPr>
        <w:spacing w:after="0" w:line="360" w:lineRule="auto"/>
        <w:rPr>
          <w:rFonts w:eastAsia="Times New Roman" w:cstheme="minorHAnsi"/>
          <w:lang w:eastAsia="en-GB"/>
        </w:rPr>
      </w:pPr>
    </w:p>
    <w:p w14:paraId="62E688C6" w14:textId="115ACDE5"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bCs/>
          <w:lang w:eastAsia="en-GB"/>
        </w:rPr>
        <w:t xml:space="preserve">It may require time for people living with dementia to feel participation in research is meaningful </w:t>
      </w:r>
      <w:r w:rsidR="00D81A5C">
        <w:rPr>
          <w:rFonts w:eastAsia="Times New Roman" w:cstheme="minorHAnsi"/>
          <w:bCs/>
          <w:noProof/>
          <w:lang w:eastAsia="en-GB"/>
        </w:rPr>
        <w:t>(Stevenson &amp; Taylor, 2019)</w:t>
      </w:r>
      <w:r w:rsidRPr="00ED2B5A">
        <w:rPr>
          <w:rFonts w:eastAsia="Times New Roman" w:cstheme="minorHAnsi"/>
          <w:bCs/>
          <w:lang w:eastAsia="en-GB"/>
        </w:rPr>
        <w:t xml:space="preserve">. Feeling useful and being able to help others is important to people living with dementia </w:t>
      </w:r>
      <w:r w:rsidR="00D81A5C">
        <w:rPr>
          <w:rFonts w:eastAsia="Times New Roman" w:cstheme="minorHAnsi"/>
          <w:bCs/>
          <w:noProof/>
          <w:lang w:eastAsia="en-GB"/>
        </w:rPr>
        <w:t>(Perkins R et al., 2013)</w:t>
      </w:r>
      <w:r w:rsidRPr="00ED2B5A">
        <w:rPr>
          <w:rFonts w:eastAsia="Times New Roman" w:cstheme="minorHAnsi"/>
          <w:bCs/>
          <w:lang w:eastAsia="en-GB"/>
        </w:rPr>
        <w:t xml:space="preserve"> but it</w:t>
      </w:r>
      <w:r w:rsidRPr="00ED2B5A">
        <w:rPr>
          <w:rFonts w:eastAsia="Times New Roman" w:cstheme="minorHAnsi"/>
          <w:color w:val="000000"/>
          <w:lang w:val="en-US" w:eastAsia="en-GB"/>
        </w:rPr>
        <w:t xml:space="preserve"> is important to consider what might be other motivations and needs of people acting as PPIE advisors to research. We found that members who had recently received their diagnosis sought personal support and specific advice from the group and from researchers regarding their recent diagnosis and what this meant for their future. Those supporting PPIE therefore need to understand the boundaries between research, clinical advice and personal support and be prepared to respond by signposting individuals to appropriate services. </w:t>
      </w:r>
      <w:r w:rsidRPr="00ED2B5A">
        <w:rPr>
          <w:rFonts w:eastAsiaTheme="minorEastAsia" w:cstheme="minorHAnsi"/>
          <w:lang w:eastAsia="en-GB"/>
        </w:rPr>
        <w:t xml:space="preserve">Family members can feel the need to protect people living with dementia, which can lead to a form of gatekeeping, taking decisions on behalf of the person with dementia </w:t>
      </w:r>
      <w:r w:rsidR="00D81A5C">
        <w:rPr>
          <w:rFonts w:eastAsiaTheme="minorEastAsia" w:cstheme="minorHAnsi"/>
          <w:noProof/>
          <w:lang w:eastAsia="en-GB"/>
        </w:rPr>
        <w:t>(Waite et al., 2019)</w:t>
      </w:r>
      <w:r w:rsidRPr="00ED2B5A">
        <w:rPr>
          <w:rFonts w:eastAsiaTheme="minorEastAsia" w:cstheme="minorHAnsi"/>
          <w:lang w:eastAsia="en-GB"/>
        </w:rPr>
        <w:t xml:space="preserve">. During this study we found that some </w:t>
      </w:r>
      <w:r w:rsidR="00592BE7">
        <w:rPr>
          <w:rFonts w:eastAsiaTheme="minorEastAsia" w:cstheme="minorHAnsi"/>
          <w:lang w:eastAsia="en-GB"/>
        </w:rPr>
        <w:t>supporter</w:t>
      </w:r>
      <w:r w:rsidRPr="00ED2B5A">
        <w:rPr>
          <w:rFonts w:eastAsiaTheme="minorEastAsia" w:cstheme="minorHAnsi"/>
          <w:lang w:eastAsia="en-GB"/>
        </w:rPr>
        <w:t>s spoke on behalf of their spouse on occasion.</w:t>
      </w:r>
      <w:r w:rsidRPr="00ED2B5A">
        <w:rPr>
          <w:rFonts w:eastAsia="Times New Roman" w:cstheme="minorHAnsi"/>
          <w:bCs/>
          <w:lang w:eastAsia="en-GB"/>
        </w:rPr>
        <w:t xml:space="preserve"> </w:t>
      </w:r>
      <w:r w:rsidRPr="00ED2B5A">
        <w:rPr>
          <w:rFonts w:eastAsiaTheme="minorEastAsia" w:cstheme="minorHAnsi"/>
          <w:lang w:eastAsia="en-GB"/>
        </w:rPr>
        <w:t xml:space="preserve">Researchers were aware of the need to listen to the voice of the person with dementia </w:t>
      </w:r>
      <w:r w:rsidR="00D81A5C">
        <w:rPr>
          <w:rFonts w:eastAsiaTheme="minorEastAsia" w:cstheme="minorHAnsi"/>
          <w:noProof/>
          <w:lang w:eastAsia="en-GB"/>
        </w:rPr>
        <w:t>(Gove et al., 2018)</w:t>
      </w:r>
      <w:r w:rsidRPr="00ED2B5A">
        <w:rPr>
          <w:rFonts w:eastAsiaTheme="minorEastAsia" w:cstheme="minorHAnsi"/>
          <w:lang w:eastAsia="en-GB"/>
        </w:rPr>
        <w:t xml:space="preserve"> and study team members explored ways of achieving this for example ‘turn taking’ and using smaller discussion groups.</w:t>
      </w:r>
      <w:r w:rsidRPr="00ED2B5A">
        <w:rPr>
          <w:rFonts w:eastAsia="Times New Roman" w:cstheme="minorHAnsi"/>
          <w:color w:val="000000"/>
          <w:lang w:eastAsia="en-GB"/>
        </w:rPr>
        <w:t xml:space="preserve"> It has also been observed that </w:t>
      </w:r>
      <w:r w:rsidRPr="00ED2B5A">
        <w:rPr>
          <w:rFonts w:eastAsiaTheme="minorEastAsia" w:cstheme="minorHAnsi"/>
          <w:lang w:eastAsia="en-GB"/>
        </w:rPr>
        <w:t xml:space="preserve">offering guidance to </w:t>
      </w:r>
      <w:r w:rsidR="00592BE7">
        <w:rPr>
          <w:rFonts w:eastAsiaTheme="minorEastAsia" w:cstheme="minorHAnsi"/>
          <w:lang w:eastAsia="en-GB"/>
        </w:rPr>
        <w:t>supporter</w:t>
      </w:r>
      <w:r w:rsidRPr="00ED2B5A">
        <w:rPr>
          <w:rFonts w:eastAsiaTheme="minorEastAsia" w:cstheme="minorHAnsi"/>
          <w:lang w:eastAsia="en-GB"/>
        </w:rPr>
        <w:t xml:space="preserve">s on how to enable </w:t>
      </w:r>
      <w:r w:rsidRPr="00ED2B5A">
        <w:rPr>
          <w:rFonts w:eastAsiaTheme="minorEastAsia" w:cstheme="minorHAnsi"/>
          <w:lang w:eastAsia="en-GB"/>
        </w:rPr>
        <w:lastRenderedPageBreak/>
        <w:t xml:space="preserve">the people they support to be involved in PPIE activities may be beneficial and make the </w:t>
      </w:r>
      <w:r w:rsidR="00592BE7">
        <w:rPr>
          <w:rFonts w:eastAsiaTheme="minorEastAsia" w:cstheme="minorHAnsi"/>
          <w:lang w:eastAsia="en-GB"/>
        </w:rPr>
        <w:t>supporter</w:t>
      </w:r>
      <w:r w:rsidRPr="00ED2B5A">
        <w:rPr>
          <w:rFonts w:eastAsiaTheme="minorEastAsia" w:cstheme="minorHAnsi"/>
          <w:lang w:eastAsia="en-GB"/>
        </w:rPr>
        <w:t xml:space="preserve"> feel valued </w:t>
      </w:r>
      <w:r w:rsidR="00D81A5C">
        <w:rPr>
          <w:rFonts w:eastAsiaTheme="minorEastAsia" w:cstheme="minorHAnsi"/>
          <w:noProof/>
          <w:lang w:eastAsia="en-GB"/>
        </w:rPr>
        <w:t>(Gove et al., 2018)</w:t>
      </w:r>
      <w:r w:rsidRPr="00ED2B5A">
        <w:rPr>
          <w:rFonts w:eastAsiaTheme="minorEastAsia" w:cstheme="minorHAnsi"/>
          <w:lang w:eastAsia="en-GB"/>
        </w:rPr>
        <w:t xml:space="preserve">. </w:t>
      </w:r>
    </w:p>
    <w:p w14:paraId="4119F14A" w14:textId="77777777" w:rsidR="00ED2B5A" w:rsidRPr="00ED2B5A" w:rsidRDefault="00ED2B5A" w:rsidP="00ED2B5A">
      <w:pPr>
        <w:spacing w:after="0" w:line="360" w:lineRule="auto"/>
        <w:rPr>
          <w:rFonts w:cstheme="minorHAnsi"/>
        </w:rPr>
      </w:pPr>
    </w:p>
    <w:p w14:paraId="1B4A8A2A" w14:textId="06E6AE91" w:rsidR="00ED2B5A" w:rsidRPr="00ED2B5A" w:rsidRDefault="00ED2B5A" w:rsidP="00ED2B5A">
      <w:pPr>
        <w:spacing w:after="0" w:line="360" w:lineRule="auto"/>
        <w:rPr>
          <w:rFonts w:eastAsia="Times New Roman" w:cstheme="minorHAnsi"/>
          <w:color w:val="000000"/>
          <w:lang w:eastAsia="en-GB"/>
        </w:rPr>
      </w:pPr>
      <w:r w:rsidRPr="00ED2B5A">
        <w:rPr>
          <w:rFonts w:cstheme="minorHAnsi"/>
        </w:rPr>
        <w:t xml:space="preserve">Involvement in the Trial Steering Committee for this study did not meet agreed best practice </w:t>
      </w:r>
      <w:r w:rsidR="00D81A5C">
        <w:rPr>
          <w:rFonts w:cstheme="minorHAnsi"/>
          <w:noProof/>
        </w:rPr>
        <w:t>(National Institute for Health and Care Excellence, 2019)</w:t>
      </w:r>
      <w:r w:rsidRPr="00ED2B5A">
        <w:rPr>
          <w:rFonts w:cstheme="minorHAnsi"/>
          <w:color w:val="FF0000"/>
        </w:rPr>
        <w:t xml:space="preserve"> </w:t>
      </w:r>
      <w:r w:rsidRPr="00ED2B5A">
        <w:rPr>
          <w:rFonts w:cstheme="minorHAnsi"/>
        </w:rPr>
        <w:t xml:space="preserve">in that only one person with a diagnosis of dementia was recruited to the committee. The arrangement was considered to work well due to the skills and previous experience of the PPIE representative but having two members to take account of absence and meet needs for peer support is recommended. Being a Trial Steering Committee PPIE member had different demands compared to the PPIE advisory group member for example, due to the time lag between meetings and the necessary independence of the Trial Steering Committee which aids objectivity but also creates distance from the study. This can affect </w:t>
      </w:r>
      <w:r w:rsidRPr="00ED2B5A">
        <w:rPr>
          <w:rFonts w:eastAsia="Times New Roman" w:cstheme="minorHAnsi"/>
          <w:color w:val="000000"/>
          <w:lang w:eastAsia="en-GB"/>
        </w:rPr>
        <w:t>ability of all PPIE members to retain knowledge and understanding of the trial, but particularly if the person is living with memory issues. Therefore, approaches to scaffold memory and recall are helpful and should be provided as we identified during this study.</w:t>
      </w:r>
    </w:p>
    <w:p w14:paraId="15A31E6A" w14:textId="77777777" w:rsidR="00ED2B5A" w:rsidRPr="00ED2B5A" w:rsidRDefault="00ED2B5A" w:rsidP="00ED2B5A">
      <w:pPr>
        <w:spacing w:after="0" w:line="360" w:lineRule="auto"/>
        <w:rPr>
          <w:rFonts w:eastAsia="Times New Roman" w:cstheme="minorHAnsi"/>
          <w:color w:val="000000"/>
          <w:lang w:eastAsia="en-GB"/>
        </w:rPr>
      </w:pPr>
    </w:p>
    <w:p w14:paraId="2DD281FB" w14:textId="4A42FAF5" w:rsidR="00ED2B5A" w:rsidRPr="00ED2B5A" w:rsidRDefault="00ED2B5A" w:rsidP="00ED2B5A">
      <w:pPr>
        <w:spacing w:after="0" w:line="360" w:lineRule="auto"/>
        <w:rPr>
          <w:rFonts w:cstheme="minorHAnsi"/>
        </w:rPr>
      </w:pPr>
      <w:r w:rsidRPr="00ED2B5A">
        <w:rPr>
          <w:rFonts w:cstheme="minorHAnsi"/>
        </w:rPr>
        <w:t xml:space="preserve">In accord with best practice </w:t>
      </w:r>
      <w:r w:rsidR="00D81A5C">
        <w:rPr>
          <w:rFonts w:cstheme="minorHAnsi"/>
          <w:noProof/>
        </w:rPr>
        <w:t>(Ashcroft et al., 2016; Litherland et al., 2018; Wilson et al., 2015)</w:t>
      </w:r>
      <w:r w:rsidRPr="00ED2B5A">
        <w:rPr>
          <w:rFonts w:cstheme="minorHAnsi"/>
          <w:noProof/>
        </w:rPr>
        <w:t>,</w:t>
      </w:r>
      <w:r w:rsidRPr="00ED2B5A">
        <w:rPr>
          <w:rFonts w:cstheme="minorHAnsi"/>
        </w:rPr>
        <w:t xml:space="preserve"> providing opportunities to share experiences and coping strategies whilst at the same time advising on the study proved important. Additionally, we found that </w:t>
      </w:r>
      <w:r w:rsidRPr="00ED2B5A">
        <w:rPr>
          <w:rFonts w:cstheme="minorHAnsi"/>
          <w:color w:val="000000"/>
        </w:rPr>
        <w:t>hosting advisory group meetings in a community setting could provide social opportunities that might not have occurred otherwise</w:t>
      </w:r>
      <w:r w:rsidRPr="00ED2B5A">
        <w:rPr>
          <w:rFonts w:cstheme="minorHAnsi"/>
          <w:lang w:eastAsia="en-GB"/>
        </w:rPr>
        <w:t xml:space="preserve">. </w:t>
      </w:r>
      <w:r w:rsidRPr="00ED2B5A">
        <w:rPr>
          <w:rFonts w:cstheme="minorHAnsi"/>
          <w:color w:val="000000"/>
        </w:rPr>
        <w:t xml:space="preserve">Most of our PPIE advisors were, or had recently been, </w:t>
      </w:r>
      <w:r w:rsidRPr="00ED2B5A">
        <w:rPr>
          <w:rFonts w:eastAsiaTheme="minorEastAsia" w:cstheme="minorHAnsi"/>
        </w:rPr>
        <w:t xml:space="preserve">involved in other research studies which perhaps created an understanding of research, and familiarity with other PPIE advisors, that was helpful to enable them to participate. </w:t>
      </w:r>
    </w:p>
    <w:p w14:paraId="7FD139DE" w14:textId="77777777" w:rsidR="00ED2B5A" w:rsidRPr="00ED2B5A" w:rsidRDefault="00ED2B5A" w:rsidP="00ED2B5A">
      <w:pPr>
        <w:shd w:val="clear" w:color="auto" w:fill="FFFFFF"/>
        <w:spacing w:after="0" w:line="360" w:lineRule="auto"/>
        <w:textAlignment w:val="baseline"/>
        <w:rPr>
          <w:rFonts w:eastAsia="Times New Roman" w:cstheme="minorHAnsi"/>
          <w:color w:val="000000"/>
          <w:lang w:eastAsia="en-GB"/>
        </w:rPr>
      </w:pPr>
    </w:p>
    <w:p w14:paraId="18A608FD" w14:textId="1CCF866C" w:rsidR="00ED2B5A" w:rsidRPr="00ED2B5A" w:rsidRDefault="00ED2B5A" w:rsidP="00ED2B5A">
      <w:pPr>
        <w:shd w:val="clear" w:color="auto" w:fill="FFFFFF"/>
        <w:spacing w:after="0" w:line="360" w:lineRule="auto"/>
        <w:textAlignment w:val="baseline"/>
        <w:rPr>
          <w:rFonts w:eastAsia="Times New Roman" w:cstheme="minorHAnsi"/>
          <w:color w:val="000000"/>
          <w:lang w:eastAsia="en-GB"/>
        </w:rPr>
      </w:pPr>
      <w:r w:rsidRPr="00ED2B5A">
        <w:rPr>
          <w:rFonts w:eastAsia="Times New Roman" w:cstheme="minorHAnsi"/>
          <w:color w:val="000000"/>
          <w:lang w:eastAsia="en-GB"/>
        </w:rPr>
        <w:t>Our experiences have confirmed that PPIE approaches</w:t>
      </w:r>
      <w:r w:rsidR="00CF16DC">
        <w:rPr>
          <w:rFonts w:eastAsia="Times New Roman" w:cstheme="minorHAnsi"/>
          <w:color w:val="000000"/>
          <w:lang w:eastAsia="en-GB"/>
        </w:rPr>
        <w:t>,</w:t>
      </w:r>
      <w:r w:rsidRPr="00ED2B5A">
        <w:rPr>
          <w:rFonts w:eastAsia="Times New Roman" w:cstheme="minorHAnsi"/>
          <w:color w:val="000000"/>
          <w:lang w:eastAsia="en-GB"/>
        </w:rPr>
        <w:t xml:space="preserve"> and processes need to be established early on to have greatest effect upon the design and implementation of a study. The time taken to establish the advisory group meant that some decisions which would have benefited from PPIE input were initially taken in the absence of consultation, e.g. the format and presentation of newsletters sent to study participants which was subsequently changed following recommendations from the advisory group. </w:t>
      </w:r>
    </w:p>
    <w:p w14:paraId="34B397D2" w14:textId="77777777" w:rsidR="00ED2B5A" w:rsidRPr="00ED2B5A" w:rsidRDefault="00ED2B5A" w:rsidP="00ED2B5A">
      <w:pPr>
        <w:shd w:val="clear" w:color="auto" w:fill="FFFFFF"/>
        <w:spacing w:after="0" w:line="360" w:lineRule="auto"/>
        <w:textAlignment w:val="baseline"/>
        <w:rPr>
          <w:rFonts w:eastAsia="Times New Roman" w:cstheme="minorHAnsi"/>
          <w:color w:val="000000"/>
          <w:lang w:eastAsia="en-GB"/>
        </w:rPr>
      </w:pPr>
    </w:p>
    <w:p w14:paraId="68D418D2" w14:textId="4A35D91D" w:rsidR="00ED2B5A" w:rsidRPr="00ED2B5A" w:rsidRDefault="00ED2B5A" w:rsidP="00ED2B5A">
      <w:pPr>
        <w:spacing w:after="0" w:line="360" w:lineRule="auto"/>
        <w:rPr>
          <w:rFonts w:eastAsia="Times New Roman" w:cstheme="minorHAnsi"/>
          <w:color w:val="000000"/>
          <w:lang w:eastAsia="en-GB"/>
        </w:rPr>
      </w:pPr>
      <w:r w:rsidRPr="00ED2B5A">
        <w:rPr>
          <w:rFonts w:eastAsia="Times New Roman" w:cstheme="minorHAnsi"/>
          <w:color w:val="000000"/>
          <w:lang w:eastAsia="en-GB"/>
        </w:rPr>
        <w:t xml:space="preserve">Questions remain about how to achieve maximum involvement in research outputs such as presentations and publications. The window within which meaningful engagement can occur is influenced by a complex interaction of factors including the impact of diminishing cognitive abilities, other impairments as a consequence of dementia and the resilience of the individual. However, </w:t>
      </w:r>
      <w:r w:rsidRPr="00ED2B5A">
        <w:rPr>
          <w:rFonts w:eastAsia="Times New Roman" w:cstheme="minorHAnsi"/>
          <w:color w:val="000000"/>
          <w:lang w:eastAsia="en-GB"/>
        </w:rPr>
        <w:lastRenderedPageBreak/>
        <w:t xml:space="preserve">when working with people with </w:t>
      </w:r>
      <w:r w:rsidR="00017286">
        <w:rPr>
          <w:rFonts w:eastAsia="Times New Roman" w:cstheme="minorHAnsi"/>
          <w:color w:val="000000"/>
          <w:lang w:eastAsia="en-GB"/>
        </w:rPr>
        <w:t xml:space="preserve">a diagnosis of </w:t>
      </w:r>
      <w:r w:rsidR="00BE0231">
        <w:rPr>
          <w:rFonts w:eastAsia="Times New Roman" w:cstheme="minorHAnsi"/>
          <w:color w:val="000000"/>
          <w:lang w:eastAsia="en-GB"/>
        </w:rPr>
        <w:t xml:space="preserve">dementia </w:t>
      </w:r>
      <w:r w:rsidRPr="00ED2B5A">
        <w:rPr>
          <w:rFonts w:eastAsia="Times New Roman" w:cstheme="minorHAnsi"/>
          <w:color w:val="000000"/>
          <w:lang w:eastAsia="en-GB"/>
        </w:rPr>
        <w:t xml:space="preserve">(as some of our PPIE advisors were) the convention of writing most outputs at the end of a study can limit the participation of PPIE advisors as it relies on recall. Indeed, in the preparation of this paper for publication we left writing up towards the end of the trial and the PPIE advisor approached to contribute felt they could not recall their involvement sufficiently </w:t>
      </w:r>
      <w:r w:rsidRPr="00ED2B5A">
        <w:rPr>
          <w:rFonts w:eastAsia="Times New Roman" w:cstheme="minorHAnsi"/>
          <w:color w:val="000000"/>
          <w:lang w:val="en-US" w:eastAsia="en-GB"/>
        </w:rPr>
        <w:t>to directly contribute, thus creating disparity between the voice of the researchers and the voice of people living with dementia. We therefore propose assisting PPIE advisors to record their experiences in real time which might result in authentic publication. This would also build up evidence for dissemination or create opportunities for on-project dissemination activities reinforcing the value of the PPIE role and contribution.</w:t>
      </w:r>
    </w:p>
    <w:p w14:paraId="2BC91FB6" w14:textId="77777777" w:rsidR="00ED2B5A" w:rsidRPr="00ED2B5A" w:rsidRDefault="00ED2B5A" w:rsidP="00ED2B5A">
      <w:pPr>
        <w:spacing w:after="0" w:line="360" w:lineRule="auto"/>
        <w:rPr>
          <w:rFonts w:eastAsia="Times New Roman" w:cstheme="minorHAnsi"/>
          <w:color w:val="000000"/>
          <w:lang w:eastAsia="en-GB"/>
        </w:rPr>
      </w:pPr>
    </w:p>
    <w:p w14:paraId="5DD2406A" w14:textId="71161073" w:rsidR="00ED2B5A" w:rsidRPr="00ED2B5A" w:rsidRDefault="00ED2B5A" w:rsidP="00ED2B5A">
      <w:pPr>
        <w:spacing w:after="0" w:line="360" w:lineRule="auto"/>
        <w:rPr>
          <w:rFonts w:eastAsia="Times New Roman" w:cstheme="minorHAnsi"/>
          <w:lang w:val="en-US" w:eastAsia="en-GB"/>
        </w:rPr>
      </w:pPr>
      <w:r w:rsidRPr="00ED2B5A">
        <w:rPr>
          <w:rFonts w:cstheme="minorHAnsi"/>
          <w:color w:val="000000"/>
        </w:rPr>
        <w:t xml:space="preserve">Involving people living with dementia in the analysis of data can improve the quality of research, and if done well can be a satisfying experience for PPIE advisors and researchers </w:t>
      </w:r>
      <w:r w:rsidR="00D81A5C">
        <w:rPr>
          <w:rFonts w:cstheme="minorHAnsi"/>
          <w:noProof/>
          <w:color w:val="000000"/>
        </w:rPr>
        <w:t>(Stevenson &amp; Taylor, 2019)</w:t>
      </w:r>
      <w:r w:rsidRPr="00ED2B5A">
        <w:rPr>
          <w:rFonts w:eastAsia="Times New Roman" w:cstheme="minorHAnsi"/>
          <w:lang w:val="en-US"/>
        </w:rPr>
        <w:t xml:space="preserve">. The importance of providing PPIE members with appropriate training and support for this and for other aspects of the role is indisputable but questions remain about how this can be achieved to best effect when involving people living with dementia </w:t>
      </w:r>
      <w:r w:rsidR="00D81A5C">
        <w:rPr>
          <w:rFonts w:eastAsia="Times New Roman" w:cstheme="minorHAnsi"/>
          <w:noProof/>
          <w:lang w:val="en-US"/>
        </w:rPr>
        <w:t>(Roberts et al., 2019)</w:t>
      </w:r>
      <w:r w:rsidRPr="00ED2B5A">
        <w:rPr>
          <w:rFonts w:eastAsia="Times New Roman" w:cstheme="minorHAnsi"/>
          <w:lang w:val="en-US"/>
        </w:rPr>
        <w:t xml:space="preserve">. </w:t>
      </w:r>
      <w:r w:rsidRPr="00ED2B5A">
        <w:rPr>
          <w:rFonts w:cstheme="minorHAnsi"/>
          <w:color w:val="000000"/>
        </w:rPr>
        <w:t xml:space="preserve">More specifically; for people with a diagnosis of dementia when does PPIE involvement become too much of a challenge </w:t>
      </w:r>
      <w:r w:rsidR="00D81A5C">
        <w:rPr>
          <w:rFonts w:cstheme="minorHAnsi"/>
          <w:noProof/>
          <w:color w:val="000000"/>
        </w:rPr>
        <w:t>(Waite et al., 2019)</w:t>
      </w:r>
      <w:r w:rsidRPr="00ED2B5A">
        <w:rPr>
          <w:rFonts w:cstheme="minorHAnsi"/>
          <w:color w:val="000000"/>
        </w:rPr>
        <w:t xml:space="preserve"> and who decides; and secondly how can needs for training and support be most effectively met </w:t>
      </w:r>
      <w:r w:rsidR="00D81A5C">
        <w:rPr>
          <w:rFonts w:cstheme="minorHAnsi"/>
          <w:noProof/>
          <w:color w:val="000000"/>
        </w:rPr>
        <w:t>(Wilson et al., 2018)</w:t>
      </w:r>
      <w:r w:rsidRPr="00ED2B5A">
        <w:rPr>
          <w:rFonts w:eastAsia="Times New Roman" w:cstheme="minorHAnsi"/>
          <w:lang w:val="en-US" w:eastAsia="en-GB"/>
        </w:rPr>
        <w:t>.</w:t>
      </w:r>
    </w:p>
    <w:p w14:paraId="65FDFE4B" w14:textId="77777777" w:rsidR="00ED2B5A" w:rsidRPr="00ED2B5A" w:rsidRDefault="00ED2B5A" w:rsidP="00ED2B5A">
      <w:pPr>
        <w:keepNext/>
        <w:keepLines/>
        <w:spacing w:before="240" w:after="0"/>
        <w:outlineLvl w:val="0"/>
        <w:rPr>
          <w:rFonts w:asciiTheme="majorHAnsi" w:eastAsiaTheme="majorEastAsia" w:hAnsiTheme="majorHAnsi" w:cstheme="majorBidi"/>
          <w:color w:val="365F91" w:themeColor="accent1" w:themeShade="BF"/>
          <w:sz w:val="32"/>
          <w:szCs w:val="32"/>
        </w:rPr>
      </w:pPr>
      <w:r w:rsidRPr="00ED2B5A">
        <w:rPr>
          <w:rFonts w:asciiTheme="majorHAnsi" w:eastAsiaTheme="majorEastAsia" w:hAnsiTheme="majorHAnsi" w:cstheme="majorBidi"/>
          <w:color w:val="365F91" w:themeColor="accent1" w:themeShade="BF"/>
          <w:sz w:val="32"/>
          <w:szCs w:val="32"/>
        </w:rPr>
        <w:t>Conclusion</w:t>
      </w:r>
    </w:p>
    <w:p w14:paraId="5C1170A4" w14:textId="77777777" w:rsidR="00ED2B5A" w:rsidRPr="00ED2B5A" w:rsidRDefault="00ED2B5A" w:rsidP="00ED2B5A">
      <w:pPr>
        <w:spacing w:after="0" w:line="360" w:lineRule="auto"/>
        <w:rPr>
          <w:rFonts w:ascii="Times New Roman" w:eastAsia="Times New Roman" w:hAnsi="Times New Roman" w:cstheme="minorHAnsi"/>
          <w:lang w:eastAsia="en-GB"/>
        </w:rPr>
      </w:pPr>
      <w:r w:rsidRPr="00ED2B5A">
        <w:rPr>
          <w:rFonts w:eastAsia="Times New Roman" w:cstheme="minorHAnsi"/>
          <w:color w:val="000000"/>
          <w:lang w:val="en-US" w:eastAsia="en-GB"/>
        </w:rPr>
        <w:t>We posit that we could improve engagement of people living with dementia in research through increasing diversity and adjusting research processes to be more accessible. This in turn would create parity of voice between people with lived experience and researchers and increase the impact of meaningful PPIE in research whilst improving the experience for PPIE advisors. Many aspects of our approach to involving people living with dementia in supporting study processes were effective in that members of the advisory group reported their involvement as enjoyable, sociable and satisfying</w:t>
      </w:r>
      <w:r w:rsidRPr="00ED2B5A">
        <w:rPr>
          <w:rFonts w:eastAsia="Times New Roman" w:cstheme="minorHAnsi"/>
          <w:color w:val="000000"/>
          <w:lang w:eastAsia="en-GB"/>
        </w:rPr>
        <w:t xml:space="preserve">. </w:t>
      </w:r>
      <w:r w:rsidRPr="00ED2B5A">
        <w:rPr>
          <w:rFonts w:eastAsia="Times New Roman" w:cstheme="minorHAnsi"/>
          <w:lang w:eastAsia="en-GB"/>
        </w:rPr>
        <w:t>Regular review of the purpose and approach to PPIE on any study is necessary and can improve the experience for PPIE members.</w:t>
      </w:r>
      <w:r w:rsidRPr="00ED2B5A">
        <w:rPr>
          <w:rFonts w:ascii="Times New Roman" w:eastAsia="Times New Roman" w:hAnsi="Times New Roman" w:cstheme="minorHAnsi"/>
          <w:lang w:eastAsia="en-GB"/>
        </w:rPr>
        <w:t xml:space="preserve"> </w:t>
      </w:r>
      <w:r w:rsidRPr="00ED2B5A">
        <w:rPr>
          <w:rFonts w:eastAsia="Times New Roman" w:cstheme="minorHAnsi"/>
          <w:lang w:eastAsia="en-GB"/>
        </w:rPr>
        <w:t>There is also a need to be realistic in time people with dementia might be willing to give and any opportunity for shorter commitment with ‘succession planning’ in place.</w:t>
      </w:r>
    </w:p>
    <w:p w14:paraId="241B24E9" w14:textId="77777777" w:rsidR="00ED2B5A" w:rsidRPr="00ED2B5A" w:rsidRDefault="00ED2B5A" w:rsidP="00ED2B5A">
      <w:pPr>
        <w:spacing w:after="0" w:line="360" w:lineRule="auto"/>
        <w:rPr>
          <w:rFonts w:eastAsia="Times New Roman" w:cstheme="minorHAnsi"/>
          <w:color w:val="000000"/>
          <w:sz w:val="24"/>
          <w:szCs w:val="24"/>
          <w:lang w:val="en-US" w:eastAsia="en-GB"/>
        </w:rPr>
      </w:pPr>
    </w:p>
    <w:p w14:paraId="4063D69C" w14:textId="77777777" w:rsidR="00ED2B5A" w:rsidRPr="00ED2B5A" w:rsidRDefault="00ED2B5A" w:rsidP="00ED2B5A">
      <w:pPr>
        <w:keepNext/>
        <w:keepLines/>
        <w:spacing w:before="240" w:after="0"/>
        <w:outlineLvl w:val="0"/>
        <w:rPr>
          <w:rFonts w:asciiTheme="majorHAnsi" w:eastAsia="Times New Roman" w:hAnsiTheme="majorHAnsi" w:cstheme="majorBidi"/>
          <w:color w:val="365F91" w:themeColor="accent1" w:themeShade="BF"/>
          <w:sz w:val="32"/>
          <w:szCs w:val="32"/>
          <w:lang w:eastAsia="en-GB"/>
        </w:rPr>
      </w:pPr>
      <w:r w:rsidRPr="00ED2B5A">
        <w:rPr>
          <w:rFonts w:asciiTheme="majorHAnsi" w:eastAsia="Times New Roman" w:hAnsiTheme="majorHAnsi" w:cstheme="majorBidi"/>
          <w:color w:val="365F91" w:themeColor="accent1" w:themeShade="BF"/>
          <w:sz w:val="32"/>
          <w:szCs w:val="32"/>
          <w:lang w:eastAsia="en-GB"/>
        </w:rPr>
        <w:lastRenderedPageBreak/>
        <w:t>Declarations</w:t>
      </w:r>
    </w:p>
    <w:p w14:paraId="70DCFAEB" w14:textId="09B96199" w:rsidR="004B0E00" w:rsidRDefault="004B0E00" w:rsidP="00ED2B5A">
      <w:pPr>
        <w:keepNext/>
        <w:keepLines/>
        <w:spacing w:before="40" w:after="0"/>
        <w:outlineLvl w:val="2"/>
        <w:rPr>
          <w:rFonts w:asciiTheme="majorHAnsi" w:eastAsia="Times New Roman" w:hAnsiTheme="majorHAnsi" w:cstheme="majorBidi"/>
          <w:color w:val="0070C0"/>
          <w:sz w:val="24"/>
          <w:szCs w:val="24"/>
          <w:lang w:eastAsia="en-GB"/>
        </w:rPr>
      </w:pPr>
      <w:r>
        <w:rPr>
          <w:rFonts w:asciiTheme="majorHAnsi" w:eastAsia="Times New Roman" w:hAnsiTheme="majorHAnsi" w:cstheme="majorBidi"/>
          <w:color w:val="0070C0"/>
          <w:sz w:val="24"/>
          <w:szCs w:val="24"/>
          <w:lang w:eastAsia="en-GB"/>
        </w:rPr>
        <w:t>Acknowledgements</w:t>
      </w:r>
    </w:p>
    <w:p w14:paraId="7F0C7922" w14:textId="5FF73292" w:rsidR="004B0E00" w:rsidRDefault="004B0E00" w:rsidP="00F82C6A">
      <w:pPr>
        <w:spacing w:after="0" w:line="360" w:lineRule="auto"/>
        <w:rPr>
          <w:lang w:eastAsia="en-GB"/>
        </w:rPr>
      </w:pPr>
      <w:r>
        <w:rPr>
          <w:lang w:eastAsia="en-GB"/>
        </w:rPr>
        <w:t xml:space="preserve">All of our patient and public involvement and engagement partners. </w:t>
      </w:r>
      <w:r w:rsidRPr="004B0E00">
        <w:rPr>
          <w:lang w:eastAsia="en-GB"/>
        </w:rPr>
        <w:t>The sponsor Nicholas Bell, Sheffield Health and Social Care NHS Foundation Trust. Stephen Walters, Ellen Lee, Amanda Loban, Emily Turton, Esme Moniz-Cook, Tom Dening, Tracey Young, Peter Bowie, Daniel Blackburn and Jasper Palmier-Claus of the Trial Management Group (TMG). Kathryn Ludwin and Michelle Drury of the CTRU. Catherine Hewitt (Chair), University of York, Wendy Mitchell, PPI</w:t>
      </w:r>
      <w:r>
        <w:rPr>
          <w:lang w:eastAsia="en-GB"/>
        </w:rPr>
        <w:t>E</w:t>
      </w:r>
      <w:r w:rsidRPr="004B0E00">
        <w:rPr>
          <w:lang w:eastAsia="en-GB"/>
        </w:rPr>
        <w:t xml:space="preserve"> Representative, Jennifer Wenborn, University College London of the Trial Steering Committee (TSC) and Mona Kanaan (Chair) University of York, Jane Burgess, North East London NHS Foundation Trust and Emily Robinson, Kings College London of the Data Monitoring and Ethics Committee (DMEC) whom all advised on and critically reviewed the trial protocol.</w:t>
      </w:r>
    </w:p>
    <w:p w14:paraId="295BF883" w14:textId="77777777" w:rsidR="00F82C6A" w:rsidRDefault="00F82C6A" w:rsidP="00F82C6A">
      <w:pPr>
        <w:spacing w:after="0" w:line="360" w:lineRule="auto"/>
        <w:rPr>
          <w:lang w:eastAsia="en-GB"/>
        </w:rPr>
      </w:pPr>
    </w:p>
    <w:p w14:paraId="512D01F3" w14:textId="71F92BA6" w:rsidR="00ED2B5A" w:rsidRPr="00ED2B5A" w:rsidRDefault="00ED2B5A" w:rsidP="00F82C6A">
      <w:pPr>
        <w:keepNext/>
        <w:keepLines/>
        <w:spacing w:after="0" w:line="360" w:lineRule="auto"/>
        <w:outlineLvl w:val="2"/>
        <w:rPr>
          <w:rFonts w:asciiTheme="majorHAnsi" w:eastAsia="Times New Roman" w:hAnsiTheme="majorHAnsi" w:cstheme="majorBidi"/>
          <w:color w:val="0070C0"/>
          <w:sz w:val="24"/>
          <w:szCs w:val="24"/>
          <w:lang w:eastAsia="en-GB"/>
        </w:rPr>
      </w:pPr>
      <w:r w:rsidRPr="00ED2B5A">
        <w:rPr>
          <w:rFonts w:asciiTheme="majorHAnsi" w:eastAsia="Times New Roman" w:hAnsiTheme="majorHAnsi" w:cstheme="majorBidi"/>
          <w:color w:val="0070C0"/>
          <w:sz w:val="24"/>
          <w:szCs w:val="24"/>
          <w:lang w:eastAsia="en-GB"/>
        </w:rPr>
        <w:t>Funding</w:t>
      </w:r>
    </w:p>
    <w:p w14:paraId="46B0BAF7" w14:textId="77777777" w:rsidR="00ED2B5A" w:rsidRPr="00ED2B5A" w:rsidRDefault="00ED2B5A" w:rsidP="00F82C6A">
      <w:pPr>
        <w:spacing w:after="0" w:line="360" w:lineRule="auto"/>
        <w:rPr>
          <w:rFonts w:eastAsia="Times New Roman" w:cstheme="minorHAnsi"/>
          <w:b/>
          <w:lang w:val="en-US"/>
        </w:rPr>
      </w:pPr>
      <w:r w:rsidRPr="00ED2B5A">
        <w:rPr>
          <w:rFonts w:eastAsia="Times New Roman" w:cstheme="minorHAnsi"/>
          <w:lang w:val="en-US"/>
        </w:rPr>
        <w:t>This work was funded by the NIHR Health Technology Assessment Programme (project number 14/140/80). The views expressed are those of the author(s) and not necessarily those of the NHS, the NIHR or the Department of Health.</w:t>
      </w:r>
    </w:p>
    <w:p w14:paraId="050180F5" w14:textId="77777777" w:rsidR="00ED2B5A" w:rsidRPr="00ED2B5A" w:rsidRDefault="00ED2B5A" w:rsidP="00F82C6A">
      <w:pPr>
        <w:spacing w:after="0" w:line="360" w:lineRule="auto"/>
        <w:rPr>
          <w:lang w:eastAsia="en-GB"/>
        </w:rPr>
      </w:pPr>
    </w:p>
    <w:p w14:paraId="25BCE7B6" w14:textId="77777777" w:rsidR="00ED2B5A" w:rsidRPr="00ED2B5A" w:rsidRDefault="00ED2B5A" w:rsidP="00F82C6A">
      <w:pPr>
        <w:keepNext/>
        <w:keepLines/>
        <w:spacing w:after="0" w:line="360" w:lineRule="auto"/>
        <w:outlineLvl w:val="2"/>
        <w:rPr>
          <w:rFonts w:asciiTheme="majorHAnsi" w:eastAsia="Times New Roman" w:hAnsiTheme="majorHAnsi" w:cstheme="majorBidi"/>
          <w:color w:val="0070C0"/>
          <w:sz w:val="24"/>
          <w:szCs w:val="24"/>
          <w:lang w:eastAsia="en-GB"/>
        </w:rPr>
      </w:pPr>
      <w:r w:rsidRPr="00ED2B5A">
        <w:rPr>
          <w:rFonts w:asciiTheme="majorHAnsi" w:eastAsia="Times New Roman" w:hAnsiTheme="majorHAnsi" w:cstheme="majorBidi"/>
          <w:color w:val="0070C0"/>
          <w:sz w:val="24"/>
          <w:szCs w:val="24"/>
          <w:lang w:eastAsia="en-GB"/>
        </w:rPr>
        <w:t>Ethical approval and consent to participate</w:t>
      </w:r>
    </w:p>
    <w:p w14:paraId="5B11E724" w14:textId="77777777" w:rsidR="00ED2B5A" w:rsidRPr="00ED2B5A" w:rsidRDefault="00ED2B5A" w:rsidP="00F82C6A">
      <w:pPr>
        <w:spacing w:after="0" w:line="360" w:lineRule="auto"/>
      </w:pPr>
      <w:r w:rsidRPr="00ED2B5A">
        <w:t>Ethical approval was obtained in July 2016 (ref no. 16/YH/0238) from the United Kingdom National Health Service Research Ethics. United Kingdom Health Research Authority approval was given (IRAS reference 199383) in August 2016.</w:t>
      </w:r>
    </w:p>
    <w:p w14:paraId="58DD287E" w14:textId="77777777" w:rsidR="00ED2B5A" w:rsidRPr="00ED2B5A" w:rsidRDefault="00ED2B5A" w:rsidP="00F82C6A">
      <w:pPr>
        <w:spacing w:after="0" w:line="360" w:lineRule="auto"/>
      </w:pPr>
    </w:p>
    <w:p w14:paraId="4CBD6C92" w14:textId="688A7987" w:rsidR="004B0E00" w:rsidRDefault="00ED2B5A" w:rsidP="00F82C6A">
      <w:pPr>
        <w:spacing w:after="0" w:line="360" w:lineRule="auto"/>
        <w:rPr>
          <w:lang w:eastAsia="en-GB"/>
        </w:rPr>
      </w:pPr>
      <w:r w:rsidRPr="00ED2B5A">
        <w:rPr>
          <w:rFonts w:eastAsia="Times New Roman"/>
          <w:lang w:eastAsia="en-GB"/>
        </w:rPr>
        <w:t>We obtained written informed consent for the participants who took part in the qualitative analysis workshops via a Consent Form. This information is held as part of the archived record of the trial. Only anonymised nonidentifiable data are used in this report as per written consent.</w:t>
      </w:r>
      <w:r w:rsidR="004B0E00" w:rsidRPr="004B0E00">
        <w:rPr>
          <w:lang w:eastAsia="en-GB"/>
        </w:rPr>
        <w:t xml:space="preserve"> Members of the advisory group and trial steering committee gave their permission for their quotes to be used.</w:t>
      </w:r>
    </w:p>
    <w:p w14:paraId="236510A1" w14:textId="77777777" w:rsidR="00F82C6A" w:rsidRDefault="00F82C6A" w:rsidP="00F82C6A">
      <w:pPr>
        <w:spacing w:after="0" w:line="360" w:lineRule="auto"/>
        <w:rPr>
          <w:lang w:eastAsia="en-GB"/>
        </w:rPr>
      </w:pPr>
    </w:p>
    <w:p w14:paraId="516ABB59" w14:textId="77777777" w:rsidR="004B0E00" w:rsidRDefault="004B0E00" w:rsidP="00F82C6A">
      <w:pPr>
        <w:pStyle w:val="Heading3"/>
        <w:spacing w:before="0" w:line="360" w:lineRule="auto"/>
        <w:rPr>
          <w:rFonts w:eastAsia="Times New Roman"/>
          <w:lang w:eastAsia="en-GB"/>
        </w:rPr>
      </w:pPr>
      <w:r>
        <w:rPr>
          <w:rFonts w:eastAsia="Times New Roman"/>
          <w:lang w:eastAsia="en-GB"/>
        </w:rPr>
        <w:t>Author contributions</w:t>
      </w:r>
    </w:p>
    <w:p w14:paraId="06A237AD" w14:textId="77777777" w:rsidR="004B0E00" w:rsidRPr="00183CF6" w:rsidRDefault="004B0E00" w:rsidP="00F82C6A">
      <w:pPr>
        <w:spacing w:after="0" w:line="360" w:lineRule="auto"/>
        <w:rPr>
          <w:rFonts w:cs="Arial"/>
        </w:rPr>
      </w:pPr>
      <w:r>
        <w:rPr>
          <w:rFonts w:cs="Calibri"/>
        </w:rPr>
        <w:t xml:space="preserve">CM led PPIE recruitment and co-ordination supported by GM, JW, CC and JBD. LB provided advice and guidance on PPIE involvement in qualitative analysis. WM was the TSC PPIE Member. KS and JBD lead the qualitative analysis workshops supported by CM, GM and JW. GM, KS and JBD developed the manuscript. </w:t>
      </w:r>
      <w:r>
        <w:rPr>
          <w:rFonts w:cs="Arial"/>
        </w:rPr>
        <w:t>All authors reviewed and approved the final manuscript.</w:t>
      </w:r>
    </w:p>
    <w:p w14:paraId="11881977" w14:textId="77777777" w:rsidR="00ED2B5A" w:rsidRPr="00ED2B5A" w:rsidRDefault="00ED2B5A" w:rsidP="00ED2B5A">
      <w:pPr>
        <w:spacing w:after="0" w:line="360" w:lineRule="auto"/>
        <w:rPr>
          <w:rFonts w:eastAsia="Times New Roman"/>
          <w:lang w:eastAsia="en-GB"/>
        </w:rPr>
      </w:pPr>
    </w:p>
    <w:p w14:paraId="2D45B157" w14:textId="77777777" w:rsidR="00ED2B5A" w:rsidRPr="00ED2B5A" w:rsidRDefault="00ED2B5A" w:rsidP="00ED2B5A">
      <w:pPr>
        <w:keepNext/>
        <w:keepLines/>
        <w:spacing w:after="0" w:line="360" w:lineRule="auto"/>
        <w:outlineLvl w:val="2"/>
        <w:rPr>
          <w:rFonts w:asciiTheme="majorHAnsi" w:eastAsiaTheme="majorEastAsia" w:hAnsiTheme="majorHAnsi" w:cstheme="majorBidi"/>
          <w:color w:val="0070C0"/>
          <w:sz w:val="24"/>
          <w:szCs w:val="24"/>
        </w:rPr>
      </w:pPr>
      <w:r w:rsidRPr="00ED2B5A">
        <w:rPr>
          <w:rFonts w:asciiTheme="majorHAnsi" w:eastAsiaTheme="majorEastAsia" w:hAnsiTheme="majorHAnsi" w:cstheme="majorBidi"/>
          <w:color w:val="0070C0"/>
          <w:sz w:val="24"/>
          <w:szCs w:val="24"/>
        </w:rPr>
        <w:lastRenderedPageBreak/>
        <w:t>Availability of data and material</w:t>
      </w:r>
    </w:p>
    <w:p w14:paraId="65B1188A" w14:textId="77777777" w:rsidR="00ED2B5A" w:rsidRPr="00ED2B5A" w:rsidRDefault="00ED2B5A" w:rsidP="00ED2B5A">
      <w:pPr>
        <w:spacing w:after="0" w:line="360" w:lineRule="auto"/>
      </w:pPr>
      <w:r w:rsidRPr="00ED2B5A">
        <w:t xml:space="preserve">The datasets generated and analysed for this study will be available upon request from the corresponding author. </w:t>
      </w:r>
    </w:p>
    <w:p w14:paraId="56076057" w14:textId="77777777" w:rsidR="00ED2B5A" w:rsidRPr="00ED2B5A" w:rsidRDefault="00ED2B5A" w:rsidP="00ED2B5A">
      <w:pPr>
        <w:spacing w:after="0" w:line="360" w:lineRule="auto"/>
      </w:pPr>
    </w:p>
    <w:p w14:paraId="7407CD42" w14:textId="77777777" w:rsidR="00ED2B5A" w:rsidRPr="00ED2B5A" w:rsidRDefault="00ED2B5A" w:rsidP="00ED2B5A">
      <w:pPr>
        <w:spacing w:after="0" w:line="360" w:lineRule="auto"/>
        <w:rPr>
          <w:lang w:eastAsia="en-GB"/>
        </w:rPr>
      </w:pPr>
      <w:r w:rsidRPr="00ED2B5A">
        <w:rPr>
          <w:lang w:eastAsia="en-GB"/>
        </w:rPr>
        <w:br w:type="page"/>
      </w:r>
    </w:p>
    <w:p w14:paraId="6A5A4D24" w14:textId="77777777" w:rsidR="00ED2B5A" w:rsidRPr="00ED2B5A" w:rsidRDefault="00ED2B5A" w:rsidP="00ED2B5A">
      <w:pPr>
        <w:keepNext/>
        <w:keepLines/>
        <w:spacing w:before="240" w:after="0"/>
        <w:outlineLvl w:val="0"/>
        <w:rPr>
          <w:rFonts w:asciiTheme="majorHAnsi" w:eastAsiaTheme="majorEastAsia" w:hAnsiTheme="majorHAnsi" w:cstheme="majorBidi"/>
          <w:color w:val="365F91" w:themeColor="accent1" w:themeShade="BF"/>
          <w:sz w:val="32"/>
          <w:szCs w:val="32"/>
        </w:rPr>
      </w:pPr>
      <w:r w:rsidRPr="00ED2B5A">
        <w:rPr>
          <w:rFonts w:asciiTheme="majorHAnsi" w:eastAsiaTheme="majorEastAsia" w:hAnsiTheme="majorHAnsi" w:cstheme="majorBidi"/>
          <w:color w:val="365F91" w:themeColor="accent1" w:themeShade="BF"/>
          <w:sz w:val="32"/>
          <w:szCs w:val="32"/>
        </w:rPr>
        <w:lastRenderedPageBreak/>
        <w:t>References</w:t>
      </w:r>
    </w:p>
    <w:p w14:paraId="6EAB2E15" w14:textId="6A00ACBD" w:rsidR="000531CC" w:rsidRPr="000531CC" w:rsidRDefault="000531CC" w:rsidP="000531CC">
      <w:pPr>
        <w:pStyle w:val="EndNoteBibliography"/>
        <w:spacing w:after="240"/>
        <w:ind w:left="720" w:hanging="720"/>
      </w:pPr>
      <w:r w:rsidRPr="000531CC">
        <w:t xml:space="preserve">Alzheimer Scotland Action on Dementia. (2020). </w:t>
      </w:r>
      <w:r w:rsidRPr="000531CC">
        <w:rPr>
          <w:i/>
        </w:rPr>
        <w:t>Scottish Dementia Working Group</w:t>
      </w:r>
      <w:r w:rsidRPr="000531CC">
        <w:t xml:space="preserve">. Retrieved 28May2020 from </w:t>
      </w:r>
      <w:hyperlink r:id="rId20" w:history="1">
        <w:r w:rsidRPr="000531CC">
          <w:rPr>
            <w:rStyle w:val="Hyperlink"/>
          </w:rPr>
          <w:t>https://www.alzscot.org/our-work/campaigning-for-change/have-your-say/scottish-dementia-working-group</w:t>
        </w:r>
      </w:hyperlink>
    </w:p>
    <w:p w14:paraId="6D1A66FE" w14:textId="4DBAF61D" w:rsidR="000531CC" w:rsidRPr="000531CC" w:rsidRDefault="000531CC" w:rsidP="000531CC">
      <w:pPr>
        <w:pStyle w:val="EndNoteBibliography"/>
        <w:spacing w:after="240"/>
        <w:ind w:left="720" w:hanging="720"/>
      </w:pPr>
      <w:r w:rsidRPr="000531CC">
        <w:t xml:space="preserve">Ashcroft, J., Wykes, T., Taylor, J., Crowther, A., &amp; Szmukler, G. (2016). Impact on the individual: what do patients and carers gain, lose and expect from being involved in research? </w:t>
      </w:r>
      <w:r w:rsidRPr="000531CC">
        <w:rPr>
          <w:i/>
        </w:rPr>
        <w:t>J Ment Health</w:t>
      </w:r>
      <w:r w:rsidRPr="000531CC">
        <w:t>,</w:t>
      </w:r>
      <w:r w:rsidRPr="000531CC">
        <w:rPr>
          <w:i/>
        </w:rPr>
        <w:t xml:space="preserve"> 25</w:t>
      </w:r>
      <w:r w:rsidRPr="000531CC">
        <w:t xml:space="preserve">(1), 28-35. </w:t>
      </w:r>
      <w:hyperlink r:id="rId21" w:history="1">
        <w:r w:rsidRPr="000531CC">
          <w:rPr>
            <w:rStyle w:val="Hyperlink"/>
          </w:rPr>
          <w:t>https://doi.org/10.3109/09638237.2015.1101424</w:t>
        </w:r>
      </w:hyperlink>
      <w:r w:rsidRPr="000531CC">
        <w:t xml:space="preserve"> </w:t>
      </w:r>
    </w:p>
    <w:p w14:paraId="58ABD9EF" w14:textId="77777777" w:rsidR="000531CC" w:rsidRPr="000531CC" w:rsidRDefault="000531CC" w:rsidP="000531CC">
      <w:pPr>
        <w:pStyle w:val="EndNoteBibliography"/>
        <w:spacing w:after="240"/>
        <w:ind w:left="720" w:hanging="720"/>
      </w:pPr>
      <w:r w:rsidRPr="000531CC">
        <w:t xml:space="preserve">Birt L, &amp; Poland, F. (2021). People with dementia as peer researchers. Understanding possibilities and challenges. In S. Bell, Aggleton, P., &amp; Gibson, A. (Ed.), </w:t>
      </w:r>
      <w:r w:rsidRPr="000531CC">
        <w:rPr>
          <w:i/>
        </w:rPr>
        <w:t>Peer Research in Health and Social Development: International Perspectives on Participatory Research 1st Edition</w:t>
      </w:r>
      <w:r w:rsidRPr="000531CC">
        <w:t xml:space="preserve">. Routledge. </w:t>
      </w:r>
    </w:p>
    <w:p w14:paraId="0562215E" w14:textId="5C42DC0C" w:rsidR="000531CC" w:rsidRPr="000531CC" w:rsidRDefault="000531CC" w:rsidP="000531CC">
      <w:pPr>
        <w:pStyle w:val="EndNoteBibliography"/>
        <w:spacing w:after="240"/>
        <w:ind w:left="720" w:hanging="720"/>
      </w:pPr>
      <w:r w:rsidRPr="000531CC">
        <w:t xml:space="preserve">Burton, A., Ogden, M., &amp; Cooper, C. (2019). Planning and enabling meaningful patient and public involvement in dementia research. </w:t>
      </w:r>
      <w:r w:rsidRPr="000531CC">
        <w:rPr>
          <w:i/>
        </w:rPr>
        <w:t>Curr Opin Psychiatry</w:t>
      </w:r>
      <w:r w:rsidRPr="000531CC">
        <w:t>,</w:t>
      </w:r>
      <w:r w:rsidRPr="000531CC">
        <w:rPr>
          <w:i/>
        </w:rPr>
        <w:t xml:space="preserve"> 32</w:t>
      </w:r>
      <w:r w:rsidRPr="000531CC">
        <w:t xml:space="preserve">(6), 557-562. </w:t>
      </w:r>
      <w:hyperlink r:id="rId22" w:history="1">
        <w:r w:rsidRPr="000531CC">
          <w:rPr>
            <w:rStyle w:val="Hyperlink"/>
          </w:rPr>
          <w:t>https://doi.org/10.1097/yco.0000000000000548</w:t>
        </w:r>
      </w:hyperlink>
      <w:r w:rsidRPr="000531CC">
        <w:t xml:space="preserve"> </w:t>
      </w:r>
    </w:p>
    <w:p w14:paraId="0FC75977" w14:textId="54410C5B" w:rsidR="000531CC" w:rsidRPr="000531CC" w:rsidRDefault="000531CC" w:rsidP="000531CC">
      <w:pPr>
        <w:pStyle w:val="EndNoteBibliography"/>
        <w:spacing w:after="240"/>
        <w:ind w:left="720" w:hanging="720"/>
      </w:pPr>
      <w:r w:rsidRPr="000531CC">
        <w:t xml:space="preserve">DEEP. </w:t>
      </w:r>
      <w:r w:rsidRPr="000531CC">
        <w:rPr>
          <w:i/>
        </w:rPr>
        <w:t>Dementia Engagement and Empowerment Project (DEEP) The UK Network of Dementia Voices - DEEP guides for organisations and communities</w:t>
      </w:r>
      <w:r w:rsidRPr="000531CC">
        <w:t xml:space="preserve">. Retrieved 28May2020 from </w:t>
      </w:r>
      <w:hyperlink r:id="rId23" w:history="1">
        <w:r w:rsidRPr="000531CC">
          <w:rPr>
            <w:rStyle w:val="Hyperlink"/>
          </w:rPr>
          <w:t>https://www.dementiavoices.org.uk/deep-resources/</w:t>
        </w:r>
      </w:hyperlink>
    </w:p>
    <w:p w14:paraId="75D930B4" w14:textId="3D865AAA" w:rsidR="000531CC" w:rsidRPr="000531CC" w:rsidRDefault="000531CC" w:rsidP="000531CC">
      <w:pPr>
        <w:pStyle w:val="EndNoteBibliography"/>
        <w:spacing w:after="240"/>
        <w:ind w:left="720" w:hanging="720"/>
      </w:pPr>
      <w:r w:rsidRPr="000531CC">
        <w:t xml:space="preserve">Field, B., Mountain, G., Burgess, J., Di Bona, L., Kelleher, D., Mundy, J., &amp; Wenborn, J. (2019). Recruiting hard to reach populations to studies: breaking the silence: an example from a study that recruited people with dementia. </w:t>
      </w:r>
      <w:r w:rsidRPr="000531CC">
        <w:rPr>
          <w:i/>
        </w:rPr>
        <w:t>BMJ Open</w:t>
      </w:r>
      <w:r w:rsidRPr="000531CC">
        <w:t>,</w:t>
      </w:r>
      <w:r w:rsidRPr="000531CC">
        <w:rPr>
          <w:i/>
        </w:rPr>
        <w:t xml:space="preserve"> 9</w:t>
      </w:r>
      <w:r w:rsidRPr="000531CC">
        <w:t xml:space="preserve">(11), e030829. </w:t>
      </w:r>
      <w:hyperlink r:id="rId24" w:history="1">
        <w:r w:rsidRPr="000531CC">
          <w:rPr>
            <w:rStyle w:val="Hyperlink"/>
          </w:rPr>
          <w:t>https://doi.org/10.1136/bmjopen-2019-030829</w:t>
        </w:r>
      </w:hyperlink>
      <w:r w:rsidRPr="000531CC">
        <w:t xml:space="preserve"> </w:t>
      </w:r>
    </w:p>
    <w:p w14:paraId="4B8CF3C3" w14:textId="01DF08B9" w:rsidR="000531CC" w:rsidRPr="000531CC" w:rsidRDefault="000531CC" w:rsidP="000531CC">
      <w:pPr>
        <w:pStyle w:val="EndNoteBibliography"/>
        <w:spacing w:after="240"/>
        <w:ind w:left="720" w:hanging="720"/>
      </w:pPr>
      <w:r w:rsidRPr="000531CC">
        <w:t xml:space="preserve">Gove, D., Diaz-Ponce, A., Georges, J., Moniz-Cook, E., Mountain, G., Chattat, R., &amp; Øksnebjerg, L. (2018). Alzheimer Europe's position on involving people with dementia in research through PPI (patient and public involvement). </w:t>
      </w:r>
      <w:r w:rsidRPr="000531CC">
        <w:rPr>
          <w:i/>
        </w:rPr>
        <w:t>Aging Ment Health</w:t>
      </w:r>
      <w:r w:rsidRPr="000531CC">
        <w:t>,</w:t>
      </w:r>
      <w:r w:rsidRPr="000531CC">
        <w:rPr>
          <w:i/>
        </w:rPr>
        <w:t xml:space="preserve"> 22</w:t>
      </w:r>
      <w:r w:rsidRPr="000531CC">
        <w:t xml:space="preserve">(6), 723-729. </w:t>
      </w:r>
      <w:hyperlink r:id="rId25" w:history="1">
        <w:r w:rsidRPr="000531CC">
          <w:rPr>
            <w:rStyle w:val="Hyperlink"/>
          </w:rPr>
          <w:t>https://doi.org/10.1080/13607863.2017.1317334</w:t>
        </w:r>
      </w:hyperlink>
      <w:r w:rsidRPr="000531CC">
        <w:t xml:space="preserve"> </w:t>
      </w:r>
    </w:p>
    <w:p w14:paraId="4C41E907" w14:textId="2614B50A" w:rsidR="000531CC" w:rsidRPr="000531CC" w:rsidRDefault="000531CC" w:rsidP="000531CC">
      <w:pPr>
        <w:pStyle w:val="EndNoteBibliography"/>
        <w:spacing w:after="240"/>
        <w:ind w:left="720" w:hanging="720"/>
      </w:pPr>
      <w:r w:rsidRPr="000531CC">
        <w:t xml:space="preserve">Jackson, T., Pinnock, H., Liew, S. M., Horne, E., Ehrlich, E., Fulton, O., . . . De Simoni, A. (2020). Patient and public involvement in research: from tokenistic box ticking to valued team members. </w:t>
      </w:r>
      <w:r w:rsidRPr="000531CC">
        <w:rPr>
          <w:i/>
        </w:rPr>
        <w:t>BMC Medicine</w:t>
      </w:r>
      <w:r w:rsidRPr="000531CC">
        <w:t>,</w:t>
      </w:r>
      <w:r w:rsidRPr="000531CC">
        <w:rPr>
          <w:i/>
        </w:rPr>
        <w:t xml:space="preserve"> 18</w:t>
      </w:r>
      <w:r w:rsidRPr="000531CC">
        <w:t xml:space="preserve">(1), 79. </w:t>
      </w:r>
      <w:hyperlink r:id="rId26" w:history="1">
        <w:r w:rsidRPr="000531CC">
          <w:rPr>
            <w:rStyle w:val="Hyperlink"/>
          </w:rPr>
          <w:t>https://doi.org/10.1186/s12916-020-01544-7</w:t>
        </w:r>
      </w:hyperlink>
      <w:r w:rsidRPr="000531CC">
        <w:t xml:space="preserve"> </w:t>
      </w:r>
    </w:p>
    <w:p w14:paraId="287C8FDD" w14:textId="1890FB72" w:rsidR="000531CC" w:rsidRPr="000531CC" w:rsidRDefault="000531CC" w:rsidP="000531CC">
      <w:pPr>
        <w:pStyle w:val="EndNoteBibliography"/>
        <w:spacing w:after="240"/>
        <w:ind w:left="720" w:hanging="720"/>
      </w:pPr>
      <w:r w:rsidRPr="000531CC">
        <w:t xml:space="preserve">Litherland, R., Burton, J., Cheeseman, M., Campbell, D., Hawkins, M., Hawkins, T., . . . Clare, L. (2018). Reflections on PPI from the 'Action on Living Well: Asking You' advisory network of people with dementia and carers as part of the IDEAL study. </w:t>
      </w:r>
      <w:r w:rsidRPr="000531CC">
        <w:rPr>
          <w:i/>
        </w:rPr>
        <w:t>Dementia (London)</w:t>
      </w:r>
      <w:r w:rsidRPr="000531CC">
        <w:t>,</w:t>
      </w:r>
      <w:r w:rsidRPr="000531CC">
        <w:rPr>
          <w:i/>
        </w:rPr>
        <w:t xml:space="preserve"> 17</w:t>
      </w:r>
      <w:r w:rsidRPr="000531CC">
        <w:t xml:space="preserve">(8), 1035-1044. </w:t>
      </w:r>
      <w:hyperlink r:id="rId27" w:history="1">
        <w:r w:rsidRPr="000531CC">
          <w:rPr>
            <w:rStyle w:val="Hyperlink"/>
          </w:rPr>
          <w:t>https://doi.org/10.1177/1471301218789309</w:t>
        </w:r>
      </w:hyperlink>
      <w:r w:rsidRPr="000531CC">
        <w:t xml:space="preserve"> </w:t>
      </w:r>
    </w:p>
    <w:p w14:paraId="136D912F" w14:textId="6FA4D71D" w:rsidR="000531CC" w:rsidRPr="000531CC" w:rsidRDefault="000531CC" w:rsidP="000531CC">
      <w:pPr>
        <w:pStyle w:val="EndNoteBibliography"/>
        <w:spacing w:after="240"/>
        <w:ind w:left="720" w:hanging="720"/>
      </w:pPr>
      <w:r w:rsidRPr="000531CC">
        <w:t xml:space="preserve">Mathie, E., Smeeton, N., Munday, D., Rhodes, G., Wythe, H., &amp; Jones, J. (2020). The role of patient and public involvement leads in facilitating feedback: “invisible work”. </w:t>
      </w:r>
      <w:r w:rsidRPr="000531CC">
        <w:rPr>
          <w:i/>
        </w:rPr>
        <w:t>Research Involvement and Engagement</w:t>
      </w:r>
      <w:r w:rsidRPr="000531CC">
        <w:t>,</w:t>
      </w:r>
      <w:r w:rsidRPr="000531CC">
        <w:rPr>
          <w:i/>
        </w:rPr>
        <w:t xml:space="preserve"> 6</w:t>
      </w:r>
      <w:r w:rsidRPr="000531CC">
        <w:t xml:space="preserve">(1), 40. </w:t>
      </w:r>
      <w:hyperlink r:id="rId28" w:history="1">
        <w:r w:rsidRPr="000531CC">
          <w:rPr>
            <w:rStyle w:val="Hyperlink"/>
          </w:rPr>
          <w:t>https://doi.org/10.1186/s40900-020-00209-2</w:t>
        </w:r>
      </w:hyperlink>
      <w:r w:rsidRPr="000531CC">
        <w:t xml:space="preserve"> </w:t>
      </w:r>
    </w:p>
    <w:p w14:paraId="271D738E" w14:textId="5FBA19AD" w:rsidR="000531CC" w:rsidRPr="000531CC" w:rsidRDefault="000531CC" w:rsidP="000531CC">
      <w:pPr>
        <w:pStyle w:val="EndNoteBibliography"/>
        <w:spacing w:after="240"/>
        <w:ind w:left="720" w:hanging="720"/>
      </w:pPr>
      <w:r w:rsidRPr="000531CC">
        <w:t xml:space="preserve">Miah, J., Dawes, P., Edwards, S., Leroi, I., Starling, B., &amp; Parsons, S. (2019). Patient and public involvement in dementia research in the European Union: a scoping review. </w:t>
      </w:r>
      <w:r w:rsidRPr="000531CC">
        <w:rPr>
          <w:i/>
        </w:rPr>
        <w:t>BMC Geriatrics</w:t>
      </w:r>
      <w:r w:rsidRPr="000531CC">
        <w:t>,</w:t>
      </w:r>
      <w:r w:rsidRPr="000531CC">
        <w:rPr>
          <w:i/>
        </w:rPr>
        <w:t xml:space="preserve"> 19</w:t>
      </w:r>
      <w:r w:rsidRPr="000531CC">
        <w:t xml:space="preserve">(1), 220. </w:t>
      </w:r>
      <w:hyperlink r:id="rId29" w:history="1">
        <w:r w:rsidRPr="000531CC">
          <w:rPr>
            <w:rStyle w:val="Hyperlink"/>
          </w:rPr>
          <w:t>https://doi.org/10.1186/s12877-019-1217-9</w:t>
        </w:r>
      </w:hyperlink>
      <w:r w:rsidRPr="000531CC">
        <w:t xml:space="preserve"> </w:t>
      </w:r>
    </w:p>
    <w:p w14:paraId="437BC84D" w14:textId="6B19724B" w:rsidR="000531CC" w:rsidRPr="000531CC" w:rsidRDefault="000531CC" w:rsidP="000531CC">
      <w:pPr>
        <w:pStyle w:val="EndNoteBibliography"/>
        <w:spacing w:after="240"/>
        <w:ind w:left="720" w:hanging="720"/>
      </w:pPr>
      <w:r w:rsidRPr="000531CC">
        <w:t xml:space="preserve">Mitchell W. (2014). </w:t>
      </w:r>
      <w:r w:rsidRPr="000531CC">
        <w:rPr>
          <w:i/>
        </w:rPr>
        <w:t>Which me am I today? One person's experience of living with dementia (Blog)</w:t>
      </w:r>
      <w:r w:rsidRPr="000531CC">
        <w:t xml:space="preserve">. Retrieved 10Jan2022 from </w:t>
      </w:r>
      <w:hyperlink r:id="rId30" w:history="1">
        <w:r w:rsidRPr="000531CC">
          <w:rPr>
            <w:rStyle w:val="Hyperlink"/>
          </w:rPr>
          <w:t>https://whichmeamitoday.wordpress.com/</w:t>
        </w:r>
      </w:hyperlink>
    </w:p>
    <w:p w14:paraId="2AA5C450" w14:textId="023386F6" w:rsidR="000531CC" w:rsidRPr="000531CC" w:rsidRDefault="000531CC" w:rsidP="000531CC">
      <w:pPr>
        <w:pStyle w:val="EndNoteBibliography"/>
        <w:spacing w:after="240"/>
        <w:ind w:left="720" w:hanging="720"/>
      </w:pPr>
      <w:r w:rsidRPr="000531CC">
        <w:lastRenderedPageBreak/>
        <w:t xml:space="preserve">Mountain, G. A., &amp; Craig, C. L. (2012). What should be in a self-management programme for people with early dementia? </w:t>
      </w:r>
      <w:r w:rsidRPr="000531CC">
        <w:rPr>
          <w:i/>
        </w:rPr>
        <w:t>Aging Ment Health</w:t>
      </w:r>
      <w:r w:rsidRPr="000531CC">
        <w:t>,</w:t>
      </w:r>
      <w:r w:rsidRPr="000531CC">
        <w:rPr>
          <w:i/>
        </w:rPr>
        <w:t xml:space="preserve"> 16</w:t>
      </w:r>
      <w:r w:rsidRPr="000531CC">
        <w:t xml:space="preserve">(5), 576-583. </w:t>
      </w:r>
      <w:hyperlink r:id="rId31" w:history="1">
        <w:r w:rsidRPr="000531CC">
          <w:rPr>
            <w:rStyle w:val="Hyperlink"/>
          </w:rPr>
          <w:t>https://doi.org/10.1080/13607863.2011.651430</w:t>
        </w:r>
      </w:hyperlink>
      <w:r w:rsidRPr="000531CC">
        <w:t xml:space="preserve"> </w:t>
      </w:r>
    </w:p>
    <w:p w14:paraId="7A60B0A9" w14:textId="234A878F" w:rsidR="000531CC" w:rsidRPr="000531CC" w:rsidRDefault="000531CC" w:rsidP="000531CC">
      <w:pPr>
        <w:pStyle w:val="EndNoteBibliography"/>
        <w:spacing w:after="240"/>
        <w:ind w:left="720" w:hanging="720"/>
      </w:pPr>
      <w:r w:rsidRPr="000531CC">
        <w:t xml:space="preserve">National Institute for Health and Care Excellence. (2019). </w:t>
      </w:r>
      <w:r w:rsidRPr="000531CC">
        <w:rPr>
          <w:i/>
        </w:rPr>
        <w:t>Research Governance Guidelines</w:t>
      </w:r>
      <w:r w:rsidRPr="000531CC">
        <w:t xml:space="preserve">. Retrieved 01 June 2021 from </w:t>
      </w:r>
      <w:hyperlink r:id="rId32" w:history="1">
        <w:r w:rsidRPr="000531CC">
          <w:rPr>
            <w:rStyle w:val="Hyperlink"/>
          </w:rPr>
          <w:t>https://www.nihr.ac.uk/documents/research-governance-guidelines/12154</w:t>
        </w:r>
      </w:hyperlink>
    </w:p>
    <w:p w14:paraId="42108F26" w14:textId="76AC8872" w:rsidR="000531CC" w:rsidRPr="000531CC" w:rsidRDefault="000531CC" w:rsidP="000531CC">
      <w:pPr>
        <w:pStyle w:val="EndNoteBibliography"/>
        <w:spacing w:after="240"/>
        <w:ind w:left="720" w:hanging="720"/>
      </w:pPr>
      <w:r w:rsidRPr="000531CC">
        <w:t xml:space="preserve">National Institute for Health and Care Excellence. (2021). </w:t>
      </w:r>
      <w:r w:rsidRPr="000531CC">
        <w:rPr>
          <w:i/>
        </w:rPr>
        <w:t>NIHR INVOLVE</w:t>
      </w:r>
      <w:r w:rsidRPr="000531CC">
        <w:t xml:space="preserve">. Retrieved 01 June 2021 from </w:t>
      </w:r>
      <w:hyperlink r:id="rId33" w:history="1">
        <w:r w:rsidRPr="000531CC">
          <w:rPr>
            <w:rStyle w:val="Hyperlink"/>
          </w:rPr>
          <w:t>https://www.invo.org.uk/about-involve/</w:t>
        </w:r>
      </w:hyperlink>
    </w:p>
    <w:p w14:paraId="7BC3C9DA" w14:textId="217229CD" w:rsidR="000531CC" w:rsidRPr="000531CC" w:rsidRDefault="000531CC" w:rsidP="000531CC">
      <w:pPr>
        <w:pStyle w:val="EndNoteBibliography"/>
        <w:spacing w:after="240"/>
        <w:ind w:left="720" w:hanging="720"/>
      </w:pPr>
      <w:r w:rsidRPr="000531CC">
        <w:t xml:space="preserve">NIHR INVOLVE. </w:t>
      </w:r>
      <w:r w:rsidRPr="000531CC">
        <w:rPr>
          <w:i/>
        </w:rPr>
        <w:t>NIHR INVOLVE, Payment and recognition for public involvement</w:t>
      </w:r>
      <w:r w:rsidRPr="000531CC">
        <w:t xml:space="preserve">. NIHR INVOLVE,. Retrieved 01 June 2020 from </w:t>
      </w:r>
      <w:hyperlink r:id="rId34" w:history="1">
        <w:r w:rsidRPr="000531CC">
          <w:rPr>
            <w:rStyle w:val="Hyperlink"/>
          </w:rPr>
          <w:t>https://www.invo.org.uk/resource-centre/payment-and-recognition-for-public-involvement/</w:t>
        </w:r>
      </w:hyperlink>
    </w:p>
    <w:p w14:paraId="01D5706B" w14:textId="1B65466F" w:rsidR="000531CC" w:rsidRPr="000531CC" w:rsidRDefault="000531CC" w:rsidP="000531CC">
      <w:pPr>
        <w:pStyle w:val="EndNoteBibliography"/>
        <w:spacing w:after="240"/>
        <w:ind w:left="720" w:hanging="720"/>
      </w:pPr>
      <w:r w:rsidRPr="000531CC">
        <w:t xml:space="preserve">Novek, S., &amp; Wilkinson, H. (2019). Safe and Inclusive Research Practices for Qualitative Research Involving People with Dementia: A Review of Key Issues and Strategies. </w:t>
      </w:r>
      <w:r w:rsidRPr="000531CC">
        <w:rPr>
          <w:i/>
        </w:rPr>
        <w:t>Dementia (London)</w:t>
      </w:r>
      <w:r w:rsidRPr="000531CC">
        <w:t>,</w:t>
      </w:r>
      <w:r w:rsidRPr="000531CC">
        <w:rPr>
          <w:i/>
        </w:rPr>
        <w:t xml:space="preserve"> 18</w:t>
      </w:r>
      <w:r w:rsidRPr="000531CC">
        <w:t xml:space="preserve">(3), 1042-1059. </w:t>
      </w:r>
      <w:hyperlink r:id="rId35" w:history="1">
        <w:r w:rsidRPr="000531CC">
          <w:rPr>
            <w:rStyle w:val="Hyperlink"/>
          </w:rPr>
          <w:t>https://doi.org/10.1177/1471301217701274</w:t>
        </w:r>
      </w:hyperlink>
      <w:r w:rsidRPr="000531CC">
        <w:t xml:space="preserve"> </w:t>
      </w:r>
    </w:p>
    <w:p w14:paraId="656CF1C6" w14:textId="44717487" w:rsidR="000531CC" w:rsidRPr="000531CC" w:rsidRDefault="000531CC" w:rsidP="000531CC">
      <w:pPr>
        <w:pStyle w:val="EndNoteBibliography"/>
        <w:spacing w:after="240"/>
        <w:ind w:left="720" w:hanging="720"/>
      </w:pPr>
      <w:r w:rsidRPr="000531CC">
        <w:t xml:space="preserve">Perkins R, Hill L, Daley S, Chappell M, &amp; J., R. (2013). </w:t>
      </w:r>
      <w:r w:rsidRPr="000531CC">
        <w:rPr>
          <w:i/>
        </w:rPr>
        <w:t>‘Continuing to be me’1 – Recovering a life with a Diagnosis of Dementia</w:t>
      </w:r>
      <w:r w:rsidRPr="000531CC">
        <w:t xml:space="preserve">. Retrieved 01 June 2021 from </w:t>
      </w:r>
      <w:hyperlink r:id="rId36" w:history="1">
        <w:r w:rsidRPr="000531CC">
          <w:rPr>
            <w:rStyle w:val="Hyperlink"/>
          </w:rPr>
          <w:t>https://imroc.org/resources/12-continuing-recovering-life-diagnosis-dementia/</w:t>
        </w:r>
      </w:hyperlink>
    </w:p>
    <w:p w14:paraId="0DBEE342" w14:textId="59B3C2EE" w:rsidR="000531CC" w:rsidRPr="000531CC" w:rsidRDefault="000531CC" w:rsidP="000531CC">
      <w:pPr>
        <w:pStyle w:val="EndNoteBibliography"/>
        <w:spacing w:after="240"/>
        <w:ind w:left="720" w:hanging="720"/>
      </w:pPr>
      <w:r w:rsidRPr="000531CC">
        <w:t xml:space="preserve">Poland, F., Charlesworth, G., Leung, P., &amp; Birt, L. (2019). Embedding patient and public involvement: Managing tacit and explicit expectations. </w:t>
      </w:r>
      <w:r w:rsidRPr="000531CC">
        <w:rPr>
          <w:i/>
        </w:rPr>
        <w:t>Health Expectations</w:t>
      </w:r>
      <w:r w:rsidRPr="000531CC">
        <w:t>,</w:t>
      </w:r>
      <w:r w:rsidRPr="000531CC">
        <w:rPr>
          <w:i/>
        </w:rPr>
        <w:t xml:space="preserve"> 22</w:t>
      </w:r>
      <w:r w:rsidRPr="000531CC">
        <w:t xml:space="preserve">(6), 1231-1239. </w:t>
      </w:r>
      <w:hyperlink r:id="rId37" w:history="1">
        <w:r w:rsidRPr="000531CC">
          <w:rPr>
            <w:rStyle w:val="Hyperlink"/>
          </w:rPr>
          <w:t>https://doi.org/10.1111/hex.12952</w:t>
        </w:r>
      </w:hyperlink>
      <w:r w:rsidRPr="000531CC">
        <w:t xml:space="preserve"> </w:t>
      </w:r>
    </w:p>
    <w:p w14:paraId="5944386E" w14:textId="3C5F5756" w:rsidR="000531CC" w:rsidRPr="000531CC" w:rsidRDefault="000531CC" w:rsidP="000531CC">
      <w:pPr>
        <w:pStyle w:val="EndNoteBibliography"/>
        <w:spacing w:after="240"/>
        <w:ind w:left="720" w:hanging="720"/>
      </w:pPr>
      <w:r w:rsidRPr="000531CC">
        <w:t xml:space="preserve">Roberts, C., Rochford-Brennan, H., Goodrick, J., Gove, D., Diaz-Ponce, A., &amp; Georges, J. (2019). Our reflections of Patient and Public Involvement in research as members of the European Working Group of People with Dementia. </w:t>
      </w:r>
      <w:r w:rsidRPr="000531CC">
        <w:rPr>
          <w:i/>
        </w:rPr>
        <w:t>Dementia</w:t>
      </w:r>
      <w:r w:rsidRPr="000531CC">
        <w:t>,</w:t>
      </w:r>
      <w:r w:rsidRPr="000531CC">
        <w:rPr>
          <w:i/>
        </w:rPr>
        <w:t xml:space="preserve"> 19</w:t>
      </w:r>
      <w:r w:rsidRPr="000531CC">
        <w:t xml:space="preserve">(1), 10-17. </w:t>
      </w:r>
      <w:hyperlink r:id="rId38" w:history="1">
        <w:r w:rsidRPr="000531CC">
          <w:rPr>
            <w:rStyle w:val="Hyperlink"/>
          </w:rPr>
          <w:t>https://doi.org/10.1177/1471301219876402</w:t>
        </w:r>
      </w:hyperlink>
      <w:r w:rsidRPr="000531CC">
        <w:t xml:space="preserve"> </w:t>
      </w:r>
    </w:p>
    <w:p w14:paraId="28461723" w14:textId="37BC63FB" w:rsidR="000531CC" w:rsidRPr="000531CC" w:rsidRDefault="000531CC" w:rsidP="000531CC">
      <w:pPr>
        <w:pStyle w:val="EndNoteBibliography"/>
        <w:spacing w:after="240"/>
        <w:ind w:left="720" w:hanging="720"/>
      </w:pPr>
      <w:r w:rsidRPr="000531CC">
        <w:t xml:space="preserve">Rose, D., &amp; Kalathil, J. (2019). Power, Privilege and Knowledge: the Untenable Promise of Co-production in Mental “Health” [Hypothesis and Theory]. </w:t>
      </w:r>
      <w:r w:rsidRPr="000531CC">
        <w:rPr>
          <w:i/>
        </w:rPr>
        <w:t>Frontiers in Sociology</w:t>
      </w:r>
      <w:r w:rsidRPr="000531CC">
        <w:t>,</w:t>
      </w:r>
      <w:r w:rsidRPr="000531CC">
        <w:rPr>
          <w:i/>
        </w:rPr>
        <w:t xml:space="preserve"> 4</w:t>
      </w:r>
      <w:r w:rsidRPr="000531CC">
        <w:t xml:space="preserve">(57). </w:t>
      </w:r>
      <w:hyperlink r:id="rId39" w:history="1">
        <w:r w:rsidRPr="000531CC">
          <w:rPr>
            <w:rStyle w:val="Hyperlink"/>
          </w:rPr>
          <w:t>https://doi.org/10.3389/fsoc.2019.00057</w:t>
        </w:r>
      </w:hyperlink>
      <w:r w:rsidRPr="000531CC">
        <w:t xml:space="preserve"> </w:t>
      </w:r>
    </w:p>
    <w:p w14:paraId="7A5518CA" w14:textId="53393233" w:rsidR="000531CC" w:rsidRPr="000531CC" w:rsidRDefault="000531CC" w:rsidP="000531CC">
      <w:pPr>
        <w:pStyle w:val="EndNoteBibliography"/>
        <w:spacing w:after="240"/>
        <w:ind w:left="720" w:hanging="720"/>
      </w:pPr>
      <w:r w:rsidRPr="000531CC">
        <w:t xml:space="preserve">Sprange K, Mountain G A, Shortland K, Craig C, Blackburn D, Bowie P, . . . Spencer M. (2015). Journeying through Dementia, a community-based self-management intervention for people aged 65 years and over: a feasibility study to inform a future trial. </w:t>
      </w:r>
      <w:r w:rsidRPr="000531CC">
        <w:rPr>
          <w:i/>
        </w:rPr>
        <w:t>Pilot and Feasibility Studies</w:t>
      </w:r>
      <w:r w:rsidRPr="000531CC">
        <w:t>,</w:t>
      </w:r>
      <w:r w:rsidRPr="000531CC">
        <w:rPr>
          <w:i/>
        </w:rPr>
        <w:t xml:space="preserve"> 1</w:t>
      </w:r>
      <w:r w:rsidRPr="000531CC">
        <w:t xml:space="preserve">(1), 42. </w:t>
      </w:r>
      <w:hyperlink r:id="rId40" w:history="1">
        <w:r w:rsidRPr="000531CC">
          <w:rPr>
            <w:rStyle w:val="Hyperlink"/>
          </w:rPr>
          <w:t>https://doi.org/10.1186/s40814-015-0039-6</w:t>
        </w:r>
      </w:hyperlink>
      <w:r w:rsidRPr="000531CC">
        <w:t xml:space="preserve"> </w:t>
      </w:r>
    </w:p>
    <w:p w14:paraId="16E67F12" w14:textId="013437BE" w:rsidR="000531CC" w:rsidRPr="000531CC" w:rsidRDefault="000531CC" w:rsidP="000531CC">
      <w:pPr>
        <w:pStyle w:val="EndNoteBibliography"/>
        <w:spacing w:after="240"/>
        <w:ind w:left="720" w:hanging="720"/>
      </w:pPr>
      <w:r w:rsidRPr="000531CC">
        <w:t xml:space="preserve">Sprange, K., Beresford-Dent, J., Mountain, G., Thomas, B., Wright, J., Mason, C., &amp; Cooper, C. L. (2021). Journeying through Dementia Randomised Controlled Trial of a Psychosocial Intervention for People Living with Early Dementia: Embedded Qualitative Study with Participants, Carers and Interventionists. </w:t>
      </w:r>
      <w:r w:rsidRPr="000531CC">
        <w:rPr>
          <w:i/>
        </w:rPr>
        <w:t>Clin Interv Aging</w:t>
      </w:r>
      <w:r w:rsidRPr="000531CC">
        <w:t>,</w:t>
      </w:r>
      <w:r w:rsidRPr="000531CC">
        <w:rPr>
          <w:i/>
        </w:rPr>
        <w:t xml:space="preserve"> 16</w:t>
      </w:r>
      <w:r w:rsidRPr="000531CC">
        <w:t xml:space="preserve">, 231-244. </w:t>
      </w:r>
      <w:hyperlink r:id="rId41" w:history="1">
        <w:r w:rsidRPr="000531CC">
          <w:rPr>
            <w:rStyle w:val="Hyperlink"/>
          </w:rPr>
          <w:t>https://doi.org/10.2147/cia.s293921</w:t>
        </w:r>
      </w:hyperlink>
      <w:r w:rsidRPr="000531CC">
        <w:t xml:space="preserve"> </w:t>
      </w:r>
    </w:p>
    <w:p w14:paraId="0D8846FB" w14:textId="2D92D65D" w:rsidR="000531CC" w:rsidRPr="000531CC" w:rsidRDefault="000531CC" w:rsidP="000531CC">
      <w:pPr>
        <w:pStyle w:val="EndNoteBibliography"/>
        <w:spacing w:after="240"/>
        <w:ind w:left="720" w:hanging="720"/>
      </w:pPr>
      <w:r w:rsidRPr="000531CC">
        <w:t xml:space="preserve">Staniszewska, S., Brett, J., Simera, I., Seers, K., Mockford, C., Goodlad, S., . . . Tysall, C. (2017). GRIPP2 reporting checklists: tools to improve reporting of patient and public involvement in research. </w:t>
      </w:r>
      <w:r w:rsidRPr="000531CC">
        <w:rPr>
          <w:i/>
        </w:rPr>
        <w:t>Bmj</w:t>
      </w:r>
      <w:r w:rsidRPr="000531CC">
        <w:t>,</w:t>
      </w:r>
      <w:r w:rsidRPr="000531CC">
        <w:rPr>
          <w:i/>
        </w:rPr>
        <w:t xml:space="preserve"> 358</w:t>
      </w:r>
      <w:r w:rsidRPr="000531CC">
        <w:t xml:space="preserve">, j3453. </w:t>
      </w:r>
      <w:hyperlink r:id="rId42" w:history="1">
        <w:r w:rsidRPr="000531CC">
          <w:rPr>
            <w:rStyle w:val="Hyperlink"/>
          </w:rPr>
          <w:t>https://doi.org/10.1136/bmj.j3453</w:t>
        </w:r>
      </w:hyperlink>
      <w:r w:rsidRPr="000531CC">
        <w:t xml:space="preserve"> </w:t>
      </w:r>
    </w:p>
    <w:p w14:paraId="6FFD514B" w14:textId="59156FF1" w:rsidR="000531CC" w:rsidRPr="000531CC" w:rsidRDefault="000531CC" w:rsidP="000531CC">
      <w:pPr>
        <w:pStyle w:val="EndNoteBibliography"/>
        <w:spacing w:after="240"/>
        <w:ind w:left="720" w:hanging="720"/>
      </w:pPr>
      <w:r w:rsidRPr="000531CC">
        <w:lastRenderedPageBreak/>
        <w:t xml:space="preserve">Stevenson, M., &amp; Taylor, B. J. (2019). Involving individuals with dementia as co-researchers in analysis of findings from a qualitative study. </w:t>
      </w:r>
      <w:r w:rsidRPr="000531CC">
        <w:rPr>
          <w:i/>
        </w:rPr>
        <w:t>Dementia (London)</w:t>
      </w:r>
      <w:r w:rsidRPr="000531CC">
        <w:t>,</w:t>
      </w:r>
      <w:r w:rsidRPr="000531CC">
        <w:rPr>
          <w:i/>
        </w:rPr>
        <w:t xml:space="preserve"> 18</w:t>
      </w:r>
      <w:r w:rsidRPr="000531CC">
        <w:t xml:space="preserve">(2), 701-712. </w:t>
      </w:r>
      <w:hyperlink r:id="rId43" w:history="1">
        <w:r w:rsidRPr="000531CC">
          <w:rPr>
            <w:rStyle w:val="Hyperlink"/>
          </w:rPr>
          <w:t>https://doi.org/10.1177/1471301217690904</w:t>
        </w:r>
      </w:hyperlink>
      <w:r w:rsidRPr="000531CC">
        <w:t xml:space="preserve"> </w:t>
      </w:r>
    </w:p>
    <w:p w14:paraId="73C19C76" w14:textId="1BD32C3D" w:rsidR="000531CC" w:rsidRPr="000531CC" w:rsidRDefault="000531CC" w:rsidP="000531CC">
      <w:pPr>
        <w:pStyle w:val="EndNoteBibliography"/>
        <w:spacing w:after="240"/>
        <w:ind w:left="720" w:hanging="720"/>
      </w:pPr>
      <w:r w:rsidRPr="000531CC">
        <w:t xml:space="preserve">Thorogood, A., Mäki-Petäjä-Leinonen, A., Brodaty, H., Dalpé, G., Gastmans, C., Gauthier, S., . . . Bobrow, M. (2018). Consent recommendations for research and international data sharing involving persons with dementia. </w:t>
      </w:r>
      <w:r w:rsidRPr="000531CC">
        <w:rPr>
          <w:i/>
        </w:rPr>
        <w:t>Alzheimer's &amp; Dementia</w:t>
      </w:r>
      <w:r w:rsidRPr="000531CC">
        <w:t>,</w:t>
      </w:r>
      <w:r w:rsidRPr="000531CC">
        <w:rPr>
          <w:i/>
        </w:rPr>
        <w:t xml:space="preserve"> 14</w:t>
      </w:r>
      <w:r w:rsidRPr="000531CC">
        <w:t xml:space="preserve">(10), 1334-1343. </w:t>
      </w:r>
      <w:hyperlink r:id="rId44" w:history="1">
        <w:r w:rsidRPr="000531CC">
          <w:rPr>
            <w:rStyle w:val="Hyperlink"/>
          </w:rPr>
          <w:t>https://doi.org/https://doi.org/10.1016/j.jalz.2018.05.011</w:t>
        </w:r>
      </w:hyperlink>
      <w:r w:rsidRPr="000531CC">
        <w:t xml:space="preserve"> </w:t>
      </w:r>
    </w:p>
    <w:p w14:paraId="0C6BF90A" w14:textId="7812E450" w:rsidR="000531CC" w:rsidRPr="000531CC" w:rsidRDefault="000531CC" w:rsidP="000531CC">
      <w:pPr>
        <w:pStyle w:val="EndNoteBibliography"/>
        <w:spacing w:after="240"/>
        <w:ind w:left="720" w:hanging="720"/>
      </w:pPr>
      <w:r w:rsidRPr="000531CC">
        <w:t xml:space="preserve">University of Bradford. </w:t>
      </w:r>
      <w:r w:rsidRPr="000531CC">
        <w:rPr>
          <w:i/>
        </w:rPr>
        <w:t xml:space="preserve">Experts by Experience </w:t>
      </w:r>
      <w:r w:rsidRPr="000531CC">
        <w:t xml:space="preserve">Retrieved 18 May 2020 from </w:t>
      </w:r>
      <w:hyperlink r:id="rId45" w:history="1">
        <w:r w:rsidRPr="000531CC">
          <w:rPr>
            <w:rStyle w:val="Hyperlink"/>
          </w:rPr>
          <w:t>https://www.bradford.ac.uk/dementia/experts-by-experience/</w:t>
        </w:r>
      </w:hyperlink>
    </w:p>
    <w:p w14:paraId="1B3D1F9C" w14:textId="158012E8" w:rsidR="000531CC" w:rsidRPr="000531CC" w:rsidRDefault="000531CC" w:rsidP="000531CC">
      <w:pPr>
        <w:pStyle w:val="EndNoteBibliography"/>
        <w:spacing w:after="240"/>
        <w:ind w:left="720" w:hanging="720"/>
      </w:pPr>
      <w:r w:rsidRPr="000531CC">
        <w:t xml:space="preserve">Waite, J., Poland, F., &amp; Charlesworth, G. (2019). Facilitators and barriers to co-research by people with dementia and academic researchers: Findings from a qualitative study. </w:t>
      </w:r>
      <w:r w:rsidRPr="000531CC">
        <w:rPr>
          <w:i/>
        </w:rPr>
        <w:t>Health Expectations</w:t>
      </w:r>
      <w:r w:rsidRPr="000531CC">
        <w:t>,</w:t>
      </w:r>
      <w:r w:rsidRPr="000531CC">
        <w:rPr>
          <w:i/>
        </w:rPr>
        <w:t xml:space="preserve"> 22</w:t>
      </w:r>
      <w:r w:rsidRPr="000531CC">
        <w:t xml:space="preserve">(4), 761-771. </w:t>
      </w:r>
      <w:hyperlink r:id="rId46" w:history="1">
        <w:r w:rsidRPr="000531CC">
          <w:rPr>
            <w:rStyle w:val="Hyperlink"/>
          </w:rPr>
          <w:t>https://doi.org/https://doi.org/10.1111/hex.12891</w:t>
        </w:r>
      </w:hyperlink>
      <w:r w:rsidRPr="000531CC">
        <w:t xml:space="preserve"> </w:t>
      </w:r>
    </w:p>
    <w:p w14:paraId="5DF83E69" w14:textId="6680D51F" w:rsidR="000531CC" w:rsidRPr="000531CC" w:rsidRDefault="000531CC" w:rsidP="000531CC">
      <w:pPr>
        <w:pStyle w:val="EndNoteBibliography"/>
        <w:spacing w:after="240"/>
        <w:ind w:left="720" w:hanging="720"/>
      </w:pPr>
      <w:r w:rsidRPr="000531CC">
        <w:t xml:space="preserve">Wilson, P., Mathie, E., Keenan, J., McNeilly, E., Goodman, C., Howe, A., . . . Peckham, S. (2015). Health Services and Delivery Research. In </w:t>
      </w:r>
      <w:r w:rsidRPr="000531CC">
        <w:rPr>
          <w:i/>
        </w:rPr>
        <w:t>ReseArch with Patient and Public invOlvement: a RealisT evaluation – the RAPPORT study</w:t>
      </w:r>
      <w:r w:rsidRPr="000531CC">
        <w:t xml:space="preserve">. NIHR Journals Library. </w:t>
      </w:r>
      <w:hyperlink r:id="rId47" w:history="1">
        <w:r w:rsidRPr="000531CC">
          <w:rPr>
            <w:rStyle w:val="Hyperlink"/>
          </w:rPr>
          <w:t>https://doi.org/10.3310/hsdr03380</w:t>
        </w:r>
      </w:hyperlink>
      <w:r w:rsidRPr="000531CC">
        <w:t xml:space="preserve"> </w:t>
      </w:r>
    </w:p>
    <w:p w14:paraId="74EA21FC" w14:textId="692B8F3A" w:rsidR="000531CC" w:rsidRPr="000531CC" w:rsidRDefault="000531CC" w:rsidP="000531CC">
      <w:pPr>
        <w:pStyle w:val="EndNoteBibliography"/>
        <w:spacing w:after="240"/>
        <w:ind w:left="720" w:hanging="720"/>
      </w:pPr>
      <w:r w:rsidRPr="000531CC">
        <w:t xml:space="preserve">Wilson, P., Mathie, E., Poland, F., Keenan, J., Howe, A., Munday, D., . . . Goodman, C. (2018). How embedded is public involvement in mainstream health research in England a decade after policy implementation? A realist evaluation. </w:t>
      </w:r>
      <w:r w:rsidRPr="000531CC">
        <w:rPr>
          <w:i/>
        </w:rPr>
        <w:t>J Health Serv Res Policy</w:t>
      </w:r>
      <w:r w:rsidRPr="000531CC">
        <w:t>,</w:t>
      </w:r>
      <w:r w:rsidRPr="000531CC">
        <w:rPr>
          <w:i/>
        </w:rPr>
        <w:t xml:space="preserve"> 23</w:t>
      </w:r>
      <w:r w:rsidRPr="000531CC">
        <w:t xml:space="preserve">(2), 98-106. </w:t>
      </w:r>
      <w:hyperlink r:id="rId48" w:history="1">
        <w:r w:rsidRPr="000531CC">
          <w:rPr>
            <w:rStyle w:val="Hyperlink"/>
          </w:rPr>
          <w:t>https://doi.org/10.1177/1355819617750688</w:t>
        </w:r>
      </w:hyperlink>
      <w:r w:rsidRPr="000531CC">
        <w:t xml:space="preserve"> </w:t>
      </w:r>
    </w:p>
    <w:p w14:paraId="31638FD5" w14:textId="1D39C39A" w:rsidR="000531CC" w:rsidRPr="000531CC" w:rsidRDefault="000531CC" w:rsidP="000531CC">
      <w:pPr>
        <w:pStyle w:val="EndNoteBibliography"/>
        <w:spacing w:after="240"/>
        <w:ind w:left="720" w:hanging="720"/>
      </w:pPr>
      <w:r w:rsidRPr="000531CC">
        <w:t xml:space="preserve">Witham, M. D., Anderson, E., Carroll, C., Dark, P. M., Down, K., Hall, A. S., . . . On behalf of the, I. w. g. (2020). Developing a roadmap to improve trial delivery for under-served groups: results from a UK multi-stakeholder process. </w:t>
      </w:r>
      <w:r w:rsidRPr="000531CC">
        <w:rPr>
          <w:i/>
        </w:rPr>
        <w:t>Trials</w:t>
      </w:r>
      <w:r w:rsidRPr="000531CC">
        <w:t>,</w:t>
      </w:r>
      <w:r w:rsidRPr="000531CC">
        <w:rPr>
          <w:i/>
        </w:rPr>
        <w:t xml:space="preserve"> 21</w:t>
      </w:r>
      <w:r w:rsidRPr="000531CC">
        <w:t xml:space="preserve">(1), 694. </w:t>
      </w:r>
      <w:hyperlink r:id="rId49" w:history="1">
        <w:r w:rsidRPr="000531CC">
          <w:rPr>
            <w:rStyle w:val="Hyperlink"/>
          </w:rPr>
          <w:t>https://doi.org/10.1186/s13063-020-04613-7</w:t>
        </w:r>
      </w:hyperlink>
      <w:r w:rsidRPr="000531CC">
        <w:t xml:space="preserve"> </w:t>
      </w:r>
    </w:p>
    <w:p w14:paraId="1843A32F" w14:textId="28C87DE3" w:rsidR="000531CC" w:rsidRPr="000531CC" w:rsidRDefault="000531CC" w:rsidP="000531CC">
      <w:pPr>
        <w:pStyle w:val="EndNoteBibliography"/>
        <w:ind w:left="720" w:hanging="720"/>
      </w:pPr>
      <w:r w:rsidRPr="000531CC">
        <w:t xml:space="preserve">Wright, J., Foster, A., Cooper, C., Sprange, K., Walters, S., Berry, K., . . . Mountain, G. (2019). Study protocol for a randomised controlled trial assessing the clinical and cost-effectiveness of the Journeying through Dementia (JtD) intervention compared to usual care. </w:t>
      </w:r>
      <w:r w:rsidRPr="000531CC">
        <w:rPr>
          <w:i/>
        </w:rPr>
        <w:t>BMJ Open</w:t>
      </w:r>
      <w:r w:rsidRPr="000531CC">
        <w:t>,</w:t>
      </w:r>
      <w:r w:rsidRPr="000531CC">
        <w:rPr>
          <w:i/>
        </w:rPr>
        <w:t xml:space="preserve"> 9</w:t>
      </w:r>
      <w:r w:rsidRPr="000531CC">
        <w:t xml:space="preserve">(9), e029207. </w:t>
      </w:r>
      <w:hyperlink r:id="rId50" w:history="1">
        <w:r w:rsidRPr="000531CC">
          <w:rPr>
            <w:rStyle w:val="Hyperlink"/>
          </w:rPr>
          <w:t>https://doi.org/10.1136/bmjopen-2019-029207</w:t>
        </w:r>
      </w:hyperlink>
      <w:r w:rsidRPr="000531CC">
        <w:t xml:space="preserve"> </w:t>
      </w:r>
    </w:p>
    <w:p w14:paraId="378CC206" w14:textId="677540CB" w:rsidR="00ED2B5A" w:rsidRPr="00ED2B5A" w:rsidRDefault="00ED2B5A" w:rsidP="00ED2B5A">
      <w:pPr>
        <w:spacing w:before="100" w:beforeAutospacing="1" w:after="100" w:afterAutospacing="1" w:line="360" w:lineRule="auto"/>
        <w:rPr>
          <w:rFonts w:eastAsia="Times New Roman" w:cstheme="minorHAnsi"/>
          <w:color w:val="000000"/>
          <w:sz w:val="24"/>
          <w:szCs w:val="24"/>
          <w:lang w:eastAsia="en-GB"/>
        </w:rPr>
      </w:pPr>
    </w:p>
    <w:p w14:paraId="424A7292" w14:textId="3E562475" w:rsidR="00953B5B" w:rsidRPr="00DB4DF0" w:rsidRDefault="00953B5B" w:rsidP="00ED2B5A">
      <w:pPr>
        <w:pStyle w:val="Heading1"/>
        <w:spacing w:before="0"/>
        <w:rPr>
          <w:rFonts w:eastAsia="Times New Roman" w:cstheme="minorHAnsi"/>
          <w:color w:val="000000"/>
          <w:sz w:val="24"/>
          <w:szCs w:val="24"/>
          <w:lang w:eastAsia="en-GB"/>
        </w:rPr>
      </w:pPr>
    </w:p>
    <w:sectPr w:rsidR="00953B5B" w:rsidRPr="00DB4DF0" w:rsidSect="000129C6">
      <w:headerReference w:type="default" r:id="rId51"/>
      <w:footerReference w:type="default" r:id="rId52"/>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8A4D" w14:textId="77777777" w:rsidR="00F50F9C" w:rsidRDefault="00F50F9C" w:rsidP="00016DD4">
      <w:pPr>
        <w:spacing w:after="0" w:line="240" w:lineRule="auto"/>
      </w:pPr>
      <w:r>
        <w:separator/>
      </w:r>
    </w:p>
  </w:endnote>
  <w:endnote w:type="continuationSeparator" w:id="0">
    <w:p w14:paraId="5443E998" w14:textId="77777777" w:rsidR="00F50F9C" w:rsidRDefault="00F50F9C" w:rsidP="00016DD4">
      <w:pPr>
        <w:spacing w:after="0" w:line="240" w:lineRule="auto"/>
      </w:pPr>
      <w:r>
        <w:continuationSeparator/>
      </w:r>
    </w:p>
  </w:endnote>
  <w:endnote w:type="continuationNotice" w:id="1">
    <w:p w14:paraId="65F26B76" w14:textId="77777777" w:rsidR="00F50F9C" w:rsidRDefault="00F50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48600"/>
      <w:docPartObj>
        <w:docPartGallery w:val="Page Numbers (Bottom of Page)"/>
        <w:docPartUnique/>
      </w:docPartObj>
    </w:sdtPr>
    <w:sdtEndPr>
      <w:rPr>
        <w:noProof/>
      </w:rPr>
    </w:sdtEndPr>
    <w:sdtContent>
      <w:p w14:paraId="4DAC2562" w14:textId="2E2CA7AF" w:rsidR="000129C6" w:rsidRDefault="00F50F9C">
        <w:pPr>
          <w:pStyle w:val="Footer"/>
          <w:jc w:val="center"/>
        </w:pPr>
      </w:p>
    </w:sdtContent>
  </w:sdt>
  <w:p w14:paraId="7A3C74FF" w14:textId="77777777" w:rsidR="008663E8" w:rsidRDefault="0086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06574"/>
      <w:docPartObj>
        <w:docPartGallery w:val="Page Numbers (Bottom of Page)"/>
        <w:docPartUnique/>
      </w:docPartObj>
    </w:sdtPr>
    <w:sdtEndPr>
      <w:rPr>
        <w:noProof/>
      </w:rPr>
    </w:sdtEndPr>
    <w:sdtContent>
      <w:p w14:paraId="6A44961E" w14:textId="77777777" w:rsidR="00B95782" w:rsidRDefault="00B95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FE13A" w14:textId="77777777" w:rsidR="000129C6" w:rsidRDefault="0001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5917" w14:textId="77777777" w:rsidR="00F50F9C" w:rsidRDefault="00F50F9C" w:rsidP="00016DD4">
      <w:pPr>
        <w:spacing w:after="0" w:line="240" w:lineRule="auto"/>
      </w:pPr>
      <w:r>
        <w:separator/>
      </w:r>
    </w:p>
  </w:footnote>
  <w:footnote w:type="continuationSeparator" w:id="0">
    <w:p w14:paraId="50F15C06" w14:textId="77777777" w:rsidR="00F50F9C" w:rsidRDefault="00F50F9C" w:rsidP="00016DD4">
      <w:pPr>
        <w:spacing w:after="0" w:line="240" w:lineRule="auto"/>
      </w:pPr>
      <w:r>
        <w:continuationSeparator/>
      </w:r>
    </w:p>
  </w:footnote>
  <w:footnote w:type="continuationNotice" w:id="1">
    <w:p w14:paraId="5F38481D" w14:textId="77777777" w:rsidR="00F50F9C" w:rsidRDefault="00F50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EF74" w14:textId="77777777" w:rsidR="00031702" w:rsidRDefault="00031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898E" w14:textId="77777777" w:rsidR="000129C6" w:rsidRDefault="0001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24E"/>
    <w:multiLevelType w:val="hybridMultilevel"/>
    <w:tmpl w:val="0FBE5734"/>
    <w:lvl w:ilvl="0" w:tplc="D5ACBFA2">
      <w:start w:val="1"/>
      <w:numFmt w:val="bullet"/>
      <w:lvlText w:val="•"/>
      <w:lvlJc w:val="left"/>
      <w:pPr>
        <w:tabs>
          <w:tab w:val="num" w:pos="720"/>
        </w:tabs>
        <w:ind w:left="720" w:hanging="360"/>
      </w:pPr>
      <w:rPr>
        <w:rFonts w:ascii="Times New Roman" w:hAnsi="Times New Roman" w:hint="default"/>
      </w:rPr>
    </w:lvl>
    <w:lvl w:ilvl="1" w:tplc="23C0FD6A" w:tentative="1">
      <w:start w:val="1"/>
      <w:numFmt w:val="bullet"/>
      <w:lvlText w:val="•"/>
      <w:lvlJc w:val="left"/>
      <w:pPr>
        <w:tabs>
          <w:tab w:val="num" w:pos="1440"/>
        </w:tabs>
        <w:ind w:left="1440" w:hanging="360"/>
      </w:pPr>
      <w:rPr>
        <w:rFonts w:ascii="Times New Roman" w:hAnsi="Times New Roman" w:hint="default"/>
      </w:rPr>
    </w:lvl>
    <w:lvl w:ilvl="2" w:tplc="87B6EC9E" w:tentative="1">
      <w:start w:val="1"/>
      <w:numFmt w:val="bullet"/>
      <w:lvlText w:val="•"/>
      <w:lvlJc w:val="left"/>
      <w:pPr>
        <w:tabs>
          <w:tab w:val="num" w:pos="2160"/>
        </w:tabs>
        <w:ind w:left="2160" w:hanging="360"/>
      </w:pPr>
      <w:rPr>
        <w:rFonts w:ascii="Times New Roman" w:hAnsi="Times New Roman" w:hint="default"/>
      </w:rPr>
    </w:lvl>
    <w:lvl w:ilvl="3" w:tplc="08CAA0F0" w:tentative="1">
      <w:start w:val="1"/>
      <w:numFmt w:val="bullet"/>
      <w:lvlText w:val="•"/>
      <w:lvlJc w:val="left"/>
      <w:pPr>
        <w:tabs>
          <w:tab w:val="num" w:pos="2880"/>
        </w:tabs>
        <w:ind w:left="2880" w:hanging="360"/>
      </w:pPr>
      <w:rPr>
        <w:rFonts w:ascii="Times New Roman" w:hAnsi="Times New Roman" w:hint="default"/>
      </w:rPr>
    </w:lvl>
    <w:lvl w:ilvl="4" w:tplc="8FC2A9EC" w:tentative="1">
      <w:start w:val="1"/>
      <w:numFmt w:val="bullet"/>
      <w:lvlText w:val="•"/>
      <w:lvlJc w:val="left"/>
      <w:pPr>
        <w:tabs>
          <w:tab w:val="num" w:pos="3600"/>
        </w:tabs>
        <w:ind w:left="3600" w:hanging="360"/>
      </w:pPr>
      <w:rPr>
        <w:rFonts w:ascii="Times New Roman" w:hAnsi="Times New Roman" w:hint="default"/>
      </w:rPr>
    </w:lvl>
    <w:lvl w:ilvl="5" w:tplc="44969A5C" w:tentative="1">
      <w:start w:val="1"/>
      <w:numFmt w:val="bullet"/>
      <w:lvlText w:val="•"/>
      <w:lvlJc w:val="left"/>
      <w:pPr>
        <w:tabs>
          <w:tab w:val="num" w:pos="4320"/>
        </w:tabs>
        <w:ind w:left="4320" w:hanging="360"/>
      </w:pPr>
      <w:rPr>
        <w:rFonts w:ascii="Times New Roman" w:hAnsi="Times New Roman" w:hint="default"/>
      </w:rPr>
    </w:lvl>
    <w:lvl w:ilvl="6" w:tplc="66B83136" w:tentative="1">
      <w:start w:val="1"/>
      <w:numFmt w:val="bullet"/>
      <w:lvlText w:val="•"/>
      <w:lvlJc w:val="left"/>
      <w:pPr>
        <w:tabs>
          <w:tab w:val="num" w:pos="5040"/>
        </w:tabs>
        <w:ind w:left="5040" w:hanging="360"/>
      </w:pPr>
      <w:rPr>
        <w:rFonts w:ascii="Times New Roman" w:hAnsi="Times New Roman" w:hint="default"/>
      </w:rPr>
    </w:lvl>
    <w:lvl w:ilvl="7" w:tplc="6B62099E" w:tentative="1">
      <w:start w:val="1"/>
      <w:numFmt w:val="bullet"/>
      <w:lvlText w:val="•"/>
      <w:lvlJc w:val="left"/>
      <w:pPr>
        <w:tabs>
          <w:tab w:val="num" w:pos="5760"/>
        </w:tabs>
        <w:ind w:left="5760" w:hanging="360"/>
      </w:pPr>
      <w:rPr>
        <w:rFonts w:ascii="Times New Roman" w:hAnsi="Times New Roman" w:hint="default"/>
      </w:rPr>
    </w:lvl>
    <w:lvl w:ilvl="8" w:tplc="77F8DA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3F38CE"/>
    <w:multiLevelType w:val="hybridMultilevel"/>
    <w:tmpl w:val="60924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55496"/>
    <w:multiLevelType w:val="hybridMultilevel"/>
    <w:tmpl w:val="8F24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4617"/>
    <w:multiLevelType w:val="hybridMultilevel"/>
    <w:tmpl w:val="1C24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B064E"/>
    <w:multiLevelType w:val="hybridMultilevel"/>
    <w:tmpl w:val="94F29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6D230E"/>
    <w:multiLevelType w:val="hybridMultilevel"/>
    <w:tmpl w:val="2BEC46D8"/>
    <w:lvl w:ilvl="0" w:tplc="1B96B18A">
      <w:start w:val="1"/>
      <w:numFmt w:val="bullet"/>
      <w:lvlText w:val="•"/>
      <w:lvlJc w:val="left"/>
      <w:pPr>
        <w:tabs>
          <w:tab w:val="num" w:pos="720"/>
        </w:tabs>
        <w:ind w:left="720" w:hanging="360"/>
      </w:pPr>
      <w:rPr>
        <w:rFonts w:ascii="Times New Roman" w:hAnsi="Times New Roman" w:hint="default"/>
      </w:rPr>
    </w:lvl>
    <w:lvl w:ilvl="1" w:tplc="729E723E" w:tentative="1">
      <w:start w:val="1"/>
      <w:numFmt w:val="bullet"/>
      <w:lvlText w:val="•"/>
      <w:lvlJc w:val="left"/>
      <w:pPr>
        <w:tabs>
          <w:tab w:val="num" w:pos="1440"/>
        </w:tabs>
        <w:ind w:left="1440" w:hanging="360"/>
      </w:pPr>
      <w:rPr>
        <w:rFonts w:ascii="Times New Roman" w:hAnsi="Times New Roman" w:hint="default"/>
      </w:rPr>
    </w:lvl>
    <w:lvl w:ilvl="2" w:tplc="1EE80358" w:tentative="1">
      <w:start w:val="1"/>
      <w:numFmt w:val="bullet"/>
      <w:lvlText w:val="•"/>
      <w:lvlJc w:val="left"/>
      <w:pPr>
        <w:tabs>
          <w:tab w:val="num" w:pos="2160"/>
        </w:tabs>
        <w:ind w:left="2160" w:hanging="360"/>
      </w:pPr>
      <w:rPr>
        <w:rFonts w:ascii="Times New Roman" w:hAnsi="Times New Roman" w:hint="default"/>
      </w:rPr>
    </w:lvl>
    <w:lvl w:ilvl="3" w:tplc="C7269236" w:tentative="1">
      <w:start w:val="1"/>
      <w:numFmt w:val="bullet"/>
      <w:lvlText w:val="•"/>
      <w:lvlJc w:val="left"/>
      <w:pPr>
        <w:tabs>
          <w:tab w:val="num" w:pos="2880"/>
        </w:tabs>
        <w:ind w:left="2880" w:hanging="360"/>
      </w:pPr>
      <w:rPr>
        <w:rFonts w:ascii="Times New Roman" w:hAnsi="Times New Roman" w:hint="default"/>
      </w:rPr>
    </w:lvl>
    <w:lvl w:ilvl="4" w:tplc="977E2A96" w:tentative="1">
      <w:start w:val="1"/>
      <w:numFmt w:val="bullet"/>
      <w:lvlText w:val="•"/>
      <w:lvlJc w:val="left"/>
      <w:pPr>
        <w:tabs>
          <w:tab w:val="num" w:pos="3600"/>
        </w:tabs>
        <w:ind w:left="3600" w:hanging="360"/>
      </w:pPr>
      <w:rPr>
        <w:rFonts w:ascii="Times New Roman" w:hAnsi="Times New Roman" w:hint="default"/>
      </w:rPr>
    </w:lvl>
    <w:lvl w:ilvl="5" w:tplc="272081C2" w:tentative="1">
      <w:start w:val="1"/>
      <w:numFmt w:val="bullet"/>
      <w:lvlText w:val="•"/>
      <w:lvlJc w:val="left"/>
      <w:pPr>
        <w:tabs>
          <w:tab w:val="num" w:pos="4320"/>
        </w:tabs>
        <w:ind w:left="4320" w:hanging="360"/>
      </w:pPr>
      <w:rPr>
        <w:rFonts w:ascii="Times New Roman" w:hAnsi="Times New Roman" w:hint="default"/>
      </w:rPr>
    </w:lvl>
    <w:lvl w:ilvl="6" w:tplc="974E0076" w:tentative="1">
      <w:start w:val="1"/>
      <w:numFmt w:val="bullet"/>
      <w:lvlText w:val="•"/>
      <w:lvlJc w:val="left"/>
      <w:pPr>
        <w:tabs>
          <w:tab w:val="num" w:pos="5040"/>
        </w:tabs>
        <w:ind w:left="5040" w:hanging="360"/>
      </w:pPr>
      <w:rPr>
        <w:rFonts w:ascii="Times New Roman" w:hAnsi="Times New Roman" w:hint="default"/>
      </w:rPr>
    </w:lvl>
    <w:lvl w:ilvl="7" w:tplc="E572DC3E" w:tentative="1">
      <w:start w:val="1"/>
      <w:numFmt w:val="bullet"/>
      <w:lvlText w:val="•"/>
      <w:lvlJc w:val="left"/>
      <w:pPr>
        <w:tabs>
          <w:tab w:val="num" w:pos="5760"/>
        </w:tabs>
        <w:ind w:left="5760" w:hanging="360"/>
      </w:pPr>
      <w:rPr>
        <w:rFonts w:ascii="Times New Roman" w:hAnsi="Times New Roman" w:hint="default"/>
      </w:rPr>
    </w:lvl>
    <w:lvl w:ilvl="8" w:tplc="BD12F0B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08172F"/>
    <w:multiLevelType w:val="hybridMultilevel"/>
    <w:tmpl w:val="1A32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14D2"/>
    <w:multiLevelType w:val="hybridMultilevel"/>
    <w:tmpl w:val="CABC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47B8A"/>
    <w:multiLevelType w:val="hybridMultilevel"/>
    <w:tmpl w:val="3E2EB3C2"/>
    <w:lvl w:ilvl="0" w:tplc="CE042A44">
      <w:start w:val="1"/>
      <w:numFmt w:val="bullet"/>
      <w:lvlText w:val="•"/>
      <w:lvlJc w:val="left"/>
      <w:pPr>
        <w:tabs>
          <w:tab w:val="num" w:pos="720"/>
        </w:tabs>
        <w:ind w:left="720" w:hanging="360"/>
      </w:pPr>
      <w:rPr>
        <w:rFonts w:ascii="Times New Roman" w:hAnsi="Times New Roman" w:hint="default"/>
      </w:rPr>
    </w:lvl>
    <w:lvl w:ilvl="1" w:tplc="BB8A1CCC" w:tentative="1">
      <w:start w:val="1"/>
      <w:numFmt w:val="bullet"/>
      <w:lvlText w:val="•"/>
      <w:lvlJc w:val="left"/>
      <w:pPr>
        <w:tabs>
          <w:tab w:val="num" w:pos="1440"/>
        </w:tabs>
        <w:ind w:left="1440" w:hanging="360"/>
      </w:pPr>
      <w:rPr>
        <w:rFonts w:ascii="Times New Roman" w:hAnsi="Times New Roman" w:hint="default"/>
      </w:rPr>
    </w:lvl>
    <w:lvl w:ilvl="2" w:tplc="38F6BF6A" w:tentative="1">
      <w:start w:val="1"/>
      <w:numFmt w:val="bullet"/>
      <w:lvlText w:val="•"/>
      <w:lvlJc w:val="left"/>
      <w:pPr>
        <w:tabs>
          <w:tab w:val="num" w:pos="2160"/>
        </w:tabs>
        <w:ind w:left="2160" w:hanging="360"/>
      </w:pPr>
      <w:rPr>
        <w:rFonts w:ascii="Times New Roman" w:hAnsi="Times New Roman" w:hint="default"/>
      </w:rPr>
    </w:lvl>
    <w:lvl w:ilvl="3" w:tplc="F5A0BB2E" w:tentative="1">
      <w:start w:val="1"/>
      <w:numFmt w:val="bullet"/>
      <w:lvlText w:val="•"/>
      <w:lvlJc w:val="left"/>
      <w:pPr>
        <w:tabs>
          <w:tab w:val="num" w:pos="2880"/>
        </w:tabs>
        <w:ind w:left="2880" w:hanging="360"/>
      </w:pPr>
      <w:rPr>
        <w:rFonts w:ascii="Times New Roman" w:hAnsi="Times New Roman" w:hint="default"/>
      </w:rPr>
    </w:lvl>
    <w:lvl w:ilvl="4" w:tplc="6CBE4BF6" w:tentative="1">
      <w:start w:val="1"/>
      <w:numFmt w:val="bullet"/>
      <w:lvlText w:val="•"/>
      <w:lvlJc w:val="left"/>
      <w:pPr>
        <w:tabs>
          <w:tab w:val="num" w:pos="3600"/>
        </w:tabs>
        <w:ind w:left="3600" w:hanging="360"/>
      </w:pPr>
      <w:rPr>
        <w:rFonts w:ascii="Times New Roman" w:hAnsi="Times New Roman" w:hint="default"/>
      </w:rPr>
    </w:lvl>
    <w:lvl w:ilvl="5" w:tplc="AB209636" w:tentative="1">
      <w:start w:val="1"/>
      <w:numFmt w:val="bullet"/>
      <w:lvlText w:val="•"/>
      <w:lvlJc w:val="left"/>
      <w:pPr>
        <w:tabs>
          <w:tab w:val="num" w:pos="4320"/>
        </w:tabs>
        <w:ind w:left="4320" w:hanging="360"/>
      </w:pPr>
      <w:rPr>
        <w:rFonts w:ascii="Times New Roman" w:hAnsi="Times New Roman" w:hint="default"/>
      </w:rPr>
    </w:lvl>
    <w:lvl w:ilvl="6" w:tplc="2208EB8E" w:tentative="1">
      <w:start w:val="1"/>
      <w:numFmt w:val="bullet"/>
      <w:lvlText w:val="•"/>
      <w:lvlJc w:val="left"/>
      <w:pPr>
        <w:tabs>
          <w:tab w:val="num" w:pos="5040"/>
        </w:tabs>
        <w:ind w:left="5040" w:hanging="360"/>
      </w:pPr>
      <w:rPr>
        <w:rFonts w:ascii="Times New Roman" w:hAnsi="Times New Roman" w:hint="default"/>
      </w:rPr>
    </w:lvl>
    <w:lvl w:ilvl="7" w:tplc="486EF8A0" w:tentative="1">
      <w:start w:val="1"/>
      <w:numFmt w:val="bullet"/>
      <w:lvlText w:val="•"/>
      <w:lvlJc w:val="left"/>
      <w:pPr>
        <w:tabs>
          <w:tab w:val="num" w:pos="5760"/>
        </w:tabs>
        <w:ind w:left="5760" w:hanging="360"/>
      </w:pPr>
      <w:rPr>
        <w:rFonts w:ascii="Times New Roman" w:hAnsi="Times New Roman" w:hint="default"/>
      </w:rPr>
    </w:lvl>
    <w:lvl w:ilvl="8" w:tplc="92F64A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8643668"/>
    <w:multiLevelType w:val="hybridMultilevel"/>
    <w:tmpl w:val="EDB86CAA"/>
    <w:lvl w:ilvl="0" w:tplc="8E2800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80457"/>
    <w:multiLevelType w:val="multilevel"/>
    <w:tmpl w:val="78CE09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16E1F"/>
    <w:multiLevelType w:val="hybridMultilevel"/>
    <w:tmpl w:val="26A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4017"/>
    <w:multiLevelType w:val="hybridMultilevel"/>
    <w:tmpl w:val="0B344B56"/>
    <w:lvl w:ilvl="0" w:tplc="DCAEA936">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F43A5"/>
    <w:multiLevelType w:val="hybridMultilevel"/>
    <w:tmpl w:val="747890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E23C9"/>
    <w:multiLevelType w:val="hybridMultilevel"/>
    <w:tmpl w:val="D9D8E14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5" w15:restartNumberingAfterBreak="0">
    <w:nsid w:val="3E18701E"/>
    <w:multiLevelType w:val="hybridMultilevel"/>
    <w:tmpl w:val="5A0CE1DC"/>
    <w:lvl w:ilvl="0" w:tplc="D97CF652">
      <w:start w:val="1"/>
      <w:numFmt w:val="decimal"/>
      <w:lvlText w:val="%1."/>
      <w:lvlJc w:val="left"/>
      <w:pPr>
        <w:ind w:left="720" w:hanging="360"/>
      </w:pPr>
      <w:rPr>
        <w:rFonts w:eastAsia="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241A5"/>
    <w:multiLevelType w:val="hybridMultilevel"/>
    <w:tmpl w:val="66484824"/>
    <w:lvl w:ilvl="0" w:tplc="DD6629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A208B"/>
    <w:multiLevelType w:val="hybridMultilevel"/>
    <w:tmpl w:val="5EFEBC9E"/>
    <w:lvl w:ilvl="0" w:tplc="0809000F">
      <w:start w:val="1"/>
      <w:numFmt w:val="decimal"/>
      <w:lvlText w:val="%1."/>
      <w:lvlJc w:val="left"/>
      <w:pPr>
        <w:ind w:left="8910" w:hanging="360"/>
      </w:pPr>
    </w:lvl>
    <w:lvl w:ilvl="1" w:tplc="08090019" w:tentative="1">
      <w:start w:val="1"/>
      <w:numFmt w:val="lowerLetter"/>
      <w:lvlText w:val="%2."/>
      <w:lvlJc w:val="left"/>
      <w:pPr>
        <w:ind w:left="9630" w:hanging="360"/>
      </w:pPr>
    </w:lvl>
    <w:lvl w:ilvl="2" w:tplc="0809001B" w:tentative="1">
      <w:start w:val="1"/>
      <w:numFmt w:val="lowerRoman"/>
      <w:lvlText w:val="%3."/>
      <w:lvlJc w:val="right"/>
      <w:pPr>
        <w:ind w:left="10350" w:hanging="180"/>
      </w:pPr>
    </w:lvl>
    <w:lvl w:ilvl="3" w:tplc="0809000F" w:tentative="1">
      <w:start w:val="1"/>
      <w:numFmt w:val="decimal"/>
      <w:lvlText w:val="%4."/>
      <w:lvlJc w:val="left"/>
      <w:pPr>
        <w:ind w:left="11070" w:hanging="360"/>
      </w:pPr>
    </w:lvl>
    <w:lvl w:ilvl="4" w:tplc="08090019" w:tentative="1">
      <w:start w:val="1"/>
      <w:numFmt w:val="lowerLetter"/>
      <w:lvlText w:val="%5."/>
      <w:lvlJc w:val="left"/>
      <w:pPr>
        <w:ind w:left="11790" w:hanging="360"/>
      </w:pPr>
    </w:lvl>
    <w:lvl w:ilvl="5" w:tplc="0809001B" w:tentative="1">
      <w:start w:val="1"/>
      <w:numFmt w:val="lowerRoman"/>
      <w:lvlText w:val="%6."/>
      <w:lvlJc w:val="right"/>
      <w:pPr>
        <w:ind w:left="12510" w:hanging="180"/>
      </w:pPr>
    </w:lvl>
    <w:lvl w:ilvl="6" w:tplc="0809000F" w:tentative="1">
      <w:start w:val="1"/>
      <w:numFmt w:val="decimal"/>
      <w:lvlText w:val="%7."/>
      <w:lvlJc w:val="left"/>
      <w:pPr>
        <w:ind w:left="13230" w:hanging="360"/>
      </w:pPr>
    </w:lvl>
    <w:lvl w:ilvl="7" w:tplc="08090019" w:tentative="1">
      <w:start w:val="1"/>
      <w:numFmt w:val="lowerLetter"/>
      <w:lvlText w:val="%8."/>
      <w:lvlJc w:val="left"/>
      <w:pPr>
        <w:ind w:left="13950" w:hanging="360"/>
      </w:pPr>
    </w:lvl>
    <w:lvl w:ilvl="8" w:tplc="0809001B" w:tentative="1">
      <w:start w:val="1"/>
      <w:numFmt w:val="lowerRoman"/>
      <w:lvlText w:val="%9."/>
      <w:lvlJc w:val="right"/>
      <w:pPr>
        <w:ind w:left="14670" w:hanging="180"/>
      </w:pPr>
    </w:lvl>
  </w:abstractNum>
  <w:abstractNum w:abstractNumId="18" w15:restartNumberingAfterBreak="0">
    <w:nsid w:val="4A4218BD"/>
    <w:multiLevelType w:val="hybridMultilevel"/>
    <w:tmpl w:val="7D327246"/>
    <w:lvl w:ilvl="0" w:tplc="816C99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5261C"/>
    <w:multiLevelType w:val="hybridMultilevel"/>
    <w:tmpl w:val="80D630D4"/>
    <w:lvl w:ilvl="0" w:tplc="A0B83446">
      <w:start w:val="1"/>
      <w:numFmt w:val="bullet"/>
      <w:lvlText w:val="•"/>
      <w:lvlJc w:val="left"/>
      <w:pPr>
        <w:tabs>
          <w:tab w:val="num" w:pos="720"/>
        </w:tabs>
        <w:ind w:left="720" w:hanging="360"/>
      </w:pPr>
      <w:rPr>
        <w:rFonts w:ascii="Times New Roman" w:hAnsi="Times New Roman" w:hint="default"/>
      </w:rPr>
    </w:lvl>
    <w:lvl w:ilvl="1" w:tplc="E36E7E1C" w:tentative="1">
      <w:start w:val="1"/>
      <w:numFmt w:val="bullet"/>
      <w:lvlText w:val="•"/>
      <w:lvlJc w:val="left"/>
      <w:pPr>
        <w:tabs>
          <w:tab w:val="num" w:pos="1440"/>
        </w:tabs>
        <w:ind w:left="1440" w:hanging="360"/>
      </w:pPr>
      <w:rPr>
        <w:rFonts w:ascii="Times New Roman" w:hAnsi="Times New Roman" w:hint="default"/>
      </w:rPr>
    </w:lvl>
    <w:lvl w:ilvl="2" w:tplc="56F2DF60" w:tentative="1">
      <w:start w:val="1"/>
      <w:numFmt w:val="bullet"/>
      <w:lvlText w:val="•"/>
      <w:lvlJc w:val="left"/>
      <w:pPr>
        <w:tabs>
          <w:tab w:val="num" w:pos="2160"/>
        </w:tabs>
        <w:ind w:left="2160" w:hanging="360"/>
      </w:pPr>
      <w:rPr>
        <w:rFonts w:ascii="Times New Roman" w:hAnsi="Times New Roman" w:hint="default"/>
      </w:rPr>
    </w:lvl>
    <w:lvl w:ilvl="3" w:tplc="1E12E194" w:tentative="1">
      <w:start w:val="1"/>
      <w:numFmt w:val="bullet"/>
      <w:lvlText w:val="•"/>
      <w:lvlJc w:val="left"/>
      <w:pPr>
        <w:tabs>
          <w:tab w:val="num" w:pos="2880"/>
        </w:tabs>
        <w:ind w:left="2880" w:hanging="360"/>
      </w:pPr>
      <w:rPr>
        <w:rFonts w:ascii="Times New Roman" w:hAnsi="Times New Roman" w:hint="default"/>
      </w:rPr>
    </w:lvl>
    <w:lvl w:ilvl="4" w:tplc="7A184A7A" w:tentative="1">
      <w:start w:val="1"/>
      <w:numFmt w:val="bullet"/>
      <w:lvlText w:val="•"/>
      <w:lvlJc w:val="left"/>
      <w:pPr>
        <w:tabs>
          <w:tab w:val="num" w:pos="3600"/>
        </w:tabs>
        <w:ind w:left="3600" w:hanging="360"/>
      </w:pPr>
      <w:rPr>
        <w:rFonts w:ascii="Times New Roman" w:hAnsi="Times New Roman" w:hint="default"/>
      </w:rPr>
    </w:lvl>
    <w:lvl w:ilvl="5" w:tplc="83921308" w:tentative="1">
      <w:start w:val="1"/>
      <w:numFmt w:val="bullet"/>
      <w:lvlText w:val="•"/>
      <w:lvlJc w:val="left"/>
      <w:pPr>
        <w:tabs>
          <w:tab w:val="num" w:pos="4320"/>
        </w:tabs>
        <w:ind w:left="4320" w:hanging="360"/>
      </w:pPr>
      <w:rPr>
        <w:rFonts w:ascii="Times New Roman" w:hAnsi="Times New Roman" w:hint="default"/>
      </w:rPr>
    </w:lvl>
    <w:lvl w:ilvl="6" w:tplc="6086768E" w:tentative="1">
      <w:start w:val="1"/>
      <w:numFmt w:val="bullet"/>
      <w:lvlText w:val="•"/>
      <w:lvlJc w:val="left"/>
      <w:pPr>
        <w:tabs>
          <w:tab w:val="num" w:pos="5040"/>
        </w:tabs>
        <w:ind w:left="5040" w:hanging="360"/>
      </w:pPr>
      <w:rPr>
        <w:rFonts w:ascii="Times New Roman" w:hAnsi="Times New Roman" w:hint="default"/>
      </w:rPr>
    </w:lvl>
    <w:lvl w:ilvl="7" w:tplc="AAA2AAFC" w:tentative="1">
      <w:start w:val="1"/>
      <w:numFmt w:val="bullet"/>
      <w:lvlText w:val="•"/>
      <w:lvlJc w:val="left"/>
      <w:pPr>
        <w:tabs>
          <w:tab w:val="num" w:pos="5760"/>
        </w:tabs>
        <w:ind w:left="5760" w:hanging="360"/>
      </w:pPr>
      <w:rPr>
        <w:rFonts w:ascii="Times New Roman" w:hAnsi="Times New Roman" w:hint="default"/>
      </w:rPr>
    </w:lvl>
    <w:lvl w:ilvl="8" w:tplc="384E647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8C6A45"/>
    <w:multiLevelType w:val="hybridMultilevel"/>
    <w:tmpl w:val="641C0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8046386"/>
    <w:multiLevelType w:val="hybridMultilevel"/>
    <w:tmpl w:val="47FE639A"/>
    <w:lvl w:ilvl="0" w:tplc="E9F4E128">
      <w:start w:val="1"/>
      <w:numFmt w:val="bullet"/>
      <w:lvlText w:val="•"/>
      <w:lvlJc w:val="left"/>
      <w:pPr>
        <w:tabs>
          <w:tab w:val="num" w:pos="720"/>
        </w:tabs>
        <w:ind w:left="720" w:hanging="360"/>
      </w:pPr>
      <w:rPr>
        <w:rFonts w:ascii="Times New Roman" w:hAnsi="Times New Roman" w:hint="default"/>
      </w:rPr>
    </w:lvl>
    <w:lvl w:ilvl="1" w:tplc="79AC3070" w:tentative="1">
      <w:start w:val="1"/>
      <w:numFmt w:val="bullet"/>
      <w:lvlText w:val="•"/>
      <w:lvlJc w:val="left"/>
      <w:pPr>
        <w:tabs>
          <w:tab w:val="num" w:pos="1440"/>
        </w:tabs>
        <w:ind w:left="1440" w:hanging="360"/>
      </w:pPr>
      <w:rPr>
        <w:rFonts w:ascii="Times New Roman" w:hAnsi="Times New Roman" w:hint="default"/>
      </w:rPr>
    </w:lvl>
    <w:lvl w:ilvl="2" w:tplc="7D9411BE" w:tentative="1">
      <w:start w:val="1"/>
      <w:numFmt w:val="bullet"/>
      <w:lvlText w:val="•"/>
      <w:lvlJc w:val="left"/>
      <w:pPr>
        <w:tabs>
          <w:tab w:val="num" w:pos="2160"/>
        </w:tabs>
        <w:ind w:left="2160" w:hanging="360"/>
      </w:pPr>
      <w:rPr>
        <w:rFonts w:ascii="Times New Roman" w:hAnsi="Times New Roman" w:hint="default"/>
      </w:rPr>
    </w:lvl>
    <w:lvl w:ilvl="3" w:tplc="0C68338C" w:tentative="1">
      <w:start w:val="1"/>
      <w:numFmt w:val="bullet"/>
      <w:lvlText w:val="•"/>
      <w:lvlJc w:val="left"/>
      <w:pPr>
        <w:tabs>
          <w:tab w:val="num" w:pos="2880"/>
        </w:tabs>
        <w:ind w:left="2880" w:hanging="360"/>
      </w:pPr>
      <w:rPr>
        <w:rFonts w:ascii="Times New Roman" w:hAnsi="Times New Roman" w:hint="default"/>
      </w:rPr>
    </w:lvl>
    <w:lvl w:ilvl="4" w:tplc="D0D86900" w:tentative="1">
      <w:start w:val="1"/>
      <w:numFmt w:val="bullet"/>
      <w:lvlText w:val="•"/>
      <w:lvlJc w:val="left"/>
      <w:pPr>
        <w:tabs>
          <w:tab w:val="num" w:pos="3600"/>
        </w:tabs>
        <w:ind w:left="3600" w:hanging="360"/>
      </w:pPr>
      <w:rPr>
        <w:rFonts w:ascii="Times New Roman" w:hAnsi="Times New Roman" w:hint="default"/>
      </w:rPr>
    </w:lvl>
    <w:lvl w:ilvl="5" w:tplc="B394C184" w:tentative="1">
      <w:start w:val="1"/>
      <w:numFmt w:val="bullet"/>
      <w:lvlText w:val="•"/>
      <w:lvlJc w:val="left"/>
      <w:pPr>
        <w:tabs>
          <w:tab w:val="num" w:pos="4320"/>
        </w:tabs>
        <w:ind w:left="4320" w:hanging="360"/>
      </w:pPr>
      <w:rPr>
        <w:rFonts w:ascii="Times New Roman" w:hAnsi="Times New Roman" w:hint="default"/>
      </w:rPr>
    </w:lvl>
    <w:lvl w:ilvl="6" w:tplc="5F747FBE" w:tentative="1">
      <w:start w:val="1"/>
      <w:numFmt w:val="bullet"/>
      <w:lvlText w:val="•"/>
      <w:lvlJc w:val="left"/>
      <w:pPr>
        <w:tabs>
          <w:tab w:val="num" w:pos="5040"/>
        </w:tabs>
        <w:ind w:left="5040" w:hanging="360"/>
      </w:pPr>
      <w:rPr>
        <w:rFonts w:ascii="Times New Roman" w:hAnsi="Times New Roman" w:hint="default"/>
      </w:rPr>
    </w:lvl>
    <w:lvl w:ilvl="7" w:tplc="296EB934" w:tentative="1">
      <w:start w:val="1"/>
      <w:numFmt w:val="bullet"/>
      <w:lvlText w:val="•"/>
      <w:lvlJc w:val="left"/>
      <w:pPr>
        <w:tabs>
          <w:tab w:val="num" w:pos="5760"/>
        </w:tabs>
        <w:ind w:left="5760" w:hanging="360"/>
      </w:pPr>
      <w:rPr>
        <w:rFonts w:ascii="Times New Roman" w:hAnsi="Times New Roman" w:hint="default"/>
      </w:rPr>
    </w:lvl>
    <w:lvl w:ilvl="8" w:tplc="A6EC3F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C104B4"/>
    <w:multiLevelType w:val="hybridMultilevel"/>
    <w:tmpl w:val="CB8C5D34"/>
    <w:lvl w:ilvl="0" w:tplc="9CEEDF9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61C12"/>
    <w:multiLevelType w:val="hybridMultilevel"/>
    <w:tmpl w:val="04EE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561F2"/>
    <w:multiLevelType w:val="hybridMultilevel"/>
    <w:tmpl w:val="8AA2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7574A"/>
    <w:multiLevelType w:val="hybridMultilevel"/>
    <w:tmpl w:val="E30E492A"/>
    <w:lvl w:ilvl="0" w:tplc="4324303E">
      <w:start w:val="1"/>
      <w:numFmt w:val="bullet"/>
      <w:lvlText w:val="•"/>
      <w:lvlJc w:val="left"/>
      <w:pPr>
        <w:tabs>
          <w:tab w:val="num" w:pos="346"/>
        </w:tabs>
        <w:ind w:left="346" w:hanging="360"/>
      </w:pPr>
      <w:rPr>
        <w:rFonts w:ascii="Times New Roman" w:hAnsi="Times New Roman" w:hint="default"/>
      </w:rPr>
    </w:lvl>
    <w:lvl w:ilvl="1" w:tplc="3B48828E" w:tentative="1">
      <w:start w:val="1"/>
      <w:numFmt w:val="bullet"/>
      <w:lvlText w:val="•"/>
      <w:lvlJc w:val="left"/>
      <w:pPr>
        <w:tabs>
          <w:tab w:val="num" w:pos="1066"/>
        </w:tabs>
        <w:ind w:left="1066" w:hanging="360"/>
      </w:pPr>
      <w:rPr>
        <w:rFonts w:ascii="Times New Roman" w:hAnsi="Times New Roman" w:hint="default"/>
      </w:rPr>
    </w:lvl>
    <w:lvl w:ilvl="2" w:tplc="1CC29B60" w:tentative="1">
      <w:start w:val="1"/>
      <w:numFmt w:val="bullet"/>
      <w:lvlText w:val="•"/>
      <w:lvlJc w:val="left"/>
      <w:pPr>
        <w:tabs>
          <w:tab w:val="num" w:pos="1786"/>
        </w:tabs>
        <w:ind w:left="1786" w:hanging="360"/>
      </w:pPr>
      <w:rPr>
        <w:rFonts w:ascii="Times New Roman" w:hAnsi="Times New Roman" w:hint="default"/>
      </w:rPr>
    </w:lvl>
    <w:lvl w:ilvl="3" w:tplc="37A89032" w:tentative="1">
      <w:start w:val="1"/>
      <w:numFmt w:val="bullet"/>
      <w:lvlText w:val="•"/>
      <w:lvlJc w:val="left"/>
      <w:pPr>
        <w:tabs>
          <w:tab w:val="num" w:pos="2506"/>
        </w:tabs>
        <w:ind w:left="2506" w:hanging="360"/>
      </w:pPr>
      <w:rPr>
        <w:rFonts w:ascii="Times New Roman" w:hAnsi="Times New Roman" w:hint="default"/>
      </w:rPr>
    </w:lvl>
    <w:lvl w:ilvl="4" w:tplc="68CA93EA" w:tentative="1">
      <w:start w:val="1"/>
      <w:numFmt w:val="bullet"/>
      <w:lvlText w:val="•"/>
      <w:lvlJc w:val="left"/>
      <w:pPr>
        <w:tabs>
          <w:tab w:val="num" w:pos="3226"/>
        </w:tabs>
        <w:ind w:left="3226" w:hanging="360"/>
      </w:pPr>
      <w:rPr>
        <w:rFonts w:ascii="Times New Roman" w:hAnsi="Times New Roman" w:hint="default"/>
      </w:rPr>
    </w:lvl>
    <w:lvl w:ilvl="5" w:tplc="1B2E1CA2" w:tentative="1">
      <w:start w:val="1"/>
      <w:numFmt w:val="bullet"/>
      <w:lvlText w:val="•"/>
      <w:lvlJc w:val="left"/>
      <w:pPr>
        <w:tabs>
          <w:tab w:val="num" w:pos="3946"/>
        </w:tabs>
        <w:ind w:left="3946" w:hanging="360"/>
      </w:pPr>
      <w:rPr>
        <w:rFonts w:ascii="Times New Roman" w:hAnsi="Times New Roman" w:hint="default"/>
      </w:rPr>
    </w:lvl>
    <w:lvl w:ilvl="6" w:tplc="D6E6D394" w:tentative="1">
      <w:start w:val="1"/>
      <w:numFmt w:val="bullet"/>
      <w:lvlText w:val="•"/>
      <w:lvlJc w:val="left"/>
      <w:pPr>
        <w:tabs>
          <w:tab w:val="num" w:pos="4666"/>
        </w:tabs>
        <w:ind w:left="4666" w:hanging="360"/>
      </w:pPr>
      <w:rPr>
        <w:rFonts w:ascii="Times New Roman" w:hAnsi="Times New Roman" w:hint="default"/>
      </w:rPr>
    </w:lvl>
    <w:lvl w:ilvl="7" w:tplc="66AAE2F6" w:tentative="1">
      <w:start w:val="1"/>
      <w:numFmt w:val="bullet"/>
      <w:lvlText w:val="•"/>
      <w:lvlJc w:val="left"/>
      <w:pPr>
        <w:tabs>
          <w:tab w:val="num" w:pos="5386"/>
        </w:tabs>
        <w:ind w:left="5386" w:hanging="360"/>
      </w:pPr>
      <w:rPr>
        <w:rFonts w:ascii="Times New Roman" w:hAnsi="Times New Roman" w:hint="default"/>
      </w:rPr>
    </w:lvl>
    <w:lvl w:ilvl="8" w:tplc="93BE710E" w:tentative="1">
      <w:start w:val="1"/>
      <w:numFmt w:val="bullet"/>
      <w:lvlText w:val="•"/>
      <w:lvlJc w:val="left"/>
      <w:pPr>
        <w:tabs>
          <w:tab w:val="num" w:pos="6106"/>
        </w:tabs>
        <w:ind w:left="6106" w:hanging="360"/>
      </w:pPr>
      <w:rPr>
        <w:rFonts w:ascii="Times New Roman" w:hAnsi="Times New Roman" w:hint="default"/>
      </w:rPr>
    </w:lvl>
  </w:abstractNum>
  <w:abstractNum w:abstractNumId="26" w15:restartNumberingAfterBreak="0">
    <w:nsid w:val="69343CA2"/>
    <w:multiLevelType w:val="hybridMultilevel"/>
    <w:tmpl w:val="94BEA8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A10812"/>
    <w:multiLevelType w:val="hybridMultilevel"/>
    <w:tmpl w:val="7C0078F4"/>
    <w:lvl w:ilvl="0" w:tplc="9CAE6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A237A"/>
    <w:multiLevelType w:val="hybridMultilevel"/>
    <w:tmpl w:val="C7A6B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55EA6"/>
    <w:multiLevelType w:val="hybridMultilevel"/>
    <w:tmpl w:val="C9403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4C455D"/>
    <w:multiLevelType w:val="hybridMultilevel"/>
    <w:tmpl w:val="76B0B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1C70C5"/>
    <w:multiLevelType w:val="hybridMultilevel"/>
    <w:tmpl w:val="392E1B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7"/>
  </w:num>
  <w:num w:numId="4">
    <w:abstractNumId w:val="18"/>
  </w:num>
  <w:num w:numId="5">
    <w:abstractNumId w:val="23"/>
  </w:num>
  <w:num w:numId="6">
    <w:abstractNumId w:val="7"/>
  </w:num>
  <w:num w:numId="7">
    <w:abstractNumId w:val="20"/>
  </w:num>
  <w:num w:numId="8">
    <w:abstractNumId w:val="3"/>
  </w:num>
  <w:num w:numId="9">
    <w:abstractNumId w:val="31"/>
  </w:num>
  <w:num w:numId="10">
    <w:abstractNumId w:val="1"/>
  </w:num>
  <w:num w:numId="11">
    <w:abstractNumId w:val="10"/>
  </w:num>
  <w:num w:numId="12">
    <w:abstractNumId w:val="9"/>
  </w:num>
  <w:num w:numId="13">
    <w:abstractNumId w:val="12"/>
  </w:num>
  <w:num w:numId="14">
    <w:abstractNumId w:val="15"/>
  </w:num>
  <w:num w:numId="15">
    <w:abstractNumId w:val="16"/>
  </w:num>
  <w:num w:numId="16">
    <w:abstractNumId w:val="26"/>
  </w:num>
  <w:num w:numId="17">
    <w:abstractNumId w:val="22"/>
  </w:num>
  <w:num w:numId="18">
    <w:abstractNumId w:val="4"/>
  </w:num>
  <w:num w:numId="19">
    <w:abstractNumId w:val="29"/>
  </w:num>
  <w:num w:numId="20">
    <w:abstractNumId w:val="0"/>
  </w:num>
  <w:num w:numId="21">
    <w:abstractNumId w:val="8"/>
  </w:num>
  <w:num w:numId="22">
    <w:abstractNumId w:val="25"/>
  </w:num>
  <w:num w:numId="23">
    <w:abstractNumId w:val="19"/>
  </w:num>
  <w:num w:numId="24">
    <w:abstractNumId w:val="5"/>
  </w:num>
  <w:num w:numId="25">
    <w:abstractNumId w:val="21"/>
  </w:num>
  <w:num w:numId="26">
    <w:abstractNumId w:val="30"/>
  </w:num>
  <w:num w:numId="27">
    <w:abstractNumId w:val="13"/>
  </w:num>
  <w:num w:numId="28">
    <w:abstractNumId w:val="28"/>
  </w:num>
  <w:num w:numId="29">
    <w:abstractNumId w:val="27"/>
  </w:num>
  <w:num w:numId="30">
    <w:abstractNumId w:val="14"/>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ws9awzs0rx59v6evf2ivs924affsrxdrfwaw&quot;&gt;PhD Library&lt;record-ids&gt;&lt;item&gt;1&lt;/item&gt;&lt;item&gt;10&lt;/item&gt;&lt;/record-ids&gt;&lt;/item&gt;&lt;/Libraries&gt;"/>
  </w:docVars>
  <w:rsids>
    <w:rsidRoot w:val="00016DD4"/>
    <w:rsid w:val="0000197E"/>
    <w:rsid w:val="00007B41"/>
    <w:rsid w:val="000106E1"/>
    <w:rsid w:val="000129C6"/>
    <w:rsid w:val="000133D7"/>
    <w:rsid w:val="00013FFF"/>
    <w:rsid w:val="00016DD4"/>
    <w:rsid w:val="00017118"/>
    <w:rsid w:val="00017286"/>
    <w:rsid w:val="000178A1"/>
    <w:rsid w:val="00022DCE"/>
    <w:rsid w:val="00023C5F"/>
    <w:rsid w:val="0002483B"/>
    <w:rsid w:val="0002501E"/>
    <w:rsid w:val="00025EC9"/>
    <w:rsid w:val="000263C0"/>
    <w:rsid w:val="00026699"/>
    <w:rsid w:val="00031125"/>
    <w:rsid w:val="00031702"/>
    <w:rsid w:val="00034138"/>
    <w:rsid w:val="00035033"/>
    <w:rsid w:val="00036B09"/>
    <w:rsid w:val="00036B8B"/>
    <w:rsid w:val="00043114"/>
    <w:rsid w:val="00043B9D"/>
    <w:rsid w:val="00044A09"/>
    <w:rsid w:val="00045137"/>
    <w:rsid w:val="00045761"/>
    <w:rsid w:val="00046314"/>
    <w:rsid w:val="00047536"/>
    <w:rsid w:val="00047EAD"/>
    <w:rsid w:val="00050952"/>
    <w:rsid w:val="000510A7"/>
    <w:rsid w:val="000531CC"/>
    <w:rsid w:val="00054284"/>
    <w:rsid w:val="00055273"/>
    <w:rsid w:val="00055463"/>
    <w:rsid w:val="000563E9"/>
    <w:rsid w:val="00056D83"/>
    <w:rsid w:val="0006042E"/>
    <w:rsid w:val="0006146A"/>
    <w:rsid w:val="0006218F"/>
    <w:rsid w:val="000658F5"/>
    <w:rsid w:val="000676D8"/>
    <w:rsid w:val="0007095D"/>
    <w:rsid w:val="00072960"/>
    <w:rsid w:val="00073000"/>
    <w:rsid w:val="000740AC"/>
    <w:rsid w:val="00074160"/>
    <w:rsid w:val="00080815"/>
    <w:rsid w:val="0008178E"/>
    <w:rsid w:val="000857CD"/>
    <w:rsid w:val="00086493"/>
    <w:rsid w:val="00090DD8"/>
    <w:rsid w:val="00091E44"/>
    <w:rsid w:val="00092160"/>
    <w:rsid w:val="00092589"/>
    <w:rsid w:val="00097244"/>
    <w:rsid w:val="00097A9F"/>
    <w:rsid w:val="000A1704"/>
    <w:rsid w:val="000A20F6"/>
    <w:rsid w:val="000A3885"/>
    <w:rsid w:val="000A472B"/>
    <w:rsid w:val="000B05F3"/>
    <w:rsid w:val="000B2E14"/>
    <w:rsid w:val="000B6E9A"/>
    <w:rsid w:val="000C0345"/>
    <w:rsid w:val="000C5EFF"/>
    <w:rsid w:val="000C6E9A"/>
    <w:rsid w:val="000D3239"/>
    <w:rsid w:val="000D3FF1"/>
    <w:rsid w:val="000D50BF"/>
    <w:rsid w:val="000D5C34"/>
    <w:rsid w:val="000D682F"/>
    <w:rsid w:val="000D779E"/>
    <w:rsid w:val="000E124E"/>
    <w:rsid w:val="000E230D"/>
    <w:rsid w:val="000E264E"/>
    <w:rsid w:val="000E3C11"/>
    <w:rsid w:val="000E562E"/>
    <w:rsid w:val="000E6C61"/>
    <w:rsid w:val="000E76A6"/>
    <w:rsid w:val="000F150F"/>
    <w:rsid w:val="000F4762"/>
    <w:rsid w:val="000F5575"/>
    <w:rsid w:val="000F74B2"/>
    <w:rsid w:val="00101A04"/>
    <w:rsid w:val="0010328C"/>
    <w:rsid w:val="00103430"/>
    <w:rsid w:val="001038A8"/>
    <w:rsid w:val="0010421C"/>
    <w:rsid w:val="00105459"/>
    <w:rsid w:val="001067CB"/>
    <w:rsid w:val="00111494"/>
    <w:rsid w:val="00111851"/>
    <w:rsid w:val="001121A5"/>
    <w:rsid w:val="00113260"/>
    <w:rsid w:val="0011327F"/>
    <w:rsid w:val="00113B9D"/>
    <w:rsid w:val="00113F5F"/>
    <w:rsid w:val="00115927"/>
    <w:rsid w:val="0011653B"/>
    <w:rsid w:val="0011685B"/>
    <w:rsid w:val="00117AF6"/>
    <w:rsid w:val="001209BA"/>
    <w:rsid w:val="00122C29"/>
    <w:rsid w:val="0012356B"/>
    <w:rsid w:val="0012370A"/>
    <w:rsid w:val="00124BF5"/>
    <w:rsid w:val="0013119C"/>
    <w:rsid w:val="001325CE"/>
    <w:rsid w:val="001329DC"/>
    <w:rsid w:val="00133489"/>
    <w:rsid w:val="001335D5"/>
    <w:rsid w:val="001343DD"/>
    <w:rsid w:val="00134E9A"/>
    <w:rsid w:val="001364DD"/>
    <w:rsid w:val="00144F14"/>
    <w:rsid w:val="00146089"/>
    <w:rsid w:val="001466BB"/>
    <w:rsid w:val="00146D45"/>
    <w:rsid w:val="00152E69"/>
    <w:rsid w:val="00155063"/>
    <w:rsid w:val="001571A7"/>
    <w:rsid w:val="00160294"/>
    <w:rsid w:val="00162834"/>
    <w:rsid w:val="00162C64"/>
    <w:rsid w:val="0016313A"/>
    <w:rsid w:val="00163B12"/>
    <w:rsid w:val="00164253"/>
    <w:rsid w:val="00167117"/>
    <w:rsid w:val="001712A6"/>
    <w:rsid w:val="00173978"/>
    <w:rsid w:val="00173E33"/>
    <w:rsid w:val="001773BA"/>
    <w:rsid w:val="00180587"/>
    <w:rsid w:val="00181B6F"/>
    <w:rsid w:val="00181D65"/>
    <w:rsid w:val="00183CF6"/>
    <w:rsid w:val="00184298"/>
    <w:rsid w:val="00192900"/>
    <w:rsid w:val="00193CBF"/>
    <w:rsid w:val="00195C55"/>
    <w:rsid w:val="001A7A6B"/>
    <w:rsid w:val="001B0F78"/>
    <w:rsid w:val="001B3AFD"/>
    <w:rsid w:val="001B6099"/>
    <w:rsid w:val="001B6290"/>
    <w:rsid w:val="001C0541"/>
    <w:rsid w:val="001C07A6"/>
    <w:rsid w:val="001C1ABA"/>
    <w:rsid w:val="001C1EDB"/>
    <w:rsid w:val="001C4F05"/>
    <w:rsid w:val="001C6D2F"/>
    <w:rsid w:val="001C70CD"/>
    <w:rsid w:val="001C7AFE"/>
    <w:rsid w:val="001D0E38"/>
    <w:rsid w:val="001D1191"/>
    <w:rsid w:val="001D36B0"/>
    <w:rsid w:val="001D3ECE"/>
    <w:rsid w:val="001D6A50"/>
    <w:rsid w:val="001E0DCF"/>
    <w:rsid w:val="001E1D35"/>
    <w:rsid w:val="001E259E"/>
    <w:rsid w:val="001E57F8"/>
    <w:rsid w:val="001E5E44"/>
    <w:rsid w:val="001E688C"/>
    <w:rsid w:val="001F04A1"/>
    <w:rsid w:val="001F0A79"/>
    <w:rsid w:val="0020384D"/>
    <w:rsid w:val="00205C1D"/>
    <w:rsid w:val="00206A27"/>
    <w:rsid w:val="00207252"/>
    <w:rsid w:val="002101B6"/>
    <w:rsid w:val="002127F9"/>
    <w:rsid w:val="002144F3"/>
    <w:rsid w:val="0021487C"/>
    <w:rsid w:val="00215C1A"/>
    <w:rsid w:val="00220490"/>
    <w:rsid w:val="00222FA9"/>
    <w:rsid w:val="002250CB"/>
    <w:rsid w:val="00231C5E"/>
    <w:rsid w:val="00232635"/>
    <w:rsid w:val="00232884"/>
    <w:rsid w:val="0023481F"/>
    <w:rsid w:val="002362D5"/>
    <w:rsid w:val="00236622"/>
    <w:rsid w:val="00240708"/>
    <w:rsid w:val="00240FB0"/>
    <w:rsid w:val="00241781"/>
    <w:rsid w:val="0024573D"/>
    <w:rsid w:val="00246384"/>
    <w:rsid w:val="0024717D"/>
    <w:rsid w:val="00247379"/>
    <w:rsid w:val="0025291F"/>
    <w:rsid w:val="00252A22"/>
    <w:rsid w:val="00252E7C"/>
    <w:rsid w:val="002533A1"/>
    <w:rsid w:val="00254156"/>
    <w:rsid w:val="00254EA2"/>
    <w:rsid w:val="00257D76"/>
    <w:rsid w:val="002617AB"/>
    <w:rsid w:val="00261844"/>
    <w:rsid w:val="002638B8"/>
    <w:rsid w:val="00265DBB"/>
    <w:rsid w:val="00266EB2"/>
    <w:rsid w:val="002676B6"/>
    <w:rsid w:val="00270305"/>
    <w:rsid w:val="0027278F"/>
    <w:rsid w:val="0027287D"/>
    <w:rsid w:val="002737E5"/>
    <w:rsid w:val="00274A97"/>
    <w:rsid w:val="0027675C"/>
    <w:rsid w:val="00277300"/>
    <w:rsid w:val="00280360"/>
    <w:rsid w:val="0028334F"/>
    <w:rsid w:val="00283D2A"/>
    <w:rsid w:val="00284115"/>
    <w:rsid w:val="002842C7"/>
    <w:rsid w:val="00284B1E"/>
    <w:rsid w:val="0028522A"/>
    <w:rsid w:val="00291A61"/>
    <w:rsid w:val="00293AE8"/>
    <w:rsid w:val="00294DA1"/>
    <w:rsid w:val="002952F6"/>
    <w:rsid w:val="002970BB"/>
    <w:rsid w:val="002A0D47"/>
    <w:rsid w:val="002A33ED"/>
    <w:rsid w:val="002A3A54"/>
    <w:rsid w:val="002A4EA8"/>
    <w:rsid w:val="002A5B3A"/>
    <w:rsid w:val="002A7240"/>
    <w:rsid w:val="002A7983"/>
    <w:rsid w:val="002B03A6"/>
    <w:rsid w:val="002B1536"/>
    <w:rsid w:val="002B16B6"/>
    <w:rsid w:val="002B21F8"/>
    <w:rsid w:val="002B2FA5"/>
    <w:rsid w:val="002B3110"/>
    <w:rsid w:val="002B4053"/>
    <w:rsid w:val="002B4978"/>
    <w:rsid w:val="002B4A87"/>
    <w:rsid w:val="002B6093"/>
    <w:rsid w:val="002B7C85"/>
    <w:rsid w:val="002C04B4"/>
    <w:rsid w:val="002C05A6"/>
    <w:rsid w:val="002C228D"/>
    <w:rsid w:val="002C3458"/>
    <w:rsid w:val="002C3826"/>
    <w:rsid w:val="002C3B2F"/>
    <w:rsid w:val="002C5CD3"/>
    <w:rsid w:val="002C6839"/>
    <w:rsid w:val="002C6C9F"/>
    <w:rsid w:val="002D001B"/>
    <w:rsid w:val="002D0D30"/>
    <w:rsid w:val="002D1A62"/>
    <w:rsid w:val="002D1B9C"/>
    <w:rsid w:val="002D249B"/>
    <w:rsid w:val="002D3F75"/>
    <w:rsid w:val="002D5988"/>
    <w:rsid w:val="002D73BF"/>
    <w:rsid w:val="002E0584"/>
    <w:rsid w:val="002E18EB"/>
    <w:rsid w:val="002E1FBE"/>
    <w:rsid w:val="002E28CD"/>
    <w:rsid w:val="002E3F29"/>
    <w:rsid w:val="002E64A5"/>
    <w:rsid w:val="002E79D6"/>
    <w:rsid w:val="002F09CA"/>
    <w:rsid w:val="002F10F8"/>
    <w:rsid w:val="002F5243"/>
    <w:rsid w:val="002F584F"/>
    <w:rsid w:val="002F5BAC"/>
    <w:rsid w:val="00300085"/>
    <w:rsid w:val="00301D4B"/>
    <w:rsid w:val="00301EDE"/>
    <w:rsid w:val="00305BF8"/>
    <w:rsid w:val="00317488"/>
    <w:rsid w:val="00320535"/>
    <w:rsid w:val="00324B07"/>
    <w:rsid w:val="00325233"/>
    <w:rsid w:val="0032549E"/>
    <w:rsid w:val="00326DD9"/>
    <w:rsid w:val="003329F2"/>
    <w:rsid w:val="00334792"/>
    <w:rsid w:val="00335CB7"/>
    <w:rsid w:val="00335E49"/>
    <w:rsid w:val="00337C69"/>
    <w:rsid w:val="00337FA7"/>
    <w:rsid w:val="003448AD"/>
    <w:rsid w:val="00352E0C"/>
    <w:rsid w:val="00356F4A"/>
    <w:rsid w:val="00361C68"/>
    <w:rsid w:val="00366F3B"/>
    <w:rsid w:val="00367733"/>
    <w:rsid w:val="00367B9C"/>
    <w:rsid w:val="00372511"/>
    <w:rsid w:val="00372CCA"/>
    <w:rsid w:val="003747C4"/>
    <w:rsid w:val="00375E56"/>
    <w:rsid w:val="00380FDF"/>
    <w:rsid w:val="0038326F"/>
    <w:rsid w:val="00383A4F"/>
    <w:rsid w:val="0038468C"/>
    <w:rsid w:val="00384D1D"/>
    <w:rsid w:val="00385035"/>
    <w:rsid w:val="00385AEE"/>
    <w:rsid w:val="0038702E"/>
    <w:rsid w:val="0038775F"/>
    <w:rsid w:val="00390322"/>
    <w:rsid w:val="003905A4"/>
    <w:rsid w:val="0039060D"/>
    <w:rsid w:val="00392AAD"/>
    <w:rsid w:val="003A098F"/>
    <w:rsid w:val="003A1A29"/>
    <w:rsid w:val="003A23E5"/>
    <w:rsid w:val="003A31C0"/>
    <w:rsid w:val="003A4355"/>
    <w:rsid w:val="003A62E8"/>
    <w:rsid w:val="003A6BA4"/>
    <w:rsid w:val="003B1CEF"/>
    <w:rsid w:val="003B4256"/>
    <w:rsid w:val="003B4A17"/>
    <w:rsid w:val="003B4D04"/>
    <w:rsid w:val="003C0691"/>
    <w:rsid w:val="003C2051"/>
    <w:rsid w:val="003C2325"/>
    <w:rsid w:val="003C57AB"/>
    <w:rsid w:val="003C6674"/>
    <w:rsid w:val="003D17B7"/>
    <w:rsid w:val="003D4657"/>
    <w:rsid w:val="003D5E04"/>
    <w:rsid w:val="003D62E6"/>
    <w:rsid w:val="003D7BD0"/>
    <w:rsid w:val="003E0D6E"/>
    <w:rsid w:val="003E0F93"/>
    <w:rsid w:val="003E19E5"/>
    <w:rsid w:val="003E33A0"/>
    <w:rsid w:val="003E4FFD"/>
    <w:rsid w:val="003E5282"/>
    <w:rsid w:val="003E5703"/>
    <w:rsid w:val="003F07ED"/>
    <w:rsid w:val="003F1A98"/>
    <w:rsid w:val="003F2156"/>
    <w:rsid w:val="003F2D3D"/>
    <w:rsid w:val="003F4F7E"/>
    <w:rsid w:val="003F653A"/>
    <w:rsid w:val="003F6E56"/>
    <w:rsid w:val="003F7E32"/>
    <w:rsid w:val="00400F88"/>
    <w:rsid w:val="00401346"/>
    <w:rsid w:val="00402B44"/>
    <w:rsid w:val="004035A0"/>
    <w:rsid w:val="00403916"/>
    <w:rsid w:val="0040703C"/>
    <w:rsid w:val="0040742A"/>
    <w:rsid w:val="00412726"/>
    <w:rsid w:val="004136FC"/>
    <w:rsid w:val="00414B97"/>
    <w:rsid w:val="00415C47"/>
    <w:rsid w:val="0042183B"/>
    <w:rsid w:val="0042191E"/>
    <w:rsid w:val="00427791"/>
    <w:rsid w:val="0042792A"/>
    <w:rsid w:val="00431296"/>
    <w:rsid w:val="004344BA"/>
    <w:rsid w:val="00434684"/>
    <w:rsid w:val="00435883"/>
    <w:rsid w:val="00436168"/>
    <w:rsid w:val="00437BED"/>
    <w:rsid w:val="00440835"/>
    <w:rsid w:val="0044092F"/>
    <w:rsid w:val="00440CF2"/>
    <w:rsid w:val="00443F48"/>
    <w:rsid w:val="00444CD9"/>
    <w:rsid w:val="0044572E"/>
    <w:rsid w:val="00446D6B"/>
    <w:rsid w:val="004470AD"/>
    <w:rsid w:val="004511FD"/>
    <w:rsid w:val="00451B10"/>
    <w:rsid w:val="004534BC"/>
    <w:rsid w:val="00454529"/>
    <w:rsid w:val="00456A05"/>
    <w:rsid w:val="00460082"/>
    <w:rsid w:val="00460D62"/>
    <w:rsid w:val="00461216"/>
    <w:rsid w:val="0046232E"/>
    <w:rsid w:val="00464B5C"/>
    <w:rsid w:val="004705B5"/>
    <w:rsid w:val="004714C5"/>
    <w:rsid w:val="0047326A"/>
    <w:rsid w:val="00473332"/>
    <w:rsid w:val="00475EAB"/>
    <w:rsid w:val="0047684D"/>
    <w:rsid w:val="00481FA3"/>
    <w:rsid w:val="004820D5"/>
    <w:rsid w:val="00483AB7"/>
    <w:rsid w:val="0048791F"/>
    <w:rsid w:val="0049515A"/>
    <w:rsid w:val="00495716"/>
    <w:rsid w:val="004A1129"/>
    <w:rsid w:val="004A1497"/>
    <w:rsid w:val="004A2BF0"/>
    <w:rsid w:val="004A500D"/>
    <w:rsid w:val="004A6D6A"/>
    <w:rsid w:val="004A7631"/>
    <w:rsid w:val="004B0E00"/>
    <w:rsid w:val="004B5E07"/>
    <w:rsid w:val="004B64DE"/>
    <w:rsid w:val="004C0C3B"/>
    <w:rsid w:val="004C23F5"/>
    <w:rsid w:val="004C7F46"/>
    <w:rsid w:val="004D008E"/>
    <w:rsid w:val="004D00EB"/>
    <w:rsid w:val="004D054C"/>
    <w:rsid w:val="004D0D12"/>
    <w:rsid w:val="004D3BDD"/>
    <w:rsid w:val="004D3F41"/>
    <w:rsid w:val="004D44FC"/>
    <w:rsid w:val="004D459D"/>
    <w:rsid w:val="004D45BE"/>
    <w:rsid w:val="004D5ACE"/>
    <w:rsid w:val="004E06F8"/>
    <w:rsid w:val="004E0875"/>
    <w:rsid w:val="004E155F"/>
    <w:rsid w:val="004E48D9"/>
    <w:rsid w:val="004E4D6B"/>
    <w:rsid w:val="004E6766"/>
    <w:rsid w:val="004E6B1A"/>
    <w:rsid w:val="004E786B"/>
    <w:rsid w:val="004F1927"/>
    <w:rsid w:val="005006CA"/>
    <w:rsid w:val="00500C0E"/>
    <w:rsid w:val="005016F9"/>
    <w:rsid w:val="00501886"/>
    <w:rsid w:val="00501A11"/>
    <w:rsid w:val="00501CC0"/>
    <w:rsid w:val="00503160"/>
    <w:rsid w:val="0050367D"/>
    <w:rsid w:val="005036EF"/>
    <w:rsid w:val="0050457E"/>
    <w:rsid w:val="00506C6F"/>
    <w:rsid w:val="0050768E"/>
    <w:rsid w:val="00513C02"/>
    <w:rsid w:val="00514212"/>
    <w:rsid w:val="00516FD0"/>
    <w:rsid w:val="00517133"/>
    <w:rsid w:val="00526AB0"/>
    <w:rsid w:val="0053008A"/>
    <w:rsid w:val="0053282A"/>
    <w:rsid w:val="005331D3"/>
    <w:rsid w:val="00533F09"/>
    <w:rsid w:val="00533FFB"/>
    <w:rsid w:val="00534468"/>
    <w:rsid w:val="00535837"/>
    <w:rsid w:val="0053637B"/>
    <w:rsid w:val="005379D3"/>
    <w:rsid w:val="0054415F"/>
    <w:rsid w:val="005441A1"/>
    <w:rsid w:val="005447DF"/>
    <w:rsid w:val="005457EF"/>
    <w:rsid w:val="00547C06"/>
    <w:rsid w:val="005511CA"/>
    <w:rsid w:val="005530FC"/>
    <w:rsid w:val="0055347C"/>
    <w:rsid w:val="0055395E"/>
    <w:rsid w:val="0055577F"/>
    <w:rsid w:val="0055625A"/>
    <w:rsid w:val="005620C4"/>
    <w:rsid w:val="00562100"/>
    <w:rsid w:val="00563321"/>
    <w:rsid w:val="00567ED1"/>
    <w:rsid w:val="00570035"/>
    <w:rsid w:val="0057215C"/>
    <w:rsid w:val="00572378"/>
    <w:rsid w:val="00572454"/>
    <w:rsid w:val="0057315E"/>
    <w:rsid w:val="00574B17"/>
    <w:rsid w:val="0057658C"/>
    <w:rsid w:val="005811ED"/>
    <w:rsid w:val="005815C0"/>
    <w:rsid w:val="005818D9"/>
    <w:rsid w:val="00583D03"/>
    <w:rsid w:val="00584AF3"/>
    <w:rsid w:val="00584EF3"/>
    <w:rsid w:val="005859AA"/>
    <w:rsid w:val="00585BD3"/>
    <w:rsid w:val="00586C9A"/>
    <w:rsid w:val="00587083"/>
    <w:rsid w:val="00587BF7"/>
    <w:rsid w:val="005900FC"/>
    <w:rsid w:val="00591077"/>
    <w:rsid w:val="00591DD6"/>
    <w:rsid w:val="00592BE7"/>
    <w:rsid w:val="00592DF4"/>
    <w:rsid w:val="0059349A"/>
    <w:rsid w:val="00593510"/>
    <w:rsid w:val="0059422F"/>
    <w:rsid w:val="005949A2"/>
    <w:rsid w:val="00595878"/>
    <w:rsid w:val="005961B8"/>
    <w:rsid w:val="005A2716"/>
    <w:rsid w:val="005A2C1C"/>
    <w:rsid w:val="005A451C"/>
    <w:rsid w:val="005A6DCC"/>
    <w:rsid w:val="005B3A92"/>
    <w:rsid w:val="005B4E1D"/>
    <w:rsid w:val="005B5282"/>
    <w:rsid w:val="005B6C96"/>
    <w:rsid w:val="005B7930"/>
    <w:rsid w:val="005C22C9"/>
    <w:rsid w:val="005C4BFB"/>
    <w:rsid w:val="005D0324"/>
    <w:rsid w:val="005D09F0"/>
    <w:rsid w:val="005D33AB"/>
    <w:rsid w:val="005E1277"/>
    <w:rsid w:val="005E3A08"/>
    <w:rsid w:val="005E5988"/>
    <w:rsid w:val="005E5E4A"/>
    <w:rsid w:val="005E6499"/>
    <w:rsid w:val="005F15B6"/>
    <w:rsid w:val="005F2989"/>
    <w:rsid w:val="005F2A16"/>
    <w:rsid w:val="005F49F3"/>
    <w:rsid w:val="005F5528"/>
    <w:rsid w:val="0060014C"/>
    <w:rsid w:val="00601D4A"/>
    <w:rsid w:val="00603EFD"/>
    <w:rsid w:val="00607595"/>
    <w:rsid w:val="00610FAF"/>
    <w:rsid w:val="00610FD0"/>
    <w:rsid w:val="006114F6"/>
    <w:rsid w:val="00611917"/>
    <w:rsid w:val="006125C5"/>
    <w:rsid w:val="00615F80"/>
    <w:rsid w:val="0061674B"/>
    <w:rsid w:val="00617F7B"/>
    <w:rsid w:val="0062236D"/>
    <w:rsid w:val="00622C18"/>
    <w:rsid w:val="006266EB"/>
    <w:rsid w:val="0062682E"/>
    <w:rsid w:val="00626E5E"/>
    <w:rsid w:val="00627B4F"/>
    <w:rsid w:val="00630318"/>
    <w:rsid w:val="00631D93"/>
    <w:rsid w:val="00631E72"/>
    <w:rsid w:val="00634BF6"/>
    <w:rsid w:val="00635DD4"/>
    <w:rsid w:val="006439BA"/>
    <w:rsid w:val="00643B32"/>
    <w:rsid w:val="00643E0B"/>
    <w:rsid w:val="006468A6"/>
    <w:rsid w:val="00646FB9"/>
    <w:rsid w:val="006505F4"/>
    <w:rsid w:val="00650A0A"/>
    <w:rsid w:val="0065293B"/>
    <w:rsid w:val="00652BF6"/>
    <w:rsid w:val="00652BFD"/>
    <w:rsid w:val="00655583"/>
    <w:rsid w:val="00661E1C"/>
    <w:rsid w:val="00663354"/>
    <w:rsid w:val="006655F1"/>
    <w:rsid w:val="0066617A"/>
    <w:rsid w:val="0067079E"/>
    <w:rsid w:val="006708C6"/>
    <w:rsid w:val="006716CE"/>
    <w:rsid w:val="006725B5"/>
    <w:rsid w:val="006745B4"/>
    <w:rsid w:val="006756EF"/>
    <w:rsid w:val="0067787F"/>
    <w:rsid w:val="006779B9"/>
    <w:rsid w:val="0068055D"/>
    <w:rsid w:val="00680C46"/>
    <w:rsid w:val="006819B3"/>
    <w:rsid w:val="00683D0A"/>
    <w:rsid w:val="0068404D"/>
    <w:rsid w:val="0068656F"/>
    <w:rsid w:val="006871C8"/>
    <w:rsid w:val="00687C0C"/>
    <w:rsid w:val="0069211D"/>
    <w:rsid w:val="00693C30"/>
    <w:rsid w:val="00694420"/>
    <w:rsid w:val="00695DD3"/>
    <w:rsid w:val="00697346"/>
    <w:rsid w:val="006A1C88"/>
    <w:rsid w:val="006A30CF"/>
    <w:rsid w:val="006A3F92"/>
    <w:rsid w:val="006A4D99"/>
    <w:rsid w:val="006A60E3"/>
    <w:rsid w:val="006B2700"/>
    <w:rsid w:val="006B5883"/>
    <w:rsid w:val="006B6053"/>
    <w:rsid w:val="006C0849"/>
    <w:rsid w:val="006C0D42"/>
    <w:rsid w:val="006C27C8"/>
    <w:rsid w:val="006C2A36"/>
    <w:rsid w:val="006C6ED0"/>
    <w:rsid w:val="006C74F2"/>
    <w:rsid w:val="006D2CB2"/>
    <w:rsid w:val="006D53EC"/>
    <w:rsid w:val="006D5907"/>
    <w:rsid w:val="006D7B04"/>
    <w:rsid w:val="006D7D20"/>
    <w:rsid w:val="006E1051"/>
    <w:rsid w:val="006E2711"/>
    <w:rsid w:val="006E3E3C"/>
    <w:rsid w:val="006E7DCC"/>
    <w:rsid w:val="006F0082"/>
    <w:rsid w:val="006F1E3B"/>
    <w:rsid w:val="006F2065"/>
    <w:rsid w:val="006F3575"/>
    <w:rsid w:val="006F7295"/>
    <w:rsid w:val="00703443"/>
    <w:rsid w:val="00704358"/>
    <w:rsid w:val="00705F6D"/>
    <w:rsid w:val="007072E9"/>
    <w:rsid w:val="00707656"/>
    <w:rsid w:val="00707B22"/>
    <w:rsid w:val="00713090"/>
    <w:rsid w:val="00713396"/>
    <w:rsid w:val="00713C36"/>
    <w:rsid w:val="00714DC2"/>
    <w:rsid w:val="00715380"/>
    <w:rsid w:val="00715632"/>
    <w:rsid w:val="00716012"/>
    <w:rsid w:val="00722368"/>
    <w:rsid w:val="00726F81"/>
    <w:rsid w:val="00727334"/>
    <w:rsid w:val="00733F2C"/>
    <w:rsid w:val="007361AD"/>
    <w:rsid w:val="00740DE8"/>
    <w:rsid w:val="00742BEC"/>
    <w:rsid w:val="0074467C"/>
    <w:rsid w:val="00745C50"/>
    <w:rsid w:val="00745ED2"/>
    <w:rsid w:val="00746487"/>
    <w:rsid w:val="00750022"/>
    <w:rsid w:val="00752BDA"/>
    <w:rsid w:val="007545E1"/>
    <w:rsid w:val="007554A7"/>
    <w:rsid w:val="00757D51"/>
    <w:rsid w:val="00762C0C"/>
    <w:rsid w:val="007631F6"/>
    <w:rsid w:val="00763D7D"/>
    <w:rsid w:val="007664B9"/>
    <w:rsid w:val="00767CB6"/>
    <w:rsid w:val="0077022A"/>
    <w:rsid w:val="00772499"/>
    <w:rsid w:val="0077295B"/>
    <w:rsid w:val="0077717F"/>
    <w:rsid w:val="00780BB9"/>
    <w:rsid w:val="00786E73"/>
    <w:rsid w:val="00787793"/>
    <w:rsid w:val="007904A4"/>
    <w:rsid w:val="0079498A"/>
    <w:rsid w:val="0079782A"/>
    <w:rsid w:val="007A0AF6"/>
    <w:rsid w:val="007A29FD"/>
    <w:rsid w:val="007A661C"/>
    <w:rsid w:val="007A6966"/>
    <w:rsid w:val="007B1801"/>
    <w:rsid w:val="007B1F74"/>
    <w:rsid w:val="007B3020"/>
    <w:rsid w:val="007B329A"/>
    <w:rsid w:val="007B347E"/>
    <w:rsid w:val="007B4FCE"/>
    <w:rsid w:val="007C1172"/>
    <w:rsid w:val="007C1B6D"/>
    <w:rsid w:val="007C2B83"/>
    <w:rsid w:val="007C5380"/>
    <w:rsid w:val="007C7F10"/>
    <w:rsid w:val="007D16DA"/>
    <w:rsid w:val="007D197E"/>
    <w:rsid w:val="007D30EA"/>
    <w:rsid w:val="007D3EF5"/>
    <w:rsid w:val="007D5900"/>
    <w:rsid w:val="007D5B8B"/>
    <w:rsid w:val="007E0D17"/>
    <w:rsid w:val="007E211E"/>
    <w:rsid w:val="007E4082"/>
    <w:rsid w:val="007E432B"/>
    <w:rsid w:val="007E484B"/>
    <w:rsid w:val="007E4DBE"/>
    <w:rsid w:val="007E5048"/>
    <w:rsid w:val="007E5359"/>
    <w:rsid w:val="007E6A67"/>
    <w:rsid w:val="007F0418"/>
    <w:rsid w:val="007F3873"/>
    <w:rsid w:val="007F5A1A"/>
    <w:rsid w:val="00801B45"/>
    <w:rsid w:val="00806C84"/>
    <w:rsid w:val="00807653"/>
    <w:rsid w:val="00814B1C"/>
    <w:rsid w:val="008150E2"/>
    <w:rsid w:val="00817EA7"/>
    <w:rsid w:val="00821D11"/>
    <w:rsid w:val="00822633"/>
    <w:rsid w:val="00822BE7"/>
    <w:rsid w:val="0082375E"/>
    <w:rsid w:val="00824945"/>
    <w:rsid w:val="0082546A"/>
    <w:rsid w:val="00826435"/>
    <w:rsid w:val="00830CC2"/>
    <w:rsid w:val="00831391"/>
    <w:rsid w:val="0083440B"/>
    <w:rsid w:val="00840EAF"/>
    <w:rsid w:val="0084365C"/>
    <w:rsid w:val="00843D00"/>
    <w:rsid w:val="008442E2"/>
    <w:rsid w:val="008471B0"/>
    <w:rsid w:val="0084739D"/>
    <w:rsid w:val="00847667"/>
    <w:rsid w:val="00847F62"/>
    <w:rsid w:val="00851CA8"/>
    <w:rsid w:val="008523A7"/>
    <w:rsid w:val="0085739F"/>
    <w:rsid w:val="00857A30"/>
    <w:rsid w:val="00857A3D"/>
    <w:rsid w:val="00860444"/>
    <w:rsid w:val="00861A7C"/>
    <w:rsid w:val="00861B4B"/>
    <w:rsid w:val="008663E8"/>
    <w:rsid w:val="00866941"/>
    <w:rsid w:val="0086724B"/>
    <w:rsid w:val="008723F3"/>
    <w:rsid w:val="00873538"/>
    <w:rsid w:val="00873A64"/>
    <w:rsid w:val="00873BC2"/>
    <w:rsid w:val="008761F9"/>
    <w:rsid w:val="00877595"/>
    <w:rsid w:val="00881036"/>
    <w:rsid w:val="0088424D"/>
    <w:rsid w:val="00884AF1"/>
    <w:rsid w:val="00884D11"/>
    <w:rsid w:val="0088539F"/>
    <w:rsid w:val="008869AA"/>
    <w:rsid w:val="00895E12"/>
    <w:rsid w:val="00895F6E"/>
    <w:rsid w:val="0089613A"/>
    <w:rsid w:val="00897C1B"/>
    <w:rsid w:val="008A070F"/>
    <w:rsid w:val="008A0AB8"/>
    <w:rsid w:val="008A0E65"/>
    <w:rsid w:val="008A2A1F"/>
    <w:rsid w:val="008A2FCE"/>
    <w:rsid w:val="008A3017"/>
    <w:rsid w:val="008A70FA"/>
    <w:rsid w:val="008B0B9E"/>
    <w:rsid w:val="008B12E8"/>
    <w:rsid w:val="008B1D1F"/>
    <w:rsid w:val="008B2694"/>
    <w:rsid w:val="008B660E"/>
    <w:rsid w:val="008C0A67"/>
    <w:rsid w:val="008C1B12"/>
    <w:rsid w:val="008C3719"/>
    <w:rsid w:val="008C5F0B"/>
    <w:rsid w:val="008C78D9"/>
    <w:rsid w:val="008D0B49"/>
    <w:rsid w:val="008D2CA9"/>
    <w:rsid w:val="008D43BA"/>
    <w:rsid w:val="008D62A6"/>
    <w:rsid w:val="008E0F4D"/>
    <w:rsid w:val="008E12FD"/>
    <w:rsid w:val="008E36F7"/>
    <w:rsid w:val="008E5B72"/>
    <w:rsid w:val="008E66CE"/>
    <w:rsid w:val="008E724A"/>
    <w:rsid w:val="008F0EA6"/>
    <w:rsid w:val="008F1AEF"/>
    <w:rsid w:val="008F3B76"/>
    <w:rsid w:val="0090049C"/>
    <w:rsid w:val="00901884"/>
    <w:rsid w:val="0090276B"/>
    <w:rsid w:val="00904BB9"/>
    <w:rsid w:val="009113D1"/>
    <w:rsid w:val="0091167D"/>
    <w:rsid w:val="00911D50"/>
    <w:rsid w:val="00912B87"/>
    <w:rsid w:val="00913DE9"/>
    <w:rsid w:val="009157AE"/>
    <w:rsid w:val="00917771"/>
    <w:rsid w:val="0092038B"/>
    <w:rsid w:val="00920829"/>
    <w:rsid w:val="009218A8"/>
    <w:rsid w:val="00921D82"/>
    <w:rsid w:val="0092396C"/>
    <w:rsid w:val="00924519"/>
    <w:rsid w:val="009347D4"/>
    <w:rsid w:val="00935C32"/>
    <w:rsid w:val="00936223"/>
    <w:rsid w:val="00940C94"/>
    <w:rsid w:val="00944006"/>
    <w:rsid w:val="009451C6"/>
    <w:rsid w:val="00950EDF"/>
    <w:rsid w:val="009534B4"/>
    <w:rsid w:val="00953B5B"/>
    <w:rsid w:val="0096073A"/>
    <w:rsid w:val="00962C17"/>
    <w:rsid w:val="00963C5E"/>
    <w:rsid w:val="00963E5F"/>
    <w:rsid w:val="00963E75"/>
    <w:rsid w:val="00965BA4"/>
    <w:rsid w:val="009734CB"/>
    <w:rsid w:val="0097587A"/>
    <w:rsid w:val="00976981"/>
    <w:rsid w:val="0097744E"/>
    <w:rsid w:val="009800FA"/>
    <w:rsid w:val="00980C55"/>
    <w:rsid w:val="00981BCA"/>
    <w:rsid w:val="009832D0"/>
    <w:rsid w:val="00983538"/>
    <w:rsid w:val="009843A8"/>
    <w:rsid w:val="009906B5"/>
    <w:rsid w:val="00990BCA"/>
    <w:rsid w:val="00990CB2"/>
    <w:rsid w:val="00993BD8"/>
    <w:rsid w:val="0099663A"/>
    <w:rsid w:val="00996C90"/>
    <w:rsid w:val="009A05DB"/>
    <w:rsid w:val="009A1F2C"/>
    <w:rsid w:val="009A2E45"/>
    <w:rsid w:val="009A3026"/>
    <w:rsid w:val="009A3B5B"/>
    <w:rsid w:val="009A5117"/>
    <w:rsid w:val="009A522E"/>
    <w:rsid w:val="009A6C26"/>
    <w:rsid w:val="009B0D3B"/>
    <w:rsid w:val="009B1CF1"/>
    <w:rsid w:val="009B2144"/>
    <w:rsid w:val="009B53E2"/>
    <w:rsid w:val="009B6441"/>
    <w:rsid w:val="009B7AFA"/>
    <w:rsid w:val="009C0F66"/>
    <w:rsid w:val="009C2338"/>
    <w:rsid w:val="009C2673"/>
    <w:rsid w:val="009C447E"/>
    <w:rsid w:val="009C4DDE"/>
    <w:rsid w:val="009C6F53"/>
    <w:rsid w:val="009C7016"/>
    <w:rsid w:val="009D09BA"/>
    <w:rsid w:val="009D1C99"/>
    <w:rsid w:val="009D2744"/>
    <w:rsid w:val="009D3183"/>
    <w:rsid w:val="009D3DA8"/>
    <w:rsid w:val="009D583C"/>
    <w:rsid w:val="009D6711"/>
    <w:rsid w:val="009D7553"/>
    <w:rsid w:val="009D76D6"/>
    <w:rsid w:val="009E384E"/>
    <w:rsid w:val="009E3921"/>
    <w:rsid w:val="009E3D51"/>
    <w:rsid w:val="009E409B"/>
    <w:rsid w:val="009E744B"/>
    <w:rsid w:val="009F0017"/>
    <w:rsid w:val="009F456B"/>
    <w:rsid w:val="009F4909"/>
    <w:rsid w:val="009F7DCE"/>
    <w:rsid w:val="00A02DBB"/>
    <w:rsid w:val="00A04940"/>
    <w:rsid w:val="00A0743C"/>
    <w:rsid w:val="00A07525"/>
    <w:rsid w:val="00A07F23"/>
    <w:rsid w:val="00A11557"/>
    <w:rsid w:val="00A115D3"/>
    <w:rsid w:val="00A115F3"/>
    <w:rsid w:val="00A12560"/>
    <w:rsid w:val="00A14684"/>
    <w:rsid w:val="00A15952"/>
    <w:rsid w:val="00A1638B"/>
    <w:rsid w:val="00A2045C"/>
    <w:rsid w:val="00A20C10"/>
    <w:rsid w:val="00A21168"/>
    <w:rsid w:val="00A213D6"/>
    <w:rsid w:val="00A218F2"/>
    <w:rsid w:val="00A23BEF"/>
    <w:rsid w:val="00A240A7"/>
    <w:rsid w:val="00A338AE"/>
    <w:rsid w:val="00A33DE8"/>
    <w:rsid w:val="00A40848"/>
    <w:rsid w:val="00A41BA3"/>
    <w:rsid w:val="00A52DF1"/>
    <w:rsid w:val="00A53DBB"/>
    <w:rsid w:val="00A54079"/>
    <w:rsid w:val="00A5478B"/>
    <w:rsid w:val="00A5533C"/>
    <w:rsid w:val="00A56D46"/>
    <w:rsid w:val="00A62E00"/>
    <w:rsid w:val="00A63C13"/>
    <w:rsid w:val="00A64327"/>
    <w:rsid w:val="00A721F8"/>
    <w:rsid w:val="00A74FFC"/>
    <w:rsid w:val="00A77D0C"/>
    <w:rsid w:val="00A80F7C"/>
    <w:rsid w:val="00A81977"/>
    <w:rsid w:val="00A84AEE"/>
    <w:rsid w:val="00A852F3"/>
    <w:rsid w:val="00A85788"/>
    <w:rsid w:val="00A86BE4"/>
    <w:rsid w:val="00A8765C"/>
    <w:rsid w:val="00A87DD9"/>
    <w:rsid w:val="00A952FC"/>
    <w:rsid w:val="00A96AA3"/>
    <w:rsid w:val="00A96E4E"/>
    <w:rsid w:val="00A97F08"/>
    <w:rsid w:val="00AA02D1"/>
    <w:rsid w:val="00AA159D"/>
    <w:rsid w:val="00AA25C5"/>
    <w:rsid w:val="00AA2C17"/>
    <w:rsid w:val="00AA2FAF"/>
    <w:rsid w:val="00AA349D"/>
    <w:rsid w:val="00AA38CA"/>
    <w:rsid w:val="00AA535E"/>
    <w:rsid w:val="00AB2F1F"/>
    <w:rsid w:val="00AB4139"/>
    <w:rsid w:val="00AB4F5B"/>
    <w:rsid w:val="00AB5706"/>
    <w:rsid w:val="00AC1BE0"/>
    <w:rsid w:val="00AC268E"/>
    <w:rsid w:val="00AC2BAD"/>
    <w:rsid w:val="00AC307F"/>
    <w:rsid w:val="00AC3F41"/>
    <w:rsid w:val="00AC5328"/>
    <w:rsid w:val="00AC5F84"/>
    <w:rsid w:val="00AC735D"/>
    <w:rsid w:val="00AD1C12"/>
    <w:rsid w:val="00AD1E19"/>
    <w:rsid w:val="00AD2850"/>
    <w:rsid w:val="00AD4098"/>
    <w:rsid w:val="00AD4110"/>
    <w:rsid w:val="00AD7156"/>
    <w:rsid w:val="00AD7D40"/>
    <w:rsid w:val="00AE3194"/>
    <w:rsid w:val="00AE4A68"/>
    <w:rsid w:val="00AE7314"/>
    <w:rsid w:val="00AF25AB"/>
    <w:rsid w:val="00AF31E4"/>
    <w:rsid w:val="00AF58BA"/>
    <w:rsid w:val="00AF6567"/>
    <w:rsid w:val="00B01C3D"/>
    <w:rsid w:val="00B02DDA"/>
    <w:rsid w:val="00B02EC8"/>
    <w:rsid w:val="00B055A8"/>
    <w:rsid w:val="00B06D92"/>
    <w:rsid w:val="00B109C1"/>
    <w:rsid w:val="00B133DF"/>
    <w:rsid w:val="00B20B4E"/>
    <w:rsid w:val="00B21231"/>
    <w:rsid w:val="00B214A9"/>
    <w:rsid w:val="00B21F7C"/>
    <w:rsid w:val="00B22796"/>
    <w:rsid w:val="00B23A20"/>
    <w:rsid w:val="00B24A1F"/>
    <w:rsid w:val="00B25D9F"/>
    <w:rsid w:val="00B30883"/>
    <w:rsid w:val="00B31183"/>
    <w:rsid w:val="00B313F1"/>
    <w:rsid w:val="00B339CF"/>
    <w:rsid w:val="00B34690"/>
    <w:rsid w:val="00B34B5E"/>
    <w:rsid w:val="00B354EA"/>
    <w:rsid w:val="00B36DE6"/>
    <w:rsid w:val="00B36F1A"/>
    <w:rsid w:val="00B40466"/>
    <w:rsid w:val="00B41A62"/>
    <w:rsid w:val="00B41E09"/>
    <w:rsid w:val="00B4395C"/>
    <w:rsid w:val="00B45B74"/>
    <w:rsid w:val="00B45C67"/>
    <w:rsid w:val="00B45FD2"/>
    <w:rsid w:val="00B53FCD"/>
    <w:rsid w:val="00B54B76"/>
    <w:rsid w:val="00B55E13"/>
    <w:rsid w:val="00B5773D"/>
    <w:rsid w:val="00B6019C"/>
    <w:rsid w:val="00B62CA5"/>
    <w:rsid w:val="00B631C5"/>
    <w:rsid w:val="00B64751"/>
    <w:rsid w:val="00B64969"/>
    <w:rsid w:val="00B64DEE"/>
    <w:rsid w:val="00B67322"/>
    <w:rsid w:val="00B70116"/>
    <w:rsid w:val="00B704AE"/>
    <w:rsid w:val="00B70901"/>
    <w:rsid w:val="00B73F0C"/>
    <w:rsid w:val="00B7414A"/>
    <w:rsid w:val="00B75AEB"/>
    <w:rsid w:val="00B8070D"/>
    <w:rsid w:val="00B828C1"/>
    <w:rsid w:val="00B83116"/>
    <w:rsid w:val="00B8404C"/>
    <w:rsid w:val="00B8452E"/>
    <w:rsid w:val="00B85BEE"/>
    <w:rsid w:val="00B863FE"/>
    <w:rsid w:val="00B92C76"/>
    <w:rsid w:val="00B94683"/>
    <w:rsid w:val="00B95782"/>
    <w:rsid w:val="00B95AD6"/>
    <w:rsid w:val="00BA0827"/>
    <w:rsid w:val="00BA17D4"/>
    <w:rsid w:val="00BA3E0F"/>
    <w:rsid w:val="00BA5BE7"/>
    <w:rsid w:val="00BA65CD"/>
    <w:rsid w:val="00BB1747"/>
    <w:rsid w:val="00BB2349"/>
    <w:rsid w:val="00BB482C"/>
    <w:rsid w:val="00BB5299"/>
    <w:rsid w:val="00BB7753"/>
    <w:rsid w:val="00BB7FFA"/>
    <w:rsid w:val="00BC0652"/>
    <w:rsid w:val="00BC2D19"/>
    <w:rsid w:val="00BC4CB7"/>
    <w:rsid w:val="00BC4E9D"/>
    <w:rsid w:val="00BC6335"/>
    <w:rsid w:val="00BD01AB"/>
    <w:rsid w:val="00BD06AC"/>
    <w:rsid w:val="00BD378D"/>
    <w:rsid w:val="00BD7A5D"/>
    <w:rsid w:val="00BE0231"/>
    <w:rsid w:val="00BE071C"/>
    <w:rsid w:val="00BE0F61"/>
    <w:rsid w:val="00BE2DB4"/>
    <w:rsid w:val="00BE39EF"/>
    <w:rsid w:val="00BE4199"/>
    <w:rsid w:val="00BE545D"/>
    <w:rsid w:val="00BE57CE"/>
    <w:rsid w:val="00BE5C90"/>
    <w:rsid w:val="00BE5D5F"/>
    <w:rsid w:val="00BE6685"/>
    <w:rsid w:val="00BE6795"/>
    <w:rsid w:val="00BF0515"/>
    <w:rsid w:val="00BF0F33"/>
    <w:rsid w:val="00BF33BB"/>
    <w:rsid w:val="00BF4C81"/>
    <w:rsid w:val="00BF75D4"/>
    <w:rsid w:val="00C00936"/>
    <w:rsid w:val="00C00E24"/>
    <w:rsid w:val="00C01177"/>
    <w:rsid w:val="00C03D49"/>
    <w:rsid w:val="00C04BC8"/>
    <w:rsid w:val="00C05571"/>
    <w:rsid w:val="00C07BEE"/>
    <w:rsid w:val="00C1214F"/>
    <w:rsid w:val="00C20242"/>
    <w:rsid w:val="00C23BEF"/>
    <w:rsid w:val="00C241DA"/>
    <w:rsid w:val="00C25D8F"/>
    <w:rsid w:val="00C3012F"/>
    <w:rsid w:val="00C303C3"/>
    <w:rsid w:val="00C331BE"/>
    <w:rsid w:val="00C33D2E"/>
    <w:rsid w:val="00C33D7E"/>
    <w:rsid w:val="00C341EB"/>
    <w:rsid w:val="00C34EC3"/>
    <w:rsid w:val="00C352F6"/>
    <w:rsid w:val="00C364D7"/>
    <w:rsid w:val="00C40FC4"/>
    <w:rsid w:val="00C50CF3"/>
    <w:rsid w:val="00C52DA0"/>
    <w:rsid w:val="00C5580C"/>
    <w:rsid w:val="00C5624A"/>
    <w:rsid w:val="00C578A0"/>
    <w:rsid w:val="00C57C57"/>
    <w:rsid w:val="00C61E2A"/>
    <w:rsid w:val="00C629F2"/>
    <w:rsid w:val="00C64E66"/>
    <w:rsid w:val="00C650D2"/>
    <w:rsid w:val="00C6655F"/>
    <w:rsid w:val="00C67B4F"/>
    <w:rsid w:val="00C71A4C"/>
    <w:rsid w:val="00C71E28"/>
    <w:rsid w:val="00C7329A"/>
    <w:rsid w:val="00C7462C"/>
    <w:rsid w:val="00C758C8"/>
    <w:rsid w:val="00C766E2"/>
    <w:rsid w:val="00C807EF"/>
    <w:rsid w:val="00C82355"/>
    <w:rsid w:val="00C825BD"/>
    <w:rsid w:val="00C83EE5"/>
    <w:rsid w:val="00C847B2"/>
    <w:rsid w:val="00C84AD2"/>
    <w:rsid w:val="00C87E68"/>
    <w:rsid w:val="00C908B9"/>
    <w:rsid w:val="00C927D5"/>
    <w:rsid w:val="00C92DE6"/>
    <w:rsid w:val="00C92E8A"/>
    <w:rsid w:val="00C94D19"/>
    <w:rsid w:val="00C961A4"/>
    <w:rsid w:val="00C9715E"/>
    <w:rsid w:val="00CA1ACB"/>
    <w:rsid w:val="00CA3471"/>
    <w:rsid w:val="00CA384B"/>
    <w:rsid w:val="00CA3DB7"/>
    <w:rsid w:val="00CA4CE9"/>
    <w:rsid w:val="00CA581D"/>
    <w:rsid w:val="00CA5A80"/>
    <w:rsid w:val="00CB0600"/>
    <w:rsid w:val="00CB23F1"/>
    <w:rsid w:val="00CB3721"/>
    <w:rsid w:val="00CB377F"/>
    <w:rsid w:val="00CB5CA6"/>
    <w:rsid w:val="00CB6934"/>
    <w:rsid w:val="00CB6AEE"/>
    <w:rsid w:val="00CB7524"/>
    <w:rsid w:val="00CB75C8"/>
    <w:rsid w:val="00CC1D7D"/>
    <w:rsid w:val="00CC20CC"/>
    <w:rsid w:val="00CC2155"/>
    <w:rsid w:val="00CC3F07"/>
    <w:rsid w:val="00CC5E7A"/>
    <w:rsid w:val="00CC6770"/>
    <w:rsid w:val="00CD3FF2"/>
    <w:rsid w:val="00CD4A95"/>
    <w:rsid w:val="00CD6531"/>
    <w:rsid w:val="00CE0717"/>
    <w:rsid w:val="00CE303D"/>
    <w:rsid w:val="00CF0DB9"/>
    <w:rsid w:val="00CF16DC"/>
    <w:rsid w:val="00CF3960"/>
    <w:rsid w:val="00CF45C9"/>
    <w:rsid w:val="00D02E91"/>
    <w:rsid w:val="00D04D0D"/>
    <w:rsid w:val="00D066E0"/>
    <w:rsid w:val="00D07403"/>
    <w:rsid w:val="00D1014A"/>
    <w:rsid w:val="00D13CA6"/>
    <w:rsid w:val="00D23221"/>
    <w:rsid w:val="00D23853"/>
    <w:rsid w:val="00D23EBF"/>
    <w:rsid w:val="00D252A8"/>
    <w:rsid w:val="00D2619F"/>
    <w:rsid w:val="00D262E5"/>
    <w:rsid w:val="00D26F7B"/>
    <w:rsid w:val="00D27475"/>
    <w:rsid w:val="00D3018B"/>
    <w:rsid w:val="00D3137C"/>
    <w:rsid w:val="00D31722"/>
    <w:rsid w:val="00D31958"/>
    <w:rsid w:val="00D3213F"/>
    <w:rsid w:val="00D32F04"/>
    <w:rsid w:val="00D34CD8"/>
    <w:rsid w:val="00D35A45"/>
    <w:rsid w:val="00D36FDF"/>
    <w:rsid w:val="00D37F38"/>
    <w:rsid w:val="00D40940"/>
    <w:rsid w:val="00D40D23"/>
    <w:rsid w:val="00D433B5"/>
    <w:rsid w:val="00D436D3"/>
    <w:rsid w:val="00D43E01"/>
    <w:rsid w:val="00D456AD"/>
    <w:rsid w:val="00D45D66"/>
    <w:rsid w:val="00D45FC5"/>
    <w:rsid w:val="00D46865"/>
    <w:rsid w:val="00D50F34"/>
    <w:rsid w:val="00D51DD1"/>
    <w:rsid w:val="00D5587E"/>
    <w:rsid w:val="00D55DD9"/>
    <w:rsid w:val="00D55E39"/>
    <w:rsid w:val="00D56B83"/>
    <w:rsid w:val="00D57866"/>
    <w:rsid w:val="00D6003A"/>
    <w:rsid w:val="00D61587"/>
    <w:rsid w:val="00D61A93"/>
    <w:rsid w:val="00D637F9"/>
    <w:rsid w:val="00D641A0"/>
    <w:rsid w:val="00D64D12"/>
    <w:rsid w:val="00D65F8E"/>
    <w:rsid w:val="00D66747"/>
    <w:rsid w:val="00D727D4"/>
    <w:rsid w:val="00D728AF"/>
    <w:rsid w:val="00D72B17"/>
    <w:rsid w:val="00D74B7D"/>
    <w:rsid w:val="00D75209"/>
    <w:rsid w:val="00D765A6"/>
    <w:rsid w:val="00D771EA"/>
    <w:rsid w:val="00D808C2"/>
    <w:rsid w:val="00D81A5C"/>
    <w:rsid w:val="00D83072"/>
    <w:rsid w:val="00D83C6D"/>
    <w:rsid w:val="00D850A2"/>
    <w:rsid w:val="00D87631"/>
    <w:rsid w:val="00D92418"/>
    <w:rsid w:val="00D9335D"/>
    <w:rsid w:val="00D9356E"/>
    <w:rsid w:val="00D93909"/>
    <w:rsid w:val="00D97AA2"/>
    <w:rsid w:val="00DA2D28"/>
    <w:rsid w:val="00DA355D"/>
    <w:rsid w:val="00DB00F8"/>
    <w:rsid w:val="00DB2EFF"/>
    <w:rsid w:val="00DB4DF0"/>
    <w:rsid w:val="00DB4F48"/>
    <w:rsid w:val="00DB51D9"/>
    <w:rsid w:val="00DB6D2D"/>
    <w:rsid w:val="00DB6F41"/>
    <w:rsid w:val="00DC0951"/>
    <w:rsid w:val="00DC1962"/>
    <w:rsid w:val="00DC223E"/>
    <w:rsid w:val="00DC2D26"/>
    <w:rsid w:val="00DC3040"/>
    <w:rsid w:val="00DC4F65"/>
    <w:rsid w:val="00DC71F7"/>
    <w:rsid w:val="00DD0380"/>
    <w:rsid w:val="00DD2155"/>
    <w:rsid w:val="00DD348B"/>
    <w:rsid w:val="00DD4278"/>
    <w:rsid w:val="00DD7428"/>
    <w:rsid w:val="00DE05E3"/>
    <w:rsid w:val="00DE1E44"/>
    <w:rsid w:val="00DE2120"/>
    <w:rsid w:val="00DE5620"/>
    <w:rsid w:val="00DE5854"/>
    <w:rsid w:val="00DE60E0"/>
    <w:rsid w:val="00DE70BB"/>
    <w:rsid w:val="00DE7487"/>
    <w:rsid w:val="00DF1077"/>
    <w:rsid w:val="00DF1216"/>
    <w:rsid w:val="00DF13B8"/>
    <w:rsid w:val="00DF2094"/>
    <w:rsid w:val="00DF3DDD"/>
    <w:rsid w:val="00DF7B97"/>
    <w:rsid w:val="00E00F50"/>
    <w:rsid w:val="00E02117"/>
    <w:rsid w:val="00E025A2"/>
    <w:rsid w:val="00E0460E"/>
    <w:rsid w:val="00E0501C"/>
    <w:rsid w:val="00E05132"/>
    <w:rsid w:val="00E141A8"/>
    <w:rsid w:val="00E142B4"/>
    <w:rsid w:val="00E14DFB"/>
    <w:rsid w:val="00E15672"/>
    <w:rsid w:val="00E16CD9"/>
    <w:rsid w:val="00E2034F"/>
    <w:rsid w:val="00E20994"/>
    <w:rsid w:val="00E20ADB"/>
    <w:rsid w:val="00E2775D"/>
    <w:rsid w:val="00E303C7"/>
    <w:rsid w:val="00E30599"/>
    <w:rsid w:val="00E3761F"/>
    <w:rsid w:val="00E40A4B"/>
    <w:rsid w:val="00E4188A"/>
    <w:rsid w:val="00E4292F"/>
    <w:rsid w:val="00E433B1"/>
    <w:rsid w:val="00E436A0"/>
    <w:rsid w:val="00E43B66"/>
    <w:rsid w:val="00E44296"/>
    <w:rsid w:val="00E4659E"/>
    <w:rsid w:val="00E51B67"/>
    <w:rsid w:val="00E56839"/>
    <w:rsid w:val="00E6194A"/>
    <w:rsid w:val="00E63968"/>
    <w:rsid w:val="00E63AA8"/>
    <w:rsid w:val="00E641F0"/>
    <w:rsid w:val="00E65757"/>
    <w:rsid w:val="00E70B54"/>
    <w:rsid w:val="00E70D4B"/>
    <w:rsid w:val="00E716C4"/>
    <w:rsid w:val="00E72EB3"/>
    <w:rsid w:val="00E76828"/>
    <w:rsid w:val="00E806FE"/>
    <w:rsid w:val="00E818CB"/>
    <w:rsid w:val="00E8215F"/>
    <w:rsid w:val="00E8313D"/>
    <w:rsid w:val="00E8422C"/>
    <w:rsid w:val="00E8621F"/>
    <w:rsid w:val="00E912D7"/>
    <w:rsid w:val="00E91C37"/>
    <w:rsid w:val="00E9225C"/>
    <w:rsid w:val="00E9234E"/>
    <w:rsid w:val="00E92783"/>
    <w:rsid w:val="00E92F8C"/>
    <w:rsid w:val="00E941AA"/>
    <w:rsid w:val="00E94561"/>
    <w:rsid w:val="00E96621"/>
    <w:rsid w:val="00E972B0"/>
    <w:rsid w:val="00E97D77"/>
    <w:rsid w:val="00EA0C3C"/>
    <w:rsid w:val="00EA15EA"/>
    <w:rsid w:val="00EA369E"/>
    <w:rsid w:val="00EA3E07"/>
    <w:rsid w:val="00EA6BE3"/>
    <w:rsid w:val="00EA77B2"/>
    <w:rsid w:val="00EB1A60"/>
    <w:rsid w:val="00EB249B"/>
    <w:rsid w:val="00EB3D93"/>
    <w:rsid w:val="00EB58C3"/>
    <w:rsid w:val="00EC002E"/>
    <w:rsid w:val="00EC1D00"/>
    <w:rsid w:val="00EC3490"/>
    <w:rsid w:val="00EC487D"/>
    <w:rsid w:val="00EC505F"/>
    <w:rsid w:val="00EC55E6"/>
    <w:rsid w:val="00EC6F34"/>
    <w:rsid w:val="00EC7095"/>
    <w:rsid w:val="00EC7F75"/>
    <w:rsid w:val="00ED1E1D"/>
    <w:rsid w:val="00ED26F7"/>
    <w:rsid w:val="00ED2768"/>
    <w:rsid w:val="00ED2B5A"/>
    <w:rsid w:val="00ED560B"/>
    <w:rsid w:val="00EE0CA1"/>
    <w:rsid w:val="00EE0D04"/>
    <w:rsid w:val="00EE11BB"/>
    <w:rsid w:val="00EE2A4A"/>
    <w:rsid w:val="00EE2FEC"/>
    <w:rsid w:val="00EE439D"/>
    <w:rsid w:val="00EE5113"/>
    <w:rsid w:val="00EE63D1"/>
    <w:rsid w:val="00EF58E5"/>
    <w:rsid w:val="00EF689F"/>
    <w:rsid w:val="00F00B1C"/>
    <w:rsid w:val="00F01A7F"/>
    <w:rsid w:val="00F0521A"/>
    <w:rsid w:val="00F10E97"/>
    <w:rsid w:val="00F161CA"/>
    <w:rsid w:val="00F1680C"/>
    <w:rsid w:val="00F17AAD"/>
    <w:rsid w:val="00F2248F"/>
    <w:rsid w:val="00F229DA"/>
    <w:rsid w:val="00F24E43"/>
    <w:rsid w:val="00F26638"/>
    <w:rsid w:val="00F3225B"/>
    <w:rsid w:val="00F33E54"/>
    <w:rsid w:val="00F36075"/>
    <w:rsid w:val="00F367D2"/>
    <w:rsid w:val="00F37A88"/>
    <w:rsid w:val="00F40DFE"/>
    <w:rsid w:val="00F40FE7"/>
    <w:rsid w:val="00F41344"/>
    <w:rsid w:val="00F426E1"/>
    <w:rsid w:val="00F42884"/>
    <w:rsid w:val="00F42FD5"/>
    <w:rsid w:val="00F44ABB"/>
    <w:rsid w:val="00F456B6"/>
    <w:rsid w:val="00F45D34"/>
    <w:rsid w:val="00F46303"/>
    <w:rsid w:val="00F46CEA"/>
    <w:rsid w:val="00F46D3E"/>
    <w:rsid w:val="00F47B97"/>
    <w:rsid w:val="00F50F9C"/>
    <w:rsid w:val="00F515F4"/>
    <w:rsid w:val="00F5343E"/>
    <w:rsid w:val="00F54BE6"/>
    <w:rsid w:val="00F5671F"/>
    <w:rsid w:val="00F61DEF"/>
    <w:rsid w:val="00F62961"/>
    <w:rsid w:val="00F62E51"/>
    <w:rsid w:val="00F62F84"/>
    <w:rsid w:val="00F6338E"/>
    <w:rsid w:val="00F635D3"/>
    <w:rsid w:val="00F64763"/>
    <w:rsid w:val="00F71FCC"/>
    <w:rsid w:val="00F725BA"/>
    <w:rsid w:val="00F74A6B"/>
    <w:rsid w:val="00F75AE2"/>
    <w:rsid w:val="00F75F89"/>
    <w:rsid w:val="00F770B5"/>
    <w:rsid w:val="00F80D6E"/>
    <w:rsid w:val="00F80ED9"/>
    <w:rsid w:val="00F80FB0"/>
    <w:rsid w:val="00F8107B"/>
    <w:rsid w:val="00F8166C"/>
    <w:rsid w:val="00F82C6A"/>
    <w:rsid w:val="00F832DF"/>
    <w:rsid w:val="00F87D60"/>
    <w:rsid w:val="00F919A4"/>
    <w:rsid w:val="00F92930"/>
    <w:rsid w:val="00F95F64"/>
    <w:rsid w:val="00F97C54"/>
    <w:rsid w:val="00FA159B"/>
    <w:rsid w:val="00FA3A0B"/>
    <w:rsid w:val="00FA3D25"/>
    <w:rsid w:val="00FA4C74"/>
    <w:rsid w:val="00FA542D"/>
    <w:rsid w:val="00FA5836"/>
    <w:rsid w:val="00FA6AE8"/>
    <w:rsid w:val="00FA6E8A"/>
    <w:rsid w:val="00FA71A3"/>
    <w:rsid w:val="00FB2529"/>
    <w:rsid w:val="00FB4084"/>
    <w:rsid w:val="00FB542A"/>
    <w:rsid w:val="00FC0563"/>
    <w:rsid w:val="00FC2156"/>
    <w:rsid w:val="00FC4E5B"/>
    <w:rsid w:val="00FC6755"/>
    <w:rsid w:val="00FD147E"/>
    <w:rsid w:val="00FD198D"/>
    <w:rsid w:val="00FD1B11"/>
    <w:rsid w:val="00FD4C10"/>
    <w:rsid w:val="00FD519C"/>
    <w:rsid w:val="00FE0F2A"/>
    <w:rsid w:val="00FE16B4"/>
    <w:rsid w:val="00FE3691"/>
    <w:rsid w:val="00FF1392"/>
    <w:rsid w:val="00FF42BC"/>
    <w:rsid w:val="00FF4B1A"/>
    <w:rsid w:val="00FF533C"/>
    <w:rsid w:val="00FF5B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B845F"/>
  <w15:docId w15:val="{389CF9B9-BD7A-4901-865B-FF917C51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E"/>
  </w:style>
  <w:style w:type="paragraph" w:styleId="Heading1">
    <w:name w:val="heading 1"/>
    <w:basedOn w:val="Normal"/>
    <w:next w:val="Normal"/>
    <w:link w:val="Heading1Char"/>
    <w:uiPriority w:val="9"/>
    <w:qFormat/>
    <w:rsid w:val="00D468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68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0FB0"/>
    <w:pPr>
      <w:keepNext/>
      <w:keepLines/>
      <w:spacing w:before="40" w:after="0"/>
      <w:outlineLvl w:val="2"/>
    </w:pPr>
    <w:rPr>
      <w:rFonts w:asciiTheme="majorHAnsi" w:eastAsiaTheme="majorEastAsia" w:hAnsiTheme="majorHAnsi" w:cstheme="majorBidi"/>
      <w:color w:val="0070C0"/>
      <w:sz w:val="24"/>
      <w:szCs w:val="24"/>
    </w:rPr>
  </w:style>
  <w:style w:type="paragraph" w:styleId="Heading4">
    <w:name w:val="heading 4"/>
    <w:basedOn w:val="Normal"/>
    <w:next w:val="Normal"/>
    <w:link w:val="Heading4Char"/>
    <w:uiPriority w:val="9"/>
    <w:unhideWhenUsed/>
    <w:qFormat/>
    <w:rsid w:val="000C6E9A"/>
    <w:pPr>
      <w:keepNext/>
      <w:keepLines/>
      <w:spacing w:before="40" w:after="0" w:line="360" w:lineRule="auto"/>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16DD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016DD4"/>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016DD4"/>
    <w:rPr>
      <w:vertAlign w:val="superscript"/>
    </w:rPr>
  </w:style>
  <w:style w:type="paragraph" w:styleId="Header">
    <w:name w:val="header"/>
    <w:basedOn w:val="Normal"/>
    <w:link w:val="HeaderChar"/>
    <w:uiPriority w:val="99"/>
    <w:unhideWhenUsed/>
    <w:rsid w:val="00016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DD4"/>
  </w:style>
  <w:style w:type="paragraph" w:styleId="Footer">
    <w:name w:val="footer"/>
    <w:basedOn w:val="Normal"/>
    <w:link w:val="FooterChar"/>
    <w:uiPriority w:val="99"/>
    <w:unhideWhenUsed/>
    <w:rsid w:val="00016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DD4"/>
  </w:style>
  <w:style w:type="paragraph" w:styleId="NormalWeb">
    <w:name w:val="Normal (Web)"/>
    <w:basedOn w:val="Normal"/>
    <w:uiPriority w:val="99"/>
    <w:unhideWhenUsed/>
    <w:rsid w:val="00CF45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24573D"/>
    <w:pPr>
      <w:spacing w:line="240" w:lineRule="auto"/>
    </w:pPr>
    <w:rPr>
      <w:sz w:val="20"/>
      <w:szCs w:val="20"/>
    </w:rPr>
  </w:style>
  <w:style w:type="character" w:customStyle="1" w:styleId="CommentTextChar">
    <w:name w:val="Comment Text Char"/>
    <w:basedOn w:val="DefaultParagraphFont"/>
    <w:link w:val="CommentText"/>
    <w:uiPriority w:val="99"/>
    <w:rsid w:val="0024573D"/>
    <w:rPr>
      <w:sz w:val="20"/>
      <w:szCs w:val="20"/>
    </w:rPr>
  </w:style>
  <w:style w:type="character" w:styleId="CommentReference">
    <w:name w:val="annotation reference"/>
    <w:basedOn w:val="DefaultParagraphFont"/>
    <w:uiPriority w:val="99"/>
    <w:unhideWhenUsed/>
    <w:rsid w:val="0024573D"/>
    <w:rPr>
      <w:sz w:val="16"/>
      <w:szCs w:val="16"/>
    </w:rPr>
  </w:style>
  <w:style w:type="paragraph" w:styleId="BalloonText">
    <w:name w:val="Balloon Text"/>
    <w:basedOn w:val="Normal"/>
    <w:link w:val="BalloonTextChar"/>
    <w:uiPriority w:val="99"/>
    <w:semiHidden/>
    <w:unhideWhenUsed/>
    <w:rsid w:val="0024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73D"/>
    <w:rPr>
      <w:rFonts w:ascii="Segoe UI" w:hAnsi="Segoe UI" w:cs="Segoe UI"/>
      <w:sz w:val="18"/>
      <w:szCs w:val="18"/>
    </w:rPr>
  </w:style>
  <w:style w:type="paragraph" w:styleId="ListParagraph">
    <w:name w:val="List Paragraph"/>
    <w:basedOn w:val="Normal"/>
    <w:uiPriority w:val="34"/>
    <w:qFormat/>
    <w:rsid w:val="0024717D"/>
    <w:pPr>
      <w:ind w:left="720"/>
      <w:contextualSpacing/>
    </w:pPr>
  </w:style>
  <w:style w:type="paragraph" w:styleId="CommentSubject">
    <w:name w:val="annotation subject"/>
    <w:basedOn w:val="CommentText"/>
    <w:next w:val="CommentText"/>
    <w:link w:val="CommentSubjectChar"/>
    <w:uiPriority w:val="99"/>
    <w:semiHidden/>
    <w:unhideWhenUsed/>
    <w:rsid w:val="00E96621"/>
    <w:rPr>
      <w:b/>
      <w:bCs/>
    </w:rPr>
  </w:style>
  <w:style w:type="character" w:customStyle="1" w:styleId="CommentSubjectChar">
    <w:name w:val="Comment Subject Char"/>
    <w:basedOn w:val="CommentTextChar"/>
    <w:link w:val="CommentSubject"/>
    <w:uiPriority w:val="99"/>
    <w:semiHidden/>
    <w:rsid w:val="00E96621"/>
    <w:rPr>
      <w:b/>
      <w:bCs/>
      <w:sz w:val="20"/>
      <w:szCs w:val="20"/>
    </w:rPr>
  </w:style>
  <w:style w:type="paragraph" w:styleId="Revision">
    <w:name w:val="Revision"/>
    <w:hidden/>
    <w:uiPriority w:val="99"/>
    <w:semiHidden/>
    <w:rsid w:val="00716012"/>
    <w:pPr>
      <w:spacing w:after="0" w:line="240" w:lineRule="auto"/>
    </w:pPr>
  </w:style>
  <w:style w:type="character" w:customStyle="1" w:styleId="Heading4Char">
    <w:name w:val="Heading 4 Char"/>
    <w:basedOn w:val="DefaultParagraphFont"/>
    <w:link w:val="Heading4"/>
    <w:uiPriority w:val="9"/>
    <w:rsid w:val="000C6E9A"/>
    <w:rPr>
      <w:rFonts w:asciiTheme="majorHAnsi" w:eastAsiaTheme="majorEastAsia" w:hAnsiTheme="majorHAnsi" w:cstheme="majorBidi"/>
      <w:i/>
      <w:iCs/>
    </w:rPr>
  </w:style>
  <w:style w:type="character" w:customStyle="1" w:styleId="Heading1Char">
    <w:name w:val="Heading 1 Char"/>
    <w:basedOn w:val="DefaultParagraphFont"/>
    <w:link w:val="Heading1"/>
    <w:uiPriority w:val="9"/>
    <w:rsid w:val="00D468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6865"/>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link w:val="EndNoteBibliographyTitleChar"/>
    <w:rsid w:val="00B6475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64751"/>
    <w:rPr>
      <w:rFonts w:ascii="Calibri" w:hAnsi="Calibri" w:cs="Calibri"/>
      <w:noProof/>
      <w:lang w:val="en-US"/>
    </w:rPr>
  </w:style>
  <w:style w:type="paragraph" w:customStyle="1" w:styleId="EndNoteBibliography">
    <w:name w:val="EndNote Bibliography"/>
    <w:basedOn w:val="Normal"/>
    <w:link w:val="EndNoteBibliographyChar"/>
    <w:rsid w:val="00B6475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64751"/>
    <w:rPr>
      <w:rFonts w:ascii="Calibri" w:hAnsi="Calibri" w:cs="Calibri"/>
      <w:noProof/>
      <w:lang w:val="en-US"/>
    </w:rPr>
  </w:style>
  <w:style w:type="character" w:styleId="Hyperlink">
    <w:name w:val="Hyperlink"/>
    <w:basedOn w:val="DefaultParagraphFont"/>
    <w:uiPriority w:val="99"/>
    <w:unhideWhenUsed/>
    <w:rsid w:val="0068656F"/>
    <w:rPr>
      <w:color w:val="0000FF"/>
      <w:u w:val="single"/>
    </w:rPr>
  </w:style>
  <w:style w:type="table" w:styleId="TableGrid">
    <w:name w:val="Table Grid"/>
    <w:basedOn w:val="TableNormal"/>
    <w:uiPriority w:val="39"/>
    <w:rsid w:val="005F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F55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5528"/>
  </w:style>
  <w:style w:type="character" w:customStyle="1" w:styleId="eop">
    <w:name w:val="eop"/>
    <w:basedOn w:val="DefaultParagraphFont"/>
    <w:rsid w:val="005F5528"/>
  </w:style>
  <w:style w:type="character" w:customStyle="1" w:styleId="UnresolvedMention1">
    <w:name w:val="Unresolved Mention1"/>
    <w:basedOn w:val="DefaultParagraphFont"/>
    <w:uiPriority w:val="99"/>
    <w:semiHidden/>
    <w:unhideWhenUsed/>
    <w:rsid w:val="006D7B04"/>
    <w:rPr>
      <w:color w:val="605E5C"/>
      <w:shd w:val="clear" w:color="auto" w:fill="E1DFDD"/>
    </w:rPr>
  </w:style>
  <w:style w:type="character" w:styleId="LineNumber">
    <w:name w:val="line number"/>
    <w:basedOn w:val="DefaultParagraphFont"/>
    <w:uiPriority w:val="99"/>
    <w:semiHidden/>
    <w:unhideWhenUsed/>
    <w:rsid w:val="00E3761F"/>
  </w:style>
  <w:style w:type="paragraph" w:customStyle="1" w:styleId="xmsonormal">
    <w:name w:val="x_msonormal"/>
    <w:basedOn w:val="Normal"/>
    <w:rsid w:val="00C650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377F"/>
    <w:rPr>
      <w:color w:val="800080" w:themeColor="followedHyperlink"/>
      <w:u w:val="single"/>
    </w:rPr>
  </w:style>
  <w:style w:type="character" w:styleId="Emphasis">
    <w:name w:val="Emphasis"/>
    <w:basedOn w:val="DefaultParagraphFont"/>
    <w:uiPriority w:val="20"/>
    <w:qFormat/>
    <w:rsid w:val="00A115D3"/>
    <w:rPr>
      <w:i/>
      <w:iCs/>
    </w:rPr>
  </w:style>
  <w:style w:type="character" w:styleId="UnresolvedMention">
    <w:name w:val="Unresolved Mention"/>
    <w:basedOn w:val="DefaultParagraphFont"/>
    <w:uiPriority w:val="99"/>
    <w:semiHidden/>
    <w:unhideWhenUsed/>
    <w:rsid w:val="009D76D6"/>
    <w:rPr>
      <w:color w:val="605E5C"/>
      <w:shd w:val="clear" w:color="auto" w:fill="E1DFDD"/>
    </w:rPr>
  </w:style>
  <w:style w:type="character" w:customStyle="1" w:styleId="Heading3Char">
    <w:name w:val="Heading 3 Char"/>
    <w:basedOn w:val="DefaultParagraphFont"/>
    <w:link w:val="Heading3"/>
    <w:uiPriority w:val="9"/>
    <w:rsid w:val="00F80FB0"/>
    <w:rPr>
      <w:rFonts w:asciiTheme="majorHAnsi" w:eastAsiaTheme="majorEastAsia" w:hAnsiTheme="majorHAnsi" w:cstheme="majorBidi"/>
      <w:color w:val="0070C0"/>
      <w:sz w:val="24"/>
      <w:szCs w:val="24"/>
    </w:rPr>
  </w:style>
  <w:style w:type="character" w:customStyle="1" w:styleId="UnresolvedMention2">
    <w:name w:val="Unresolved Mention2"/>
    <w:basedOn w:val="DefaultParagraphFont"/>
    <w:uiPriority w:val="99"/>
    <w:semiHidden/>
    <w:unhideWhenUsed/>
    <w:rsid w:val="0003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4321">
      <w:bodyDiv w:val="1"/>
      <w:marLeft w:val="0"/>
      <w:marRight w:val="0"/>
      <w:marTop w:val="0"/>
      <w:marBottom w:val="0"/>
      <w:divBdr>
        <w:top w:val="none" w:sz="0" w:space="0" w:color="auto"/>
        <w:left w:val="none" w:sz="0" w:space="0" w:color="auto"/>
        <w:bottom w:val="none" w:sz="0" w:space="0" w:color="auto"/>
        <w:right w:val="none" w:sz="0" w:space="0" w:color="auto"/>
      </w:divBdr>
      <w:divsChild>
        <w:div w:id="1500151720">
          <w:marLeft w:val="547"/>
          <w:marRight w:val="0"/>
          <w:marTop w:val="0"/>
          <w:marBottom w:val="0"/>
          <w:divBdr>
            <w:top w:val="none" w:sz="0" w:space="0" w:color="auto"/>
            <w:left w:val="none" w:sz="0" w:space="0" w:color="auto"/>
            <w:bottom w:val="none" w:sz="0" w:space="0" w:color="auto"/>
            <w:right w:val="none" w:sz="0" w:space="0" w:color="auto"/>
          </w:divBdr>
        </w:div>
      </w:divsChild>
    </w:div>
    <w:div w:id="144250204">
      <w:bodyDiv w:val="1"/>
      <w:marLeft w:val="0"/>
      <w:marRight w:val="0"/>
      <w:marTop w:val="0"/>
      <w:marBottom w:val="0"/>
      <w:divBdr>
        <w:top w:val="none" w:sz="0" w:space="0" w:color="auto"/>
        <w:left w:val="none" w:sz="0" w:space="0" w:color="auto"/>
        <w:bottom w:val="none" w:sz="0" w:space="0" w:color="auto"/>
        <w:right w:val="none" w:sz="0" w:space="0" w:color="auto"/>
      </w:divBdr>
      <w:divsChild>
        <w:div w:id="1453741349">
          <w:marLeft w:val="547"/>
          <w:marRight w:val="0"/>
          <w:marTop w:val="0"/>
          <w:marBottom w:val="0"/>
          <w:divBdr>
            <w:top w:val="none" w:sz="0" w:space="0" w:color="auto"/>
            <w:left w:val="none" w:sz="0" w:space="0" w:color="auto"/>
            <w:bottom w:val="none" w:sz="0" w:space="0" w:color="auto"/>
            <w:right w:val="none" w:sz="0" w:space="0" w:color="auto"/>
          </w:divBdr>
        </w:div>
      </w:divsChild>
    </w:div>
    <w:div w:id="327637322">
      <w:bodyDiv w:val="1"/>
      <w:marLeft w:val="0"/>
      <w:marRight w:val="0"/>
      <w:marTop w:val="0"/>
      <w:marBottom w:val="0"/>
      <w:divBdr>
        <w:top w:val="none" w:sz="0" w:space="0" w:color="auto"/>
        <w:left w:val="none" w:sz="0" w:space="0" w:color="auto"/>
        <w:bottom w:val="none" w:sz="0" w:space="0" w:color="auto"/>
        <w:right w:val="none" w:sz="0" w:space="0" w:color="auto"/>
      </w:divBdr>
    </w:div>
    <w:div w:id="392504680">
      <w:bodyDiv w:val="1"/>
      <w:marLeft w:val="0"/>
      <w:marRight w:val="0"/>
      <w:marTop w:val="0"/>
      <w:marBottom w:val="0"/>
      <w:divBdr>
        <w:top w:val="none" w:sz="0" w:space="0" w:color="auto"/>
        <w:left w:val="none" w:sz="0" w:space="0" w:color="auto"/>
        <w:bottom w:val="none" w:sz="0" w:space="0" w:color="auto"/>
        <w:right w:val="none" w:sz="0" w:space="0" w:color="auto"/>
      </w:divBdr>
      <w:divsChild>
        <w:div w:id="65018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0178">
              <w:marLeft w:val="0"/>
              <w:marRight w:val="0"/>
              <w:marTop w:val="0"/>
              <w:marBottom w:val="0"/>
              <w:divBdr>
                <w:top w:val="none" w:sz="0" w:space="0" w:color="auto"/>
                <w:left w:val="none" w:sz="0" w:space="0" w:color="auto"/>
                <w:bottom w:val="none" w:sz="0" w:space="0" w:color="auto"/>
                <w:right w:val="none" w:sz="0" w:space="0" w:color="auto"/>
              </w:divBdr>
              <w:divsChild>
                <w:div w:id="2024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7193">
      <w:bodyDiv w:val="1"/>
      <w:marLeft w:val="0"/>
      <w:marRight w:val="0"/>
      <w:marTop w:val="0"/>
      <w:marBottom w:val="0"/>
      <w:divBdr>
        <w:top w:val="none" w:sz="0" w:space="0" w:color="auto"/>
        <w:left w:val="none" w:sz="0" w:space="0" w:color="auto"/>
        <w:bottom w:val="none" w:sz="0" w:space="0" w:color="auto"/>
        <w:right w:val="none" w:sz="0" w:space="0" w:color="auto"/>
      </w:divBdr>
    </w:div>
    <w:div w:id="488137675">
      <w:bodyDiv w:val="1"/>
      <w:marLeft w:val="0"/>
      <w:marRight w:val="0"/>
      <w:marTop w:val="0"/>
      <w:marBottom w:val="0"/>
      <w:divBdr>
        <w:top w:val="none" w:sz="0" w:space="0" w:color="auto"/>
        <w:left w:val="none" w:sz="0" w:space="0" w:color="auto"/>
        <w:bottom w:val="none" w:sz="0" w:space="0" w:color="auto"/>
        <w:right w:val="none" w:sz="0" w:space="0" w:color="auto"/>
      </w:divBdr>
    </w:div>
    <w:div w:id="551042821">
      <w:bodyDiv w:val="1"/>
      <w:marLeft w:val="0"/>
      <w:marRight w:val="0"/>
      <w:marTop w:val="0"/>
      <w:marBottom w:val="0"/>
      <w:divBdr>
        <w:top w:val="none" w:sz="0" w:space="0" w:color="auto"/>
        <w:left w:val="none" w:sz="0" w:space="0" w:color="auto"/>
        <w:bottom w:val="none" w:sz="0" w:space="0" w:color="auto"/>
        <w:right w:val="none" w:sz="0" w:space="0" w:color="auto"/>
      </w:divBdr>
    </w:div>
    <w:div w:id="826819664">
      <w:bodyDiv w:val="1"/>
      <w:marLeft w:val="0"/>
      <w:marRight w:val="0"/>
      <w:marTop w:val="0"/>
      <w:marBottom w:val="0"/>
      <w:divBdr>
        <w:top w:val="none" w:sz="0" w:space="0" w:color="auto"/>
        <w:left w:val="none" w:sz="0" w:space="0" w:color="auto"/>
        <w:bottom w:val="none" w:sz="0" w:space="0" w:color="auto"/>
        <w:right w:val="none" w:sz="0" w:space="0" w:color="auto"/>
      </w:divBdr>
      <w:divsChild>
        <w:div w:id="1885560456">
          <w:marLeft w:val="0"/>
          <w:marRight w:val="0"/>
          <w:marTop w:val="0"/>
          <w:marBottom w:val="0"/>
          <w:divBdr>
            <w:top w:val="none" w:sz="0" w:space="0" w:color="auto"/>
            <w:left w:val="none" w:sz="0" w:space="0" w:color="auto"/>
            <w:bottom w:val="none" w:sz="0" w:space="0" w:color="auto"/>
            <w:right w:val="none" w:sz="0" w:space="0" w:color="auto"/>
          </w:divBdr>
          <w:divsChild>
            <w:div w:id="1611351912">
              <w:marLeft w:val="0"/>
              <w:marRight w:val="0"/>
              <w:marTop w:val="0"/>
              <w:marBottom w:val="0"/>
              <w:divBdr>
                <w:top w:val="none" w:sz="0" w:space="0" w:color="auto"/>
                <w:left w:val="none" w:sz="0" w:space="0" w:color="auto"/>
                <w:bottom w:val="none" w:sz="0" w:space="0" w:color="auto"/>
                <w:right w:val="none" w:sz="0" w:space="0" w:color="auto"/>
              </w:divBdr>
              <w:divsChild>
                <w:div w:id="1092703440">
                  <w:marLeft w:val="0"/>
                  <w:marRight w:val="0"/>
                  <w:marTop w:val="0"/>
                  <w:marBottom w:val="0"/>
                  <w:divBdr>
                    <w:top w:val="none" w:sz="0" w:space="0" w:color="auto"/>
                    <w:left w:val="none" w:sz="0" w:space="0" w:color="auto"/>
                    <w:bottom w:val="none" w:sz="0" w:space="0" w:color="auto"/>
                    <w:right w:val="none" w:sz="0" w:space="0" w:color="auto"/>
                  </w:divBdr>
                  <w:divsChild>
                    <w:div w:id="5412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99894">
      <w:bodyDiv w:val="1"/>
      <w:marLeft w:val="0"/>
      <w:marRight w:val="0"/>
      <w:marTop w:val="0"/>
      <w:marBottom w:val="0"/>
      <w:divBdr>
        <w:top w:val="none" w:sz="0" w:space="0" w:color="auto"/>
        <w:left w:val="none" w:sz="0" w:space="0" w:color="auto"/>
        <w:bottom w:val="none" w:sz="0" w:space="0" w:color="auto"/>
        <w:right w:val="none" w:sz="0" w:space="0" w:color="auto"/>
      </w:divBdr>
    </w:div>
    <w:div w:id="869032918">
      <w:bodyDiv w:val="1"/>
      <w:marLeft w:val="0"/>
      <w:marRight w:val="0"/>
      <w:marTop w:val="0"/>
      <w:marBottom w:val="0"/>
      <w:divBdr>
        <w:top w:val="none" w:sz="0" w:space="0" w:color="auto"/>
        <w:left w:val="none" w:sz="0" w:space="0" w:color="auto"/>
        <w:bottom w:val="none" w:sz="0" w:space="0" w:color="auto"/>
        <w:right w:val="none" w:sz="0" w:space="0" w:color="auto"/>
      </w:divBdr>
      <w:divsChild>
        <w:div w:id="2075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17048">
              <w:marLeft w:val="0"/>
              <w:marRight w:val="0"/>
              <w:marTop w:val="0"/>
              <w:marBottom w:val="0"/>
              <w:divBdr>
                <w:top w:val="none" w:sz="0" w:space="0" w:color="auto"/>
                <w:left w:val="none" w:sz="0" w:space="0" w:color="auto"/>
                <w:bottom w:val="none" w:sz="0" w:space="0" w:color="auto"/>
                <w:right w:val="none" w:sz="0" w:space="0" w:color="auto"/>
              </w:divBdr>
              <w:divsChild>
                <w:div w:id="1199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76960">
      <w:bodyDiv w:val="1"/>
      <w:marLeft w:val="0"/>
      <w:marRight w:val="0"/>
      <w:marTop w:val="0"/>
      <w:marBottom w:val="0"/>
      <w:divBdr>
        <w:top w:val="none" w:sz="0" w:space="0" w:color="auto"/>
        <w:left w:val="none" w:sz="0" w:space="0" w:color="auto"/>
        <w:bottom w:val="none" w:sz="0" w:space="0" w:color="auto"/>
        <w:right w:val="none" w:sz="0" w:space="0" w:color="auto"/>
      </w:divBdr>
      <w:divsChild>
        <w:div w:id="1374229760">
          <w:marLeft w:val="547"/>
          <w:marRight w:val="0"/>
          <w:marTop w:val="0"/>
          <w:marBottom w:val="0"/>
          <w:divBdr>
            <w:top w:val="none" w:sz="0" w:space="0" w:color="auto"/>
            <w:left w:val="none" w:sz="0" w:space="0" w:color="auto"/>
            <w:bottom w:val="none" w:sz="0" w:space="0" w:color="auto"/>
            <w:right w:val="none" w:sz="0" w:space="0" w:color="auto"/>
          </w:divBdr>
        </w:div>
      </w:divsChild>
    </w:div>
    <w:div w:id="1112280984">
      <w:bodyDiv w:val="1"/>
      <w:marLeft w:val="0"/>
      <w:marRight w:val="0"/>
      <w:marTop w:val="0"/>
      <w:marBottom w:val="0"/>
      <w:divBdr>
        <w:top w:val="none" w:sz="0" w:space="0" w:color="auto"/>
        <w:left w:val="none" w:sz="0" w:space="0" w:color="auto"/>
        <w:bottom w:val="none" w:sz="0" w:space="0" w:color="auto"/>
        <w:right w:val="none" w:sz="0" w:space="0" w:color="auto"/>
      </w:divBdr>
      <w:divsChild>
        <w:div w:id="129220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49012">
              <w:marLeft w:val="0"/>
              <w:marRight w:val="0"/>
              <w:marTop w:val="0"/>
              <w:marBottom w:val="0"/>
              <w:divBdr>
                <w:top w:val="none" w:sz="0" w:space="0" w:color="auto"/>
                <w:left w:val="none" w:sz="0" w:space="0" w:color="auto"/>
                <w:bottom w:val="none" w:sz="0" w:space="0" w:color="auto"/>
                <w:right w:val="none" w:sz="0" w:space="0" w:color="auto"/>
              </w:divBdr>
              <w:divsChild>
                <w:div w:id="16121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3149">
      <w:bodyDiv w:val="1"/>
      <w:marLeft w:val="0"/>
      <w:marRight w:val="0"/>
      <w:marTop w:val="0"/>
      <w:marBottom w:val="0"/>
      <w:divBdr>
        <w:top w:val="none" w:sz="0" w:space="0" w:color="auto"/>
        <w:left w:val="none" w:sz="0" w:space="0" w:color="auto"/>
        <w:bottom w:val="none" w:sz="0" w:space="0" w:color="auto"/>
        <w:right w:val="none" w:sz="0" w:space="0" w:color="auto"/>
      </w:divBdr>
      <w:divsChild>
        <w:div w:id="1405254386">
          <w:marLeft w:val="547"/>
          <w:marRight w:val="0"/>
          <w:marTop w:val="0"/>
          <w:marBottom w:val="0"/>
          <w:divBdr>
            <w:top w:val="none" w:sz="0" w:space="0" w:color="auto"/>
            <w:left w:val="none" w:sz="0" w:space="0" w:color="auto"/>
            <w:bottom w:val="none" w:sz="0" w:space="0" w:color="auto"/>
            <w:right w:val="none" w:sz="0" w:space="0" w:color="auto"/>
          </w:divBdr>
        </w:div>
      </w:divsChild>
    </w:div>
    <w:div w:id="1433010684">
      <w:bodyDiv w:val="1"/>
      <w:marLeft w:val="0"/>
      <w:marRight w:val="0"/>
      <w:marTop w:val="0"/>
      <w:marBottom w:val="0"/>
      <w:divBdr>
        <w:top w:val="none" w:sz="0" w:space="0" w:color="auto"/>
        <w:left w:val="none" w:sz="0" w:space="0" w:color="auto"/>
        <w:bottom w:val="none" w:sz="0" w:space="0" w:color="auto"/>
        <w:right w:val="none" w:sz="0" w:space="0" w:color="auto"/>
      </w:divBdr>
    </w:div>
    <w:div w:id="1478835183">
      <w:bodyDiv w:val="1"/>
      <w:marLeft w:val="0"/>
      <w:marRight w:val="0"/>
      <w:marTop w:val="0"/>
      <w:marBottom w:val="0"/>
      <w:divBdr>
        <w:top w:val="none" w:sz="0" w:space="0" w:color="auto"/>
        <w:left w:val="none" w:sz="0" w:space="0" w:color="auto"/>
        <w:bottom w:val="none" w:sz="0" w:space="0" w:color="auto"/>
        <w:right w:val="none" w:sz="0" w:space="0" w:color="auto"/>
      </w:divBdr>
      <w:divsChild>
        <w:div w:id="1297562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8828">
              <w:marLeft w:val="0"/>
              <w:marRight w:val="0"/>
              <w:marTop w:val="0"/>
              <w:marBottom w:val="0"/>
              <w:divBdr>
                <w:top w:val="none" w:sz="0" w:space="0" w:color="auto"/>
                <w:left w:val="none" w:sz="0" w:space="0" w:color="auto"/>
                <w:bottom w:val="none" w:sz="0" w:space="0" w:color="auto"/>
                <w:right w:val="none" w:sz="0" w:space="0" w:color="auto"/>
              </w:divBdr>
              <w:divsChild>
                <w:div w:id="10006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93313">
      <w:bodyDiv w:val="1"/>
      <w:marLeft w:val="0"/>
      <w:marRight w:val="0"/>
      <w:marTop w:val="0"/>
      <w:marBottom w:val="0"/>
      <w:divBdr>
        <w:top w:val="none" w:sz="0" w:space="0" w:color="auto"/>
        <w:left w:val="none" w:sz="0" w:space="0" w:color="auto"/>
        <w:bottom w:val="none" w:sz="0" w:space="0" w:color="auto"/>
        <w:right w:val="none" w:sz="0" w:space="0" w:color="auto"/>
      </w:divBdr>
    </w:div>
    <w:div w:id="1708067409">
      <w:bodyDiv w:val="1"/>
      <w:marLeft w:val="0"/>
      <w:marRight w:val="0"/>
      <w:marTop w:val="0"/>
      <w:marBottom w:val="0"/>
      <w:divBdr>
        <w:top w:val="none" w:sz="0" w:space="0" w:color="auto"/>
        <w:left w:val="none" w:sz="0" w:space="0" w:color="auto"/>
        <w:bottom w:val="none" w:sz="0" w:space="0" w:color="auto"/>
        <w:right w:val="none" w:sz="0" w:space="0" w:color="auto"/>
      </w:divBdr>
      <w:divsChild>
        <w:div w:id="2080244248">
          <w:marLeft w:val="547"/>
          <w:marRight w:val="0"/>
          <w:marTop w:val="0"/>
          <w:marBottom w:val="0"/>
          <w:divBdr>
            <w:top w:val="none" w:sz="0" w:space="0" w:color="auto"/>
            <w:left w:val="none" w:sz="0" w:space="0" w:color="auto"/>
            <w:bottom w:val="none" w:sz="0" w:space="0" w:color="auto"/>
            <w:right w:val="none" w:sz="0" w:space="0" w:color="auto"/>
          </w:divBdr>
        </w:div>
      </w:divsChild>
    </w:div>
    <w:div w:id="1897817709">
      <w:bodyDiv w:val="1"/>
      <w:marLeft w:val="0"/>
      <w:marRight w:val="0"/>
      <w:marTop w:val="0"/>
      <w:marBottom w:val="0"/>
      <w:divBdr>
        <w:top w:val="none" w:sz="0" w:space="0" w:color="auto"/>
        <w:left w:val="none" w:sz="0" w:space="0" w:color="auto"/>
        <w:bottom w:val="none" w:sz="0" w:space="0" w:color="auto"/>
        <w:right w:val="none" w:sz="0" w:space="0" w:color="auto"/>
      </w:divBdr>
      <w:divsChild>
        <w:div w:id="43452730">
          <w:marLeft w:val="0"/>
          <w:marRight w:val="0"/>
          <w:marTop w:val="0"/>
          <w:marBottom w:val="0"/>
          <w:divBdr>
            <w:top w:val="none" w:sz="0" w:space="0" w:color="auto"/>
            <w:left w:val="none" w:sz="0" w:space="0" w:color="auto"/>
            <w:bottom w:val="none" w:sz="0" w:space="0" w:color="auto"/>
            <w:right w:val="none" w:sz="0" w:space="0" w:color="auto"/>
          </w:divBdr>
        </w:div>
        <w:div w:id="452015444">
          <w:marLeft w:val="0"/>
          <w:marRight w:val="0"/>
          <w:marTop w:val="0"/>
          <w:marBottom w:val="0"/>
          <w:divBdr>
            <w:top w:val="none" w:sz="0" w:space="0" w:color="auto"/>
            <w:left w:val="none" w:sz="0" w:space="0" w:color="auto"/>
            <w:bottom w:val="none" w:sz="0" w:space="0" w:color="auto"/>
            <w:right w:val="none" w:sz="0" w:space="0" w:color="auto"/>
          </w:divBdr>
        </w:div>
        <w:div w:id="626745001">
          <w:marLeft w:val="0"/>
          <w:marRight w:val="0"/>
          <w:marTop w:val="0"/>
          <w:marBottom w:val="0"/>
          <w:divBdr>
            <w:top w:val="none" w:sz="0" w:space="0" w:color="auto"/>
            <w:left w:val="none" w:sz="0" w:space="0" w:color="auto"/>
            <w:bottom w:val="none" w:sz="0" w:space="0" w:color="auto"/>
            <w:right w:val="none" w:sz="0" w:space="0" w:color="auto"/>
          </w:divBdr>
        </w:div>
        <w:div w:id="788280084">
          <w:marLeft w:val="0"/>
          <w:marRight w:val="0"/>
          <w:marTop w:val="0"/>
          <w:marBottom w:val="0"/>
          <w:divBdr>
            <w:top w:val="none" w:sz="0" w:space="0" w:color="auto"/>
            <w:left w:val="none" w:sz="0" w:space="0" w:color="auto"/>
            <w:bottom w:val="none" w:sz="0" w:space="0" w:color="auto"/>
            <w:right w:val="none" w:sz="0" w:space="0" w:color="auto"/>
          </w:divBdr>
        </w:div>
        <w:div w:id="890188883">
          <w:marLeft w:val="0"/>
          <w:marRight w:val="0"/>
          <w:marTop w:val="0"/>
          <w:marBottom w:val="0"/>
          <w:divBdr>
            <w:top w:val="none" w:sz="0" w:space="0" w:color="auto"/>
            <w:left w:val="none" w:sz="0" w:space="0" w:color="auto"/>
            <w:bottom w:val="none" w:sz="0" w:space="0" w:color="auto"/>
            <w:right w:val="none" w:sz="0" w:space="0" w:color="auto"/>
          </w:divBdr>
        </w:div>
        <w:div w:id="963583049">
          <w:marLeft w:val="0"/>
          <w:marRight w:val="0"/>
          <w:marTop w:val="0"/>
          <w:marBottom w:val="0"/>
          <w:divBdr>
            <w:top w:val="none" w:sz="0" w:space="0" w:color="auto"/>
            <w:left w:val="none" w:sz="0" w:space="0" w:color="auto"/>
            <w:bottom w:val="none" w:sz="0" w:space="0" w:color="auto"/>
            <w:right w:val="none" w:sz="0" w:space="0" w:color="auto"/>
          </w:divBdr>
        </w:div>
        <w:div w:id="1583105472">
          <w:marLeft w:val="0"/>
          <w:marRight w:val="0"/>
          <w:marTop w:val="0"/>
          <w:marBottom w:val="0"/>
          <w:divBdr>
            <w:top w:val="none" w:sz="0" w:space="0" w:color="auto"/>
            <w:left w:val="none" w:sz="0" w:space="0" w:color="auto"/>
            <w:bottom w:val="none" w:sz="0" w:space="0" w:color="auto"/>
            <w:right w:val="none" w:sz="0" w:space="0" w:color="auto"/>
          </w:divBdr>
        </w:div>
        <w:div w:id="1873806348">
          <w:marLeft w:val="0"/>
          <w:marRight w:val="0"/>
          <w:marTop w:val="0"/>
          <w:marBottom w:val="0"/>
          <w:divBdr>
            <w:top w:val="none" w:sz="0" w:space="0" w:color="auto"/>
            <w:left w:val="none" w:sz="0" w:space="0" w:color="auto"/>
            <w:bottom w:val="none" w:sz="0" w:space="0" w:color="auto"/>
            <w:right w:val="none" w:sz="0" w:space="0" w:color="auto"/>
          </w:divBdr>
        </w:div>
      </w:divsChild>
    </w:div>
    <w:div w:id="2036883546">
      <w:bodyDiv w:val="1"/>
      <w:marLeft w:val="0"/>
      <w:marRight w:val="0"/>
      <w:marTop w:val="0"/>
      <w:marBottom w:val="0"/>
      <w:divBdr>
        <w:top w:val="none" w:sz="0" w:space="0" w:color="auto"/>
        <w:left w:val="none" w:sz="0" w:space="0" w:color="auto"/>
        <w:bottom w:val="none" w:sz="0" w:space="0" w:color="auto"/>
        <w:right w:val="none" w:sz="0" w:space="0" w:color="auto"/>
      </w:divBdr>
    </w:div>
    <w:div w:id="2112510966">
      <w:bodyDiv w:val="1"/>
      <w:marLeft w:val="0"/>
      <w:marRight w:val="0"/>
      <w:marTop w:val="0"/>
      <w:marBottom w:val="0"/>
      <w:divBdr>
        <w:top w:val="none" w:sz="0" w:space="0" w:color="auto"/>
        <w:left w:val="none" w:sz="0" w:space="0" w:color="auto"/>
        <w:bottom w:val="none" w:sz="0" w:space="0" w:color="auto"/>
        <w:right w:val="none" w:sz="0" w:space="0" w:color="auto"/>
      </w:divBdr>
      <w:divsChild>
        <w:div w:id="11818199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2845F9-51FE-47D4-B147-7E8FE9F21C81}" type="doc">
      <dgm:prSet loTypeId="urn:microsoft.com/office/officeart/2005/8/layout/cycle8" loCatId="cycle" qsTypeId="urn:microsoft.com/office/officeart/2005/8/quickstyle/simple1" qsCatId="simple" csTypeId="urn:microsoft.com/office/officeart/2005/8/colors/accent0_1" csCatId="mainScheme" phldr="1"/>
      <dgm:spPr/>
    </dgm:pt>
    <dgm:pt modelId="{78424BE1-2463-43B1-85D4-F640F5D73220}">
      <dgm:prSet phldrT="[Text]" custT="1"/>
      <dgm:spPr>
        <a:xfrm>
          <a:off x="1074229" y="156387"/>
          <a:ext cx="2336292" cy="2336292"/>
        </a:xfrm>
        <a:prstGeom prst="pie">
          <a:avLst>
            <a:gd name="adj1" fmla="val 16200000"/>
            <a:gd name="adj2" fmla="val 198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Oversight committees agree on themes for discussion by PPIE members</a:t>
          </a:r>
          <a:endParaRPr lang="en-GB" sz="700" dirty="0">
            <a:solidFill>
              <a:sysClr val="windowText" lastClr="000000">
                <a:hueOff val="0"/>
                <a:satOff val="0"/>
                <a:lumOff val="0"/>
                <a:alphaOff val="0"/>
              </a:sysClr>
            </a:solidFill>
            <a:latin typeface="Calibri"/>
            <a:ea typeface="+mn-ea"/>
            <a:cs typeface="+mn-cs"/>
          </a:endParaRPr>
        </a:p>
      </dgm:t>
    </dgm:pt>
    <dgm:pt modelId="{F8FD8E3D-6630-4604-9715-813AF6FC5C1E}" type="parTrans" cxnId="{09B698EB-D73E-489F-BB41-A6DFB01F5ECD}">
      <dgm:prSet/>
      <dgm:spPr/>
      <dgm:t>
        <a:bodyPr/>
        <a:lstStyle/>
        <a:p>
          <a:endParaRPr lang="en-GB"/>
        </a:p>
      </dgm:t>
    </dgm:pt>
    <dgm:pt modelId="{1C0C8DC7-C986-4E02-89D6-6F713DE3C9C8}" type="sibTrans" cxnId="{09B698EB-D73E-489F-BB41-A6DFB01F5ECD}">
      <dgm:prSet/>
      <dgm:spPr/>
      <dgm:t>
        <a:bodyPr/>
        <a:lstStyle/>
        <a:p>
          <a:endParaRPr lang="en-GB"/>
        </a:p>
      </dgm:t>
    </dgm:pt>
    <dgm:pt modelId="{ED1BBB46-6281-4819-9EED-E65EE1F3E41E}">
      <dgm:prSet phldrT="[Text]" custT="1"/>
      <dgm:spPr>
        <a:xfrm>
          <a:off x="1102042" y="204504"/>
          <a:ext cx="2336292" cy="2336292"/>
        </a:xfrm>
        <a:prstGeom prst="pie">
          <a:avLst>
            <a:gd name="adj1" fmla="val 19800000"/>
            <a:gd name="adj2" fmla="val 18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PPIE lead/Trial Steering Committee chair presents themes for discussion and input</a:t>
          </a:r>
          <a:endParaRPr lang="en-GB" sz="700" dirty="0">
            <a:solidFill>
              <a:sysClr val="windowText" lastClr="000000">
                <a:hueOff val="0"/>
                <a:satOff val="0"/>
                <a:lumOff val="0"/>
                <a:alphaOff val="0"/>
              </a:sysClr>
            </a:solidFill>
            <a:latin typeface="Calibri"/>
            <a:ea typeface="+mn-ea"/>
            <a:cs typeface="+mn-cs"/>
          </a:endParaRPr>
        </a:p>
      </dgm:t>
    </dgm:pt>
    <dgm:pt modelId="{BAC7B32B-F959-4300-94FD-3367CE7E9BB7}" type="parTrans" cxnId="{D6888922-B9E1-4C8D-83C8-5B5859359309}">
      <dgm:prSet/>
      <dgm:spPr/>
      <dgm:t>
        <a:bodyPr/>
        <a:lstStyle/>
        <a:p>
          <a:endParaRPr lang="en-GB"/>
        </a:p>
      </dgm:t>
    </dgm:pt>
    <dgm:pt modelId="{3F21DCD1-9C44-4E6E-9E70-6F3C476A7D60}" type="sibTrans" cxnId="{D6888922-B9E1-4C8D-83C8-5B5859359309}">
      <dgm:prSet/>
      <dgm:spPr/>
      <dgm:t>
        <a:bodyPr/>
        <a:lstStyle/>
        <a:p>
          <a:endParaRPr lang="en-GB"/>
        </a:p>
      </dgm:t>
    </dgm:pt>
    <dgm:pt modelId="{C83650AB-BEE1-4632-AEB6-6049580793E7}">
      <dgm:prSet phldrT="[Text]" custT="1"/>
      <dgm:spPr>
        <a:xfrm>
          <a:off x="1018603" y="156387"/>
          <a:ext cx="2336292" cy="2336292"/>
        </a:xfrm>
        <a:prstGeom prst="pie">
          <a:avLst>
            <a:gd name="adj1" fmla="val 12600000"/>
            <a:gd name="adj2" fmla="val 162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Log of PPIE activity maintained and updated with details of impact</a:t>
          </a:r>
          <a:endParaRPr lang="en-GB" sz="700" dirty="0">
            <a:solidFill>
              <a:sysClr val="windowText" lastClr="000000">
                <a:hueOff val="0"/>
                <a:satOff val="0"/>
                <a:lumOff val="0"/>
                <a:alphaOff val="0"/>
              </a:sysClr>
            </a:solidFill>
            <a:latin typeface="Calibri"/>
            <a:ea typeface="+mn-ea"/>
            <a:cs typeface="+mn-cs"/>
          </a:endParaRPr>
        </a:p>
      </dgm:t>
    </dgm:pt>
    <dgm:pt modelId="{B2F46A20-6806-4CE4-8E7F-63A9725FD024}" type="parTrans" cxnId="{E1813595-C977-467D-B4A5-881FC93E3021}">
      <dgm:prSet/>
      <dgm:spPr/>
      <dgm:t>
        <a:bodyPr/>
        <a:lstStyle/>
        <a:p>
          <a:endParaRPr lang="en-GB"/>
        </a:p>
      </dgm:t>
    </dgm:pt>
    <dgm:pt modelId="{98AB2543-F156-40A1-81B2-E242AF50AED6}" type="sibTrans" cxnId="{E1813595-C977-467D-B4A5-881FC93E3021}">
      <dgm:prSet/>
      <dgm:spPr/>
      <dgm:t>
        <a:bodyPr/>
        <a:lstStyle/>
        <a:p>
          <a:endParaRPr lang="en-GB"/>
        </a:p>
      </dgm:t>
    </dgm:pt>
    <dgm:pt modelId="{EF827649-6FA2-47F5-8C28-70017E18661E}">
      <dgm:prSet phldrT="[Text]" custT="1"/>
      <dgm:spPr>
        <a:xfrm>
          <a:off x="1074229" y="252620"/>
          <a:ext cx="2336292" cy="2336292"/>
        </a:xfrm>
        <a:prstGeom prst="pie">
          <a:avLst>
            <a:gd name="adj1" fmla="val 1800000"/>
            <a:gd name="adj2" fmla="val 54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PPIE input is shared with the oversight committees to act upon</a:t>
          </a:r>
          <a:endParaRPr lang="en-GB" sz="700" dirty="0">
            <a:solidFill>
              <a:sysClr val="windowText" lastClr="000000">
                <a:hueOff val="0"/>
                <a:satOff val="0"/>
                <a:lumOff val="0"/>
                <a:alphaOff val="0"/>
              </a:sysClr>
            </a:solidFill>
            <a:latin typeface="Calibri"/>
            <a:ea typeface="+mn-ea"/>
            <a:cs typeface="+mn-cs"/>
          </a:endParaRPr>
        </a:p>
      </dgm:t>
    </dgm:pt>
    <dgm:pt modelId="{D628677D-39FE-48BF-81BE-C1FA36AD167E}" type="parTrans" cxnId="{E391B653-FA2F-4596-85FF-47F4E6C34777}">
      <dgm:prSet/>
      <dgm:spPr/>
      <dgm:t>
        <a:bodyPr/>
        <a:lstStyle/>
        <a:p>
          <a:endParaRPr lang="en-GB"/>
        </a:p>
      </dgm:t>
    </dgm:pt>
    <dgm:pt modelId="{C72AB5D0-8BC1-4B84-BB71-01E6FF1A00B3}" type="sibTrans" cxnId="{E391B653-FA2F-4596-85FF-47F4E6C34777}">
      <dgm:prSet/>
      <dgm:spPr/>
      <dgm:t>
        <a:bodyPr/>
        <a:lstStyle/>
        <a:p>
          <a:endParaRPr lang="en-GB"/>
        </a:p>
      </dgm:t>
    </dgm:pt>
    <dgm:pt modelId="{10E466BE-2BEC-4BE7-B89A-75587FD18E4B}">
      <dgm:prSet phldrT="[Text]" custT="1"/>
      <dgm:spPr>
        <a:xfrm>
          <a:off x="1018603" y="252620"/>
          <a:ext cx="2336292" cy="2336292"/>
        </a:xfrm>
        <a:prstGeom prst="pie">
          <a:avLst>
            <a:gd name="adj1" fmla="val 5400000"/>
            <a:gd name="adj2" fmla="val 90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The oversight committees consider input and how to implement advice</a:t>
          </a:r>
          <a:endParaRPr lang="en-GB" sz="700" dirty="0">
            <a:solidFill>
              <a:sysClr val="windowText" lastClr="000000">
                <a:hueOff val="0"/>
                <a:satOff val="0"/>
                <a:lumOff val="0"/>
                <a:alphaOff val="0"/>
              </a:sysClr>
            </a:solidFill>
            <a:latin typeface="Calibri"/>
            <a:ea typeface="+mn-ea"/>
            <a:cs typeface="+mn-cs"/>
          </a:endParaRPr>
        </a:p>
      </dgm:t>
    </dgm:pt>
    <dgm:pt modelId="{567B3D83-81C6-4728-A422-EBCAE9FB0E3A}" type="parTrans" cxnId="{D132305A-17DB-4FF0-9EC2-943988901FC3}">
      <dgm:prSet/>
      <dgm:spPr/>
      <dgm:t>
        <a:bodyPr/>
        <a:lstStyle/>
        <a:p>
          <a:endParaRPr lang="en-GB"/>
        </a:p>
      </dgm:t>
    </dgm:pt>
    <dgm:pt modelId="{AC354CA6-F621-4B5F-81EC-992C2F65DC58}" type="sibTrans" cxnId="{D132305A-17DB-4FF0-9EC2-943988901FC3}">
      <dgm:prSet/>
      <dgm:spPr/>
      <dgm:t>
        <a:bodyPr/>
        <a:lstStyle/>
        <a:p>
          <a:endParaRPr lang="en-GB"/>
        </a:p>
      </dgm:t>
    </dgm:pt>
    <dgm:pt modelId="{EE92E376-80CF-48E4-A01B-D4F3C347B01E}">
      <dgm:prSet phldrT="[Text]" custT="1"/>
      <dgm:spPr>
        <a:xfrm>
          <a:off x="990790" y="204504"/>
          <a:ext cx="2336292" cy="2336292"/>
        </a:xfrm>
        <a:prstGeom prst="pie">
          <a:avLst>
            <a:gd name="adj1" fmla="val 9000000"/>
            <a:gd name="adj2" fmla="val 126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700" dirty="0">
              <a:solidFill>
                <a:sysClr val="windowText" lastClr="000000">
                  <a:hueOff val="0"/>
                  <a:satOff val="0"/>
                  <a:lumOff val="0"/>
                  <a:alphaOff val="0"/>
                </a:sysClr>
              </a:solidFill>
              <a:latin typeface="Calibri"/>
              <a:ea typeface="+mn-ea"/>
              <a:cs typeface="+mn-cs"/>
            </a:rPr>
            <a:t>PPIE lead/Trial Steering Committee  chair feed back to PPIE members of impact</a:t>
          </a:r>
          <a:endParaRPr lang="en-GB" sz="700" dirty="0">
            <a:solidFill>
              <a:sysClr val="windowText" lastClr="000000">
                <a:hueOff val="0"/>
                <a:satOff val="0"/>
                <a:lumOff val="0"/>
                <a:alphaOff val="0"/>
              </a:sysClr>
            </a:solidFill>
            <a:latin typeface="Calibri"/>
            <a:ea typeface="+mn-ea"/>
            <a:cs typeface="+mn-cs"/>
          </a:endParaRPr>
        </a:p>
      </dgm:t>
    </dgm:pt>
    <dgm:pt modelId="{DD53D82F-4D2B-438F-999C-FB5D91125A7A}" type="parTrans" cxnId="{FA135425-CCE5-47D0-8F26-32FAF9BE00DE}">
      <dgm:prSet/>
      <dgm:spPr/>
      <dgm:t>
        <a:bodyPr/>
        <a:lstStyle/>
        <a:p>
          <a:endParaRPr lang="en-GB"/>
        </a:p>
      </dgm:t>
    </dgm:pt>
    <dgm:pt modelId="{1B892A56-5A30-400B-AFD8-241BBCF2513E}" type="sibTrans" cxnId="{FA135425-CCE5-47D0-8F26-32FAF9BE00DE}">
      <dgm:prSet/>
      <dgm:spPr/>
      <dgm:t>
        <a:bodyPr/>
        <a:lstStyle/>
        <a:p>
          <a:endParaRPr lang="en-GB"/>
        </a:p>
      </dgm:t>
    </dgm:pt>
    <dgm:pt modelId="{8D1CE3DC-23E8-4320-A2A1-018420C72E4D}" type="pres">
      <dgm:prSet presAssocID="{922845F9-51FE-47D4-B147-7E8FE9F21C81}" presName="compositeShape" presStyleCnt="0">
        <dgm:presLayoutVars>
          <dgm:chMax val="7"/>
          <dgm:dir/>
          <dgm:resizeHandles val="exact"/>
        </dgm:presLayoutVars>
      </dgm:prSet>
      <dgm:spPr/>
    </dgm:pt>
    <dgm:pt modelId="{2BD2AC71-A6CE-45CD-9A16-E733D2FAD97C}" type="pres">
      <dgm:prSet presAssocID="{922845F9-51FE-47D4-B147-7E8FE9F21C81}" presName="wedge1" presStyleLbl="node1" presStyleIdx="0" presStyleCnt="6"/>
      <dgm:spPr/>
    </dgm:pt>
    <dgm:pt modelId="{81B2BA58-97E1-46E6-853E-C9604ADC9807}" type="pres">
      <dgm:prSet presAssocID="{922845F9-51FE-47D4-B147-7E8FE9F21C81}" presName="dummy1a" presStyleCnt="0"/>
      <dgm:spPr/>
    </dgm:pt>
    <dgm:pt modelId="{83EB1D4C-20A6-44FE-8804-024D2FBB9D96}" type="pres">
      <dgm:prSet presAssocID="{922845F9-51FE-47D4-B147-7E8FE9F21C81}" presName="dummy1b" presStyleCnt="0"/>
      <dgm:spPr/>
    </dgm:pt>
    <dgm:pt modelId="{7B24397D-ECF8-4ACF-9865-87EAD1A4081E}" type="pres">
      <dgm:prSet presAssocID="{922845F9-51FE-47D4-B147-7E8FE9F21C81}" presName="wedge1Tx" presStyleLbl="node1" presStyleIdx="0" presStyleCnt="6">
        <dgm:presLayoutVars>
          <dgm:chMax val="0"/>
          <dgm:chPref val="0"/>
          <dgm:bulletEnabled val="1"/>
        </dgm:presLayoutVars>
      </dgm:prSet>
      <dgm:spPr/>
    </dgm:pt>
    <dgm:pt modelId="{19BF415F-EE21-43A1-85B9-5EE361541AB5}" type="pres">
      <dgm:prSet presAssocID="{922845F9-51FE-47D4-B147-7E8FE9F21C81}" presName="wedge2" presStyleLbl="node1" presStyleIdx="1" presStyleCnt="6"/>
      <dgm:spPr/>
    </dgm:pt>
    <dgm:pt modelId="{35A7F1FC-F8DF-4D06-953D-7DDE9C8D72D9}" type="pres">
      <dgm:prSet presAssocID="{922845F9-51FE-47D4-B147-7E8FE9F21C81}" presName="dummy2a" presStyleCnt="0"/>
      <dgm:spPr/>
    </dgm:pt>
    <dgm:pt modelId="{7DDB2776-4F20-4B34-AA9E-D9EC2A197D3E}" type="pres">
      <dgm:prSet presAssocID="{922845F9-51FE-47D4-B147-7E8FE9F21C81}" presName="dummy2b" presStyleCnt="0"/>
      <dgm:spPr/>
    </dgm:pt>
    <dgm:pt modelId="{CFCBBC0E-63F3-492D-8ECB-FE3812A7772E}" type="pres">
      <dgm:prSet presAssocID="{922845F9-51FE-47D4-B147-7E8FE9F21C81}" presName="wedge2Tx" presStyleLbl="node1" presStyleIdx="1" presStyleCnt="6">
        <dgm:presLayoutVars>
          <dgm:chMax val="0"/>
          <dgm:chPref val="0"/>
          <dgm:bulletEnabled val="1"/>
        </dgm:presLayoutVars>
      </dgm:prSet>
      <dgm:spPr/>
    </dgm:pt>
    <dgm:pt modelId="{9452CA96-39BC-4BA7-9359-EEA01974ABE1}" type="pres">
      <dgm:prSet presAssocID="{922845F9-51FE-47D4-B147-7E8FE9F21C81}" presName="wedge3" presStyleLbl="node1" presStyleIdx="2" presStyleCnt="6"/>
      <dgm:spPr/>
    </dgm:pt>
    <dgm:pt modelId="{3E5C5089-5234-41A0-B001-4A0AB69F32B6}" type="pres">
      <dgm:prSet presAssocID="{922845F9-51FE-47D4-B147-7E8FE9F21C81}" presName="dummy3a" presStyleCnt="0"/>
      <dgm:spPr/>
    </dgm:pt>
    <dgm:pt modelId="{EBD946B7-68B5-44A0-9ADC-29412397303F}" type="pres">
      <dgm:prSet presAssocID="{922845F9-51FE-47D4-B147-7E8FE9F21C81}" presName="dummy3b" presStyleCnt="0"/>
      <dgm:spPr/>
    </dgm:pt>
    <dgm:pt modelId="{83E94DEE-4B58-455D-B6DD-9C165738BE74}" type="pres">
      <dgm:prSet presAssocID="{922845F9-51FE-47D4-B147-7E8FE9F21C81}" presName="wedge3Tx" presStyleLbl="node1" presStyleIdx="2" presStyleCnt="6">
        <dgm:presLayoutVars>
          <dgm:chMax val="0"/>
          <dgm:chPref val="0"/>
          <dgm:bulletEnabled val="1"/>
        </dgm:presLayoutVars>
      </dgm:prSet>
      <dgm:spPr/>
    </dgm:pt>
    <dgm:pt modelId="{641DB16C-41C1-4F58-8A25-5CA9852CDC7B}" type="pres">
      <dgm:prSet presAssocID="{922845F9-51FE-47D4-B147-7E8FE9F21C81}" presName="wedge4" presStyleLbl="node1" presStyleIdx="3" presStyleCnt="6"/>
      <dgm:spPr/>
    </dgm:pt>
    <dgm:pt modelId="{B4905DFF-2466-44FE-8F76-D0E90346B042}" type="pres">
      <dgm:prSet presAssocID="{922845F9-51FE-47D4-B147-7E8FE9F21C81}" presName="dummy4a" presStyleCnt="0"/>
      <dgm:spPr/>
    </dgm:pt>
    <dgm:pt modelId="{77D1253F-80CB-44E3-B30C-7A302D7DB435}" type="pres">
      <dgm:prSet presAssocID="{922845F9-51FE-47D4-B147-7E8FE9F21C81}" presName="dummy4b" presStyleCnt="0"/>
      <dgm:spPr/>
    </dgm:pt>
    <dgm:pt modelId="{4936DE67-FE1D-4A20-ABCF-A7A693E81AAE}" type="pres">
      <dgm:prSet presAssocID="{922845F9-51FE-47D4-B147-7E8FE9F21C81}" presName="wedge4Tx" presStyleLbl="node1" presStyleIdx="3" presStyleCnt="6">
        <dgm:presLayoutVars>
          <dgm:chMax val="0"/>
          <dgm:chPref val="0"/>
          <dgm:bulletEnabled val="1"/>
        </dgm:presLayoutVars>
      </dgm:prSet>
      <dgm:spPr/>
    </dgm:pt>
    <dgm:pt modelId="{2A7E576E-ED71-4E3E-9EA9-332B526E3FD4}" type="pres">
      <dgm:prSet presAssocID="{922845F9-51FE-47D4-B147-7E8FE9F21C81}" presName="wedge5" presStyleLbl="node1" presStyleIdx="4" presStyleCnt="6"/>
      <dgm:spPr/>
    </dgm:pt>
    <dgm:pt modelId="{CEB6CDDE-1780-4D42-A8BD-2B7110D6EBF3}" type="pres">
      <dgm:prSet presAssocID="{922845F9-51FE-47D4-B147-7E8FE9F21C81}" presName="dummy5a" presStyleCnt="0"/>
      <dgm:spPr/>
    </dgm:pt>
    <dgm:pt modelId="{4EA9C56C-0803-450F-B14D-E5F1172B6D58}" type="pres">
      <dgm:prSet presAssocID="{922845F9-51FE-47D4-B147-7E8FE9F21C81}" presName="dummy5b" presStyleCnt="0"/>
      <dgm:spPr/>
    </dgm:pt>
    <dgm:pt modelId="{888A3A03-1379-4923-A4C9-118D475CD5FE}" type="pres">
      <dgm:prSet presAssocID="{922845F9-51FE-47D4-B147-7E8FE9F21C81}" presName="wedge5Tx" presStyleLbl="node1" presStyleIdx="4" presStyleCnt="6">
        <dgm:presLayoutVars>
          <dgm:chMax val="0"/>
          <dgm:chPref val="0"/>
          <dgm:bulletEnabled val="1"/>
        </dgm:presLayoutVars>
      </dgm:prSet>
      <dgm:spPr/>
    </dgm:pt>
    <dgm:pt modelId="{3B322F60-0361-4E88-B762-BBF2CC606BAB}" type="pres">
      <dgm:prSet presAssocID="{922845F9-51FE-47D4-B147-7E8FE9F21C81}" presName="wedge6" presStyleLbl="node1" presStyleIdx="5" presStyleCnt="6"/>
      <dgm:spPr/>
    </dgm:pt>
    <dgm:pt modelId="{E4BBB2DB-3A0C-41F0-AEA2-C35FBC8AC7DE}" type="pres">
      <dgm:prSet presAssocID="{922845F9-51FE-47D4-B147-7E8FE9F21C81}" presName="dummy6a" presStyleCnt="0"/>
      <dgm:spPr/>
    </dgm:pt>
    <dgm:pt modelId="{0305F685-7C30-4BB1-8280-67F761C45BE5}" type="pres">
      <dgm:prSet presAssocID="{922845F9-51FE-47D4-B147-7E8FE9F21C81}" presName="dummy6b" presStyleCnt="0"/>
      <dgm:spPr/>
    </dgm:pt>
    <dgm:pt modelId="{4C9B52BB-9990-4BEC-B40E-981D96734903}" type="pres">
      <dgm:prSet presAssocID="{922845F9-51FE-47D4-B147-7E8FE9F21C81}" presName="wedge6Tx" presStyleLbl="node1" presStyleIdx="5" presStyleCnt="6">
        <dgm:presLayoutVars>
          <dgm:chMax val="0"/>
          <dgm:chPref val="0"/>
          <dgm:bulletEnabled val="1"/>
        </dgm:presLayoutVars>
      </dgm:prSet>
      <dgm:spPr/>
    </dgm:pt>
    <dgm:pt modelId="{10C9B828-5822-49F8-AD6D-EE43820B7A38}" type="pres">
      <dgm:prSet presAssocID="{1C0C8DC7-C986-4E02-89D6-6F713DE3C9C8}" presName="arrowWedge1" presStyleLbl="fgSibTrans2D1" presStyleIdx="0" presStyleCnt="6"/>
      <dgm:spPr>
        <a:xfrm>
          <a:off x="929516" y="11759"/>
          <a:ext cx="2625547" cy="2625547"/>
        </a:xfrm>
        <a:prstGeom prst="circularArrow">
          <a:avLst>
            <a:gd name="adj1" fmla="val 5085"/>
            <a:gd name="adj2" fmla="val 327528"/>
            <a:gd name="adj3" fmla="val 19472472"/>
            <a:gd name="adj4" fmla="val 16200251"/>
            <a:gd name="adj5" fmla="val 5932"/>
          </a:avLst>
        </a:prstGeom>
        <a:solidFill>
          <a:sysClr val="windowText" lastClr="000000">
            <a:tint val="60000"/>
            <a:hueOff val="0"/>
            <a:satOff val="0"/>
            <a:lumOff val="0"/>
            <a:alphaOff val="0"/>
          </a:sysClr>
        </a:solidFill>
        <a:ln>
          <a:noFill/>
        </a:ln>
        <a:effectLst/>
      </dgm:spPr>
    </dgm:pt>
    <dgm:pt modelId="{D6B1F039-290D-4DF1-8D78-E92F52276D28}" type="pres">
      <dgm:prSet presAssocID="{3F21DCD1-9C44-4E6E-9E70-6F3C476A7D60}" presName="arrowWedge2" presStyleLbl="fgSibTrans2D1" presStyleIdx="1" presStyleCnt="6"/>
      <dgm:spPr>
        <a:xfrm>
          <a:off x="957329" y="59876"/>
          <a:ext cx="2625547" cy="2625547"/>
        </a:xfrm>
        <a:prstGeom prst="circularArrow">
          <a:avLst>
            <a:gd name="adj1" fmla="val 5085"/>
            <a:gd name="adj2" fmla="val 327528"/>
            <a:gd name="adj3" fmla="val 1472472"/>
            <a:gd name="adj4" fmla="val 19800000"/>
            <a:gd name="adj5" fmla="val 5932"/>
          </a:avLst>
        </a:prstGeom>
        <a:solidFill>
          <a:sysClr val="windowText" lastClr="000000">
            <a:tint val="60000"/>
            <a:hueOff val="0"/>
            <a:satOff val="0"/>
            <a:lumOff val="0"/>
            <a:alphaOff val="0"/>
          </a:sysClr>
        </a:solidFill>
        <a:ln>
          <a:noFill/>
        </a:ln>
        <a:effectLst/>
      </dgm:spPr>
    </dgm:pt>
    <dgm:pt modelId="{39CB68AA-06CE-43A6-85D6-D2F5FEABCA05}" type="pres">
      <dgm:prSet presAssocID="{C72AB5D0-8BC1-4B84-BB71-01E6FF1A00B3}" presName="arrowWedge3" presStyleLbl="fgSibTrans2D1" presStyleIdx="2" presStyleCnt="6"/>
      <dgm:spPr>
        <a:xfrm>
          <a:off x="929516" y="107992"/>
          <a:ext cx="2625547" cy="2625547"/>
        </a:xfrm>
        <a:prstGeom prst="circularArrow">
          <a:avLst>
            <a:gd name="adj1" fmla="val 5085"/>
            <a:gd name="adj2" fmla="val 327528"/>
            <a:gd name="adj3" fmla="val 5072221"/>
            <a:gd name="adj4" fmla="val 1800000"/>
            <a:gd name="adj5" fmla="val 5932"/>
          </a:avLst>
        </a:prstGeom>
        <a:solidFill>
          <a:sysClr val="windowText" lastClr="000000">
            <a:tint val="60000"/>
            <a:hueOff val="0"/>
            <a:satOff val="0"/>
            <a:lumOff val="0"/>
            <a:alphaOff val="0"/>
          </a:sysClr>
        </a:solidFill>
        <a:ln>
          <a:noFill/>
        </a:ln>
        <a:effectLst/>
      </dgm:spPr>
    </dgm:pt>
    <dgm:pt modelId="{0820F4D1-0251-4A48-AFAD-40981AA6BBFA}" type="pres">
      <dgm:prSet presAssocID="{AC354CA6-F621-4B5F-81EC-992C2F65DC58}" presName="arrowWedge4" presStyleLbl="fgSibTrans2D1" presStyleIdx="3" presStyleCnt="6"/>
      <dgm:spPr>
        <a:xfrm>
          <a:off x="874061" y="107992"/>
          <a:ext cx="2625547" cy="2625547"/>
        </a:xfrm>
        <a:prstGeom prst="circularArrow">
          <a:avLst>
            <a:gd name="adj1" fmla="val 5085"/>
            <a:gd name="adj2" fmla="val 327528"/>
            <a:gd name="adj3" fmla="val 8672472"/>
            <a:gd name="adj4" fmla="val 5400251"/>
            <a:gd name="adj5" fmla="val 5932"/>
          </a:avLst>
        </a:prstGeom>
        <a:solidFill>
          <a:sysClr val="windowText" lastClr="000000">
            <a:tint val="60000"/>
            <a:hueOff val="0"/>
            <a:satOff val="0"/>
            <a:lumOff val="0"/>
            <a:alphaOff val="0"/>
          </a:sysClr>
        </a:solidFill>
        <a:ln>
          <a:noFill/>
        </a:ln>
        <a:effectLst/>
      </dgm:spPr>
    </dgm:pt>
    <dgm:pt modelId="{E58134EC-6BEB-4EEF-8492-96EA26E0D7AC}" type="pres">
      <dgm:prSet presAssocID="{1B892A56-5A30-400B-AFD8-241BBCF2513E}" presName="arrowWedge5" presStyleLbl="fgSibTrans2D1" presStyleIdx="4" presStyleCnt="6"/>
      <dgm:spPr>
        <a:xfrm>
          <a:off x="846248" y="59876"/>
          <a:ext cx="2625547" cy="2625547"/>
        </a:xfrm>
        <a:prstGeom prst="circularArrow">
          <a:avLst>
            <a:gd name="adj1" fmla="val 5085"/>
            <a:gd name="adj2" fmla="val 327528"/>
            <a:gd name="adj3" fmla="val 12272472"/>
            <a:gd name="adj4" fmla="val 9000000"/>
            <a:gd name="adj5" fmla="val 5932"/>
          </a:avLst>
        </a:prstGeom>
        <a:solidFill>
          <a:sysClr val="windowText" lastClr="000000">
            <a:tint val="60000"/>
            <a:hueOff val="0"/>
            <a:satOff val="0"/>
            <a:lumOff val="0"/>
            <a:alphaOff val="0"/>
          </a:sysClr>
        </a:solidFill>
        <a:ln>
          <a:noFill/>
        </a:ln>
        <a:effectLst/>
      </dgm:spPr>
    </dgm:pt>
    <dgm:pt modelId="{214205B9-7F8C-42DF-A765-54B4E2822522}" type="pres">
      <dgm:prSet presAssocID="{98AB2543-F156-40A1-81B2-E242AF50AED6}" presName="arrowWedge6" presStyleLbl="fgSibTrans2D1" presStyleIdx="5" presStyleCnt="6"/>
      <dgm:spPr>
        <a:xfrm>
          <a:off x="874061" y="11759"/>
          <a:ext cx="2625547" cy="2625547"/>
        </a:xfrm>
        <a:prstGeom prst="circularArrow">
          <a:avLst>
            <a:gd name="adj1" fmla="val 5085"/>
            <a:gd name="adj2" fmla="val 327528"/>
            <a:gd name="adj3" fmla="val 15872221"/>
            <a:gd name="adj4" fmla="val 12600000"/>
            <a:gd name="adj5" fmla="val 5932"/>
          </a:avLst>
        </a:prstGeom>
        <a:solidFill>
          <a:sysClr val="windowText" lastClr="000000">
            <a:tint val="60000"/>
            <a:hueOff val="0"/>
            <a:satOff val="0"/>
            <a:lumOff val="0"/>
            <a:alphaOff val="0"/>
          </a:sysClr>
        </a:solidFill>
        <a:ln>
          <a:noFill/>
        </a:ln>
        <a:effectLst/>
      </dgm:spPr>
    </dgm:pt>
  </dgm:ptLst>
  <dgm:cxnLst>
    <dgm:cxn modelId="{C79B4F07-3F5C-4D0D-B10E-889B1E8CBCC5}" type="presOf" srcId="{EE92E376-80CF-48E4-A01B-D4F3C347B01E}" destId="{2A7E576E-ED71-4E3E-9EA9-332B526E3FD4}" srcOrd="0" destOrd="0" presId="urn:microsoft.com/office/officeart/2005/8/layout/cycle8"/>
    <dgm:cxn modelId="{A8D97D15-9ABA-4825-8CF5-EFF1CBE40E92}" type="presOf" srcId="{ED1BBB46-6281-4819-9EED-E65EE1F3E41E}" destId="{CFCBBC0E-63F3-492D-8ECB-FE3812A7772E}" srcOrd="1" destOrd="0" presId="urn:microsoft.com/office/officeart/2005/8/layout/cycle8"/>
    <dgm:cxn modelId="{D6888922-B9E1-4C8D-83C8-5B5859359309}" srcId="{922845F9-51FE-47D4-B147-7E8FE9F21C81}" destId="{ED1BBB46-6281-4819-9EED-E65EE1F3E41E}" srcOrd="1" destOrd="0" parTransId="{BAC7B32B-F959-4300-94FD-3367CE7E9BB7}" sibTransId="{3F21DCD1-9C44-4E6E-9E70-6F3C476A7D60}"/>
    <dgm:cxn modelId="{23E6BB24-3635-4205-A2F0-1BDBCB2520E2}" type="presOf" srcId="{10E466BE-2BEC-4BE7-B89A-75587FD18E4B}" destId="{4936DE67-FE1D-4A20-ABCF-A7A693E81AAE}" srcOrd="1" destOrd="0" presId="urn:microsoft.com/office/officeart/2005/8/layout/cycle8"/>
    <dgm:cxn modelId="{FA135425-CCE5-47D0-8F26-32FAF9BE00DE}" srcId="{922845F9-51FE-47D4-B147-7E8FE9F21C81}" destId="{EE92E376-80CF-48E4-A01B-D4F3C347B01E}" srcOrd="4" destOrd="0" parTransId="{DD53D82F-4D2B-438F-999C-FB5D91125A7A}" sibTransId="{1B892A56-5A30-400B-AFD8-241BBCF2513E}"/>
    <dgm:cxn modelId="{D723882E-28C6-47A5-BA83-B1631AA6F6DC}" type="presOf" srcId="{EF827649-6FA2-47F5-8C28-70017E18661E}" destId="{9452CA96-39BC-4BA7-9359-EEA01974ABE1}" srcOrd="0" destOrd="0" presId="urn:microsoft.com/office/officeart/2005/8/layout/cycle8"/>
    <dgm:cxn modelId="{A9499B43-3BC1-4BF4-BF65-C470FBD93E89}" type="presOf" srcId="{922845F9-51FE-47D4-B147-7E8FE9F21C81}" destId="{8D1CE3DC-23E8-4320-A2A1-018420C72E4D}" srcOrd="0" destOrd="0" presId="urn:microsoft.com/office/officeart/2005/8/layout/cycle8"/>
    <dgm:cxn modelId="{27A92945-EE45-4C4A-AEDF-89B710DF24B3}" type="presOf" srcId="{C83650AB-BEE1-4632-AEB6-6049580793E7}" destId="{3B322F60-0361-4E88-B762-BBF2CC606BAB}" srcOrd="0" destOrd="0" presId="urn:microsoft.com/office/officeart/2005/8/layout/cycle8"/>
    <dgm:cxn modelId="{0687966C-DC3B-442D-A9DC-084352C4C94E}" type="presOf" srcId="{EF827649-6FA2-47F5-8C28-70017E18661E}" destId="{83E94DEE-4B58-455D-B6DD-9C165738BE74}" srcOrd="1" destOrd="0" presId="urn:microsoft.com/office/officeart/2005/8/layout/cycle8"/>
    <dgm:cxn modelId="{074F9C71-72FA-437F-A4EA-BFFAE90B9D3D}" type="presOf" srcId="{78424BE1-2463-43B1-85D4-F640F5D73220}" destId="{7B24397D-ECF8-4ACF-9865-87EAD1A4081E}" srcOrd="1" destOrd="0" presId="urn:microsoft.com/office/officeart/2005/8/layout/cycle8"/>
    <dgm:cxn modelId="{E391B653-FA2F-4596-85FF-47F4E6C34777}" srcId="{922845F9-51FE-47D4-B147-7E8FE9F21C81}" destId="{EF827649-6FA2-47F5-8C28-70017E18661E}" srcOrd="2" destOrd="0" parTransId="{D628677D-39FE-48BF-81BE-C1FA36AD167E}" sibTransId="{C72AB5D0-8BC1-4B84-BB71-01E6FF1A00B3}"/>
    <dgm:cxn modelId="{44AB9757-BAE7-4994-B36E-FBD3118FB171}" type="presOf" srcId="{C83650AB-BEE1-4632-AEB6-6049580793E7}" destId="{4C9B52BB-9990-4BEC-B40E-981D96734903}" srcOrd="1" destOrd="0" presId="urn:microsoft.com/office/officeart/2005/8/layout/cycle8"/>
    <dgm:cxn modelId="{D132305A-17DB-4FF0-9EC2-943988901FC3}" srcId="{922845F9-51FE-47D4-B147-7E8FE9F21C81}" destId="{10E466BE-2BEC-4BE7-B89A-75587FD18E4B}" srcOrd="3" destOrd="0" parTransId="{567B3D83-81C6-4728-A422-EBCAE9FB0E3A}" sibTransId="{AC354CA6-F621-4B5F-81EC-992C2F65DC58}"/>
    <dgm:cxn modelId="{E1813595-C977-467D-B4A5-881FC93E3021}" srcId="{922845F9-51FE-47D4-B147-7E8FE9F21C81}" destId="{C83650AB-BEE1-4632-AEB6-6049580793E7}" srcOrd="5" destOrd="0" parTransId="{B2F46A20-6806-4CE4-8E7F-63A9725FD024}" sibTransId="{98AB2543-F156-40A1-81B2-E242AF50AED6}"/>
    <dgm:cxn modelId="{29D8F2CC-08D3-4E04-A732-79634850463F}" type="presOf" srcId="{ED1BBB46-6281-4819-9EED-E65EE1F3E41E}" destId="{19BF415F-EE21-43A1-85B9-5EE361541AB5}" srcOrd="0" destOrd="0" presId="urn:microsoft.com/office/officeart/2005/8/layout/cycle8"/>
    <dgm:cxn modelId="{6C4A61CE-D46B-40BD-9C89-F9A187BE73C8}" type="presOf" srcId="{EE92E376-80CF-48E4-A01B-D4F3C347B01E}" destId="{888A3A03-1379-4923-A4C9-118D475CD5FE}" srcOrd="1" destOrd="0" presId="urn:microsoft.com/office/officeart/2005/8/layout/cycle8"/>
    <dgm:cxn modelId="{4E3580D2-9B48-4DBC-A17E-3D1B345C0298}" type="presOf" srcId="{78424BE1-2463-43B1-85D4-F640F5D73220}" destId="{2BD2AC71-A6CE-45CD-9A16-E733D2FAD97C}" srcOrd="0" destOrd="0" presId="urn:microsoft.com/office/officeart/2005/8/layout/cycle8"/>
    <dgm:cxn modelId="{2BF902DB-96E2-4245-B8BC-4A2E63294A5B}" type="presOf" srcId="{10E466BE-2BEC-4BE7-B89A-75587FD18E4B}" destId="{641DB16C-41C1-4F58-8A25-5CA9852CDC7B}" srcOrd="0" destOrd="0" presId="urn:microsoft.com/office/officeart/2005/8/layout/cycle8"/>
    <dgm:cxn modelId="{09B698EB-D73E-489F-BB41-A6DFB01F5ECD}" srcId="{922845F9-51FE-47D4-B147-7E8FE9F21C81}" destId="{78424BE1-2463-43B1-85D4-F640F5D73220}" srcOrd="0" destOrd="0" parTransId="{F8FD8E3D-6630-4604-9715-813AF6FC5C1E}" sibTransId="{1C0C8DC7-C986-4E02-89D6-6F713DE3C9C8}"/>
    <dgm:cxn modelId="{738284AA-E332-4183-9460-4BC7C5B76BF0}" type="presParOf" srcId="{8D1CE3DC-23E8-4320-A2A1-018420C72E4D}" destId="{2BD2AC71-A6CE-45CD-9A16-E733D2FAD97C}" srcOrd="0" destOrd="0" presId="urn:microsoft.com/office/officeart/2005/8/layout/cycle8"/>
    <dgm:cxn modelId="{EC008771-5D9B-45CB-86E7-6D62CE4575BA}" type="presParOf" srcId="{8D1CE3DC-23E8-4320-A2A1-018420C72E4D}" destId="{81B2BA58-97E1-46E6-853E-C9604ADC9807}" srcOrd="1" destOrd="0" presId="urn:microsoft.com/office/officeart/2005/8/layout/cycle8"/>
    <dgm:cxn modelId="{01645D04-2751-4182-B151-D21403F3A549}" type="presParOf" srcId="{8D1CE3DC-23E8-4320-A2A1-018420C72E4D}" destId="{83EB1D4C-20A6-44FE-8804-024D2FBB9D96}" srcOrd="2" destOrd="0" presId="urn:microsoft.com/office/officeart/2005/8/layout/cycle8"/>
    <dgm:cxn modelId="{5C2E29BC-1B49-4DE3-A795-9FF0935F0E02}" type="presParOf" srcId="{8D1CE3DC-23E8-4320-A2A1-018420C72E4D}" destId="{7B24397D-ECF8-4ACF-9865-87EAD1A4081E}" srcOrd="3" destOrd="0" presId="urn:microsoft.com/office/officeart/2005/8/layout/cycle8"/>
    <dgm:cxn modelId="{B66F773A-9576-4E47-826B-9F5830979B89}" type="presParOf" srcId="{8D1CE3DC-23E8-4320-A2A1-018420C72E4D}" destId="{19BF415F-EE21-43A1-85B9-5EE361541AB5}" srcOrd="4" destOrd="0" presId="urn:microsoft.com/office/officeart/2005/8/layout/cycle8"/>
    <dgm:cxn modelId="{B3E30A78-5037-408A-A50B-7528D27597A4}" type="presParOf" srcId="{8D1CE3DC-23E8-4320-A2A1-018420C72E4D}" destId="{35A7F1FC-F8DF-4D06-953D-7DDE9C8D72D9}" srcOrd="5" destOrd="0" presId="urn:microsoft.com/office/officeart/2005/8/layout/cycle8"/>
    <dgm:cxn modelId="{C4D6687D-EAAD-474C-B8FA-72F6E1CCEC0C}" type="presParOf" srcId="{8D1CE3DC-23E8-4320-A2A1-018420C72E4D}" destId="{7DDB2776-4F20-4B34-AA9E-D9EC2A197D3E}" srcOrd="6" destOrd="0" presId="urn:microsoft.com/office/officeart/2005/8/layout/cycle8"/>
    <dgm:cxn modelId="{9B5A4D98-6A4F-47E0-8625-D721B43DDF49}" type="presParOf" srcId="{8D1CE3DC-23E8-4320-A2A1-018420C72E4D}" destId="{CFCBBC0E-63F3-492D-8ECB-FE3812A7772E}" srcOrd="7" destOrd="0" presId="urn:microsoft.com/office/officeart/2005/8/layout/cycle8"/>
    <dgm:cxn modelId="{976688C7-211A-4E4A-9C9A-4B36C9BA0D01}" type="presParOf" srcId="{8D1CE3DC-23E8-4320-A2A1-018420C72E4D}" destId="{9452CA96-39BC-4BA7-9359-EEA01974ABE1}" srcOrd="8" destOrd="0" presId="urn:microsoft.com/office/officeart/2005/8/layout/cycle8"/>
    <dgm:cxn modelId="{D77D334F-789D-4C07-98BC-7C000BEFE649}" type="presParOf" srcId="{8D1CE3DC-23E8-4320-A2A1-018420C72E4D}" destId="{3E5C5089-5234-41A0-B001-4A0AB69F32B6}" srcOrd="9" destOrd="0" presId="urn:microsoft.com/office/officeart/2005/8/layout/cycle8"/>
    <dgm:cxn modelId="{992D2579-0578-48D7-80C8-2C9A537CA0CC}" type="presParOf" srcId="{8D1CE3DC-23E8-4320-A2A1-018420C72E4D}" destId="{EBD946B7-68B5-44A0-9ADC-29412397303F}" srcOrd="10" destOrd="0" presId="urn:microsoft.com/office/officeart/2005/8/layout/cycle8"/>
    <dgm:cxn modelId="{6A8B04CC-82C6-43B4-89DB-B9F5A0471527}" type="presParOf" srcId="{8D1CE3DC-23E8-4320-A2A1-018420C72E4D}" destId="{83E94DEE-4B58-455D-B6DD-9C165738BE74}" srcOrd="11" destOrd="0" presId="urn:microsoft.com/office/officeart/2005/8/layout/cycle8"/>
    <dgm:cxn modelId="{FE158F12-B698-4D40-9F19-7CEA84DDF0D5}" type="presParOf" srcId="{8D1CE3DC-23E8-4320-A2A1-018420C72E4D}" destId="{641DB16C-41C1-4F58-8A25-5CA9852CDC7B}" srcOrd="12" destOrd="0" presId="urn:microsoft.com/office/officeart/2005/8/layout/cycle8"/>
    <dgm:cxn modelId="{D7E13355-2447-4CE2-BA77-C53656D252FF}" type="presParOf" srcId="{8D1CE3DC-23E8-4320-A2A1-018420C72E4D}" destId="{B4905DFF-2466-44FE-8F76-D0E90346B042}" srcOrd="13" destOrd="0" presId="urn:microsoft.com/office/officeart/2005/8/layout/cycle8"/>
    <dgm:cxn modelId="{4E3B94E4-8500-4D38-8D5D-0081EC39E01E}" type="presParOf" srcId="{8D1CE3DC-23E8-4320-A2A1-018420C72E4D}" destId="{77D1253F-80CB-44E3-B30C-7A302D7DB435}" srcOrd="14" destOrd="0" presId="urn:microsoft.com/office/officeart/2005/8/layout/cycle8"/>
    <dgm:cxn modelId="{9126ED2E-B635-4133-8F91-8F2C433C38BD}" type="presParOf" srcId="{8D1CE3DC-23E8-4320-A2A1-018420C72E4D}" destId="{4936DE67-FE1D-4A20-ABCF-A7A693E81AAE}" srcOrd="15" destOrd="0" presId="urn:microsoft.com/office/officeart/2005/8/layout/cycle8"/>
    <dgm:cxn modelId="{547D2F7C-2ED8-4CCB-957E-B77CB5107EA3}" type="presParOf" srcId="{8D1CE3DC-23E8-4320-A2A1-018420C72E4D}" destId="{2A7E576E-ED71-4E3E-9EA9-332B526E3FD4}" srcOrd="16" destOrd="0" presId="urn:microsoft.com/office/officeart/2005/8/layout/cycle8"/>
    <dgm:cxn modelId="{54D21943-CDF6-4A73-8E20-9B03D590AFD6}" type="presParOf" srcId="{8D1CE3DC-23E8-4320-A2A1-018420C72E4D}" destId="{CEB6CDDE-1780-4D42-A8BD-2B7110D6EBF3}" srcOrd="17" destOrd="0" presId="urn:microsoft.com/office/officeart/2005/8/layout/cycle8"/>
    <dgm:cxn modelId="{36133D16-2644-4256-8709-CDAECB011E39}" type="presParOf" srcId="{8D1CE3DC-23E8-4320-A2A1-018420C72E4D}" destId="{4EA9C56C-0803-450F-B14D-E5F1172B6D58}" srcOrd="18" destOrd="0" presId="urn:microsoft.com/office/officeart/2005/8/layout/cycle8"/>
    <dgm:cxn modelId="{35D6E841-7539-4EBF-9BBC-5316894F341B}" type="presParOf" srcId="{8D1CE3DC-23E8-4320-A2A1-018420C72E4D}" destId="{888A3A03-1379-4923-A4C9-118D475CD5FE}" srcOrd="19" destOrd="0" presId="urn:microsoft.com/office/officeart/2005/8/layout/cycle8"/>
    <dgm:cxn modelId="{89AE5F8B-61CE-42B1-86CB-A950EB952EFB}" type="presParOf" srcId="{8D1CE3DC-23E8-4320-A2A1-018420C72E4D}" destId="{3B322F60-0361-4E88-B762-BBF2CC606BAB}" srcOrd="20" destOrd="0" presId="urn:microsoft.com/office/officeart/2005/8/layout/cycle8"/>
    <dgm:cxn modelId="{34715F66-C95C-4687-9680-16CA8C4B7C63}" type="presParOf" srcId="{8D1CE3DC-23E8-4320-A2A1-018420C72E4D}" destId="{E4BBB2DB-3A0C-41F0-AEA2-C35FBC8AC7DE}" srcOrd="21" destOrd="0" presId="urn:microsoft.com/office/officeart/2005/8/layout/cycle8"/>
    <dgm:cxn modelId="{B90FB333-5423-4322-98B4-5AE6FCAECF3A}" type="presParOf" srcId="{8D1CE3DC-23E8-4320-A2A1-018420C72E4D}" destId="{0305F685-7C30-4BB1-8280-67F761C45BE5}" srcOrd="22" destOrd="0" presId="urn:microsoft.com/office/officeart/2005/8/layout/cycle8"/>
    <dgm:cxn modelId="{D0D0BFAA-21B9-4EFD-BC70-951CA2DA38AB}" type="presParOf" srcId="{8D1CE3DC-23E8-4320-A2A1-018420C72E4D}" destId="{4C9B52BB-9990-4BEC-B40E-981D96734903}" srcOrd="23" destOrd="0" presId="urn:microsoft.com/office/officeart/2005/8/layout/cycle8"/>
    <dgm:cxn modelId="{1BE2025D-61D7-457C-A73B-57C7B94D69FA}" type="presParOf" srcId="{8D1CE3DC-23E8-4320-A2A1-018420C72E4D}" destId="{10C9B828-5822-49F8-AD6D-EE43820B7A38}" srcOrd="24" destOrd="0" presId="urn:microsoft.com/office/officeart/2005/8/layout/cycle8"/>
    <dgm:cxn modelId="{9B0E4C87-1B74-4C69-B8A3-F7D27853BBED}" type="presParOf" srcId="{8D1CE3DC-23E8-4320-A2A1-018420C72E4D}" destId="{D6B1F039-290D-4DF1-8D78-E92F52276D28}" srcOrd="25" destOrd="0" presId="urn:microsoft.com/office/officeart/2005/8/layout/cycle8"/>
    <dgm:cxn modelId="{5F0EFA8C-5E87-424F-893C-3E0EA841B38A}" type="presParOf" srcId="{8D1CE3DC-23E8-4320-A2A1-018420C72E4D}" destId="{39CB68AA-06CE-43A6-85D6-D2F5FEABCA05}" srcOrd="26" destOrd="0" presId="urn:microsoft.com/office/officeart/2005/8/layout/cycle8"/>
    <dgm:cxn modelId="{CE7373F6-395E-46DC-B4AB-AFCDED2DDA3F}" type="presParOf" srcId="{8D1CE3DC-23E8-4320-A2A1-018420C72E4D}" destId="{0820F4D1-0251-4A48-AFAD-40981AA6BBFA}" srcOrd="27" destOrd="0" presId="urn:microsoft.com/office/officeart/2005/8/layout/cycle8"/>
    <dgm:cxn modelId="{A6BAC73C-88F9-466F-B7E9-F29322E9AA6A}" type="presParOf" srcId="{8D1CE3DC-23E8-4320-A2A1-018420C72E4D}" destId="{E58134EC-6BEB-4EEF-8492-96EA26E0D7AC}" srcOrd="28" destOrd="0" presId="urn:microsoft.com/office/officeart/2005/8/layout/cycle8"/>
    <dgm:cxn modelId="{588C1B60-92FE-455C-8EAE-B028DC7F4CBC}" type="presParOf" srcId="{8D1CE3DC-23E8-4320-A2A1-018420C72E4D}" destId="{214205B9-7F8C-42DF-A765-54B4E2822522}" srcOrd="29"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2AC71-A6CE-45CD-9A16-E733D2FAD97C}">
      <dsp:nvSpPr>
        <dsp:cNvPr id="0" name=""/>
        <dsp:cNvSpPr/>
      </dsp:nvSpPr>
      <dsp:spPr>
        <a:xfrm>
          <a:off x="1251457" y="205757"/>
          <a:ext cx="2997708" cy="2997708"/>
        </a:xfrm>
        <a:prstGeom prst="pie">
          <a:avLst>
            <a:gd name="adj1" fmla="val 16200000"/>
            <a:gd name="adj2" fmla="val 198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Oversight committees agree on themes for discussion by PPIE members</a:t>
          </a:r>
          <a:endParaRPr lang="en-GB" sz="700" kern="1200" dirty="0">
            <a:solidFill>
              <a:sysClr val="windowText" lastClr="000000">
                <a:hueOff val="0"/>
                <a:satOff val="0"/>
                <a:lumOff val="0"/>
                <a:alphaOff val="0"/>
              </a:sysClr>
            </a:solidFill>
            <a:latin typeface="Calibri"/>
            <a:ea typeface="+mn-ea"/>
            <a:cs typeface="+mn-cs"/>
          </a:endParaRPr>
        </a:p>
      </dsp:txBody>
      <dsp:txXfrm>
        <a:off x="2936663" y="677524"/>
        <a:ext cx="555160" cy="428987"/>
      </dsp:txXfrm>
    </dsp:sp>
    <dsp:sp modelId="{19BF415F-EE21-43A1-85B9-5EE361541AB5}">
      <dsp:nvSpPr>
        <dsp:cNvPr id="0" name=""/>
        <dsp:cNvSpPr/>
      </dsp:nvSpPr>
      <dsp:spPr>
        <a:xfrm>
          <a:off x="1287144" y="267495"/>
          <a:ext cx="2997708" cy="2997708"/>
        </a:xfrm>
        <a:prstGeom prst="pie">
          <a:avLst>
            <a:gd name="adj1" fmla="val 19800000"/>
            <a:gd name="adj2" fmla="val 18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PPIE lead/Trial Steering Committee chair presents themes for discussion and input</a:t>
          </a:r>
          <a:endParaRPr lang="en-GB" sz="700" kern="1200" dirty="0">
            <a:solidFill>
              <a:sysClr val="windowText" lastClr="000000">
                <a:hueOff val="0"/>
                <a:satOff val="0"/>
                <a:lumOff val="0"/>
                <a:alphaOff val="0"/>
              </a:sysClr>
            </a:solidFill>
            <a:latin typeface="Calibri"/>
            <a:ea typeface="+mn-ea"/>
            <a:cs typeface="+mn-cs"/>
          </a:endParaRPr>
        </a:p>
      </dsp:txBody>
      <dsp:txXfrm>
        <a:off x="3441508" y="1567087"/>
        <a:ext cx="580393" cy="416369"/>
      </dsp:txXfrm>
    </dsp:sp>
    <dsp:sp modelId="{9452CA96-39BC-4BA7-9359-EEA01974ABE1}">
      <dsp:nvSpPr>
        <dsp:cNvPr id="0" name=""/>
        <dsp:cNvSpPr/>
      </dsp:nvSpPr>
      <dsp:spPr>
        <a:xfrm>
          <a:off x="1251457" y="329234"/>
          <a:ext cx="2997708" cy="2997708"/>
        </a:xfrm>
        <a:prstGeom prst="pie">
          <a:avLst>
            <a:gd name="adj1" fmla="val 1800000"/>
            <a:gd name="adj2" fmla="val 54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PPIE input is shared with the oversight committees to act upon</a:t>
          </a:r>
          <a:endParaRPr lang="en-GB" sz="700" kern="1200" dirty="0">
            <a:solidFill>
              <a:sysClr val="windowText" lastClr="000000">
                <a:hueOff val="0"/>
                <a:satOff val="0"/>
                <a:lumOff val="0"/>
                <a:alphaOff val="0"/>
              </a:sysClr>
            </a:solidFill>
            <a:latin typeface="Calibri"/>
            <a:ea typeface="+mn-ea"/>
            <a:cs typeface="+mn-cs"/>
          </a:endParaRPr>
        </a:p>
      </dsp:txBody>
      <dsp:txXfrm>
        <a:off x="2936663" y="2444031"/>
        <a:ext cx="555160" cy="428987"/>
      </dsp:txXfrm>
    </dsp:sp>
    <dsp:sp modelId="{641DB16C-41C1-4F58-8A25-5CA9852CDC7B}">
      <dsp:nvSpPr>
        <dsp:cNvPr id="0" name=""/>
        <dsp:cNvSpPr/>
      </dsp:nvSpPr>
      <dsp:spPr>
        <a:xfrm>
          <a:off x="1180083" y="329234"/>
          <a:ext cx="2997708" cy="2997708"/>
        </a:xfrm>
        <a:prstGeom prst="pie">
          <a:avLst>
            <a:gd name="adj1" fmla="val 5400000"/>
            <a:gd name="adj2" fmla="val 90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The oversight committees consider input and how to implement advice</a:t>
          </a:r>
          <a:endParaRPr lang="en-GB" sz="700" kern="1200" dirty="0">
            <a:solidFill>
              <a:sysClr val="windowText" lastClr="000000">
                <a:hueOff val="0"/>
                <a:satOff val="0"/>
                <a:lumOff val="0"/>
                <a:alphaOff val="0"/>
              </a:sysClr>
            </a:solidFill>
            <a:latin typeface="Calibri"/>
            <a:ea typeface="+mn-ea"/>
            <a:cs typeface="+mn-cs"/>
          </a:endParaRPr>
        </a:p>
      </dsp:txBody>
      <dsp:txXfrm>
        <a:off x="1937426" y="2444031"/>
        <a:ext cx="555160" cy="428987"/>
      </dsp:txXfrm>
    </dsp:sp>
    <dsp:sp modelId="{2A7E576E-ED71-4E3E-9EA9-332B526E3FD4}">
      <dsp:nvSpPr>
        <dsp:cNvPr id="0" name=""/>
        <dsp:cNvSpPr/>
      </dsp:nvSpPr>
      <dsp:spPr>
        <a:xfrm>
          <a:off x="1144396" y="267495"/>
          <a:ext cx="2997708" cy="2997708"/>
        </a:xfrm>
        <a:prstGeom prst="pie">
          <a:avLst>
            <a:gd name="adj1" fmla="val 9000000"/>
            <a:gd name="adj2" fmla="val 126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PPIE lead/Trial Steering Committee  chair feed back to PPIE members of impact</a:t>
          </a:r>
          <a:endParaRPr lang="en-GB" sz="700" kern="1200" dirty="0">
            <a:solidFill>
              <a:sysClr val="windowText" lastClr="000000">
                <a:hueOff val="0"/>
                <a:satOff val="0"/>
                <a:lumOff val="0"/>
                <a:alphaOff val="0"/>
              </a:sysClr>
            </a:solidFill>
            <a:latin typeface="Calibri"/>
            <a:ea typeface="+mn-ea"/>
            <a:cs typeface="+mn-cs"/>
          </a:endParaRPr>
        </a:p>
      </dsp:txBody>
      <dsp:txXfrm>
        <a:off x="1407349" y="1567087"/>
        <a:ext cx="580393" cy="416369"/>
      </dsp:txXfrm>
    </dsp:sp>
    <dsp:sp modelId="{3B322F60-0361-4E88-B762-BBF2CC606BAB}">
      <dsp:nvSpPr>
        <dsp:cNvPr id="0" name=""/>
        <dsp:cNvSpPr/>
      </dsp:nvSpPr>
      <dsp:spPr>
        <a:xfrm>
          <a:off x="1180083" y="205757"/>
          <a:ext cx="2997708" cy="2997708"/>
        </a:xfrm>
        <a:prstGeom prst="pie">
          <a:avLst>
            <a:gd name="adj1" fmla="val 12600000"/>
            <a:gd name="adj2" fmla="val 1620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a:ea typeface="+mn-ea"/>
              <a:cs typeface="+mn-cs"/>
            </a:rPr>
            <a:t>Log of PPIE activity maintained and updated with details of impact</a:t>
          </a:r>
          <a:endParaRPr lang="en-GB" sz="700" kern="1200" dirty="0">
            <a:solidFill>
              <a:sysClr val="windowText" lastClr="000000">
                <a:hueOff val="0"/>
                <a:satOff val="0"/>
                <a:lumOff val="0"/>
                <a:alphaOff val="0"/>
              </a:sysClr>
            </a:solidFill>
            <a:latin typeface="Calibri"/>
            <a:ea typeface="+mn-ea"/>
            <a:cs typeface="+mn-cs"/>
          </a:endParaRPr>
        </a:p>
      </dsp:txBody>
      <dsp:txXfrm>
        <a:off x="1937426" y="677524"/>
        <a:ext cx="555160" cy="428987"/>
      </dsp:txXfrm>
    </dsp:sp>
    <dsp:sp modelId="{10C9B828-5822-49F8-AD6D-EE43820B7A38}">
      <dsp:nvSpPr>
        <dsp:cNvPr id="0" name=""/>
        <dsp:cNvSpPr/>
      </dsp:nvSpPr>
      <dsp:spPr>
        <a:xfrm>
          <a:off x="1065776" y="20185"/>
          <a:ext cx="3368852" cy="3368852"/>
        </a:xfrm>
        <a:prstGeom prst="circularArrow">
          <a:avLst>
            <a:gd name="adj1" fmla="val 5085"/>
            <a:gd name="adj2" fmla="val 327528"/>
            <a:gd name="adj3" fmla="val 19472472"/>
            <a:gd name="adj4" fmla="val 16200251"/>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D6B1F039-290D-4DF1-8D78-E92F52276D28}">
      <dsp:nvSpPr>
        <dsp:cNvPr id="0" name=""/>
        <dsp:cNvSpPr/>
      </dsp:nvSpPr>
      <dsp:spPr>
        <a:xfrm>
          <a:off x="1101463" y="81923"/>
          <a:ext cx="3368852" cy="3368852"/>
        </a:xfrm>
        <a:prstGeom prst="circularArrow">
          <a:avLst>
            <a:gd name="adj1" fmla="val 5085"/>
            <a:gd name="adj2" fmla="val 327528"/>
            <a:gd name="adj3" fmla="val 1472472"/>
            <a:gd name="adj4" fmla="val 19800000"/>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39CB68AA-06CE-43A6-85D6-D2F5FEABCA05}">
      <dsp:nvSpPr>
        <dsp:cNvPr id="0" name=""/>
        <dsp:cNvSpPr/>
      </dsp:nvSpPr>
      <dsp:spPr>
        <a:xfrm>
          <a:off x="1065776" y="143662"/>
          <a:ext cx="3368852" cy="3368852"/>
        </a:xfrm>
        <a:prstGeom prst="circularArrow">
          <a:avLst>
            <a:gd name="adj1" fmla="val 5085"/>
            <a:gd name="adj2" fmla="val 327528"/>
            <a:gd name="adj3" fmla="val 5072221"/>
            <a:gd name="adj4" fmla="val 1800000"/>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0820F4D1-0251-4A48-AFAD-40981AA6BBFA}">
      <dsp:nvSpPr>
        <dsp:cNvPr id="0" name=""/>
        <dsp:cNvSpPr/>
      </dsp:nvSpPr>
      <dsp:spPr>
        <a:xfrm>
          <a:off x="994621" y="143662"/>
          <a:ext cx="3368852" cy="3368852"/>
        </a:xfrm>
        <a:prstGeom prst="circularArrow">
          <a:avLst>
            <a:gd name="adj1" fmla="val 5085"/>
            <a:gd name="adj2" fmla="val 327528"/>
            <a:gd name="adj3" fmla="val 8672472"/>
            <a:gd name="adj4" fmla="val 5400251"/>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E58134EC-6BEB-4EEF-8492-96EA26E0D7AC}">
      <dsp:nvSpPr>
        <dsp:cNvPr id="0" name=""/>
        <dsp:cNvSpPr/>
      </dsp:nvSpPr>
      <dsp:spPr>
        <a:xfrm>
          <a:off x="958934" y="81923"/>
          <a:ext cx="3368852" cy="3368852"/>
        </a:xfrm>
        <a:prstGeom prst="circularArrow">
          <a:avLst>
            <a:gd name="adj1" fmla="val 5085"/>
            <a:gd name="adj2" fmla="val 327528"/>
            <a:gd name="adj3" fmla="val 12272472"/>
            <a:gd name="adj4" fmla="val 9000000"/>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214205B9-7F8C-42DF-A765-54B4E2822522}">
      <dsp:nvSpPr>
        <dsp:cNvPr id="0" name=""/>
        <dsp:cNvSpPr/>
      </dsp:nvSpPr>
      <dsp:spPr>
        <a:xfrm>
          <a:off x="994621" y="20185"/>
          <a:ext cx="3368852" cy="3368852"/>
        </a:xfrm>
        <a:prstGeom prst="circularArrow">
          <a:avLst>
            <a:gd name="adj1" fmla="val 5085"/>
            <a:gd name="adj2" fmla="val 327528"/>
            <a:gd name="adj3" fmla="val 15872221"/>
            <a:gd name="adj4" fmla="val 12600000"/>
            <a:gd name="adj5" fmla="val 5932"/>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F8A1EAE45644B9AC83E73A710C8B9" ma:contentTypeVersion="8" ma:contentTypeDescription="Create a new document." ma:contentTypeScope="" ma:versionID="aa41097f74b3a6ba8df38ebdec8d8e37">
  <xsd:schema xmlns:xsd="http://www.w3.org/2001/XMLSchema" xmlns:xs="http://www.w3.org/2001/XMLSchema" xmlns:p="http://schemas.microsoft.com/office/2006/metadata/properties" xmlns:ns2="9fb46e0a-cb9e-48e6-ac62-7b2e5c651bf3" targetNamespace="http://schemas.microsoft.com/office/2006/metadata/properties" ma:root="true" ma:fieldsID="85adf2a651ffaebf9d5e25fa419fc232" ns2:_="">
    <xsd:import namespace="9fb46e0a-cb9e-48e6-ac62-7b2e5c651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46e0a-cb9e-48e6-ac62-7b2e5c651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E60FE-9416-4B6D-902A-48B4268E2185}">
  <ds:schemaRefs>
    <ds:schemaRef ds:uri="http://schemas.openxmlformats.org/officeDocument/2006/bibliography"/>
  </ds:schemaRefs>
</ds:datastoreItem>
</file>

<file path=customXml/itemProps2.xml><?xml version="1.0" encoding="utf-8"?>
<ds:datastoreItem xmlns:ds="http://schemas.openxmlformats.org/officeDocument/2006/customXml" ds:itemID="{5CD79348-C65E-45D7-91AD-85AA151A7944}">
  <ds:schemaRefs>
    <ds:schemaRef ds:uri="http://schemas.microsoft.com/sharepoint/v3/contenttype/forms"/>
  </ds:schemaRefs>
</ds:datastoreItem>
</file>

<file path=customXml/itemProps3.xml><?xml version="1.0" encoding="utf-8"?>
<ds:datastoreItem xmlns:ds="http://schemas.openxmlformats.org/officeDocument/2006/customXml" ds:itemID="{813C667B-CEFB-4E97-810E-38EF1918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46e0a-cb9e-48e6-ac62-7b2e5c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01F2F-47F2-4E6F-9BE4-5296D92C7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7798</Words>
  <Characters>44455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jberesfo</dc:creator>
  <cp:lastModifiedBy>Linda Birt (HSC - Staff)</cp:lastModifiedBy>
  <cp:revision>2</cp:revision>
  <dcterms:created xsi:type="dcterms:W3CDTF">2022-08-03T11:40:00Z</dcterms:created>
  <dcterms:modified xsi:type="dcterms:W3CDTF">2022-08-03T11:40:00Z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0x01010033FF8A1EAE45644B9AC83E73A710C8B9</vt:lpwstr>
  </property>
</Properties>
</file>