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2931" w14:textId="305F0B38" w:rsidR="00CE07CE" w:rsidRPr="001720C4" w:rsidRDefault="00005771" w:rsidP="001720C4">
      <w:pPr>
        <w:pStyle w:val="NormalWeb"/>
        <w:spacing w:line="480" w:lineRule="auto"/>
        <w:rPr>
          <w:rFonts w:ascii="TimesNewRomanPS" w:hAnsi="TimesNewRomanPS"/>
          <w:b/>
          <w:bCs/>
          <w:color w:val="23383A"/>
          <w:shd w:val="clear" w:color="auto" w:fill="FFFFFF"/>
        </w:rPr>
      </w:pPr>
      <w:r w:rsidRPr="001720C4">
        <w:rPr>
          <w:rFonts w:ascii="TimesNewRomanPS" w:hAnsi="TimesNewRomanPS"/>
          <w:b/>
          <w:bCs/>
        </w:rPr>
        <w:t>David Duff, ed</w:t>
      </w:r>
      <w:r w:rsidR="00C93E79" w:rsidRPr="001720C4">
        <w:rPr>
          <w:rFonts w:ascii="TimesNewRomanPS" w:hAnsi="TimesNewRomanPS"/>
          <w:b/>
          <w:bCs/>
        </w:rPr>
        <w:t>.</w:t>
      </w:r>
      <w:r w:rsidR="00CE07CE" w:rsidRPr="001720C4">
        <w:rPr>
          <w:rFonts w:ascii="TimesNewRomanPS" w:hAnsi="TimesNewRomanPS"/>
          <w:b/>
          <w:bCs/>
        </w:rPr>
        <w:t xml:space="preserve"> </w:t>
      </w:r>
      <w:r w:rsidR="00CE07CE" w:rsidRPr="001720C4">
        <w:rPr>
          <w:rFonts w:ascii="TimesNewRomanPS" w:hAnsi="TimesNewRomanPS"/>
          <w:b/>
          <w:bCs/>
          <w:i/>
          <w:iCs/>
        </w:rPr>
        <w:t xml:space="preserve">The </w:t>
      </w:r>
      <w:r w:rsidR="00C93E79" w:rsidRPr="001720C4">
        <w:rPr>
          <w:rFonts w:ascii="TimesNewRomanPS" w:hAnsi="TimesNewRomanPS"/>
          <w:b/>
          <w:bCs/>
          <w:i/>
          <w:iCs/>
        </w:rPr>
        <w:t xml:space="preserve">Oxford Handbook of British Romanticism. </w:t>
      </w:r>
      <w:r w:rsidR="00C93E79" w:rsidRPr="001720C4">
        <w:rPr>
          <w:rFonts w:ascii="TimesNewRomanPS" w:hAnsi="TimesNewRomanPS"/>
          <w:b/>
          <w:bCs/>
        </w:rPr>
        <w:t>Oxford: Oxford University Press, 2018. Pp. xxi + 792</w:t>
      </w:r>
      <w:r w:rsidR="00CE07CE" w:rsidRPr="001720C4">
        <w:rPr>
          <w:rFonts w:ascii="TimesNewRomanPS" w:hAnsi="TimesNewRomanPS"/>
          <w:b/>
          <w:bCs/>
        </w:rPr>
        <w:t xml:space="preserve">. </w:t>
      </w:r>
      <w:r w:rsidR="00C93E79" w:rsidRPr="001720C4">
        <w:rPr>
          <w:rFonts w:ascii="TimesNewRomanPS" w:hAnsi="TimesNewRomanPS"/>
          <w:b/>
          <w:bCs/>
        </w:rPr>
        <w:t>14</w:t>
      </w:r>
      <w:r w:rsidR="00CE07CE" w:rsidRPr="001720C4">
        <w:rPr>
          <w:rFonts w:ascii="TimesNewRomanPS" w:hAnsi="TimesNewRomanPS"/>
          <w:b/>
          <w:bCs/>
        </w:rPr>
        <w:t xml:space="preserve"> illu</w:t>
      </w:r>
      <w:r w:rsidR="00B30896" w:rsidRPr="001720C4">
        <w:rPr>
          <w:rFonts w:ascii="TimesNewRomanPS" w:hAnsi="TimesNewRomanPS"/>
          <w:b/>
          <w:bCs/>
        </w:rPr>
        <w:t>s</w:t>
      </w:r>
      <w:r w:rsidR="00C93E79" w:rsidRPr="001720C4">
        <w:rPr>
          <w:rFonts w:ascii="TimesNewRomanPS" w:hAnsi="TimesNewRomanPS"/>
          <w:b/>
          <w:bCs/>
        </w:rPr>
        <w:t>. B&amp;</w:t>
      </w:r>
      <w:r w:rsidR="00B30896" w:rsidRPr="001720C4">
        <w:rPr>
          <w:rFonts w:ascii="TimesNewRomanPS" w:hAnsi="TimesNewRomanPS"/>
          <w:b/>
          <w:bCs/>
        </w:rPr>
        <w:t>W</w:t>
      </w:r>
      <w:r w:rsidR="00C93E79" w:rsidRPr="001720C4">
        <w:rPr>
          <w:rFonts w:ascii="TimesNewRomanPS" w:hAnsi="TimesNewRomanPS"/>
          <w:b/>
          <w:bCs/>
        </w:rPr>
        <w:t>.</w:t>
      </w:r>
      <w:r w:rsidR="00CE07CE" w:rsidRPr="001720C4">
        <w:rPr>
          <w:rFonts w:ascii="TimesNewRomanPS" w:hAnsi="TimesNewRomanPS"/>
          <w:b/>
          <w:bCs/>
          <w:color w:val="23383A"/>
          <w:shd w:val="clear" w:color="auto" w:fill="FFFFFF"/>
        </w:rPr>
        <w:t xml:space="preserve"> </w:t>
      </w:r>
      <w:r w:rsidR="00B30896" w:rsidRPr="001720C4">
        <w:rPr>
          <w:rFonts w:ascii="TimesNewRomanPS" w:hAnsi="TimesNewRomanPS"/>
          <w:b/>
          <w:bCs/>
          <w:color w:val="23383A"/>
          <w:shd w:val="clear" w:color="auto" w:fill="FFFFFF"/>
        </w:rPr>
        <w:t xml:space="preserve">£110.00. </w:t>
      </w:r>
      <w:r w:rsidR="00CE07CE" w:rsidRPr="001720C4">
        <w:rPr>
          <w:rFonts w:ascii="TimesNewRomanPS" w:hAnsi="TimesNewRomanPS"/>
          <w:b/>
          <w:bCs/>
          <w:color w:val="23383A"/>
          <w:shd w:val="clear" w:color="auto" w:fill="FFFFFF"/>
        </w:rPr>
        <w:t xml:space="preserve">ISBN </w:t>
      </w:r>
      <w:r w:rsidR="00C93E79" w:rsidRPr="001720C4">
        <w:rPr>
          <w:rFonts w:ascii="TimesNewRomanPS" w:hAnsi="TimesNewRomanPS"/>
          <w:b/>
          <w:bCs/>
          <w:color w:val="23383A"/>
          <w:shd w:val="clear" w:color="auto" w:fill="FFFFFF"/>
        </w:rPr>
        <w:t xml:space="preserve">978-0-19-966089-6. </w:t>
      </w:r>
    </w:p>
    <w:p w14:paraId="1208A183" w14:textId="5BB1F626" w:rsidR="00CE07CE" w:rsidRPr="001720C4" w:rsidRDefault="00876E94" w:rsidP="001720C4">
      <w:pPr>
        <w:pStyle w:val="NormalWeb"/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Pr="001720C4">
        <w:rPr>
          <w:rFonts w:ascii="TimesNewRomanPS" w:hAnsi="TimesNewRomanPS"/>
          <w:i/>
          <w:iCs/>
          <w:color w:val="23383A"/>
          <w:shd w:val="clear" w:color="auto" w:fill="FFFFFF"/>
        </w:rPr>
        <w:t>Oxford Book of British Romanticism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 is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Pr="001720C4">
        <w:rPr>
          <w:rFonts w:ascii="TimesNewRomanPS" w:hAnsi="TimesNewRomanPS"/>
          <w:color w:val="23383A"/>
          <w:shd w:val="clear" w:color="auto" w:fill="FFFFFF"/>
        </w:rPr>
        <w:t>an extraordinary achievement b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>oth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 in 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 xml:space="preserve">its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planning and execution. 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Published as part of 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invaluable </w:t>
      </w:r>
      <w:r w:rsidR="000B2625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Oxford Handbook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series, this volume of over 700 pages boasts forty-six essays by experts in their </w:t>
      </w:r>
      <w:r w:rsidR="005A1E4A">
        <w:rPr>
          <w:rFonts w:ascii="TimesNewRomanPS" w:hAnsi="TimesNewRomanPS"/>
          <w:color w:val="23383A"/>
          <w:shd w:val="clear" w:color="auto" w:fill="FFFFFF"/>
        </w:rPr>
        <w:t>specialist field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>concerned with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aspects of what we 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>collectively understand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as ‘British Romanticism’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>, however contested that understanding might be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. The </w:t>
      </w:r>
      <w:r w:rsidR="000B2625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is </w:t>
      </w:r>
      <w:r w:rsidR="000F6E02" w:rsidRPr="001720C4">
        <w:rPr>
          <w:rFonts w:ascii="TimesNewRomanPS" w:hAnsi="TimesNewRomanPS"/>
          <w:color w:val="23383A"/>
          <w:shd w:val="clear" w:color="auto" w:fill="FFFFFF"/>
        </w:rPr>
        <w:t xml:space="preserve">neatly 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divided into ten parts with sections detailing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key subjects that enable some definition of this notoriously slippery term: 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‘Historical Phases’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‘Region and Nation’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‘Hierarchies’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‘Legislation</w:t>
      </w:r>
      <w:r w:rsidR="005A1E4A">
        <w:rPr>
          <w:rFonts w:ascii="TimesNewRomanPS" w:hAnsi="TimesNewRomanPS"/>
          <w:color w:val="23383A"/>
          <w:shd w:val="clear" w:color="auto" w:fill="FFFFFF"/>
        </w:rPr>
        <w:t>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‘Cognition’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Composition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Publica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tion’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Language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‘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Aesthetics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’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;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concluding with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 finally, </w:t>
      </w:r>
      <w:r w:rsidR="005A1E4A">
        <w:rPr>
          <w:rFonts w:ascii="TimesNewRomanPS" w:hAnsi="TimesNewRomanPS"/>
          <w:color w:val="23383A"/>
          <w:shd w:val="clear" w:color="auto" w:fill="FFFFFF"/>
        </w:rPr>
        <w:t>‘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Import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 xml:space="preserve"> an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>d Exports</w:t>
      </w:r>
      <w:r w:rsidR="005A1E4A">
        <w:rPr>
          <w:rFonts w:ascii="TimesNewRomanPS" w:hAnsi="TimesNewRomanPS"/>
          <w:color w:val="23383A"/>
          <w:shd w:val="clear" w:color="auto" w:fill="FFFFFF"/>
        </w:rPr>
        <w:t>’</w:t>
      </w:r>
      <w:r w:rsidR="000B2625" w:rsidRPr="001720C4">
        <w:rPr>
          <w:rFonts w:ascii="TimesNewRomanPS" w:hAnsi="TimesNewRomanPS"/>
          <w:color w:val="23383A"/>
          <w:shd w:val="clear" w:color="auto" w:fill="FFFFFF"/>
        </w:rPr>
        <w:t xml:space="preserve">. In many ways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>this volume sums up the collective endeavours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>insights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, and arguments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4618C" w:rsidRPr="001720C4">
        <w:rPr>
          <w:rFonts w:ascii="TimesNewRomanPS" w:hAnsi="TimesNewRomanPS"/>
          <w:color w:val="23383A"/>
          <w:shd w:val="clear" w:color="auto" w:fill="FFFFFF"/>
        </w:rPr>
        <w:t xml:space="preserve">of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a generation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or two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>of scholars of British Romanticism over perhaps forty years or so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 now made available in this single volume. I suspect that most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users of the volume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>will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identify and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sample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individual chapters 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>in which they are interested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probably via the excellent </w:t>
      </w:r>
      <w:r w:rsidR="000D22E5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Oxford Handbooks Online</w:t>
      </w:r>
      <w:r w:rsidR="000D22E5" w:rsidRPr="001720C4">
        <w:rPr>
          <w:rFonts w:ascii="TimesNewRomanPS" w:hAnsi="TimesNewRomanPS"/>
          <w:color w:val="23383A"/>
          <w:shd w:val="clear" w:color="auto" w:fill="FFFFFF"/>
        </w:rPr>
        <w:t xml:space="preserve"> facility 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in combination with cognate databases such as </w:t>
      </w:r>
      <w:r w:rsidR="00B11FB6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Oxford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B11FB6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Scholarly Editions Online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and </w:t>
      </w:r>
      <w:r w:rsidR="00B11FB6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Oxford Scholarship Online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all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transforming the ways in which we teach and research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.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Few may read 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the whole volume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from cover to cover 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>sequentially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assessing it as a complete work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B11FB6" w:rsidRPr="001720C4">
        <w:rPr>
          <w:rFonts w:ascii="TimesNewRomanPS" w:hAnsi="TimesNewRomanPS"/>
          <w:color w:val="23383A"/>
          <w:shd w:val="clear" w:color="auto" w:fill="FFFFFF"/>
        </w:rPr>
        <w:t xml:space="preserve"> as this reviewer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, and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>form</w:t>
      </w:r>
      <w:r w:rsidR="005A1E4A">
        <w:rPr>
          <w:rFonts w:ascii="TimesNewRomanPS" w:hAnsi="TimesNewRomanPS"/>
          <w:color w:val="23383A"/>
          <w:shd w:val="clear" w:color="auto" w:fill="FFFFFF"/>
        </w:rPr>
        <w:t>ing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a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view of how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the collection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is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>map</w:t>
      </w:r>
      <w:r w:rsidR="005A1E4A">
        <w:rPr>
          <w:rFonts w:ascii="TimesNewRomanPS" w:hAnsi="TimesNewRomanPS"/>
          <w:color w:val="23383A"/>
          <w:shd w:val="clear" w:color="auto" w:fill="FFFFFF"/>
        </w:rPr>
        <w:t>ping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out the </w:t>
      </w:r>
      <w:r w:rsidR="00F22682" w:rsidRPr="001720C4">
        <w:rPr>
          <w:rFonts w:ascii="TimesNewRomanPS" w:hAnsi="TimesNewRomanPS"/>
          <w:color w:val="23383A"/>
          <w:shd w:val="clear" w:color="auto" w:fill="FFFFFF"/>
        </w:rPr>
        <w:t xml:space="preserve">current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>field of British Romanticism and how this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 conceptualization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reflects our general understanding of the state of studies of the late eighteenth</w:t>
      </w:r>
      <w:r w:rsidR="005A1E4A">
        <w:rPr>
          <w:rFonts w:ascii="TimesNewRomanPS" w:hAnsi="TimesNewRomanPS"/>
          <w:color w:val="23383A"/>
          <w:shd w:val="clear" w:color="auto" w:fill="FFFFFF"/>
        </w:rPr>
        <w:t>-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and early nineteenth</w:t>
      </w:r>
      <w:r w:rsidR="005A1E4A">
        <w:rPr>
          <w:rFonts w:ascii="TimesNewRomanPS" w:hAnsi="TimesNewRomanPS"/>
          <w:color w:val="23383A"/>
          <w:shd w:val="clear" w:color="auto" w:fill="FFFFFF"/>
        </w:rPr>
        <w:t>-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century literature, art, and culture,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in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what we think of as the Romantic Period. </w:t>
      </w:r>
    </w:p>
    <w:p w14:paraId="147BC59B" w14:textId="7CED5FA0" w:rsidR="00D92974" w:rsidRPr="001720C4" w:rsidRDefault="001720C4" w:rsidP="001720C4">
      <w:pPr>
        <w:pStyle w:val="NormalWeb"/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>David Duff</w:t>
      </w:r>
      <w:r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editor of the volume, sets out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>several key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assumptions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 or ‘major premises</w:t>
      </w:r>
      <w:proofErr w:type="gramStart"/>
      <w:r w:rsidR="005A1E4A">
        <w:rPr>
          <w:rFonts w:ascii="TimesNewRomanPS" w:hAnsi="TimesNewRomanPS"/>
          <w:color w:val="23383A"/>
          <w:shd w:val="clear" w:color="auto" w:fill="FFFFFF"/>
        </w:rPr>
        <w:t xml:space="preserve">’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5A1E4A">
        <w:rPr>
          <w:rFonts w:ascii="TimesNewRomanPS" w:hAnsi="TimesNewRomanPS"/>
          <w:color w:val="23383A"/>
          <w:shd w:val="clear" w:color="auto" w:fill="FFFFFF"/>
        </w:rPr>
        <w:t>in</w:t>
      </w:r>
      <w:proofErr w:type="gramEnd"/>
      <w:r w:rsidR="005A1E4A">
        <w:rPr>
          <w:rFonts w:ascii="TimesNewRomanPS" w:hAnsi="TimesNewRomanPS"/>
          <w:color w:val="23383A"/>
          <w:shd w:val="clear" w:color="auto" w:fill="FFFFFF"/>
        </w:rPr>
        <w:t xml:space="preserve"> his ‘</w:t>
      </w:r>
      <w:proofErr w:type="spellStart"/>
      <w:r w:rsidR="005A1E4A">
        <w:rPr>
          <w:rFonts w:ascii="TimesNewRomanPS" w:hAnsi="TimesNewRomanPS"/>
          <w:color w:val="23383A"/>
          <w:shd w:val="clear" w:color="auto" w:fill="FFFFFF"/>
        </w:rPr>
        <w:t>Introdcution</w:t>
      </w:r>
      <w:proofErr w:type="spellEnd"/>
      <w:r w:rsidR="005A1E4A">
        <w:rPr>
          <w:rFonts w:ascii="TimesNewRomanPS" w:hAnsi="TimesNewRomanPS"/>
          <w:color w:val="23383A"/>
          <w:shd w:val="clear" w:color="auto" w:fill="FFFFFF"/>
        </w:rPr>
        <w:t xml:space="preserve">’ </w:t>
      </w:r>
      <w:r w:rsidR="00D005C2" w:rsidRPr="001720C4">
        <w:rPr>
          <w:rFonts w:ascii="TimesNewRomanPS" w:hAnsi="TimesNewRomanPS"/>
          <w:color w:val="23383A"/>
          <w:shd w:val="clear" w:color="auto" w:fill="FFFFFF"/>
        </w:rPr>
        <w:t xml:space="preserve">which he argues underpin the conceptualization of </w:t>
      </w:r>
      <w:r w:rsidR="00D666B4" w:rsidRPr="001720C4">
        <w:rPr>
          <w:rFonts w:ascii="TimesNewRomanPS" w:hAnsi="TimesNewRomanPS"/>
          <w:color w:val="23383A"/>
          <w:shd w:val="clear" w:color="auto" w:fill="FFFFFF"/>
        </w:rPr>
        <w:t xml:space="preserve">Romanticism that the </w:t>
      </w:r>
      <w:r w:rsidR="00D666B4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D666B4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provides </w:t>
      </w:r>
      <w:r w:rsidR="00D666B4" w:rsidRPr="001720C4">
        <w:rPr>
          <w:rFonts w:ascii="TimesNewRomanPS" w:hAnsi="TimesNewRomanPS"/>
          <w:color w:val="23383A"/>
          <w:shd w:val="clear" w:color="auto" w:fill="FFFFFF"/>
        </w:rPr>
        <w:t xml:space="preserve">its readers. For Duff, Romanticism </w:t>
      </w:r>
      <w:r w:rsidR="00E944C1" w:rsidRPr="001720C4">
        <w:rPr>
          <w:rFonts w:ascii="TimesNewRomanPS" w:hAnsi="TimesNewRomanPS"/>
          <w:color w:val="23383A"/>
          <w:shd w:val="clear" w:color="auto" w:fill="FFFFFF"/>
        </w:rPr>
        <w:t>is not solely or chiefly a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 system of</w:t>
      </w:r>
      <w:r w:rsidR="00E944C1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E944C1" w:rsidRPr="001720C4">
        <w:rPr>
          <w:rFonts w:ascii="TimesNewRomanPS" w:hAnsi="TimesNewRomanPS"/>
          <w:color w:val="23383A"/>
          <w:shd w:val="clear" w:color="auto" w:fill="FFFFFF"/>
        </w:rPr>
        <w:lastRenderedPageBreak/>
        <w:t>aesthetics (contested or otherwise)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E944C1" w:rsidRPr="001720C4">
        <w:rPr>
          <w:rFonts w:ascii="TimesNewRomanPS" w:hAnsi="TimesNewRomanPS"/>
          <w:color w:val="23383A"/>
          <w:shd w:val="clear" w:color="auto" w:fill="FFFFFF"/>
        </w:rPr>
        <w:t xml:space="preserve"> but a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more properly a </w:t>
      </w:r>
      <w:r w:rsidR="00E944C1" w:rsidRPr="001720C4">
        <w:rPr>
          <w:rFonts w:ascii="TimesNewRomanPS" w:hAnsi="TimesNewRomanPS"/>
          <w:color w:val="23383A"/>
          <w:shd w:val="clear" w:color="auto" w:fill="FFFFFF"/>
        </w:rPr>
        <w:t xml:space="preserve">‘movement […] which transformed the literary culture of Britain, and critical analysis of the nature, causes, and effects of that transformation began in the Romantic period itself (1760-1830)’.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The dating of the period </w:t>
      </w:r>
      <w:r w:rsidR="005A1E4A">
        <w:rPr>
          <w:rFonts w:ascii="TimesNewRomanPS" w:hAnsi="TimesNewRomanPS"/>
          <w:color w:val="23383A"/>
          <w:shd w:val="clear" w:color="auto" w:fill="FFFFFF"/>
        </w:rPr>
        <w:t>of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 seventy decades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 from 1760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 is thus somewhat generous</w:t>
      </w:r>
      <w:r w:rsidR="005A1E4A">
        <w:rPr>
          <w:rFonts w:ascii="TimesNewRomanPS" w:hAnsi="TimesNewRomanPS"/>
          <w:color w:val="23383A"/>
          <w:shd w:val="clear" w:color="auto" w:fill="FFFFFF"/>
        </w:rPr>
        <w:t>,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 though many might prefer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prolonging the end date to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1832 (the Great Reform Act) or 1837 (the </w:t>
      </w:r>
      <w:r w:rsidR="005A1E4A">
        <w:rPr>
          <w:rFonts w:ascii="TimesNewRomanPS" w:hAnsi="TimesNewRomanPS"/>
          <w:color w:val="23383A"/>
          <w:shd w:val="clear" w:color="auto" w:fill="FFFFFF"/>
        </w:rPr>
        <w:t>a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>cquisition of Victoria to the throne). Many (</w:t>
      </w:r>
      <w:proofErr w:type="gramStart"/>
      <w:r w:rsidR="00165A57" w:rsidRPr="001720C4">
        <w:rPr>
          <w:rFonts w:ascii="TimesNewRomanPS" w:hAnsi="TimesNewRomanPS"/>
          <w:color w:val="23383A"/>
          <w:shd w:val="clear" w:color="auto" w:fill="FFFFFF"/>
        </w:rPr>
        <w:t>myself</w:t>
      </w:r>
      <w:proofErr w:type="gramEnd"/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 among them) </w:t>
      </w:r>
      <w:r w:rsidR="005A1E4A">
        <w:rPr>
          <w:rFonts w:ascii="TimesNewRomanPS" w:hAnsi="TimesNewRomanPS"/>
          <w:color w:val="23383A"/>
          <w:shd w:val="clear" w:color="auto" w:fill="FFFFFF"/>
        </w:rPr>
        <w:t xml:space="preserve">also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might wish to claim the decade </w:t>
      </w:r>
      <w:r w:rsidR="00CC063E">
        <w:rPr>
          <w:rFonts w:ascii="TimesNewRomanPS" w:hAnsi="TimesNewRomanPS"/>
          <w:color w:val="23383A"/>
          <w:shd w:val="clear" w:color="auto" w:fill="FFFFFF"/>
        </w:rPr>
        <w:t xml:space="preserve">of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the 1830s </w:t>
      </w:r>
      <w:r w:rsidR="00C91B69" w:rsidRPr="001720C4">
        <w:rPr>
          <w:rFonts w:ascii="TimesNewRomanPS" w:hAnsi="TimesNewRomanPS"/>
          <w:color w:val="23383A"/>
          <w:shd w:val="clear" w:color="auto" w:fill="FFFFFF"/>
        </w:rPr>
        <w:t xml:space="preserve">as </w:t>
      </w:r>
      <w:r w:rsidR="00CC063E">
        <w:rPr>
          <w:rFonts w:ascii="TimesNewRomanPS" w:hAnsi="TimesNewRomanPS"/>
          <w:color w:val="23383A"/>
          <w:shd w:val="clear" w:color="auto" w:fill="FFFFFF"/>
        </w:rPr>
        <w:t xml:space="preserve">also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crucial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for Romantic </w:t>
      </w:r>
      <w:r w:rsidR="00C91B69" w:rsidRPr="001720C4">
        <w:rPr>
          <w:rFonts w:ascii="TimesNewRomanPS" w:hAnsi="TimesNewRomanPS"/>
          <w:color w:val="23383A"/>
          <w:shd w:val="clear" w:color="auto" w:fill="FFFFFF"/>
        </w:rPr>
        <w:t xml:space="preserve">writing and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>aesthetics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.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="00E06B55">
        <w:rPr>
          <w:rFonts w:ascii="TimesNewRomanPS" w:hAnsi="TimesNewRomanPS"/>
          <w:color w:val="23383A"/>
          <w:shd w:val="clear" w:color="auto" w:fill="FFFFFF"/>
        </w:rPr>
        <w:t xml:space="preserve">dramatic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>impact of th</w:t>
      </w:r>
      <w:r w:rsidR="00E06B55">
        <w:rPr>
          <w:rFonts w:ascii="TimesNewRomanPS" w:hAnsi="TimesNewRomanPS"/>
          <w:color w:val="23383A"/>
          <w:shd w:val="clear" w:color="auto" w:fill="FFFFFF"/>
        </w:rPr>
        <w:t>ose major, transformational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 political events of the American and French Revolutions is thus somewhat mitigated by mid eighteenth-century </w:t>
      </w:r>
      <w:r w:rsidR="00E06B55">
        <w:rPr>
          <w:rFonts w:ascii="TimesNewRomanPS" w:hAnsi="TimesNewRomanPS"/>
          <w:color w:val="23383A"/>
          <w:shd w:val="clear" w:color="auto" w:fill="FFFFFF"/>
        </w:rPr>
        <w:t xml:space="preserve">British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cultural and political concerns.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="000B2D59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though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>parsimonious towards the later period</w:t>
      </w:r>
      <w:r w:rsidR="002B795B">
        <w:rPr>
          <w:rFonts w:ascii="TimesNewRomanPS" w:hAnsi="TimesNewRomanPS"/>
          <w:color w:val="23383A"/>
          <w:shd w:val="clear" w:color="auto" w:fill="FFFFFF"/>
        </w:rPr>
        <w:t>,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 thus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>absorb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>s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earlier </w:t>
      </w:r>
      <w:r w:rsidR="002B795B">
        <w:rPr>
          <w:rFonts w:ascii="TimesNewRomanPS" w:hAnsi="TimesNewRomanPS"/>
          <w:color w:val="23383A"/>
          <w:shd w:val="clear" w:color="auto" w:fill="FFFFFF"/>
        </w:rPr>
        <w:t xml:space="preserve">texts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notably by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Thomas Percy, James MacPherson, </w:t>
      </w:r>
      <w:r w:rsidR="00BC5516" w:rsidRPr="001720C4">
        <w:rPr>
          <w:rFonts w:ascii="TimesNewRomanPS" w:hAnsi="TimesNewRomanPS"/>
          <w:color w:val="23383A"/>
          <w:shd w:val="clear" w:color="auto" w:fill="FFFFFF"/>
        </w:rPr>
        <w:t xml:space="preserve">Thomas Gray, Laurence Sterne,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and Thomas Chatterton from the 1760s onward for </w:t>
      </w:r>
      <w:r w:rsidR="002B795B">
        <w:rPr>
          <w:rFonts w:ascii="TimesNewRomanPS" w:hAnsi="TimesNewRomanPS"/>
          <w:color w:val="23383A"/>
          <w:shd w:val="clear" w:color="auto" w:fill="FFFFFF"/>
        </w:rPr>
        <w:t>its understanding of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 British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>Romanticism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 thus linking early Romantic writing with eighteenth-century cultures of sensibility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>, orality,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 and </w:t>
      </w:r>
      <w:proofErr w:type="spellStart"/>
      <w:r w:rsidR="000B2D59" w:rsidRPr="001720C4">
        <w:rPr>
          <w:rFonts w:ascii="TimesNewRomanPS" w:hAnsi="TimesNewRomanPS"/>
          <w:color w:val="23383A"/>
          <w:shd w:val="clear" w:color="auto" w:fill="FFFFFF"/>
        </w:rPr>
        <w:t>Whiggism</w:t>
      </w:r>
      <w:proofErr w:type="spellEnd"/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. </w:t>
      </w:r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Duff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pushes back against the current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critical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orthodoxy, arguing that </w:t>
      </w:r>
      <w:proofErr w:type="gramStart"/>
      <w:r w:rsidR="00165A57" w:rsidRPr="001720C4">
        <w:rPr>
          <w:rFonts w:ascii="TimesNewRomanPS" w:hAnsi="TimesNewRomanPS"/>
          <w:color w:val="23383A"/>
          <w:shd w:val="clear" w:color="auto" w:fill="FFFFFF"/>
        </w:rPr>
        <w:t>‘ “</w:t>
      </w:r>
      <w:proofErr w:type="gramEnd"/>
      <w:r w:rsidR="00165A57" w:rsidRPr="001720C4">
        <w:rPr>
          <w:rFonts w:ascii="TimesNewRomanPS" w:hAnsi="TimesNewRomanPS"/>
          <w:color w:val="23383A"/>
          <w:shd w:val="clear" w:color="auto" w:fill="FFFFFF"/>
        </w:rPr>
        <w:t xml:space="preserve">Romanticism” is not simply a retrospective critical construct […] but an observable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>phenomenon whose historical development can be traced and at least partially explained’. This phenomenon was also ‘in the full sense, a “movement”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’, though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one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possessed of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‘a contiguous, mobile quality […] both in the British context and internationally’.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It’s not entirely clear here what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constitutes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an artistic movement in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>thus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 ‘full sense’ or how </w:t>
      </w:r>
      <w:r w:rsidR="00614ED2" w:rsidRPr="001720C4">
        <w:rPr>
          <w:rFonts w:ascii="TimesNewRomanPS" w:hAnsi="TimesNewRomanPS"/>
          <w:color w:val="23383A"/>
          <w:shd w:val="clear" w:color="auto" w:fill="FFFFFF"/>
        </w:rPr>
        <w:t xml:space="preserve">such a movement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operates and coheres over time and geography. </w:t>
      </w:r>
      <w:r w:rsidR="002B795B">
        <w:rPr>
          <w:rFonts w:ascii="TimesNewRomanPS" w:hAnsi="TimesNewRomanPS"/>
          <w:color w:val="23383A"/>
          <w:shd w:val="clear" w:color="auto" w:fill="FFFFFF"/>
        </w:rPr>
        <w:t xml:space="preserve">Is the movement all-pervading or are some writers in the Romantic period excluded from its sweep or resistant to its power?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>Duff claims as a</w:t>
      </w:r>
      <w:r w:rsidR="002B795B">
        <w:rPr>
          <w:rFonts w:ascii="TimesNewRomanPS" w:hAnsi="TimesNewRomanPS"/>
          <w:color w:val="23383A"/>
          <w:shd w:val="clear" w:color="auto" w:fill="FFFFFF"/>
        </w:rPr>
        <w:t>nother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 major premise of the </w:t>
      </w:r>
      <w:r w:rsidR="00864F4C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</w:t>
      </w:r>
      <w:r w:rsidR="002A32BA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andbook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that ‘Romanticism is a contested phenomenon and an internally divided one’, with ‘schools, factions, demarcations, position-taking, and </w:t>
      </w:r>
      <w:proofErr w:type="gramStart"/>
      <w:r w:rsidR="002A32BA" w:rsidRPr="001720C4">
        <w:rPr>
          <w:rFonts w:ascii="TimesNewRomanPS" w:hAnsi="TimesNewRomanPS"/>
          <w:color w:val="23383A"/>
          <w:shd w:val="clear" w:color="auto" w:fill="FFFFFF"/>
        </w:rPr>
        <w:t>polemic[</w:t>
      </w:r>
      <w:proofErr w:type="gramEnd"/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…] emphasized throughout’.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The purpose of the </w:t>
      </w:r>
      <w:r w:rsidR="00415343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Handbook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is </w:t>
      </w:r>
      <w:r w:rsidR="00864F4C" w:rsidRPr="001720C4">
        <w:rPr>
          <w:rFonts w:ascii="TimesNewRomanPS" w:hAnsi="TimesNewRomanPS"/>
          <w:color w:val="23383A"/>
          <w:shd w:val="clear" w:color="auto" w:fill="FFFFFF"/>
        </w:rPr>
        <w:t xml:space="preserve">thus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>to show ho</w:t>
      </w:r>
      <w:r w:rsidR="00864F4C" w:rsidRPr="001720C4">
        <w:rPr>
          <w:rFonts w:ascii="TimesNewRomanPS" w:hAnsi="TimesNewRomanPS"/>
          <w:color w:val="23383A"/>
          <w:shd w:val="clear" w:color="auto" w:fill="FFFFFF"/>
        </w:rPr>
        <w:t>w such ‘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>patterns came to be established’. Romanticism</w:t>
      </w:r>
      <w:r w:rsidR="00864F4C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is </w:t>
      </w:r>
      <w:r w:rsidR="00864F4C" w:rsidRPr="001720C4">
        <w:rPr>
          <w:rFonts w:ascii="TimesNewRomanPS" w:hAnsi="TimesNewRomanPS"/>
          <w:color w:val="23383A"/>
          <w:shd w:val="clear" w:color="auto" w:fill="FFFFFF"/>
        </w:rPr>
        <w:t xml:space="preserve">especially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characterised by forms of 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lastRenderedPageBreak/>
        <w:t xml:space="preserve">‘transcendentalism’ </w:t>
      </w:r>
      <w:r w:rsidR="002B795B">
        <w:rPr>
          <w:rFonts w:ascii="TimesNewRomanPS" w:hAnsi="TimesNewRomanPS"/>
          <w:color w:val="23383A"/>
          <w:shd w:val="clear" w:color="auto" w:fill="FFFFFF"/>
        </w:rPr>
        <w:t>yet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864F4C" w:rsidRPr="001720C4">
        <w:rPr>
          <w:rFonts w:ascii="TimesNewRomanPS" w:hAnsi="TimesNewRomanPS"/>
          <w:color w:val="23383A"/>
          <w:shd w:val="clear" w:color="auto" w:fill="FFFFFF"/>
        </w:rPr>
        <w:t>the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 ‘transcendental qualities of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Romantic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literature</w:t>
      </w:r>
      <w:r w:rsidR="00415343" w:rsidRPr="001720C4">
        <w:rPr>
          <w:rFonts w:ascii="TimesNewRomanPS" w:hAnsi="TimesNewRomanPS"/>
          <w:color w:val="23383A"/>
          <w:shd w:val="clear" w:color="auto" w:fill="FFFFFF"/>
        </w:rPr>
        <w:t xml:space="preserve"> become more, not less remarkable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, when we pay attention to the material forms in which they were transmitted’. This model of British Romanticism as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 a m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ovement is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 xml:space="preserve">complicated by the several ‘distinct phases’ which it passes through, which the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very strong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 xml:space="preserve">contextual chapters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of the </w:t>
      </w:r>
      <w:r w:rsidR="00C61561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 xml:space="preserve">approach largely as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a series of significant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decades rather than generations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 (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Nick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Groom,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Jon </w:t>
      </w:r>
      <w:proofErr w:type="spellStart"/>
      <w:r w:rsidR="00C61561" w:rsidRPr="001720C4">
        <w:rPr>
          <w:rFonts w:ascii="TimesNewRomanPS" w:hAnsi="TimesNewRomanPS"/>
          <w:color w:val="23383A"/>
          <w:shd w:val="clear" w:color="auto" w:fill="FFFFFF"/>
        </w:rPr>
        <w:t>Mee</w:t>
      </w:r>
      <w:proofErr w:type="spellEnd"/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Simon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Bainbridge,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Kelvin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Everest,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Angela </w:t>
      </w:r>
      <w:proofErr w:type="spellStart"/>
      <w:r w:rsidR="00C61561" w:rsidRPr="001720C4">
        <w:rPr>
          <w:rFonts w:ascii="TimesNewRomanPS" w:hAnsi="TimesNewRomanPS"/>
          <w:color w:val="23383A"/>
          <w:shd w:val="clear" w:color="auto" w:fill="FFFFFF"/>
        </w:rPr>
        <w:t>Esterhammer</w:t>
      </w:r>
      <w:proofErr w:type="spellEnd"/>
      <w:r w:rsidR="00C61561" w:rsidRPr="001720C4">
        <w:rPr>
          <w:rFonts w:ascii="TimesNewRomanPS" w:hAnsi="TimesNewRomanPS"/>
          <w:color w:val="23383A"/>
          <w:shd w:val="clear" w:color="auto" w:fill="FFFFFF"/>
        </w:rPr>
        <w:t>)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 xml:space="preserve">. The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revolutionary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decade of the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1790s and the French Revolution remains crucial but, the 1820s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also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assume</w:t>
      </w:r>
      <w:r w:rsidR="00FF51B5">
        <w:rPr>
          <w:rFonts w:ascii="TimesNewRomanPS" w:hAnsi="TimesNewRomanPS"/>
          <w:color w:val="23383A"/>
          <w:shd w:val="clear" w:color="auto" w:fill="FFFFFF"/>
        </w:rPr>
        <w:t>s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 xml:space="preserve"> a new significance and importance, with 1800-1815 </w:t>
      </w:r>
      <w:r w:rsidR="00FF51B5">
        <w:rPr>
          <w:rFonts w:ascii="TimesNewRomanPS" w:hAnsi="TimesNewRomanPS"/>
          <w:color w:val="23383A"/>
          <w:shd w:val="clear" w:color="auto" w:fill="FFFFFF"/>
        </w:rPr>
        <w:t xml:space="preserve">similarly </w:t>
      </w:r>
      <w:r w:rsidR="00C61561" w:rsidRPr="001720C4">
        <w:rPr>
          <w:rFonts w:ascii="TimesNewRomanPS" w:hAnsi="TimesNewRomanPS"/>
          <w:color w:val="23383A"/>
          <w:shd w:val="clear" w:color="auto" w:fill="FFFFFF"/>
        </w:rPr>
        <w:t xml:space="preserve">championed </w:t>
      </w:r>
      <w:r w:rsidR="000A3A38" w:rsidRPr="001720C4">
        <w:rPr>
          <w:rFonts w:ascii="TimesNewRomanPS" w:hAnsi="TimesNewRomanPS"/>
          <w:color w:val="23383A"/>
          <w:shd w:val="clear" w:color="auto" w:fill="FFFFFF"/>
        </w:rPr>
        <w:t>as a neglected ‘middle phase’. The complexity of the movement is further complicated by the insistence that British R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omanticism is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also constituted by </w:t>
      </w:r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a variety of ‘different national and regional </w:t>
      </w:r>
      <w:proofErr w:type="gramStart"/>
      <w:r w:rsidR="008A09FD" w:rsidRPr="001720C4">
        <w:rPr>
          <w:rFonts w:ascii="TimesNewRomanPS" w:hAnsi="TimesNewRomanPS"/>
          <w:color w:val="23383A"/>
          <w:shd w:val="clear" w:color="auto" w:fill="FFFFFF"/>
        </w:rPr>
        <w:t>traditions</w:t>
      </w:r>
      <w:r w:rsidR="008A09FD">
        <w:rPr>
          <w:rFonts w:ascii="TimesNewRomanPS" w:hAnsi="TimesNewRomanPS"/>
          <w:color w:val="23383A"/>
          <w:shd w:val="clear" w:color="auto" w:fill="FFFFFF"/>
        </w:rPr>
        <w:t>’</w:t>
      </w:r>
      <w:proofErr w:type="gramEnd"/>
      <w:r w:rsidR="000B2D59" w:rsidRPr="001720C4">
        <w:rPr>
          <w:rFonts w:ascii="TimesNewRomanPS" w:hAnsi="TimesNewRomanPS"/>
          <w:color w:val="23383A"/>
          <w:shd w:val="clear" w:color="auto" w:fill="FFFFFF"/>
        </w:rPr>
        <w:t xml:space="preserve">.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This focus on the diversity of Romanticism in the British context is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most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>welcome</w:t>
      </w:r>
      <w:r w:rsidR="00DC4838">
        <w:rPr>
          <w:rFonts w:ascii="TimesNewRomanPS" w:hAnsi="TimesNewRomanPS"/>
          <w:color w:val="23383A"/>
          <w:shd w:val="clear" w:color="auto" w:fill="FFFFFF"/>
        </w:rPr>
        <w:t>,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 and the </w:t>
      </w:r>
      <w:r w:rsidR="0031269A" w:rsidRPr="00DC4838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 features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very </w:t>
      </w:r>
      <w:r w:rsidR="0031269A" w:rsidRPr="001720C4">
        <w:rPr>
          <w:rFonts w:ascii="TimesNewRomanPS" w:hAnsi="TimesNewRomanPS"/>
          <w:color w:val="23383A"/>
          <w:shd w:val="clear" w:color="auto" w:fill="FFFFFF"/>
        </w:rPr>
        <w:t xml:space="preserve">generous coverage of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>Scottish, Irish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 and Welsh writing in the period, especially Burns, Scott,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Hogg,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>Edward Williams, Maria Edgeworth and many more. In addition to th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>is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 ‘Four Nations’ critical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paradigm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of British Romanticism,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="00B92A9A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asserts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that British</w:t>
      </w:r>
      <w:r w:rsidR="002A32BA" w:rsidRPr="001720C4">
        <w:rPr>
          <w:rFonts w:ascii="TimesNewRomanPS" w:hAnsi="TimesNewRomanPS"/>
          <w:color w:val="23383A"/>
          <w:shd w:val="clear" w:color="auto" w:fill="FFFFFF"/>
        </w:rPr>
        <w:t xml:space="preserve"> Romanticism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 i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s ‘a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transnational phenomenon</w:t>
      </w:r>
      <w:r w:rsidR="00DC4838">
        <w:rPr>
          <w:rFonts w:ascii="TimesNewRomanPS" w:hAnsi="TimesNewRomanPS"/>
          <w:color w:val="23383A"/>
          <w:shd w:val="clear" w:color="auto" w:fill="FFFFFF"/>
        </w:rPr>
        <w:t>’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 with its ‘own international dimension’ and ‘despite the national rivalries and ideological conflicts into which it was inevitably drawn was part of European and global Romanticism’. In many ways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it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seems that, rather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as in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De Quincey’s famous analogy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 in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proofErr w:type="spellStart"/>
      <w:r w:rsidR="00DC4838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Suspiria</w:t>
      </w:r>
      <w:proofErr w:type="spellEnd"/>
      <w:r w:rsidR="00DC4838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 de Profundis</w:t>
      </w:r>
      <w:r w:rsidR="00DC4838" w:rsidRPr="001720C4">
        <w:rPr>
          <w:rFonts w:ascii="TimesNewRomanPS" w:hAnsi="TimesNewRomanPS"/>
          <w:color w:val="23383A"/>
          <w:shd w:val="clear" w:color="auto" w:fill="FFFFFF"/>
        </w:rPr>
        <w:t xml:space="preserve"> (1845)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of the palimpsest for the conscious and unconscious 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 xml:space="preserve">human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min</w:t>
      </w:r>
      <w:r w:rsidR="00B92A9A" w:rsidRPr="001720C4">
        <w:rPr>
          <w:rFonts w:ascii="TimesNewRomanPS" w:hAnsi="TimesNewRomanPS"/>
          <w:color w:val="23383A"/>
          <w:shd w:val="clear" w:color="auto" w:fill="FFFFFF"/>
        </w:rPr>
        <w:t>d</w:t>
      </w:r>
      <w:r w:rsidR="00DC4838">
        <w:rPr>
          <w:rFonts w:ascii="TimesNewRomanPS" w:hAnsi="TimesNewRomanPS"/>
          <w:color w:val="23383A"/>
          <w:shd w:val="clear" w:color="auto" w:fill="FFFFFF"/>
        </w:rPr>
        <w:t>, t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he </w:t>
      </w:r>
      <w:r w:rsidR="00DD6152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8A09FD">
        <w:rPr>
          <w:rFonts w:ascii="TimesNewRomanPS" w:hAnsi="TimesNewRomanPS"/>
          <w:color w:val="23383A"/>
          <w:shd w:val="clear" w:color="auto" w:fill="FFFFFF"/>
        </w:rPr>
        <w:t>,</w:t>
      </w:r>
      <w:r w:rsidR="00DD6152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during its gestation</w:t>
      </w:r>
      <w:r w:rsidR="008A09FD">
        <w:rPr>
          <w:rFonts w:ascii="TimesNewRomanPS" w:hAnsi="TimesNewRomanPS"/>
          <w:color w:val="23383A"/>
          <w:shd w:val="clear" w:color="auto" w:fill="FFFFFF"/>
        </w:rPr>
        <w:t>,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 has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softly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 xml:space="preserve">layered a series of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sedimentary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critical constructions of Romanticism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DD6152" w:rsidRPr="001720C4">
        <w:rPr>
          <w:rFonts w:ascii="TimesNewRomanPS" w:hAnsi="TimesNewRomanPS"/>
          <w:color w:val="23383A"/>
          <w:shd w:val="clear" w:color="auto" w:fill="FFFFFF"/>
        </w:rPr>
        <w:t>one upon another, from earlier models of comparative criticism, 1980s historicism</w:t>
      </w:r>
      <w:r w:rsidR="00D92974" w:rsidRPr="001720C4">
        <w:rPr>
          <w:rFonts w:ascii="TimesNewRomanPS" w:hAnsi="TimesNewRomanPS"/>
          <w:color w:val="23383A"/>
          <w:shd w:val="clear" w:color="auto" w:fill="FFFFFF"/>
        </w:rPr>
        <w:t>, ‘Four Nations’ paradigms, and most currently, the focus now on discrete decades of cultural activity.</w:t>
      </w:r>
    </w:p>
    <w:p w14:paraId="7B6C3EB9" w14:textId="286C8616" w:rsidR="00061298" w:rsidRPr="001720C4" w:rsidRDefault="00D92974" w:rsidP="003B41F7">
      <w:pPr>
        <w:pStyle w:val="NormalWeb"/>
        <w:spacing w:line="480" w:lineRule="auto"/>
        <w:ind w:right="-46"/>
        <w:rPr>
          <w:rFonts w:ascii="TimesNewRomanPS" w:hAnsi="TimesNewRomanPS"/>
          <w:i/>
          <w:iCs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 xml:space="preserve">The </w:t>
      </w:r>
      <w:r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 is strong on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traditional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Romantic period aesthetics and </w:t>
      </w:r>
      <w:r w:rsidR="00DC4838">
        <w:rPr>
          <w:rFonts w:ascii="TimesNewRomanPS" w:hAnsi="TimesNewRomanPS"/>
          <w:color w:val="23383A"/>
          <w:shd w:val="clear" w:color="auto" w:fill="FFFFFF"/>
        </w:rPr>
        <w:t>its continental European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 philosophical background, especially in the impact of Kantian and post-Kantian aesthetics and several essays engage with this intellectual trajectory (notably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Andrew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Bennett, </w:t>
      </w:r>
      <w:r w:rsidR="00DC4838">
        <w:rPr>
          <w:rFonts w:ascii="TimesNewRomanPS" w:hAnsi="TimesNewRomanPS"/>
          <w:color w:val="23383A"/>
          <w:shd w:val="clear" w:color="auto" w:fill="FFFFFF"/>
        </w:rPr>
        <w:lastRenderedPageBreak/>
        <w:t xml:space="preserve">Tim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Milnes,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Nicholas </w:t>
      </w:r>
      <w:proofErr w:type="spellStart"/>
      <w:r w:rsidRPr="001720C4">
        <w:rPr>
          <w:rFonts w:ascii="TimesNewRomanPS" w:hAnsi="TimesNewRomanPS"/>
          <w:color w:val="23383A"/>
          <w:shd w:val="clear" w:color="auto" w:fill="FFFFFF"/>
        </w:rPr>
        <w:t>Ha</w:t>
      </w:r>
      <w:r w:rsidR="008A09FD">
        <w:rPr>
          <w:rFonts w:ascii="TimesNewRomanPS" w:hAnsi="TimesNewRomanPS"/>
          <w:color w:val="23383A"/>
          <w:shd w:val="clear" w:color="auto" w:fill="FFFFFF"/>
        </w:rPr>
        <w:t>l</w:t>
      </w:r>
      <w:r w:rsidRPr="001720C4">
        <w:rPr>
          <w:rFonts w:ascii="TimesNewRomanPS" w:hAnsi="TimesNewRomanPS"/>
          <w:color w:val="23383A"/>
          <w:shd w:val="clear" w:color="auto" w:fill="FFFFFF"/>
        </w:rPr>
        <w:t>mi</w:t>
      </w:r>
      <w:proofErr w:type="spellEnd"/>
      <w:r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Stephen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Behrendt,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Noel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Jackson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Patrick </w:t>
      </w:r>
      <w:r w:rsidR="002B01AB">
        <w:rPr>
          <w:rFonts w:ascii="TimesNewRomanPS" w:hAnsi="TimesNewRomanPS"/>
          <w:color w:val="23383A"/>
          <w:shd w:val="clear" w:color="auto" w:fill="FFFFFF"/>
        </w:rPr>
        <w:t>Vincent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and </w:t>
      </w:r>
      <w:r w:rsidR="00DC4838">
        <w:rPr>
          <w:rFonts w:ascii="TimesNewRomanPS" w:hAnsi="TimesNewRomanPS"/>
          <w:color w:val="23383A"/>
          <w:shd w:val="clear" w:color="auto" w:fill="FFFFFF"/>
        </w:rPr>
        <w:t xml:space="preserve">James </w:t>
      </w:r>
      <w:r w:rsidRPr="001720C4">
        <w:rPr>
          <w:rFonts w:ascii="TimesNewRomanPS" w:hAnsi="TimesNewRomanPS"/>
          <w:color w:val="23383A"/>
          <w:shd w:val="clear" w:color="auto" w:fill="FFFFFF"/>
        </w:rPr>
        <w:t>Vigus)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, with T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homas </w:t>
      </w:r>
      <w:proofErr w:type="spellStart"/>
      <w:r w:rsidR="00FA4C9A" w:rsidRPr="001720C4">
        <w:rPr>
          <w:rFonts w:ascii="TimesNewRomanPS" w:hAnsi="TimesNewRomanPS"/>
          <w:color w:val="23383A"/>
          <w:shd w:val="clear" w:color="auto" w:fill="FFFFFF"/>
        </w:rPr>
        <w:t>Keymer’s</w:t>
      </w:r>
      <w:proofErr w:type="spellEnd"/>
      <w:r w:rsidR="002B01AB">
        <w:rPr>
          <w:rFonts w:ascii="TimesNewRomanPS" w:hAnsi="TimesNewRomanPS"/>
          <w:color w:val="23383A"/>
          <w:shd w:val="clear" w:color="auto" w:fill="FFFFFF"/>
        </w:rPr>
        <w:t>,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‘The Subjective Turn’</w:t>
      </w:r>
      <w:r w:rsidR="002B01AB">
        <w:rPr>
          <w:rFonts w:ascii="TimesNewRomanPS" w:hAnsi="TimesNewRomanPS"/>
          <w:color w:val="23383A"/>
          <w:shd w:val="clear" w:color="auto" w:fill="FFFFFF"/>
        </w:rPr>
        <w:t>,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impressive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>ly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>locating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romantic aesthetics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>in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 Laurence Sterne’s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innovative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cultivation of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the literary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self. The currently vibrant field of book history and the reviewing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culture and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profession is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strongly reflected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key with essays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by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William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Christie,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Paul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Keen, and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Michael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Gamer. </w:t>
      </w:r>
      <w:r w:rsidR="002B01AB">
        <w:rPr>
          <w:rFonts w:ascii="TimesNewRomanPS" w:hAnsi="TimesNewRomanPS"/>
          <w:color w:val="23383A"/>
          <w:shd w:val="clear" w:color="auto" w:fill="FFFFFF"/>
        </w:rPr>
        <w:t>O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ne of the key critical sources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most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frequently cited is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the late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>William S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>t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 Clair’s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invaluable and highly influential study, </w:t>
      </w:r>
      <w:r w:rsidR="00350D2C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The Reading Nation in the Romanti</w:t>
      </w:r>
      <w:r w:rsidR="00061298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c Period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(Cambridge: Cambridge University Press, 2004).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The persistence of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earlier </w:t>
      </w:r>
      <w:r w:rsidRPr="001720C4">
        <w:rPr>
          <w:rFonts w:ascii="TimesNewRomanPS" w:hAnsi="TimesNewRomanPS"/>
          <w:color w:val="23383A"/>
          <w:shd w:val="clear" w:color="auto" w:fill="FFFFFF"/>
        </w:rPr>
        <w:t xml:space="preserve">balladry and the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presence in Romanticism of various oral traditions mediated to the cultural elite (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Nick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Groom,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Penny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Fielding,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Mary-Ann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Constantine,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>Erik Simpson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 xml:space="preserve">, and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Jane </w:t>
      </w:r>
      <w:r w:rsidR="00F30EB0" w:rsidRPr="001720C4">
        <w:rPr>
          <w:rFonts w:ascii="TimesNewRomanPS" w:hAnsi="TimesNewRomanPS"/>
          <w:color w:val="23383A"/>
          <w:shd w:val="clear" w:color="auto" w:fill="FFFFFF"/>
        </w:rPr>
        <w:t>Hodson)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.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In this respect another </w:t>
      </w:r>
      <w:r w:rsidR="008A09FD" w:rsidRPr="001720C4">
        <w:rPr>
          <w:rFonts w:ascii="TimesNewRomanPS" w:hAnsi="TimesNewRomanPS"/>
          <w:color w:val="23383A"/>
          <w:shd w:val="clear" w:color="auto" w:fill="FFFFFF"/>
        </w:rPr>
        <w:t>frequently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 cited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influential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critical text is Katie </w:t>
      </w:r>
      <w:proofErr w:type="spellStart"/>
      <w:r w:rsidR="001720C4" w:rsidRPr="001720C4">
        <w:rPr>
          <w:rFonts w:ascii="TimesNewRomanPS" w:hAnsi="TimesNewRomanPS"/>
          <w:color w:val="23383A"/>
          <w:shd w:val="clear" w:color="auto" w:fill="FFFFFF"/>
        </w:rPr>
        <w:t>Trumpener’s</w:t>
      </w:r>
      <w:proofErr w:type="spellEnd"/>
      <w:r w:rsidR="001720C4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1720C4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Bardic Nationalism: The Romantic Novel and the British Empire </w:t>
      </w:r>
      <w:r w:rsidR="001720C4" w:rsidRPr="001720C4">
        <w:rPr>
          <w:rFonts w:ascii="TimesNewRomanPS" w:hAnsi="TimesNewRomanPS"/>
          <w:color w:val="23383A"/>
          <w:shd w:val="clear" w:color="auto" w:fill="FFFFFF"/>
        </w:rPr>
        <w:t>(Princeton University Press, 1997</w:t>
      </w:r>
      <w:r w:rsidR="002B01AB" w:rsidRPr="001720C4">
        <w:rPr>
          <w:rFonts w:ascii="TimesNewRomanPS" w:hAnsi="TimesNewRomanPS"/>
          <w:color w:val="23383A"/>
          <w:shd w:val="clear" w:color="auto" w:fill="FFFFFF"/>
        </w:rPr>
        <w:t>). The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role of labouring writers is strongly </w:t>
      </w:r>
      <w:r w:rsidR="002B01AB" w:rsidRPr="001720C4">
        <w:rPr>
          <w:rFonts w:ascii="TimesNewRomanPS" w:hAnsi="TimesNewRomanPS"/>
          <w:color w:val="23383A"/>
          <w:shd w:val="clear" w:color="auto" w:fill="FFFFFF"/>
        </w:rPr>
        <w:t>featured,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 and discussions of Burns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Clare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and Hogg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are prominent,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firmly </w:t>
      </w:r>
      <w:r w:rsidR="00FA4C9A" w:rsidRPr="001720C4">
        <w:rPr>
          <w:rFonts w:ascii="TimesNewRomanPS" w:hAnsi="TimesNewRomanPS"/>
          <w:color w:val="23383A"/>
          <w:shd w:val="clear" w:color="auto" w:fill="FFFFFF"/>
        </w:rPr>
        <w:t xml:space="preserve">cementing Clare’s current canonical presence. 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>Where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, for </w:t>
      </w:r>
      <w:r w:rsidR="008A09FD" w:rsidRPr="001720C4">
        <w:rPr>
          <w:rFonts w:ascii="TimesNewRomanPS" w:hAnsi="TimesNewRomanPS"/>
          <w:color w:val="23383A"/>
          <w:shd w:val="clear" w:color="auto" w:fill="FFFFFF"/>
        </w:rPr>
        <w:t>me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 at least</w:t>
      </w:r>
      <w:r w:rsidR="008A09FD" w:rsidRPr="001720C4">
        <w:rPr>
          <w:rFonts w:ascii="TimesNewRomanPS" w:hAnsi="TimesNewRomanPS"/>
          <w:color w:val="23383A"/>
          <w:shd w:val="clear" w:color="auto" w:fill="FFFFFF"/>
        </w:rPr>
        <w:t>, the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 xml:space="preserve"> volume is lacking, however, is in its treatment of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overseas 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>colonialism and empire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2B01AB">
        <w:rPr>
          <w:rFonts w:ascii="TimesNewRomanPS" w:hAnsi="TimesNewRomanPS"/>
          <w:color w:val="23383A"/>
          <w:shd w:val="clear" w:color="auto" w:fill="FFFFFF"/>
        </w:rPr>
        <w:t xml:space="preserve">or 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>what we might think of as the global dimensions of British Romanticism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>. In the Romantic period, the heated debate over the transatlantic trade in slaves reached new heights witnessing both the Abolition Act of 1807 and the Emancipation Act of 1833. Th</w:t>
      </w:r>
      <w:r w:rsidR="008A09FD">
        <w:rPr>
          <w:rFonts w:ascii="TimesNewRomanPS" w:hAnsi="TimesNewRomanPS"/>
          <w:color w:val="23383A"/>
          <w:shd w:val="clear" w:color="auto" w:fill="FFFFFF"/>
        </w:rPr>
        <w:t>e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 xml:space="preserve"> troubled legacies of colonial slavery from the period trouble the living stream of today. </w:t>
      </w:r>
      <w:r w:rsidR="009036F4" w:rsidRPr="001720C4">
        <w:rPr>
          <w:rFonts w:ascii="TimesNewRomanPS" w:hAnsi="TimesNewRomanPS"/>
          <w:color w:val="23383A"/>
          <w:shd w:val="clear" w:color="auto" w:fill="FFFFFF"/>
        </w:rPr>
        <w:t xml:space="preserve">Although Fiona </w:t>
      </w:r>
      <w:r w:rsidR="00C86E28" w:rsidRPr="001720C4">
        <w:rPr>
          <w:rFonts w:ascii="TimesNewRomanPS" w:hAnsi="TimesNewRomanPS"/>
          <w:color w:val="23383A"/>
          <w:shd w:val="clear" w:color="auto" w:fill="FFFFFF"/>
        </w:rPr>
        <w:t>R</w:t>
      </w:r>
      <w:r w:rsidR="009036F4" w:rsidRPr="001720C4">
        <w:rPr>
          <w:rFonts w:ascii="TimesNewRomanPS" w:hAnsi="TimesNewRomanPS"/>
          <w:color w:val="23383A"/>
          <w:shd w:val="clear" w:color="auto" w:fill="FFFFFF"/>
        </w:rPr>
        <w:t>obertson’s essay o</w:t>
      </w:r>
      <w:r w:rsidR="00C86E28" w:rsidRPr="001720C4">
        <w:rPr>
          <w:rFonts w:ascii="TimesNewRomanPS" w:hAnsi="TimesNewRomanPS"/>
          <w:color w:val="23383A"/>
          <w:shd w:val="clear" w:color="auto" w:fill="FFFFFF"/>
        </w:rPr>
        <w:t xml:space="preserve">n </w:t>
      </w:r>
      <w:r w:rsidR="008A09FD">
        <w:rPr>
          <w:rFonts w:ascii="TimesNewRomanPS" w:hAnsi="TimesNewRomanPS"/>
          <w:color w:val="23383A"/>
          <w:shd w:val="clear" w:color="auto" w:fill="FFFFFF"/>
        </w:rPr>
        <w:t>‘</w:t>
      </w:r>
      <w:r w:rsidR="00B47354" w:rsidRPr="001720C4">
        <w:rPr>
          <w:rFonts w:ascii="TimesNewRomanPS" w:hAnsi="TimesNewRomanPS"/>
          <w:color w:val="23383A"/>
          <w:shd w:val="clear" w:color="auto" w:fill="FFFFFF"/>
        </w:rPr>
        <w:t>Transatlantic</w:t>
      </w:r>
      <w:r w:rsidR="00C86E28" w:rsidRPr="001720C4">
        <w:rPr>
          <w:rFonts w:ascii="TimesNewRomanPS" w:hAnsi="TimesNewRomanPS"/>
          <w:color w:val="23383A"/>
          <w:shd w:val="clear" w:color="auto" w:fill="FFFFFF"/>
        </w:rPr>
        <w:t xml:space="preserve"> Engagements’ emphasises, ‘that ‘Paul Gilroy’s model  of the ‘Black Atlantic’ has been adapted to the ‘Red’ Atlantic’ or ‘Indian’ Atlantic; and the human freight of the slave trade has been a constituent factor  in </w:t>
      </w:r>
      <w:r w:rsidR="00B47354" w:rsidRPr="001720C4">
        <w:rPr>
          <w:rFonts w:ascii="TimesNewRomanPS" w:hAnsi="TimesNewRomanPS"/>
          <w:color w:val="23383A"/>
          <w:shd w:val="clear" w:color="auto" w:fill="FFFFFF"/>
        </w:rPr>
        <w:t>trans-Atlanticism</w:t>
      </w:r>
      <w:r w:rsidR="00C86E28" w:rsidRPr="001720C4">
        <w:rPr>
          <w:rFonts w:ascii="TimesNewRomanPS" w:hAnsi="TimesNewRomanPS"/>
          <w:color w:val="23383A"/>
          <w:shd w:val="clear" w:color="auto" w:fill="FFFFFF"/>
        </w:rPr>
        <w:t>, which implicitly, on an ideological level, refashions the routes  of trade and human trafficking’, t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 xml:space="preserve">he </w:t>
      </w:r>
      <w:r w:rsidR="009C3F02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 xml:space="preserve"> contains only two brief references to Olaudah Equiano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’s </w:t>
      </w:r>
      <w:r w:rsidR="008A09FD" w:rsidRPr="008A09FD">
        <w:rPr>
          <w:rFonts w:ascii="TimesNewRomanPS" w:hAnsi="TimesNewRomanPS"/>
          <w:i/>
          <w:iCs/>
          <w:color w:val="23383A"/>
          <w:shd w:val="clear" w:color="auto" w:fill="FFFFFF"/>
        </w:rPr>
        <w:t>Interesting Narrative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 (1789)</w:t>
      </w:r>
      <w:r w:rsidR="002B01AB">
        <w:rPr>
          <w:rFonts w:ascii="TimesNewRomanPS" w:hAnsi="TimesNewRomanPS"/>
          <w:color w:val="23383A"/>
          <w:shd w:val="clear" w:color="auto" w:fill="FFFFFF"/>
        </w:rPr>
        <w:t>, surely now a major period text.  S</w:t>
      </w:r>
      <w:r w:rsidR="009C3F02" w:rsidRPr="001720C4">
        <w:rPr>
          <w:rFonts w:ascii="TimesNewRomanPS" w:hAnsi="TimesNewRomanPS"/>
          <w:color w:val="23383A"/>
          <w:shd w:val="clear" w:color="auto" w:fill="FFFFFF"/>
        </w:rPr>
        <w:t xml:space="preserve">urprisingly, </w:t>
      </w:r>
      <w:r w:rsidR="00AB2FB5" w:rsidRPr="001720C4">
        <w:rPr>
          <w:rFonts w:ascii="TimesNewRomanPS" w:hAnsi="TimesNewRomanPS"/>
          <w:color w:val="23383A"/>
          <w:shd w:val="clear" w:color="auto" w:fill="FFFFFF"/>
        </w:rPr>
        <w:t xml:space="preserve">there is no mention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at </w:t>
      </w:r>
      <w:proofErr w:type="gramStart"/>
      <w:r w:rsidR="008A09FD">
        <w:rPr>
          <w:rFonts w:ascii="TimesNewRomanPS" w:hAnsi="TimesNewRomanPS"/>
          <w:color w:val="23383A"/>
          <w:shd w:val="clear" w:color="auto" w:fill="FFFFFF"/>
        </w:rPr>
        <w:t xml:space="preserve">all </w:t>
      </w:r>
      <w:r w:rsidR="00AB2FB5" w:rsidRPr="001720C4">
        <w:rPr>
          <w:rFonts w:ascii="TimesNewRomanPS" w:hAnsi="TimesNewRomanPS"/>
          <w:color w:val="23383A"/>
          <w:shd w:val="clear" w:color="auto" w:fill="FFFFFF"/>
        </w:rPr>
        <w:t>of</w:t>
      </w:r>
      <w:proofErr w:type="gramEnd"/>
      <w:r w:rsidR="00AB2FB5" w:rsidRPr="001720C4">
        <w:rPr>
          <w:rFonts w:ascii="TimesNewRomanPS" w:hAnsi="TimesNewRomanPS"/>
          <w:color w:val="23383A"/>
          <w:shd w:val="clear" w:color="auto" w:fill="FFFFFF"/>
        </w:rPr>
        <w:t xml:space="preserve"> such an important text as </w:t>
      </w:r>
      <w:r w:rsidR="00AB2FB5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The History of Mary Prince</w:t>
      </w:r>
      <w:r w:rsidR="00527852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: A West Indian </w:t>
      </w:r>
      <w:r w:rsidR="00527852" w:rsidRPr="001720C4">
        <w:rPr>
          <w:rFonts w:ascii="TimesNewRomanPS" w:hAnsi="TimesNewRomanPS"/>
          <w:i/>
          <w:iCs/>
          <w:color w:val="23383A"/>
          <w:shd w:val="clear" w:color="auto" w:fill="FFFFFF"/>
        </w:rPr>
        <w:lastRenderedPageBreak/>
        <w:t>Slave</w:t>
      </w:r>
      <w:r w:rsidR="00AB2FB5" w:rsidRPr="001720C4">
        <w:rPr>
          <w:rFonts w:ascii="TimesNewRomanPS" w:hAnsi="TimesNewRomanPS"/>
          <w:color w:val="23383A"/>
          <w:shd w:val="clear" w:color="auto" w:fill="FFFFFF"/>
        </w:rPr>
        <w:t xml:space="preserve"> (1831)</w:t>
      </w:r>
      <w:r w:rsidR="008A09FD">
        <w:rPr>
          <w:rFonts w:ascii="TimesNewRomanPS" w:hAnsi="TimesNewRomanPS"/>
          <w:color w:val="23383A"/>
          <w:shd w:val="clear" w:color="auto" w:fill="FFFFFF"/>
        </w:rPr>
        <w:t>,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8A09FD">
        <w:rPr>
          <w:rFonts w:ascii="TimesNewRomanPS" w:hAnsi="TimesNewRomanPS"/>
          <w:color w:val="23383A"/>
          <w:shd w:val="clear" w:color="auto" w:fill="FFFFFF"/>
        </w:rPr>
        <w:t>n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or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is there 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any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serious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extended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treatment of the many slave autobiographies of the period. </w:t>
      </w:r>
      <w:r w:rsidR="00A150EF">
        <w:rPr>
          <w:rFonts w:ascii="TimesNewRomanPS" w:hAnsi="TimesNewRomanPS"/>
          <w:color w:val="23383A"/>
          <w:shd w:val="clear" w:color="auto" w:fill="FFFFFF"/>
        </w:rPr>
        <w:t>S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uch writers and texts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surely 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have a place in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our study of </w:t>
      </w:r>
      <w:r w:rsidR="00527852" w:rsidRPr="001720C4">
        <w:rPr>
          <w:rFonts w:ascii="TimesNewRomanPS" w:hAnsi="TimesNewRomanPS"/>
          <w:color w:val="23383A"/>
          <w:shd w:val="clear" w:color="auto" w:fill="FFFFFF"/>
        </w:rPr>
        <w:t xml:space="preserve">‘British Romanticism’?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In the period, Britain lost its American colonies and developed a new empire in the east. There is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scant coverage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>of this momentous historical shift in the</w:t>
      </w:r>
      <w:r w:rsidR="00452009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 Handbook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 and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 its implications for Romantic writing and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its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>subsequent history. The</w:t>
      </w:r>
      <w:r w:rsidR="00AB2FB5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presence of Indian writers such as the traveller, surgeon, entrepreneur, Dean Mahomed 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>(Din Mohammed)</w:t>
      </w:r>
      <w:r w:rsidR="00A150EF">
        <w:rPr>
          <w:rFonts w:ascii="TimesNewRomanPS" w:hAnsi="TimesNewRomanPS"/>
          <w:color w:val="23383A"/>
          <w:shd w:val="clear" w:color="auto" w:fill="FFFFFF"/>
        </w:rPr>
        <w:t>,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>who o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>p</w:t>
      </w:r>
      <w:r w:rsidR="00452009" w:rsidRPr="001720C4">
        <w:rPr>
          <w:rFonts w:ascii="TimesNewRomanPS" w:hAnsi="TimesNewRomanPS"/>
          <w:color w:val="23383A"/>
          <w:shd w:val="clear" w:color="auto" w:fill="FFFFFF"/>
        </w:rPr>
        <w:t xml:space="preserve">ened the first Indian 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restaurant in London and introduced ‘shampooing’ </w:t>
      </w:r>
      <w:r w:rsidR="00A150EF">
        <w:rPr>
          <w:rFonts w:ascii="TimesNewRomanPS" w:hAnsi="TimesNewRomanPS"/>
          <w:color w:val="23383A"/>
          <w:shd w:val="clear" w:color="auto" w:fill="FFFFFF"/>
        </w:rPr>
        <w:t>and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massage parlours among other things</w:t>
      </w:r>
      <w:r w:rsidR="008A09FD">
        <w:rPr>
          <w:rFonts w:ascii="TimesNewRomanPS" w:hAnsi="TimesNewRomanPS"/>
          <w:color w:val="23383A"/>
          <w:shd w:val="clear" w:color="auto" w:fill="FFFFFF"/>
        </w:rPr>
        <w:t>,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and who published </w:t>
      </w:r>
      <w:r w:rsidR="00A150EF">
        <w:rPr>
          <w:rFonts w:ascii="TimesNewRomanPS" w:hAnsi="TimesNewRomanPS"/>
          <w:color w:val="23383A"/>
          <w:shd w:val="clear" w:color="auto" w:fill="FFFFFF"/>
        </w:rPr>
        <w:t>his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remarkable </w:t>
      </w:r>
      <w:r w:rsidR="00332D75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Travels of Dean Mohamed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in 1794, the first English 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language 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>travel memoir by an Indian</w:t>
      </w:r>
      <w:r w:rsidR="008A09FD">
        <w:rPr>
          <w:rFonts w:ascii="TimesNewRomanPS" w:hAnsi="TimesNewRomanPS"/>
          <w:color w:val="23383A"/>
          <w:shd w:val="clear" w:color="auto" w:fill="FFFFFF"/>
        </w:rPr>
        <w:t xml:space="preserve"> writer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, </w:t>
      </w:r>
      <w:r w:rsidR="008A09FD">
        <w:rPr>
          <w:rFonts w:ascii="TimesNewRomanPS" w:hAnsi="TimesNewRomanPS"/>
          <w:color w:val="23383A"/>
          <w:shd w:val="clear" w:color="auto" w:fill="FFFFFF"/>
        </w:rPr>
        <w:t>sadly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goes unmentioned. Similarly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>,</w:t>
      </w:r>
      <w:r w:rsidR="00332D75" w:rsidRPr="001720C4">
        <w:rPr>
          <w:rFonts w:ascii="TimesNewRomanPS" w:hAnsi="TimesNewRomanPS"/>
          <w:color w:val="23383A"/>
          <w:shd w:val="clear" w:color="auto" w:fill="FFFFFF"/>
        </w:rPr>
        <w:t xml:space="preserve"> Henry Louis </w:t>
      </w:r>
      <w:proofErr w:type="spellStart"/>
      <w:r w:rsidR="00332D75" w:rsidRPr="001720C4">
        <w:rPr>
          <w:rFonts w:ascii="TimesNewRomanPS" w:hAnsi="TimesNewRomanPS"/>
          <w:color w:val="23383A"/>
          <w:shd w:val="clear" w:color="auto" w:fill="FFFFFF"/>
        </w:rPr>
        <w:t>Derozio</w:t>
      </w:r>
      <w:proofErr w:type="spellEnd"/>
      <w:r w:rsidR="00BE1E86" w:rsidRPr="001720C4">
        <w:rPr>
          <w:rFonts w:ascii="TimesNewRomanPS" w:hAnsi="TimesNewRomanPS"/>
          <w:color w:val="23383A"/>
          <w:shd w:val="clear" w:color="auto" w:fill="FFFFFF"/>
        </w:rPr>
        <w:t>, India’s first national poet</w:t>
      </w:r>
      <w:r w:rsidR="008A09FD">
        <w:rPr>
          <w:rFonts w:ascii="TimesNewRomanPS" w:hAnsi="TimesNewRomanPS"/>
          <w:color w:val="23383A"/>
          <w:shd w:val="clear" w:color="auto" w:fill="FFFFFF"/>
        </w:rPr>
        <w:t>,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 who adapted Romantic models, especially Byron</w:t>
      </w:r>
      <w:r w:rsidR="00750486">
        <w:rPr>
          <w:rFonts w:ascii="TimesNewRomanPS" w:hAnsi="TimesNewRomanPS"/>
          <w:color w:val="23383A"/>
          <w:shd w:val="clear" w:color="auto" w:fill="FFFFFF"/>
        </w:rPr>
        <w:t>ic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>, to Indian subjects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 and topographies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, and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who 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disseminated Western learning and science in Bengal’s intellectual circles is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also 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not mentioned. The </w:t>
      </w:r>
      <w:r w:rsidR="00BE1E86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 contains a sound essay on ‘Orientalism’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(James Watt)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as a literary and cultural </w:t>
      </w:r>
      <w:proofErr w:type="gramStart"/>
      <w:r w:rsidR="00A150EF">
        <w:rPr>
          <w:rFonts w:ascii="TimesNewRomanPS" w:hAnsi="TimesNewRomanPS"/>
          <w:color w:val="23383A"/>
          <w:shd w:val="clear" w:color="auto" w:fill="FFFFFF"/>
        </w:rPr>
        <w:t xml:space="preserve">style, 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>but</w:t>
      </w:r>
      <w:proofErr w:type="gramEnd"/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written 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>from the representation</w:t>
      </w:r>
      <w:r w:rsidR="00B113F2">
        <w:rPr>
          <w:rFonts w:ascii="TimesNewRomanPS" w:hAnsi="TimesNewRomanPS"/>
          <w:color w:val="23383A"/>
          <w:shd w:val="clear" w:color="auto" w:fill="FFFFFF"/>
        </w:rPr>
        <w:t>al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 viewpoint of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canonical </w:t>
      </w:r>
      <w:r w:rsidR="00BE1E86" w:rsidRPr="001720C4">
        <w:rPr>
          <w:rFonts w:ascii="TimesNewRomanPS" w:hAnsi="TimesNewRomanPS"/>
          <w:color w:val="23383A"/>
          <w:shd w:val="clear" w:color="auto" w:fill="FFFFFF"/>
        </w:rPr>
        <w:t xml:space="preserve">Western writers.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Several essays in the </w:t>
      </w:r>
      <w:r w:rsidR="003628AE" w:rsidRPr="00B113F2">
        <w:rPr>
          <w:rFonts w:ascii="TimesNewRomanPS" w:hAnsi="TimesNewRomanPS"/>
          <w:i/>
          <w:iCs/>
          <w:color w:val="23383A"/>
          <w:shd w:val="clear" w:color="auto" w:fill="FFFFFF"/>
        </w:rPr>
        <w:t>Handbook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rightly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emphasize </w:t>
      </w:r>
      <w:r w:rsidR="00A150EF">
        <w:rPr>
          <w:rFonts w:ascii="TimesNewRomanPS" w:hAnsi="TimesNewRomanPS"/>
          <w:color w:val="23383A"/>
          <w:shd w:val="clear" w:color="auto" w:fill="FFFFFF"/>
        </w:rPr>
        <w:t>1814-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1815 and the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final military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>defeat of Napoleon at Waterloo as a key moment for British romantic literature and culture</w:t>
      </w:r>
      <w:r w:rsidR="00A150EF">
        <w:rPr>
          <w:rFonts w:ascii="TimesNewRomanPS" w:hAnsi="TimesNewRomanPS"/>
          <w:color w:val="23383A"/>
          <w:shd w:val="clear" w:color="auto" w:fill="FFFFFF"/>
        </w:rPr>
        <w:t>,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 but the sheer impact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and pressure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of the British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territorial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>acquisition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s after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that date of around twenty-five percent of the world’s population is </w:t>
      </w:r>
      <w:r w:rsidR="00A150EF">
        <w:rPr>
          <w:rFonts w:ascii="TimesNewRomanPS" w:hAnsi="TimesNewRomanPS"/>
          <w:color w:val="23383A"/>
          <w:shd w:val="clear" w:color="auto" w:fill="FFFFFF"/>
        </w:rPr>
        <w:t xml:space="preserve">less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acutely </w:t>
      </w:r>
      <w:r w:rsidR="003628AE" w:rsidRPr="001720C4">
        <w:rPr>
          <w:rFonts w:ascii="TimesNewRomanPS" w:hAnsi="TimesNewRomanPS"/>
          <w:color w:val="23383A"/>
          <w:shd w:val="clear" w:color="auto" w:fill="FFFFFF"/>
        </w:rPr>
        <w:t xml:space="preserve">felt. The Edmund Burke that features here is very much that of </w:t>
      </w:r>
      <w:r w:rsidR="00C92CD6" w:rsidRPr="001720C4">
        <w:rPr>
          <w:rFonts w:ascii="TimesNewRomanPS" w:hAnsi="TimesNewRomanPS"/>
          <w:color w:val="23383A"/>
          <w:shd w:val="clear" w:color="auto" w:fill="FFFFFF"/>
        </w:rPr>
        <w:t>sublime aesthetics and the French Revolution, rather than the Burke of India and the t</w:t>
      </w:r>
      <w:r w:rsidR="00B113F2">
        <w:rPr>
          <w:rFonts w:ascii="TimesNewRomanPS" w:hAnsi="TimesNewRomanPS"/>
          <w:color w:val="23383A"/>
          <w:shd w:val="clear" w:color="auto" w:fill="FFFFFF"/>
        </w:rPr>
        <w:t>ri</w:t>
      </w:r>
      <w:r w:rsidR="00A150EF">
        <w:rPr>
          <w:rFonts w:ascii="TimesNewRomanPS" w:hAnsi="TimesNewRomanPS"/>
          <w:color w:val="23383A"/>
          <w:shd w:val="clear" w:color="auto" w:fill="FFFFFF"/>
        </w:rPr>
        <w:t>a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ls </w:t>
      </w:r>
      <w:r w:rsidR="00C92CD6" w:rsidRPr="001720C4">
        <w:rPr>
          <w:rFonts w:ascii="TimesNewRomanPS" w:hAnsi="TimesNewRomanPS"/>
          <w:color w:val="23383A"/>
          <w:shd w:val="clear" w:color="auto" w:fill="FFFFFF"/>
        </w:rPr>
        <w:t xml:space="preserve">of Warren Hastings, about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which </w:t>
      </w:r>
      <w:r w:rsidR="00C92CD6" w:rsidRPr="001720C4">
        <w:rPr>
          <w:rFonts w:ascii="TimesNewRomanPS" w:hAnsi="TimesNewRomanPS"/>
          <w:color w:val="23383A"/>
          <w:shd w:val="clear" w:color="auto" w:fill="FFFFFF"/>
        </w:rPr>
        <w:t xml:space="preserve">much recent </w:t>
      </w:r>
      <w:r w:rsidR="00A150EF">
        <w:rPr>
          <w:rFonts w:ascii="TimesNewRomanPS" w:hAnsi="TimesNewRomanPS"/>
          <w:color w:val="23383A"/>
          <w:shd w:val="clear" w:color="auto" w:fill="FFFFFF"/>
        </w:rPr>
        <w:t>scholarship</w:t>
      </w:r>
      <w:r w:rsidR="00C92CD6" w:rsidRPr="001720C4">
        <w:rPr>
          <w:rFonts w:ascii="TimesNewRomanPS" w:hAnsi="TimesNewRomanPS"/>
          <w:color w:val="23383A"/>
          <w:shd w:val="clear" w:color="auto" w:fill="FFFFFF"/>
        </w:rPr>
        <w:t xml:space="preserve"> has focused. </w:t>
      </w:r>
    </w:p>
    <w:p w14:paraId="6C9F8B51" w14:textId="0F44AD23" w:rsidR="00350D2C" w:rsidRPr="001720C4" w:rsidRDefault="00A150EF" w:rsidP="001720C4">
      <w:pPr>
        <w:pStyle w:val="NormalWeb"/>
        <w:spacing w:line="480" w:lineRule="auto"/>
        <w:ind w:right="-46"/>
        <w:rPr>
          <w:rFonts w:ascii="TimesNewRomanPS" w:hAnsi="TimesNewRomanPS"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>Overall,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 the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061298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Oxford</w:t>
      </w:r>
      <w:r w:rsidR="00350D2C" w:rsidRPr="001720C4">
        <w:rPr>
          <w:rFonts w:ascii="TimesNewRomanPS" w:hAnsi="TimesNewRomanPS"/>
          <w:i/>
          <w:iCs/>
          <w:color w:val="23383A"/>
          <w:shd w:val="clear" w:color="auto" w:fill="FFFFFF"/>
        </w:rPr>
        <w:t xml:space="preserve"> Handbook of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350D2C" w:rsidRPr="001720C4">
        <w:rPr>
          <w:rFonts w:ascii="TimesNewRomanPS" w:hAnsi="TimesNewRomanPS"/>
          <w:i/>
          <w:iCs/>
          <w:color w:val="23383A"/>
          <w:shd w:val="clear" w:color="auto" w:fill="FFFFFF"/>
        </w:rPr>
        <w:t>British Romanticism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 is a tremendous resource 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>for scholars</w:t>
      </w:r>
      <w:r w:rsidR="00350D2C" w:rsidRPr="001720C4">
        <w:rPr>
          <w:rFonts w:ascii="TimesNewRomanPS" w:hAnsi="TimesNewRomanPS"/>
          <w:color w:val="23383A"/>
          <w:shd w:val="clear" w:color="auto" w:fill="FFFFFF"/>
        </w:rPr>
        <w:t xml:space="preserve"> and students of the subject and one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that 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will </w:t>
      </w:r>
      <w:r w:rsidR="00C20BA8">
        <w:rPr>
          <w:rFonts w:ascii="TimesNewRomanPS" w:hAnsi="TimesNewRomanPS"/>
          <w:color w:val="23383A"/>
          <w:shd w:val="clear" w:color="auto" w:fill="FFFFFF"/>
        </w:rPr>
        <w:t>continue to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 our teaching and research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perspectives 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over the coming years. In many ways, through its rich and varied contributions, it represents the summary of perhaps some forty years or so of scholarly enquiry and endeavour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by more than one critical generation of Romanticists which 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has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definitively </w:t>
      </w:r>
      <w:r w:rsidR="00061298" w:rsidRPr="001720C4">
        <w:rPr>
          <w:rFonts w:ascii="TimesNewRomanPS" w:hAnsi="TimesNewRomanPS"/>
          <w:color w:val="23383A"/>
          <w:shd w:val="clear" w:color="auto" w:fill="FFFFFF"/>
        </w:rPr>
        <w:t xml:space="preserve">transformed the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lastRenderedPageBreak/>
        <w:t xml:space="preserve">subject that most of us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encountered back in our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undergraduate days. Whether it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will serve as a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master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chart suggesting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new directions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beyond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our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established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>route</w:t>
      </w:r>
      <w:r w:rsidR="00B113F2">
        <w:rPr>
          <w:rFonts w:ascii="TimesNewRomanPS" w:hAnsi="TimesNewRomanPS"/>
          <w:color w:val="23383A"/>
          <w:shd w:val="clear" w:color="auto" w:fill="FFFFFF"/>
        </w:rPr>
        <w:t>s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 of scholarly exploration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in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the study of British Romanticism </w:t>
      </w:r>
      <w:r w:rsidR="00C20BA8">
        <w:rPr>
          <w:rFonts w:ascii="TimesNewRomanPS" w:hAnsi="TimesNewRomanPS"/>
          <w:color w:val="23383A"/>
          <w:shd w:val="clear" w:color="auto" w:fill="FFFFFF"/>
        </w:rPr>
        <w:t>over th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e coming decades with 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those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troublesome yet insistent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 xml:space="preserve">demands to ‘Decolonize the Curriculum’ is not 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as </w:t>
      </w:r>
      <w:r w:rsidR="00F14521" w:rsidRPr="001720C4">
        <w:rPr>
          <w:rFonts w:ascii="TimesNewRomanPS" w:hAnsi="TimesNewRomanPS"/>
          <w:color w:val="23383A"/>
          <w:shd w:val="clear" w:color="auto" w:fill="FFFFFF"/>
        </w:rPr>
        <w:t>certain</w:t>
      </w:r>
      <w:r w:rsidR="00B113F2">
        <w:rPr>
          <w:rFonts w:ascii="TimesNewRomanPS" w:hAnsi="TimesNewRomanPS"/>
          <w:color w:val="23383A"/>
          <w:shd w:val="clear" w:color="auto" w:fill="FFFFFF"/>
        </w:rPr>
        <w:t xml:space="preserve"> to this reviewer</w:t>
      </w:r>
      <w:r w:rsidR="00C20BA8">
        <w:rPr>
          <w:rFonts w:ascii="TimesNewRomanPS" w:hAnsi="TimesNewRomanPS"/>
          <w:color w:val="23383A"/>
          <w:shd w:val="clear" w:color="auto" w:fill="FFFFFF"/>
        </w:rPr>
        <w:t xml:space="preserve"> at least</w:t>
      </w:r>
      <w:r w:rsidR="00B113F2">
        <w:rPr>
          <w:rFonts w:ascii="TimesNewRomanPS" w:hAnsi="TimesNewRomanPS"/>
          <w:color w:val="23383A"/>
          <w:shd w:val="clear" w:color="auto" w:fill="FFFFFF"/>
        </w:rPr>
        <w:t>.</w:t>
      </w:r>
    </w:p>
    <w:p w14:paraId="7757F869" w14:textId="77777777" w:rsidR="00C20BA8" w:rsidRDefault="00350D2C" w:rsidP="001720C4">
      <w:pPr>
        <w:pStyle w:val="NormalWeb"/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>Peter J. Kitson</w:t>
      </w:r>
    </w:p>
    <w:p w14:paraId="0E859780" w14:textId="3B5CEF60" w:rsidR="00350D2C" w:rsidRPr="001720C4" w:rsidRDefault="00350D2C" w:rsidP="001720C4">
      <w:pPr>
        <w:pStyle w:val="NormalWeb"/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  <w:r w:rsidRPr="001720C4">
        <w:rPr>
          <w:rFonts w:ascii="TimesNewRomanPS" w:hAnsi="TimesNewRomanPS"/>
          <w:color w:val="23383A"/>
          <w:shd w:val="clear" w:color="auto" w:fill="FFFFFF"/>
        </w:rPr>
        <w:t xml:space="preserve">University of </w:t>
      </w:r>
      <w:r w:rsidR="00C20BA8">
        <w:rPr>
          <w:rFonts w:ascii="TimesNewRomanPS" w:hAnsi="TimesNewRomanPS"/>
          <w:color w:val="23383A"/>
          <w:shd w:val="clear" w:color="auto" w:fill="FFFFFF"/>
        </w:rPr>
        <w:t>E</w:t>
      </w:r>
      <w:r w:rsidRPr="001720C4">
        <w:rPr>
          <w:rFonts w:ascii="TimesNewRomanPS" w:hAnsi="TimesNewRomanPS"/>
          <w:color w:val="23383A"/>
          <w:shd w:val="clear" w:color="auto" w:fill="FFFFFF"/>
        </w:rPr>
        <w:t>ast Anglia</w:t>
      </w:r>
    </w:p>
    <w:p w14:paraId="713B5846" w14:textId="54A6997D" w:rsidR="00332D75" w:rsidRPr="001720C4" w:rsidRDefault="00332D75" w:rsidP="001720C4">
      <w:pPr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</w:p>
    <w:p w14:paraId="1AA60D52" w14:textId="0CB65830" w:rsidR="00452009" w:rsidRPr="001720C4" w:rsidRDefault="00452009" w:rsidP="001720C4">
      <w:pPr>
        <w:pStyle w:val="NormalWeb"/>
        <w:spacing w:line="480" w:lineRule="auto"/>
        <w:rPr>
          <w:rFonts w:ascii="TimesNewRomanPS" w:hAnsi="TimesNewRomanPS"/>
          <w:color w:val="23383A"/>
          <w:shd w:val="clear" w:color="auto" w:fill="FFFFFF"/>
        </w:rPr>
      </w:pPr>
    </w:p>
    <w:p w14:paraId="42C81050" w14:textId="6F59C7F2" w:rsidR="009C3F02" w:rsidRPr="001720C4" w:rsidRDefault="009C3F02" w:rsidP="001720C4">
      <w:pPr>
        <w:pStyle w:val="NormalWeb"/>
        <w:spacing w:line="480" w:lineRule="auto"/>
      </w:pPr>
    </w:p>
    <w:p w14:paraId="7CD95EAB" w14:textId="77777777" w:rsidR="009C3F02" w:rsidRPr="001720C4" w:rsidRDefault="009C3F02" w:rsidP="001720C4">
      <w:pPr>
        <w:pStyle w:val="NormalWeb"/>
        <w:spacing w:line="480" w:lineRule="auto"/>
      </w:pPr>
    </w:p>
    <w:sectPr w:rsidR="009C3F02" w:rsidRPr="0017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CE"/>
    <w:rsid w:val="00005771"/>
    <w:rsid w:val="00061298"/>
    <w:rsid w:val="000A3A38"/>
    <w:rsid w:val="000B2625"/>
    <w:rsid w:val="000B2D59"/>
    <w:rsid w:val="000D22E5"/>
    <w:rsid w:val="000F6E02"/>
    <w:rsid w:val="00147997"/>
    <w:rsid w:val="00165A57"/>
    <w:rsid w:val="001720C4"/>
    <w:rsid w:val="002A32BA"/>
    <w:rsid w:val="002B01AB"/>
    <w:rsid w:val="002B795B"/>
    <w:rsid w:val="0031269A"/>
    <w:rsid w:val="00332D75"/>
    <w:rsid w:val="00350D2C"/>
    <w:rsid w:val="003628AE"/>
    <w:rsid w:val="003B41F7"/>
    <w:rsid w:val="00415343"/>
    <w:rsid w:val="00425B50"/>
    <w:rsid w:val="0044618C"/>
    <w:rsid w:val="00452009"/>
    <w:rsid w:val="00527852"/>
    <w:rsid w:val="005A1E4A"/>
    <w:rsid w:val="00614ED2"/>
    <w:rsid w:val="0072482E"/>
    <w:rsid w:val="00750486"/>
    <w:rsid w:val="00761588"/>
    <w:rsid w:val="00864F4C"/>
    <w:rsid w:val="00876E94"/>
    <w:rsid w:val="008A09FD"/>
    <w:rsid w:val="009036F4"/>
    <w:rsid w:val="009C3F02"/>
    <w:rsid w:val="00A150EF"/>
    <w:rsid w:val="00A829CC"/>
    <w:rsid w:val="00A9368D"/>
    <w:rsid w:val="00AB2FB5"/>
    <w:rsid w:val="00AC4028"/>
    <w:rsid w:val="00AD2CC3"/>
    <w:rsid w:val="00B113F2"/>
    <w:rsid w:val="00B11FB6"/>
    <w:rsid w:val="00B30896"/>
    <w:rsid w:val="00B47354"/>
    <w:rsid w:val="00B92A9A"/>
    <w:rsid w:val="00BC5516"/>
    <w:rsid w:val="00BE1E86"/>
    <w:rsid w:val="00C20BA8"/>
    <w:rsid w:val="00C61561"/>
    <w:rsid w:val="00C86E28"/>
    <w:rsid w:val="00C91B69"/>
    <w:rsid w:val="00C92CD6"/>
    <w:rsid w:val="00C93E79"/>
    <w:rsid w:val="00CC063E"/>
    <w:rsid w:val="00CE07CE"/>
    <w:rsid w:val="00D005C2"/>
    <w:rsid w:val="00D0289C"/>
    <w:rsid w:val="00D666B4"/>
    <w:rsid w:val="00D92974"/>
    <w:rsid w:val="00DC4838"/>
    <w:rsid w:val="00DD6152"/>
    <w:rsid w:val="00E06B55"/>
    <w:rsid w:val="00E944C1"/>
    <w:rsid w:val="00F14521"/>
    <w:rsid w:val="00F22682"/>
    <w:rsid w:val="00F30EB0"/>
    <w:rsid w:val="00FA4C9A"/>
    <w:rsid w:val="00FF437D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EF9CE"/>
  <w15:chartTrackingRefBased/>
  <w15:docId w15:val="{07C30153-B747-894F-AFE6-5077A35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12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7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E1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612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6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7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Kitson (LDC - Staff)</dc:creator>
  <cp:keywords/>
  <dc:description/>
  <cp:lastModifiedBy>Peter Kitson (LDC - Staff)</cp:lastModifiedBy>
  <cp:revision>2</cp:revision>
  <dcterms:created xsi:type="dcterms:W3CDTF">2022-08-22T11:40:00Z</dcterms:created>
  <dcterms:modified xsi:type="dcterms:W3CDTF">2022-08-22T11:40:00Z</dcterms:modified>
</cp:coreProperties>
</file>