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EF03" w14:textId="77777777" w:rsidR="00F00ED0" w:rsidRDefault="00F00ED0" w:rsidP="00F00ED0">
      <w:pPr>
        <w:spacing w:line="391" w:lineRule="exact"/>
        <w:ind w:right="576"/>
        <w:textAlignment w:val="baseline"/>
        <w:rPr>
          <w:b/>
          <w:color w:val="000000"/>
          <w:sz w:val="32"/>
        </w:rPr>
      </w:pPr>
      <w:r>
        <w:rPr>
          <w:b/>
          <w:color w:val="000000"/>
          <w:sz w:val="32"/>
        </w:rPr>
        <w:t>The contribution of girls’ longer hours in unpaid work to gender gaps in early adult employment: Evidence from Ethiopia, India, Peru and Vietnam</w:t>
      </w:r>
    </w:p>
    <w:p w14:paraId="2EEC7CE4" w14:textId="66B9C736" w:rsidR="00721B73" w:rsidRDefault="00721B73" w:rsidP="00721B73">
      <w:pPr>
        <w:spacing w:line="391" w:lineRule="exact"/>
        <w:ind w:right="576"/>
        <w:jc w:val="both"/>
        <w:textAlignment w:val="baseline"/>
        <w:rPr>
          <w:b/>
          <w:color w:val="000000"/>
          <w:sz w:val="32"/>
        </w:rPr>
      </w:pPr>
    </w:p>
    <w:p w14:paraId="3279D56C" w14:textId="54C8C3FF" w:rsidR="00721B73" w:rsidRDefault="00721B73" w:rsidP="00721B73">
      <w:pPr>
        <w:spacing w:before="183" w:line="249" w:lineRule="exact"/>
        <w:textAlignment w:val="baseline"/>
        <w:rPr>
          <w:color w:val="000000"/>
          <w:spacing w:val="-1"/>
          <w:sz w:val="14"/>
        </w:rPr>
      </w:pPr>
      <w:r>
        <w:rPr>
          <w:color w:val="000000"/>
          <w:spacing w:val="-1"/>
        </w:rPr>
        <w:t>Fiona Carmichael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 xml:space="preserve">, </w:t>
      </w:r>
      <w:r>
        <w:rPr>
          <w:color w:val="000000"/>
          <w:spacing w:val="-1"/>
          <w:sz w:val="22"/>
          <w:lang w:val="en-US"/>
        </w:rPr>
        <w:t>Christian K. Darko</w:t>
      </w:r>
      <w:r>
        <w:rPr>
          <w:color w:val="000000"/>
          <w:spacing w:val="-1"/>
          <w:vertAlign w:val="superscript"/>
        </w:rPr>
        <w:t>2</w:t>
      </w:r>
      <w:r>
        <w:rPr>
          <w:color w:val="000000"/>
          <w:spacing w:val="-1"/>
        </w:rPr>
        <w:t>,</w:t>
      </w:r>
      <w:r>
        <w:rPr>
          <w:color w:val="000000"/>
          <w:spacing w:val="-1"/>
          <w:sz w:val="22"/>
          <w:lang w:val="en-US"/>
        </w:rPr>
        <w:t xml:space="preserve"> Shireen Kanji</w:t>
      </w:r>
      <w:r>
        <w:rPr>
          <w:color w:val="000000"/>
          <w:spacing w:val="-1"/>
          <w:vertAlign w:val="superscript"/>
        </w:rPr>
        <w:t>3</w:t>
      </w:r>
      <w:r>
        <w:rPr>
          <w:color w:val="000000"/>
          <w:spacing w:val="-1"/>
          <w:sz w:val="22"/>
          <w:lang w:val="en-US"/>
        </w:rPr>
        <w:t xml:space="preserve"> and Nicholas Vasilakos</w:t>
      </w:r>
      <w:r>
        <w:rPr>
          <w:color w:val="000000"/>
          <w:spacing w:val="-1"/>
          <w:vertAlign w:val="superscript"/>
        </w:rPr>
        <w:t>4</w:t>
      </w:r>
      <w:r>
        <w:rPr>
          <w:color w:val="000000"/>
          <w:spacing w:val="-1"/>
          <w:sz w:val="14"/>
          <w:lang w:val="en-US"/>
        </w:rPr>
        <w:t xml:space="preserve"> </w:t>
      </w:r>
    </w:p>
    <w:p w14:paraId="06FD51CD" w14:textId="77777777" w:rsidR="00721B73" w:rsidRDefault="00721B73" w:rsidP="00721B73">
      <w:pPr>
        <w:spacing w:before="183" w:line="249" w:lineRule="exact"/>
        <w:textAlignment w:val="baseline"/>
        <w:rPr>
          <w:color w:val="000000"/>
          <w:spacing w:val="-1"/>
          <w:sz w:val="14"/>
        </w:rPr>
      </w:pPr>
    </w:p>
    <w:p w14:paraId="3F37D67A" w14:textId="77777777" w:rsidR="00721B73" w:rsidRPr="00632D4D" w:rsidRDefault="00721B73" w:rsidP="00721B73">
      <w:pPr>
        <w:spacing w:before="12" w:line="384" w:lineRule="exact"/>
        <w:ind w:right="576"/>
        <w:jc w:val="both"/>
        <w:textAlignment w:val="baseline"/>
        <w:rPr>
          <w:color w:val="0462C1"/>
          <w:spacing w:val="-1"/>
          <w:sz w:val="17"/>
          <w:szCs w:val="17"/>
        </w:rPr>
      </w:pPr>
      <w:r w:rsidRPr="00632D4D">
        <w:rPr>
          <w:i/>
          <w:color w:val="000000"/>
          <w:spacing w:val="-1"/>
          <w:sz w:val="17"/>
          <w:szCs w:val="17"/>
          <w:vertAlign w:val="superscript"/>
          <w:lang w:val="en-US"/>
        </w:rPr>
        <w:t>1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Birmingham Business School, University of Birmingham, B15</w:t>
      </w:r>
      <w:r>
        <w:rPr>
          <w:i/>
          <w:color w:val="000000"/>
          <w:spacing w:val="-1"/>
          <w:sz w:val="17"/>
          <w:szCs w:val="17"/>
          <w:lang w:val="en-US"/>
        </w:rPr>
        <w:t xml:space="preserve"> 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2TT</w:t>
      </w:r>
      <w:r w:rsidRPr="00632D4D">
        <w:rPr>
          <w:i/>
          <w:color w:val="000000"/>
          <w:spacing w:val="-1"/>
          <w:sz w:val="17"/>
          <w:szCs w:val="17"/>
        </w:rPr>
        <w:t>, Birmingham, UK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. Email:</w:t>
      </w:r>
      <w:hyperlink r:id="rId4">
        <w:r w:rsidRPr="00721B73">
          <w:rPr>
            <w:i/>
            <w:color w:val="000000"/>
            <w:spacing w:val="-1"/>
            <w:sz w:val="17"/>
            <w:szCs w:val="17"/>
            <w:lang w:val="en-US"/>
          </w:rPr>
          <w:t xml:space="preserve"> f.carmichael@bham.ac.uk</w:t>
        </w:r>
      </w:hyperlink>
      <w:r w:rsidRPr="00632D4D">
        <w:rPr>
          <w:color w:val="0462C1"/>
          <w:spacing w:val="-1"/>
          <w:sz w:val="17"/>
          <w:szCs w:val="17"/>
          <w:lang w:val="en-US"/>
        </w:rPr>
        <w:t xml:space="preserve"> </w:t>
      </w:r>
    </w:p>
    <w:p w14:paraId="058DD9A3" w14:textId="77777777" w:rsidR="00721B73" w:rsidRDefault="00721B73" w:rsidP="00721B73">
      <w:pPr>
        <w:spacing w:before="12" w:line="384" w:lineRule="exact"/>
        <w:ind w:right="576"/>
        <w:jc w:val="both"/>
        <w:textAlignment w:val="baseline"/>
        <w:rPr>
          <w:i/>
          <w:color w:val="000000"/>
          <w:spacing w:val="-1"/>
          <w:sz w:val="17"/>
          <w:szCs w:val="17"/>
          <w:lang w:val="en-US"/>
        </w:rPr>
      </w:pPr>
      <w:r w:rsidRPr="00632D4D">
        <w:rPr>
          <w:i/>
          <w:color w:val="000000"/>
          <w:spacing w:val="-1"/>
          <w:sz w:val="17"/>
          <w:szCs w:val="17"/>
          <w:vertAlign w:val="superscript"/>
        </w:rPr>
        <w:t>2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Birmingham Business School, University of Birmingham, B15 2TT, Birmingham, UK. Email:</w:t>
      </w:r>
      <w:hyperlink r:id="rId5">
        <w:r w:rsidRPr="00721B73">
          <w:rPr>
            <w:i/>
            <w:color w:val="000000"/>
            <w:spacing w:val="-1"/>
            <w:sz w:val="17"/>
            <w:szCs w:val="17"/>
            <w:lang w:val="en-US"/>
          </w:rPr>
          <w:t xml:space="preserve"> c.k.darko@bham.ac.uk</w:t>
        </w:r>
      </w:hyperlink>
    </w:p>
    <w:p w14:paraId="379B6389" w14:textId="47ADB689" w:rsidR="00721B73" w:rsidRDefault="00721B73" w:rsidP="00721B73">
      <w:pPr>
        <w:spacing w:before="12" w:line="384" w:lineRule="exact"/>
        <w:ind w:right="576"/>
        <w:jc w:val="both"/>
        <w:textAlignment w:val="baseline"/>
        <w:rPr>
          <w:color w:val="0462C1"/>
          <w:spacing w:val="-1"/>
          <w:sz w:val="17"/>
          <w:szCs w:val="17"/>
          <w:lang w:val="en-US"/>
        </w:rPr>
      </w:pPr>
      <w:r>
        <w:rPr>
          <w:i/>
          <w:color w:val="000000"/>
          <w:spacing w:val="-1"/>
          <w:sz w:val="17"/>
          <w:szCs w:val="17"/>
          <w:vertAlign w:val="superscript"/>
        </w:rPr>
        <w:t>3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B</w:t>
      </w:r>
      <w:r>
        <w:rPr>
          <w:i/>
          <w:color w:val="000000"/>
          <w:spacing w:val="-1"/>
          <w:sz w:val="17"/>
          <w:szCs w:val="17"/>
          <w:lang w:val="en-US"/>
        </w:rPr>
        <w:t>runel</w:t>
      </w:r>
      <w:r w:rsidRPr="00632D4D">
        <w:rPr>
          <w:i/>
          <w:color w:val="000000"/>
          <w:spacing w:val="-1"/>
          <w:sz w:val="17"/>
          <w:szCs w:val="17"/>
          <w:lang w:val="en-US"/>
        </w:rPr>
        <w:t xml:space="preserve"> Business School, </w:t>
      </w:r>
      <w:r>
        <w:rPr>
          <w:i/>
          <w:color w:val="000000"/>
          <w:spacing w:val="-1"/>
          <w:sz w:val="17"/>
          <w:szCs w:val="17"/>
          <w:lang w:val="en-US"/>
        </w:rPr>
        <w:t xml:space="preserve">Brunel 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University</w:t>
      </w:r>
      <w:r>
        <w:rPr>
          <w:i/>
          <w:color w:val="000000"/>
          <w:spacing w:val="-1"/>
          <w:sz w:val="17"/>
          <w:szCs w:val="17"/>
          <w:lang w:val="en-US"/>
        </w:rPr>
        <w:t xml:space="preserve"> London</w:t>
      </w:r>
      <w:r w:rsidRPr="00632D4D">
        <w:rPr>
          <w:i/>
          <w:color w:val="000000"/>
          <w:spacing w:val="-1"/>
          <w:sz w:val="17"/>
          <w:szCs w:val="17"/>
          <w:lang w:val="en-US"/>
        </w:rPr>
        <w:t xml:space="preserve">, </w:t>
      </w:r>
      <w:r>
        <w:rPr>
          <w:i/>
          <w:color w:val="000000"/>
          <w:spacing w:val="-1"/>
          <w:sz w:val="17"/>
          <w:szCs w:val="17"/>
          <w:lang w:val="en-US"/>
        </w:rPr>
        <w:t>UB8</w:t>
      </w:r>
      <w:r w:rsidRPr="00632D4D">
        <w:rPr>
          <w:i/>
          <w:color w:val="000000"/>
          <w:spacing w:val="-1"/>
          <w:sz w:val="17"/>
          <w:szCs w:val="17"/>
          <w:lang w:val="en-US"/>
        </w:rPr>
        <w:t xml:space="preserve"> </w:t>
      </w:r>
      <w:r>
        <w:rPr>
          <w:i/>
          <w:color w:val="000000"/>
          <w:spacing w:val="-1"/>
          <w:sz w:val="17"/>
          <w:szCs w:val="17"/>
          <w:lang w:val="en-US"/>
        </w:rPr>
        <w:t>3PH</w:t>
      </w:r>
      <w:r w:rsidRPr="00632D4D">
        <w:rPr>
          <w:i/>
          <w:color w:val="000000"/>
          <w:spacing w:val="-1"/>
          <w:sz w:val="17"/>
          <w:szCs w:val="17"/>
          <w:lang w:val="en-US"/>
        </w:rPr>
        <w:t xml:space="preserve">, </w:t>
      </w:r>
      <w:r>
        <w:rPr>
          <w:i/>
          <w:color w:val="000000"/>
          <w:spacing w:val="-1"/>
          <w:sz w:val="17"/>
          <w:szCs w:val="17"/>
          <w:lang w:val="en-US"/>
        </w:rPr>
        <w:t>Middlesex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, UK. Email:</w:t>
      </w:r>
      <w:r w:rsidRPr="00721B73">
        <w:t xml:space="preserve"> </w:t>
      </w:r>
      <w:r w:rsidRPr="00721B73">
        <w:rPr>
          <w:i/>
          <w:color w:val="000000"/>
          <w:spacing w:val="-1"/>
          <w:sz w:val="17"/>
          <w:szCs w:val="17"/>
          <w:lang w:val="en-US"/>
        </w:rPr>
        <w:t>Shireen.Kanji@brunel.ac.uk</w:t>
      </w:r>
      <w:r w:rsidRPr="00632D4D">
        <w:rPr>
          <w:color w:val="0000FF"/>
          <w:spacing w:val="-1"/>
          <w:sz w:val="17"/>
          <w:szCs w:val="17"/>
          <w:u w:val="single"/>
          <w:lang w:val="en-US"/>
        </w:rPr>
        <w:t xml:space="preserve"> </w:t>
      </w:r>
    </w:p>
    <w:p w14:paraId="1912A447" w14:textId="49369C87" w:rsidR="00721B73" w:rsidRPr="00632D4D" w:rsidRDefault="00721B73" w:rsidP="00721B73">
      <w:pPr>
        <w:spacing w:before="12" w:line="384" w:lineRule="exact"/>
        <w:ind w:right="576"/>
        <w:jc w:val="both"/>
        <w:textAlignment w:val="baseline"/>
        <w:rPr>
          <w:i/>
          <w:color w:val="000000"/>
          <w:spacing w:val="-1"/>
          <w:sz w:val="17"/>
          <w:szCs w:val="17"/>
          <w:vertAlign w:val="superscript"/>
        </w:rPr>
      </w:pPr>
      <w:r>
        <w:rPr>
          <w:color w:val="000000"/>
          <w:spacing w:val="-1"/>
          <w:sz w:val="17"/>
          <w:szCs w:val="17"/>
          <w:vertAlign w:val="superscript"/>
        </w:rPr>
        <w:t xml:space="preserve">4 </w:t>
      </w:r>
      <w:r w:rsidRPr="00632D4D">
        <w:rPr>
          <w:i/>
          <w:color w:val="000000"/>
          <w:spacing w:val="-1"/>
          <w:sz w:val="17"/>
          <w:szCs w:val="17"/>
          <w:lang w:val="en-US"/>
        </w:rPr>
        <w:t>Norwich Business School, University of East Anglia, NR4 7TJ, Norwich, UK. Email address:</w:t>
      </w:r>
      <w:hyperlink r:id="rId6">
        <w:r w:rsidRPr="00721B73">
          <w:rPr>
            <w:i/>
            <w:color w:val="000000"/>
            <w:spacing w:val="-1"/>
            <w:sz w:val="17"/>
            <w:szCs w:val="17"/>
            <w:lang w:val="en-US"/>
          </w:rPr>
          <w:t xml:space="preserve"> n.vasilakos@uea.ac.uk</w:t>
        </w:r>
      </w:hyperlink>
      <w:r w:rsidRPr="00632D4D">
        <w:rPr>
          <w:color w:val="0462C1"/>
          <w:spacing w:val="-1"/>
          <w:sz w:val="17"/>
          <w:szCs w:val="17"/>
          <w:lang w:val="en-US"/>
        </w:rPr>
        <w:t xml:space="preserve"> </w:t>
      </w:r>
    </w:p>
    <w:p w14:paraId="7B34F9A7" w14:textId="77777777" w:rsidR="00721B73" w:rsidRDefault="00721B73" w:rsidP="00721B73"/>
    <w:p w14:paraId="3A5A6EE9" w14:textId="0CDDB67F" w:rsidR="00721B73" w:rsidRDefault="00721B73" w:rsidP="00721B73">
      <w:r>
        <w:rPr>
          <w:rFonts w:eastAsia="Arial Unicode MS"/>
          <w:u w:color="000000"/>
        </w:rPr>
        <w:t xml:space="preserve">*Corresponding author: </w:t>
      </w:r>
      <w:r w:rsidR="006016E6">
        <w:rPr>
          <w:rFonts w:eastAsia="Arial Unicode MS"/>
          <w:u w:color="000000"/>
        </w:rPr>
        <w:t>Fiona Carmichael</w:t>
      </w:r>
      <w:r>
        <w:t xml:space="preserve">, </w:t>
      </w:r>
    </w:p>
    <w:p w14:paraId="3A5DA235" w14:textId="0CAA2FCB" w:rsidR="00721B73" w:rsidRPr="00EC337B" w:rsidRDefault="00721B73" w:rsidP="00721B73">
      <w:pPr>
        <w:ind w:left="1440" w:firstLine="720"/>
      </w:pPr>
      <w:r>
        <w:t xml:space="preserve">Email address (corresponding author): </w:t>
      </w:r>
      <w:hyperlink r:id="rId7" w:history="1">
        <w:r w:rsidR="006016E6">
          <w:t>f.carmichael@bham.ac.uk</w:t>
        </w:r>
      </w:hyperlink>
    </w:p>
    <w:p w14:paraId="3524A29F" w14:textId="5BA7EDE2" w:rsidR="00721B73" w:rsidRDefault="00721B73" w:rsidP="00721B73">
      <w:pPr>
        <w:ind w:left="1440" w:firstLine="720"/>
      </w:pPr>
      <w:r>
        <w:t>Contact number (corresponding author): +44 (0)</w:t>
      </w:r>
      <w:r w:rsidR="006016E6">
        <w:t>7437010532</w:t>
      </w:r>
    </w:p>
    <w:p w14:paraId="597F7FA8" w14:textId="77777777" w:rsidR="00721B73" w:rsidRDefault="00721B73" w:rsidP="00721B73"/>
    <w:p w14:paraId="58031B95" w14:textId="77777777" w:rsidR="00721B73" w:rsidRPr="00332F73" w:rsidRDefault="00721B73" w:rsidP="00721B73">
      <w:pPr>
        <w:spacing w:before="569" w:line="242" w:lineRule="exact"/>
        <w:textAlignment w:val="baseline"/>
        <w:rPr>
          <w:rFonts w:eastAsia="Calibri"/>
          <w:b/>
          <w:color w:val="000000"/>
        </w:rPr>
      </w:pPr>
      <w:r w:rsidRPr="00332F73">
        <w:rPr>
          <w:rFonts w:eastAsia="Calibri"/>
          <w:b/>
          <w:color w:val="000000"/>
          <w:sz w:val="22"/>
          <w:lang w:val="en-US"/>
        </w:rPr>
        <w:t>Abstract</w:t>
      </w:r>
    </w:p>
    <w:p w14:paraId="0FC8D154" w14:textId="77777777" w:rsidR="00F00ED0" w:rsidRPr="00956AE2" w:rsidRDefault="00F00ED0" w:rsidP="00F00ED0">
      <w:pPr>
        <w:spacing w:before="145" w:line="480" w:lineRule="auto"/>
        <w:textAlignment w:val="baseline"/>
        <w:rPr>
          <w:rFonts w:eastAsia="Calibri"/>
          <w:color w:val="000000"/>
          <w:lang w:val="en-US"/>
        </w:rPr>
      </w:pPr>
      <w:r>
        <w:rPr>
          <w:rFonts w:eastAsia="Calibri"/>
        </w:rPr>
        <w:t xml:space="preserve">Across many </w:t>
      </w:r>
      <w:proofErr w:type="gramStart"/>
      <w:r>
        <w:rPr>
          <w:rFonts w:eastAsia="Calibri"/>
        </w:rPr>
        <w:t>countries</w:t>
      </w:r>
      <w:proofErr w:type="gramEnd"/>
      <w:r>
        <w:rPr>
          <w:rFonts w:eastAsia="Calibri"/>
        </w:rPr>
        <w:t xml:space="preserve"> girls perform more unpaid work than boys. </w:t>
      </w:r>
      <w:r w:rsidRPr="007B2AEA">
        <w:rPr>
          <w:rFonts w:eastAsia="Calibri"/>
        </w:rPr>
        <w:t xml:space="preserve">This </w:t>
      </w:r>
      <w:r>
        <w:rPr>
          <w:rFonts w:eastAsia="Calibri"/>
        </w:rPr>
        <w:t>article</w:t>
      </w:r>
      <w:r w:rsidRPr="007B2AEA">
        <w:rPr>
          <w:rFonts w:eastAsia="Calibri"/>
        </w:rPr>
        <w:t xml:space="preserve"> </w:t>
      </w:r>
      <w:r>
        <w:rPr>
          <w:rFonts w:eastAsia="Calibri"/>
        </w:rPr>
        <w:t xml:space="preserve">shows </w:t>
      </w:r>
      <w:r w:rsidRPr="007B2AEA">
        <w:rPr>
          <w:rFonts w:eastAsia="Calibri"/>
        </w:rPr>
        <w:t xml:space="preserve">how </w:t>
      </w:r>
      <w:r>
        <w:rPr>
          <w:rFonts w:eastAsia="Calibri"/>
        </w:rPr>
        <w:t>time</w:t>
      </w:r>
      <w:r w:rsidRPr="007B2AEA">
        <w:rPr>
          <w:rFonts w:eastAsia="Calibri"/>
        </w:rPr>
        <w:t xml:space="preserve"> </w:t>
      </w:r>
      <w:r>
        <w:rPr>
          <w:rFonts w:eastAsia="Calibri"/>
        </w:rPr>
        <w:t xml:space="preserve">spent </w:t>
      </w:r>
      <w:r w:rsidRPr="007B2AEA">
        <w:rPr>
          <w:rFonts w:eastAsia="Calibri"/>
        </w:rPr>
        <w:t xml:space="preserve">in </w:t>
      </w:r>
      <w:r>
        <w:rPr>
          <w:rFonts w:eastAsia="Calibri"/>
        </w:rPr>
        <w:t xml:space="preserve">unpaid </w:t>
      </w:r>
      <w:r w:rsidRPr="007B2AEA">
        <w:rPr>
          <w:rFonts w:eastAsia="Calibri"/>
        </w:rPr>
        <w:t>house</w:t>
      </w:r>
      <w:r>
        <w:rPr>
          <w:rFonts w:eastAsia="Calibri"/>
        </w:rPr>
        <w:t xml:space="preserve">hold </w:t>
      </w:r>
      <w:r w:rsidRPr="007B2AEA">
        <w:rPr>
          <w:rFonts w:eastAsia="Calibri"/>
        </w:rPr>
        <w:t xml:space="preserve">work </w:t>
      </w:r>
      <w:r>
        <w:rPr>
          <w:rFonts w:eastAsia="Calibri"/>
        </w:rPr>
        <w:t>by young women and girls contributes to the gender pay gap which is already evident by age 22</w:t>
      </w:r>
      <w:r w:rsidRPr="007B2AEA">
        <w:rPr>
          <w:rFonts w:eastAsia="Calibri"/>
        </w:rPr>
        <w:t>.</w:t>
      </w:r>
      <w:r>
        <w:rPr>
          <w:rFonts w:eastAsia="Calibri"/>
        </w:rPr>
        <w:t xml:space="preserve"> </w:t>
      </w:r>
      <w:r>
        <w:rPr>
          <w:rFonts w:eastAsia="Calibri"/>
          <w:color w:val="000000"/>
        </w:rPr>
        <w:t>We analyse employment participation, type of employment and wages using</w:t>
      </w:r>
      <w:r w:rsidRPr="006B7495">
        <w:rPr>
          <w:rFonts w:eastAsia="Calibri"/>
          <w:color w:val="000000"/>
        </w:rPr>
        <w:t xml:space="preserve"> five waves of the Young Lives longitudinal survey</w:t>
      </w:r>
      <w:r>
        <w:rPr>
          <w:rFonts w:eastAsia="Calibri"/>
          <w:color w:val="000000"/>
        </w:rPr>
        <w:t xml:space="preserve"> for Ethiopia, India, Peru and Vietnam</w:t>
      </w:r>
      <w:r w:rsidRPr="006B7495">
        <w:rPr>
          <w:rFonts w:eastAsia="Calibri"/>
          <w:color w:val="000000"/>
        </w:rPr>
        <w:t xml:space="preserve">. </w:t>
      </w:r>
      <w:r>
        <w:rPr>
          <w:rFonts w:eastAsia="Calibri"/>
          <w:color w:val="000000"/>
        </w:rPr>
        <w:t xml:space="preserve">Longer hours in unpaid household work in adolescence positively predict later employment participation but negatively predict job quality, that is a job with a private or public organization, and hourly earnings, particularly for women.  Oaxaca-Blinder decompositions of the male female wage gap show the </w:t>
      </w:r>
      <w:r w:rsidRPr="00956AE2">
        <w:rPr>
          <w:rFonts w:eastAsia="Calibri"/>
          <w:color w:val="000000"/>
          <w:lang w:val="en-US"/>
        </w:rPr>
        <w:t xml:space="preserve">female penalty for past household work is due to longer hours of such work  rather than a higher female penalty for a given amount of unpaid work. </w:t>
      </w:r>
    </w:p>
    <w:p w14:paraId="26132E14" w14:textId="77777777" w:rsidR="00F00ED0" w:rsidRPr="00CC3188" w:rsidRDefault="00F00ED0" w:rsidP="00F00ED0">
      <w:pPr>
        <w:spacing w:before="145" w:line="480" w:lineRule="auto"/>
        <w:textAlignment w:val="baseline"/>
        <w:rPr>
          <w:rFonts w:eastAsia="Calibri"/>
          <w:color w:val="000000"/>
        </w:rPr>
      </w:pPr>
    </w:p>
    <w:p w14:paraId="48DB6F56" w14:textId="77777777" w:rsidR="00F00ED0" w:rsidRPr="00CC3188" w:rsidRDefault="00F00ED0" w:rsidP="00F00ED0">
      <w:pPr>
        <w:spacing w:before="145" w:line="290" w:lineRule="exact"/>
        <w:textAlignment w:val="baseline"/>
        <w:rPr>
          <w:rFonts w:eastAsia="Calibri"/>
          <w:color w:val="000000"/>
        </w:rPr>
      </w:pPr>
    </w:p>
    <w:p w14:paraId="254B0751" w14:textId="77777777" w:rsidR="00F00ED0" w:rsidRDefault="00F00ED0" w:rsidP="00F00ED0">
      <w:r w:rsidRPr="00CC3188">
        <w:rPr>
          <w:rFonts w:eastAsia="Calibri"/>
          <w:color w:val="000000"/>
        </w:rPr>
        <w:t>Keywords:</w:t>
      </w:r>
      <w:r w:rsidRPr="00CC3188">
        <w:t xml:space="preserve"> </w:t>
      </w:r>
      <w:r>
        <w:t>low and middle-income</w:t>
      </w:r>
      <w:r w:rsidRPr="00CC3188">
        <w:t xml:space="preserve"> countries</w:t>
      </w:r>
      <w:r>
        <w:t>, young adults, gender wage gap</w:t>
      </w:r>
      <w:r w:rsidRPr="00CC3188">
        <w:t xml:space="preserve">, </w:t>
      </w:r>
      <w:r w:rsidRPr="002159B4">
        <w:t>life</w:t>
      </w:r>
      <w:r>
        <w:t xml:space="preserve"> </w:t>
      </w:r>
      <w:r w:rsidRPr="002159B4">
        <w:t>course</w:t>
      </w:r>
      <w:r>
        <w:t>, unpaid household work</w:t>
      </w:r>
      <w:r w:rsidRPr="00CC3188">
        <w:t xml:space="preserve"> </w:t>
      </w:r>
    </w:p>
    <w:p w14:paraId="4A64766E" w14:textId="77777777" w:rsidR="00F00ED0" w:rsidRDefault="00F00ED0" w:rsidP="00F00ED0"/>
    <w:p w14:paraId="0B204928" w14:textId="77777777" w:rsidR="00F00ED0" w:rsidRPr="006430BB" w:rsidRDefault="00F00ED0" w:rsidP="00F00ED0">
      <w:pPr>
        <w:pStyle w:val="CommentText"/>
        <w:rPr>
          <w:sz w:val="24"/>
        </w:rPr>
      </w:pPr>
      <w:r w:rsidRPr="006430BB">
        <w:rPr>
          <w:sz w:val="24"/>
        </w:rPr>
        <w:lastRenderedPageBreak/>
        <w:t xml:space="preserve">JEL </w:t>
      </w:r>
      <w:r>
        <w:rPr>
          <w:sz w:val="24"/>
        </w:rPr>
        <w:t>Codes:</w:t>
      </w:r>
      <w:r w:rsidRPr="006430BB">
        <w:rPr>
          <w:sz w:val="24"/>
        </w:rPr>
        <w:t xml:space="preserve"> J16 J22 J31 J71</w:t>
      </w:r>
    </w:p>
    <w:p w14:paraId="70A34C49" w14:textId="77777777" w:rsidR="00F00ED0" w:rsidRDefault="00F00ED0" w:rsidP="00F00ED0">
      <w:pPr>
        <w:spacing w:before="145" w:line="290" w:lineRule="exact"/>
        <w:textAlignment w:val="baseline"/>
        <w:rPr>
          <w:rFonts w:ascii="Calibri" w:eastAsia="Calibri" w:hAnsi="Calibri"/>
          <w:color w:val="000000"/>
        </w:rPr>
      </w:pPr>
    </w:p>
    <w:p w14:paraId="052AD83D" w14:textId="632AE88C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b/>
          <w:bCs/>
          <w:color w:val="000000"/>
        </w:rPr>
      </w:pPr>
      <w:bookmarkStart w:id="0" w:name="_GoBack"/>
      <w:bookmarkEnd w:id="0"/>
      <w:r w:rsidRPr="00721B73">
        <w:rPr>
          <w:rFonts w:eastAsia="Calibri"/>
          <w:b/>
          <w:bCs/>
          <w:color w:val="000000"/>
        </w:rPr>
        <w:t>Declarations:</w:t>
      </w:r>
    </w:p>
    <w:p w14:paraId="68CDA6C8" w14:textId="552E19BB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b/>
          <w:bCs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 xml:space="preserve">Declarations </w:t>
      </w:r>
      <w:r w:rsidRPr="003A0A3A">
        <w:rPr>
          <w:rFonts w:eastAsia="Calibri"/>
          <w:b/>
          <w:bCs/>
          <w:i/>
          <w:iCs/>
          <w:color w:val="000000"/>
        </w:rPr>
        <w:t>of interest</w:t>
      </w:r>
      <w:r w:rsidRPr="001D27F8">
        <w:rPr>
          <w:rFonts w:eastAsia="Calibri"/>
          <w:i/>
          <w:iCs/>
          <w:color w:val="000000"/>
        </w:rPr>
        <w:t>:</w:t>
      </w:r>
      <w:r w:rsidRPr="00721B73">
        <w:rPr>
          <w:rFonts w:eastAsia="Calibri"/>
          <w:b/>
          <w:bCs/>
          <w:color w:val="000000"/>
        </w:rPr>
        <w:t xml:space="preserve"> </w:t>
      </w:r>
      <w:r w:rsidR="00A65930">
        <w:rPr>
          <w:rFonts w:eastAsia="Calibri"/>
          <w:color w:val="000000"/>
        </w:rPr>
        <w:t>N</w:t>
      </w:r>
      <w:r w:rsidRPr="00721B73">
        <w:rPr>
          <w:rFonts w:eastAsia="Calibri"/>
          <w:color w:val="000000"/>
        </w:rPr>
        <w:t>one</w:t>
      </w:r>
    </w:p>
    <w:p w14:paraId="73ED9DCD" w14:textId="1BD81530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>Funding</w:t>
      </w:r>
      <w:r w:rsidRPr="00721B73">
        <w:rPr>
          <w:rFonts w:eastAsia="Calibri"/>
          <w:color w:val="000000"/>
        </w:rPr>
        <w:t> </w:t>
      </w:r>
      <w:r w:rsidR="00A65930">
        <w:rPr>
          <w:rFonts w:eastAsia="Calibri"/>
          <w:color w:val="000000"/>
        </w:rPr>
        <w:t>N</w:t>
      </w:r>
      <w:r w:rsidRPr="00721B73">
        <w:rPr>
          <w:rFonts w:eastAsia="Calibri"/>
          <w:color w:val="000000"/>
        </w:rPr>
        <w:t>ot applicable</w:t>
      </w:r>
    </w:p>
    <w:p w14:paraId="7DCBA799" w14:textId="0AB73381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>Conflicts of interest/Competing interests</w:t>
      </w:r>
      <w:r w:rsidRPr="00721B73">
        <w:rPr>
          <w:rFonts w:eastAsia="Calibri"/>
          <w:color w:val="000000"/>
        </w:rPr>
        <w:t> None.</w:t>
      </w:r>
    </w:p>
    <w:p w14:paraId="2AD5699B" w14:textId="77777777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>Availability of data and material</w:t>
      </w:r>
      <w:r w:rsidRPr="00721B73">
        <w:rPr>
          <w:rFonts w:eastAsia="Calibri"/>
          <w:color w:val="000000"/>
        </w:rPr>
        <w:t> </w:t>
      </w:r>
      <w:proofErr w:type="gramStart"/>
      <w:r w:rsidRPr="00721B73">
        <w:rPr>
          <w:rFonts w:eastAsia="Calibri"/>
          <w:color w:val="000000"/>
        </w:rPr>
        <w:t>The</w:t>
      </w:r>
      <w:proofErr w:type="gramEnd"/>
      <w:r w:rsidRPr="00721B73">
        <w:rPr>
          <w:rFonts w:eastAsia="Calibri"/>
          <w:color w:val="000000"/>
        </w:rPr>
        <w:t xml:space="preserve"> data are from Young Lives, a 15-year study on the changing nature of childhood poverty in Ethiopia, India, Peru and Vietnam (</w:t>
      </w:r>
      <w:hyperlink r:id="rId8" w:tgtFrame="_blank" w:history="1">
        <w:r w:rsidRPr="00721B73">
          <w:rPr>
            <w:rFonts w:eastAsia="Calibri"/>
            <w:color w:val="000000"/>
          </w:rPr>
          <w:t>www.younglives.org.uk</w:t>
        </w:r>
      </w:hyperlink>
      <w:r w:rsidRPr="00721B73">
        <w:rPr>
          <w:rFonts w:eastAsia="Calibri"/>
          <w:color w:val="000000"/>
        </w:rPr>
        <w:t>). </w:t>
      </w:r>
    </w:p>
    <w:p w14:paraId="022A44B4" w14:textId="15D12927" w:rsidR="00721B73" w:rsidRPr="001D27F8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i/>
          <w:iCs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>Code availability</w:t>
      </w:r>
      <w:r w:rsidRPr="00721B73">
        <w:rPr>
          <w:rFonts w:eastAsia="Calibri"/>
          <w:color w:val="000000"/>
        </w:rPr>
        <w:t> The Stata code that was used in this analysis is available upon request. </w:t>
      </w:r>
    </w:p>
    <w:p w14:paraId="2A9A6F2E" w14:textId="1661C5D0" w:rsid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color w:val="000000"/>
        </w:rPr>
      </w:pPr>
      <w:r w:rsidRPr="001D27F8">
        <w:rPr>
          <w:rFonts w:eastAsia="Calibri"/>
          <w:b/>
          <w:bCs/>
          <w:i/>
          <w:iCs/>
          <w:color w:val="000000"/>
        </w:rPr>
        <w:t>Authors' contributions</w:t>
      </w:r>
      <w:r w:rsidRPr="00721B73">
        <w:rPr>
          <w:rFonts w:eastAsia="Calibri"/>
          <w:color w:val="000000"/>
        </w:rPr>
        <w:t> All in equal shares. Names of authors are listed in alphabetical order.</w:t>
      </w:r>
    </w:p>
    <w:p w14:paraId="3FEE7FEC" w14:textId="77777777" w:rsidR="00721B73" w:rsidRPr="00721B73" w:rsidRDefault="00721B73" w:rsidP="00721B73">
      <w:pPr>
        <w:pStyle w:val="NormalWeb"/>
        <w:shd w:val="clear" w:color="auto" w:fill="FCFCFC"/>
        <w:spacing w:before="0" w:beforeAutospacing="0" w:after="360" w:afterAutospacing="0"/>
        <w:rPr>
          <w:rFonts w:eastAsia="Calibri"/>
          <w:color w:val="000000"/>
        </w:rPr>
      </w:pPr>
    </w:p>
    <w:p w14:paraId="792EDD84" w14:textId="77777777" w:rsidR="00721B73" w:rsidRPr="00CC3188" w:rsidRDefault="00721B73" w:rsidP="00721B73">
      <w:pPr>
        <w:spacing w:before="145" w:line="480" w:lineRule="auto"/>
        <w:jc w:val="both"/>
        <w:textAlignment w:val="baseline"/>
        <w:rPr>
          <w:rFonts w:eastAsia="Calibri"/>
          <w:color w:val="000000"/>
        </w:rPr>
      </w:pPr>
    </w:p>
    <w:p w14:paraId="09FF3615" w14:textId="77777777" w:rsidR="00721B73" w:rsidRDefault="00721B73"/>
    <w:sectPr w:rsidR="00721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A"/>
    <w:rsid w:val="001004E9"/>
    <w:rsid w:val="001D27F8"/>
    <w:rsid w:val="003A0A3A"/>
    <w:rsid w:val="003B44A8"/>
    <w:rsid w:val="00434914"/>
    <w:rsid w:val="00487CE4"/>
    <w:rsid w:val="004B22FA"/>
    <w:rsid w:val="006016E6"/>
    <w:rsid w:val="00721B73"/>
    <w:rsid w:val="0077110E"/>
    <w:rsid w:val="00995AC7"/>
    <w:rsid w:val="009B4301"/>
    <w:rsid w:val="00A65930"/>
    <w:rsid w:val="00B67F5A"/>
    <w:rsid w:val="00D33AF2"/>
    <w:rsid w:val="00D44E45"/>
    <w:rsid w:val="00EC337B"/>
    <w:rsid w:val="00F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48F2"/>
  <w15:chartTrackingRefBased/>
  <w15:docId w15:val="{9D52E6C8-B93B-46B0-AEC0-C02E0AE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B7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1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7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73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21B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21B73"/>
    <w:rPr>
      <w:b/>
      <w:bCs/>
    </w:rPr>
  </w:style>
  <w:style w:type="character" w:styleId="Emphasis">
    <w:name w:val="Emphasis"/>
    <w:basedOn w:val="DefaultParagraphFont"/>
    <w:uiPriority w:val="20"/>
    <w:qFormat/>
    <w:rsid w:val="00721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lives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vasilakos@uea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vasilakos@uea.ac.uk" TargetMode="External"/><Relationship Id="rId5" Type="http://schemas.openxmlformats.org/officeDocument/2006/relationships/hyperlink" Target="mailto:c.k.darko@bham.ac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.k.darko@bham.ac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Vasilakos (NBS - Staff)</dc:creator>
  <cp:keywords/>
  <dc:description/>
  <cp:lastModifiedBy>Fiona Carmichael (Birmingham Business School)</cp:lastModifiedBy>
  <cp:revision>4</cp:revision>
  <dcterms:created xsi:type="dcterms:W3CDTF">2021-02-20T16:39:00Z</dcterms:created>
  <dcterms:modified xsi:type="dcterms:W3CDTF">2021-09-19T15:30:00Z</dcterms:modified>
</cp:coreProperties>
</file>